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7D7F08">
                              <w:rPr>
                                <w:rFonts w:asciiTheme="majorHAnsi" w:hAnsiTheme="majorHAnsi" w:cs="Arial"/>
                                <w:b/>
                                <w:bCs/>
                                <w:color w:val="0D0D0D" w:themeColor="text1" w:themeTint="F2"/>
                                <w:sz w:val="36"/>
                                <w:szCs w:val="40"/>
                              </w:rPr>
                              <w:t>59</w:t>
                            </w:r>
                            <w:r w:rsidRPr="004B7EB6">
                              <w:rPr>
                                <w:rFonts w:asciiTheme="majorHAnsi" w:hAnsiTheme="majorHAnsi" w:cs="Arial"/>
                                <w:b/>
                                <w:bCs/>
                                <w:color w:val="0D0D0D" w:themeColor="text1" w:themeTint="F2"/>
                                <w:sz w:val="36"/>
                                <w:szCs w:val="40"/>
                              </w:rPr>
                              <w:t>/</w:t>
                            </w:r>
                            <w:r w:rsidR="007D7F08">
                              <w:rPr>
                                <w:rFonts w:asciiTheme="majorHAnsi" w:hAnsiTheme="majorHAnsi" w:cs="Arial"/>
                                <w:b/>
                                <w:bCs/>
                                <w:color w:val="0D0D0D" w:themeColor="text1" w:themeTint="F2"/>
                                <w:sz w:val="36"/>
                                <w:szCs w:val="40"/>
                              </w:rPr>
                              <w:t>15</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7D7F08">
                              <w:rPr>
                                <w:rFonts w:asciiTheme="majorHAnsi" w:hAnsiTheme="majorHAnsi" w:cs="Arial"/>
                                <w:b/>
                                <w:color w:val="0D0D0D" w:themeColor="text1" w:themeTint="F2"/>
                                <w:sz w:val="36"/>
                                <w:szCs w:val="40"/>
                              </w:rPr>
                              <w:t>P 895-06</w:t>
                            </w:r>
                          </w:p>
                          <w:p w:rsidR="007D7F08" w:rsidRPr="004B7EB6" w:rsidRDefault="00450A4A" w:rsidP="007D7F08">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7D7F08" w:rsidRDefault="007D7F08" w:rsidP="004B7EB6">
                            <w:pPr>
                              <w:spacing w:line="276" w:lineRule="auto"/>
                              <w:rPr>
                                <w:rFonts w:asciiTheme="majorHAnsi" w:hAnsiTheme="majorHAnsi" w:cs="Arial"/>
                                <w:color w:val="0D0D0D" w:themeColor="text1" w:themeTint="F2"/>
                                <w:szCs w:val="22"/>
                                <w:lang w:val="es-ES_tradnl"/>
                              </w:rPr>
                            </w:pPr>
                            <w:r w:rsidRPr="007D7F08">
                              <w:rPr>
                                <w:rFonts w:asciiTheme="majorHAnsi" w:hAnsiTheme="majorHAnsi" w:cs="Arial"/>
                                <w:color w:val="0D0D0D" w:themeColor="text1" w:themeTint="F2"/>
                                <w:szCs w:val="22"/>
                                <w:lang w:val="es-ES_tradnl"/>
                              </w:rPr>
                              <w:t>ANTONIO DE LA TORRE ECHEANDÍA AND FAMILY</w:t>
                            </w:r>
                          </w:p>
                          <w:p w:rsidR="005B52B0" w:rsidRPr="004B7EB6" w:rsidRDefault="007D7F08"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PERU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7D7F08">
                        <w:rPr>
                          <w:rFonts w:asciiTheme="majorHAnsi" w:hAnsiTheme="majorHAnsi" w:cs="Arial"/>
                          <w:b/>
                          <w:bCs/>
                          <w:color w:val="0D0D0D" w:themeColor="text1" w:themeTint="F2"/>
                          <w:sz w:val="36"/>
                          <w:szCs w:val="40"/>
                        </w:rPr>
                        <w:t>59</w:t>
                      </w:r>
                      <w:r w:rsidRPr="004B7EB6">
                        <w:rPr>
                          <w:rFonts w:asciiTheme="majorHAnsi" w:hAnsiTheme="majorHAnsi" w:cs="Arial"/>
                          <w:b/>
                          <w:bCs/>
                          <w:color w:val="0D0D0D" w:themeColor="text1" w:themeTint="F2"/>
                          <w:sz w:val="36"/>
                          <w:szCs w:val="40"/>
                        </w:rPr>
                        <w:t>/</w:t>
                      </w:r>
                      <w:r w:rsidR="007D7F08">
                        <w:rPr>
                          <w:rFonts w:asciiTheme="majorHAnsi" w:hAnsiTheme="majorHAnsi" w:cs="Arial"/>
                          <w:b/>
                          <w:bCs/>
                          <w:color w:val="0D0D0D" w:themeColor="text1" w:themeTint="F2"/>
                          <w:sz w:val="36"/>
                          <w:szCs w:val="40"/>
                        </w:rPr>
                        <w:t>15</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7D7F08">
                        <w:rPr>
                          <w:rFonts w:asciiTheme="majorHAnsi" w:hAnsiTheme="majorHAnsi" w:cs="Arial"/>
                          <w:b/>
                          <w:color w:val="0D0D0D" w:themeColor="text1" w:themeTint="F2"/>
                          <w:sz w:val="36"/>
                          <w:szCs w:val="40"/>
                        </w:rPr>
                        <w:t>P 895-06</w:t>
                      </w:r>
                    </w:p>
                    <w:p w:rsidR="007D7F08" w:rsidRPr="004B7EB6" w:rsidRDefault="00450A4A" w:rsidP="007D7F08">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7D7F08" w:rsidRDefault="007D7F08" w:rsidP="004B7EB6">
                      <w:pPr>
                        <w:spacing w:line="276" w:lineRule="auto"/>
                        <w:rPr>
                          <w:rFonts w:asciiTheme="majorHAnsi" w:hAnsiTheme="majorHAnsi" w:cs="Arial"/>
                          <w:color w:val="0D0D0D" w:themeColor="text1" w:themeTint="F2"/>
                          <w:szCs w:val="22"/>
                          <w:lang w:val="es-ES_tradnl"/>
                        </w:rPr>
                      </w:pPr>
                      <w:r w:rsidRPr="007D7F08">
                        <w:rPr>
                          <w:rFonts w:asciiTheme="majorHAnsi" w:hAnsiTheme="majorHAnsi" w:cs="Arial"/>
                          <w:color w:val="0D0D0D" w:themeColor="text1" w:themeTint="F2"/>
                          <w:szCs w:val="22"/>
                          <w:lang w:val="es-ES_tradnl"/>
                        </w:rPr>
                        <w:t>ANTONIO DE LA TORRE ECHEANDÍA AND FAMILY</w:t>
                      </w:r>
                    </w:p>
                    <w:p w:rsidR="005B52B0" w:rsidRPr="004B7EB6" w:rsidRDefault="007D7F08"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PERU</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7D7F08">
                              <w:rPr>
                                <w:rFonts w:asciiTheme="minorHAnsi" w:hAnsiTheme="minorHAnsi"/>
                                <w:color w:val="FFFFFF" w:themeColor="background1"/>
                                <w:sz w:val="22"/>
                                <w:lang w:val="pt-BR"/>
                              </w:rPr>
                              <w:t>6</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Doc</w:t>
                            </w:r>
                            <w:r w:rsidR="007D7F08">
                              <w:rPr>
                                <w:rFonts w:asciiTheme="minorHAnsi" w:hAnsiTheme="minorHAnsi"/>
                                <w:color w:val="FFFFFF" w:themeColor="background1"/>
                                <w:sz w:val="22"/>
                                <w:lang w:val="pt-BR"/>
                              </w:rPr>
                              <w:t>11</w:t>
                            </w:r>
                            <w:r w:rsidRPr="004B7EB6">
                              <w:rPr>
                                <w:rFonts w:asciiTheme="minorHAnsi" w:hAnsiTheme="minorHAnsi"/>
                                <w:color w:val="FFFFFF" w:themeColor="background1"/>
                                <w:sz w:val="22"/>
                                <w:lang w:val="pt-BR"/>
                              </w:rPr>
                              <w:t xml:space="preserve"> XX</w:t>
                            </w:r>
                          </w:p>
                          <w:p w:rsidR="00627C9F" w:rsidRPr="004B7EB6" w:rsidRDefault="007D7F08" w:rsidP="002C1641">
                            <w:pPr>
                              <w:jc w:val="right"/>
                              <w:rPr>
                                <w:rFonts w:asciiTheme="minorHAnsi" w:hAnsiTheme="minorHAnsi"/>
                                <w:color w:val="FFFFFF" w:themeColor="background1"/>
                                <w:sz w:val="22"/>
                              </w:rPr>
                            </w:pPr>
                            <w:r>
                              <w:rPr>
                                <w:rFonts w:asciiTheme="minorHAnsi" w:hAnsiTheme="minorHAnsi"/>
                                <w:color w:val="FFFFFF" w:themeColor="background1"/>
                                <w:sz w:val="22"/>
                              </w:rPr>
                              <w:t>17</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October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7D7F08">
                        <w:rPr>
                          <w:rFonts w:asciiTheme="minorHAnsi" w:hAnsiTheme="minorHAnsi"/>
                          <w:color w:val="FFFFFF" w:themeColor="background1"/>
                          <w:sz w:val="22"/>
                          <w:lang w:val="pt-BR"/>
                        </w:rPr>
                        <w:t>6</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Doc</w:t>
                      </w:r>
                      <w:r w:rsidR="007D7F08">
                        <w:rPr>
                          <w:rFonts w:asciiTheme="minorHAnsi" w:hAnsiTheme="minorHAnsi"/>
                          <w:color w:val="FFFFFF" w:themeColor="background1"/>
                          <w:sz w:val="22"/>
                          <w:lang w:val="pt-BR"/>
                        </w:rPr>
                        <w:t>11</w:t>
                      </w:r>
                      <w:r w:rsidRPr="004B7EB6">
                        <w:rPr>
                          <w:rFonts w:asciiTheme="minorHAnsi" w:hAnsiTheme="minorHAnsi"/>
                          <w:color w:val="FFFFFF" w:themeColor="background1"/>
                          <w:sz w:val="22"/>
                          <w:lang w:val="pt-BR"/>
                        </w:rPr>
                        <w:t xml:space="preserve"> XX</w:t>
                      </w:r>
                    </w:p>
                    <w:p w:rsidR="00627C9F" w:rsidRPr="004B7EB6" w:rsidRDefault="007D7F08" w:rsidP="002C1641">
                      <w:pPr>
                        <w:jc w:val="right"/>
                        <w:rPr>
                          <w:rFonts w:asciiTheme="minorHAnsi" w:hAnsiTheme="minorHAnsi"/>
                          <w:color w:val="FFFFFF" w:themeColor="background1"/>
                          <w:sz w:val="22"/>
                        </w:rPr>
                      </w:pPr>
                      <w:r>
                        <w:rPr>
                          <w:rFonts w:asciiTheme="minorHAnsi" w:hAnsiTheme="minorHAnsi"/>
                          <w:color w:val="FFFFFF" w:themeColor="background1"/>
                          <w:sz w:val="22"/>
                        </w:rPr>
                        <w:t>17</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October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7D7F08">
                              <w:rPr>
                                <w:rFonts w:asciiTheme="majorHAnsi" w:hAnsiTheme="majorHAnsi"/>
                                <w:color w:val="0D0D0D" w:themeColor="text1" w:themeTint="F2"/>
                                <w:sz w:val="18"/>
                                <w:szCs w:val="20"/>
                              </w:rPr>
                              <w:t>2046</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7D7F08">
                              <w:rPr>
                                <w:rFonts w:asciiTheme="majorHAnsi" w:hAnsiTheme="majorHAnsi"/>
                                <w:color w:val="0D0D0D" w:themeColor="text1" w:themeTint="F2"/>
                                <w:sz w:val="18"/>
                                <w:szCs w:val="20"/>
                              </w:rPr>
                              <w:t>October 17, 2015</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7D7F08">
                              <w:rPr>
                                <w:rFonts w:asciiTheme="majorHAnsi" w:hAnsiTheme="majorHAnsi" w:cs="Univers"/>
                                <w:color w:val="0D0D0D" w:themeColor="text1" w:themeTint="F2"/>
                                <w:sz w:val="18"/>
                                <w:szCs w:val="20"/>
                              </w:rPr>
                              <w:t>6</w:t>
                            </w:r>
                            <w:r w:rsidR="007D7F08" w:rsidRPr="007D7F08">
                              <w:rPr>
                                <w:rFonts w:asciiTheme="majorHAnsi" w:hAnsiTheme="majorHAnsi" w:cs="Univers"/>
                                <w:color w:val="0D0D0D" w:themeColor="text1" w:themeTint="F2"/>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w:t>
                            </w:r>
                            <w:r w:rsidR="007D7F08">
                              <w:rPr>
                                <w:rFonts w:asciiTheme="majorHAnsi" w:hAnsiTheme="majorHAnsi" w:cs="Univers"/>
                                <w:color w:val="0D0D0D" w:themeColor="text1" w:themeTint="F2"/>
                                <w:sz w:val="18"/>
                                <w:szCs w:val="20"/>
                              </w:rPr>
                              <w:t xml:space="preserve">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7D7F08">
                        <w:rPr>
                          <w:rFonts w:asciiTheme="majorHAnsi" w:hAnsiTheme="majorHAnsi"/>
                          <w:color w:val="0D0D0D" w:themeColor="text1" w:themeTint="F2"/>
                          <w:sz w:val="18"/>
                          <w:szCs w:val="20"/>
                        </w:rPr>
                        <w:t>2046</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7D7F08">
                        <w:rPr>
                          <w:rFonts w:asciiTheme="majorHAnsi" w:hAnsiTheme="majorHAnsi"/>
                          <w:color w:val="0D0D0D" w:themeColor="text1" w:themeTint="F2"/>
                          <w:sz w:val="18"/>
                          <w:szCs w:val="20"/>
                        </w:rPr>
                        <w:t>October 17, 2015</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7D7F08">
                        <w:rPr>
                          <w:rFonts w:asciiTheme="majorHAnsi" w:hAnsiTheme="majorHAnsi" w:cs="Univers"/>
                          <w:color w:val="0D0D0D" w:themeColor="text1" w:themeTint="F2"/>
                          <w:sz w:val="18"/>
                          <w:szCs w:val="20"/>
                        </w:rPr>
                        <w:t>6</w:t>
                      </w:r>
                      <w:r w:rsidR="007D7F08" w:rsidRPr="007D7F08">
                        <w:rPr>
                          <w:rFonts w:asciiTheme="majorHAnsi" w:hAnsiTheme="majorHAnsi" w:cs="Univers"/>
                          <w:color w:val="0D0D0D" w:themeColor="text1" w:themeTint="F2"/>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w:t>
                      </w:r>
                      <w:r w:rsidR="007D7F08">
                        <w:rPr>
                          <w:rFonts w:asciiTheme="majorHAnsi" w:hAnsiTheme="majorHAnsi" w:cs="Univers"/>
                          <w:color w:val="0D0D0D" w:themeColor="text1" w:themeTint="F2"/>
                          <w:sz w:val="18"/>
                          <w:szCs w:val="20"/>
                        </w:rPr>
                        <w:t xml:space="preserve"> Session.</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7D7F08">
                              <w:rPr>
                                <w:rFonts w:asciiTheme="majorHAnsi" w:hAnsiTheme="majorHAnsi"/>
                                <w:color w:val="595959" w:themeColor="text1" w:themeTint="A6"/>
                                <w:sz w:val="18"/>
                              </w:rPr>
                              <w:t>IACHR, Report No. 59/15</w:t>
                            </w:r>
                            <w:r w:rsidRPr="003C32BC">
                              <w:rPr>
                                <w:rFonts w:asciiTheme="majorHAnsi" w:hAnsiTheme="majorHAnsi"/>
                                <w:color w:val="595959" w:themeColor="text1" w:themeTint="A6"/>
                                <w:sz w:val="18"/>
                              </w:rPr>
                              <w:t xml:space="preserve">, </w:t>
                            </w:r>
                            <w:r w:rsidR="007D7F08">
                              <w:rPr>
                                <w:rFonts w:asciiTheme="majorHAnsi" w:hAnsiTheme="majorHAnsi"/>
                                <w:color w:val="595959" w:themeColor="text1" w:themeTint="A6"/>
                                <w:sz w:val="18"/>
                              </w:rPr>
                              <w:t>Petition P895-06</w:t>
                            </w:r>
                            <w:r w:rsidRPr="003C32BC">
                              <w:rPr>
                                <w:rFonts w:asciiTheme="majorHAnsi" w:hAnsiTheme="majorHAnsi"/>
                                <w:color w:val="595959" w:themeColor="text1" w:themeTint="A6"/>
                                <w:sz w:val="18"/>
                              </w:rPr>
                              <w:t xml:space="preserve">. </w:t>
                            </w:r>
                            <w:r w:rsidRPr="007D7F08">
                              <w:rPr>
                                <w:rFonts w:asciiTheme="majorHAnsi" w:hAnsiTheme="majorHAnsi"/>
                                <w:color w:val="595959" w:themeColor="text1" w:themeTint="A6"/>
                                <w:sz w:val="18"/>
                                <w:lang w:val="es-ES"/>
                              </w:rPr>
                              <w:t>[Admi</w:t>
                            </w:r>
                            <w:r w:rsidR="009104B4" w:rsidRPr="007D7F08">
                              <w:rPr>
                                <w:rFonts w:asciiTheme="majorHAnsi" w:hAnsiTheme="majorHAnsi"/>
                                <w:color w:val="595959" w:themeColor="text1" w:themeTint="A6"/>
                                <w:sz w:val="18"/>
                                <w:lang w:val="es-ES"/>
                              </w:rPr>
                              <w:t>s</w:t>
                            </w:r>
                            <w:r w:rsidRPr="007D7F08">
                              <w:rPr>
                                <w:rFonts w:asciiTheme="majorHAnsi" w:hAnsiTheme="majorHAnsi"/>
                                <w:color w:val="595959" w:themeColor="text1" w:themeTint="A6"/>
                                <w:sz w:val="18"/>
                                <w:lang w:val="es-ES"/>
                              </w:rPr>
                              <w:t>sibility</w:t>
                            </w:r>
                            <w:r w:rsidR="007D7F08" w:rsidRPr="007D7F08">
                              <w:rPr>
                                <w:lang w:val="es-ES"/>
                              </w:rPr>
                              <w:t xml:space="preserve"> </w:t>
                            </w:r>
                            <w:r w:rsidR="007D7F08" w:rsidRPr="007D7F08">
                              <w:rPr>
                                <w:rFonts w:asciiTheme="majorHAnsi" w:hAnsiTheme="majorHAnsi"/>
                                <w:color w:val="595959" w:themeColor="text1" w:themeTint="A6"/>
                                <w:sz w:val="18"/>
                                <w:lang w:val="es-ES"/>
                              </w:rPr>
                              <w:t>Antonio De La Torre Echeandía and Family</w:t>
                            </w:r>
                            <w:r w:rsidRPr="007D7F08">
                              <w:rPr>
                                <w:rFonts w:asciiTheme="majorHAnsi" w:hAnsiTheme="majorHAnsi"/>
                                <w:color w:val="595959" w:themeColor="text1" w:themeTint="A6"/>
                                <w:sz w:val="18"/>
                                <w:lang w:val="es-ES"/>
                              </w:rPr>
                              <w:t xml:space="preserve">. </w:t>
                            </w:r>
                            <w:r w:rsidR="007D7F08">
                              <w:rPr>
                                <w:rFonts w:asciiTheme="majorHAnsi" w:hAnsiTheme="majorHAnsi"/>
                                <w:color w:val="595959" w:themeColor="text1" w:themeTint="A6"/>
                                <w:sz w:val="18"/>
                              </w:rPr>
                              <w:t>Peru. October 17,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7D7F08">
                        <w:rPr>
                          <w:rFonts w:asciiTheme="majorHAnsi" w:hAnsiTheme="majorHAnsi"/>
                          <w:color w:val="595959" w:themeColor="text1" w:themeTint="A6"/>
                          <w:sz w:val="18"/>
                        </w:rPr>
                        <w:t>IACHR, Report No. 59/15</w:t>
                      </w:r>
                      <w:r w:rsidRPr="003C32BC">
                        <w:rPr>
                          <w:rFonts w:asciiTheme="majorHAnsi" w:hAnsiTheme="majorHAnsi"/>
                          <w:color w:val="595959" w:themeColor="text1" w:themeTint="A6"/>
                          <w:sz w:val="18"/>
                        </w:rPr>
                        <w:t xml:space="preserve">, </w:t>
                      </w:r>
                      <w:r w:rsidR="007D7F08">
                        <w:rPr>
                          <w:rFonts w:asciiTheme="majorHAnsi" w:hAnsiTheme="majorHAnsi"/>
                          <w:color w:val="595959" w:themeColor="text1" w:themeTint="A6"/>
                          <w:sz w:val="18"/>
                        </w:rPr>
                        <w:t>Petition P895-06</w:t>
                      </w:r>
                      <w:r w:rsidRPr="003C32BC">
                        <w:rPr>
                          <w:rFonts w:asciiTheme="majorHAnsi" w:hAnsiTheme="majorHAnsi"/>
                          <w:color w:val="595959" w:themeColor="text1" w:themeTint="A6"/>
                          <w:sz w:val="18"/>
                        </w:rPr>
                        <w:t xml:space="preserve">. </w:t>
                      </w:r>
                      <w:r w:rsidRPr="007D7F08">
                        <w:rPr>
                          <w:rFonts w:asciiTheme="majorHAnsi" w:hAnsiTheme="majorHAnsi"/>
                          <w:color w:val="595959" w:themeColor="text1" w:themeTint="A6"/>
                          <w:sz w:val="18"/>
                          <w:lang w:val="es-ES"/>
                        </w:rPr>
                        <w:t>[Admi</w:t>
                      </w:r>
                      <w:r w:rsidR="009104B4" w:rsidRPr="007D7F08">
                        <w:rPr>
                          <w:rFonts w:asciiTheme="majorHAnsi" w:hAnsiTheme="majorHAnsi"/>
                          <w:color w:val="595959" w:themeColor="text1" w:themeTint="A6"/>
                          <w:sz w:val="18"/>
                          <w:lang w:val="es-ES"/>
                        </w:rPr>
                        <w:t>s</w:t>
                      </w:r>
                      <w:r w:rsidRPr="007D7F08">
                        <w:rPr>
                          <w:rFonts w:asciiTheme="majorHAnsi" w:hAnsiTheme="majorHAnsi"/>
                          <w:color w:val="595959" w:themeColor="text1" w:themeTint="A6"/>
                          <w:sz w:val="18"/>
                          <w:lang w:val="es-ES"/>
                        </w:rPr>
                        <w:t>sibility</w:t>
                      </w:r>
                      <w:r w:rsidR="007D7F08" w:rsidRPr="007D7F08">
                        <w:rPr>
                          <w:lang w:val="es-ES"/>
                        </w:rPr>
                        <w:t xml:space="preserve"> </w:t>
                      </w:r>
                      <w:r w:rsidR="007D7F08" w:rsidRPr="007D7F08">
                        <w:rPr>
                          <w:rFonts w:asciiTheme="majorHAnsi" w:hAnsiTheme="majorHAnsi"/>
                          <w:color w:val="595959" w:themeColor="text1" w:themeTint="A6"/>
                          <w:sz w:val="18"/>
                          <w:lang w:val="es-ES"/>
                        </w:rPr>
                        <w:t>Antonio De La Torre Echeandía and Family</w:t>
                      </w:r>
                      <w:r w:rsidRPr="007D7F08">
                        <w:rPr>
                          <w:rFonts w:asciiTheme="majorHAnsi" w:hAnsiTheme="majorHAnsi"/>
                          <w:color w:val="595959" w:themeColor="text1" w:themeTint="A6"/>
                          <w:sz w:val="18"/>
                          <w:lang w:val="es-ES"/>
                        </w:rPr>
                        <w:t xml:space="preserve">. </w:t>
                      </w:r>
                      <w:r w:rsidR="007D7F08">
                        <w:rPr>
                          <w:rFonts w:asciiTheme="majorHAnsi" w:hAnsiTheme="majorHAnsi"/>
                          <w:color w:val="595959" w:themeColor="text1" w:themeTint="A6"/>
                          <w:sz w:val="18"/>
                        </w:rPr>
                        <w:t>Peru. October 17, 2015.</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002A4" w:rsidRPr="00F02416" w:rsidRDefault="007002A4" w:rsidP="007002A4">
      <w:pPr>
        <w:pStyle w:val="TextBody"/>
        <w:spacing w:before="0" w:after="0"/>
        <w:jc w:val="center"/>
        <w:rPr>
          <w:rFonts w:ascii="Cambria" w:hAnsi="Cambria"/>
          <w:b/>
          <w:szCs w:val="20"/>
        </w:rPr>
      </w:pPr>
      <w:r w:rsidRPr="00F02416">
        <w:rPr>
          <w:rFonts w:ascii="Cambria" w:hAnsi="Cambria"/>
          <w:b/>
          <w:szCs w:val="20"/>
        </w:rPr>
        <w:lastRenderedPageBreak/>
        <w:t xml:space="preserve">REPORT No. </w:t>
      </w:r>
      <w:r>
        <w:rPr>
          <w:rFonts w:ascii="Cambria" w:hAnsi="Cambria"/>
          <w:b/>
          <w:szCs w:val="20"/>
        </w:rPr>
        <w:t>59</w:t>
      </w:r>
      <w:r w:rsidRPr="00F02416">
        <w:rPr>
          <w:rFonts w:ascii="Cambria" w:hAnsi="Cambria"/>
          <w:b/>
          <w:szCs w:val="20"/>
        </w:rPr>
        <w:t xml:space="preserve">/15 </w:t>
      </w:r>
    </w:p>
    <w:p w:rsidR="007002A4" w:rsidRPr="00F02416" w:rsidRDefault="007002A4" w:rsidP="007002A4">
      <w:pPr>
        <w:pStyle w:val="TextBody"/>
        <w:spacing w:before="0" w:after="0"/>
        <w:jc w:val="center"/>
        <w:rPr>
          <w:rFonts w:ascii="Cambria" w:hAnsi="Cambria"/>
          <w:b/>
          <w:szCs w:val="20"/>
        </w:rPr>
      </w:pPr>
      <w:r w:rsidRPr="00F02416">
        <w:rPr>
          <w:rFonts w:ascii="Cambria" w:hAnsi="Cambria"/>
          <w:b/>
          <w:szCs w:val="20"/>
        </w:rPr>
        <w:t xml:space="preserve">PETITION P-895-06 </w:t>
      </w:r>
    </w:p>
    <w:p w:rsidR="007002A4" w:rsidRPr="005A70F8" w:rsidRDefault="007002A4" w:rsidP="007002A4">
      <w:pPr>
        <w:pStyle w:val="TextBody"/>
        <w:spacing w:before="0" w:after="0"/>
        <w:jc w:val="center"/>
        <w:rPr>
          <w:rFonts w:ascii="Cambria" w:hAnsi="Cambria"/>
          <w:szCs w:val="20"/>
          <w:lang w:val="es-ES"/>
        </w:rPr>
      </w:pPr>
      <w:r w:rsidRPr="005A70F8">
        <w:rPr>
          <w:rFonts w:ascii="Cambria" w:hAnsi="Cambria"/>
          <w:szCs w:val="20"/>
          <w:lang w:val="es-ES"/>
        </w:rPr>
        <w:t>ADMISSIBILITY</w:t>
      </w:r>
    </w:p>
    <w:p w:rsidR="007002A4" w:rsidRPr="005A70F8" w:rsidRDefault="007002A4" w:rsidP="007002A4">
      <w:pPr>
        <w:pStyle w:val="TextBody"/>
        <w:spacing w:before="0" w:after="0"/>
        <w:jc w:val="center"/>
        <w:rPr>
          <w:rFonts w:ascii="Cambria" w:hAnsi="Cambria"/>
          <w:szCs w:val="20"/>
          <w:lang w:val="es-ES"/>
        </w:rPr>
      </w:pPr>
      <w:r w:rsidRPr="005A70F8">
        <w:rPr>
          <w:rFonts w:ascii="Cambria" w:hAnsi="Cambria"/>
          <w:szCs w:val="20"/>
          <w:lang w:val="es-ES"/>
        </w:rPr>
        <w:t>ANTONIO DE LA TORRE ECHEANDÍA AND FAMILY</w:t>
      </w:r>
    </w:p>
    <w:p w:rsidR="007002A4" w:rsidRPr="00F02416" w:rsidRDefault="007002A4" w:rsidP="007002A4">
      <w:pPr>
        <w:pStyle w:val="TextBody"/>
        <w:spacing w:before="0" w:after="0"/>
        <w:jc w:val="center"/>
        <w:rPr>
          <w:rFonts w:ascii="Cambria" w:hAnsi="Cambria"/>
          <w:bCs/>
          <w:szCs w:val="20"/>
        </w:rPr>
      </w:pPr>
      <w:r w:rsidRPr="00F02416">
        <w:rPr>
          <w:rFonts w:ascii="Cambria" w:hAnsi="Cambria"/>
          <w:bCs/>
          <w:szCs w:val="20"/>
        </w:rPr>
        <w:t>PERU</w:t>
      </w:r>
    </w:p>
    <w:p w:rsidR="007002A4" w:rsidRDefault="007002A4" w:rsidP="007002A4">
      <w:pPr>
        <w:pStyle w:val="TextBody"/>
        <w:spacing w:before="0" w:after="0"/>
        <w:jc w:val="center"/>
        <w:rPr>
          <w:rFonts w:ascii="Cambria" w:hAnsi="Cambria"/>
          <w:szCs w:val="20"/>
        </w:rPr>
      </w:pPr>
      <w:r>
        <w:rPr>
          <w:rFonts w:ascii="Cambria" w:hAnsi="Cambria"/>
          <w:szCs w:val="20"/>
        </w:rPr>
        <w:t>OCTOBER</w:t>
      </w:r>
      <w:r w:rsidRPr="00F02416">
        <w:rPr>
          <w:rFonts w:ascii="Cambria" w:hAnsi="Cambria"/>
          <w:szCs w:val="20"/>
        </w:rPr>
        <w:t xml:space="preserve"> </w:t>
      </w:r>
      <w:r>
        <w:rPr>
          <w:rFonts w:ascii="Cambria" w:hAnsi="Cambria"/>
          <w:szCs w:val="20"/>
        </w:rPr>
        <w:t>17</w:t>
      </w:r>
      <w:r w:rsidRPr="00F02416">
        <w:rPr>
          <w:rFonts w:ascii="Cambria" w:hAnsi="Cambria"/>
          <w:szCs w:val="20"/>
        </w:rPr>
        <w:t>, 2015</w:t>
      </w:r>
    </w:p>
    <w:p w:rsidR="007002A4" w:rsidRDefault="007002A4" w:rsidP="007002A4">
      <w:pPr>
        <w:pStyle w:val="TextBody"/>
        <w:spacing w:before="0" w:after="0"/>
        <w:jc w:val="center"/>
        <w:rPr>
          <w:rFonts w:ascii="Cambria" w:hAnsi="Cambria"/>
          <w:szCs w:val="20"/>
        </w:rPr>
      </w:pPr>
    </w:p>
    <w:p w:rsidR="007002A4" w:rsidRPr="00F02416" w:rsidRDefault="007002A4" w:rsidP="007002A4">
      <w:pPr>
        <w:pStyle w:val="TextBody"/>
        <w:spacing w:before="0" w:after="0"/>
        <w:jc w:val="center"/>
        <w:rPr>
          <w:rFonts w:ascii="Cambria" w:hAnsi="Cambria"/>
          <w:szCs w:val="20"/>
        </w:rPr>
      </w:pPr>
    </w:p>
    <w:p w:rsidR="007002A4" w:rsidRPr="00F02416" w:rsidRDefault="007002A4" w:rsidP="007002A4">
      <w:pPr>
        <w:pStyle w:val="Heading1"/>
        <w:keepLines w:val="0"/>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0"/>
        <w:ind w:firstLine="720"/>
        <w:jc w:val="both"/>
        <w:rPr>
          <w:color w:val="auto"/>
          <w:sz w:val="20"/>
          <w:szCs w:val="20"/>
        </w:rPr>
      </w:pPr>
      <w:r w:rsidRPr="00F02416">
        <w:rPr>
          <w:color w:val="auto"/>
          <w:sz w:val="20"/>
          <w:szCs w:val="20"/>
        </w:rPr>
        <w:t>I. SUMMARY</w:t>
      </w:r>
    </w:p>
    <w:p w:rsidR="007002A4" w:rsidRPr="00F02416" w:rsidRDefault="007002A4" w:rsidP="007002A4">
      <w:pPr>
        <w:ind w:firstLine="720"/>
        <w:jc w:val="both"/>
      </w:pPr>
    </w:p>
    <w:p w:rsidR="007002A4" w:rsidRPr="00F02416" w:rsidRDefault="007002A4" w:rsidP="007002A4">
      <w:pPr>
        <w:pStyle w:val="Firstparagraph"/>
        <w:numPr>
          <w:ilvl w:val="0"/>
          <w:numId w:val="106"/>
        </w:numPr>
        <w:spacing w:before="0" w:after="0"/>
        <w:ind w:left="0" w:firstLine="720"/>
        <w:rPr>
          <w:rFonts w:ascii="Cambria" w:hAnsi="Cambria"/>
          <w:szCs w:val="20"/>
        </w:rPr>
      </w:pPr>
      <w:r>
        <w:rPr>
          <w:rFonts w:ascii="Cambria" w:hAnsi="Cambria"/>
          <w:szCs w:val="20"/>
        </w:rPr>
        <w:t xml:space="preserve">On August </w:t>
      </w:r>
      <w:r w:rsidRPr="00F02416">
        <w:rPr>
          <w:rFonts w:ascii="Cambria" w:hAnsi="Cambria"/>
          <w:szCs w:val="20"/>
        </w:rPr>
        <w:t>21</w:t>
      </w:r>
      <w:r>
        <w:rPr>
          <w:rFonts w:ascii="Cambria" w:hAnsi="Cambria"/>
          <w:szCs w:val="20"/>
        </w:rPr>
        <w:t>,</w:t>
      </w:r>
      <w:r w:rsidRPr="00F02416">
        <w:rPr>
          <w:rFonts w:ascii="Cambria" w:hAnsi="Cambria"/>
          <w:szCs w:val="20"/>
        </w:rPr>
        <w:t xml:space="preserve"> 2006, </w:t>
      </w:r>
      <w:r>
        <w:rPr>
          <w:rFonts w:ascii="Cambria" w:hAnsi="Cambria"/>
          <w:szCs w:val="20"/>
        </w:rPr>
        <w:t>the Inter-American Commission on Human Rights</w:t>
      </w:r>
      <w:r w:rsidRPr="00F02416">
        <w:rPr>
          <w:rFonts w:ascii="Cambria" w:hAnsi="Cambria"/>
          <w:szCs w:val="20"/>
        </w:rPr>
        <w:t xml:space="preserve"> (hereinafter “the Commission” or the “IACHR”) </w:t>
      </w:r>
      <w:r w:rsidRPr="00EB654A">
        <w:rPr>
          <w:rFonts w:ascii="Cambria" w:hAnsi="Cambria"/>
          <w:szCs w:val="20"/>
        </w:rPr>
        <w:t xml:space="preserve">received a petition from </w:t>
      </w:r>
      <w:r w:rsidRPr="00F02416">
        <w:rPr>
          <w:rFonts w:ascii="Cambria" w:hAnsi="Cambria"/>
          <w:szCs w:val="20"/>
        </w:rPr>
        <w:t xml:space="preserve">Dina Ramírez Ramírez </w:t>
      </w:r>
      <w:r>
        <w:rPr>
          <w:rFonts w:ascii="Cambria" w:hAnsi="Cambria"/>
          <w:szCs w:val="20"/>
        </w:rPr>
        <w:t>and the</w:t>
      </w:r>
      <w:r w:rsidRPr="00F02416">
        <w:rPr>
          <w:rFonts w:ascii="Cambria" w:hAnsi="Cambria"/>
          <w:szCs w:val="20"/>
        </w:rPr>
        <w:t xml:space="preserve"> </w:t>
      </w:r>
      <w:r w:rsidRPr="00247A43">
        <w:rPr>
          <w:rFonts w:ascii="Cambria" w:hAnsi="Cambria"/>
          <w:i/>
          <w:szCs w:val="20"/>
        </w:rPr>
        <w:t>Instituto de Prensa y Sociedad</w:t>
      </w:r>
      <w:r w:rsidRPr="00F02416">
        <w:rPr>
          <w:rFonts w:ascii="Cambria" w:hAnsi="Cambria"/>
          <w:szCs w:val="20"/>
        </w:rPr>
        <w:t xml:space="preserve"> (</w:t>
      </w:r>
      <w:r>
        <w:rPr>
          <w:rFonts w:ascii="Cambria" w:hAnsi="Cambria"/>
          <w:szCs w:val="20"/>
        </w:rPr>
        <w:t>hereinafter</w:t>
      </w:r>
      <w:r w:rsidRPr="00F02416">
        <w:rPr>
          <w:rFonts w:ascii="Cambria" w:hAnsi="Cambria"/>
          <w:szCs w:val="20"/>
        </w:rPr>
        <w:t xml:space="preserve"> IPyS) </w:t>
      </w:r>
      <w:r>
        <w:rPr>
          <w:rFonts w:ascii="Cambria" w:hAnsi="Cambria"/>
          <w:szCs w:val="20"/>
        </w:rPr>
        <w:t>of</w:t>
      </w:r>
      <w:r w:rsidRPr="00F02416">
        <w:rPr>
          <w:rFonts w:ascii="Cambria" w:hAnsi="Cambria"/>
          <w:szCs w:val="20"/>
        </w:rPr>
        <w:t xml:space="preserve"> Peru, </w:t>
      </w:r>
      <w:r>
        <w:rPr>
          <w:rFonts w:ascii="Cambria" w:hAnsi="Cambria"/>
          <w:szCs w:val="20"/>
        </w:rPr>
        <w:t>alleging the</w:t>
      </w:r>
      <w:r w:rsidRPr="00F02416">
        <w:rPr>
          <w:rFonts w:ascii="Cambria" w:hAnsi="Cambria"/>
          <w:szCs w:val="20"/>
        </w:rPr>
        <w:t xml:space="preserve"> </w:t>
      </w:r>
      <w:r>
        <w:rPr>
          <w:rFonts w:ascii="Cambria" w:hAnsi="Cambria"/>
          <w:szCs w:val="20"/>
        </w:rPr>
        <w:t>international responsibility</w:t>
      </w:r>
      <w:r w:rsidRPr="00F02416">
        <w:rPr>
          <w:rFonts w:ascii="Cambria" w:hAnsi="Cambria"/>
          <w:szCs w:val="20"/>
        </w:rPr>
        <w:t xml:space="preserve"> </w:t>
      </w:r>
      <w:r>
        <w:rPr>
          <w:rFonts w:ascii="Cambria" w:hAnsi="Cambria"/>
          <w:szCs w:val="20"/>
        </w:rPr>
        <w:t>of the</w:t>
      </w:r>
      <w:r w:rsidRPr="00F02416">
        <w:rPr>
          <w:rFonts w:ascii="Cambria" w:hAnsi="Cambria"/>
          <w:szCs w:val="20"/>
        </w:rPr>
        <w:t xml:space="preserve"> </w:t>
      </w:r>
      <w:r>
        <w:rPr>
          <w:rFonts w:ascii="Cambria" w:hAnsi="Cambria"/>
          <w:szCs w:val="20"/>
        </w:rPr>
        <w:t>State of Peru</w:t>
      </w:r>
      <w:r w:rsidRPr="00F02416">
        <w:rPr>
          <w:rFonts w:ascii="Cambria" w:hAnsi="Cambria"/>
          <w:szCs w:val="20"/>
        </w:rPr>
        <w:t xml:space="preserve"> (</w:t>
      </w:r>
      <w:r>
        <w:rPr>
          <w:rFonts w:ascii="Cambria" w:hAnsi="Cambria"/>
          <w:szCs w:val="20"/>
        </w:rPr>
        <w:t>hereinafter</w:t>
      </w:r>
      <w:r w:rsidRPr="00F02416">
        <w:rPr>
          <w:rFonts w:ascii="Cambria" w:hAnsi="Cambria"/>
          <w:szCs w:val="20"/>
        </w:rPr>
        <w:t xml:space="preserve"> "</w:t>
      </w:r>
      <w:r>
        <w:rPr>
          <w:rFonts w:ascii="Cambria" w:hAnsi="Cambria"/>
          <w:szCs w:val="20"/>
        </w:rPr>
        <w:t>the State</w:t>
      </w:r>
      <w:r w:rsidRPr="00F02416">
        <w:rPr>
          <w:rFonts w:ascii="Cambria" w:hAnsi="Cambria"/>
          <w:szCs w:val="20"/>
        </w:rPr>
        <w:t>" o</w:t>
      </w:r>
      <w:r>
        <w:rPr>
          <w:rFonts w:ascii="Cambria" w:hAnsi="Cambria"/>
          <w:szCs w:val="20"/>
        </w:rPr>
        <w:t>r</w:t>
      </w:r>
      <w:r w:rsidRPr="00F02416">
        <w:rPr>
          <w:rFonts w:ascii="Cambria" w:hAnsi="Cambria"/>
          <w:szCs w:val="20"/>
        </w:rPr>
        <w:t xml:space="preserve"> "Peru" o</w:t>
      </w:r>
      <w:r>
        <w:rPr>
          <w:rFonts w:ascii="Cambria" w:hAnsi="Cambria"/>
          <w:szCs w:val="20"/>
        </w:rPr>
        <w:t>r</w:t>
      </w:r>
      <w:r w:rsidRPr="00F02416">
        <w:rPr>
          <w:rFonts w:ascii="Cambria" w:hAnsi="Cambria"/>
          <w:szCs w:val="20"/>
        </w:rPr>
        <w:t xml:space="preserve"> "</w:t>
      </w:r>
      <w:r>
        <w:rPr>
          <w:rFonts w:ascii="Cambria" w:hAnsi="Cambria"/>
          <w:szCs w:val="20"/>
        </w:rPr>
        <w:t>Peruvian State</w:t>
      </w:r>
      <w:r w:rsidRPr="00F02416">
        <w:rPr>
          <w:rFonts w:ascii="Cambria" w:hAnsi="Cambria"/>
          <w:szCs w:val="20"/>
        </w:rPr>
        <w:t xml:space="preserve">") </w:t>
      </w:r>
      <w:r>
        <w:rPr>
          <w:rFonts w:ascii="Cambria" w:hAnsi="Cambria"/>
          <w:szCs w:val="20"/>
        </w:rPr>
        <w:t xml:space="preserve">for the violation of rights enshrined in </w:t>
      </w:r>
      <w:r w:rsidRPr="00247A43">
        <w:rPr>
          <w:rFonts w:ascii="Cambria" w:hAnsi="Cambria"/>
          <w:szCs w:val="20"/>
        </w:rPr>
        <w:t>the American Convention on Human Rights (hereinafter the “American Convention” or the “Convention</w:t>
      </w:r>
      <w:r>
        <w:rPr>
          <w:rFonts w:ascii="Cambria" w:hAnsi="Cambria"/>
          <w:szCs w:val="20"/>
        </w:rPr>
        <w:t>”)</w:t>
      </w:r>
      <w:r w:rsidRPr="00F02416">
        <w:rPr>
          <w:rFonts w:ascii="Cambria" w:hAnsi="Cambria"/>
          <w:szCs w:val="20"/>
        </w:rPr>
        <w:t xml:space="preserve">, </w:t>
      </w:r>
      <w:r>
        <w:rPr>
          <w:rFonts w:ascii="Cambria" w:hAnsi="Cambria"/>
          <w:szCs w:val="20"/>
        </w:rPr>
        <w:t>as a result of the murder of journalist</w:t>
      </w:r>
      <w:r w:rsidRPr="00F02416">
        <w:rPr>
          <w:rFonts w:ascii="Cambria" w:hAnsi="Cambria"/>
          <w:szCs w:val="20"/>
        </w:rPr>
        <w:t xml:space="preserve"> Antonio de la Torre Echeandía </w:t>
      </w:r>
      <w:r>
        <w:rPr>
          <w:rFonts w:ascii="Cambria" w:hAnsi="Cambria"/>
          <w:szCs w:val="20"/>
        </w:rPr>
        <w:t>and the harassment, threats, and attacks against his family.</w:t>
      </w:r>
      <w:r w:rsidRPr="00F02416">
        <w:rPr>
          <w:rFonts w:ascii="Cambria" w:hAnsi="Cambria"/>
          <w:szCs w:val="20"/>
        </w:rPr>
        <w:t xml:space="preserve"> </w:t>
      </w:r>
    </w:p>
    <w:p w:rsidR="007002A4" w:rsidRPr="00F02416" w:rsidRDefault="007002A4" w:rsidP="007002A4">
      <w:pPr>
        <w:pStyle w:val="TextBody"/>
        <w:spacing w:before="0" w:after="0"/>
        <w:ind w:firstLine="720"/>
      </w:pPr>
    </w:p>
    <w:p w:rsidR="007002A4" w:rsidRPr="00F02416" w:rsidRDefault="007002A4" w:rsidP="007002A4">
      <w:pPr>
        <w:pStyle w:val="Firstparagraph"/>
        <w:numPr>
          <w:ilvl w:val="0"/>
          <w:numId w:val="106"/>
        </w:numPr>
        <w:spacing w:before="0" w:after="0"/>
        <w:ind w:left="0" w:firstLine="720"/>
        <w:rPr>
          <w:rFonts w:ascii="Cambria" w:hAnsi="Cambria"/>
          <w:szCs w:val="20"/>
        </w:rPr>
      </w:pPr>
      <w:r>
        <w:rPr>
          <w:rFonts w:ascii="Cambria" w:hAnsi="Cambria"/>
          <w:szCs w:val="20"/>
        </w:rPr>
        <w:t>The petition</w:t>
      </w:r>
      <w:r w:rsidRPr="00F02416">
        <w:rPr>
          <w:rFonts w:ascii="Cambria" w:hAnsi="Cambria"/>
          <w:szCs w:val="20"/>
        </w:rPr>
        <w:t xml:space="preserve"> </w:t>
      </w:r>
      <w:r>
        <w:rPr>
          <w:rFonts w:ascii="Cambria" w:hAnsi="Cambria"/>
          <w:szCs w:val="20"/>
        </w:rPr>
        <w:t>concerns</w:t>
      </w:r>
      <w:r w:rsidRPr="00F02416">
        <w:rPr>
          <w:rFonts w:ascii="Cambria" w:hAnsi="Cambria"/>
          <w:szCs w:val="20"/>
        </w:rPr>
        <w:t xml:space="preserve"> </w:t>
      </w:r>
      <w:r>
        <w:rPr>
          <w:rFonts w:ascii="Cambria" w:hAnsi="Cambria"/>
          <w:szCs w:val="20"/>
        </w:rPr>
        <w:t>the February 14, 2004 murder of journalist Antonio</w:t>
      </w:r>
      <w:r w:rsidRPr="00F02416">
        <w:rPr>
          <w:rFonts w:ascii="Cambria" w:hAnsi="Cambria"/>
          <w:szCs w:val="20"/>
        </w:rPr>
        <w:t xml:space="preserve"> De la Torre Echeandía</w:t>
      </w:r>
      <w:r>
        <w:rPr>
          <w:rFonts w:ascii="Cambria" w:hAnsi="Cambria"/>
          <w:szCs w:val="20"/>
        </w:rPr>
        <w:t xml:space="preserve"> in </w:t>
      </w:r>
      <w:r w:rsidRPr="001E260A">
        <w:rPr>
          <w:rFonts w:ascii="Cambria" w:hAnsi="Cambria"/>
          <w:szCs w:val="20"/>
        </w:rPr>
        <w:t>the city of Yungay,</w:t>
      </w:r>
      <w:r w:rsidRPr="00F02416">
        <w:rPr>
          <w:rFonts w:ascii="Cambria" w:hAnsi="Cambria"/>
          <w:szCs w:val="20"/>
        </w:rPr>
        <w:t xml:space="preserve"> </w:t>
      </w:r>
      <w:r>
        <w:rPr>
          <w:rFonts w:ascii="Cambria" w:hAnsi="Cambria"/>
          <w:szCs w:val="20"/>
        </w:rPr>
        <w:t xml:space="preserve">which was allegedly preceded by </w:t>
      </w:r>
      <w:r w:rsidRPr="00300F0B">
        <w:rPr>
          <w:rFonts w:ascii="Cambria" w:hAnsi="Cambria"/>
          <w:szCs w:val="20"/>
        </w:rPr>
        <w:t>assaults</w:t>
      </w:r>
      <w:r>
        <w:rPr>
          <w:rFonts w:ascii="Cambria" w:hAnsi="Cambria"/>
          <w:szCs w:val="20"/>
        </w:rPr>
        <w:t xml:space="preserve"> and harassment against him and members of his family</w:t>
      </w:r>
      <w:r w:rsidRPr="00F02416">
        <w:rPr>
          <w:rFonts w:ascii="Cambria" w:hAnsi="Cambria"/>
          <w:szCs w:val="20"/>
        </w:rPr>
        <w:t xml:space="preserve">. </w:t>
      </w:r>
      <w:r>
        <w:rPr>
          <w:rFonts w:ascii="Cambria" w:hAnsi="Cambria"/>
          <w:szCs w:val="20"/>
        </w:rPr>
        <w:t>The petitioners</w:t>
      </w:r>
      <w:r w:rsidRPr="00F02416">
        <w:rPr>
          <w:rFonts w:ascii="Cambria" w:hAnsi="Cambria"/>
          <w:szCs w:val="20"/>
        </w:rPr>
        <w:t xml:space="preserve"> </w:t>
      </w:r>
      <w:r>
        <w:rPr>
          <w:rFonts w:ascii="Cambria" w:hAnsi="Cambria"/>
          <w:szCs w:val="20"/>
        </w:rPr>
        <w:t>additionally maintain that the acts of</w:t>
      </w:r>
      <w:r w:rsidRPr="00F02416">
        <w:rPr>
          <w:rFonts w:ascii="Cambria" w:hAnsi="Cambria"/>
          <w:szCs w:val="20"/>
        </w:rPr>
        <w:t xml:space="preserve"> </w:t>
      </w:r>
      <w:r>
        <w:rPr>
          <w:rFonts w:ascii="Cambria" w:hAnsi="Cambria"/>
          <w:szCs w:val="20"/>
        </w:rPr>
        <w:t>harassment</w:t>
      </w:r>
      <w:r w:rsidRPr="00F02416">
        <w:rPr>
          <w:rFonts w:ascii="Cambria" w:hAnsi="Cambria"/>
          <w:szCs w:val="20"/>
        </w:rPr>
        <w:t xml:space="preserve"> </w:t>
      </w:r>
      <w:r>
        <w:rPr>
          <w:rFonts w:ascii="Cambria" w:hAnsi="Cambria"/>
          <w:szCs w:val="20"/>
        </w:rPr>
        <w:t>against the alleged victim’s relatives continued after his murder, and throughout the criminal case against</w:t>
      </w:r>
      <w:r w:rsidRPr="00F02416">
        <w:rPr>
          <w:rFonts w:ascii="Cambria" w:hAnsi="Cambria"/>
          <w:szCs w:val="20"/>
        </w:rPr>
        <w:t xml:space="preserve"> </w:t>
      </w:r>
      <w:r>
        <w:rPr>
          <w:rFonts w:ascii="Cambria" w:hAnsi="Cambria"/>
          <w:szCs w:val="20"/>
        </w:rPr>
        <w:t>the mayor of the city of Yungay</w:t>
      </w:r>
      <w:r w:rsidRPr="00F02416">
        <w:rPr>
          <w:rFonts w:ascii="Cambria" w:hAnsi="Cambria"/>
          <w:szCs w:val="20"/>
        </w:rPr>
        <w:t xml:space="preserve"> </w:t>
      </w:r>
      <w:r>
        <w:rPr>
          <w:rFonts w:ascii="Cambria" w:hAnsi="Cambria"/>
          <w:szCs w:val="20"/>
        </w:rPr>
        <w:t xml:space="preserve">and </w:t>
      </w:r>
      <w:r w:rsidRPr="00300F0B">
        <w:rPr>
          <w:rFonts w:ascii="Cambria" w:hAnsi="Cambria"/>
          <w:szCs w:val="20"/>
        </w:rPr>
        <w:t>relatives and employees of his</w:t>
      </w:r>
      <w:r w:rsidRPr="00F02416">
        <w:rPr>
          <w:rFonts w:ascii="Cambria" w:hAnsi="Cambria"/>
          <w:szCs w:val="20"/>
        </w:rPr>
        <w:t xml:space="preserve">. </w:t>
      </w:r>
      <w:r>
        <w:rPr>
          <w:rFonts w:ascii="Cambria" w:hAnsi="Cambria"/>
          <w:szCs w:val="20"/>
        </w:rPr>
        <w:t>In view of these facts</w:t>
      </w:r>
      <w:r w:rsidRPr="00F02416">
        <w:rPr>
          <w:rFonts w:ascii="Cambria" w:hAnsi="Cambria"/>
          <w:szCs w:val="20"/>
        </w:rPr>
        <w:t xml:space="preserve">, </w:t>
      </w:r>
      <w:r>
        <w:rPr>
          <w:rFonts w:ascii="Cambria" w:hAnsi="Cambria"/>
          <w:szCs w:val="20"/>
        </w:rPr>
        <w:t>the petitioners</w:t>
      </w:r>
      <w:r w:rsidRPr="00F02416">
        <w:rPr>
          <w:rFonts w:ascii="Cambria" w:hAnsi="Cambria"/>
          <w:szCs w:val="20"/>
        </w:rPr>
        <w:t xml:space="preserve"> </w:t>
      </w:r>
      <w:r>
        <w:rPr>
          <w:rFonts w:ascii="Cambria" w:hAnsi="Cambria"/>
          <w:szCs w:val="20"/>
        </w:rPr>
        <w:t>alleged the responsibility of the Peruvian State</w:t>
      </w:r>
      <w:r w:rsidRPr="00F02416">
        <w:rPr>
          <w:rFonts w:ascii="Cambria" w:hAnsi="Cambria"/>
          <w:szCs w:val="20"/>
        </w:rPr>
        <w:t xml:space="preserve"> </w:t>
      </w:r>
      <w:r>
        <w:rPr>
          <w:rFonts w:ascii="Cambria" w:hAnsi="Cambria"/>
          <w:szCs w:val="20"/>
        </w:rPr>
        <w:t>for violations of the rights</w:t>
      </w:r>
      <w:r w:rsidRPr="00F02416">
        <w:rPr>
          <w:rFonts w:ascii="Cambria" w:hAnsi="Cambria"/>
          <w:szCs w:val="20"/>
        </w:rPr>
        <w:t xml:space="preserve"> </w:t>
      </w:r>
      <w:r>
        <w:rPr>
          <w:rFonts w:ascii="Cambria" w:hAnsi="Cambria"/>
          <w:szCs w:val="20"/>
        </w:rPr>
        <w:t>enshrined in Articles</w:t>
      </w:r>
      <w:r w:rsidRPr="00F02416">
        <w:rPr>
          <w:rFonts w:ascii="Cambria" w:hAnsi="Cambria"/>
          <w:szCs w:val="20"/>
        </w:rPr>
        <w:t xml:space="preserve"> 4 (</w:t>
      </w:r>
      <w:r>
        <w:rPr>
          <w:rFonts w:ascii="Cambria" w:hAnsi="Cambria"/>
          <w:szCs w:val="20"/>
        </w:rPr>
        <w:t>right to life</w:t>
      </w:r>
      <w:r w:rsidRPr="00F02416">
        <w:rPr>
          <w:rFonts w:ascii="Cambria" w:hAnsi="Cambria"/>
          <w:szCs w:val="20"/>
        </w:rPr>
        <w:t>), 5 (</w:t>
      </w:r>
      <w:r>
        <w:rPr>
          <w:rFonts w:ascii="Cambria" w:hAnsi="Cambria"/>
          <w:szCs w:val="20"/>
        </w:rPr>
        <w:t>right to humane treatment</w:t>
      </w:r>
      <w:r w:rsidRPr="00F02416">
        <w:rPr>
          <w:rFonts w:ascii="Cambria" w:hAnsi="Cambria"/>
          <w:szCs w:val="20"/>
        </w:rPr>
        <w:t>), 8 (</w:t>
      </w:r>
      <w:r>
        <w:rPr>
          <w:rFonts w:ascii="Cambria" w:hAnsi="Cambria"/>
          <w:szCs w:val="20"/>
        </w:rPr>
        <w:t>right to a fair trial</w:t>
      </w:r>
      <w:r w:rsidRPr="00F02416">
        <w:rPr>
          <w:rFonts w:ascii="Cambria" w:hAnsi="Cambria"/>
          <w:szCs w:val="20"/>
        </w:rPr>
        <w:t>), 13 (</w:t>
      </w:r>
      <w:r>
        <w:rPr>
          <w:rFonts w:ascii="Cambria" w:hAnsi="Cambria"/>
          <w:szCs w:val="20"/>
        </w:rPr>
        <w:t>freedom of expression</w:t>
      </w:r>
      <w:r w:rsidRPr="00F02416">
        <w:rPr>
          <w:rFonts w:ascii="Cambria" w:hAnsi="Cambria"/>
          <w:szCs w:val="20"/>
        </w:rPr>
        <w:t>), 17 (</w:t>
      </w:r>
      <w:r>
        <w:rPr>
          <w:rFonts w:ascii="Cambria" w:hAnsi="Cambria"/>
          <w:szCs w:val="20"/>
        </w:rPr>
        <w:t>rights of the family), and</w:t>
      </w:r>
      <w:r w:rsidRPr="00F02416">
        <w:rPr>
          <w:rFonts w:ascii="Cambria" w:hAnsi="Cambria"/>
          <w:szCs w:val="20"/>
        </w:rPr>
        <w:t xml:space="preserve"> 25 (</w:t>
      </w:r>
      <w:r>
        <w:rPr>
          <w:rFonts w:ascii="Cambria" w:hAnsi="Cambria"/>
          <w:szCs w:val="20"/>
        </w:rPr>
        <w:t>right to judicial protection</w:t>
      </w:r>
      <w:r w:rsidRPr="00F02416">
        <w:rPr>
          <w:rFonts w:ascii="Cambria" w:hAnsi="Cambria"/>
          <w:szCs w:val="20"/>
        </w:rPr>
        <w:t xml:space="preserve">)  </w:t>
      </w:r>
      <w:r>
        <w:rPr>
          <w:rFonts w:ascii="Cambria" w:hAnsi="Cambria"/>
          <w:szCs w:val="20"/>
        </w:rPr>
        <w:t>of the American Convention</w:t>
      </w:r>
      <w:r w:rsidRPr="00F02416">
        <w:rPr>
          <w:rFonts w:ascii="Cambria" w:hAnsi="Cambria"/>
          <w:szCs w:val="20"/>
        </w:rPr>
        <w:t>.</w:t>
      </w:r>
    </w:p>
    <w:p w:rsidR="007002A4" w:rsidRPr="00F02416" w:rsidRDefault="007002A4" w:rsidP="007002A4">
      <w:pPr>
        <w:pStyle w:val="TextBody"/>
        <w:spacing w:before="0" w:after="0"/>
        <w:ind w:firstLine="720"/>
      </w:pPr>
    </w:p>
    <w:p w:rsidR="007002A4" w:rsidRPr="00F02416" w:rsidRDefault="007002A4" w:rsidP="007002A4">
      <w:pPr>
        <w:pStyle w:val="Firstparagraph"/>
        <w:numPr>
          <w:ilvl w:val="0"/>
          <w:numId w:val="106"/>
        </w:numPr>
        <w:spacing w:before="0" w:after="0"/>
        <w:ind w:left="0" w:firstLine="720"/>
        <w:rPr>
          <w:rFonts w:ascii="Cambria" w:hAnsi="Cambria"/>
          <w:szCs w:val="20"/>
        </w:rPr>
      </w:pPr>
      <w:r>
        <w:rPr>
          <w:rFonts w:ascii="Cambria" w:hAnsi="Cambria"/>
          <w:szCs w:val="20"/>
        </w:rPr>
        <w:t>The State</w:t>
      </w:r>
      <w:r w:rsidRPr="00F02416">
        <w:rPr>
          <w:rFonts w:ascii="Cambria" w:hAnsi="Cambria"/>
          <w:szCs w:val="20"/>
        </w:rPr>
        <w:t xml:space="preserve"> </w:t>
      </w:r>
      <w:r>
        <w:rPr>
          <w:rFonts w:ascii="Cambria" w:hAnsi="Cambria"/>
          <w:szCs w:val="20"/>
        </w:rPr>
        <w:t>asked</w:t>
      </w:r>
      <w:r w:rsidRPr="00F02416">
        <w:rPr>
          <w:rFonts w:ascii="Cambria" w:hAnsi="Cambria"/>
          <w:szCs w:val="20"/>
        </w:rPr>
        <w:t xml:space="preserve"> </w:t>
      </w:r>
      <w:r>
        <w:rPr>
          <w:rFonts w:ascii="Cambria" w:hAnsi="Cambria"/>
          <w:szCs w:val="20"/>
        </w:rPr>
        <w:t>the Commission</w:t>
      </w:r>
      <w:r w:rsidRPr="00F02416">
        <w:rPr>
          <w:rFonts w:ascii="Cambria" w:hAnsi="Cambria"/>
          <w:szCs w:val="20"/>
        </w:rPr>
        <w:t xml:space="preserve"> </w:t>
      </w:r>
      <w:r>
        <w:rPr>
          <w:rFonts w:ascii="Cambria" w:hAnsi="Cambria"/>
          <w:szCs w:val="20"/>
        </w:rPr>
        <w:t>to declare this</w:t>
      </w:r>
      <w:r w:rsidRPr="00F02416">
        <w:rPr>
          <w:rFonts w:ascii="Cambria" w:hAnsi="Cambria"/>
          <w:szCs w:val="20"/>
        </w:rPr>
        <w:t xml:space="preserve"> petition</w:t>
      </w:r>
      <w:r>
        <w:rPr>
          <w:rFonts w:ascii="Cambria" w:hAnsi="Cambria"/>
          <w:szCs w:val="20"/>
        </w:rPr>
        <w:t xml:space="preserve"> inadmissible. It asserted that the facts set forth therein do not describe a human rights violation</w:t>
      </w:r>
      <w:r w:rsidRPr="00F02416">
        <w:rPr>
          <w:rFonts w:ascii="Cambria" w:hAnsi="Cambria"/>
          <w:szCs w:val="20"/>
        </w:rPr>
        <w:t>.</w:t>
      </w:r>
      <w:r>
        <w:rPr>
          <w:rFonts w:ascii="Cambria" w:hAnsi="Cambria"/>
          <w:szCs w:val="20"/>
        </w:rPr>
        <w:t xml:space="preserve"> I</w:t>
      </w:r>
      <w:r w:rsidRPr="00F02416">
        <w:rPr>
          <w:rFonts w:ascii="Cambria" w:hAnsi="Cambria"/>
          <w:szCs w:val="20"/>
        </w:rPr>
        <w:t xml:space="preserve">n particular, </w:t>
      </w:r>
      <w:r>
        <w:rPr>
          <w:rFonts w:ascii="Cambria" w:hAnsi="Cambria"/>
          <w:szCs w:val="20"/>
        </w:rPr>
        <w:t>the State</w:t>
      </w:r>
      <w:r w:rsidRPr="00F02416">
        <w:rPr>
          <w:rFonts w:ascii="Cambria" w:hAnsi="Cambria"/>
          <w:szCs w:val="20"/>
        </w:rPr>
        <w:t xml:space="preserve"> </w:t>
      </w:r>
      <w:r>
        <w:rPr>
          <w:rFonts w:ascii="Cambria" w:hAnsi="Cambria"/>
          <w:szCs w:val="20"/>
        </w:rPr>
        <w:t>indicated that</w:t>
      </w:r>
      <w:r w:rsidRPr="00F02416">
        <w:rPr>
          <w:rFonts w:ascii="Cambria" w:hAnsi="Cambria"/>
          <w:szCs w:val="20"/>
        </w:rPr>
        <w:t xml:space="preserve"> </w:t>
      </w:r>
      <w:r>
        <w:rPr>
          <w:rFonts w:ascii="Cambria" w:hAnsi="Cambria"/>
          <w:szCs w:val="20"/>
        </w:rPr>
        <w:t>the petitioners</w:t>
      </w:r>
      <w:r w:rsidRPr="00F02416">
        <w:rPr>
          <w:rFonts w:ascii="Cambria" w:hAnsi="Cambria"/>
          <w:szCs w:val="20"/>
        </w:rPr>
        <w:t xml:space="preserve"> </w:t>
      </w:r>
      <w:r>
        <w:rPr>
          <w:rFonts w:ascii="Cambria" w:hAnsi="Cambria"/>
          <w:szCs w:val="20"/>
        </w:rPr>
        <w:t>are seeking to have</w:t>
      </w:r>
      <w:r w:rsidRPr="00F02416">
        <w:rPr>
          <w:rFonts w:ascii="Cambria" w:hAnsi="Cambria"/>
          <w:szCs w:val="20"/>
        </w:rPr>
        <w:t xml:space="preserve"> </w:t>
      </w:r>
      <w:r>
        <w:rPr>
          <w:rFonts w:ascii="Cambria" w:hAnsi="Cambria"/>
          <w:szCs w:val="20"/>
        </w:rPr>
        <w:t>the Commission</w:t>
      </w:r>
      <w:r w:rsidRPr="00F02416">
        <w:rPr>
          <w:rFonts w:ascii="Cambria" w:hAnsi="Cambria"/>
          <w:szCs w:val="20"/>
        </w:rPr>
        <w:t xml:space="preserve"> </w:t>
      </w:r>
      <w:r>
        <w:rPr>
          <w:rFonts w:ascii="Cambria" w:hAnsi="Cambria"/>
          <w:szCs w:val="20"/>
        </w:rPr>
        <w:t>act as a</w:t>
      </w:r>
      <w:r w:rsidRPr="00F02416">
        <w:rPr>
          <w:rFonts w:ascii="Cambria" w:hAnsi="Cambria"/>
          <w:szCs w:val="20"/>
        </w:rPr>
        <w:t xml:space="preserve"> "</w:t>
      </w:r>
      <w:r>
        <w:rPr>
          <w:rFonts w:ascii="Cambria" w:hAnsi="Cambria"/>
          <w:szCs w:val="20"/>
        </w:rPr>
        <w:t>fourth instance,</w:t>
      </w:r>
      <w:r w:rsidRPr="00F02416">
        <w:rPr>
          <w:rFonts w:ascii="Cambria" w:hAnsi="Cambria"/>
          <w:szCs w:val="20"/>
        </w:rPr>
        <w:t xml:space="preserve">" </w:t>
      </w:r>
      <w:r>
        <w:rPr>
          <w:rFonts w:ascii="Cambria" w:hAnsi="Cambria"/>
          <w:szCs w:val="20"/>
        </w:rPr>
        <w:t>and recalls that</w:t>
      </w:r>
      <w:r w:rsidRPr="00F02416">
        <w:rPr>
          <w:rFonts w:ascii="Cambria" w:hAnsi="Cambria"/>
          <w:szCs w:val="20"/>
        </w:rPr>
        <w:t xml:space="preserve"> </w:t>
      </w:r>
      <w:r>
        <w:rPr>
          <w:rFonts w:ascii="Cambria" w:hAnsi="Cambria"/>
          <w:szCs w:val="20"/>
        </w:rPr>
        <w:t>the Commission</w:t>
      </w:r>
      <w:r w:rsidRPr="00F02416">
        <w:rPr>
          <w:rFonts w:ascii="Cambria" w:hAnsi="Cambria"/>
          <w:szCs w:val="20"/>
        </w:rPr>
        <w:t xml:space="preserve"> </w:t>
      </w:r>
      <w:r>
        <w:rPr>
          <w:rFonts w:ascii="Cambria" w:hAnsi="Cambria"/>
          <w:szCs w:val="20"/>
        </w:rPr>
        <w:t>cannot review the judgments handed down by national courts acting within the scope of their jurisdiction, providing the proper</w:t>
      </w:r>
      <w:r w:rsidRPr="00F02416">
        <w:rPr>
          <w:rFonts w:ascii="Cambria" w:hAnsi="Cambria"/>
          <w:szCs w:val="20"/>
        </w:rPr>
        <w:t xml:space="preserve"> </w:t>
      </w:r>
      <w:r>
        <w:rPr>
          <w:rFonts w:ascii="Cambria" w:hAnsi="Cambria"/>
          <w:szCs w:val="20"/>
        </w:rPr>
        <w:t>right to a fair trial</w:t>
      </w:r>
      <w:r w:rsidRPr="00F02416">
        <w:rPr>
          <w:rFonts w:ascii="Cambria" w:hAnsi="Cambria"/>
          <w:szCs w:val="20"/>
        </w:rPr>
        <w:t xml:space="preserve">. </w:t>
      </w:r>
      <w:r>
        <w:rPr>
          <w:rFonts w:ascii="Cambria" w:hAnsi="Cambria"/>
          <w:szCs w:val="20"/>
        </w:rPr>
        <w:t xml:space="preserve">It further stated that unsatisfactory outcomes at the national level cannot be subject to analysis by a supranational authority whose role is subsidiary and complementary to the domestic system. </w:t>
      </w:r>
    </w:p>
    <w:p w:rsidR="007002A4" w:rsidRPr="00F02416" w:rsidRDefault="007002A4" w:rsidP="007002A4">
      <w:pPr>
        <w:pStyle w:val="Firstparagraph"/>
        <w:spacing w:before="0" w:after="0"/>
        <w:ind w:firstLine="720"/>
        <w:rPr>
          <w:rFonts w:ascii="Cambria" w:hAnsi="Cambria"/>
          <w:szCs w:val="20"/>
        </w:rPr>
      </w:pPr>
    </w:p>
    <w:p w:rsidR="007002A4" w:rsidRPr="00F02416" w:rsidRDefault="007002A4" w:rsidP="007002A4">
      <w:pPr>
        <w:pStyle w:val="Firstparagraph"/>
        <w:numPr>
          <w:ilvl w:val="0"/>
          <w:numId w:val="106"/>
        </w:numPr>
        <w:spacing w:before="0" w:after="0"/>
        <w:ind w:left="0" w:firstLine="720"/>
        <w:rPr>
          <w:rFonts w:ascii="Cambria" w:hAnsi="Cambria"/>
          <w:szCs w:val="20"/>
        </w:rPr>
      </w:pPr>
      <w:r>
        <w:rPr>
          <w:rFonts w:ascii="Cambria" w:hAnsi="Cambria"/>
          <w:szCs w:val="20"/>
        </w:rPr>
        <w:t>W</w:t>
      </w:r>
      <w:r w:rsidRPr="001806CF">
        <w:rPr>
          <w:rFonts w:ascii="Cambria" w:hAnsi="Cambria"/>
          <w:szCs w:val="20"/>
        </w:rPr>
        <w:t xml:space="preserve">ithout prejudging the merits of the case, </w:t>
      </w:r>
      <w:r>
        <w:rPr>
          <w:rFonts w:ascii="Cambria" w:hAnsi="Cambria"/>
          <w:szCs w:val="20"/>
        </w:rPr>
        <w:t>a</w:t>
      </w:r>
      <w:r w:rsidRPr="001806CF">
        <w:rPr>
          <w:rFonts w:ascii="Cambria" w:hAnsi="Cambria"/>
          <w:szCs w:val="20"/>
        </w:rPr>
        <w:t xml:space="preserve">fter examining the positions of the parties in light of the admissibility requirements established in Articles 46 and 47 of the Convention, the IACHR decided to declare the petition admissible with respect to the alleged violation of Articles </w:t>
      </w:r>
      <w:r w:rsidRPr="00F02416">
        <w:rPr>
          <w:rFonts w:ascii="Cambria" w:hAnsi="Cambria"/>
          <w:szCs w:val="20"/>
        </w:rPr>
        <w:t>4, 5, 7, 8.1, 13, 17, 22</w:t>
      </w:r>
      <w:r>
        <w:rPr>
          <w:rFonts w:ascii="Cambria" w:hAnsi="Cambria"/>
          <w:szCs w:val="20"/>
        </w:rPr>
        <w:t>, and</w:t>
      </w:r>
      <w:r w:rsidRPr="00F02416">
        <w:rPr>
          <w:rFonts w:ascii="Cambria" w:hAnsi="Cambria"/>
          <w:szCs w:val="20"/>
        </w:rPr>
        <w:t xml:space="preserve"> 25 </w:t>
      </w:r>
      <w:r>
        <w:rPr>
          <w:rFonts w:ascii="Cambria" w:hAnsi="Cambria"/>
          <w:szCs w:val="20"/>
        </w:rPr>
        <w:t>of the Convention</w:t>
      </w:r>
      <w:r w:rsidRPr="00F02416">
        <w:rPr>
          <w:rFonts w:ascii="Cambria" w:hAnsi="Cambria"/>
          <w:szCs w:val="20"/>
        </w:rPr>
        <w:t xml:space="preserve">, </w:t>
      </w:r>
      <w:r w:rsidRPr="00FD7707">
        <w:rPr>
          <w:rFonts w:ascii="Cambria" w:hAnsi="Cambria"/>
          <w:szCs w:val="20"/>
        </w:rPr>
        <w:t xml:space="preserve">in connection with the general obligations </w:t>
      </w:r>
      <w:r>
        <w:rPr>
          <w:rFonts w:ascii="Cambria" w:hAnsi="Cambria"/>
          <w:szCs w:val="20"/>
        </w:rPr>
        <w:t xml:space="preserve">enshrined in Article 1.1 </w:t>
      </w:r>
      <w:r w:rsidRPr="00FD7707">
        <w:rPr>
          <w:rFonts w:ascii="Cambria" w:hAnsi="Cambria"/>
          <w:szCs w:val="20"/>
        </w:rPr>
        <w:t>thereof</w:t>
      </w:r>
      <w:r w:rsidRPr="00F02416">
        <w:rPr>
          <w:rFonts w:ascii="Cambria" w:hAnsi="Cambria"/>
          <w:szCs w:val="20"/>
        </w:rPr>
        <w:t xml:space="preserve">, </w:t>
      </w:r>
      <w:r>
        <w:rPr>
          <w:rFonts w:ascii="Cambria" w:hAnsi="Cambria"/>
          <w:szCs w:val="20"/>
        </w:rPr>
        <w:t>to the detriment of</w:t>
      </w:r>
      <w:r w:rsidRPr="00F02416">
        <w:rPr>
          <w:rFonts w:ascii="Cambria" w:hAnsi="Cambria"/>
          <w:szCs w:val="20"/>
        </w:rPr>
        <w:t xml:space="preserve"> </w:t>
      </w:r>
      <w:r>
        <w:rPr>
          <w:rFonts w:ascii="Cambria" w:hAnsi="Cambria"/>
          <w:szCs w:val="20"/>
        </w:rPr>
        <w:t>the alleged victims</w:t>
      </w:r>
      <w:r w:rsidRPr="00F02416">
        <w:rPr>
          <w:rFonts w:ascii="Cambria" w:hAnsi="Cambria"/>
          <w:szCs w:val="20"/>
        </w:rPr>
        <w:t xml:space="preserve">, Antonio de la Torre Echeandía, </w:t>
      </w:r>
      <w:r>
        <w:rPr>
          <w:rFonts w:ascii="Cambria" w:hAnsi="Cambria"/>
          <w:szCs w:val="20"/>
        </w:rPr>
        <w:t>his wife</w:t>
      </w:r>
      <w:r w:rsidRPr="00F02416">
        <w:rPr>
          <w:rFonts w:ascii="Cambria" w:hAnsi="Cambria"/>
          <w:szCs w:val="20"/>
        </w:rPr>
        <w:t xml:space="preserve"> Dina Ramírez Ramírez</w:t>
      </w:r>
      <w:r>
        <w:rPr>
          <w:rFonts w:ascii="Cambria" w:hAnsi="Cambria"/>
          <w:szCs w:val="20"/>
        </w:rPr>
        <w:t>, and their children.</w:t>
      </w:r>
      <w:r w:rsidRPr="00F02416">
        <w:rPr>
          <w:rFonts w:ascii="Cambria" w:hAnsi="Cambria"/>
          <w:szCs w:val="20"/>
        </w:rPr>
        <w:t xml:space="preserve"> </w:t>
      </w:r>
    </w:p>
    <w:p w:rsidR="007002A4" w:rsidRPr="00F02416" w:rsidRDefault="007002A4" w:rsidP="007002A4">
      <w:pPr>
        <w:pStyle w:val="Firstparagraph"/>
        <w:spacing w:before="0" w:after="0"/>
        <w:ind w:firstLine="720"/>
        <w:rPr>
          <w:rFonts w:ascii="Cambria" w:hAnsi="Cambria"/>
          <w:szCs w:val="20"/>
        </w:rPr>
      </w:pPr>
    </w:p>
    <w:p w:rsidR="007002A4" w:rsidRPr="006E722C" w:rsidRDefault="007002A4" w:rsidP="007002A4">
      <w:pPr>
        <w:pStyle w:val="Firstparagraph"/>
        <w:numPr>
          <w:ilvl w:val="0"/>
          <w:numId w:val="106"/>
        </w:numPr>
        <w:spacing w:before="0" w:after="0"/>
        <w:ind w:left="0" w:firstLine="720"/>
        <w:rPr>
          <w:rFonts w:ascii="Cambria" w:hAnsi="Cambria"/>
          <w:szCs w:val="20"/>
        </w:rPr>
      </w:pPr>
      <w:r>
        <w:rPr>
          <w:rFonts w:ascii="Cambria" w:hAnsi="Cambria"/>
          <w:szCs w:val="20"/>
        </w:rPr>
        <w:t>Finally</w:t>
      </w:r>
      <w:r w:rsidRPr="00F02416">
        <w:rPr>
          <w:rFonts w:ascii="Cambria" w:hAnsi="Cambria"/>
          <w:szCs w:val="20"/>
        </w:rPr>
        <w:t xml:space="preserve">, </w:t>
      </w:r>
      <w:r w:rsidRPr="006E722C">
        <w:rPr>
          <w:rFonts w:ascii="Cambria" w:hAnsi="Cambria"/>
          <w:szCs w:val="20"/>
        </w:rPr>
        <w:t>the Commission decided to give notice to the parties</w:t>
      </w:r>
      <w:r>
        <w:rPr>
          <w:rFonts w:ascii="Cambria" w:hAnsi="Cambria"/>
          <w:szCs w:val="20"/>
        </w:rPr>
        <w:t xml:space="preserve"> and order the publication of</w:t>
      </w:r>
      <w:r w:rsidRPr="006E722C">
        <w:rPr>
          <w:rFonts w:ascii="Cambria" w:hAnsi="Cambria"/>
          <w:szCs w:val="20"/>
        </w:rPr>
        <w:t xml:space="preserve"> this </w:t>
      </w:r>
      <w:r>
        <w:rPr>
          <w:rFonts w:ascii="Cambria" w:hAnsi="Cambria"/>
          <w:szCs w:val="20"/>
        </w:rPr>
        <w:t xml:space="preserve">decision </w:t>
      </w:r>
      <w:r w:rsidRPr="006E722C">
        <w:rPr>
          <w:rFonts w:ascii="Cambria" w:hAnsi="Cambria"/>
          <w:szCs w:val="20"/>
        </w:rPr>
        <w:t xml:space="preserve">in its Annual Report to the General Assembly of the Organization of American States.  </w:t>
      </w:r>
    </w:p>
    <w:p w:rsidR="007002A4" w:rsidRDefault="007002A4" w:rsidP="007002A4">
      <w:pPr>
        <w:pStyle w:val="Heading1"/>
        <w:keepLines w:val="0"/>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0"/>
        <w:ind w:firstLine="720"/>
        <w:jc w:val="both"/>
        <w:rPr>
          <w:color w:val="auto"/>
          <w:sz w:val="20"/>
          <w:szCs w:val="20"/>
        </w:rPr>
      </w:pPr>
    </w:p>
    <w:p w:rsidR="007002A4" w:rsidRPr="00B32006" w:rsidRDefault="007002A4" w:rsidP="007002A4">
      <w:pPr>
        <w:pStyle w:val="Heading1"/>
        <w:keepLines w:val="0"/>
        <w:widowControl w:val="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0"/>
        <w:ind w:firstLine="720"/>
        <w:jc w:val="both"/>
        <w:rPr>
          <w:color w:val="auto"/>
          <w:sz w:val="20"/>
          <w:szCs w:val="20"/>
        </w:rPr>
      </w:pPr>
      <w:r>
        <w:rPr>
          <w:color w:val="auto"/>
          <w:sz w:val="20"/>
          <w:szCs w:val="20"/>
        </w:rPr>
        <w:t>II.</w:t>
      </w:r>
      <w:r>
        <w:rPr>
          <w:color w:val="auto"/>
          <w:sz w:val="20"/>
          <w:szCs w:val="20"/>
        </w:rPr>
        <w:tab/>
      </w:r>
      <w:r w:rsidRPr="00B32006">
        <w:rPr>
          <w:color w:val="auto"/>
          <w:sz w:val="20"/>
          <w:szCs w:val="20"/>
        </w:rPr>
        <w:t>PROCEEDINGS BEFORE THE INTER-AMERICAN COMMISSION</w:t>
      </w:r>
    </w:p>
    <w:p w:rsidR="007002A4" w:rsidRPr="00F02416" w:rsidRDefault="007002A4" w:rsidP="007002A4">
      <w:pPr>
        <w:ind w:firstLine="720"/>
        <w:jc w:val="both"/>
      </w:pPr>
    </w:p>
    <w:p w:rsidR="007002A4" w:rsidRDefault="007002A4" w:rsidP="007002A4">
      <w:pPr>
        <w:pStyle w:val="Firstparagraph"/>
        <w:numPr>
          <w:ilvl w:val="0"/>
          <w:numId w:val="106"/>
        </w:numPr>
        <w:spacing w:before="0" w:after="0"/>
        <w:ind w:left="0" w:firstLine="720"/>
        <w:rPr>
          <w:rFonts w:ascii="Cambria" w:hAnsi="Cambria"/>
          <w:szCs w:val="20"/>
        </w:rPr>
      </w:pPr>
      <w:r>
        <w:rPr>
          <w:rFonts w:ascii="Cambria" w:hAnsi="Cambria"/>
          <w:szCs w:val="20"/>
        </w:rPr>
        <w:t xml:space="preserve">On </w:t>
      </w:r>
      <w:r w:rsidRPr="00A225D9">
        <w:rPr>
          <w:rFonts w:ascii="Cambria" w:hAnsi="Cambria"/>
          <w:szCs w:val="20"/>
        </w:rPr>
        <w:t>August 21, 2006, the</w:t>
      </w:r>
      <w:r>
        <w:rPr>
          <w:rFonts w:ascii="Cambria" w:hAnsi="Cambria"/>
          <w:szCs w:val="20"/>
        </w:rPr>
        <w:t xml:space="preserve"> Commission</w:t>
      </w:r>
      <w:r w:rsidRPr="00F02416">
        <w:rPr>
          <w:rFonts w:ascii="Cambria" w:hAnsi="Cambria"/>
          <w:szCs w:val="20"/>
        </w:rPr>
        <w:t xml:space="preserve"> re</w:t>
      </w:r>
      <w:r>
        <w:rPr>
          <w:rFonts w:ascii="Cambria" w:hAnsi="Cambria"/>
          <w:szCs w:val="20"/>
        </w:rPr>
        <w:t>ceived the petition</w:t>
      </w:r>
      <w:r w:rsidRPr="00F02416">
        <w:rPr>
          <w:rFonts w:ascii="Cambria" w:hAnsi="Cambria"/>
          <w:szCs w:val="20"/>
        </w:rPr>
        <w:t xml:space="preserve"> </w:t>
      </w:r>
      <w:r>
        <w:rPr>
          <w:rFonts w:ascii="Cambria" w:hAnsi="Cambria"/>
          <w:szCs w:val="20"/>
        </w:rPr>
        <w:t>and assigned it number 895-06. On September</w:t>
      </w:r>
      <w:r w:rsidRPr="00F02416">
        <w:rPr>
          <w:rFonts w:ascii="Cambria" w:hAnsi="Cambria"/>
          <w:szCs w:val="20"/>
        </w:rPr>
        <w:t xml:space="preserve"> 11</w:t>
      </w:r>
      <w:r>
        <w:rPr>
          <w:rFonts w:ascii="Cambria" w:hAnsi="Cambria"/>
          <w:szCs w:val="20"/>
        </w:rPr>
        <w:t>,</w:t>
      </w:r>
      <w:r w:rsidRPr="00F02416">
        <w:rPr>
          <w:rFonts w:ascii="Cambria" w:hAnsi="Cambria"/>
          <w:szCs w:val="20"/>
        </w:rPr>
        <w:t xml:space="preserve"> 2008</w:t>
      </w:r>
      <w:r>
        <w:rPr>
          <w:rFonts w:ascii="Cambria" w:hAnsi="Cambria"/>
          <w:szCs w:val="20"/>
        </w:rPr>
        <w:t>,</w:t>
      </w:r>
      <w:r w:rsidRPr="00F02416">
        <w:rPr>
          <w:rFonts w:ascii="Cambria" w:hAnsi="Cambria"/>
          <w:szCs w:val="20"/>
        </w:rPr>
        <w:t xml:space="preserve"> </w:t>
      </w:r>
      <w:r>
        <w:rPr>
          <w:rFonts w:ascii="Cambria" w:hAnsi="Cambria"/>
          <w:szCs w:val="20"/>
        </w:rPr>
        <w:t>the Commission</w:t>
      </w:r>
      <w:r w:rsidRPr="00F02416">
        <w:rPr>
          <w:rFonts w:ascii="Cambria" w:hAnsi="Cambria"/>
          <w:szCs w:val="20"/>
        </w:rPr>
        <w:t xml:space="preserve"> </w:t>
      </w:r>
      <w:r>
        <w:rPr>
          <w:rFonts w:ascii="Cambria" w:hAnsi="Cambria"/>
          <w:szCs w:val="20"/>
        </w:rPr>
        <w:t>requested</w:t>
      </w:r>
      <w:r w:rsidRPr="00F02416">
        <w:rPr>
          <w:rFonts w:ascii="Cambria" w:hAnsi="Cambria"/>
          <w:szCs w:val="20"/>
        </w:rPr>
        <w:t xml:space="preserve"> </w:t>
      </w:r>
      <w:r>
        <w:rPr>
          <w:rFonts w:ascii="Cambria" w:hAnsi="Cambria"/>
          <w:szCs w:val="20"/>
        </w:rPr>
        <w:t>additional information from</w:t>
      </w:r>
      <w:r w:rsidRPr="00962FF4">
        <w:rPr>
          <w:rFonts w:ascii="Cambria" w:hAnsi="Cambria"/>
          <w:szCs w:val="20"/>
        </w:rPr>
        <w:t xml:space="preserve"> </w:t>
      </w:r>
      <w:r>
        <w:rPr>
          <w:rFonts w:ascii="Cambria" w:hAnsi="Cambria"/>
          <w:szCs w:val="20"/>
        </w:rPr>
        <w:t>the petitioners</w:t>
      </w:r>
      <w:r w:rsidRPr="00F02416">
        <w:rPr>
          <w:rFonts w:ascii="Cambria" w:hAnsi="Cambria"/>
          <w:szCs w:val="20"/>
        </w:rPr>
        <w:t xml:space="preserve">, </w:t>
      </w:r>
      <w:r>
        <w:rPr>
          <w:rFonts w:ascii="Cambria" w:hAnsi="Cambria"/>
          <w:szCs w:val="20"/>
        </w:rPr>
        <w:t>which</w:t>
      </w:r>
      <w:r w:rsidRPr="00F02416">
        <w:rPr>
          <w:rFonts w:ascii="Cambria" w:hAnsi="Cambria"/>
          <w:szCs w:val="20"/>
        </w:rPr>
        <w:t xml:space="preserve"> </w:t>
      </w:r>
      <w:r>
        <w:rPr>
          <w:rFonts w:ascii="Cambria" w:hAnsi="Cambria"/>
          <w:szCs w:val="20"/>
        </w:rPr>
        <w:t>was received</w:t>
      </w:r>
      <w:r w:rsidRPr="00F02416">
        <w:rPr>
          <w:rFonts w:ascii="Cambria" w:hAnsi="Cambria"/>
          <w:szCs w:val="20"/>
        </w:rPr>
        <w:t xml:space="preserve"> </w:t>
      </w:r>
      <w:r>
        <w:rPr>
          <w:rFonts w:ascii="Cambria" w:hAnsi="Cambria"/>
          <w:szCs w:val="20"/>
        </w:rPr>
        <w:t>by</w:t>
      </w:r>
      <w:r w:rsidRPr="00F02416">
        <w:rPr>
          <w:rFonts w:ascii="Cambria" w:hAnsi="Cambria"/>
          <w:szCs w:val="20"/>
        </w:rPr>
        <w:t xml:space="preserve"> </w:t>
      </w:r>
      <w:r>
        <w:rPr>
          <w:rFonts w:ascii="Cambria" w:hAnsi="Cambria"/>
          <w:szCs w:val="20"/>
        </w:rPr>
        <w:t>the Commission on November</w:t>
      </w:r>
      <w:r w:rsidRPr="00F02416">
        <w:rPr>
          <w:rFonts w:ascii="Cambria" w:hAnsi="Cambria"/>
          <w:szCs w:val="20"/>
        </w:rPr>
        <w:t xml:space="preserve"> 14</w:t>
      </w:r>
      <w:r>
        <w:rPr>
          <w:rFonts w:ascii="Cambria" w:hAnsi="Cambria"/>
          <w:szCs w:val="20"/>
        </w:rPr>
        <w:t>,</w:t>
      </w:r>
      <w:r w:rsidRPr="00F02416">
        <w:rPr>
          <w:rFonts w:ascii="Cambria" w:hAnsi="Cambria"/>
          <w:szCs w:val="20"/>
        </w:rPr>
        <w:t xml:space="preserve"> 2008. </w:t>
      </w:r>
      <w:r>
        <w:rPr>
          <w:rFonts w:ascii="Cambria" w:hAnsi="Cambria"/>
          <w:szCs w:val="20"/>
        </w:rPr>
        <w:t xml:space="preserve">On July </w:t>
      </w:r>
      <w:r w:rsidRPr="00F02416">
        <w:rPr>
          <w:rFonts w:ascii="Cambria" w:hAnsi="Cambria"/>
          <w:szCs w:val="20"/>
        </w:rPr>
        <w:t>29</w:t>
      </w:r>
      <w:r>
        <w:rPr>
          <w:rFonts w:ascii="Cambria" w:hAnsi="Cambria"/>
          <w:szCs w:val="20"/>
        </w:rPr>
        <w:t>,</w:t>
      </w:r>
      <w:r w:rsidRPr="00F02416">
        <w:rPr>
          <w:rFonts w:ascii="Cambria" w:hAnsi="Cambria"/>
          <w:szCs w:val="20"/>
        </w:rPr>
        <w:t xml:space="preserve"> 2011</w:t>
      </w:r>
      <w:r>
        <w:rPr>
          <w:rFonts w:ascii="Cambria" w:hAnsi="Cambria"/>
          <w:szCs w:val="20"/>
        </w:rPr>
        <w:t>, it</w:t>
      </w:r>
      <w:r w:rsidRPr="00F02416">
        <w:rPr>
          <w:rFonts w:ascii="Cambria" w:hAnsi="Cambria"/>
          <w:szCs w:val="20"/>
        </w:rPr>
        <w:t xml:space="preserve"> </w:t>
      </w:r>
      <w:r>
        <w:rPr>
          <w:rFonts w:ascii="Cambria" w:hAnsi="Cambria"/>
          <w:szCs w:val="20"/>
        </w:rPr>
        <w:t>forwarded the</w:t>
      </w:r>
      <w:r w:rsidRPr="00F02416">
        <w:rPr>
          <w:rFonts w:ascii="Cambria" w:hAnsi="Cambria"/>
          <w:szCs w:val="20"/>
        </w:rPr>
        <w:t xml:space="preserve"> petition</w:t>
      </w:r>
      <w:r>
        <w:rPr>
          <w:rFonts w:ascii="Cambria" w:hAnsi="Cambria"/>
          <w:szCs w:val="20"/>
        </w:rPr>
        <w:t xml:space="preserve"> to the</w:t>
      </w:r>
      <w:r w:rsidRPr="00F02416">
        <w:rPr>
          <w:rFonts w:ascii="Cambria" w:hAnsi="Cambria"/>
          <w:szCs w:val="20"/>
        </w:rPr>
        <w:t xml:space="preserve"> </w:t>
      </w:r>
      <w:r>
        <w:rPr>
          <w:rFonts w:ascii="Cambria" w:hAnsi="Cambria"/>
          <w:szCs w:val="20"/>
        </w:rPr>
        <w:t>Peruvian State</w:t>
      </w:r>
      <w:r w:rsidRPr="00F02416">
        <w:rPr>
          <w:rFonts w:ascii="Cambria" w:hAnsi="Cambria"/>
          <w:szCs w:val="20"/>
        </w:rPr>
        <w:t xml:space="preserve">, </w:t>
      </w:r>
      <w:r>
        <w:rPr>
          <w:rFonts w:ascii="Cambria" w:hAnsi="Cambria"/>
          <w:szCs w:val="20"/>
        </w:rPr>
        <w:t xml:space="preserve">which sent its reply on October 11, </w:t>
      </w:r>
      <w:r w:rsidRPr="00F02416">
        <w:rPr>
          <w:rFonts w:ascii="Cambria" w:hAnsi="Cambria"/>
          <w:szCs w:val="20"/>
        </w:rPr>
        <w:t xml:space="preserve">2011. </w:t>
      </w:r>
      <w:r>
        <w:rPr>
          <w:rFonts w:ascii="Cambria" w:hAnsi="Cambria"/>
          <w:szCs w:val="20"/>
        </w:rPr>
        <w:t>The IACHR</w:t>
      </w:r>
      <w:r w:rsidRPr="00F02416">
        <w:rPr>
          <w:rFonts w:ascii="Cambria" w:hAnsi="Cambria"/>
          <w:szCs w:val="20"/>
        </w:rPr>
        <w:t xml:space="preserve"> </w:t>
      </w:r>
      <w:r>
        <w:rPr>
          <w:rFonts w:ascii="Cambria" w:hAnsi="Cambria"/>
          <w:szCs w:val="20"/>
        </w:rPr>
        <w:t>forwarded the State’s reply to</w:t>
      </w:r>
      <w:r w:rsidRPr="00F02416">
        <w:rPr>
          <w:rFonts w:ascii="Cambria" w:hAnsi="Cambria"/>
          <w:szCs w:val="20"/>
        </w:rPr>
        <w:t xml:space="preserve"> </w:t>
      </w:r>
      <w:r>
        <w:rPr>
          <w:rFonts w:ascii="Cambria" w:hAnsi="Cambria"/>
          <w:szCs w:val="20"/>
        </w:rPr>
        <w:t>the petitioners</w:t>
      </w:r>
      <w:r w:rsidRPr="00F02416">
        <w:rPr>
          <w:rFonts w:ascii="Cambria" w:hAnsi="Cambria"/>
          <w:szCs w:val="20"/>
        </w:rPr>
        <w:t xml:space="preserve"> </w:t>
      </w:r>
      <w:r>
        <w:rPr>
          <w:rFonts w:ascii="Cambria" w:hAnsi="Cambria"/>
          <w:szCs w:val="20"/>
        </w:rPr>
        <w:t>on</w:t>
      </w:r>
      <w:r w:rsidRPr="00F02416">
        <w:rPr>
          <w:rFonts w:ascii="Cambria" w:hAnsi="Cambria"/>
          <w:szCs w:val="20"/>
        </w:rPr>
        <w:t xml:space="preserve"> </w:t>
      </w:r>
      <w:r>
        <w:rPr>
          <w:rFonts w:ascii="Cambria" w:hAnsi="Cambria"/>
          <w:szCs w:val="20"/>
        </w:rPr>
        <w:t xml:space="preserve">August </w:t>
      </w:r>
      <w:r w:rsidRPr="00F02416">
        <w:rPr>
          <w:rFonts w:ascii="Cambria" w:hAnsi="Cambria"/>
          <w:szCs w:val="20"/>
        </w:rPr>
        <w:t>7</w:t>
      </w:r>
      <w:r>
        <w:rPr>
          <w:rFonts w:ascii="Cambria" w:hAnsi="Cambria"/>
          <w:szCs w:val="20"/>
        </w:rPr>
        <w:t>,</w:t>
      </w:r>
      <w:r w:rsidRPr="00F02416">
        <w:rPr>
          <w:rFonts w:ascii="Cambria" w:hAnsi="Cambria"/>
          <w:szCs w:val="20"/>
        </w:rPr>
        <w:t xml:space="preserve"> 2012, </w:t>
      </w:r>
      <w:r>
        <w:rPr>
          <w:rFonts w:ascii="Cambria" w:hAnsi="Cambria"/>
          <w:szCs w:val="20"/>
        </w:rPr>
        <w:t>and requested their observations</w:t>
      </w:r>
      <w:r w:rsidRPr="00F02416">
        <w:rPr>
          <w:rFonts w:ascii="Cambria" w:hAnsi="Cambria"/>
          <w:szCs w:val="20"/>
        </w:rPr>
        <w:t xml:space="preserve">. </w:t>
      </w:r>
      <w:r>
        <w:rPr>
          <w:rFonts w:ascii="Cambria" w:hAnsi="Cambria"/>
          <w:szCs w:val="20"/>
        </w:rPr>
        <w:t>The petitioners</w:t>
      </w:r>
      <w:r w:rsidRPr="00F02416">
        <w:rPr>
          <w:rFonts w:ascii="Cambria" w:hAnsi="Cambria"/>
          <w:szCs w:val="20"/>
        </w:rPr>
        <w:t xml:space="preserve"> </w:t>
      </w:r>
      <w:r>
        <w:rPr>
          <w:rFonts w:ascii="Cambria" w:hAnsi="Cambria"/>
          <w:szCs w:val="20"/>
        </w:rPr>
        <w:t>did not present any observations</w:t>
      </w:r>
      <w:r w:rsidRPr="00F02416">
        <w:rPr>
          <w:rFonts w:ascii="Cambria" w:hAnsi="Cambria"/>
          <w:szCs w:val="20"/>
        </w:rPr>
        <w:t xml:space="preserve">.  </w:t>
      </w:r>
      <w:r>
        <w:rPr>
          <w:rFonts w:ascii="Cambria" w:hAnsi="Cambria"/>
          <w:szCs w:val="20"/>
        </w:rPr>
        <w:tab/>
      </w:r>
    </w:p>
    <w:p w:rsidR="007002A4" w:rsidRPr="007002A4" w:rsidRDefault="007002A4" w:rsidP="007002A4">
      <w:pPr>
        <w:pStyle w:val="TextBody"/>
      </w:pPr>
    </w:p>
    <w:p w:rsidR="007002A4" w:rsidRDefault="007002A4" w:rsidP="007002A4">
      <w:pPr>
        <w:pStyle w:val="Heading1"/>
        <w:keepLines w:val="0"/>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0"/>
        <w:ind w:firstLine="720"/>
        <w:jc w:val="both"/>
        <w:rPr>
          <w:color w:val="auto"/>
          <w:sz w:val="20"/>
          <w:szCs w:val="20"/>
        </w:rPr>
      </w:pPr>
      <w:r w:rsidRPr="00F02416">
        <w:rPr>
          <w:color w:val="auto"/>
          <w:sz w:val="20"/>
          <w:szCs w:val="20"/>
        </w:rPr>
        <w:lastRenderedPageBreak/>
        <w:t xml:space="preserve">III. </w:t>
      </w:r>
      <w:r w:rsidR="007D7F08">
        <w:rPr>
          <w:color w:val="auto"/>
          <w:sz w:val="20"/>
          <w:szCs w:val="20"/>
        </w:rPr>
        <w:tab/>
      </w:r>
      <w:r w:rsidRPr="00F02416">
        <w:rPr>
          <w:color w:val="auto"/>
          <w:sz w:val="20"/>
          <w:szCs w:val="20"/>
        </w:rPr>
        <w:t>POSI</w:t>
      </w:r>
      <w:r>
        <w:rPr>
          <w:color w:val="auto"/>
          <w:sz w:val="20"/>
          <w:szCs w:val="20"/>
        </w:rPr>
        <w:t>TIONS OF THE PARTIES</w:t>
      </w:r>
    </w:p>
    <w:p w:rsidR="007002A4" w:rsidRPr="007002A4" w:rsidRDefault="007002A4" w:rsidP="007002A4"/>
    <w:p w:rsidR="007002A4" w:rsidRPr="007A1671" w:rsidRDefault="007002A4" w:rsidP="007002A4">
      <w:pPr>
        <w:pStyle w:val="Heading2"/>
        <w:keepLines w:val="0"/>
        <w:numPr>
          <w:ilvl w:val="1"/>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0"/>
        <w:ind w:left="0" w:firstLine="720"/>
        <w:jc w:val="both"/>
        <w:rPr>
          <w:rFonts w:ascii="Cambria" w:hAnsi="Cambria"/>
          <w:color w:val="auto"/>
          <w:sz w:val="20"/>
          <w:szCs w:val="20"/>
        </w:rPr>
      </w:pPr>
      <w:r w:rsidRPr="007A1671">
        <w:rPr>
          <w:rFonts w:ascii="Cambria" w:hAnsi="Cambria"/>
          <w:color w:val="auto"/>
          <w:sz w:val="20"/>
          <w:szCs w:val="20"/>
        </w:rPr>
        <w:t>Position of the petitioner</w:t>
      </w:r>
    </w:p>
    <w:p w:rsidR="007002A4" w:rsidRPr="00F02416" w:rsidRDefault="007002A4" w:rsidP="007002A4">
      <w:pPr>
        <w:ind w:firstLine="720"/>
        <w:jc w:val="both"/>
      </w:pPr>
    </w:p>
    <w:p w:rsidR="007002A4" w:rsidRPr="001E260A" w:rsidRDefault="007002A4" w:rsidP="007002A4">
      <w:pPr>
        <w:pStyle w:val="Firstparagraph"/>
        <w:numPr>
          <w:ilvl w:val="0"/>
          <w:numId w:val="106"/>
        </w:numPr>
        <w:spacing w:before="0" w:after="0"/>
        <w:ind w:left="0" w:firstLine="720"/>
        <w:rPr>
          <w:rFonts w:ascii="Cambria" w:hAnsi="Cambria"/>
          <w:szCs w:val="20"/>
        </w:rPr>
      </w:pPr>
      <w:r>
        <w:rPr>
          <w:rFonts w:ascii="Cambria" w:hAnsi="Cambria"/>
          <w:szCs w:val="20"/>
        </w:rPr>
        <w:t xml:space="preserve">The </w:t>
      </w:r>
      <w:r w:rsidRPr="001E260A">
        <w:rPr>
          <w:rFonts w:ascii="Cambria" w:hAnsi="Cambria"/>
          <w:szCs w:val="20"/>
        </w:rPr>
        <w:t xml:space="preserve">petitioners stated that the journalist De la Torre Echeandía, radio host of the </w:t>
      </w:r>
      <w:r w:rsidRPr="001E260A">
        <w:rPr>
          <w:rFonts w:ascii="Cambria" w:hAnsi="Cambria"/>
          <w:i/>
          <w:szCs w:val="20"/>
        </w:rPr>
        <w:t>radio Orbita de Yungay</w:t>
      </w:r>
      <w:r w:rsidRPr="001E260A">
        <w:rPr>
          <w:rFonts w:ascii="Cambria" w:hAnsi="Cambria"/>
          <w:szCs w:val="20"/>
        </w:rPr>
        <w:t>, was murdered on February 14, 2004, and that his relatives were subjected to assaults and threats both before and after the murder. The petitioners point to the then-mayor of the city of Yungay, as well as relatives and employees of his, as possible perpetrators of the murder and the assaults. According to the case file, as a radio host he “criticized in a persistent [and] strong way” the management of the then mayor of Yungay.</w:t>
      </w:r>
    </w:p>
    <w:p w:rsidR="007002A4" w:rsidRPr="001E260A" w:rsidRDefault="007002A4" w:rsidP="007002A4">
      <w:pPr>
        <w:pStyle w:val="Firstparagraph"/>
        <w:spacing w:before="0" w:after="0"/>
        <w:ind w:firstLine="720"/>
        <w:rPr>
          <w:rFonts w:ascii="Cambria" w:hAnsi="Cambria"/>
          <w:szCs w:val="20"/>
        </w:rPr>
      </w:pPr>
    </w:p>
    <w:p w:rsidR="007002A4" w:rsidRPr="001E260A" w:rsidRDefault="007002A4" w:rsidP="007002A4">
      <w:pPr>
        <w:pStyle w:val="Firstparagraph"/>
        <w:numPr>
          <w:ilvl w:val="0"/>
          <w:numId w:val="106"/>
        </w:numPr>
        <w:spacing w:before="0" w:after="0"/>
        <w:ind w:left="0" w:firstLine="720"/>
        <w:rPr>
          <w:rFonts w:ascii="Cambria" w:hAnsi="Cambria"/>
          <w:szCs w:val="20"/>
        </w:rPr>
      </w:pPr>
      <w:r w:rsidRPr="001E260A">
        <w:rPr>
          <w:rFonts w:ascii="Cambria" w:hAnsi="Cambria"/>
          <w:szCs w:val="20"/>
        </w:rPr>
        <w:t>Among the assaults prior to the murder, the petitioners stated that on October 19, 2003, Dina Ramírez Ramírez, De la Torre Echeandía’s wife, filed a police report complaining of damages to their house committed by a truck driver who fled the scene. On October 21, 2003, De la Torre Echeandía filed a complaint alleging that he had been the victim of physical assaults after disseminating critical information about the then-mayor of Yungay. On November 14 of the same year, De la Torre Echeandía reported that his home had been attacked with a Molotov cocktail.</w:t>
      </w:r>
    </w:p>
    <w:p w:rsidR="007002A4" w:rsidRPr="001E260A" w:rsidRDefault="007002A4" w:rsidP="007002A4">
      <w:pPr>
        <w:pStyle w:val="TextBody"/>
        <w:spacing w:before="0" w:after="0"/>
        <w:ind w:firstLine="720"/>
      </w:pPr>
    </w:p>
    <w:p w:rsidR="007002A4" w:rsidRPr="00F02416" w:rsidRDefault="007002A4" w:rsidP="007002A4">
      <w:pPr>
        <w:pStyle w:val="Firstparagraph"/>
        <w:numPr>
          <w:ilvl w:val="0"/>
          <w:numId w:val="106"/>
        </w:numPr>
        <w:spacing w:before="0" w:after="0"/>
        <w:ind w:left="0" w:firstLine="720"/>
        <w:rPr>
          <w:rFonts w:ascii="Cambria" w:hAnsi="Cambria"/>
          <w:szCs w:val="20"/>
        </w:rPr>
      </w:pPr>
      <w:r w:rsidRPr="001E260A">
        <w:rPr>
          <w:rFonts w:ascii="Cambria" w:hAnsi="Cambria"/>
          <w:szCs w:val="20"/>
        </w:rPr>
        <w:t>The petitioners reported that on February 14, 2004 Antonio De la Torre Echeandía was murdered outside a public premises called Recreo Pampac in the city of Yungay, where a</w:t>
      </w:r>
      <w:r>
        <w:rPr>
          <w:rFonts w:ascii="Cambria" w:hAnsi="Cambria"/>
          <w:szCs w:val="20"/>
        </w:rPr>
        <w:t xml:space="preserve"> party was being held</w:t>
      </w:r>
      <w:r w:rsidRPr="00F02416">
        <w:rPr>
          <w:rFonts w:ascii="Cambria" w:hAnsi="Cambria"/>
          <w:szCs w:val="20"/>
        </w:rPr>
        <w:t xml:space="preserve">. </w:t>
      </w:r>
      <w:r>
        <w:rPr>
          <w:rFonts w:ascii="Cambria" w:hAnsi="Cambria"/>
          <w:szCs w:val="20"/>
        </w:rPr>
        <w:t>The petitioners</w:t>
      </w:r>
      <w:r w:rsidRPr="00F02416">
        <w:rPr>
          <w:rFonts w:ascii="Cambria" w:hAnsi="Cambria"/>
          <w:szCs w:val="20"/>
        </w:rPr>
        <w:t xml:space="preserve"> </w:t>
      </w:r>
      <w:r>
        <w:rPr>
          <w:rFonts w:ascii="Cambria" w:hAnsi="Cambria"/>
          <w:szCs w:val="20"/>
        </w:rPr>
        <w:t>allege that he was attacked by two individuals near the building’s exit</w:t>
      </w:r>
      <w:r w:rsidRPr="00F02416">
        <w:rPr>
          <w:rFonts w:ascii="Cambria" w:hAnsi="Cambria"/>
          <w:szCs w:val="20"/>
        </w:rPr>
        <w:t xml:space="preserve">. </w:t>
      </w:r>
      <w:r>
        <w:rPr>
          <w:rFonts w:ascii="Cambria" w:hAnsi="Cambria"/>
          <w:szCs w:val="20"/>
        </w:rPr>
        <w:t>They stated that D</w:t>
      </w:r>
      <w:r w:rsidRPr="00F02416">
        <w:rPr>
          <w:rFonts w:ascii="Cambria" w:hAnsi="Cambria"/>
          <w:szCs w:val="20"/>
        </w:rPr>
        <w:t xml:space="preserve">e la Torre Echeandía </w:t>
      </w:r>
      <w:r>
        <w:rPr>
          <w:rFonts w:ascii="Cambria" w:hAnsi="Cambria"/>
          <w:szCs w:val="20"/>
        </w:rPr>
        <w:t>was found by his son</w:t>
      </w:r>
      <w:r w:rsidRPr="00F02416">
        <w:rPr>
          <w:rFonts w:ascii="Cambria" w:hAnsi="Cambria"/>
          <w:szCs w:val="20"/>
        </w:rPr>
        <w:t xml:space="preserve">, </w:t>
      </w:r>
      <w:r>
        <w:rPr>
          <w:rFonts w:ascii="Cambria" w:hAnsi="Cambria"/>
          <w:szCs w:val="20"/>
        </w:rPr>
        <w:t>who reported that his father managed to tell him that he had been attacked by the driver of the mayor of Yungay</w:t>
      </w:r>
      <w:r w:rsidRPr="00F02416">
        <w:rPr>
          <w:rFonts w:ascii="Cambria" w:hAnsi="Cambria"/>
          <w:szCs w:val="20"/>
        </w:rPr>
        <w:t xml:space="preserve">. </w:t>
      </w:r>
    </w:p>
    <w:p w:rsidR="007002A4" w:rsidRPr="00F02416" w:rsidRDefault="007002A4" w:rsidP="007002A4">
      <w:pPr>
        <w:pStyle w:val="TextBody"/>
        <w:spacing w:before="0" w:after="0"/>
        <w:ind w:firstLine="720"/>
      </w:pPr>
    </w:p>
    <w:p w:rsidR="007002A4" w:rsidRPr="00F02416" w:rsidRDefault="007002A4" w:rsidP="007002A4">
      <w:pPr>
        <w:pStyle w:val="Firstparagraph"/>
        <w:numPr>
          <w:ilvl w:val="0"/>
          <w:numId w:val="106"/>
        </w:numPr>
        <w:spacing w:before="0" w:after="0"/>
        <w:ind w:left="0" w:firstLine="720"/>
        <w:rPr>
          <w:rFonts w:ascii="Cambria" w:hAnsi="Cambria"/>
          <w:szCs w:val="20"/>
        </w:rPr>
      </w:pPr>
      <w:r>
        <w:rPr>
          <w:rFonts w:ascii="Cambria" w:hAnsi="Cambria"/>
          <w:szCs w:val="20"/>
        </w:rPr>
        <w:t>The petitioners</w:t>
      </w:r>
      <w:r w:rsidRPr="00F02416">
        <w:rPr>
          <w:rFonts w:ascii="Cambria" w:hAnsi="Cambria"/>
          <w:szCs w:val="20"/>
        </w:rPr>
        <w:t xml:space="preserve"> </w:t>
      </w:r>
      <w:r>
        <w:rPr>
          <w:rFonts w:ascii="Cambria" w:hAnsi="Cambria"/>
          <w:szCs w:val="20"/>
        </w:rPr>
        <w:t xml:space="preserve">stated that on February 16, </w:t>
      </w:r>
      <w:r w:rsidRPr="00F02416">
        <w:rPr>
          <w:rFonts w:ascii="Cambria" w:hAnsi="Cambria"/>
          <w:szCs w:val="20"/>
        </w:rPr>
        <w:t xml:space="preserve">2004 </w:t>
      </w:r>
      <w:r>
        <w:rPr>
          <w:rFonts w:ascii="Cambria" w:hAnsi="Cambria"/>
          <w:szCs w:val="20"/>
        </w:rPr>
        <w:t>the Provincial Prosecutor’s Office of Yungay</w:t>
      </w:r>
      <w:r w:rsidRPr="00F02416">
        <w:rPr>
          <w:rFonts w:ascii="Cambria" w:hAnsi="Cambria"/>
          <w:szCs w:val="20"/>
        </w:rPr>
        <w:t xml:space="preserve"> </w:t>
      </w:r>
      <w:r>
        <w:rPr>
          <w:rFonts w:ascii="Cambria" w:hAnsi="Cambria"/>
          <w:szCs w:val="20"/>
        </w:rPr>
        <w:t xml:space="preserve">brought a criminal complaint against an individual alleged to be the perpetrator of </w:t>
      </w:r>
      <w:r w:rsidRPr="00F02416">
        <w:rPr>
          <w:rFonts w:ascii="Cambria" w:hAnsi="Cambria"/>
          <w:szCs w:val="20"/>
        </w:rPr>
        <w:t>De la Torre Echeandía</w:t>
      </w:r>
      <w:r>
        <w:rPr>
          <w:rFonts w:ascii="Cambria" w:hAnsi="Cambria"/>
          <w:szCs w:val="20"/>
        </w:rPr>
        <w:t>’s murder, and on March</w:t>
      </w:r>
      <w:r w:rsidRPr="00F02416">
        <w:rPr>
          <w:rFonts w:ascii="Cambria" w:hAnsi="Cambria"/>
          <w:szCs w:val="20"/>
        </w:rPr>
        <w:t xml:space="preserve"> 18 </w:t>
      </w:r>
      <w:r>
        <w:rPr>
          <w:rFonts w:ascii="Cambria" w:hAnsi="Cambria"/>
          <w:szCs w:val="20"/>
        </w:rPr>
        <w:t xml:space="preserve">it amended its complaint to indict the mayor of </w:t>
      </w:r>
      <w:r w:rsidRPr="00F02416">
        <w:rPr>
          <w:rFonts w:ascii="Cambria" w:hAnsi="Cambria"/>
          <w:szCs w:val="20"/>
        </w:rPr>
        <w:t xml:space="preserve">Yungay </w:t>
      </w:r>
      <w:r>
        <w:rPr>
          <w:rFonts w:ascii="Cambria" w:hAnsi="Cambria"/>
          <w:szCs w:val="20"/>
        </w:rPr>
        <w:t xml:space="preserve">and his daughter as the masterminds of the murder </w:t>
      </w:r>
      <w:r w:rsidRPr="001E260A">
        <w:rPr>
          <w:rFonts w:ascii="Cambria" w:hAnsi="Cambria"/>
          <w:szCs w:val="20"/>
        </w:rPr>
        <w:t>and responsible for the crime of havoc against the journalist’s house.</w:t>
      </w:r>
      <w:r w:rsidRPr="00F02416">
        <w:rPr>
          <w:rFonts w:ascii="Cambria" w:hAnsi="Cambria"/>
          <w:szCs w:val="20"/>
        </w:rPr>
        <w:t xml:space="preserve"> </w:t>
      </w:r>
      <w:r>
        <w:rPr>
          <w:rFonts w:ascii="Cambria" w:hAnsi="Cambria"/>
          <w:szCs w:val="20"/>
        </w:rPr>
        <w:t>The petitioners</w:t>
      </w:r>
      <w:r w:rsidRPr="00F02416">
        <w:rPr>
          <w:rFonts w:ascii="Cambria" w:hAnsi="Cambria"/>
          <w:szCs w:val="20"/>
        </w:rPr>
        <w:t xml:space="preserve"> </w:t>
      </w:r>
      <w:r>
        <w:rPr>
          <w:rFonts w:ascii="Cambria" w:hAnsi="Cambria"/>
          <w:szCs w:val="20"/>
        </w:rPr>
        <w:t xml:space="preserve">added that another three individuals were charged as accomplices to the crime. </w:t>
      </w:r>
    </w:p>
    <w:p w:rsidR="007002A4" w:rsidRPr="00F02416" w:rsidRDefault="007002A4" w:rsidP="007002A4">
      <w:pPr>
        <w:pStyle w:val="Firstparagraph"/>
        <w:spacing w:before="0" w:after="0"/>
        <w:ind w:firstLine="720"/>
        <w:rPr>
          <w:rFonts w:ascii="Cambria" w:hAnsi="Cambria"/>
          <w:szCs w:val="20"/>
        </w:rPr>
      </w:pPr>
    </w:p>
    <w:p w:rsidR="007002A4" w:rsidRPr="00F02416" w:rsidRDefault="007002A4" w:rsidP="007002A4">
      <w:pPr>
        <w:pStyle w:val="Firstparagraph"/>
        <w:numPr>
          <w:ilvl w:val="0"/>
          <w:numId w:val="106"/>
        </w:numPr>
        <w:spacing w:before="0" w:after="0"/>
        <w:ind w:left="0" w:firstLine="720"/>
        <w:rPr>
          <w:rFonts w:ascii="Cambria" w:hAnsi="Cambria"/>
          <w:szCs w:val="20"/>
        </w:rPr>
      </w:pPr>
      <w:r>
        <w:rPr>
          <w:rFonts w:ascii="Cambria" w:hAnsi="Cambria"/>
          <w:szCs w:val="20"/>
        </w:rPr>
        <w:t>The petitioners</w:t>
      </w:r>
      <w:r w:rsidRPr="00F02416">
        <w:rPr>
          <w:rFonts w:ascii="Cambria" w:hAnsi="Cambria"/>
          <w:szCs w:val="20"/>
        </w:rPr>
        <w:t xml:space="preserve"> </w:t>
      </w:r>
      <w:r>
        <w:rPr>
          <w:rFonts w:ascii="Cambria" w:hAnsi="Cambria"/>
          <w:szCs w:val="20"/>
        </w:rPr>
        <w:t xml:space="preserve">stated that on December 14, </w:t>
      </w:r>
      <w:r w:rsidRPr="00F02416">
        <w:rPr>
          <w:rFonts w:ascii="Cambria" w:hAnsi="Cambria"/>
          <w:szCs w:val="20"/>
        </w:rPr>
        <w:t xml:space="preserve">2005 </w:t>
      </w:r>
      <w:r>
        <w:rPr>
          <w:rFonts w:ascii="Cambria" w:hAnsi="Cambria"/>
          <w:szCs w:val="20"/>
        </w:rPr>
        <w:t>the defendants were found guilty by</w:t>
      </w:r>
      <w:r w:rsidRPr="00F02416">
        <w:rPr>
          <w:rFonts w:ascii="Cambria" w:hAnsi="Cambria"/>
          <w:szCs w:val="20"/>
        </w:rPr>
        <w:t xml:space="preserve"> </w:t>
      </w:r>
      <w:r>
        <w:rPr>
          <w:rFonts w:ascii="Cambria" w:hAnsi="Cambria"/>
          <w:szCs w:val="20"/>
        </w:rPr>
        <w:t>the First Criminal Division of the Superior Court of Ancash</w:t>
      </w:r>
      <w:r w:rsidRPr="00F02416">
        <w:rPr>
          <w:rFonts w:ascii="Cambria" w:hAnsi="Cambria"/>
          <w:szCs w:val="20"/>
        </w:rPr>
        <w:t xml:space="preserve">. </w:t>
      </w:r>
      <w:r>
        <w:rPr>
          <w:rFonts w:ascii="Cambria" w:hAnsi="Cambria"/>
          <w:szCs w:val="20"/>
        </w:rPr>
        <w:t>The conviction was overturned by the First Temporary Criminal Division of the Supreme Court,</w:t>
      </w:r>
      <w:r w:rsidRPr="00F02416">
        <w:rPr>
          <w:rFonts w:ascii="Cambria" w:hAnsi="Cambria"/>
          <w:szCs w:val="20"/>
        </w:rPr>
        <w:t xml:space="preserve"> </w:t>
      </w:r>
      <w:r>
        <w:rPr>
          <w:rFonts w:ascii="Cambria" w:hAnsi="Cambria"/>
          <w:szCs w:val="20"/>
        </w:rPr>
        <w:t>which acquitted all of the defendants, including the mayor’s daughter, on July 20,</w:t>
      </w:r>
      <w:r w:rsidRPr="00F02416">
        <w:rPr>
          <w:rFonts w:ascii="Cambria" w:hAnsi="Cambria"/>
          <w:szCs w:val="20"/>
        </w:rPr>
        <w:t xml:space="preserve"> 2006. </w:t>
      </w:r>
      <w:r>
        <w:rPr>
          <w:rFonts w:ascii="Cambria" w:hAnsi="Cambria"/>
          <w:szCs w:val="20"/>
        </w:rPr>
        <w:t>The petitioners</w:t>
      </w:r>
      <w:r w:rsidRPr="00F02416">
        <w:rPr>
          <w:rFonts w:ascii="Cambria" w:hAnsi="Cambria"/>
          <w:szCs w:val="20"/>
        </w:rPr>
        <w:t xml:space="preserve"> </w:t>
      </w:r>
      <w:r>
        <w:rPr>
          <w:rFonts w:ascii="Cambria" w:hAnsi="Cambria"/>
          <w:szCs w:val="20"/>
        </w:rPr>
        <w:t>stated that</w:t>
      </w:r>
      <w:r w:rsidRPr="00F02416">
        <w:rPr>
          <w:rFonts w:ascii="Cambria" w:hAnsi="Cambria"/>
          <w:szCs w:val="20"/>
        </w:rPr>
        <w:t xml:space="preserve"> </w:t>
      </w:r>
      <w:r>
        <w:rPr>
          <w:rFonts w:ascii="Cambria" w:hAnsi="Cambria"/>
          <w:szCs w:val="20"/>
        </w:rPr>
        <w:t>they received notice of this decision on August</w:t>
      </w:r>
      <w:r w:rsidRPr="00F02416">
        <w:rPr>
          <w:rFonts w:ascii="Cambria" w:hAnsi="Cambria"/>
          <w:szCs w:val="20"/>
        </w:rPr>
        <w:t xml:space="preserve"> 10</w:t>
      </w:r>
      <w:r>
        <w:rPr>
          <w:rFonts w:ascii="Cambria" w:hAnsi="Cambria"/>
          <w:szCs w:val="20"/>
        </w:rPr>
        <w:t>,</w:t>
      </w:r>
      <w:r w:rsidRPr="00F02416">
        <w:rPr>
          <w:rFonts w:ascii="Cambria" w:hAnsi="Cambria"/>
          <w:szCs w:val="20"/>
        </w:rPr>
        <w:t xml:space="preserve"> 2006. </w:t>
      </w:r>
      <w:r>
        <w:rPr>
          <w:rFonts w:ascii="Cambria" w:hAnsi="Cambria"/>
          <w:szCs w:val="20"/>
        </w:rPr>
        <w:t>They asserted that the acquittal created a situation if impunity, since the Court’s decision should have ordered the authorities to conduct new proceedings or investigations.</w:t>
      </w:r>
      <w:r w:rsidRPr="00F02416">
        <w:rPr>
          <w:rFonts w:ascii="Cambria" w:hAnsi="Cambria"/>
          <w:szCs w:val="20"/>
        </w:rPr>
        <w:t xml:space="preserve"> </w:t>
      </w:r>
      <w:r>
        <w:rPr>
          <w:rFonts w:ascii="Cambria" w:hAnsi="Cambria"/>
          <w:szCs w:val="20"/>
        </w:rPr>
        <w:t xml:space="preserve">They allege that no new investigations have been carried out to date, which has prevented finding and punishing the perpetrators of </w:t>
      </w:r>
      <w:r w:rsidRPr="00F02416">
        <w:rPr>
          <w:rFonts w:ascii="Cambria" w:hAnsi="Cambria"/>
          <w:szCs w:val="20"/>
        </w:rPr>
        <w:t>De la Torre Echeandía</w:t>
      </w:r>
      <w:r>
        <w:rPr>
          <w:rFonts w:ascii="Cambria" w:hAnsi="Cambria"/>
          <w:szCs w:val="20"/>
        </w:rPr>
        <w:t>’s murder</w:t>
      </w:r>
      <w:r w:rsidRPr="00F02416">
        <w:rPr>
          <w:rFonts w:ascii="Cambria" w:hAnsi="Cambria"/>
          <w:szCs w:val="20"/>
        </w:rPr>
        <w:t>.</w:t>
      </w:r>
    </w:p>
    <w:p w:rsidR="007002A4" w:rsidRPr="00F02416" w:rsidRDefault="007002A4" w:rsidP="007002A4">
      <w:pPr>
        <w:pStyle w:val="Firstparagraph"/>
        <w:spacing w:before="0" w:after="0"/>
        <w:ind w:firstLine="720"/>
        <w:rPr>
          <w:rFonts w:ascii="Cambria" w:hAnsi="Cambria"/>
          <w:szCs w:val="20"/>
        </w:rPr>
      </w:pPr>
    </w:p>
    <w:p w:rsidR="007002A4" w:rsidRPr="00F02416" w:rsidRDefault="007002A4" w:rsidP="007002A4">
      <w:pPr>
        <w:pStyle w:val="Firstparagraph"/>
        <w:numPr>
          <w:ilvl w:val="0"/>
          <w:numId w:val="106"/>
        </w:numPr>
        <w:spacing w:before="0" w:after="0"/>
        <w:ind w:left="0" w:firstLine="720"/>
        <w:rPr>
          <w:rFonts w:ascii="Cambria" w:hAnsi="Cambria"/>
          <w:szCs w:val="20"/>
        </w:rPr>
      </w:pPr>
      <w:r>
        <w:rPr>
          <w:rFonts w:ascii="Cambria" w:hAnsi="Cambria"/>
          <w:szCs w:val="20"/>
        </w:rPr>
        <w:t xml:space="preserve">The petitioners alleged that the case brought against the defendants was plagued by irregularities. In particular, the victim’s wife </w:t>
      </w:r>
      <w:r w:rsidRPr="00F02416">
        <w:rPr>
          <w:rFonts w:ascii="Cambria" w:hAnsi="Cambria"/>
          <w:szCs w:val="20"/>
        </w:rPr>
        <w:t xml:space="preserve">Dina Ramírez Ramírez </w:t>
      </w:r>
      <w:r>
        <w:rPr>
          <w:rFonts w:ascii="Cambria" w:hAnsi="Cambria"/>
          <w:szCs w:val="20"/>
        </w:rPr>
        <w:t xml:space="preserve">was denied access to the case file, she was prevented from attending the court hearings, and she was the victim of attacks during the trial that were not properly investigated. The petitioners explained that </w:t>
      </w:r>
      <w:r w:rsidRPr="00F02416">
        <w:rPr>
          <w:rFonts w:ascii="Cambria" w:hAnsi="Cambria"/>
          <w:szCs w:val="20"/>
        </w:rPr>
        <w:t>De la Torre Echeandía</w:t>
      </w:r>
      <w:r>
        <w:rPr>
          <w:rFonts w:ascii="Cambria" w:hAnsi="Cambria"/>
          <w:szCs w:val="20"/>
        </w:rPr>
        <w:t xml:space="preserve">’s wife and co-petitioner in this case, </w:t>
      </w:r>
      <w:r w:rsidRPr="00F02416">
        <w:rPr>
          <w:rFonts w:ascii="Cambria" w:hAnsi="Cambria"/>
          <w:szCs w:val="20"/>
        </w:rPr>
        <w:t>Dina Ramírez Ramírez</w:t>
      </w:r>
      <w:r>
        <w:rPr>
          <w:rFonts w:ascii="Cambria" w:hAnsi="Cambria"/>
          <w:szCs w:val="20"/>
        </w:rPr>
        <w:t>, was subject to numerous threats and incidents of harassment</w:t>
      </w:r>
      <w:r w:rsidRPr="00F02416">
        <w:rPr>
          <w:rFonts w:ascii="Cambria" w:hAnsi="Cambria"/>
          <w:szCs w:val="20"/>
        </w:rPr>
        <w:t xml:space="preserve"> </w:t>
      </w:r>
      <w:r>
        <w:rPr>
          <w:rFonts w:ascii="Cambria" w:hAnsi="Cambria"/>
          <w:szCs w:val="20"/>
        </w:rPr>
        <w:t>during the trial</w:t>
      </w:r>
      <w:r w:rsidRPr="00F02416">
        <w:rPr>
          <w:rFonts w:ascii="Cambria" w:hAnsi="Cambria"/>
          <w:szCs w:val="20"/>
        </w:rPr>
        <w:t xml:space="preserve">. </w:t>
      </w:r>
      <w:r>
        <w:rPr>
          <w:rFonts w:ascii="Cambria" w:hAnsi="Cambria"/>
          <w:szCs w:val="20"/>
        </w:rPr>
        <w:t>For example, they stated that</w:t>
      </w:r>
      <w:r w:rsidRPr="00F02416">
        <w:rPr>
          <w:rFonts w:ascii="Cambria" w:hAnsi="Cambria"/>
          <w:szCs w:val="20"/>
        </w:rPr>
        <w:t xml:space="preserve"> </w:t>
      </w:r>
      <w:r>
        <w:rPr>
          <w:rFonts w:ascii="Cambria" w:hAnsi="Cambria"/>
          <w:szCs w:val="20"/>
        </w:rPr>
        <w:t>the electrical wiring in her house was tampered with in order to cause a short circuit</w:t>
      </w:r>
      <w:r w:rsidRPr="00F02416">
        <w:rPr>
          <w:rFonts w:ascii="Cambria" w:hAnsi="Cambria"/>
          <w:szCs w:val="20"/>
        </w:rPr>
        <w:t xml:space="preserve">, </w:t>
      </w:r>
      <w:r>
        <w:rPr>
          <w:rFonts w:ascii="Cambria" w:hAnsi="Cambria"/>
          <w:szCs w:val="20"/>
        </w:rPr>
        <w:t>which was reported to the authorities on April</w:t>
      </w:r>
      <w:r w:rsidRPr="00F02416">
        <w:rPr>
          <w:rFonts w:ascii="Cambria" w:hAnsi="Cambria"/>
          <w:szCs w:val="20"/>
        </w:rPr>
        <w:t xml:space="preserve"> </w:t>
      </w:r>
      <w:r w:rsidRPr="0020067F">
        <w:rPr>
          <w:rFonts w:ascii="Cambria" w:hAnsi="Cambria"/>
          <w:szCs w:val="20"/>
        </w:rPr>
        <w:t xml:space="preserve">23, 2005. They further indicated that Dina Ramírez Ramírez’s daughter, Vanesa de la Torre Ramírez, and her niece Harley Julisa Andagua Ramírez, were threatened by one of the </w:t>
      </w:r>
      <w:r w:rsidRPr="001E260A">
        <w:rPr>
          <w:rFonts w:ascii="Cambria" w:hAnsi="Cambria"/>
          <w:szCs w:val="20"/>
        </w:rPr>
        <w:t xml:space="preserve">defendants, and that they file a complaint to the police concerning these facts on September 15, 2005.  The petitioners also reported that between July 22 and August 8, 2006, Dina Ramírez Ramírez’s home was attacked every night and that the windows of the house were destroyed.  They stated that on August 9, 2006, more than thirty intimidating phone calls were made to the house.  Because of these threats, the </w:t>
      </w:r>
      <w:r w:rsidRPr="001E260A">
        <w:rPr>
          <w:rFonts w:ascii="Cambria" w:hAnsi="Cambria"/>
          <w:i/>
          <w:szCs w:val="20"/>
        </w:rPr>
        <w:t>Instituto Prensa y Sociedad</w:t>
      </w:r>
      <w:r w:rsidRPr="001E260A">
        <w:rPr>
          <w:rFonts w:ascii="Cambria" w:hAnsi="Cambria"/>
          <w:szCs w:val="20"/>
        </w:rPr>
        <w:t>, with the assistance of the New York-based Committee to Protect Journalists, arranged for Dina Ramírez Ramírez and her family to leave</w:t>
      </w:r>
      <w:r>
        <w:rPr>
          <w:rFonts w:ascii="Cambria" w:hAnsi="Cambria"/>
          <w:szCs w:val="20"/>
        </w:rPr>
        <w:t xml:space="preserve"> </w:t>
      </w:r>
      <w:r w:rsidRPr="00F02416">
        <w:rPr>
          <w:rFonts w:ascii="Cambria" w:hAnsi="Cambria"/>
          <w:szCs w:val="20"/>
        </w:rPr>
        <w:t xml:space="preserve">Yungay </w:t>
      </w:r>
      <w:r>
        <w:rPr>
          <w:rFonts w:ascii="Cambria" w:hAnsi="Cambria"/>
          <w:szCs w:val="20"/>
        </w:rPr>
        <w:t xml:space="preserve">in order to protect her life and safety. </w:t>
      </w:r>
    </w:p>
    <w:p w:rsidR="007002A4" w:rsidRPr="00F02416" w:rsidRDefault="007002A4" w:rsidP="007002A4">
      <w:pPr>
        <w:pStyle w:val="Firstparagraph"/>
        <w:spacing w:before="0" w:after="0"/>
        <w:ind w:firstLine="720"/>
        <w:rPr>
          <w:rFonts w:ascii="Cambria" w:hAnsi="Cambria"/>
          <w:szCs w:val="20"/>
        </w:rPr>
      </w:pPr>
    </w:p>
    <w:p w:rsidR="007002A4" w:rsidRPr="00F02416" w:rsidRDefault="007002A4" w:rsidP="007002A4">
      <w:pPr>
        <w:pStyle w:val="Firstparagraph"/>
        <w:numPr>
          <w:ilvl w:val="0"/>
          <w:numId w:val="106"/>
        </w:numPr>
        <w:spacing w:before="0" w:after="0"/>
        <w:ind w:left="0" w:firstLine="720"/>
        <w:rPr>
          <w:rFonts w:ascii="Cambria" w:hAnsi="Cambria"/>
          <w:szCs w:val="20"/>
        </w:rPr>
      </w:pPr>
      <w:r>
        <w:rPr>
          <w:rFonts w:ascii="Cambria" w:hAnsi="Cambria"/>
          <w:szCs w:val="20"/>
        </w:rPr>
        <w:t>In conclusion</w:t>
      </w:r>
      <w:r w:rsidRPr="00F02416">
        <w:rPr>
          <w:rFonts w:ascii="Cambria" w:hAnsi="Cambria"/>
          <w:szCs w:val="20"/>
        </w:rPr>
        <w:t xml:space="preserve">, </w:t>
      </w:r>
      <w:r>
        <w:rPr>
          <w:rFonts w:ascii="Cambria" w:hAnsi="Cambria"/>
          <w:szCs w:val="20"/>
        </w:rPr>
        <w:t>they asked</w:t>
      </w:r>
      <w:r w:rsidRPr="00F02416">
        <w:rPr>
          <w:rFonts w:ascii="Cambria" w:hAnsi="Cambria"/>
          <w:szCs w:val="20"/>
        </w:rPr>
        <w:t xml:space="preserve"> </w:t>
      </w:r>
      <w:r>
        <w:rPr>
          <w:rFonts w:ascii="Cambria" w:hAnsi="Cambria"/>
          <w:szCs w:val="20"/>
        </w:rPr>
        <w:t>the IACHR</w:t>
      </w:r>
      <w:r w:rsidRPr="00F02416">
        <w:rPr>
          <w:rFonts w:ascii="Cambria" w:hAnsi="Cambria"/>
          <w:szCs w:val="20"/>
        </w:rPr>
        <w:t xml:space="preserve"> </w:t>
      </w:r>
      <w:r>
        <w:rPr>
          <w:rFonts w:ascii="Cambria" w:hAnsi="Cambria"/>
          <w:szCs w:val="20"/>
        </w:rPr>
        <w:t>to declare the</w:t>
      </w:r>
      <w:r w:rsidRPr="00F02416">
        <w:rPr>
          <w:rFonts w:ascii="Cambria" w:hAnsi="Cambria"/>
          <w:szCs w:val="20"/>
        </w:rPr>
        <w:t xml:space="preserve"> </w:t>
      </w:r>
      <w:r>
        <w:rPr>
          <w:rFonts w:ascii="Cambria" w:hAnsi="Cambria"/>
          <w:szCs w:val="20"/>
        </w:rPr>
        <w:t>international responsibility of the Peruvian State</w:t>
      </w:r>
      <w:r w:rsidRPr="00F02416">
        <w:rPr>
          <w:rFonts w:ascii="Cambria" w:hAnsi="Cambria"/>
          <w:szCs w:val="20"/>
        </w:rPr>
        <w:t xml:space="preserve"> </w:t>
      </w:r>
      <w:r>
        <w:rPr>
          <w:rFonts w:ascii="Cambria" w:hAnsi="Cambria"/>
          <w:szCs w:val="20"/>
        </w:rPr>
        <w:t>for the violation of Articles</w:t>
      </w:r>
      <w:r w:rsidRPr="00F02416">
        <w:rPr>
          <w:rFonts w:ascii="Cambria" w:hAnsi="Cambria"/>
          <w:szCs w:val="20"/>
        </w:rPr>
        <w:t xml:space="preserve"> 4, 5,</w:t>
      </w:r>
      <w:r>
        <w:rPr>
          <w:rFonts w:ascii="Cambria" w:hAnsi="Cambria"/>
          <w:szCs w:val="20"/>
        </w:rPr>
        <w:t xml:space="preserve"> 8, 13, 17, and</w:t>
      </w:r>
      <w:r w:rsidRPr="00F02416">
        <w:rPr>
          <w:rFonts w:ascii="Cambria" w:hAnsi="Cambria"/>
          <w:szCs w:val="20"/>
        </w:rPr>
        <w:t xml:space="preserve"> 25 </w:t>
      </w:r>
      <w:r>
        <w:rPr>
          <w:rFonts w:ascii="Cambria" w:hAnsi="Cambria"/>
          <w:szCs w:val="20"/>
        </w:rPr>
        <w:t>of the American Convention</w:t>
      </w:r>
      <w:r w:rsidRPr="00F02416">
        <w:rPr>
          <w:rFonts w:ascii="Cambria" w:hAnsi="Cambria"/>
          <w:szCs w:val="20"/>
        </w:rPr>
        <w:t>.</w:t>
      </w:r>
    </w:p>
    <w:p w:rsidR="007002A4" w:rsidRPr="00F02416" w:rsidRDefault="007002A4" w:rsidP="007002A4">
      <w:pPr>
        <w:pStyle w:val="Heading2"/>
        <w:keepLines w:val="0"/>
        <w:widowControl w:val="0"/>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0"/>
        <w:ind w:firstLine="720"/>
        <w:jc w:val="both"/>
        <w:rPr>
          <w:rFonts w:ascii="Cambria" w:hAnsi="Cambria"/>
          <w:sz w:val="20"/>
          <w:szCs w:val="20"/>
        </w:rPr>
      </w:pPr>
    </w:p>
    <w:p w:rsidR="007002A4" w:rsidRPr="007A1671" w:rsidRDefault="007002A4" w:rsidP="007002A4">
      <w:pPr>
        <w:pStyle w:val="Heading2"/>
        <w:keepLines w:val="0"/>
        <w:widowControl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0"/>
        <w:ind w:left="0" w:firstLine="720"/>
        <w:jc w:val="both"/>
        <w:rPr>
          <w:rFonts w:ascii="Cambria" w:hAnsi="Cambria"/>
          <w:color w:val="auto"/>
          <w:sz w:val="20"/>
          <w:szCs w:val="20"/>
        </w:rPr>
      </w:pPr>
      <w:r w:rsidRPr="007A1671">
        <w:rPr>
          <w:rFonts w:ascii="Cambria" w:hAnsi="Cambria"/>
          <w:color w:val="auto"/>
          <w:sz w:val="20"/>
          <w:szCs w:val="20"/>
        </w:rPr>
        <w:t>Position of the State</w:t>
      </w:r>
    </w:p>
    <w:p w:rsidR="007002A4" w:rsidRDefault="007002A4" w:rsidP="007002A4">
      <w:pPr>
        <w:pStyle w:val="Firstparagraph"/>
        <w:spacing w:before="0" w:after="0"/>
        <w:ind w:firstLine="720"/>
        <w:rPr>
          <w:rFonts w:ascii="Cambria" w:hAnsi="Cambria"/>
          <w:szCs w:val="20"/>
        </w:rPr>
      </w:pPr>
    </w:p>
    <w:p w:rsidR="007002A4" w:rsidRPr="00F02416" w:rsidRDefault="007002A4" w:rsidP="007002A4">
      <w:pPr>
        <w:pStyle w:val="Firstparagraph"/>
        <w:numPr>
          <w:ilvl w:val="0"/>
          <w:numId w:val="106"/>
        </w:numPr>
        <w:spacing w:before="0" w:after="0"/>
        <w:ind w:left="0" w:firstLine="720"/>
        <w:rPr>
          <w:rFonts w:ascii="Cambria" w:hAnsi="Cambria"/>
          <w:szCs w:val="20"/>
        </w:rPr>
      </w:pPr>
      <w:r>
        <w:rPr>
          <w:rFonts w:ascii="Cambria" w:hAnsi="Cambria"/>
          <w:szCs w:val="20"/>
        </w:rPr>
        <w:t>The State</w:t>
      </w:r>
      <w:r w:rsidRPr="00F02416">
        <w:rPr>
          <w:rFonts w:ascii="Cambria" w:hAnsi="Cambria"/>
          <w:szCs w:val="20"/>
        </w:rPr>
        <w:t xml:space="preserve"> </w:t>
      </w:r>
      <w:r>
        <w:rPr>
          <w:rFonts w:ascii="Cambria" w:hAnsi="Cambria"/>
          <w:szCs w:val="20"/>
        </w:rPr>
        <w:t>argued that</w:t>
      </w:r>
      <w:r w:rsidRPr="00F02416">
        <w:rPr>
          <w:rFonts w:ascii="Cambria" w:hAnsi="Cambria"/>
          <w:szCs w:val="20"/>
        </w:rPr>
        <w:t xml:space="preserve"> </w:t>
      </w:r>
      <w:r>
        <w:rPr>
          <w:rFonts w:ascii="Cambria" w:hAnsi="Cambria"/>
          <w:szCs w:val="20"/>
        </w:rPr>
        <w:t>the petition</w:t>
      </w:r>
      <w:r w:rsidRPr="00F02416">
        <w:rPr>
          <w:rFonts w:ascii="Cambria" w:hAnsi="Cambria"/>
          <w:szCs w:val="20"/>
        </w:rPr>
        <w:t xml:space="preserve"> </w:t>
      </w:r>
      <w:r>
        <w:rPr>
          <w:rFonts w:ascii="Cambria" w:hAnsi="Cambria"/>
          <w:szCs w:val="20"/>
        </w:rPr>
        <w:t>should be declared inadmissible because the alleged facts do not constitute violations of the</w:t>
      </w:r>
      <w:r w:rsidRPr="00F02416">
        <w:rPr>
          <w:rFonts w:ascii="Cambria" w:hAnsi="Cambria"/>
          <w:szCs w:val="20"/>
        </w:rPr>
        <w:t xml:space="preserve"> </w:t>
      </w:r>
      <w:r>
        <w:rPr>
          <w:rFonts w:ascii="Cambria" w:hAnsi="Cambria"/>
          <w:szCs w:val="20"/>
        </w:rPr>
        <w:t>human rights</w:t>
      </w:r>
      <w:r w:rsidRPr="00F02416">
        <w:rPr>
          <w:rFonts w:ascii="Cambria" w:hAnsi="Cambria"/>
          <w:szCs w:val="20"/>
        </w:rPr>
        <w:t xml:space="preserve"> </w:t>
      </w:r>
      <w:r>
        <w:rPr>
          <w:rFonts w:ascii="Cambria" w:hAnsi="Cambria"/>
          <w:szCs w:val="20"/>
        </w:rPr>
        <w:t>guaranteed by</w:t>
      </w:r>
      <w:r w:rsidRPr="00F02416">
        <w:rPr>
          <w:rFonts w:ascii="Cambria" w:hAnsi="Cambria"/>
          <w:szCs w:val="20"/>
        </w:rPr>
        <w:t xml:space="preserve"> </w:t>
      </w:r>
      <w:r>
        <w:rPr>
          <w:rFonts w:ascii="Cambria" w:hAnsi="Cambria"/>
          <w:szCs w:val="20"/>
        </w:rPr>
        <w:t>the American Convention</w:t>
      </w:r>
      <w:r w:rsidRPr="00F02416">
        <w:rPr>
          <w:rFonts w:ascii="Cambria" w:hAnsi="Cambria"/>
          <w:szCs w:val="20"/>
        </w:rPr>
        <w:t xml:space="preserve">. </w:t>
      </w:r>
      <w:r>
        <w:rPr>
          <w:rFonts w:ascii="Cambria" w:hAnsi="Cambria"/>
          <w:szCs w:val="20"/>
        </w:rPr>
        <w:t xml:space="preserve">It also asserted that the judgment acquitting the individuals accused of </w:t>
      </w:r>
      <w:r w:rsidRPr="001E260A">
        <w:rPr>
          <w:rFonts w:ascii="Cambria" w:hAnsi="Cambria"/>
          <w:szCs w:val="20"/>
        </w:rPr>
        <w:t>Antonio De la Torre</w:t>
      </w:r>
      <w:r>
        <w:rPr>
          <w:rFonts w:ascii="Cambria" w:hAnsi="Cambria"/>
          <w:szCs w:val="20"/>
        </w:rPr>
        <w:t xml:space="preserve"> </w:t>
      </w:r>
      <w:r w:rsidRPr="00F02416">
        <w:rPr>
          <w:rFonts w:ascii="Cambria" w:hAnsi="Cambria"/>
          <w:szCs w:val="20"/>
        </w:rPr>
        <w:t>Echeandía</w:t>
      </w:r>
      <w:r>
        <w:rPr>
          <w:rFonts w:ascii="Cambria" w:hAnsi="Cambria"/>
          <w:szCs w:val="20"/>
        </w:rPr>
        <w:t>’s murder and the harassment</w:t>
      </w:r>
      <w:r w:rsidRPr="00F02416">
        <w:rPr>
          <w:rFonts w:ascii="Cambria" w:hAnsi="Cambria"/>
          <w:szCs w:val="20"/>
        </w:rPr>
        <w:t xml:space="preserve"> </w:t>
      </w:r>
      <w:r>
        <w:rPr>
          <w:rFonts w:ascii="Cambria" w:hAnsi="Cambria"/>
          <w:szCs w:val="20"/>
        </w:rPr>
        <w:t>and assaults against his family was handed down within the framework of a rights-based criminal proceeding that respected the due process of law</w:t>
      </w:r>
      <w:r w:rsidRPr="00F02416">
        <w:rPr>
          <w:rFonts w:ascii="Cambria" w:hAnsi="Cambria"/>
          <w:szCs w:val="20"/>
        </w:rPr>
        <w:t xml:space="preserve">. </w:t>
      </w:r>
      <w:r>
        <w:rPr>
          <w:rFonts w:ascii="Cambria" w:hAnsi="Cambria"/>
          <w:szCs w:val="20"/>
        </w:rPr>
        <w:t>The State</w:t>
      </w:r>
      <w:r w:rsidRPr="00F02416">
        <w:rPr>
          <w:rFonts w:ascii="Cambria" w:hAnsi="Cambria"/>
          <w:szCs w:val="20"/>
        </w:rPr>
        <w:t xml:space="preserve"> </w:t>
      </w:r>
      <w:r>
        <w:rPr>
          <w:rFonts w:ascii="Cambria" w:hAnsi="Cambria"/>
          <w:szCs w:val="20"/>
        </w:rPr>
        <w:t>maintained that</w:t>
      </w:r>
      <w:r w:rsidRPr="00F02416">
        <w:rPr>
          <w:rFonts w:ascii="Cambria" w:hAnsi="Cambria"/>
          <w:szCs w:val="20"/>
        </w:rPr>
        <w:t xml:space="preserve"> </w:t>
      </w:r>
      <w:r>
        <w:rPr>
          <w:rFonts w:ascii="Cambria" w:hAnsi="Cambria"/>
          <w:szCs w:val="20"/>
        </w:rPr>
        <w:t>the Supreme Court</w:t>
      </w:r>
      <w:r w:rsidRPr="00F02416">
        <w:rPr>
          <w:rFonts w:ascii="Cambria" w:hAnsi="Cambria"/>
          <w:szCs w:val="20"/>
        </w:rPr>
        <w:t xml:space="preserve"> </w:t>
      </w:r>
      <w:r>
        <w:rPr>
          <w:rFonts w:ascii="Cambria" w:hAnsi="Cambria"/>
          <w:szCs w:val="20"/>
        </w:rPr>
        <w:t xml:space="preserve">acted within the scope of its legal and constitutional authority in acquitting the defendants. It also asserted that the shelving of the case makes it possible for “the investigations to continue in order to identify the perpetrators of the crime in question.” </w:t>
      </w:r>
      <w:r w:rsidRPr="00F02416">
        <w:rPr>
          <w:rFonts w:ascii="Cambria" w:hAnsi="Cambria"/>
          <w:szCs w:val="20"/>
        </w:rPr>
        <w:t xml:space="preserve"> </w:t>
      </w:r>
    </w:p>
    <w:p w:rsidR="007002A4" w:rsidRPr="00F02416" w:rsidRDefault="007002A4" w:rsidP="007002A4">
      <w:pPr>
        <w:pStyle w:val="Firstparagraph"/>
        <w:spacing w:before="0" w:after="0"/>
        <w:ind w:firstLine="720"/>
        <w:rPr>
          <w:rFonts w:ascii="Cambria" w:hAnsi="Cambria"/>
          <w:szCs w:val="20"/>
        </w:rPr>
      </w:pPr>
    </w:p>
    <w:p w:rsidR="007002A4" w:rsidRPr="00F02416" w:rsidRDefault="007002A4" w:rsidP="007002A4">
      <w:pPr>
        <w:pStyle w:val="Firstparagraph"/>
        <w:numPr>
          <w:ilvl w:val="0"/>
          <w:numId w:val="106"/>
        </w:numPr>
        <w:spacing w:before="0" w:after="0"/>
        <w:ind w:left="0" w:firstLine="720"/>
        <w:rPr>
          <w:rFonts w:ascii="Cambria" w:hAnsi="Cambria"/>
          <w:szCs w:val="20"/>
        </w:rPr>
      </w:pPr>
      <w:r>
        <w:rPr>
          <w:rFonts w:ascii="Cambria" w:hAnsi="Cambria"/>
          <w:szCs w:val="20"/>
        </w:rPr>
        <w:t>The State</w:t>
      </w:r>
      <w:r w:rsidRPr="00F02416">
        <w:rPr>
          <w:rFonts w:ascii="Cambria" w:hAnsi="Cambria"/>
          <w:szCs w:val="20"/>
        </w:rPr>
        <w:t xml:space="preserve"> </w:t>
      </w:r>
      <w:r>
        <w:rPr>
          <w:rFonts w:ascii="Cambria" w:hAnsi="Cambria"/>
          <w:szCs w:val="20"/>
        </w:rPr>
        <w:t>indicated that the prosecution of the defendants named by the petitioners</w:t>
      </w:r>
      <w:r w:rsidRPr="00F02416">
        <w:rPr>
          <w:rFonts w:ascii="Cambria" w:hAnsi="Cambria"/>
          <w:szCs w:val="20"/>
        </w:rPr>
        <w:t xml:space="preserve"> </w:t>
      </w:r>
      <w:r>
        <w:rPr>
          <w:rFonts w:ascii="Cambria" w:hAnsi="Cambria"/>
          <w:szCs w:val="20"/>
        </w:rPr>
        <w:t>as the perpetrators of the alleged victim’s murder</w:t>
      </w:r>
      <w:r w:rsidRPr="00F02416">
        <w:rPr>
          <w:rFonts w:ascii="Cambria" w:hAnsi="Cambria"/>
          <w:szCs w:val="20"/>
        </w:rPr>
        <w:t xml:space="preserve"> </w:t>
      </w:r>
      <w:r>
        <w:rPr>
          <w:rFonts w:ascii="Cambria" w:hAnsi="Cambria"/>
          <w:szCs w:val="20"/>
        </w:rPr>
        <w:t>respected the due process of law and the presumption of innocence. The State</w:t>
      </w:r>
      <w:r w:rsidRPr="00F02416">
        <w:rPr>
          <w:rFonts w:ascii="Cambria" w:hAnsi="Cambria"/>
          <w:szCs w:val="20"/>
        </w:rPr>
        <w:t xml:space="preserve"> </w:t>
      </w:r>
      <w:r>
        <w:rPr>
          <w:rFonts w:ascii="Cambria" w:hAnsi="Cambria"/>
          <w:szCs w:val="20"/>
        </w:rPr>
        <w:t>asserted that</w:t>
      </w:r>
      <w:r w:rsidRPr="00F02416">
        <w:rPr>
          <w:rFonts w:ascii="Cambria" w:hAnsi="Cambria"/>
          <w:szCs w:val="20"/>
        </w:rPr>
        <w:t xml:space="preserve"> </w:t>
      </w:r>
      <w:r>
        <w:rPr>
          <w:rFonts w:ascii="Cambria" w:hAnsi="Cambria"/>
          <w:szCs w:val="20"/>
        </w:rPr>
        <w:t xml:space="preserve">the Supreme </w:t>
      </w:r>
      <w:r w:rsidRPr="00A225D9">
        <w:rPr>
          <w:rFonts w:ascii="Cambria" w:hAnsi="Cambria"/>
          <w:szCs w:val="20"/>
        </w:rPr>
        <w:t>Court examined whether</w:t>
      </w:r>
      <w:r>
        <w:rPr>
          <w:rFonts w:ascii="Cambria" w:hAnsi="Cambria"/>
          <w:szCs w:val="20"/>
        </w:rPr>
        <w:t xml:space="preserve"> the convictions had followed its criterion for the establishment of circumstantial evidence</w:t>
      </w:r>
      <w:r w:rsidRPr="00F02416">
        <w:rPr>
          <w:rFonts w:ascii="Cambria" w:hAnsi="Cambria"/>
          <w:szCs w:val="20"/>
        </w:rPr>
        <w:t xml:space="preserve">, </w:t>
      </w:r>
      <w:r>
        <w:rPr>
          <w:rFonts w:ascii="Cambria" w:hAnsi="Cambria"/>
          <w:szCs w:val="20"/>
        </w:rPr>
        <w:t xml:space="preserve">which requires—according to </w:t>
      </w:r>
      <w:r w:rsidRPr="000C7295">
        <w:rPr>
          <w:rFonts w:ascii="Cambria" w:hAnsi="Cambria"/>
          <w:i/>
          <w:szCs w:val="20"/>
        </w:rPr>
        <w:t>en banc</w:t>
      </w:r>
      <w:r>
        <w:rPr>
          <w:rFonts w:ascii="Cambria" w:hAnsi="Cambria"/>
          <w:szCs w:val="20"/>
        </w:rPr>
        <w:t xml:space="preserve"> Decision</w:t>
      </w:r>
      <w:r w:rsidRPr="00F02416">
        <w:rPr>
          <w:rFonts w:ascii="Cambria" w:hAnsi="Cambria"/>
          <w:szCs w:val="20"/>
        </w:rPr>
        <w:t xml:space="preserve"> No. 1-2006/ESV-22 </w:t>
      </w:r>
      <w:r>
        <w:rPr>
          <w:rFonts w:ascii="Cambria" w:hAnsi="Cambria"/>
          <w:szCs w:val="20"/>
        </w:rPr>
        <w:t>of October</w:t>
      </w:r>
      <w:r w:rsidRPr="00F02416">
        <w:rPr>
          <w:rFonts w:ascii="Cambria" w:hAnsi="Cambria"/>
          <w:szCs w:val="20"/>
        </w:rPr>
        <w:t xml:space="preserve"> 13</w:t>
      </w:r>
      <w:r>
        <w:rPr>
          <w:rFonts w:ascii="Cambria" w:hAnsi="Cambria"/>
          <w:szCs w:val="20"/>
        </w:rPr>
        <w:t>,</w:t>
      </w:r>
      <w:r w:rsidRPr="00F02416">
        <w:rPr>
          <w:rFonts w:ascii="Cambria" w:hAnsi="Cambria"/>
          <w:szCs w:val="20"/>
        </w:rPr>
        <w:t xml:space="preserve"> </w:t>
      </w:r>
      <w:r>
        <w:rPr>
          <w:rFonts w:ascii="Cambria" w:hAnsi="Cambria"/>
          <w:szCs w:val="20"/>
        </w:rPr>
        <w:t xml:space="preserve">2006—that, with respect to the defendant: </w:t>
      </w:r>
      <w:r w:rsidRPr="00F02416">
        <w:rPr>
          <w:rFonts w:ascii="Cambria" w:hAnsi="Cambria"/>
          <w:szCs w:val="20"/>
        </w:rPr>
        <w:t xml:space="preserve">(a) </w:t>
      </w:r>
      <w:r>
        <w:rPr>
          <w:rFonts w:ascii="Cambria" w:hAnsi="Cambria"/>
          <w:szCs w:val="20"/>
        </w:rPr>
        <w:t xml:space="preserve">the underlying fact is fully proven; </w:t>
      </w:r>
      <w:r w:rsidRPr="00F02416">
        <w:rPr>
          <w:rFonts w:ascii="Cambria" w:hAnsi="Cambria"/>
          <w:szCs w:val="20"/>
        </w:rPr>
        <w:t xml:space="preserve">(b) </w:t>
      </w:r>
      <w:r>
        <w:rPr>
          <w:rFonts w:ascii="Cambria" w:hAnsi="Cambria"/>
          <w:szCs w:val="20"/>
        </w:rPr>
        <w:t>there are multiple indicia, or on an exceptional basis a single indicium</w:t>
      </w:r>
      <w:r w:rsidRPr="00F02416">
        <w:rPr>
          <w:rFonts w:ascii="Cambria" w:hAnsi="Cambria"/>
          <w:szCs w:val="20"/>
        </w:rPr>
        <w:t xml:space="preserve"> </w:t>
      </w:r>
      <w:r>
        <w:rPr>
          <w:rFonts w:ascii="Cambria" w:hAnsi="Cambria"/>
          <w:szCs w:val="20"/>
        </w:rPr>
        <w:t>that is extraordinarily strong; that</w:t>
      </w:r>
      <w:r w:rsidRPr="00F02416">
        <w:rPr>
          <w:rFonts w:ascii="Cambria" w:hAnsi="Cambria"/>
          <w:szCs w:val="20"/>
        </w:rPr>
        <w:t xml:space="preserve"> (c) </w:t>
      </w:r>
      <w:r>
        <w:rPr>
          <w:rFonts w:ascii="Cambria" w:hAnsi="Cambria"/>
          <w:szCs w:val="20"/>
        </w:rPr>
        <w:t>the indicia are concomitant to the fact sought to be proven; and</w:t>
      </w:r>
      <w:r w:rsidRPr="00F02416">
        <w:rPr>
          <w:rFonts w:ascii="Cambria" w:hAnsi="Cambria"/>
          <w:szCs w:val="20"/>
        </w:rPr>
        <w:t xml:space="preserve"> (d) </w:t>
      </w:r>
      <w:r>
        <w:rPr>
          <w:rFonts w:ascii="Cambria" w:hAnsi="Cambria"/>
          <w:szCs w:val="20"/>
        </w:rPr>
        <w:t>when there are several indicia, they are interrelated so as to reinforce each other. The State</w:t>
      </w:r>
      <w:r w:rsidRPr="00F02416">
        <w:rPr>
          <w:rFonts w:ascii="Cambria" w:hAnsi="Cambria"/>
          <w:szCs w:val="20"/>
        </w:rPr>
        <w:t xml:space="preserve"> </w:t>
      </w:r>
      <w:r>
        <w:rPr>
          <w:rFonts w:ascii="Cambria" w:hAnsi="Cambria"/>
          <w:szCs w:val="20"/>
        </w:rPr>
        <w:t>maintained that</w:t>
      </w:r>
      <w:r w:rsidRPr="00F02416">
        <w:rPr>
          <w:rFonts w:ascii="Cambria" w:hAnsi="Cambria"/>
          <w:szCs w:val="20"/>
        </w:rPr>
        <w:t xml:space="preserve"> </w:t>
      </w:r>
      <w:r>
        <w:rPr>
          <w:rFonts w:ascii="Cambria" w:hAnsi="Cambria"/>
          <w:szCs w:val="20"/>
        </w:rPr>
        <w:t>this requirement “was not met in</w:t>
      </w:r>
      <w:r w:rsidRPr="00F02416">
        <w:rPr>
          <w:rFonts w:ascii="Cambria" w:hAnsi="Cambria"/>
          <w:szCs w:val="20"/>
        </w:rPr>
        <w:t xml:space="preserve"> </w:t>
      </w:r>
      <w:r>
        <w:rPr>
          <w:rFonts w:ascii="Cambria" w:hAnsi="Cambria"/>
          <w:szCs w:val="20"/>
        </w:rPr>
        <w:t>this case</w:t>
      </w:r>
      <w:r w:rsidRPr="00F02416">
        <w:rPr>
          <w:rFonts w:ascii="Cambria" w:hAnsi="Cambria"/>
          <w:szCs w:val="20"/>
        </w:rPr>
        <w:t xml:space="preserve">, </w:t>
      </w:r>
      <w:r>
        <w:rPr>
          <w:rFonts w:ascii="Cambria" w:hAnsi="Cambria"/>
          <w:szCs w:val="20"/>
        </w:rPr>
        <w:t>as the evidence presented in the criminal proceedings did not rise to the level of ‘certainty’ required to overcome the presumption of innocence enjoyed by</w:t>
      </w:r>
      <w:r w:rsidRPr="00F02416">
        <w:rPr>
          <w:rFonts w:ascii="Cambria" w:hAnsi="Cambria"/>
          <w:szCs w:val="20"/>
        </w:rPr>
        <w:t xml:space="preserve"> </w:t>
      </w:r>
      <w:r>
        <w:rPr>
          <w:rFonts w:ascii="Cambria" w:hAnsi="Cambria"/>
          <w:szCs w:val="20"/>
        </w:rPr>
        <w:t>the defendants.”</w:t>
      </w:r>
      <w:r w:rsidRPr="00F02416">
        <w:rPr>
          <w:rFonts w:ascii="Cambria" w:hAnsi="Cambria"/>
          <w:szCs w:val="20"/>
        </w:rPr>
        <w:t xml:space="preserve"> </w:t>
      </w:r>
      <w:r>
        <w:rPr>
          <w:rFonts w:ascii="Cambria" w:hAnsi="Cambria"/>
          <w:szCs w:val="20"/>
        </w:rPr>
        <w:t>In this respect</w:t>
      </w:r>
      <w:r w:rsidRPr="00F02416">
        <w:rPr>
          <w:rFonts w:ascii="Cambria" w:hAnsi="Cambria"/>
          <w:szCs w:val="20"/>
        </w:rPr>
        <w:t xml:space="preserve">, </w:t>
      </w:r>
      <w:r>
        <w:rPr>
          <w:rFonts w:ascii="Cambria" w:hAnsi="Cambria"/>
          <w:szCs w:val="20"/>
        </w:rPr>
        <w:t>the State</w:t>
      </w:r>
      <w:r w:rsidRPr="00F02416">
        <w:rPr>
          <w:rFonts w:ascii="Cambria" w:hAnsi="Cambria"/>
          <w:szCs w:val="20"/>
        </w:rPr>
        <w:t xml:space="preserve"> </w:t>
      </w:r>
      <w:r>
        <w:rPr>
          <w:rFonts w:ascii="Cambria" w:hAnsi="Cambria"/>
          <w:szCs w:val="20"/>
        </w:rPr>
        <w:t xml:space="preserve">explained that “the indicia noted by the Superior Court of </w:t>
      </w:r>
      <w:r w:rsidRPr="00F02416">
        <w:rPr>
          <w:rFonts w:ascii="Cambria" w:hAnsi="Cambria"/>
          <w:szCs w:val="20"/>
        </w:rPr>
        <w:t xml:space="preserve">Ancash </w:t>
      </w:r>
      <w:r>
        <w:rPr>
          <w:rFonts w:ascii="Cambria" w:hAnsi="Cambria"/>
          <w:szCs w:val="20"/>
        </w:rPr>
        <w:t>were not properly accredited</w:t>
      </w:r>
      <w:r w:rsidRPr="00F02416">
        <w:rPr>
          <w:rFonts w:ascii="Cambria" w:hAnsi="Cambria"/>
          <w:szCs w:val="20"/>
        </w:rPr>
        <w:t xml:space="preserve">, </w:t>
      </w:r>
      <w:r>
        <w:rPr>
          <w:rFonts w:ascii="Cambria" w:hAnsi="Cambria"/>
          <w:szCs w:val="20"/>
        </w:rPr>
        <w:t>and therefore could not constitute circumstantial evidence.”</w:t>
      </w:r>
      <w:r w:rsidRPr="00F02416">
        <w:rPr>
          <w:rFonts w:ascii="Cambria" w:hAnsi="Cambria"/>
          <w:szCs w:val="20"/>
        </w:rPr>
        <w:t xml:space="preserve"> </w:t>
      </w:r>
      <w:r>
        <w:rPr>
          <w:rFonts w:ascii="Cambria" w:hAnsi="Cambria"/>
          <w:szCs w:val="20"/>
        </w:rPr>
        <w:t>The State</w:t>
      </w:r>
      <w:r w:rsidRPr="00F02416">
        <w:rPr>
          <w:rFonts w:ascii="Cambria" w:hAnsi="Cambria"/>
          <w:szCs w:val="20"/>
        </w:rPr>
        <w:t xml:space="preserve"> </w:t>
      </w:r>
      <w:r>
        <w:rPr>
          <w:rFonts w:ascii="Cambria" w:hAnsi="Cambria"/>
          <w:szCs w:val="20"/>
        </w:rPr>
        <w:t>further maintained that</w:t>
      </w:r>
      <w:r w:rsidRPr="00F02416">
        <w:rPr>
          <w:rFonts w:ascii="Cambria" w:hAnsi="Cambria"/>
          <w:szCs w:val="20"/>
        </w:rPr>
        <w:t xml:space="preserve"> </w:t>
      </w:r>
      <w:r>
        <w:rPr>
          <w:rFonts w:ascii="Cambria" w:hAnsi="Cambria"/>
          <w:szCs w:val="20"/>
        </w:rPr>
        <w:t>the petition</w:t>
      </w:r>
      <w:r w:rsidRPr="00F02416">
        <w:rPr>
          <w:rFonts w:ascii="Cambria" w:hAnsi="Cambria"/>
          <w:szCs w:val="20"/>
        </w:rPr>
        <w:t xml:space="preserve"> </w:t>
      </w:r>
      <w:r>
        <w:rPr>
          <w:rFonts w:ascii="Cambria" w:hAnsi="Cambria"/>
          <w:szCs w:val="20"/>
        </w:rPr>
        <w:t>seeks to have</w:t>
      </w:r>
      <w:r w:rsidRPr="00F02416">
        <w:rPr>
          <w:rFonts w:ascii="Cambria" w:hAnsi="Cambria"/>
          <w:szCs w:val="20"/>
        </w:rPr>
        <w:t xml:space="preserve"> </w:t>
      </w:r>
      <w:r>
        <w:rPr>
          <w:rFonts w:ascii="Cambria" w:hAnsi="Cambria"/>
          <w:szCs w:val="20"/>
        </w:rPr>
        <w:t>the Inter-American Commission</w:t>
      </w:r>
      <w:r w:rsidRPr="00F02416">
        <w:rPr>
          <w:rFonts w:ascii="Cambria" w:hAnsi="Cambria"/>
          <w:szCs w:val="20"/>
        </w:rPr>
        <w:t xml:space="preserve"> </w:t>
      </w:r>
      <w:r>
        <w:rPr>
          <w:rFonts w:ascii="Cambria" w:hAnsi="Cambria"/>
          <w:szCs w:val="20"/>
        </w:rPr>
        <w:t>act as a “fourth instance.”</w:t>
      </w:r>
    </w:p>
    <w:p w:rsidR="007002A4" w:rsidRPr="00F02416" w:rsidRDefault="007002A4" w:rsidP="007002A4">
      <w:pPr>
        <w:pStyle w:val="Firstparagraph"/>
        <w:spacing w:before="0" w:after="0"/>
        <w:ind w:firstLine="720"/>
        <w:rPr>
          <w:rFonts w:ascii="Cambria" w:hAnsi="Cambria"/>
          <w:szCs w:val="20"/>
        </w:rPr>
      </w:pPr>
    </w:p>
    <w:p w:rsidR="007002A4" w:rsidRPr="00F02416" w:rsidRDefault="007002A4" w:rsidP="007002A4">
      <w:pPr>
        <w:pStyle w:val="Firstparagraph"/>
        <w:numPr>
          <w:ilvl w:val="0"/>
          <w:numId w:val="106"/>
        </w:numPr>
        <w:spacing w:before="0" w:after="0"/>
        <w:ind w:left="0" w:firstLine="720"/>
        <w:rPr>
          <w:rFonts w:ascii="Cambria" w:hAnsi="Cambria"/>
          <w:szCs w:val="20"/>
        </w:rPr>
      </w:pPr>
      <w:r>
        <w:rPr>
          <w:rFonts w:ascii="Cambria" w:hAnsi="Cambria"/>
          <w:szCs w:val="20"/>
        </w:rPr>
        <w:t>With respect to the alleged violation of the right to</w:t>
      </w:r>
      <w:r w:rsidRPr="00F02416">
        <w:rPr>
          <w:rFonts w:ascii="Cambria" w:hAnsi="Cambria"/>
          <w:szCs w:val="20"/>
        </w:rPr>
        <w:t xml:space="preserve"> </w:t>
      </w:r>
      <w:r>
        <w:rPr>
          <w:rFonts w:ascii="Cambria" w:hAnsi="Cambria"/>
          <w:szCs w:val="20"/>
        </w:rPr>
        <w:t>freedom of expression</w:t>
      </w:r>
      <w:r w:rsidRPr="00F02416">
        <w:rPr>
          <w:rFonts w:ascii="Cambria" w:hAnsi="Cambria"/>
          <w:szCs w:val="20"/>
        </w:rPr>
        <w:t xml:space="preserve">, </w:t>
      </w:r>
      <w:r>
        <w:rPr>
          <w:rFonts w:ascii="Cambria" w:hAnsi="Cambria"/>
          <w:szCs w:val="20"/>
        </w:rPr>
        <w:t>the State</w:t>
      </w:r>
      <w:r w:rsidRPr="00F02416">
        <w:rPr>
          <w:rFonts w:ascii="Cambria" w:hAnsi="Cambria"/>
          <w:szCs w:val="20"/>
        </w:rPr>
        <w:t xml:space="preserve"> </w:t>
      </w:r>
      <w:r>
        <w:rPr>
          <w:rFonts w:ascii="Cambria" w:hAnsi="Cambria"/>
          <w:szCs w:val="20"/>
        </w:rPr>
        <w:t>maintained that</w:t>
      </w:r>
      <w:r w:rsidRPr="00F02416">
        <w:rPr>
          <w:rFonts w:ascii="Cambria" w:hAnsi="Cambria"/>
          <w:szCs w:val="20"/>
        </w:rPr>
        <w:t xml:space="preserve"> </w:t>
      </w:r>
      <w:r>
        <w:rPr>
          <w:rFonts w:ascii="Cambria" w:hAnsi="Cambria"/>
          <w:szCs w:val="20"/>
        </w:rPr>
        <w:t>the petitioners</w:t>
      </w:r>
      <w:r w:rsidRPr="00F02416">
        <w:rPr>
          <w:rFonts w:ascii="Cambria" w:hAnsi="Cambria"/>
          <w:szCs w:val="20"/>
        </w:rPr>
        <w:t xml:space="preserve"> </w:t>
      </w:r>
      <w:r>
        <w:rPr>
          <w:rFonts w:ascii="Cambria" w:hAnsi="Cambria"/>
          <w:szCs w:val="20"/>
        </w:rPr>
        <w:t>have failed to provide any evidence to show that this right has been violated. The State</w:t>
      </w:r>
      <w:r w:rsidRPr="00F02416">
        <w:rPr>
          <w:rFonts w:ascii="Cambria" w:hAnsi="Cambria"/>
          <w:szCs w:val="20"/>
        </w:rPr>
        <w:t xml:space="preserve"> </w:t>
      </w:r>
      <w:r>
        <w:rPr>
          <w:rFonts w:ascii="Cambria" w:hAnsi="Cambria"/>
          <w:szCs w:val="20"/>
        </w:rPr>
        <w:t>expressed regret for the death of Antonio de la Torre Echeandía and</w:t>
      </w:r>
      <w:r w:rsidRPr="00F02416">
        <w:rPr>
          <w:rFonts w:ascii="Cambria" w:hAnsi="Cambria"/>
          <w:szCs w:val="20"/>
        </w:rPr>
        <w:t xml:space="preserve"> </w:t>
      </w:r>
      <w:r>
        <w:rPr>
          <w:rFonts w:ascii="Cambria" w:hAnsi="Cambria"/>
          <w:szCs w:val="20"/>
        </w:rPr>
        <w:t>said</w:t>
      </w:r>
      <w:r w:rsidRPr="00F02416">
        <w:rPr>
          <w:rFonts w:ascii="Cambria" w:hAnsi="Cambria"/>
          <w:szCs w:val="20"/>
        </w:rPr>
        <w:t xml:space="preserve"> </w:t>
      </w:r>
      <w:r>
        <w:rPr>
          <w:rFonts w:ascii="Cambria" w:hAnsi="Cambria"/>
          <w:szCs w:val="20"/>
        </w:rPr>
        <w:t>it will ensure that the investigations continue until the perpetrators of the crime are identified. However, it did not provide any information on whether these investigations have in fact continued.</w:t>
      </w:r>
      <w:r w:rsidRPr="00F02416">
        <w:rPr>
          <w:rFonts w:ascii="Cambria" w:hAnsi="Cambria"/>
          <w:szCs w:val="20"/>
        </w:rPr>
        <w:t xml:space="preserve"> </w:t>
      </w:r>
    </w:p>
    <w:p w:rsidR="007002A4" w:rsidRPr="00F02416" w:rsidRDefault="007002A4" w:rsidP="007002A4">
      <w:pPr>
        <w:pStyle w:val="Firstparagraph"/>
        <w:spacing w:before="0" w:after="0"/>
        <w:ind w:firstLine="720"/>
        <w:rPr>
          <w:rFonts w:ascii="Cambria" w:hAnsi="Cambria"/>
          <w:szCs w:val="20"/>
        </w:rPr>
      </w:pPr>
    </w:p>
    <w:p w:rsidR="007002A4" w:rsidRPr="00F02416" w:rsidRDefault="007002A4" w:rsidP="007002A4">
      <w:pPr>
        <w:pStyle w:val="Firstparagraph"/>
        <w:numPr>
          <w:ilvl w:val="0"/>
          <w:numId w:val="106"/>
        </w:numPr>
        <w:spacing w:before="0" w:after="0"/>
        <w:ind w:left="0" w:firstLine="720"/>
        <w:rPr>
          <w:rFonts w:ascii="Cambria" w:hAnsi="Cambria"/>
          <w:szCs w:val="20"/>
        </w:rPr>
      </w:pPr>
      <w:r>
        <w:rPr>
          <w:rFonts w:ascii="Cambria" w:hAnsi="Cambria"/>
          <w:szCs w:val="20"/>
        </w:rPr>
        <w:t>With respect to the alleged violations of the right to</w:t>
      </w:r>
      <w:r w:rsidRPr="00F02416">
        <w:rPr>
          <w:rFonts w:ascii="Cambria" w:hAnsi="Cambria"/>
          <w:szCs w:val="20"/>
        </w:rPr>
        <w:t xml:space="preserve"> </w:t>
      </w:r>
      <w:r>
        <w:rPr>
          <w:rFonts w:ascii="Cambria" w:hAnsi="Cambria"/>
          <w:szCs w:val="20"/>
        </w:rPr>
        <w:t>humane treatment</w:t>
      </w:r>
      <w:r w:rsidRPr="00F02416">
        <w:rPr>
          <w:rFonts w:ascii="Cambria" w:hAnsi="Cambria"/>
          <w:szCs w:val="20"/>
        </w:rPr>
        <w:t xml:space="preserve">, </w:t>
      </w:r>
      <w:r>
        <w:rPr>
          <w:rFonts w:ascii="Cambria" w:hAnsi="Cambria"/>
          <w:szCs w:val="20"/>
        </w:rPr>
        <w:t>rights of the family, and the</w:t>
      </w:r>
      <w:r w:rsidRPr="00F02416">
        <w:rPr>
          <w:rFonts w:ascii="Cambria" w:hAnsi="Cambria"/>
          <w:szCs w:val="20"/>
        </w:rPr>
        <w:t xml:space="preserve"> </w:t>
      </w:r>
      <w:r>
        <w:rPr>
          <w:rFonts w:ascii="Cambria" w:hAnsi="Cambria"/>
          <w:szCs w:val="20"/>
        </w:rPr>
        <w:t>right to judicial protection</w:t>
      </w:r>
      <w:r w:rsidRPr="00F02416">
        <w:rPr>
          <w:rFonts w:ascii="Cambria" w:hAnsi="Cambria"/>
          <w:szCs w:val="20"/>
        </w:rPr>
        <w:t xml:space="preserve">, </w:t>
      </w:r>
      <w:r>
        <w:rPr>
          <w:rFonts w:ascii="Cambria" w:hAnsi="Cambria"/>
          <w:szCs w:val="20"/>
        </w:rPr>
        <w:t>the State</w:t>
      </w:r>
      <w:r w:rsidRPr="00F02416">
        <w:rPr>
          <w:rFonts w:ascii="Cambria" w:hAnsi="Cambria"/>
          <w:szCs w:val="20"/>
        </w:rPr>
        <w:t xml:space="preserve"> </w:t>
      </w:r>
      <w:r>
        <w:rPr>
          <w:rFonts w:ascii="Cambria" w:hAnsi="Cambria"/>
          <w:szCs w:val="20"/>
        </w:rPr>
        <w:t>indicated that</w:t>
      </w:r>
      <w:r w:rsidRPr="00F02416">
        <w:rPr>
          <w:rFonts w:ascii="Cambria" w:hAnsi="Cambria"/>
          <w:szCs w:val="20"/>
        </w:rPr>
        <w:t xml:space="preserve"> </w:t>
      </w:r>
      <w:r>
        <w:rPr>
          <w:rFonts w:ascii="Cambria" w:hAnsi="Cambria"/>
          <w:szCs w:val="20"/>
        </w:rPr>
        <w:t>the petitioners</w:t>
      </w:r>
      <w:r w:rsidRPr="00F02416">
        <w:rPr>
          <w:rFonts w:ascii="Cambria" w:hAnsi="Cambria"/>
          <w:szCs w:val="20"/>
        </w:rPr>
        <w:t xml:space="preserve"> </w:t>
      </w:r>
      <w:r>
        <w:rPr>
          <w:rFonts w:ascii="Cambria" w:hAnsi="Cambria"/>
          <w:szCs w:val="20"/>
        </w:rPr>
        <w:t>have failed to properly establish how those violations were allegedly committed, and stressed that there is documentation in the annexes to the petition to indicate that the State in fact</w:t>
      </w:r>
      <w:r w:rsidRPr="00F02416">
        <w:rPr>
          <w:rFonts w:ascii="Cambria" w:hAnsi="Cambria"/>
          <w:szCs w:val="20"/>
        </w:rPr>
        <w:t xml:space="preserve"> </w:t>
      </w:r>
      <w:r>
        <w:rPr>
          <w:rFonts w:ascii="Cambria" w:hAnsi="Cambria"/>
          <w:szCs w:val="20"/>
        </w:rPr>
        <w:t>met its duty to protect and guarantee the personal safety of the members of the</w:t>
      </w:r>
      <w:r w:rsidRPr="00F02416">
        <w:rPr>
          <w:rFonts w:ascii="Cambria" w:hAnsi="Cambria"/>
          <w:szCs w:val="20"/>
        </w:rPr>
        <w:t xml:space="preserve"> De la Torre Ramírez</w:t>
      </w:r>
      <w:r>
        <w:rPr>
          <w:rFonts w:ascii="Cambria" w:hAnsi="Cambria"/>
          <w:szCs w:val="20"/>
        </w:rPr>
        <w:t xml:space="preserve"> family</w:t>
      </w:r>
      <w:r w:rsidRPr="00F02416">
        <w:rPr>
          <w:rFonts w:ascii="Cambria" w:hAnsi="Cambria"/>
          <w:szCs w:val="20"/>
        </w:rPr>
        <w:t>.</w:t>
      </w:r>
    </w:p>
    <w:p w:rsidR="007002A4" w:rsidRPr="00DA7483" w:rsidRDefault="007002A4" w:rsidP="007002A4">
      <w:pPr>
        <w:pStyle w:val="Heading1"/>
        <w:keepLines w:val="0"/>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0"/>
        <w:ind w:firstLine="720"/>
        <w:jc w:val="both"/>
        <w:rPr>
          <w:color w:val="auto"/>
          <w:sz w:val="20"/>
          <w:szCs w:val="20"/>
        </w:rPr>
      </w:pPr>
    </w:p>
    <w:p w:rsidR="007002A4" w:rsidRDefault="007002A4" w:rsidP="007002A4">
      <w:pPr>
        <w:pStyle w:val="Heading3"/>
        <w:keepLines w:val="0"/>
        <w:widowControl w:val="0"/>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0"/>
        <w:ind w:firstLine="720"/>
        <w:jc w:val="both"/>
        <w:rPr>
          <w:rFonts w:ascii="Cambria" w:hAnsi="Cambria"/>
          <w:color w:val="auto"/>
          <w:sz w:val="20"/>
          <w:szCs w:val="20"/>
        </w:rPr>
      </w:pPr>
      <w:r w:rsidRPr="00DA7483">
        <w:rPr>
          <w:rFonts w:ascii="Cambria" w:hAnsi="Cambria"/>
          <w:color w:val="auto"/>
          <w:sz w:val="20"/>
          <w:szCs w:val="20"/>
        </w:rPr>
        <w:t>IV.</w:t>
      </w:r>
      <w:r w:rsidRPr="00DA7483">
        <w:rPr>
          <w:rFonts w:ascii="Cambria" w:hAnsi="Cambria"/>
          <w:color w:val="auto"/>
          <w:sz w:val="20"/>
          <w:szCs w:val="20"/>
        </w:rPr>
        <w:tab/>
        <w:t>ANALYSIS OF COMPETENCE AND ADMISSIBILITY</w:t>
      </w:r>
    </w:p>
    <w:p w:rsidR="007002A4" w:rsidRDefault="007002A4" w:rsidP="007002A4">
      <w:pPr>
        <w:pStyle w:val="Heading3"/>
        <w:keepLines w:val="0"/>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firstLine="720"/>
        <w:jc w:val="both"/>
        <w:rPr>
          <w:rFonts w:ascii="Cambria" w:hAnsi="Cambria"/>
          <w:color w:val="auto"/>
          <w:sz w:val="20"/>
          <w:szCs w:val="20"/>
        </w:rPr>
      </w:pPr>
      <w:r w:rsidRPr="00DA7483">
        <w:rPr>
          <w:rFonts w:ascii="Cambria" w:hAnsi="Cambria"/>
          <w:color w:val="auto"/>
          <w:sz w:val="20"/>
          <w:szCs w:val="20"/>
        </w:rPr>
        <w:fldChar w:fldCharType="begin"/>
      </w:r>
      <w:r w:rsidRPr="00DA7483">
        <w:rPr>
          <w:rFonts w:ascii="Cambria" w:hAnsi="Cambria"/>
          <w:color w:val="auto"/>
          <w:sz w:val="20"/>
          <w:szCs w:val="20"/>
        </w:rPr>
        <w:instrText xml:space="preserve"> XE "ANÁLISIS DE COMPETENCIA Y ADMISIBILIDAD" </w:instrText>
      </w:r>
      <w:r w:rsidRPr="00DA7483">
        <w:rPr>
          <w:rFonts w:ascii="Cambria" w:hAnsi="Cambria"/>
          <w:color w:val="auto"/>
          <w:sz w:val="20"/>
          <w:szCs w:val="20"/>
        </w:rPr>
        <w:fldChar w:fldCharType="end"/>
      </w:r>
    </w:p>
    <w:p w:rsidR="007002A4" w:rsidRPr="00DA7483" w:rsidRDefault="007002A4" w:rsidP="007D7F08">
      <w:pPr>
        <w:pStyle w:val="Heading3"/>
        <w:keepLines w:val="0"/>
        <w:widowControl w:val="0"/>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rFonts w:ascii="Cambria" w:hAnsi="Cambria"/>
          <w:color w:val="auto"/>
          <w:sz w:val="20"/>
          <w:szCs w:val="20"/>
        </w:rPr>
      </w:pPr>
      <w:bookmarkStart w:id="1" w:name="_Toc400530890"/>
      <w:bookmarkStart w:id="2" w:name="_Toc400530994"/>
      <w:bookmarkStart w:id="3" w:name="_Toc400531331"/>
      <w:r w:rsidRPr="00DA7483">
        <w:rPr>
          <w:rFonts w:ascii="Cambria" w:hAnsi="Cambria"/>
          <w:color w:val="auto"/>
          <w:sz w:val="20"/>
          <w:szCs w:val="20"/>
        </w:rPr>
        <w:t>A.</w:t>
      </w:r>
      <w:r w:rsidRPr="00DA7483">
        <w:rPr>
          <w:rFonts w:ascii="Cambria" w:hAnsi="Cambria"/>
          <w:color w:val="auto"/>
          <w:sz w:val="20"/>
          <w:szCs w:val="20"/>
        </w:rPr>
        <w:tab/>
      </w:r>
      <w:bookmarkEnd w:id="1"/>
      <w:bookmarkEnd w:id="2"/>
      <w:bookmarkEnd w:id="3"/>
      <w:r w:rsidRPr="00DA7483">
        <w:rPr>
          <w:rFonts w:ascii="Cambria" w:hAnsi="Cambria"/>
          <w:color w:val="auto"/>
          <w:sz w:val="20"/>
          <w:szCs w:val="20"/>
        </w:rPr>
        <w:t xml:space="preserve">Competence of the Commission </w:t>
      </w:r>
      <w:r w:rsidRPr="00DA7483">
        <w:rPr>
          <w:rFonts w:ascii="Cambria" w:hAnsi="Cambria"/>
          <w:i/>
          <w:color w:val="auto"/>
          <w:sz w:val="20"/>
          <w:szCs w:val="20"/>
        </w:rPr>
        <w:t>ratione materiae, ratione personae, ratione temporis,</w:t>
      </w:r>
      <w:r w:rsidRPr="00DA7483">
        <w:rPr>
          <w:rFonts w:ascii="Cambria" w:hAnsi="Cambria"/>
          <w:color w:val="auto"/>
          <w:sz w:val="20"/>
          <w:szCs w:val="20"/>
        </w:rPr>
        <w:t xml:space="preserve"> and </w:t>
      </w:r>
      <w:r w:rsidRPr="00DA7483">
        <w:rPr>
          <w:rFonts w:ascii="Cambria" w:hAnsi="Cambria"/>
          <w:i/>
          <w:color w:val="auto"/>
          <w:sz w:val="20"/>
          <w:szCs w:val="20"/>
        </w:rPr>
        <w:t xml:space="preserve">ratione loci </w:t>
      </w:r>
      <w:r w:rsidRPr="00DA7483">
        <w:rPr>
          <w:rFonts w:ascii="Cambria" w:hAnsi="Cambria"/>
          <w:color w:val="auto"/>
          <w:sz w:val="20"/>
          <w:szCs w:val="20"/>
        </w:rPr>
        <w:fldChar w:fldCharType="begin"/>
      </w:r>
      <w:r w:rsidRPr="00DA7483">
        <w:rPr>
          <w:rFonts w:ascii="Cambria" w:hAnsi="Cambria"/>
          <w:color w:val="auto"/>
          <w:sz w:val="20"/>
          <w:szCs w:val="20"/>
        </w:rPr>
        <w:instrText xml:space="preserve"> XE "Competencia ratione materiae, ratione personae, ratione temporis y ratione loci de la Comisión" </w:instrText>
      </w:r>
      <w:r w:rsidRPr="00DA7483">
        <w:rPr>
          <w:rFonts w:ascii="Cambria" w:hAnsi="Cambria"/>
          <w:color w:val="auto"/>
          <w:sz w:val="20"/>
          <w:szCs w:val="20"/>
        </w:rPr>
        <w:fldChar w:fldCharType="end"/>
      </w:r>
    </w:p>
    <w:p w:rsidR="007002A4" w:rsidRPr="00F02416" w:rsidRDefault="007002A4" w:rsidP="007002A4">
      <w:pPr>
        <w:pStyle w:val="Firstparagraph"/>
        <w:spacing w:before="0" w:after="0"/>
        <w:ind w:firstLine="720"/>
        <w:rPr>
          <w:rFonts w:ascii="Cambria" w:hAnsi="Cambria"/>
          <w:szCs w:val="20"/>
        </w:rPr>
      </w:pPr>
    </w:p>
    <w:p w:rsidR="007002A4" w:rsidRPr="0027533A" w:rsidRDefault="007002A4" w:rsidP="007002A4">
      <w:pPr>
        <w:pStyle w:val="Firstparagraph"/>
        <w:numPr>
          <w:ilvl w:val="0"/>
          <w:numId w:val="106"/>
        </w:numPr>
        <w:spacing w:before="0" w:after="0"/>
        <w:ind w:left="0" w:firstLine="720"/>
        <w:rPr>
          <w:rFonts w:ascii="Cambria" w:hAnsi="Cambria"/>
          <w:szCs w:val="20"/>
        </w:rPr>
      </w:pPr>
      <w:r>
        <w:rPr>
          <w:rFonts w:ascii="Cambria" w:hAnsi="Cambria"/>
          <w:szCs w:val="20"/>
        </w:rPr>
        <w:t>The petitioners are authorized by</w:t>
      </w:r>
      <w:r w:rsidRPr="00F02416">
        <w:rPr>
          <w:rFonts w:ascii="Cambria" w:hAnsi="Cambria"/>
          <w:szCs w:val="20"/>
        </w:rPr>
        <w:t xml:space="preserve"> </w:t>
      </w:r>
      <w:r>
        <w:rPr>
          <w:rFonts w:ascii="Cambria" w:hAnsi="Cambria"/>
          <w:szCs w:val="20"/>
        </w:rPr>
        <w:t>Article</w:t>
      </w:r>
      <w:r w:rsidRPr="00F02416">
        <w:rPr>
          <w:rFonts w:ascii="Cambria" w:hAnsi="Cambria"/>
          <w:szCs w:val="20"/>
        </w:rPr>
        <w:t xml:space="preserve"> 44 </w:t>
      </w:r>
      <w:r>
        <w:rPr>
          <w:rFonts w:ascii="Cambria" w:hAnsi="Cambria"/>
          <w:szCs w:val="20"/>
        </w:rPr>
        <w:t>of the Convention</w:t>
      </w:r>
      <w:r w:rsidRPr="00F02416">
        <w:rPr>
          <w:rFonts w:ascii="Cambria" w:hAnsi="Cambria"/>
          <w:szCs w:val="20"/>
        </w:rPr>
        <w:t xml:space="preserve"> </w:t>
      </w:r>
      <w:r w:rsidRPr="0027533A">
        <w:rPr>
          <w:rFonts w:ascii="Cambria" w:hAnsi="Cambria"/>
          <w:szCs w:val="20"/>
        </w:rPr>
        <w:t>to file petitions</w:t>
      </w:r>
      <w:r w:rsidRPr="00F02416">
        <w:rPr>
          <w:rFonts w:ascii="Cambria" w:hAnsi="Cambria"/>
          <w:szCs w:val="20"/>
        </w:rPr>
        <w:t xml:space="preserve">. </w:t>
      </w:r>
      <w:r>
        <w:rPr>
          <w:rFonts w:ascii="Cambria" w:hAnsi="Cambria"/>
          <w:szCs w:val="20"/>
        </w:rPr>
        <w:t>The alleged victims</w:t>
      </w:r>
      <w:r w:rsidRPr="00F02416">
        <w:rPr>
          <w:rFonts w:ascii="Cambria" w:hAnsi="Cambria"/>
          <w:szCs w:val="20"/>
        </w:rPr>
        <w:t xml:space="preserve"> </w:t>
      </w:r>
      <w:r w:rsidRPr="0027533A">
        <w:rPr>
          <w:rFonts w:ascii="Cambria" w:hAnsi="Cambria"/>
          <w:szCs w:val="20"/>
        </w:rPr>
        <w:t>are individuals</w:t>
      </w:r>
      <w:r>
        <w:rPr>
          <w:rFonts w:ascii="Cambria" w:hAnsi="Cambria"/>
          <w:szCs w:val="20"/>
        </w:rPr>
        <w:t xml:space="preserve"> who were</w:t>
      </w:r>
      <w:r w:rsidRPr="0027533A">
        <w:rPr>
          <w:rFonts w:ascii="Cambria" w:hAnsi="Cambria"/>
          <w:szCs w:val="20"/>
        </w:rPr>
        <w:t xml:space="preserve"> </w:t>
      </w:r>
      <w:r>
        <w:rPr>
          <w:rFonts w:ascii="Cambria" w:hAnsi="Cambria"/>
          <w:szCs w:val="20"/>
        </w:rPr>
        <w:t xml:space="preserve">under the jurisdiction of the Peruvian </w:t>
      </w:r>
      <w:r w:rsidRPr="001E260A">
        <w:rPr>
          <w:rFonts w:ascii="Cambria" w:hAnsi="Cambria"/>
          <w:szCs w:val="20"/>
        </w:rPr>
        <w:t>State at the time of the alleged events</w:t>
      </w:r>
      <w:r w:rsidRPr="00F02416">
        <w:rPr>
          <w:rFonts w:ascii="Cambria" w:hAnsi="Cambria"/>
          <w:szCs w:val="20"/>
        </w:rPr>
        <w:t xml:space="preserve">. </w:t>
      </w:r>
      <w:r>
        <w:rPr>
          <w:rFonts w:ascii="Cambria" w:hAnsi="Cambria"/>
          <w:szCs w:val="20"/>
        </w:rPr>
        <w:t>For its part</w:t>
      </w:r>
      <w:r w:rsidRPr="00F02416">
        <w:rPr>
          <w:rFonts w:ascii="Cambria" w:hAnsi="Cambria"/>
          <w:szCs w:val="20"/>
        </w:rPr>
        <w:t xml:space="preserve">, Peru </w:t>
      </w:r>
      <w:r>
        <w:rPr>
          <w:rFonts w:ascii="Cambria" w:hAnsi="Cambria"/>
          <w:szCs w:val="20"/>
        </w:rPr>
        <w:t>deposited its instrument</w:t>
      </w:r>
      <w:r w:rsidRPr="00F02416">
        <w:rPr>
          <w:rFonts w:ascii="Cambria" w:hAnsi="Cambria"/>
          <w:szCs w:val="20"/>
        </w:rPr>
        <w:t xml:space="preserve"> </w:t>
      </w:r>
      <w:r>
        <w:rPr>
          <w:rFonts w:ascii="Cambria" w:hAnsi="Cambria"/>
          <w:szCs w:val="20"/>
        </w:rPr>
        <w:t>of ratification of the American Convention on July</w:t>
      </w:r>
      <w:r w:rsidRPr="00F02416">
        <w:rPr>
          <w:rFonts w:ascii="Cambria" w:hAnsi="Cambria"/>
          <w:szCs w:val="20"/>
        </w:rPr>
        <w:t xml:space="preserve"> 28</w:t>
      </w:r>
      <w:r>
        <w:rPr>
          <w:rFonts w:ascii="Cambria" w:hAnsi="Cambria"/>
          <w:szCs w:val="20"/>
        </w:rPr>
        <w:t>,</w:t>
      </w:r>
      <w:r w:rsidRPr="00F02416">
        <w:rPr>
          <w:rFonts w:ascii="Cambria" w:hAnsi="Cambria"/>
          <w:szCs w:val="20"/>
        </w:rPr>
        <w:t xml:space="preserve"> 1978. </w:t>
      </w:r>
      <w:r w:rsidRPr="0027533A">
        <w:rPr>
          <w:rFonts w:ascii="Cambria" w:hAnsi="Cambria"/>
          <w:szCs w:val="20"/>
        </w:rPr>
        <w:t xml:space="preserve">Accordingly, the Commission has jurisdiction </w:t>
      </w:r>
      <w:r w:rsidRPr="0027533A">
        <w:rPr>
          <w:rFonts w:ascii="Cambria" w:hAnsi="Cambria"/>
          <w:i/>
          <w:szCs w:val="20"/>
        </w:rPr>
        <w:t>ratione personae</w:t>
      </w:r>
      <w:r w:rsidRPr="0027533A">
        <w:rPr>
          <w:rFonts w:ascii="Cambria" w:hAnsi="Cambria"/>
          <w:szCs w:val="20"/>
        </w:rPr>
        <w:t xml:space="preserve"> to examine the petition.</w:t>
      </w:r>
    </w:p>
    <w:p w:rsidR="007002A4" w:rsidRPr="00F02416" w:rsidRDefault="007002A4" w:rsidP="007002A4">
      <w:pPr>
        <w:pStyle w:val="Firstparagraph"/>
        <w:spacing w:before="0" w:after="0"/>
        <w:ind w:firstLine="720"/>
        <w:rPr>
          <w:rFonts w:ascii="Cambria" w:hAnsi="Cambria"/>
          <w:szCs w:val="20"/>
        </w:rPr>
      </w:pPr>
    </w:p>
    <w:p w:rsidR="007002A4" w:rsidRPr="00F02416" w:rsidRDefault="007002A4" w:rsidP="007002A4">
      <w:pPr>
        <w:pStyle w:val="Firstparagraph"/>
        <w:numPr>
          <w:ilvl w:val="0"/>
          <w:numId w:val="106"/>
        </w:numPr>
        <w:spacing w:before="0" w:after="0"/>
        <w:ind w:left="0" w:firstLine="720"/>
        <w:rPr>
          <w:rFonts w:ascii="Cambria" w:hAnsi="Cambria"/>
          <w:szCs w:val="20"/>
        </w:rPr>
      </w:pPr>
      <w:r w:rsidRPr="00607C3E">
        <w:rPr>
          <w:rFonts w:ascii="Cambria" w:hAnsi="Cambria"/>
          <w:szCs w:val="20"/>
        </w:rPr>
        <w:t xml:space="preserve">The IACHR has jurisdiction </w:t>
      </w:r>
      <w:r w:rsidRPr="00607C3E">
        <w:rPr>
          <w:rFonts w:ascii="Cambria" w:hAnsi="Cambria"/>
          <w:i/>
          <w:szCs w:val="20"/>
        </w:rPr>
        <w:t xml:space="preserve">ratione materiae </w:t>
      </w:r>
      <w:r w:rsidRPr="00607C3E">
        <w:rPr>
          <w:rFonts w:ascii="Cambria" w:hAnsi="Cambria"/>
          <w:szCs w:val="20"/>
        </w:rPr>
        <w:t>because the petition concerns alleged violations of human rights protected by the American Convention</w:t>
      </w:r>
      <w:r w:rsidRPr="00F02416">
        <w:rPr>
          <w:rFonts w:ascii="Cambria" w:hAnsi="Cambria"/>
          <w:szCs w:val="20"/>
        </w:rPr>
        <w:t xml:space="preserve"> </w:t>
      </w:r>
      <w:r>
        <w:rPr>
          <w:rFonts w:ascii="Cambria" w:hAnsi="Cambria"/>
          <w:szCs w:val="20"/>
        </w:rPr>
        <w:t>that reportedly took place within the jurisdiction of a State Party thereto</w:t>
      </w:r>
      <w:r w:rsidRPr="00F02416">
        <w:rPr>
          <w:rFonts w:ascii="Cambria" w:hAnsi="Cambria"/>
          <w:szCs w:val="20"/>
        </w:rPr>
        <w:t xml:space="preserve">. </w:t>
      </w:r>
      <w:r>
        <w:rPr>
          <w:rFonts w:ascii="Cambria" w:hAnsi="Cambria"/>
          <w:szCs w:val="20"/>
        </w:rPr>
        <w:t>The Commission</w:t>
      </w:r>
      <w:r w:rsidRPr="00F02416">
        <w:rPr>
          <w:rFonts w:ascii="Cambria" w:hAnsi="Cambria"/>
          <w:szCs w:val="20"/>
        </w:rPr>
        <w:t xml:space="preserve"> </w:t>
      </w:r>
      <w:r>
        <w:rPr>
          <w:rFonts w:ascii="Cambria" w:hAnsi="Cambria"/>
          <w:szCs w:val="20"/>
        </w:rPr>
        <w:t>also has jurisdiction</w:t>
      </w:r>
      <w:r w:rsidRPr="00F02416">
        <w:rPr>
          <w:rFonts w:ascii="Cambria" w:hAnsi="Cambria"/>
          <w:szCs w:val="20"/>
        </w:rPr>
        <w:t xml:space="preserve"> </w:t>
      </w:r>
      <w:r w:rsidRPr="00F02416">
        <w:rPr>
          <w:rFonts w:ascii="Cambria" w:hAnsi="Cambria"/>
          <w:i/>
          <w:iCs/>
          <w:szCs w:val="20"/>
        </w:rPr>
        <w:t>ratione materiae</w:t>
      </w:r>
      <w:r w:rsidRPr="00F02416">
        <w:rPr>
          <w:rFonts w:ascii="Cambria" w:hAnsi="Cambria"/>
          <w:szCs w:val="20"/>
        </w:rPr>
        <w:t xml:space="preserve">, </w:t>
      </w:r>
      <w:r>
        <w:rPr>
          <w:rFonts w:ascii="Cambria" w:hAnsi="Cambria"/>
          <w:szCs w:val="20"/>
        </w:rPr>
        <w:t>given that</w:t>
      </w:r>
      <w:r w:rsidRPr="00F02416">
        <w:rPr>
          <w:rFonts w:ascii="Cambria" w:hAnsi="Cambria"/>
          <w:szCs w:val="20"/>
        </w:rPr>
        <w:t xml:space="preserve"> </w:t>
      </w:r>
      <w:r>
        <w:rPr>
          <w:rFonts w:ascii="Cambria" w:hAnsi="Cambria"/>
          <w:szCs w:val="20"/>
        </w:rPr>
        <w:t>the petition</w:t>
      </w:r>
      <w:r w:rsidRPr="00F02416">
        <w:rPr>
          <w:rFonts w:ascii="Cambria" w:hAnsi="Cambria"/>
          <w:szCs w:val="20"/>
        </w:rPr>
        <w:t xml:space="preserve"> </w:t>
      </w:r>
      <w:r>
        <w:rPr>
          <w:rFonts w:ascii="Cambria" w:hAnsi="Cambria"/>
          <w:szCs w:val="20"/>
        </w:rPr>
        <w:t>alleges facts that may amount to the violation of rights protected in</w:t>
      </w:r>
      <w:r w:rsidRPr="00F02416">
        <w:rPr>
          <w:rFonts w:ascii="Cambria" w:hAnsi="Cambria"/>
          <w:szCs w:val="20"/>
        </w:rPr>
        <w:t xml:space="preserve"> </w:t>
      </w:r>
      <w:r>
        <w:rPr>
          <w:rFonts w:ascii="Cambria" w:hAnsi="Cambria"/>
          <w:szCs w:val="20"/>
        </w:rPr>
        <w:t>the American Convention</w:t>
      </w:r>
      <w:r w:rsidRPr="00F02416">
        <w:rPr>
          <w:rFonts w:ascii="Cambria" w:hAnsi="Cambria"/>
          <w:szCs w:val="20"/>
        </w:rPr>
        <w:t>.</w:t>
      </w:r>
    </w:p>
    <w:p w:rsidR="007002A4" w:rsidRPr="00F02416" w:rsidRDefault="007002A4" w:rsidP="007002A4">
      <w:pPr>
        <w:pStyle w:val="Firstparagraph"/>
        <w:spacing w:before="0" w:after="0"/>
        <w:ind w:firstLine="720"/>
        <w:rPr>
          <w:rFonts w:ascii="Cambria" w:hAnsi="Cambria"/>
          <w:szCs w:val="20"/>
        </w:rPr>
      </w:pPr>
    </w:p>
    <w:p w:rsidR="007002A4" w:rsidRPr="00180BDC" w:rsidRDefault="007002A4" w:rsidP="007002A4">
      <w:pPr>
        <w:pStyle w:val="Firstparagraph"/>
        <w:numPr>
          <w:ilvl w:val="0"/>
          <w:numId w:val="106"/>
        </w:numPr>
        <w:spacing w:before="0" w:after="0"/>
        <w:ind w:left="0" w:firstLine="720"/>
        <w:rPr>
          <w:rFonts w:ascii="Cambria" w:hAnsi="Cambria"/>
          <w:szCs w:val="20"/>
        </w:rPr>
      </w:pPr>
      <w:r>
        <w:rPr>
          <w:rFonts w:ascii="Cambria" w:hAnsi="Cambria"/>
          <w:szCs w:val="20"/>
        </w:rPr>
        <w:t>Finally</w:t>
      </w:r>
      <w:r w:rsidRPr="00F02416">
        <w:rPr>
          <w:rFonts w:ascii="Cambria" w:hAnsi="Cambria"/>
          <w:szCs w:val="20"/>
        </w:rPr>
        <w:t xml:space="preserve">, </w:t>
      </w:r>
      <w:r>
        <w:rPr>
          <w:rFonts w:ascii="Cambria" w:hAnsi="Cambria"/>
          <w:szCs w:val="20"/>
        </w:rPr>
        <w:t>the Commission</w:t>
      </w:r>
      <w:r w:rsidRPr="00F02416">
        <w:rPr>
          <w:rFonts w:ascii="Cambria" w:hAnsi="Cambria"/>
          <w:szCs w:val="20"/>
        </w:rPr>
        <w:t xml:space="preserve"> </w:t>
      </w:r>
      <w:r>
        <w:rPr>
          <w:rFonts w:ascii="Cambria" w:hAnsi="Cambria"/>
          <w:szCs w:val="20"/>
        </w:rPr>
        <w:t>has jurisdiction</w:t>
      </w:r>
      <w:r w:rsidRPr="00F02416">
        <w:rPr>
          <w:rFonts w:ascii="Cambria" w:hAnsi="Cambria"/>
          <w:szCs w:val="20"/>
        </w:rPr>
        <w:t xml:space="preserve"> </w:t>
      </w:r>
      <w:r w:rsidRPr="00F02416">
        <w:rPr>
          <w:rFonts w:ascii="Cambria" w:hAnsi="Cambria"/>
          <w:i/>
          <w:iCs/>
          <w:szCs w:val="20"/>
        </w:rPr>
        <w:t>ratione temporis</w:t>
      </w:r>
      <w:r w:rsidRPr="00F02416">
        <w:rPr>
          <w:rFonts w:ascii="Cambria" w:hAnsi="Cambria"/>
          <w:szCs w:val="20"/>
        </w:rPr>
        <w:t xml:space="preserve"> </w:t>
      </w:r>
      <w:r w:rsidRPr="00751752">
        <w:rPr>
          <w:rFonts w:ascii="Cambria" w:hAnsi="Cambria"/>
          <w:szCs w:val="20"/>
        </w:rPr>
        <w:t>insofar as the State’s obligation to respect and guarantee the rights protected in the American Convention was in force at the time the acts alleged in petition reportedly took place</w:t>
      </w:r>
      <w:r w:rsidRPr="00F02416">
        <w:rPr>
          <w:rFonts w:ascii="Cambria" w:hAnsi="Cambria"/>
          <w:szCs w:val="20"/>
        </w:rPr>
        <w:t>.</w:t>
      </w:r>
      <w:r>
        <w:rPr>
          <w:rFonts w:ascii="Cambria" w:hAnsi="Cambria"/>
          <w:szCs w:val="20"/>
        </w:rPr>
        <w:t xml:space="preserve"> </w:t>
      </w:r>
    </w:p>
    <w:p w:rsidR="007002A4" w:rsidRPr="00F02416" w:rsidRDefault="007002A4" w:rsidP="007002A4">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rPr>
      </w:pPr>
    </w:p>
    <w:p w:rsidR="007002A4" w:rsidRPr="00DA7483" w:rsidRDefault="007002A4" w:rsidP="007002A4">
      <w:pPr>
        <w:pStyle w:val="Heading3"/>
        <w:keepLines w:val="0"/>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0"/>
        <w:ind w:firstLine="720"/>
        <w:jc w:val="both"/>
        <w:rPr>
          <w:rFonts w:ascii="Cambria" w:hAnsi="Cambria"/>
          <w:color w:val="auto"/>
          <w:sz w:val="20"/>
          <w:szCs w:val="20"/>
        </w:rPr>
      </w:pPr>
      <w:bookmarkStart w:id="4" w:name="_Toc400530319"/>
      <w:bookmarkStart w:id="5" w:name="_Toc400530891"/>
      <w:bookmarkStart w:id="6" w:name="_Toc400530995"/>
      <w:bookmarkStart w:id="7" w:name="_Toc400531332"/>
      <w:r w:rsidRPr="00DA7483">
        <w:rPr>
          <w:rFonts w:ascii="Cambria" w:hAnsi="Cambria"/>
          <w:color w:val="auto"/>
          <w:sz w:val="20"/>
          <w:szCs w:val="20"/>
        </w:rPr>
        <w:t>B.</w:t>
      </w:r>
      <w:r w:rsidRPr="00DA7483">
        <w:rPr>
          <w:rFonts w:ascii="Cambria" w:hAnsi="Cambria"/>
          <w:color w:val="auto"/>
          <w:sz w:val="20"/>
          <w:szCs w:val="20"/>
        </w:rPr>
        <w:tab/>
        <w:t>Requirements for the Admissibility of the Petition</w:t>
      </w:r>
      <w:bookmarkEnd w:id="4"/>
      <w:bookmarkEnd w:id="5"/>
      <w:bookmarkEnd w:id="6"/>
      <w:bookmarkEnd w:id="7"/>
    </w:p>
    <w:p w:rsidR="007002A4" w:rsidRPr="00F02416" w:rsidRDefault="007002A4" w:rsidP="007002A4">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sz w:val="20"/>
          <w:szCs w:val="20"/>
        </w:rPr>
      </w:pPr>
    </w:p>
    <w:p w:rsidR="007002A4" w:rsidRPr="00C32ABB" w:rsidRDefault="007002A4" w:rsidP="007002A4">
      <w:pPr>
        <w:pStyle w:val="Firstparagraph"/>
        <w:numPr>
          <w:ilvl w:val="0"/>
          <w:numId w:val="107"/>
        </w:numPr>
        <w:spacing w:before="0" w:after="0"/>
        <w:ind w:left="0" w:firstLine="720"/>
        <w:rPr>
          <w:rFonts w:ascii="Cambria" w:hAnsi="Cambria"/>
          <w:b/>
          <w:szCs w:val="20"/>
        </w:rPr>
      </w:pPr>
      <w:r>
        <w:rPr>
          <w:rFonts w:ascii="Cambria" w:hAnsi="Cambria"/>
          <w:b/>
          <w:szCs w:val="20"/>
        </w:rPr>
        <w:t>Exhaustion of domestic remedies</w:t>
      </w:r>
    </w:p>
    <w:p w:rsidR="007002A4" w:rsidRPr="00F02416" w:rsidRDefault="007002A4" w:rsidP="007002A4">
      <w:pPr>
        <w:pStyle w:val="TextBody"/>
        <w:spacing w:before="0" w:after="0"/>
        <w:ind w:firstLine="720"/>
      </w:pPr>
    </w:p>
    <w:p w:rsidR="007002A4" w:rsidRPr="00F02416" w:rsidRDefault="007002A4" w:rsidP="007002A4">
      <w:pPr>
        <w:pStyle w:val="Firstparagraph"/>
        <w:numPr>
          <w:ilvl w:val="0"/>
          <w:numId w:val="106"/>
        </w:numPr>
        <w:spacing w:before="0" w:after="0"/>
        <w:ind w:left="0" w:firstLine="720"/>
        <w:rPr>
          <w:rFonts w:ascii="Cambria" w:hAnsi="Cambria"/>
          <w:szCs w:val="20"/>
        </w:rPr>
      </w:pPr>
      <w:r w:rsidRPr="00245753">
        <w:rPr>
          <w:rFonts w:ascii="Cambria" w:hAnsi="Cambria"/>
          <w:szCs w:val="20"/>
        </w:rPr>
        <w:t xml:space="preserve">Article 46.1.a of the American Convention provides that for a petition submitted to the Inter-American Commission to be admissible under Article 44 of the Convention, the petitioner must first have pursued and exhausted domestic remedies, in keeping with generally recognized </w:t>
      </w:r>
      <w:r>
        <w:rPr>
          <w:rFonts w:ascii="Cambria" w:hAnsi="Cambria"/>
          <w:szCs w:val="20"/>
        </w:rPr>
        <w:t>principles of international law</w:t>
      </w:r>
      <w:r w:rsidRPr="00F02416">
        <w:rPr>
          <w:rFonts w:ascii="Cambria" w:hAnsi="Cambria"/>
          <w:szCs w:val="20"/>
        </w:rPr>
        <w:t xml:space="preserve">. </w:t>
      </w:r>
      <w:r w:rsidRPr="00491BE4">
        <w:rPr>
          <w:rFonts w:ascii="Cambria" w:hAnsi="Cambria"/>
          <w:szCs w:val="20"/>
        </w:rPr>
        <w:t>This requirement is intended to allow national authorities to consider an alleged violation of a protected right and, when applicable, to give them the opportunity to correct it before it is heard and decided by an international body.</w:t>
      </w:r>
    </w:p>
    <w:p w:rsidR="007002A4" w:rsidRPr="00F02416" w:rsidRDefault="007002A4" w:rsidP="007002A4">
      <w:pPr>
        <w:pStyle w:val="Firstparagraph"/>
        <w:spacing w:before="0" w:after="0"/>
        <w:ind w:firstLine="720"/>
        <w:rPr>
          <w:rFonts w:ascii="Cambria" w:hAnsi="Cambria"/>
          <w:szCs w:val="20"/>
        </w:rPr>
      </w:pPr>
    </w:p>
    <w:p w:rsidR="007002A4" w:rsidRPr="00B05711" w:rsidRDefault="007002A4" w:rsidP="007002A4">
      <w:pPr>
        <w:pStyle w:val="Firstparagraph"/>
        <w:numPr>
          <w:ilvl w:val="0"/>
          <w:numId w:val="106"/>
        </w:numPr>
        <w:spacing w:before="0" w:after="0"/>
        <w:ind w:left="0" w:firstLine="720"/>
        <w:rPr>
          <w:rFonts w:ascii="Cambria" w:hAnsi="Cambria"/>
          <w:szCs w:val="20"/>
        </w:rPr>
      </w:pPr>
      <w:r w:rsidRPr="00B05711">
        <w:rPr>
          <w:rFonts w:ascii="Cambria" w:hAnsi="Cambria"/>
          <w:szCs w:val="20"/>
        </w:rPr>
        <w:t>Article 46.2 of the Convention provides that the rule on the exhaustion of domestic remedies does not apply when: a) the domestic legislation of the state concerned does not afford due process of law for the protection of the right or rights that have allegedly been violated; b) the party alleging violation of his rights has been denied access to the remedies under domestic law or has been prevented from exhausting them; or c) there has been unwarranted delay in rendering a final judgment under the aforementioned remedies.</w:t>
      </w:r>
    </w:p>
    <w:p w:rsidR="007002A4" w:rsidRPr="00F02416" w:rsidRDefault="007002A4" w:rsidP="007002A4">
      <w:pPr>
        <w:pStyle w:val="Firstparagraph"/>
        <w:spacing w:before="0" w:after="0"/>
        <w:ind w:firstLine="720"/>
        <w:rPr>
          <w:rFonts w:ascii="Cambria" w:hAnsi="Cambria"/>
          <w:szCs w:val="20"/>
        </w:rPr>
      </w:pPr>
    </w:p>
    <w:p w:rsidR="007002A4" w:rsidRPr="00F02416" w:rsidRDefault="007002A4" w:rsidP="007002A4">
      <w:pPr>
        <w:pStyle w:val="Firstparagraph"/>
        <w:numPr>
          <w:ilvl w:val="0"/>
          <w:numId w:val="106"/>
        </w:numPr>
        <w:spacing w:before="0" w:after="0"/>
        <w:ind w:left="0" w:firstLine="720"/>
        <w:rPr>
          <w:rFonts w:ascii="Cambria" w:hAnsi="Cambria"/>
          <w:szCs w:val="20"/>
        </w:rPr>
      </w:pPr>
      <w:r w:rsidRPr="00B05711">
        <w:rPr>
          <w:rFonts w:ascii="Cambria" w:hAnsi="Cambria" w:cs="Arial"/>
          <w:bCs/>
          <w:szCs w:val="20"/>
        </w:rPr>
        <w:t>The Commission finds that the facts alleged by the petitioner constitute criminal offenses under the domestic law that the government must investigate and prosecute on its own initiative</w:t>
      </w:r>
      <w:r>
        <w:rPr>
          <w:rFonts w:ascii="Cambria" w:hAnsi="Cambria"/>
          <w:szCs w:val="20"/>
        </w:rPr>
        <w:t>,</w:t>
      </w:r>
      <w:r w:rsidRPr="00F02416">
        <w:rPr>
          <w:rFonts w:ascii="Cambria" w:hAnsi="Cambria"/>
          <w:szCs w:val="20"/>
        </w:rPr>
        <w:t xml:space="preserve"> </w:t>
      </w:r>
      <w:r w:rsidRPr="00B05711">
        <w:rPr>
          <w:rFonts w:ascii="Cambria" w:hAnsi="Cambria"/>
          <w:szCs w:val="20"/>
        </w:rPr>
        <w:t>which in such cases is the suitable way to establish the facts, prosecute the perpetrators, and impose the appropriate criminal penalties, as well as to facilitate other means of adequate reparation</w:t>
      </w:r>
      <w:r w:rsidRPr="00F02416">
        <w:rPr>
          <w:rFonts w:ascii="Cambria" w:hAnsi="Cambria"/>
          <w:szCs w:val="20"/>
        </w:rPr>
        <w:t xml:space="preserve">. </w:t>
      </w:r>
      <w:r w:rsidRPr="00B05711">
        <w:rPr>
          <w:rFonts w:ascii="Cambria" w:hAnsi="Cambria"/>
          <w:szCs w:val="20"/>
        </w:rPr>
        <w:t xml:space="preserve">That is to say, the events relating to the </w:t>
      </w:r>
      <w:r>
        <w:rPr>
          <w:rFonts w:ascii="Cambria" w:hAnsi="Cambria"/>
          <w:szCs w:val="20"/>
        </w:rPr>
        <w:t xml:space="preserve">murder of </w:t>
      </w:r>
      <w:r w:rsidRPr="00F02416">
        <w:rPr>
          <w:rFonts w:ascii="Cambria" w:hAnsi="Cambria"/>
          <w:szCs w:val="20"/>
        </w:rPr>
        <w:t xml:space="preserve">Antonio de la Torre Echeandía </w:t>
      </w:r>
      <w:r>
        <w:rPr>
          <w:rFonts w:ascii="Cambria" w:hAnsi="Cambria"/>
          <w:szCs w:val="20"/>
        </w:rPr>
        <w:t>and the attack on his family</w:t>
      </w:r>
      <w:r w:rsidRPr="00B05711">
        <w:rPr>
          <w:rFonts w:ascii="Cambria" w:hAnsi="Cambria"/>
          <w:szCs w:val="20"/>
        </w:rPr>
        <w:t xml:space="preserve"> are criminal acts under the domestic law that must be investigated and prosecuted by the State on its own initiative</w:t>
      </w:r>
      <w:r w:rsidRPr="00F02416">
        <w:rPr>
          <w:rFonts w:ascii="Cambria" w:hAnsi="Cambria"/>
          <w:szCs w:val="20"/>
        </w:rPr>
        <w:t xml:space="preserve">. </w:t>
      </w:r>
    </w:p>
    <w:p w:rsidR="007002A4" w:rsidRPr="00F02416" w:rsidRDefault="007002A4" w:rsidP="007002A4">
      <w:pPr>
        <w:pStyle w:val="Firstparagraph"/>
        <w:spacing w:before="0" w:after="0"/>
        <w:ind w:firstLine="720"/>
        <w:rPr>
          <w:rFonts w:ascii="Cambria" w:hAnsi="Cambria"/>
          <w:szCs w:val="20"/>
        </w:rPr>
      </w:pPr>
    </w:p>
    <w:p w:rsidR="005D7EFF" w:rsidRDefault="007002A4" w:rsidP="005D7EFF">
      <w:pPr>
        <w:pStyle w:val="Firstparagraph"/>
        <w:numPr>
          <w:ilvl w:val="0"/>
          <w:numId w:val="106"/>
        </w:numPr>
        <w:spacing w:before="0" w:after="0"/>
        <w:ind w:left="0" w:firstLine="720"/>
        <w:rPr>
          <w:rFonts w:ascii="Cambria" w:hAnsi="Cambria"/>
          <w:szCs w:val="20"/>
        </w:rPr>
      </w:pPr>
      <w:r>
        <w:rPr>
          <w:rFonts w:ascii="Cambria" w:hAnsi="Cambria"/>
          <w:szCs w:val="20"/>
        </w:rPr>
        <w:t>Accordingly</w:t>
      </w:r>
      <w:r w:rsidRPr="00F02416">
        <w:rPr>
          <w:rFonts w:ascii="Cambria" w:hAnsi="Cambria"/>
          <w:szCs w:val="20"/>
        </w:rPr>
        <w:t xml:space="preserve">, </w:t>
      </w:r>
      <w:r>
        <w:rPr>
          <w:rFonts w:ascii="Cambria" w:hAnsi="Cambria"/>
          <w:szCs w:val="20"/>
        </w:rPr>
        <w:t>in these types of cases, the adequate remedy to be exhausted is an investigation that properly establishes the facts.</w:t>
      </w:r>
      <w:r w:rsidRPr="00F02416">
        <w:rPr>
          <w:rStyle w:val="FootnoteAnchor"/>
          <w:rFonts w:ascii="Cambria" w:hAnsi="Cambria"/>
          <w:szCs w:val="20"/>
        </w:rPr>
        <w:footnoteReference w:id="2"/>
      </w:r>
      <w:r w:rsidRPr="00F02416">
        <w:rPr>
          <w:rFonts w:ascii="Cambria" w:hAnsi="Cambria"/>
          <w:szCs w:val="20"/>
        </w:rPr>
        <w:t xml:space="preserve"> </w:t>
      </w:r>
      <w:r>
        <w:rPr>
          <w:rFonts w:ascii="Cambria" w:hAnsi="Cambria"/>
          <w:szCs w:val="20"/>
        </w:rPr>
        <w:t>The petitioners</w:t>
      </w:r>
      <w:r w:rsidRPr="00F02416">
        <w:rPr>
          <w:rFonts w:ascii="Cambria" w:hAnsi="Cambria"/>
          <w:szCs w:val="20"/>
        </w:rPr>
        <w:t xml:space="preserve"> </w:t>
      </w:r>
      <w:r>
        <w:rPr>
          <w:rFonts w:ascii="Cambria" w:hAnsi="Cambria"/>
          <w:szCs w:val="20"/>
        </w:rPr>
        <w:t>complained of irregularities that, if proven to be true</w:t>
      </w:r>
      <w:r w:rsidRPr="00F02416">
        <w:rPr>
          <w:rFonts w:ascii="Cambria" w:hAnsi="Cambria"/>
          <w:szCs w:val="20"/>
        </w:rPr>
        <w:t xml:space="preserve">, </w:t>
      </w:r>
      <w:r>
        <w:rPr>
          <w:rFonts w:ascii="Cambria" w:hAnsi="Cambria"/>
          <w:szCs w:val="20"/>
        </w:rPr>
        <w:t>could be violations of due process and access to justice.</w:t>
      </w:r>
      <w:r w:rsidRPr="00F02416">
        <w:rPr>
          <w:rFonts w:ascii="Cambria" w:hAnsi="Cambria"/>
          <w:szCs w:val="20"/>
        </w:rPr>
        <w:t xml:space="preserve"> </w:t>
      </w:r>
      <w:r w:rsidRPr="006D16CA">
        <w:rPr>
          <w:rFonts w:ascii="Cambria" w:hAnsi="Cambria"/>
          <w:szCs w:val="20"/>
        </w:rPr>
        <w:t xml:space="preserve">The Commission observes that Mr. De la Torre Echeandía was </w:t>
      </w:r>
      <w:r w:rsidRPr="00091126">
        <w:rPr>
          <w:rFonts w:ascii="Cambria" w:hAnsi="Cambria"/>
          <w:szCs w:val="20"/>
        </w:rPr>
        <w:t>murdered on February 14, 2004 and that—as the State acknowledges—more than twelve years have now elapsed without any conclusion to the investigation to establish the facts surrounding the murder. The IACHR notes that the complaints about alleged attacks to the house of the journalist’s family and other acts of harassment against his family have not investigated. In the Commission’s opinion, the fact that the investigation remains open without results nor information on the measures adopted by the authorities amounts to an unwarranted delay under the terms of Article 46(2)(c) of the Convention.</w:t>
      </w:r>
    </w:p>
    <w:p w:rsidR="005D7EFF" w:rsidRPr="005D7EFF" w:rsidRDefault="005D7EFF" w:rsidP="005D7EFF">
      <w:pPr>
        <w:pStyle w:val="TextBody"/>
        <w:spacing w:before="0" w:after="0"/>
        <w:ind w:firstLine="720"/>
      </w:pPr>
    </w:p>
    <w:p w:rsidR="007002A4" w:rsidRPr="007A1671" w:rsidRDefault="007002A4" w:rsidP="005D7EFF">
      <w:pPr>
        <w:pStyle w:val="Heading2"/>
        <w:keepLines w:val="0"/>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rFonts w:ascii="Cambria" w:hAnsi="Cambria"/>
          <w:color w:val="auto"/>
          <w:sz w:val="20"/>
          <w:szCs w:val="20"/>
        </w:rPr>
      </w:pPr>
      <w:r w:rsidRPr="007A1671">
        <w:rPr>
          <w:rFonts w:ascii="Cambria" w:hAnsi="Cambria"/>
          <w:color w:val="auto"/>
          <w:sz w:val="20"/>
          <w:szCs w:val="20"/>
        </w:rPr>
        <w:t>Timeliness of the petition</w:t>
      </w:r>
    </w:p>
    <w:p w:rsidR="007002A4" w:rsidRPr="00F02416" w:rsidRDefault="007002A4" w:rsidP="005D7EFF">
      <w:pPr>
        <w:pStyle w:val="Firstparagraph"/>
        <w:spacing w:before="0" w:after="0"/>
        <w:ind w:firstLine="720"/>
        <w:rPr>
          <w:rFonts w:ascii="Cambria" w:hAnsi="Cambria"/>
          <w:szCs w:val="20"/>
        </w:rPr>
      </w:pPr>
    </w:p>
    <w:p w:rsidR="007002A4" w:rsidRPr="00F02416" w:rsidRDefault="007002A4" w:rsidP="005D7EFF">
      <w:pPr>
        <w:pStyle w:val="Firstparagraph"/>
        <w:numPr>
          <w:ilvl w:val="0"/>
          <w:numId w:val="106"/>
        </w:numPr>
        <w:spacing w:before="0" w:after="0"/>
        <w:ind w:left="0" w:firstLine="720"/>
        <w:rPr>
          <w:rFonts w:ascii="Cambria" w:hAnsi="Cambria"/>
          <w:szCs w:val="20"/>
        </w:rPr>
      </w:pPr>
      <w:r>
        <w:rPr>
          <w:rFonts w:ascii="Cambria" w:hAnsi="Cambria"/>
          <w:szCs w:val="20"/>
        </w:rPr>
        <w:t>Article</w:t>
      </w:r>
      <w:r w:rsidRPr="00F02416">
        <w:rPr>
          <w:rFonts w:ascii="Cambria" w:hAnsi="Cambria"/>
          <w:szCs w:val="20"/>
        </w:rPr>
        <w:t xml:space="preserve"> 32 </w:t>
      </w:r>
      <w:r>
        <w:rPr>
          <w:rFonts w:ascii="Cambria" w:hAnsi="Cambria"/>
          <w:szCs w:val="20"/>
        </w:rPr>
        <w:t>of the Rules of Procedure of</w:t>
      </w:r>
      <w:r w:rsidRPr="00F02416">
        <w:rPr>
          <w:rFonts w:ascii="Cambria" w:hAnsi="Cambria"/>
          <w:szCs w:val="20"/>
        </w:rPr>
        <w:t xml:space="preserve"> </w:t>
      </w:r>
      <w:r>
        <w:rPr>
          <w:rFonts w:ascii="Cambria" w:hAnsi="Cambria"/>
          <w:szCs w:val="20"/>
        </w:rPr>
        <w:t>the IACHR</w:t>
      </w:r>
      <w:r w:rsidRPr="00F02416">
        <w:rPr>
          <w:rFonts w:ascii="Cambria" w:hAnsi="Cambria"/>
          <w:szCs w:val="20"/>
        </w:rPr>
        <w:t xml:space="preserve"> </w:t>
      </w:r>
      <w:r>
        <w:rPr>
          <w:rFonts w:ascii="Cambria" w:hAnsi="Cambria"/>
          <w:szCs w:val="20"/>
        </w:rPr>
        <w:t>provides that i</w:t>
      </w:r>
      <w:r w:rsidRPr="00FF43A3">
        <w:rPr>
          <w:rFonts w:ascii="Cambria" w:hAnsi="Cambria"/>
          <w:szCs w:val="20"/>
        </w:rPr>
        <w:t xml:space="preserve">n those cases in which the exceptions to the requirement of prior exhaustion of domestic remedies are applicable, the petition shall be presented within a reasonable period of time, as determined by the Commission.  For this purpose, the Commission shall consider the date on which the alleged violation of rights occurred and </w:t>
      </w:r>
      <w:r>
        <w:rPr>
          <w:rFonts w:ascii="Cambria" w:hAnsi="Cambria"/>
          <w:szCs w:val="20"/>
        </w:rPr>
        <w:t>the circumstances of each case</w:t>
      </w:r>
      <w:r w:rsidRPr="00F02416">
        <w:rPr>
          <w:rFonts w:ascii="Cambria" w:hAnsi="Cambria"/>
          <w:szCs w:val="20"/>
        </w:rPr>
        <w:t xml:space="preserve">. </w:t>
      </w:r>
      <w:r>
        <w:rPr>
          <w:rFonts w:ascii="Cambria" w:hAnsi="Cambria"/>
          <w:szCs w:val="20"/>
        </w:rPr>
        <w:t>Taking account of the date of the facts alleged and the situation of the domestic remedies in Peru</w:t>
      </w:r>
      <w:r w:rsidRPr="00F02416">
        <w:rPr>
          <w:rFonts w:ascii="Cambria" w:hAnsi="Cambria"/>
          <w:szCs w:val="20"/>
        </w:rPr>
        <w:t xml:space="preserve">, </w:t>
      </w:r>
      <w:r>
        <w:rPr>
          <w:rFonts w:ascii="Cambria" w:hAnsi="Cambria"/>
          <w:szCs w:val="20"/>
        </w:rPr>
        <w:t>the Commission</w:t>
      </w:r>
      <w:r w:rsidRPr="00F02416">
        <w:rPr>
          <w:rFonts w:ascii="Cambria" w:hAnsi="Cambria"/>
          <w:szCs w:val="20"/>
        </w:rPr>
        <w:t xml:space="preserve"> </w:t>
      </w:r>
      <w:r>
        <w:rPr>
          <w:rFonts w:ascii="Cambria" w:hAnsi="Cambria"/>
          <w:szCs w:val="20"/>
        </w:rPr>
        <w:t>finds that</w:t>
      </w:r>
      <w:r w:rsidRPr="00F02416">
        <w:rPr>
          <w:rFonts w:ascii="Cambria" w:hAnsi="Cambria"/>
          <w:szCs w:val="20"/>
        </w:rPr>
        <w:t xml:space="preserve"> </w:t>
      </w:r>
      <w:r>
        <w:rPr>
          <w:rFonts w:ascii="Cambria" w:hAnsi="Cambria"/>
          <w:szCs w:val="20"/>
        </w:rPr>
        <w:t>the petition</w:t>
      </w:r>
      <w:r w:rsidRPr="00F02416">
        <w:rPr>
          <w:rFonts w:ascii="Cambria" w:hAnsi="Cambria"/>
          <w:szCs w:val="20"/>
        </w:rPr>
        <w:t xml:space="preserve"> </w:t>
      </w:r>
      <w:r>
        <w:rPr>
          <w:rFonts w:ascii="Cambria" w:hAnsi="Cambria"/>
          <w:szCs w:val="20"/>
        </w:rPr>
        <w:t>under study was filed within a reasonable period of time.</w:t>
      </w:r>
      <w:r w:rsidRPr="00F02416">
        <w:rPr>
          <w:rFonts w:ascii="Cambria" w:hAnsi="Cambria"/>
          <w:szCs w:val="20"/>
        </w:rPr>
        <w:t xml:space="preserve"> </w:t>
      </w:r>
    </w:p>
    <w:p w:rsidR="007002A4" w:rsidRDefault="007002A4" w:rsidP="007002A4">
      <w:pPr>
        <w:pStyle w:val="Heading2"/>
        <w:keepLines w:val="0"/>
        <w:widowControl w:val="0"/>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0"/>
        <w:ind w:firstLine="720"/>
        <w:jc w:val="both"/>
        <w:rPr>
          <w:rFonts w:ascii="Cambria" w:hAnsi="Cambria"/>
          <w:color w:val="auto"/>
          <w:sz w:val="20"/>
          <w:szCs w:val="20"/>
        </w:rPr>
      </w:pPr>
    </w:p>
    <w:p w:rsidR="007002A4" w:rsidRPr="00C32ABB" w:rsidRDefault="007002A4" w:rsidP="007002A4">
      <w:pPr>
        <w:pStyle w:val="Heading2"/>
        <w:keepLines w:val="0"/>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0"/>
        <w:ind w:left="0" w:firstLine="720"/>
        <w:jc w:val="both"/>
        <w:rPr>
          <w:rFonts w:ascii="Cambria" w:hAnsi="Cambria"/>
          <w:color w:val="auto"/>
          <w:sz w:val="20"/>
          <w:szCs w:val="20"/>
        </w:rPr>
      </w:pPr>
      <w:r w:rsidRPr="00C32ABB">
        <w:rPr>
          <w:rFonts w:ascii="Cambria" w:hAnsi="Cambria"/>
          <w:color w:val="auto"/>
          <w:sz w:val="20"/>
          <w:szCs w:val="20"/>
        </w:rPr>
        <w:t>Duplication of proceedings and international res judicata</w:t>
      </w:r>
    </w:p>
    <w:p w:rsidR="007002A4" w:rsidRPr="00DA7483" w:rsidRDefault="007002A4" w:rsidP="007002A4">
      <w:pPr>
        <w:pStyle w:val="Firstparagraph"/>
        <w:spacing w:before="0" w:after="0"/>
        <w:ind w:firstLine="720"/>
        <w:rPr>
          <w:rFonts w:ascii="Cambria" w:hAnsi="Cambria"/>
          <w:szCs w:val="20"/>
        </w:rPr>
      </w:pPr>
    </w:p>
    <w:p w:rsidR="007002A4" w:rsidRPr="00812667" w:rsidRDefault="007002A4" w:rsidP="007002A4">
      <w:pPr>
        <w:pStyle w:val="Firstparagraph"/>
        <w:numPr>
          <w:ilvl w:val="0"/>
          <w:numId w:val="106"/>
        </w:numPr>
        <w:spacing w:before="0" w:after="0"/>
        <w:ind w:left="0" w:firstLine="720"/>
        <w:rPr>
          <w:rFonts w:ascii="Cambria" w:hAnsi="Cambria"/>
          <w:szCs w:val="20"/>
        </w:rPr>
      </w:pPr>
      <w:r w:rsidRPr="00812667">
        <w:rPr>
          <w:rFonts w:ascii="Cambria" w:hAnsi="Cambria"/>
          <w:szCs w:val="20"/>
        </w:rPr>
        <w:t>The case file does not contain any information to indicate that the subject of the petition is pending in another international proceeding, or that it duplicates a petition previously decided by the IACHR or another international body. Hence, the requirements set forth in Articles 46.1.c and 47.d of the Conven</w:t>
      </w:r>
      <w:r>
        <w:rPr>
          <w:rFonts w:ascii="Cambria" w:hAnsi="Cambria"/>
          <w:szCs w:val="20"/>
        </w:rPr>
        <w:t>tion have been met</w:t>
      </w:r>
      <w:r w:rsidRPr="00812667">
        <w:rPr>
          <w:rFonts w:ascii="Cambria" w:hAnsi="Cambria"/>
          <w:szCs w:val="20"/>
        </w:rPr>
        <w:t>.</w:t>
      </w:r>
    </w:p>
    <w:p w:rsidR="007002A4" w:rsidRPr="00F02416" w:rsidRDefault="007002A4" w:rsidP="007002A4">
      <w:pPr>
        <w:pStyle w:val="Heading2"/>
        <w:keepLines w:val="0"/>
        <w:widowControl w:val="0"/>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0"/>
        <w:ind w:firstLine="720"/>
        <w:jc w:val="both"/>
        <w:rPr>
          <w:rFonts w:ascii="Cambria" w:hAnsi="Cambria"/>
          <w:sz w:val="20"/>
          <w:szCs w:val="20"/>
        </w:rPr>
      </w:pPr>
    </w:p>
    <w:p w:rsidR="007002A4" w:rsidRPr="007A1671" w:rsidRDefault="007002A4" w:rsidP="007002A4">
      <w:pPr>
        <w:pStyle w:val="Heading2"/>
        <w:keepLines w:val="0"/>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0"/>
        <w:ind w:left="0" w:firstLine="720"/>
        <w:jc w:val="both"/>
        <w:rPr>
          <w:rFonts w:ascii="Cambria" w:hAnsi="Cambria"/>
          <w:color w:val="auto"/>
          <w:sz w:val="20"/>
          <w:szCs w:val="20"/>
        </w:rPr>
      </w:pPr>
      <w:r w:rsidRPr="007A1671">
        <w:rPr>
          <w:rFonts w:ascii="Cambria" w:hAnsi="Cambria"/>
          <w:color w:val="auto"/>
          <w:sz w:val="20"/>
          <w:szCs w:val="20"/>
        </w:rPr>
        <w:t>Colorable claim</w:t>
      </w:r>
    </w:p>
    <w:p w:rsidR="007002A4" w:rsidRPr="00F02416" w:rsidRDefault="007002A4" w:rsidP="007002A4">
      <w:pPr>
        <w:pStyle w:val="Firstparagraph"/>
        <w:spacing w:before="0" w:after="0"/>
        <w:ind w:firstLine="720"/>
        <w:rPr>
          <w:rFonts w:ascii="Cambria" w:hAnsi="Cambria"/>
          <w:szCs w:val="20"/>
        </w:rPr>
      </w:pPr>
    </w:p>
    <w:p w:rsidR="007002A4" w:rsidRPr="00F02416" w:rsidRDefault="007002A4" w:rsidP="007002A4">
      <w:pPr>
        <w:pStyle w:val="Firstparagraph"/>
        <w:numPr>
          <w:ilvl w:val="0"/>
          <w:numId w:val="106"/>
        </w:numPr>
        <w:spacing w:before="0" w:after="0"/>
        <w:ind w:left="0" w:firstLine="720"/>
        <w:rPr>
          <w:rFonts w:ascii="Cambria" w:hAnsi="Cambria"/>
          <w:szCs w:val="20"/>
        </w:rPr>
      </w:pPr>
      <w:r w:rsidRPr="002D131D">
        <w:rPr>
          <w:rFonts w:ascii="Cambria" w:hAnsi="Cambria"/>
          <w:szCs w:val="20"/>
        </w:rPr>
        <w:t xml:space="preserve">The Inter-American Commission must decide whether the alleged facts amount to a violation of the rights enshrined in the American Convention pursuant to the requirements of Article 47.b, or whether the petition is </w:t>
      </w:r>
      <w:r w:rsidRPr="002D131D">
        <w:rPr>
          <w:rFonts w:ascii="Cambria" w:hAnsi="Cambria"/>
          <w:bCs/>
          <w:szCs w:val="20"/>
        </w:rPr>
        <w:t>“</w:t>
      </w:r>
      <w:r w:rsidRPr="002D131D">
        <w:rPr>
          <w:rFonts w:ascii="Cambria" w:hAnsi="Cambria"/>
          <w:szCs w:val="20"/>
        </w:rPr>
        <w:t>manifestly groundless</w:t>
      </w:r>
      <w:r w:rsidRPr="002D131D">
        <w:rPr>
          <w:rFonts w:ascii="Cambria" w:hAnsi="Cambria"/>
          <w:bCs/>
          <w:szCs w:val="20"/>
        </w:rPr>
        <w:t xml:space="preserve">” </w:t>
      </w:r>
      <w:r w:rsidRPr="002D131D">
        <w:rPr>
          <w:rFonts w:ascii="Cambria" w:hAnsi="Cambria"/>
          <w:szCs w:val="20"/>
        </w:rPr>
        <w:t xml:space="preserve">or </w:t>
      </w:r>
      <w:r w:rsidRPr="002D131D">
        <w:rPr>
          <w:rFonts w:ascii="Cambria" w:hAnsi="Cambria"/>
          <w:bCs/>
          <w:szCs w:val="20"/>
        </w:rPr>
        <w:t>“</w:t>
      </w:r>
      <w:r w:rsidRPr="002D131D">
        <w:rPr>
          <w:rFonts w:ascii="Cambria" w:hAnsi="Cambria"/>
          <w:szCs w:val="20"/>
        </w:rPr>
        <w:t>obviously out of order</w:t>
      </w:r>
      <w:r w:rsidRPr="002D131D">
        <w:rPr>
          <w:rFonts w:ascii="Cambria" w:hAnsi="Cambria"/>
          <w:bCs/>
          <w:szCs w:val="20"/>
        </w:rPr>
        <w:t xml:space="preserve">,” </w:t>
      </w:r>
      <w:r w:rsidRPr="002D131D">
        <w:rPr>
          <w:rFonts w:ascii="Cambria" w:hAnsi="Cambria"/>
          <w:szCs w:val="20"/>
        </w:rPr>
        <w:t xml:space="preserve">as described in Article 47.c. At this stage of the proceedings, the Commission must perform a </w:t>
      </w:r>
      <w:r w:rsidRPr="002D131D">
        <w:rPr>
          <w:rFonts w:ascii="Cambria" w:hAnsi="Cambria"/>
          <w:i/>
          <w:szCs w:val="20"/>
        </w:rPr>
        <w:t>prima</w:t>
      </w:r>
      <w:r w:rsidRPr="002D131D">
        <w:rPr>
          <w:rFonts w:ascii="Cambria" w:hAnsi="Cambria"/>
          <w:szCs w:val="20"/>
        </w:rPr>
        <w:t xml:space="preserve"> </w:t>
      </w:r>
      <w:r w:rsidRPr="002D131D">
        <w:rPr>
          <w:rFonts w:ascii="Cambria" w:hAnsi="Cambria"/>
          <w:i/>
          <w:iCs/>
          <w:szCs w:val="20"/>
        </w:rPr>
        <w:t>facie</w:t>
      </w:r>
      <w:r w:rsidRPr="002D131D">
        <w:rPr>
          <w:rFonts w:ascii="Cambria" w:hAnsi="Cambria"/>
          <w:szCs w:val="20"/>
        </w:rPr>
        <w:t xml:space="preserve"> evaluation, not to establish the alleged violations of the American Convention, but to examine whether the petition alleges acts that could potentially constitute violations of the rights guaranteed in the American Convention. This determination does not entail the prejudgment of the merits of</w:t>
      </w:r>
      <w:r>
        <w:rPr>
          <w:rFonts w:ascii="Cambria" w:hAnsi="Cambria"/>
          <w:szCs w:val="20"/>
        </w:rPr>
        <w:t xml:space="preserve"> </w:t>
      </w:r>
      <w:r w:rsidRPr="002D131D">
        <w:rPr>
          <w:rFonts w:ascii="Cambria" w:hAnsi="Cambria"/>
          <w:szCs w:val="20"/>
        </w:rPr>
        <w:t>the case</w:t>
      </w:r>
      <w:r>
        <w:rPr>
          <w:rFonts w:ascii="Cambria" w:hAnsi="Cambria"/>
          <w:szCs w:val="20"/>
        </w:rPr>
        <w:t>.</w:t>
      </w:r>
      <w:r w:rsidRPr="00F02416">
        <w:rPr>
          <w:rFonts w:ascii="Cambria" w:hAnsi="Cambria"/>
          <w:szCs w:val="20"/>
          <w:vertAlign w:val="superscript"/>
        </w:rPr>
        <w:footnoteReference w:id="3"/>
      </w:r>
    </w:p>
    <w:p w:rsidR="007002A4" w:rsidRPr="00F02416" w:rsidRDefault="007002A4" w:rsidP="007002A4">
      <w:pPr>
        <w:pStyle w:val="Firstparagraph"/>
        <w:spacing w:before="0" w:after="0"/>
        <w:ind w:firstLine="720"/>
        <w:rPr>
          <w:rFonts w:ascii="Cambria" w:hAnsi="Cambria"/>
          <w:szCs w:val="20"/>
        </w:rPr>
      </w:pPr>
    </w:p>
    <w:p w:rsidR="007002A4" w:rsidRPr="00164D83" w:rsidRDefault="007002A4" w:rsidP="007002A4">
      <w:pPr>
        <w:pStyle w:val="Firstparagraph"/>
        <w:numPr>
          <w:ilvl w:val="0"/>
          <w:numId w:val="106"/>
        </w:numPr>
        <w:spacing w:before="0" w:after="0"/>
        <w:ind w:left="0" w:firstLine="720"/>
        <w:rPr>
          <w:rFonts w:ascii="Cambria" w:hAnsi="Cambria"/>
          <w:szCs w:val="20"/>
        </w:rPr>
      </w:pPr>
      <w:r w:rsidRPr="00164D83">
        <w:rPr>
          <w:rFonts w:ascii="Cambria" w:hAnsi="Cambria"/>
          <w:szCs w:val="20"/>
        </w:rPr>
        <w:t>Neither the American Convention nor the IACHR’s Rules of Procedure require petitioners to identify the specific rights alleged to have been violated by the State in the matter submitted to the Commission, although they may do so if they wish. It falls to the Commission, on the basis of the system's jurisprudence, to determine in its reports on admissibility which provisions of the pertinent inter-American instruments are applicable, and the violation thereof may be established if the facts alleged are demonstrated with sufficient evidence.</w:t>
      </w:r>
    </w:p>
    <w:p w:rsidR="007002A4" w:rsidRPr="00F02416" w:rsidRDefault="007002A4" w:rsidP="007002A4">
      <w:pPr>
        <w:pStyle w:val="Firstparagraph"/>
        <w:spacing w:before="0" w:after="0"/>
        <w:ind w:firstLine="720"/>
        <w:rPr>
          <w:rFonts w:ascii="Cambria" w:hAnsi="Cambria"/>
          <w:szCs w:val="20"/>
        </w:rPr>
      </w:pPr>
    </w:p>
    <w:p w:rsidR="007002A4" w:rsidRPr="00F02416" w:rsidRDefault="007002A4" w:rsidP="007002A4">
      <w:pPr>
        <w:pStyle w:val="Firstparagraph"/>
        <w:numPr>
          <w:ilvl w:val="0"/>
          <w:numId w:val="106"/>
        </w:numPr>
        <w:spacing w:before="0" w:after="0"/>
        <w:ind w:left="0" w:firstLine="720"/>
        <w:rPr>
          <w:rFonts w:ascii="Cambria" w:hAnsi="Cambria"/>
          <w:szCs w:val="20"/>
        </w:rPr>
      </w:pPr>
      <w:r>
        <w:rPr>
          <w:rFonts w:ascii="Cambria" w:hAnsi="Cambria"/>
          <w:szCs w:val="20"/>
        </w:rPr>
        <w:t>In this case</w:t>
      </w:r>
      <w:r w:rsidRPr="00F02416">
        <w:rPr>
          <w:rFonts w:ascii="Cambria" w:hAnsi="Cambria"/>
          <w:szCs w:val="20"/>
        </w:rPr>
        <w:t xml:space="preserve">, </w:t>
      </w:r>
      <w:r>
        <w:rPr>
          <w:rFonts w:ascii="Cambria" w:hAnsi="Cambria"/>
          <w:szCs w:val="20"/>
        </w:rPr>
        <w:t>the petitioners</w:t>
      </w:r>
      <w:r w:rsidRPr="00F02416">
        <w:rPr>
          <w:rFonts w:ascii="Cambria" w:hAnsi="Cambria"/>
          <w:szCs w:val="20"/>
        </w:rPr>
        <w:t xml:space="preserve"> </w:t>
      </w:r>
      <w:r>
        <w:rPr>
          <w:rFonts w:ascii="Cambria" w:hAnsi="Cambria"/>
          <w:szCs w:val="20"/>
        </w:rPr>
        <w:t>alleged that Mr.</w:t>
      </w:r>
      <w:r w:rsidRPr="00F02416">
        <w:rPr>
          <w:rFonts w:ascii="Cambria" w:hAnsi="Cambria"/>
          <w:szCs w:val="20"/>
        </w:rPr>
        <w:t xml:space="preserve"> Antonio de la Torre Echeandía </w:t>
      </w:r>
      <w:r>
        <w:rPr>
          <w:rFonts w:ascii="Cambria" w:hAnsi="Cambria"/>
          <w:szCs w:val="20"/>
        </w:rPr>
        <w:t>was murdered</w:t>
      </w:r>
      <w:r w:rsidRPr="00F02416">
        <w:rPr>
          <w:rFonts w:ascii="Cambria" w:hAnsi="Cambria"/>
          <w:szCs w:val="20"/>
        </w:rPr>
        <w:t xml:space="preserve"> </w:t>
      </w:r>
      <w:r>
        <w:rPr>
          <w:rFonts w:ascii="Cambria" w:hAnsi="Cambria"/>
          <w:szCs w:val="20"/>
        </w:rPr>
        <w:t>for reasons connected to his practice of journalism</w:t>
      </w:r>
      <w:r w:rsidRPr="00F02416">
        <w:rPr>
          <w:rFonts w:ascii="Cambria" w:hAnsi="Cambria"/>
          <w:szCs w:val="20"/>
        </w:rPr>
        <w:t xml:space="preserve"> </w:t>
      </w:r>
      <w:r>
        <w:rPr>
          <w:rFonts w:ascii="Cambria" w:hAnsi="Cambria"/>
          <w:szCs w:val="20"/>
        </w:rPr>
        <w:t>and that the investigation and criminal case were plagued by irregularities, resulting in the acquittal of the defendants, without establishing the facts of the case. They also alleged that members of the journalist’s family were the victims of harassment</w:t>
      </w:r>
      <w:r w:rsidRPr="00F02416">
        <w:rPr>
          <w:rFonts w:ascii="Cambria" w:hAnsi="Cambria"/>
          <w:szCs w:val="20"/>
        </w:rPr>
        <w:t xml:space="preserve">, </w:t>
      </w:r>
      <w:r>
        <w:rPr>
          <w:rFonts w:ascii="Cambria" w:hAnsi="Cambria"/>
          <w:szCs w:val="20"/>
        </w:rPr>
        <w:t>threats, and persecution, which was not properly investigated. For its part, the State</w:t>
      </w:r>
      <w:r w:rsidRPr="00F02416">
        <w:rPr>
          <w:rFonts w:ascii="Cambria" w:hAnsi="Cambria"/>
          <w:szCs w:val="20"/>
        </w:rPr>
        <w:t xml:space="preserve"> </w:t>
      </w:r>
      <w:r>
        <w:rPr>
          <w:rFonts w:ascii="Cambria" w:hAnsi="Cambria"/>
          <w:szCs w:val="20"/>
        </w:rPr>
        <w:t xml:space="preserve">asserted that the “fourth instance” exception is applicable to this case. </w:t>
      </w:r>
    </w:p>
    <w:p w:rsidR="007002A4" w:rsidRPr="00F02416" w:rsidRDefault="007002A4" w:rsidP="007002A4">
      <w:pPr>
        <w:pStyle w:val="Firstparagraph"/>
        <w:spacing w:before="0" w:after="0"/>
        <w:ind w:firstLine="720"/>
        <w:rPr>
          <w:rFonts w:ascii="Cambria" w:hAnsi="Cambria"/>
          <w:szCs w:val="20"/>
        </w:rPr>
      </w:pPr>
    </w:p>
    <w:p w:rsidR="007002A4" w:rsidRPr="00091126" w:rsidRDefault="007002A4" w:rsidP="007002A4">
      <w:pPr>
        <w:pStyle w:val="Firstparagraph"/>
        <w:numPr>
          <w:ilvl w:val="0"/>
          <w:numId w:val="106"/>
        </w:numPr>
        <w:spacing w:before="0" w:after="0"/>
        <w:ind w:left="0" w:firstLine="720"/>
        <w:rPr>
          <w:rFonts w:ascii="Cambria" w:hAnsi="Cambria"/>
          <w:szCs w:val="20"/>
        </w:rPr>
      </w:pPr>
      <w:r>
        <w:rPr>
          <w:rFonts w:ascii="Cambria" w:hAnsi="Cambria"/>
          <w:szCs w:val="20"/>
        </w:rPr>
        <w:t>The IACHR</w:t>
      </w:r>
      <w:r w:rsidRPr="00F02416">
        <w:rPr>
          <w:rFonts w:ascii="Cambria" w:hAnsi="Cambria"/>
          <w:szCs w:val="20"/>
        </w:rPr>
        <w:t xml:space="preserve"> </w:t>
      </w:r>
      <w:r>
        <w:rPr>
          <w:rFonts w:ascii="Cambria" w:hAnsi="Cambria"/>
          <w:szCs w:val="20"/>
        </w:rPr>
        <w:t>recalls that</w:t>
      </w:r>
      <w:r w:rsidRPr="00F02416">
        <w:rPr>
          <w:rFonts w:ascii="Cambria" w:hAnsi="Cambria"/>
          <w:szCs w:val="20"/>
        </w:rPr>
        <w:t xml:space="preserve"> "</w:t>
      </w:r>
      <w:r w:rsidRPr="003048B4">
        <w:rPr>
          <w:rFonts w:ascii="Cambria" w:hAnsi="Cambria"/>
          <w:szCs w:val="20"/>
        </w:rPr>
        <w:t>it is not competent to review judgments handed down by national courts acting within their jurisdiction and obs</w:t>
      </w:r>
      <w:r>
        <w:rPr>
          <w:rFonts w:ascii="Cambria" w:hAnsi="Cambria"/>
          <w:szCs w:val="20"/>
        </w:rPr>
        <w:t>erving due judicial guarantees,”</w:t>
      </w:r>
      <w:r w:rsidRPr="00F02416">
        <w:rPr>
          <w:rStyle w:val="FootnoteAnchor"/>
          <w:rFonts w:ascii="Cambria" w:hAnsi="Cambria"/>
          <w:szCs w:val="20"/>
        </w:rPr>
        <w:footnoteReference w:id="4"/>
      </w:r>
      <w:r>
        <w:rPr>
          <w:rFonts w:ascii="Cambria" w:hAnsi="Cambria"/>
          <w:szCs w:val="20"/>
        </w:rPr>
        <w:t xml:space="preserve"> nor “</w:t>
      </w:r>
      <w:r w:rsidRPr="003048B4">
        <w:rPr>
          <w:rFonts w:ascii="Cambria" w:hAnsi="Cambria"/>
          <w:szCs w:val="20"/>
        </w:rPr>
        <w:t>serve as an appellate court to examine alleged errors of internal law or fact that may have been committed by the domestic courts acting within their jurisdiction</w:t>
      </w:r>
      <w:r>
        <w:rPr>
          <w:rFonts w:ascii="Cambria" w:hAnsi="Cambria"/>
          <w:szCs w:val="20"/>
        </w:rPr>
        <w:t>.”</w:t>
      </w:r>
      <w:r w:rsidRPr="00F02416">
        <w:rPr>
          <w:rStyle w:val="FootnoteAnchor"/>
          <w:rFonts w:ascii="Cambria" w:hAnsi="Cambria"/>
          <w:szCs w:val="20"/>
        </w:rPr>
        <w:footnoteReference w:id="5"/>
      </w:r>
      <w:r w:rsidRPr="00F02416">
        <w:rPr>
          <w:rFonts w:ascii="Cambria" w:hAnsi="Cambria"/>
          <w:szCs w:val="20"/>
        </w:rPr>
        <w:t xml:space="preserve"> </w:t>
      </w:r>
      <w:r>
        <w:rPr>
          <w:rFonts w:ascii="Cambria" w:hAnsi="Cambria"/>
          <w:szCs w:val="20"/>
        </w:rPr>
        <w:t>However</w:t>
      </w:r>
      <w:r w:rsidRPr="00F02416">
        <w:rPr>
          <w:rFonts w:ascii="Cambria" w:hAnsi="Cambria"/>
          <w:szCs w:val="20"/>
        </w:rPr>
        <w:t xml:space="preserve">, </w:t>
      </w:r>
      <w:r>
        <w:rPr>
          <w:rFonts w:ascii="Cambria" w:hAnsi="Cambria"/>
          <w:szCs w:val="20"/>
        </w:rPr>
        <w:t>within its mandate to guarantee the observance of the rights set forth in the Convention</w:t>
      </w:r>
      <w:r w:rsidRPr="00F02416">
        <w:rPr>
          <w:rFonts w:ascii="Cambria" w:hAnsi="Cambria"/>
          <w:szCs w:val="20"/>
        </w:rPr>
        <w:t xml:space="preserve">, </w:t>
      </w:r>
      <w:r>
        <w:rPr>
          <w:rFonts w:ascii="Cambria" w:hAnsi="Cambria"/>
          <w:szCs w:val="20"/>
        </w:rPr>
        <w:t>the Commission</w:t>
      </w:r>
      <w:r w:rsidRPr="00F02416">
        <w:rPr>
          <w:rFonts w:ascii="Cambria" w:hAnsi="Cambria"/>
          <w:szCs w:val="20"/>
        </w:rPr>
        <w:t xml:space="preserve"> </w:t>
      </w:r>
      <w:r>
        <w:rPr>
          <w:rFonts w:ascii="Cambria" w:hAnsi="Cambria"/>
          <w:szCs w:val="20"/>
        </w:rPr>
        <w:t xml:space="preserve">is necessarily competent to declare a </w:t>
      </w:r>
      <w:r w:rsidRPr="00F02416">
        <w:rPr>
          <w:rFonts w:ascii="Cambria" w:hAnsi="Cambria"/>
          <w:szCs w:val="20"/>
        </w:rPr>
        <w:t xml:space="preserve">petition </w:t>
      </w:r>
      <w:r>
        <w:rPr>
          <w:rFonts w:ascii="Cambria" w:hAnsi="Cambria"/>
          <w:szCs w:val="20"/>
        </w:rPr>
        <w:t xml:space="preserve">admissible and analyze its merits when it concerns a national decision that has allegedly been issued without respect for due process, or that apparently violates any other right guaranteed </w:t>
      </w:r>
      <w:r w:rsidRPr="00623F89">
        <w:rPr>
          <w:rFonts w:ascii="Cambria" w:hAnsi="Cambria"/>
          <w:szCs w:val="20"/>
        </w:rPr>
        <w:t>by the Convention. The petitioners alleged irregularities in the criminal case ini</w:t>
      </w:r>
      <w:r w:rsidRPr="00091126">
        <w:rPr>
          <w:rFonts w:ascii="Cambria" w:hAnsi="Cambria"/>
          <w:szCs w:val="20"/>
        </w:rPr>
        <w:t>tiated to investigate murder the journalist and the alleged assaults against his family, if proven true at a later stage of the proceedings, could potentially involve State obligations arising from the American Convention. Additionally, the petitioners have stated that the crime remains unpunished. Accordingly, the Commission finds that the examination of this case does not require it to act as a “fourth instance.”</w:t>
      </w:r>
    </w:p>
    <w:p w:rsidR="007002A4" w:rsidRPr="00091126" w:rsidRDefault="007002A4" w:rsidP="007002A4">
      <w:pPr>
        <w:pStyle w:val="Firstparagraph"/>
        <w:spacing w:before="0" w:after="0"/>
        <w:ind w:firstLine="720"/>
        <w:rPr>
          <w:rFonts w:ascii="Cambria" w:hAnsi="Cambria"/>
          <w:szCs w:val="20"/>
        </w:rPr>
      </w:pPr>
    </w:p>
    <w:p w:rsidR="007002A4" w:rsidRPr="00091126" w:rsidRDefault="007002A4" w:rsidP="007002A4">
      <w:pPr>
        <w:pStyle w:val="Firstparagraph"/>
        <w:numPr>
          <w:ilvl w:val="0"/>
          <w:numId w:val="106"/>
        </w:numPr>
        <w:spacing w:before="0" w:after="0"/>
        <w:ind w:left="0" w:firstLine="720"/>
        <w:rPr>
          <w:rFonts w:ascii="Cambria" w:hAnsi="Cambria" w:cs="Arial"/>
          <w:spacing w:val="-2"/>
          <w:szCs w:val="20"/>
        </w:rPr>
      </w:pPr>
      <w:r w:rsidRPr="00091126">
        <w:rPr>
          <w:rFonts w:ascii="Cambria" w:hAnsi="Cambria"/>
          <w:szCs w:val="20"/>
        </w:rPr>
        <w:t xml:space="preserve">In view of the legal and factual elements presented by the parties and the nature of the matter brought before it, the Commission finds that, if proven, the petitioners’ allegations of State responsibility for the facts set forth in the petition could potentially constitute a violation of the rights </w:t>
      </w:r>
      <w:r w:rsidRPr="00091126">
        <w:rPr>
          <w:rFonts w:ascii="Cambria" w:hAnsi="Cambria"/>
          <w:szCs w:val="20"/>
        </w:rPr>
        <w:lastRenderedPageBreak/>
        <w:t>enshrined in Articles 4 and 13 of the Convention, to the detriment of Antonio De la Torre Echeandía. In addition, the facts potentially describe a violation of Articles 5, 8, 17, and 25 to the detriment of Dina Ramírez Ramírez and her children. The Commission will examine at the merits stage the possible violation of these provisions in light of the general obligation enshrined in Article 1.1 of the Convention, as well as the obligation to take domestic law measures pursuant to Article 2 of the Convention. Finally, the IACHR observes that, to the extent it is relevant, it may examine potential violations of the rights protected under the Article 22</w:t>
      </w:r>
      <w:r w:rsidRPr="00091126">
        <w:rPr>
          <w:rFonts w:ascii="Cambria" w:hAnsi="Cambria" w:cs="Arial"/>
          <w:spacing w:val="-2"/>
          <w:szCs w:val="20"/>
        </w:rPr>
        <w:t xml:space="preserve"> of the Convention to the detriment of Dina Ramírez and her family. </w:t>
      </w:r>
    </w:p>
    <w:p w:rsidR="007002A4" w:rsidRPr="00F02416" w:rsidRDefault="007002A4" w:rsidP="007002A4">
      <w:pPr>
        <w:pStyle w:val="Firstparagraph"/>
        <w:spacing w:before="0" w:after="0"/>
        <w:ind w:firstLine="720"/>
        <w:rPr>
          <w:rFonts w:ascii="Cambria" w:hAnsi="Cambria" w:cs="Arial"/>
          <w:spacing w:val="-2"/>
          <w:szCs w:val="20"/>
        </w:rPr>
      </w:pPr>
    </w:p>
    <w:p w:rsidR="007002A4" w:rsidRPr="00127A83" w:rsidRDefault="007002A4" w:rsidP="007002A4">
      <w:pPr>
        <w:pStyle w:val="Firstparagraph"/>
        <w:numPr>
          <w:ilvl w:val="0"/>
          <w:numId w:val="106"/>
        </w:numPr>
        <w:spacing w:before="0" w:after="0"/>
        <w:ind w:left="0" w:firstLine="720"/>
        <w:rPr>
          <w:rFonts w:ascii="Cambria" w:hAnsi="Cambria"/>
          <w:b/>
          <w:szCs w:val="20"/>
        </w:rPr>
      </w:pPr>
      <w:r w:rsidRPr="00127A83">
        <w:rPr>
          <w:rFonts w:ascii="Cambria" w:hAnsi="Cambria"/>
          <w:szCs w:val="20"/>
        </w:rPr>
        <w:t xml:space="preserve">In conclusion, the IACHR finds that this petition is neither </w:t>
      </w:r>
      <w:r w:rsidRPr="00127A83">
        <w:rPr>
          <w:rFonts w:ascii="Cambria" w:hAnsi="Cambria"/>
          <w:bCs/>
          <w:szCs w:val="20"/>
        </w:rPr>
        <w:t>“</w:t>
      </w:r>
      <w:r w:rsidRPr="00127A83">
        <w:rPr>
          <w:rFonts w:ascii="Cambria" w:hAnsi="Cambria"/>
          <w:szCs w:val="20"/>
        </w:rPr>
        <w:t>manifestly groundless</w:t>
      </w:r>
      <w:r w:rsidRPr="00127A83">
        <w:rPr>
          <w:rFonts w:ascii="Cambria" w:hAnsi="Cambria"/>
          <w:bCs/>
          <w:szCs w:val="20"/>
        </w:rPr>
        <w:t>” n</w:t>
      </w:r>
      <w:r w:rsidRPr="00127A83">
        <w:rPr>
          <w:rFonts w:ascii="Cambria" w:hAnsi="Cambria"/>
          <w:szCs w:val="20"/>
        </w:rPr>
        <w:t xml:space="preserve">or </w:t>
      </w:r>
      <w:r w:rsidRPr="00127A83">
        <w:rPr>
          <w:rFonts w:ascii="Cambria" w:hAnsi="Cambria"/>
          <w:bCs/>
          <w:szCs w:val="20"/>
        </w:rPr>
        <w:t>“</w:t>
      </w:r>
      <w:r w:rsidRPr="00127A83">
        <w:rPr>
          <w:rFonts w:ascii="Cambria" w:hAnsi="Cambria"/>
          <w:szCs w:val="20"/>
        </w:rPr>
        <w:t>obviously out of order</w:t>
      </w:r>
      <w:r w:rsidRPr="00127A83">
        <w:rPr>
          <w:rFonts w:ascii="Cambria" w:hAnsi="Cambria"/>
          <w:bCs/>
          <w:szCs w:val="20"/>
        </w:rPr>
        <w:t xml:space="preserve">,” and therefore declares that </w:t>
      </w:r>
      <w:r w:rsidRPr="00127A83">
        <w:rPr>
          <w:rFonts w:ascii="Cambria" w:hAnsi="Cambria"/>
          <w:szCs w:val="20"/>
        </w:rPr>
        <w:t xml:space="preserve">the petitioner has met </w:t>
      </w:r>
      <w:r w:rsidRPr="00127A83">
        <w:rPr>
          <w:rFonts w:ascii="Cambria" w:hAnsi="Cambria"/>
          <w:i/>
          <w:iCs/>
          <w:szCs w:val="20"/>
        </w:rPr>
        <w:t xml:space="preserve">prima facie </w:t>
      </w:r>
      <w:r w:rsidRPr="00127A83">
        <w:rPr>
          <w:rFonts w:ascii="Cambria" w:hAnsi="Cambria"/>
          <w:iCs/>
          <w:szCs w:val="20"/>
        </w:rPr>
        <w:t>the requirements established in Article</w:t>
      </w:r>
      <w:r w:rsidRPr="00127A83">
        <w:rPr>
          <w:rFonts w:ascii="Cambria" w:hAnsi="Cambria"/>
          <w:szCs w:val="20"/>
        </w:rPr>
        <w:t xml:space="preserve"> 47.b. of the American Convention with respect to potential violations of Articles</w:t>
      </w:r>
      <w:r>
        <w:rPr>
          <w:rFonts w:ascii="Cambria" w:hAnsi="Cambria"/>
          <w:szCs w:val="20"/>
        </w:rPr>
        <w:t xml:space="preserve"> 4, 5, 8, 13, 17, 22, and </w:t>
      </w:r>
      <w:r w:rsidRPr="00F02416">
        <w:rPr>
          <w:rFonts w:ascii="Cambria" w:hAnsi="Cambria"/>
          <w:szCs w:val="20"/>
        </w:rPr>
        <w:t xml:space="preserve">25 </w:t>
      </w:r>
      <w:r>
        <w:rPr>
          <w:rFonts w:ascii="Cambria" w:hAnsi="Cambria"/>
          <w:szCs w:val="20"/>
        </w:rPr>
        <w:t>of the American Convention</w:t>
      </w:r>
      <w:r w:rsidRPr="00F02416">
        <w:rPr>
          <w:rFonts w:ascii="Cambria" w:hAnsi="Cambria"/>
          <w:szCs w:val="20"/>
        </w:rPr>
        <w:t xml:space="preserve">, </w:t>
      </w:r>
      <w:r w:rsidRPr="00127A83">
        <w:rPr>
          <w:rFonts w:ascii="Cambria" w:hAnsi="Cambria"/>
          <w:szCs w:val="20"/>
        </w:rPr>
        <w:t xml:space="preserve">in relation to the general obligations enshrined in </w:t>
      </w:r>
      <w:r>
        <w:rPr>
          <w:rFonts w:ascii="Cambria" w:hAnsi="Cambria"/>
          <w:szCs w:val="20"/>
        </w:rPr>
        <w:t>Article 1.1 thereof</w:t>
      </w:r>
      <w:r w:rsidRPr="00127A83">
        <w:rPr>
          <w:rFonts w:ascii="Cambria" w:hAnsi="Cambria"/>
          <w:szCs w:val="20"/>
        </w:rPr>
        <w:t>, as stated above.</w:t>
      </w:r>
    </w:p>
    <w:p w:rsidR="007002A4" w:rsidRPr="00F02416" w:rsidRDefault="007002A4" w:rsidP="007002A4">
      <w:pPr>
        <w:pStyle w:val="Heading1"/>
        <w:keepLines w:val="0"/>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0"/>
        <w:ind w:firstLine="720"/>
        <w:jc w:val="both"/>
        <w:rPr>
          <w:color w:val="auto"/>
          <w:sz w:val="20"/>
          <w:szCs w:val="20"/>
        </w:rPr>
      </w:pPr>
    </w:p>
    <w:p w:rsidR="007002A4" w:rsidRPr="00F02416" w:rsidRDefault="007002A4" w:rsidP="005D7EFF">
      <w:pPr>
        <w:pStyle w:val="Heading1"/>
        <w:keepLines w:val="0"/>
        <w:widowControl w:val="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0"/>
        <w:ind w:left="720"/>
        <w:jc w:val="both"/>
        <w:rPr>
          <w:color w:val="auto"/>
          <w:sz w:val="20"/>
          <w:szCs w:val="20"/>
        </w:rPr>
      </w:pPr>
      <w:r w:rsidRPr="00F02416">
        <w:rPr>
          <w:color w:val="auto"/>
          <w:sz w:val="20"/>
          <w:szCs w:val="20"/>
        </w:rPr>
        <w:t>V</w:t>
      </w:r>
      <w:r>
        <w:rPr>
          <w:color w:val="auto"/>
          <w:sz w:val="20"/>
          <w:szCs w:val="20"/>
        </w:rPr>
        <w:t>.</w:t>
      </w:r>
      <w:r w:rsidRPr="00F02416">
        <w:rPr>
          <w:color w:val="auto"/>
          <w:sz w:val="20"/>
          <w:szCs w:val="20"/>
        </w:rPr>
        <w:t xml:space="preserve"> </w:t>
      </w:r>
      <w:r w:rsidR="007D7F08">
        <w:rPr>
          <w:color w:val="auto"/>
          <w:sz w:val="20"/>
          <w:szCs w:val="20"/>
        </w:rPr>
        <w:tab/>
      </w:r>
      <w:r w:rsidRPr="00F02416">
        <w:rPr>
          <w:color w:val="auto"/>
          <w:sz w:val="20"/>
          <w:szCs w:val="20"/>
        </w:rPr>
        <w:t>CONCLUSI</w:t>
      </w:r>
      <w:r>
        <w:rPr>
          <w:color w:val="auto"/>
          <w:sz w:val="20"/>
          <w:szCs w:val="20"/>
        </w:rPr>
        <w:t>ON</w:t>
      </w:r>
    </w:p>
    <w:p w:rsidR="007002A4" w:rsidRPr="00F02416" w:rsidRDefault="007002A4" w:rsidP="007002A4">
      <w:pPr>
        <w:ind w:firstLine="720"/>
        <w:jc w:val="both"/>
      </w:pPr>
    </w:p>
    <w:p w:rsidR="007002A4" w:rsidRPr="00127A83" w:rsidRDefault="007002A4" w:rsidP="007002A4">
      <w:pPr>
        <w:pStyle w:val="Firstparagraph"/>
        <w:numPr>
          <w:ilvl w:val="0"/>
          <w:numId w:val="106"/>
        </w:numPr>
        <w:spacing w:before="0" w:after="0"/>
        <w:ind w:left="0" w:firstLine="720"/>
        <w:rPr>
          <w:rFonts w:ascii="Cambria" w:hAnsi="Cambria"/>
          <w:szCs w:val="20"/>
        </w:rPr>
      </w:pPr>
      <w:r w:rsidRPr="00127A83">
        <w:rPr>
          <w:rFonts w:ascii="Cambria" w:hAnsi="Cambria"/>
          <w:szCs w:val="20"/>
        </w:rPr>
        <w:t xml:space="preserve">The Inter-American Commission concludes that it is competent to examine the merits of this case and that the petition is admissible pursuant to Articles 46 and 47 of the American Convention. Based on the foregoing legal and factual considerations, and without prejudging the merits of the case, </w:t>
      </w:r>
    </w:p>
    <w:p w:rsidR="007002A4" w:rsidRPr="00F02416" w:rsidRDefault="007002A4" w:rsidP="007002A4">
      <w:pPr>
        <w:pStyle w:val="Firstparagraph"/>
        <w:spacing w:before="0" w:after="0"/>
        <w:ind w:firstLine="720"/>
        <w:rPr>
          <w:rFonts w:ascii="Cambria" w:hAnsi="Cambria"/>
          <w:szCs w:val="20"/>
        </w:rPr>
      </w:pPr>
    </w:p>
    <w:p w:rsidR="007D7F08" w:rsidRDefault="007002A4" w:rsidP="007D7F08">
      <w:pPr>
        <w:pBdr>
          <w:top w:val="none" w:sz="0" w:space="0" w:color="auto"/>
          <w:left w:val="none" w:sz="0" w:space="0" w:color="auto"/>
          <w:bottom w:val="none" w:sz="0" w:space="0" w:color="auto"/>
          <w:right w:val="none" w:sz="0" w:space="0" w:color="auto"/>
          <w:bar w:val="none" w:sz="0" w:color="auto"/>
        </w:pBdr>
        <w:jc w:val="center"/>
        <w:rPr>
          <w:rFonts w:ascii="Cambria" w:hAnsi="Cambria"/>
          <w:b/>
          <w:sz w:val="20"/>
          <w:szCs w:val="20"/>
        </w:rPr>
      </w:pPr>
      <w:r>
        <w:rPr>
          <w:rFonts w:ascii="Cambria" w:hAnsi="Cambria"/>
          <w:b/>
          <w:sz w:val="20"/>
          <w:szCs w:val="20"/>
        </w:rPr>
        <w:t>THE INTER-AMERICAN COMMISSION ON HUMAN RIGHTS,</w:t>
      </w:r>
    </w:p>
    <w:p w:rsidR="007002A4" w:rsidRPr="00F02416" w:rsidRDefault="007002A4" w:rsidP="007D7F08">
      <w:pPr>
        <w:pBdr>
          <w:top w:val="none" w:sz="0" w:space="0" w:color="auto"/>
          <w:left w:val="none" w:sz="0" w:space="0" w:color="auto"/>
          <w:bottom w:val="none" w:sz="0" w:space="0" w:color="auto"/>
          <w:right w:val="none" w:sz="0" w:space="0" w:color="auto"/>
          <w:bar w:val="none" w:sz="0" w:color="auto"/>
        </w:pBdr>
        <w:jc w:val="both"/>
        <w:rPr>
          <w:rFonts w:ascii="Cambria" w:hAnsi="Cambria"/>
          <w:b/>
          <w:sz w:val="20"/>
          <w:szCs w:val="20"/>
        </w:rPr>
      </w:pPr>
      <w:r w:rsidRPr="00F02416">
        <w:rPr>
          <w:rFonts w:ascii="Cambria" w:hAnsi="Cambria"/>
          <w:b/>
          <w:sz w:val="20"/>
          <w:szCs w:val="20"/>
        </w:rPr>
        <w:t>DECIDE</w:t>
      </w:r>
      <w:r>
        <w:rPr>
          <w:rFonts w:ascii="Cambria" w:hAnsi="Cambria"/>
          <w:b/>
          <w:sz w:val="20"/>
          <w:szCs w:val="20"/>
        </w:rPr>
        <w:t>S</w:t>
      </w:r>
      <w:r w:rsidRPr="00F02416">
        <w:rPr>
          <w:rFonts w:ascii="Cambria" w:hAnsi="Cambria"/>
          <w:b/>
          <w:sz w:val="20"/>
          <w:szCs w:val="20"/>
        </w:rPr>
        <w:t>:</w:t>
      </w:r>
    </w:p>
    <w:p w:rsidR="007002A4" w:rsidRPr="00F02416" w:rsidRDefault="007002A4" w:rsidP="007002A4">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sz w:val="20"/>
          <w:szCs w:val="20"/>
        </w:rPr>
      </w:pPr>
    </w:p>
    <w:p w:rsidR="007002A4" w:rsidRDefault="007002A4" w:rsidP="007002A4">
      <w:pPr>
        <w:pStyle w:val="TextBody"/>
        <w:numPr>
          <w:ilvl w:val="0"/>
          <w:numId w:val="105"/>
        </w:numPr>
        <w:tabs>
          <w:tab w:val="left" w:pos="0"/>
        </w:tabs>
        <w:spacing w:before="0" w:after="0"/>
        <w:ind w:left="0" w:firstLine="720"/>
        <w:rPr>
          <w:rFonts w:ascii="Cambria" w:hAnsi="Cambria"/>
          <w:szCs w:val="20"/>
        </w:rPr>
      </w:pPr>
      <w:r w:rsidRPr="00060435">
        <w:rPr>
          <w:rFonts w:ascii="Cambria" w:hAnsi="Cambria"/>
          <w:szCs w:val="20"/>
        </w:rPr>
        <w:t xml:space="preserve">To find this petition admissible with respect to the rights protected in Articles </w:t>
      </w:r>
      <w:r w:rsidRPr="00F02416">
        <w:rPr>
          <w:rFonts w:ascii="Cambria" w:hAnsi="Cambria"/>
          <w:szCs w:val="20"/>
        </w:rPr>
        <w:t>4, 5, 8, 13, 17, 22</w:t>
      </w:r>
      <w:r>
        <w:rPr>
          <w:rFonts w:ascii="Cambria" w:hAnsi="Cambria"/>
          <w:szCs w:val="20"/>
        </w:rPr>
        <w:t>, and</w:t>
      </w:r>
      <w:r w:rsidRPr="00F02416">
        <w:rPr>
          <w:rFonts w:ascii="Cambria" w:hAnsi="Cambria"/>
          <w:szCs w:val="20"/>
        </w:rPr>
        <w:t xml:space="preserve"> 25 </w:t>
      </w:r>
      <w:r>
        <w:rPr>
          <w:rFonts w:ascii="Cambria" w:hAnsi="Cambria"/>
          <w:szCs w:val="20"/>
        </w:rPr>
        <w:t>of the American Convention</w:t>
      </w:r>
      <w:r w:rsidRPr="00F02416">
        <w:rPr>
          <w:rFonts w:ascii="Cambria" w:hAnsi="Cambria"/>
          <w:szCs w:val="20"/>
        </w:rPr>
        <w:t xml:space="preserve">, </w:t>
      </w:r>
      <w:r>
        <w:rPr>
          <w:rFonts w:ascii="Cambria" w:hAnsi="Cambria"/>
          <w:szCs w:val="20"/>
        </w:rPr>
        <w:t>in relation to the general obligations provided in Article 1.1</w:t>
      </w:r>
      <w:r w:rsidRPr="00F02416">
        <w:rPr>
          <w:rFonts w:ascii="Cambria" w:hAnsi="Cambria"/>
          <w:szCs w:val="20"/>
        </w:rPr>
        <w:t xml:space="preserve"> </w:t>
      </w:r>
      <w:r>
        <w:rPr>
          <w:rFonts w:ascii="Cambria" w:hAnsi="Cambria"/>
          <w:szCs w:val="20"/>
        </w:rPr>
        <w:t>thereof</w:t>
      </w:r>
      <w:r w:rsidRPr="00F02416">
        <w:rPr>
          <w:rFonts w:ascii="Cambria" w:hAnsi="Cambria"/>
          <w:szCs w:val="20"/>
        </w:rPr>
        <w:t>.</w:t>
      </w:r>
    </w:p>
    <w:p w:rsidR="005D7EFF" w:rsidRPr="00F02416" w:rsidRDefault="005D7EFF" w:rsidP="005D7EFF">
      <w:pPr>
        <w:pStyle w:val="TextBody"/>
        <w:tabs>
          <w:tab w:val="left" w:pos="0"/>
        </w:tabs>
        <w:spacing w:before="0" w:after="0"/>
        <w:ind w:left="720"/>
        <w:rPr>
          <w:rFonts w:ascii="Cambria" w:hAnsi="Cambria"/>
          <w:szCs w:val="20"/>
        </w:rPr>
      </w:pPr>
    </w:p>
    <w:p w:rsidR="007002A4" w:rsidRDefault="007002A4" w:rsidP="007002A4">
      <w:pPr>
        <w:pStyle w:val="TextBody"/>
        <w:numPr>
          <w:ilvl w:val="0"/>
          <w:numId w:val="105"/>
        </w:numPr>
        <w:tabs>
          <w:tab w:val="left" w:pos="0"/>
        </w:tabs>
        <w:spacing w:before="0" w:after="0"/>
        <w:ind w:left="0" w:firstLine="720"/>
        <w:rPr>
          <w:rFonts w:ascii="Cambria" w:hAnsi="Cambria"/>
          <w:szCs w:val="20"/>
        </w:rPr>
      </w:pPr>
      <w:r w:rsidRPr="00FF3F7D">
        <w:rPr>
          <w:rFonts w:ascii="Cambria" w:hAnsi="Cambria"/>
          <w:szCs w:val="20"/>
        </w:rPr>
        <w:t xml:space="preserve">To provide notice of this decision to the parties, continue with the analysis of the merits of the case; and </w:t>
      </w:r>
    </w:p>
    <w:p w:rsidR="005D7EFF" w:rsidRDefault="005D7EFF" w:rsidP="005D7EFF">
      <w:pPr>
        <w:pStyle w:val="TextBody"/>
        <w:tabs>
          <w:tab w:val="left" w:pos="0"/>
        </w:tabs>
        <w:spacing w:before="0" w:after="0"/>
        <w:rPr>
          <w:rFonts w:ascii="Cambria" w:hAnsi="Cambria"/>
          <w:szCs w:val="20"/>
        </w:rPr>
      </w:pPr>
    </w:p>
    <w:p w:rsidR="007002A4" w:rsidRPr="00FF3F7D" w:rsidRDefault="007002A4" w:rsidP="007002A4">
      <w:pPr>
        <w:pStyle w:val="TextBody"/>
        <w:numPr>
          <w:ilvl w:val="0"/>
          <w:numId w:val="105"/>
        </w:numPr>
        <w:tabs>
          <w:tab w:val="left" w:pos="0"/>
        </w:tabs>
        <w:spacing w:before="0" w:after="0"/>
        <w:ind w:left="0" w:firstLine="720"/>
        <w:rPr>
          <w:rFonts w:ascii="Cambria" w:hAnsi="Cambria"/>
          <w:szCs w:val="20"/>
        </w:rPr>
      </w:pPr>
      <w:r w:rsidRPr="00FF3F7D">
        <w:rPr>
          <w:rFonts w:ascii="Cambria" w:hAnsi="Cambria"/>
          <w:szCs w:val="20"/>
        </w:rPr>
        <w:t>To publish this decision and to include it in its Annual Report to the OAS General Assembly.</w:t>
      </w:r>
    </w:p>
    <w:p w:rsidR="007002A4" w:rsidRPr="00145EDC" w:rsidRDefault="007002A4" w:rsidP="007002A4">
      <w:pPr>
        <w:tabs>
          <w:tab w:val="center" w:pos="5400"/>
        </w:tabs>
        <w:suppressAutoHyphens/>
        <w:ind w:firstLine="720"/>
        <w:jc w:val="both"/>
        <w:rPr>
          <w:rFonts w:asciiTheme="majorHAnsi" w:hAnsiTheme="majorHAnsi"/>
          <w:sz w:val="20"/>
          <w:szCs w:val="20"/>
        </w:rPr>
      </w:pPr>
    </w:p>
    <w:p w:rsidR="005D7EFF" w:rsidRPr="00365F2F" w:rsidRDefault="005D7EFF" w:rsidP="005D7EFF">
      <w:pPr>
        <w:suppressAutoHyphens/>
        <w:ind w:firstLine="720"/>
        <w:jc w:val="both"/>
        <w:rPr>
          <w:rFonts w:ascii="Cambria" w:hAnsi="Cambria"/>
          <w:spacing w:val="-2"/>
          <w:sz w:val="20"/>
        </w:rPr>
      </w:pPr>
      <w:r w:rsidRPr="00365F2F">
        <w:rPr>
          <w:rFonts w:ascii="Cambria" w:hAnsi="Cambria"/>
          <w:spacing w:val="-2"/>
          <w:sz w:val="20"/>
        </w:rPr>
        <w:t>Done and signed in the cit</w:t>
      </w:r>
      <w:r>
        <w:rPr>
          <w:rFonts w:ascii="Cambria" w:hAnsi="Cambria"/>
          <w:spacing w:val="-2"/>
          <w:sz w:val="20"/>
        </w:rPr>
        <w:t>y of Washington, D.C., on the 17</w:t>
      </w:r>
      <w:r w:rsidRPr="002F19D0">
        <w:rPr>
          <w:rFonts w:ascii="Cambria" w:hAnsi="Cambria"/>
          <w:spacing w:val="-2"/>
          <w:sz w:val="20"/>
          <w:vertAlign w:val="superscript"/>
        </w:rPr>
        <w:t>th</w:t>
      </w:r>
      <w:r w:rsidRPr="00365F2F">
        <w:rPr>
          <w:rFonts w:ascii="Cambria" w:hAnsi="Cambria"/>
          <w:spacing w:val="-2"/>
          <w:sz w:val="20"/>
        </w:rPr>
        <w:t xml:space="preserve"> day of the month of </w:t>
      </w:r>
      <w:r>
        <w:rPr>
          <w:rFonts w:ascii="Cambria" w:hAnsi="Cambria"/>
          <w:spacing w:val="-2"/>
          <w:sz w:val="20"/>
        </w:rPr>
        <w:t>October</w:t>
      </w:r>
      <w:r w:rsidRPr="00365F2F">
        <w:rPr>
          <w:rFonts w:ascii="Cambria" w:hAnsi="Cambria"/>
          <w:spacing w:val="-2"/>
          <w:sz w:val="20"/>
        </w:rPr>
        <w:t>, 201</w:t>
      </w:r>
      <w:r>
        <w:rPr>
          <w:rFonts w:ascii="Cambria" w:hAnsi="Cambria"/>
          <w:spacing w:val="-2"/>
          <w:sz w:val="20"/>
        </w:rPr>
        <w:t>5</w:t>
      </w:r>
      <w:r w:rsidRPr="00365F2F">
        <w:rPr>
          <w:rFonts w:ascii="Cambria" w:hAnsi="Cambria"/>
          <w:spacing w:val="-2"/>
          <w:sz w:val="20"/>
        </w:rPr>
        <w:t xml:space="preserve">. (Signed): </w:t>
      </w:r>
      <w:r w:rsidRPr="00874A5A">
        <w:rPr>
          <w:rFonts w:ascii="Cambria" w:hAnsi="Cambria" w:cs="Arial"/>
          <w:noProof/>
          <w:spacing w:val="-2"/>
          <w:sz w:val="20"/>
        </w:rPr>
        <w:t>Rose-Marie Belle Antoine,</w:t>
      </w:r>
      <w:r w:rsidRPr="00874A5A">
        <w:rPr>
          <w:rFonts w:ascii="Cambria" w:hAnsi="Cambria"/>
          <w:sz w:val="20"/>
        </w:rPr>
        <w:t xml:space="preserve"> President; </w:t>
      </w:r>
      <w:r w:rsidRPr="00874A5A">
        <w:rPr>
          <w:rFonts w:ascii="Cambria" w:hAnsi="Cambria" w:cs="Arial"/>
          <w:noProof/>
          <w:spacing w:val="-2"/>
          <w:sz w:val="20"/>
        </w:rPr>
        <w:t>James L. Cavallaro</w:t>
      </w:r>
      <w:r w:rsidRPr="00874A5A">
        <w:rPr>
          <w:rFonts w:ascii="Cambria" w:hAnsi="Cambria"/>
          <w:sz w:val="20"/>
        </w:rPr>
        <w:t xml:space="preserve">, </w:t>
      </w:r>
      <w:r w:rsidRPr="00874A5A">
        <w:rPr>
          <w:rFonts w:ascii="Cambria" w:hAnsi="Cambria"/>
          <w:spacing w:val="-2"/>
          <w:sz w:val="20"/>
        </w:rPr>
        <w:t>First Vice President;</w:t>
      </w:r>
      <w:r w:rsidRPr="00874A5A">
        <w:rPr>
          <w:rFonts w:ascii="Cambria" w:hAnsi="Cambria" w:cs="Arial"/>
          <w:noProof/>
          <w:spacing w:val="-2"/>
          <w:sz w:val="20"/>
        </w:rPr>
        <w:t xml:space="preserve"> José de Jesús Orozco Henríquez</w:t>
      </w:r>
      <w:r w:rsidRPr="00874A5A">
        <w:rPr>
          <w:rFonts w:ascii="Cambria" w:hAnsi="Cambria"/>
          <w:spacing w:val="-2"/>
          <w:sz w:val="20"/>
        </w:rPr>
        <w:t xml:space="preserve">, </w:t>
      </w:r>
      <w:r w:rsidRPr="00874A5A">
        <w:rPr>
          <w:rFonts w:ascii="Cambria" w:hAnsi="Cambria" w:cs="Arial"/>
          <w:noProof/>
          <w:spacing w:val="-2"/>
          <w:sz w:val="20"/>
        </w:rPr>
        <w:t>Second Vice President; Fel</w:t>
      </w:r>
      <w:r>
        <w:rPr>
          <w:rFonts w:ascii="Cambria" w:hAnsi="Cambria" w:cs="Arial"/>
          <w:noProof/>
          <w:spacing w:val="-2"/>
          <w:sz w:val="20"/>
        </w:rPr>
        <w:t xml:space="preserve">ipe González, Rosa María Ortiz and </w:t>
      </w:r>
      <w:r w:rsidRPr="00874A5A">
        <w:rPr>
          <w:rFonts w:ascii="Cambria" w:hAnsi="Cambria"/>
          <w:sz w:val="20"/>
        </w:rPr>
        <w:t>Tracy Robinson</w:t>
      </w:r>
      <w:r w:rsidRPr="00874A5A">
        <w:rPr>
          <w:rFonts w:ascii="Cambria" w:hAnsi="Cambria" w:cs="Arial"/>
          <w:noProof/>
          <w:spacing w:val="-2"/>
          <w:sz w:val="20"/>
        </w:rPr>
        <w:t xml:space="preserve">, </w:t>
      </w:r>
      <w:r w:rsidRPr="00874A5A">
        <w:rPr>
          <w:rFonts w:ascii="Cambria" w:hAnsi="Cambria"/>
          <w:spacing w:val="-2"/>
          <w:sz w:val="20"/>
        </w:rPr>
        <w:t>Commissioners</w:t>
      </w:r>
      <w:r>
        <w:rPr>
          <w:rFonts w:ascii="Cambria" w:hAnsi="Cambria" w:cs="Tahoma"/>
          <w:color w:val="333333"/>
          <w:sz w:val="20"/>
        </w:rPr>
        <w:t>.</w:t>
      </w:r>
    </w:p>
    <w:p w:rsidR="00C55560" w:rsidRPr="007002A4" w:rsidRDefault="00C55560" w:rsidP="007002A4">
      <w:pPr>
        <w:rPr>
          <w:rFonts w:asciiTheme="majorHAnsi" w:hAnsiTheme="majorHAnsi"/>
          <w:sz w:val="20"/>
          <w:szCs w:val="20"/>
        </w:rPr>
      </w:pPr>
    </w:p>
    <w:sectPr w:rsidR="00C55560" w:rsidRPr="007002A4"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C5F" w:rsidRDefault="00AE3C5F" w:rsidP="00036A8A">
      <w:r>
        <w:separator/>
      </w:r>
    </w:p>
  </w:endnote>
  <w:endnote w:type="continuationSeparator" w:id="0">
    <w:p w:rsidR="00AE3C5F" w:rsidRDefault="00AE3C5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Univers LT Std">
    <w:altName w:val="Times New Roman"/>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26" w:rsidRDefault="00253D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53D26">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C5F" w:rsidRPr="00036A8A" w:rsidRDefault="00AE3C5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AE3C5F" w:rsidRPr="00036A8A" w:rsidRDefault="00AE3C5F" w:rsidP="00036A8A">
      <w:pPr>
        <w:rPr>
          <w:rFonts w:asciiTheme="majorHAnsi" w:hAnsiTheme="majorHAnsi"/>
          <w:sz w:val="16"/>
          <w:szCs w:val="16"/>
        </w:rPr>
      </w:pPr>
      <w:r w:rsidRPr="00036A8A">
        <w:rPr>
          <w:rFonts w:asciiTheme="majorHAnsi" w:hAnsiTheme="majorHAnsi"/>
          <w:sz w:val="16"/>
          <w:szCs w:val="16"/>
        </w:rPr>
        <w:separator/>
      </w:r>
    </w:p>
    <w:p w:rsidR="00AE3C5F" w:rsidRPr="00036A8A" w:rsidRDefault="00AE3C5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AE3C5F" w:rsidRPr="0093441A" w:rsidRDefault="00AE3C5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7002A4" w:rsidRPr="009E1FF2" w:rsidRDefault="007002A4" w:rsidP="007D7F08">
      <w:pPr>
        <w:ind w:firstLine="720"/>
        <w:jc w:val="both"/>
        <w:rPr>
          <w:rFonts w:ascii="Cambria" w:hAnsi="Cambria"/>
          <w:sz w:val="16"/>
          <w:szCs w:val="16"/>
        </w:rPr>
      </w:pPr>
      <w:r w:rsidRPr="009E1FF2">
        <w:rPr>
          <w:rFonts w:ascii="Cambria" w:hAnsi="Cambria"/>
          <w:sz w:val="16"/>
          <w:szCs w:val="16"/>
        </w:rPr>
        <w:footnoteRef/>
      </w:r>
      <w:r w:rsidR="007D7F08">
        <w:rPr>
          <w:rFonts w:ascii="Cambria" w:hAnsi="Cambria"/>
          <w:sz w:val="16"/>
          <w:szCs w:val="16"/>
        </w:rPr>
        <w:t xml:space="preserve"> </w:t>
      </w:r>
      <w:r>
        <w:rPr>
          <w:rFonts w:ascii="Cambria" w:hAnsi="Cambria"/>
          <w:sz w:val="16"/>
          <w:szCs w:val="16"/>
        </w:rPr>
        <w:t>See,</w:t>
      </w:r>
      <w:r w:rsidRPr="009E1FF2">
        <w:rPr>
          <w:rFonts w:ascii="Cambria" w:hAnsi="Cambria"/>
          <w:sz w:val="16"/>
          <w:szCs w:val="16"/>
        </w:rPr>
        <w:t xml:space="preserve"> </w:t>
      </w:r>
      <w:r>
        <w:rPr>
          <w:rFonts w:ascii="Cambria" w:hAnsi="Cambria"/>
          <w:sz w:val="16"/>
          <w:szCs w:val="16"/>
        </w:rPr>
        <w:t>Report No.</w:t>
      </w:r>
      <w:r w:rsidRPr="009E1FF2">
        <w:rPr>
          <w:rFonts w:ascii="Cambria" w:hAnsi="Cambria"/>
          <w:sz w:val="16"/>
          <w:szCs w:val="16"/>
        </w:rPr>
        <w:t xml:space="preserve"> 54/04, Nelson Carvajal Carvajal. </w:t>
      </w:r>
      <w:r>
        <w:rPr>
          <w:rFonts w:ascii="Cambria" w:hAnsi="Cambria"/>
          <w:sz w:val="16"/>
          <w:szCs w:val="16"/>
        </w:rPr>
        <w:t>See also, Report No.</w:t>
      </w:r>
      <w:r w:rsidRPr="009E1FF2">
        <w:rPr>
          <w:rFonts w:ascii="Cambria" w:hAnsi="Cambria"/>
          <w:sz w:val="16"/>
          <w:szCs w:val="16"/>
        </w:rPr>
        <w:t xml:space="preserve"> 05/03, Petition 519/2001, Jesús María Valle Jaramillo, </w:t>
      </w:r>
      <w:r>
        <w:rPr>
          <w:rFonts w:ascii="Cambria" w:hAnsi="Cambria"/>
          <w:sz w:val="16"/>
          <w:szCs w:val="16"/>
        </w:rPr>
        <w:t>2003 Annual Report of the IACHR</w:t>
      </w:r>
      <w:r w:rsidRPr="009E1FF2">
        <w:rPr>
          <w:rFonts w:ascii="Cambria" w:hAnsi="Cambria"/>
          <w:sz w:val="16"/>
          <w:szCs w:val="16"/>
        </w:rPr>
        <w:t xml:space="preserve">, </w:t>
      </w:r>
      <w:r>
        <w:rPr>
          <w:rFonts w:ascii="Cambria" w:hAnsi="Cambria"/>
          <w:sz w:val="16"/>
          <w:szCs w:val="16"/>
        </w:rPr>
        <w:t>para.</w:t>
      </w:r>
      <w:r w:rsidRPr="009E1FF2">
        <w:rPr>
          <w:rFonts w:ascii="Cambria" w:hAnsi="Cambria"/>
          <w:sz w:val="16"/>
          <w:szCs w:val="16"/>
        </w:rPr>
        <w:t xml:space="preserve"> 28. </w:t>
      </w:r>
      <w:r>
        <w:rPr>
          <w:rFonts w:ascii="Cambria" w:hAnsi="Cambria"/>
          <w:sz w:val="16"/>
          <w:szCs w:val="16"/>
        </w:rPr>
        <w:t>See also, Report No.</w:t>
      </w:r>
      <w:r w:rsidRPr="009E1FF2">
        <w:rPr>
          <w:rFonts w:ascii="Cambria" w:hAnsi="Cambria"/>
          <w:sz w:val="16"/>
          <w:szCs w:val="16"/>
        </w:rPr>
        <w:t xml:space="preserve"> 52/97, </w:t>
      </w:r>
      <w:r>
        <w:rPr>
          <w:rFonts w:ascii="Cambria" w:hAnsi="Cambria"/>
          <w:sz w:val="16"/>
          <w:szCs w:val="16"/>
        </w:rPr>
        <w:t>Case</w:t>
      </w:r>
      <w:r w:rsidRPr="009E1FF2">
        <w:rPr>
          <w:rFonts w:ascii="Cambria" w:hAnsi="Cambria"/>
          <w:sz w:val="16"/>
          <w:szCs w:val="16"/>
        </w:rPr>
        <w:t xml:space="preserve"> 11.218, Arges Sequeira</w:t>
      </w:r>
      <w:r>
        <w:rPr>
          <w:rFonts w:ascii="Cambria" w:hAnsi="Cambria"/>
          <w:sz w:val="16"/>
          <w:szCs w:val="16"/>
        </w:rPr>
        <w:t xml:space="preserve"> </w:t>
      </w:r>
      <w:r w:rsidRPr="009E1FF2">
        <w:rPr>
          <w:rFonts w:ascii="Cambria" w:hAnsi="Cambria"/>
          <w:sz w:val="16"/>
          <w:szCs w:val="16"/>
        </w:rPr>
        <w:t xml:space="preserve">Mangas, </w:t>
      </w:r>
      <w:r>
        <w:rPr>
          <w:rFonts w:ascii="Cambria" w:hAnsi="Cambria"/>
          <w:sz w:val="16"/>
          <w:szCs w:val="16"/>
        </w:rPr>
        <w:t>1997 Annual Report of the IACHR</w:t>
      </w:r>
      <w:r w:rsidRPr="009E1FF2">
        <w:rPr>
          <w:rFonts w:ascii="Cambria" w:hAnsi="Cambria"/>
          <w:sz w:val="16"/>
          <w:szCs w:val="16"/>
        </w:rPr>
        <w:t xml:space="preserve">, </w:t>
      </w:r>
      <w:r>
        <w:rPr>
          <w:rFonts w:ascii="Cambria" w:hAnsi="Cambria"/>
          <w:sz w:val="16"/>
          <w:szCs w:val="16"/>
        </w:rPr>
        <w:t>paras. 96 &amp;</w:t>
      </w:r>
      <w:r w:rsidRPr="009E1FF2">
        <w:rPr>
          <w:rFonts w:ascii="Cambria" w:hAnsi="Cambria"/>
          <w:sz w:val="16"/>
          <w:szCs w:val="16"/>
        </w:rPr>
        <w:t xml:space="preserve"> 97; </w:t>
      </w:r>
      <w:r>
        <w:rPr>
          <w:rFonts w:ascii="Cambria" w:hAnsi="Cambria"/>
          <w:sz w:val="16"/>
          <w:szCs w:val="16"/>
        </w:rPr>
        <w:t>Report</w:t>
      </w:r>
      <w:r w:rsidRPr="009E1FF2">
        <w:rPr>
          <w:rFonts w:ascii="Cambria" w:hAnsi="Cambria"/>
          <w:sz w:val="16"/>
          <w:szCs w:val="16"/>
        </w:rPr>
        <w:t xml:space="preserve"> 55/97, </w:t>
      </w:r>
      <w:r>
        <w:rPr>
          <w:rFonts w:ascii="Cambria" w:hAnsi="Cambria"/>
          <w:sz w:val="16"/>
          <w:szCs w:val="16"/>
        </w:rPr>
        <w:t>Case</w:t>
      </w:r>
      <w:r w:rsidRPr="009E1FF2">
        <w:rPr>
          <w:rFonts w:ascii="Cambria" w:hAnsi="Cambria"/>
          <w:sz w:val="16"/>
          <w:szCs w:val="16"/>
        </w:rPr>
        <w:t xml:space="preserve"> 11.137, Juan Carlos Abella, </w:t>
      </w:r>
      <w:r>
        <w:rPr>
          <w:rFonts w:ascii="Cambria" w:hAnsi="Cambria"/>
          <w:sz w:val="16"/>
          <w:szCs w:val="16"/>
        </w:rPr>
        <w:t>1997 Annual Report of the IACHR</w:t>
      </w:r>
      <w:r w:rsidRPr="009E1FF2">
        <w:rPr>
          <w:rFonts w:ascii="Cambria" w:hAnsi="Cambria"/>
          <w:sz w:val="16"/>
          <w:szCs w:val="16"/>
        </w:rPr>
        <w:t xml:space="preserve">, </w:t>
      </w:r>
      <w:r>
        <w:rPr>
          <w:rFonts w:ascii="Cambria" w:hAnsi="Cambria"/>
          <w:sz w:val="16"/>
          <w:szCs w:val="16"/>
        </w:rPr>
        <w:t>para. 392; Report</w:t>
      </w:r>
      <w:r w:rsidRPr="009E1FF2">
        <w:rPr>
          <w:rFonts w:ascii="Cambria" w:hAnsi="Cambria"/>
          <w:sz w:val="16"/>
          <w:szCs w:val="16"/>
        </w:rPr>
        <w:t xml:space="preserve"> 57/00, </w:t>
      </w:r>
      <w:r>
        <w:rPr>
          <w:rFonts w:ascii="Cambria" w:hAnsi="Cambria"/>
          <w:sz w:val="16"/>
          <w:szCs w:val="16"/>
        </w:rPr>
        <w:t>Case</w:t>
      </w:r>
      <w:r w:rsidRPr="009E1FF2">
        <w:rPr>
          <w:rFonts w:ascii="Cambria" w:hAnsi="Cambria"/>
          <w:sz w:val="16"/>
          <w:szCs w:val="16"/>
        </w:rPr>
        <w:t xml:space="preserve"> 12.050, La Granja, Ituango, </w:t>
      </w:r>
      <w:r>
        <w:rPr>
          <w:rFonts w:ascii="Cambria" w:hAnsi="Cambria"/>
          <w:sz w:val="16"/>
          <w:szCs w:val="16"/>
        </w:rPr>
        <w:t>2000 Annual Report of the IACHR</w:t>
      </w:r>
      <w:r w:rsidRPr="009E1FF2">
        <w:rPr>
          <w:rFonts w:ascii="Cambria" w:hAnsi="Cambria"/>
          <w:sz w:val="16"/>
          <w:szCs w:val="16"/>
        </w:rPr>
        <w:t xml:space="preserve">, </w:t>
      </w:r>
      <w:r>
        <w:rPr>
          <w:rFonts w:ascii="Cambria" w:hAnsi="Cambria"/>
          <w:sz w:val="16"/>
          <w:szCs w:val="16"/>
        </w:rPr>
        <w:t>para.</w:t>
      </w:r>
      <w:r w:rsidRPr="009E1FF2">
        <w:rPr>
          <w:rFonts w:ascii="Cambria" w:hAnsi="Cambria"/>
          <w:sz w:val="16"/>
          <w:szCs w:val="16"/>
        </w:rPr>
        <w:t xml:space="preserve"> 40.</w:t>
      </w:r>
    </w:p>
  </w:footnote>
  <w:footnote w:id="3">
    <w:p w:rsidR="007002A4" w:rsidRPr="00C60D22" w:rsidRDefault="007002A4" w:rsidP="007002A4">
      <w:pPr>
        <w:pStyle w:val="FootnoteText"/>
        <w:ind w:firstLine="720"/>
        <w:jc w:val="both"/>
        <w:rPr>
          <w:rFonts w:ascii="Cambria" w:hAnsi="Cambria"/>
          <w:color w:val="auto"/>
          <w:sz w:val="16"/>
          <w:szCs w:val="16"/>
        </w:rPr>
      </w:pPr>
      <w:r w:rsidRPr="00C60D22">
        <w:rPr>
          <w:rStyle w:val="FootnoteCharacters"/>
          <w:rFonts w:ascii="Cambria" w:hAnsi="Cambria"/>
          <w:color w:val="auto"/>
          <w:sz w:val="16"/>
          <w:szCs w:val="16"/>
        </w:rPr>
        <w:footnoteRef/>
      </w:r>
      <w:r w:rsidRPr="00C60D22">
        <w:rPr>
          <w:rFonts w:ascii="Cambria" w:hAnsi="Cambria"/>
          <w:color w:val="auto"/>
          <w:sz w:val="16"/>
          <w:szCs w:val="16"/>
        </w:rPr>
        <w:t xml:space="preserve"> IACHR. Report No. 21/04. Petition 12.190. Admissibility. </w:t>
      </w:r>
      <w:r w:rsidRPr="00A225D9">
        <w:rPr>
          <w:rFonts w:ascii="Cambria" w:hAnsi="Cambria"/>
          <w:color w:val="auto"/>
          <w:sz w:val="16"/>
          <w:szCs w:val="16"/>
        </w:rPr>
        <w:t xml:space="preserve">José Luís Tapia González et al.. </w:t>
      </w:r>
      <w:r w:rsidRPr="00C60D22">
        <w:rPr>
          <w:rFonts w:ascii="Cambria" w:hAnsi="Cambria"/>
          <w:color w:val="auto"/>
          <w:sz w:val="16"/>
          <w:szCs w:val="16"/>
        </w:rPr>
        <w:t>Chile. February 24, 2004. Paras. 33 &amp; 52.</w:t>
      </w:r>
    </w:p>
  </w:footnote>
  <w:footnote w:id="4">
    <w:p w:rsidR="007002A4" w:rsidRPr="00C60D22" w:rsidRDefault="007002A4" w:rsidP="007002A4">
      <w:pPr>
        <w:ind w:firstLine="720"/>
        <w:jc w:val="both"/>
        <w:rPr>
          <w:rFonts w:ascii="Cambria" w:hAnsi="Cambria"/>
          <w:sz w:val="16"/>
          <w:szCs w:val="16"/>
        </w:rPr>
      </w:pPr>
      <w:r w:rsidRPr="00C60D22">
        <w:rPr>
          <w:rFonts w:ascii="Cambria" w:hAnsi="Cambria"/>
          <w:sz w:val="16"/>
          <w:szCs w:val="16"/>
        </w:rPr>
        <w:footnoteRef/>
      </w:r>
      <w:r w:rsidRPr="00C60D22">
        <w:rPr>
          <w:rFonts w:ascii="Cambria" w:hAnsi="Cambria"/>
          <w:sz w:val="16"/>
          <w:szCs w:val="16"/>
        </w:rPr>
        <w:tab/>
        <w:t xml:space="preserve">See IACHR, Report No. 101/00, Case 11.630 Arauz et al. (Nicaragua), October 16, 2000, in 2000 Annual Report of the IACHR, para. 56, </w:t>
      </w:r>
      <w:r w:rsidRPr="00C60D22">
        <w:rPr>
          <w:rFonts w:ascii="Cambria" w:hAnsi="Cambria"/>
          <w:i/>
          <w:sz w:val="16"/>
          <w:szCs w:val="16"/>
        </w:rPr>
        <w:t>citing</w:t>
      </w:r>
      <w:r w:rsidRPr="00C60D22">
        <w:rPr>
          <w:rFonts w:ascii="Cambria" w:hAnsi="Cambria"/>
          <w:sz w:val="16"/>
          <w:szCs w:val="16"/>
        </w:rPr>
        <w:t xml:space="preserve"> IACHR, Report No. 39/96, Case 11.673, Marzioni (Argentina), October 15, 1996, in 1996 Annual Report of the IACHR, paras. 50 &amp; 51.</w:t>
      </w:r>
    </w:p>
  </w:footnote>
  <w:footnote w:id="5">
    <w:p w:rsidR="007002A4" w:rsidRPr="009E1FF2" w:rsidRDefault="007002A4" w:rsidP="007002A4">
      <w:pPr>
        <w:ind w:firstLine="720"/>
        <w:jc w:val="both"/>
        <w:rPr>
          <w:rFonts w:ascii="Cambria" w:hAnsi="Cambria"/>
          <w:sz w:val="16"/>
          <w:szCs w:val="16"/>
        </w:rPr>
      </w:pPr>
      <w:r w:rsidRPr="00C60D22">
        <w:rPr>
          <w:rFonts w:ascii="Cambria" w:hAnsi="Cambria"/>
          <w:sz w:val="16"/>
          <w:szCs w:val="16"/>
        </w:rPr>
        <w:footnoteRef/>
      </w:r>
      <w:r w:rsidRPr="00C60D22">
        <w:rPr>
          <w:rFonts w:ascii="Cambria" w:hAnsi="Cambria"/>
          <w:sz w:val="16"/>
          <w:szCs w:val="16"/>
        </w:rPr>
        <w:tab/>
        <w:t>IACHR, Report No. 7/01, Case 11.716 Güelfi (Panama), February 23, 2001, Report No. 39/96, Case 11.673, Marzioni (Argentina), October 15, 1996, in 1996 Annual Report of the IACHR, paras. 50 &amp;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AE3C5F"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26" w:rsidRDefault="00253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6EA4EBB"/>
    <w:multiLevelType w:val="multilevel"/>
    <w:tmpl w:val="24F4FFB4"/>
    <w:lvl w:ilvl="0">
      <w:start w:val="1"/>
      <w:numFmt w:val="decimal"/>
      <w:suff w:val="nothing"/>
      <w:lvlText w:val=""/>
      <w:lvlJc w:val="left"/>
      <w:pPr>
        <w:ind w:left="0" w:firstLine="0"/>
      </w:pPr>
    </w:lvl>
    <w:lvl w:ilvl="1">
      <w:start w:val="1"/>
      <w:numFmt w:val="decimal"/>
      <w:suff w:val="nothing"/>
      <w:lvlText w:val=""/>
      <w:lvlJc w:val="left"/>
      <w:pPr>
        <w:ind w:left="0" w:firstLine="0"/>
      </w:pPr>
    </w:lvl>
    <w:lvl w:ilvl="2">
      <w:start w:val="1"/>
      <w:numFmt w:val="decimal"/>
      <w:suff w:val="nothing"/>
      <w:lvlText w:val=""/>
      <w:lvlJc w:val="left"/>
      <w:pPr>
        <w:ind w:left="0" w:firstLine="0"/>
      </w:pPr>
    </w:lvl>
    <w:lvl w:ilvl="3">
      <w:start w:val="1"/>
      <w:numFmt w:val="decimal"/>
      <w:suff w:val="nothing"/>
      <w:lvlText w:val=""/>
      <w:lvlJc w:val="left"/>
      <w:pPr>
        <w:ind w:left="0" w:firstLine="0"/>
      </w:pPr>
    </w:lvl>
    <w:lvl w:ilvl="4">
      <w:start w:val="1"/>
      <w:numFmt w:val="decimal"/>
      <w:suff w:val="nothing"/>
      <w:lvlText w:val=""/>
      <w:lvlJc w:val="left"/>
      <w:pPr>
        <w:ind w:left="0" w:firstLine="0"/>
      </w:pPr>
    </w:lvl>
    <w:lvl w:ilvl="5">
      <w:start w:val="1"/>
      <w:numFmt w:val="decimal"/>
      <w:suff w:val="nothing"/>
      <w:lvlText w:val=""/>
      <w:lvlJc w:val="left"/>
      <w:pPr>
        <w:ind w:left="0" w:firstLine="0"/>
      </w:pPr>
    </w:lvl>
    <w:lvl w:ilvl="6">
      <w:start w:val="1"/>
      <w:numFmt w:val="decimal"/>
      <w:suff w:val="nothing"/>
      <w:lvlText w:val=""/>
      <w:lvlJc w:val="left"/>
      <w:pPr>
        <w:ind w:left="0" w:firstLine="0"/>
      </w:pPr>
    </w:lvl>
    <w:lvl w:ilvl="7">
      <w:start w:val="1"/>
      <w:numFmt w:val="decimal"/>
      <w:suff w:val="nothing"/>
      <w:lvlText w:val=""/>
      <w:lvlJc w:val="left"/>
      <w:pPr>
        <w:ind w:left="0" w:firstLine="0"/>
      </w:pPr>
    </w:lvl>
    <w:lvl w:ilvl="8">
      <w:start w:val="1"/>
      <w:numFmt w:val="decimal"/>
      <w:suff w:val="nothing"/>
      <w:lvlText w:val=""/>
      <w:lvlJc w:val="left"/>
      <w:pPr>
        <w:ind w:left="0" w:firstLine="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AD3138"/>
    <w:multiLevelType w:val="hybridMultilevel"/>
    <w:tmpl w:val="B538B41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6AB22B3"/>
    <w:multiLevelType w:val="multilevel"/>
    <w:tmpl w:val="DFE61F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4F00F9"/>
    <w:multiLevelType w:val="hybridMultilevel"/>
    <w:tmpl w:val="8A22E368"/>
    <w:lvl w:ilvl="0" w:tplc="4A4A5DDC">
      <w:start w:val="1"/>
      <w:numFmt w:val="decimal"/>
      <w:lvlText w:val="%1."/>
      <w:lvlJc w:val="left"/>
      <w:pPr>
        <w:ind w:left="720" w:hanging="360"/>
      </w:pPr>
      <w:rPr>
        <w:rFonts w:hint="default"/>
        <w:b w:val="0"/>
      </w:rPr>
    </w:lvl>
    <w:lvl w:ilvl="1" w:tplc="AD30A45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13F1493"/>
    <w:multiLevelType w:val="hybridMultilevel"/>
    <w:tmpl w:val="97C265EE"/>
    <w:lvl w:ilvl="0" w:tplc="21BEE5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4"/>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8"/>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3"/>
  </w:num>
  <w:num w:numId="95">
    <w:abstractNumId w:val="45"/>
  </w:num>
  <w:num w:numId="96">
    <w:abstractNumId w:val="56"/>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5"/>
  </w:num>
  <w:num w:numId="104">
    <w:abstractNumId w:val="7"/>
  </w:num>
  <w:num w:numId="105">
    <w:abstractNumId w:val="17"/>
  </w:num>
  <w:num w:numId="106">
    <w:abstractNumId w:val="36"/>
  </w:num>
  <w:num w:numId="107">
    <w:abstractNumId w:val="46"/>
  </w:num>
  <w:num w:numId="108">
    <w:abstractNumId w:val="1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3D26"/>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E67CE"/>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D7EFF"/>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02A4"/>
    <w:rsid w:val="00701B24"/>
    <w:rsid w:val="00745899"/>
    <w:rsid w:val="007607C4"/>
    <w:rsid w:val="0076643F"/>
    <w:rsid w:val="007A2F70"/>
    <w:rsid w:val="007C3334"/>
    <w:rsid w:val="007C52BB"/>
    <w:rsid w:val="007D2B98"/>
    <w:rsid w:val="007D7F0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3C5F"/>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002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002A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7002A4"/>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7002A4"/>
    <w:rPr>
      <w:rFonts w:asciiTheme="majorHAnsi" w:eastAsiaTheme="majorEastAsia" w:hAnsiTheme="majorHAnsi" w:cstheme="majorBidi"/>
      <w:b/>
      <w:bCs/>
      <w:color w:val="4F81BD" w:themeColor="accent1"/>
      <w:sz w:val="24"/>
      <w:szCs w:val="24"/>
      <w:lang w:val="en-US" w:eastAsia="en-US"/>
    </w:rPr>
  </w:style>
  <w:style w:type="paragraph" w:customStyle="1" w:styleId="TextBody">
    <w:name w:val="Text Body"/>
    <w:basedOn w:val="Normal"/>
    <w:rsid w:val="007002A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character" w:customStyle="1" w:styleId="FootnoteCharacters">
    <w:name w:val="Footnote Characters"/>
    <w:rsid w:val="007002A4"/>
    <w:rPr>
      <w:vertAlign w:val="superscript"/>
    </w:rPr>
  </w:style>
  <w:style w:type="character" w:customStyle="1" w:styleId="FootnoteAnchor">
    <w:name w:val="Footnote Anchor"/>
    <w:rsid w:val="007002A4"/>
    <w:rPr>
      <w:vertAlign w:val="superscript"/>
    </w:rPr>
  </w:style>
  <w:style w:type="paragraph" w:customStyle="1" w:styleId="Firstparagraph">
    <w:name w:val="First paragraph"/>
    <w:basedOn w:val="Normal"/>
    <w:next w:val="TextBody"/>
    <w:qFormat/>
    <w:rsid w:val="007002A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002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002A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7002A4"/>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7002A4"/>
    <w:rPr>
      <w:rFonts w:asciiTheme="majorHAnsi" w:eastAsiaTheme="majorEastAsia" w:hAnsiTheme="majorHAnsi" w:cstheme="majorBidi"/>
      <w:b/>
      <w:bCs/>
      <w:color w:val="4F81BD" w:themeColor="accent1"/>
      <w:sz w:val="24"/>
      <w:szCs w:val="24"/>
      <w:lang w:val="en-US" w:eastAsia="en-US"/>
    </w:rPr>
  </w:style>
  <w:style w:type="paragraph" w:customStyle="1" w:styleId="TextBody">
    <w:name w:val="Text Body"/>
    <w:basedOn w:val="Normal"/>
    <w:rsid w:val="007002A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character" w:customStyle="1" w:styleId="FootnoteCharacters">
    <w:name w:val="Footnote Characters"/>
    <w:rsid w:val="007002A4"/>
    <w:rPr>
      <w:vertAlign w:val="superscript"/>
    </w:rPr>
  </w:style>
  <w:style w:type="character" w:customStyle="1" w:styleId="FootnoteAnchor">
    <w:name w:val="Footnote Anchor"/>
    <w:rsid w:val="007002A4"/>
    <w:rPr>
      <w:vertAlign w:val="superscript"/>
    </w:rPr>
  </w:style>
  <w:style w:type="paragraph" w:customStyle="1" w:styleId="Firstparagraph">
    <w:name w:val="First paragraph"/>
    <w:basedOn w:val="Normal"/>
    <w:next w:val="TextBody"/>
    <w:qFormat/>
    <w:rsid w:val="007002A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7A20F-1D40-43AA-8CFF-296FC820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3506</Words>
  <Characters>18337</Characters>
  <Application>Microsoft Office Word</Application>
  <DocSecurity>0</DocSecurity>
  <Lines>339</Lines>
  <Paragraphs>65</Paragraphs>
  <ScaleCrop>false</ScaleCrop>
  <Company/>
  <LinksUpToDate>false</LinksUpToDate>
  <CharactersWithSpaces>21778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59/15</dc:title>
  <dc:creator/>
  <cp:lastModifiedBy/>
  <cp:revision>1</cp:revision>
  <dcterms:created xsi:type="dcterms:W3CDTF">2016-01-05T17:43:00Z</dcterms:created>
  <dcterms:modified xsi:type="dcterms:W3CDTF">2016-01-05T17:43:00Z</dcterms:modified>
</cp:coreProperties>
</file>