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33C90EB9" w14:textId="77777777" w:rsidR="00040C3A" w:rsidRPr="003C32BC" w:rsidRDefault="006311DA" w:rsidP="00627C9F">
      <w:pPr>
        <w:jc w:val="both"/>
        <w:rPr>
          <w:rFonts w:asciiTheme="majorHAnsi" w:hAnsiTheme="majorHAnsi" w:cs="Univers"/>
          <w:b/>
          <w:bCs/>
          <w:sz w:val="22"/>
          <w:szCs w:val="22"/>
        </w:rPr>
      </w:pPr>
      <w:r>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728A8B94" wp14:editId="48199E82">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77F910F"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9E2B0E1" wp14:editId="28A85E70">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078E12" w14:textId="77777777" w:rsidR="00CB2660" w:rsidRDefault="002C1641">
                            <w:r>
                              <w:rPr>
                                <w:noProof/>
                              </w:rPr>
                              <w:drawing>
                                <wp:inline distT="0" distB="0" distL="0" distR="0" wp14:anchorId="2EC4BB13" wp14:editId="4C49A676">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Pr>
                                <w:lang w:val="e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0B078E12" w14:textId="77777777" w:rsidR="00CB2660" w:rsidRDefault="002C1641">
                      <w:r>
                        <w:rPr>
                          <w:noProof/>
                        </w:rPr>
                        <w:drawing>
                          <wp:inline distT="0" distB="0" distL="0" distR="0" wp14:anchorId="2EC4BB13" wp14:editId="4C49A676">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Pr>
                          <w:lang w:val="en"/>
                        </w:rPr>
                        <w:t xml:space="preserve">                                               </w:t>
                      </w:r>
                    </w:p>
                  </w:txbxContent>
                </v:textbox>
              </v:shape>
            </w:pict>
          </mc:Fallback>
        </mc:AlternateContent>
      </w:r>
    </w:p>
    <w:p w14:paraId="4346A599" w14:textId="77777777" w:rsidR="00040C3A" w:rsidRPr="003C32BC" w:rsidRDefault="00040C3A" w:rsidP="00040C3A">
      <w:pPr>
        <w:tabs>
          <w:tab w:val="center" w:pos="5400"/>
        </w:tabs>
        <w:suppressAutoHyphens/>
        <w:jc w:val="both"/>
        <w:rPr>
          <w:rFonts w:asciiTheme="majorHAnsi" w:hAnsiTheme="majorHAnsi"/>
          <w:sz w:val="22"/>
          <w:szCs w:val="22"/>
        </w:rPr>
      </w:pPr>
    </w:p>
    <w:p w14:paraId="084BC8FC" w14:textId="77777777" w:rsidR="00040C3A" w:rsidRPr="003C32BC" w:rsidRDefault="00040C3A" w:rsidP="00040C3A">
      <w:pPr>
        <w:tabs>
          <w:tab w:val="center" w:pos="5400"/>
        </w:tabs>
        <w:suppressAutoHyphens/>
        <w:jc w:val="both"/>
        <w:rPr>
          <w:rFonts w:asciiTheme="majorHAnsi" w:hAnsiTheme="majorHAnsi"/>
          <w:sz w:val="22"/>
          <w:szCs w:val="22"/>
        </w:rPr>
      </w:pPr>
    </w:p>
    <w:p w14:paraId="5E6A1C53" w14:textId="77777777" w:rsidR="005128E4" w:rsidRPr="003C32BC" w:rsidRDefault="005128E4" w:rsidP="00040C3A">
      <w:pPr>
        <w:tabs>
          <w:tab w:val="center" w:pos="5400"/>
        </w:tabs>
        <w:suppressAutoHyphens/>
        <w:rPr>
          <w:rFonts w:asciiTheme="majorHAnsi" w:hAnsiTheme="majorHAnsi"/>
          <w:sz w:val="22"/>
          <w:szCs w:val="22"/>
        </w:rPr>
      </w:pPr>
    </w:p>
    <w:p w14:paraId="27CD7F82" w14:textId="77777777" w:rsidR="005128E4" w:rsidRPr="003C32BC" w:rsidRDefault="005128E4" w:rsidP="00040C3A">
      <w:pPr>
        <w:tabs>
          <w:tab w:val="center" w:pos="5400"/>
        </w:tabs>
        <w:suppressAutoHyphens/>
        <w:rPr>
          <w:rFonts w:asciiTheme="majorHAnsi" w:hAnsiTheme="majorHAnsi"/>
          <w:sz w:val="22"/>
          <w:szCs w:val="22"/>
        </w:rPr>
      </w:pPr>
    </w:p>
    <w:p w14:paraId="11A17286" w14:textId="77777777" w:rsidR="005128E4" w:rsidRPr="003C32BC" w:rsidRDefault="005128E4" w:rsidP="00040C3A">
      <w:pPr>
        <w:tabs>
          <w:tab w:val="center" w:pos="5400"/>
        </w:tabs>
        <w:suppressAutoHyphens/>
        <w:rPr>
          <w:rFonts w:asciiTheme="majorHAnsi" w:hAnsiTheme="majorHAnsi"/>
          <w:sz w:val="22"/>
          <w:szCs w:val="22"/>
        </w:rPr>
      </w:pPr>
    </w:p>
    <w:p w14:paraId="79B33F6A" w14:textId="77777777" w:rsidR="00040C3A" w:rsidRPr="003C32BC" w:rsidRDefault="00040C3A" w:rsidP="005128E4">
      <w:pPr>
        <w:tabs>
          <w:tab w:val="center" w:pos="5400"/>
        </w:tabs>
        <w:suppressAutoHyphens/>
        <w:jc w:val="center"/>
        <w:rPr>
          <w:rFonts w:asciiTheme="majorHAnsi" w:hAnsiTheme="majorHAnsi"/>
          <w:sz w:val="22"/>
          <w:szCs w:val="22"/>
        </w:rPr>
      </w:pPr>
    </w:p>
    <w:p w14:paraId="6C94C34F" w14:textId="77777777" w:rsidR="00040C3A" w:rsidRPr="003C32BC" w:rsidRDefault="00040C3A" w:rsidP="005128E4">
      <w:pPr>
        <w:tabs>
          <w:tab w:val="center" w:pos="5400"/>
        </w:tabs>
        <w:suppressAutoHyphens/>
        <w:jc w:val="center"/>
        <w:rPr>
          <w:rFonts w:asciiTheme="majorHAnsi" w:hAnsiTheme="majorHAnsi"/>
          <w:sz w:val="22"/>
          <w:szCs w:val="22"/>
        </w:rPr>
      </w:pPr>
    </w:p>
    <w:p w14:paraId="2215AD01" w14:textId="77777777" w:rsidR="005B52B0" w:rsidRPr="003C32BC" w:rsidRDefault="005B52B0" w:rsidP="005128E4">
      <w:pPr>
        <w:tabs>
          <w:tab w:val="center" w:pos="5400"/>
        </w:tabs>
        <w:suppressAutoHyphens/>
        <w:jc w:val="center"/>
        <w:rPr>
          <w:rFonts w:asciiTheme="majorHAnsi" w:hAnsiTheme="majorHAnsi"/>
          <w:sz w:val="22"/>
          <w:szCs w:val="22"/>
        </w:rPr>
      </w:pPr>
    </w:p>
    <w:p w14:paraId="349ACA38" w14:textId="77777777" w:rsidR="005B52B0" w:rsidRPr="003C32BC" w:rsidRDefault="005B52B0" w:rsidP="005128E4">
      <w:pPr>
        <w:tabs>
          <w:tab w:val="center" w:pos="5400"/>
        </w:tabs>
        <w:suppressAutoHyphens/>
        <w:jc w:val="center"/>
        <w:rPr>
          <w:rFonts w:asciiTheme="majorHAnsi" w:hAnsiTheme="majorHAnsi"/>
          <w:sz w:val="22"/>
          <w:szCs w:val="22"/>
        </w:rPr>
      </w:pPr>
    </w:p>
    <w:p w14:paraId="314C8B6E" w14:textId="77777777" w:rsidR="005B52B0" w:rsidRPr="003C32BC" w:rsidRDefault="005B52B0" w:rsidP="005128E4">
      <w:pPr>
        <w:tabs>
          <w:tab w:val="center" w:pos="5400"/>
        </w:tabs>
        <w:suppressAutoHyphens/>
        <w:jc w:val="center"/>
        <w:rPr>
          <w:rFonts w:asciiTheme="majorHAnsi" w:hAnsiTheme="majorHAnsi"/>
          <w:sz w:val="22"/>
          <w:szCs w:val="22"/>
        </w:rPr>
      </w:pPr>
    </w:p>
    <w:p w14:paraId="608DC091" w14:textId="77777777" w:rsidR="00040C3A" w:rsidRPr="003C32BC" w:rsidRDefault="00040C3A" w:rsidP="00040C3A">
      <w:pPr>
        <w:tabs>
          <w:tab w:val="center" w:pos="5400"/>
        </w:tabs>
        <w:suppressAutoHyphens/>
        <w:jc w:val="center"/>
        <w:rPr>
          <w:rFonts w:asciiTheme="majorHAnsi" w:hAnsiTheme="majorHAnsi"/>
          <w:sz w:val="22"/>
          <w:szCs w:val="22"/>
        </w:rPr>
      </w:pPr>
    </w:p>
    <w:p w14:paraId="39217110" w14:textId="77777777" w:rsidR="00040C3A" w:rsidRPr="003C32BC" w:rsidRDefault="00040C3A" w:rsidP="00040C3A">
      <w:pPr>
        <w:tabs>
          <w:tab w:val="center" w:pos="5400"/>
        </w:tabs>
        <w:suppressAutoHyphens/>
        <w:jc w:val="center"/>
        <w:rPr>
          <w:rFonts w:asciiTheme="majorHAnsi" w:hAnsiTheme="majorHAnsi"/>
          <w:sz w:val="22"/>
          <w:szCs w:val="22"/>
        </w:rPr>
      </w:pPr>
    </w:p>
    <w:p w14:paraId="52FB4C5A" w14:textId="77777777" w:rsidR="00040C3A" w:rsidRPr="003C32BC" w:rsidRDefault="00040C3A" w:rsidP="00040C3A">
      <w:pPr>
        <w:tabs>
          <w:tab w:val="center" w:pos="5400"/>
        </w:tabs>
        <w:suppressAutoHyphens/>
        <w:jc w:val="center"/>
        <w:rPr>
          <w:rFonts w:asciiTheme="majorHAnsi" w:hAnsiTheme="majorHAnsi"/>
          <w:sz w:val="22"/>
          <w:szCs w:val="22"/>
        </w:rPr>
      </w:pPr>
    </w:p>
    <w:p w14:paraId="0DACF4DC" w14:textId="77777777" w:rsidR="00040C3A" w:rsidRPr="003C32BC" w:rsidRDefault="00E533FF" w:rsidP="00040C3A">
      <w:pPr>
        <w:tabs>
          <w:tab w:val="center" w:pos="5400"/>
        </w:tabs>
        <w:suppressAutoHyphens/>
        <w:jc w:val="center"/>
        <w:rPr>
          <w:rFonts w:asciiTheme="majorHAnsi" w:hAnsiTheme="majorHAnsi"/>
          <w:sz w:val="22"/>
          <w:szCs w:val="22"/>
        </w:rPr>
      </w:pPr>
      <w:r>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E3BB917" wp14:editId="34388F5B">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54D0BB" w14:textId="1830C308" w:rsidR="00322450" w:rsidRPr="004B7EB6" w:rsidRDefault="0047641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lang w:val="en"/>
                              </w:rPr>
                              <w:t>REPORT No. 102</w:t>
                            </w:r>
                            <w:r w:rsidR="00322450">
                              <w:rPr>
                                <w:rFonts w:asciiTheme="majorHAnsi" w:hAnsiTheme="majorHAnsi" w:cs="Arial"/>
                                <w:b/>
                                <w:bCs/>
                                <w:color w:val="0D0D0D" w:themeColor="text1" w:themeTint="F2"/>
                                <w:sz w:val="36"/>
                                <w:szCs w:val="40"/>
                                <w:lang w:val="en"/>
                              </w:rPr>
                              <w:t>/17</w:t>
                            </w:r>
                          </w:p>
                          <w:p w14:paraId="01D879AB" w14:textId="77777777" w:rsidR="00322450" w:rsidRPr="004B7EB6" w:rsidRDefault="0061302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lang w:val="en"/>
                              </w:rPr>
                              <w:t>PETITION 383-08</w:t>
                            </w:r>
                          </w:p>
                          <w:p w14:paraId="68C03F87" w14:textId="77777777" w:rsidR="00DC3FA8" w:rsidRPr="004B7EB6" w:rsidRDefault="00450A4A" w:rsidP="00DC3FA8">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 xml:space="preserve">REPORT ON ADMISSIBILITY </w:t>
                            </w:r>
                          </w:p>
                          <w:p w14:paraId="325216E8" w14:textId="77777777" w:rsidR="00322450" w:rsidRPr="004B7EB6" w:rsidRDefault="00322450" w:rsidP="004B7EB6">
                            <w:pPr>
                              <w:spacing w:line="276" w:lineRule="auto"/>
                              <w:rPr>
                                <w:rFonts w:asciiTheme="majorHAnsi" w:hAnsiTheme="majorHAnsi" w:cs="Arial"/>
                                <w:color w:val="0D0D0D" w:themeColor="text1" w:themeTint="F2"/>
                                <w:szCs w:val="22"/>
                              </w:rPr>
                            </w:pPr>
                          </w:p>
                          <w:p w14:paraId="12458C3D" w14:textId="77777777" w:rsidR="00450A4A" w:rsidRPr="004B7EB6" w:rsidRDefault="00450A4A" w:rsidP="004B7EB6">
                            <w:pPr>
                              <w:spacing w:line="276" w:lineRule="auto"/>
                              <w:rPr>
                                <w:rFonts w:asciiTheme="majorHAnsi" w:hAnsiTheme="majorHAnsi" w:cs="Arial"/>
                                <w:color w:val="0D0D0D" w:themeColor="text1" w:themeTint="F2"/>
                                <w:szCs w:val="22"/>
                              </w:rPr>
                            </w:pPr>
                          </w:p>
                          <w:p w14:paraId="1121BE5B" w14:textId="77777777" w:rsidR="00DC3FA8" w:rsidRPr="0010736F" w:rsidRDefault="00DC3FA8" w:rsidP="00DC3FA8">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HEBE ALICIA LÓPEZ OSUNA</w:t>
                            </w:r>
                          </w:p>
                          <w:p w14:paraId="56905364" w14:textId="77777777" w:rsidR="005B52B0" w:rsidRPr="004B7EB6" w:rsidRDefault="00DC3FA8" w:rsidP="00DC3FA8">
                            <w:pPr>
                              <w:spacing w:line="276" w:lineRule="auto"/>
                              <w:rPr>
                                <w:rFonts w:asciiTheme="majorHAnsi" w:hAnsiTheme="majorHAnsi"/>
                                <w:color w:val="0D0D0D" w:themeColor="text1" w:themeTint="F2"/>
                              </w:rPr>
                            </w:pPr>
                            <w:r>
                              <w:rPr>
                                <w:rFonts w:asciiTheme="majorHAnsi" w:hAnsiTheme="majorHAnsi" w:cs="Arial"/>
                                <w:color w:val="0D0D0D" w:themeColor="text1" w:themeTint="F2"/>
                                <w:szCs w:val="22"/>
                                <w:lang w:val="en"/>
                              </w:rPr>
                              <w:t>ARGENTINA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554D0BB" w14:textId="1830C308" w:rsidR="00322450" w:rsidRPr="004B7EB6" w:rsidRDefault="0047641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lang w:val="en"/>
                        </w:rPr>
                        <w:t>REPORT No. 102</w:t>
                      </w:r>
                      <w:r w:rsidR="00322450">
                        <w:rPr>
                          <w:rFonts w:asciiTheme="majorHAnsi" w:hAnsiTheme="majorHAnsi" w:cs="Arial"/>
                          <w:b/>
                          <w:bCs/>
                          <w:color w:val="0D0D0D" w:themeColor="text1" w:themeTint="F2"/>
                          <w:sz w:val="36"/>
                          <w:szCs w:val="40"/>
                          <w:lang w:val="en"/>
                        </w:rPr>
                        <w:t>/17</w:t>
                      </w:r>
                    </w:p>
                    <w:p w14:paraId="01D879AB" w14:textId="77777777" w:rsidR="00322450" w:rsidRPr="004B7EB6" w:rsidRDefault="0061302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lang w:val="en"/>
                        </w:rPr>
                        <w:t>PETITION 383-08</w:t>
                      </w:r>
                    </w:p>
                    <w:p w14:paraId="68C03F87" w14:textId="77777777" w:rsidR="00DC3FA8" w:rsidRPr="004B7EB6" w:rsidRDefault="00450A4A" w:rsidP="00DC3FA8">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 xml:space="preserve">REPORT ON ADMISSIBILITY </w:t>
                      </w:r>
                    </w:p>
                    <w:p w14:paraId="325216E8" w14:textId="77777777" w:rsidR="00322450" w:rsidRPr="004B7EB6" w:rsidRDefault="00322450" w:rsidP="004B7EB6">
                      <w:pPr>
                        <w:spacing w:line="276" w:lineRule="auto"/>
                        <w:rPr>
                          <w:rFonts w:asciiTheme="majorHAnsi" w:hAnsiTheme="majorHAnsi" w:cs="Arial"/>
                          <w:color w:val="0D0D0D" w:themeColor="text1" w:themeTint="F2"/>
                          <w:szCs w:val="22"/>
                        </w:rPr>
                      </w:pPr>
                    </w:p>
                    <w:p w14:paraId="12458C3D" w14:textId="77777777" w:rsidR="00450A4A" w:rsidRPr="004B7EB6" w:rsidRDefault="00450A4A" w:rsidP="004B7EB6">
                      <w:pPr>
                        <w:spacing w:line="276" w:lineRule="auto"/>
                        <w:rPr>
                          <w:rFonts w:asciiTheme="majorHAnsi" w:hAnsiTheme="majorHAnsi" w:cs="Arial"/>
                          <w:color w:val="0D0D0D" w:themeColor="text1" w:themeTint="F2"/>
                          <w:szCs w:val="22"/>
                        </w:rPr>
                      </w:pPr>
                    </w:p>
                    <w:p w14:paraId="1121BE5B" w14:textId="77777777" w:rsidR="00DC3FA8" w:rsidRPr="0010736F" w:rsidRDefault="00DC3FA8" w:rsidP="00DC3FA8">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HEBE ALICIA LÓPEZ OSUNA</w:t>
                      </w:r>
                    </w:p>
                    <w:p w14:paraId="56905364" w14:textId="77777777" w:rsidR="005B52B0" w:rsidRPr="004B7EB6" w:rsidRDefault="00DC3FA8" w:rsidP="00DC3FA8">
                      <w:pPr>
                        <w:spacing w:line="276" w:lineRule="auto"/>
                        <w:rPr>
                          <w:rFonts w:asciiTheme="majorHAnsi" w:hAnsiTheme="majorHAnsi"/>
                          <w:color w:val="0D0D0D" w:themeColor="text1" w:themeTint="F2"/>
                        </w:rPr>
                      </w:pPr>
                      <w:r>
                        <w:rPr>
                          <w:rFonts w:asciiTheme="majorHAnsi" w:hAnsiTheme="majorHAnsi" w:cs="Arial"/>
                          <w:color w:val="0D0D0D" w:themeColor="text1" w:themeTint="F2"/>
                          <w:szCs w:val="22"/>
                          <w:lang w:val="en"/>
                        </w:rPr>
                        <w:t>ARGENTINA</w:t>
                      </w:r>
                    </w:p>
                  </w:txbxContent>
                </v:textbox>
              </v:shape>
            </w:pict>
          </mc:Fallback>
        </mc:AlternateContent>
      </w:r>
      <w:r>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8E07464" wp14:editId="55DE1477">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26E2C8" w14:textId="77777777" w:rsidR="00627C9F" w:rsidRPr="005A1131" w:rsidRDefault="00627C9F" w:rsidP="002C1641">
                            <w:pPr>
                              <w:jc w:val="right"/>
                              <w:rPr>
                                <w:rFonts w:asciiTheme="minorHAnsi" w:hAnsiTheme="minorHAnsi"/>
                                <w:color w:val="FFFFFF" w:themeColor="background1"/>
                                <w:sz w:val="22"/>
                                <w:lang w:val="pt-BR"/>
                              </w:rPr>
                            </w:pPr>
                            <w:r w:rsidRPr="005A1131">
                              <w:rPr>
                                <w:rFonts w:asciiTheme="minorHAnsi" w:hAnsiTheme="minorHAnsi"/>
                                <w:color w:val="FFFFFF" w:themeColor="background1"/>
                                <w:sz w:val="22"/>
                                <w:lang w:val="pt-BR"/>
                              </w:rPr>
                              <w:t>OEA/Ser.L/V/II.164</w:t>
                            </w:r>
                          </w:p>
                          <w:p w14:paraId="6DD6D99C" w14:textId="79BEF414" w:rsidR="00627C9F" w:rsidRPr="005A1131" w:rsidRDefault="00476411" w:rsidP="002C1641">
                            <w:pPr>
                              <w:jc w:val="right"/>
                              <w:rPr>
                                <w:rFonts w:asciiTheme="minorHAnsi" w:hAnsiTheme="minorHAnsi"/>
                                <w:color w:val="FFFFFF" w:themeColor="background1"/>
                                <w:sz w:val="22"/>
                                <w:lang w:val="pt-BR"/>
                              </w:rPr>
                            </w:pPr>
                            <w:r w:rsidRPr="005A1131">
                              <w:rPr>
                                <w:rFonts w:asciiTheme="minorHAnsi" w:hAnsiTheme="minorHAnsi"/>
                                <w:color w:val="FFFFFF" w:themeColor="background1"/>
                                <w:sz w:val="22"/>
                                <w:lang w:val="pt-BR"/>
                              </w:rPr>
                              <w:t>Doc. 123</w:t>
                            </w:r>
                          </w:p>
                          <w:p w14:paraId="66673666" w14:textId="2A1F62F7" w:rsidR="00627C9F" w:rsidRPr="004B7EB6" w:rsidRDefault="00476411" w:rsidP="002C1641">
                            <w:pPr>
                              <w:jc w:val="right"/>
                              <w:rPr>
                                <w:rFonts w:asciiTheme="minorHAnsi" w:hAnsiTheme="minorHAnsi"/>
                                <w:color w:val="FFFFFF" w:themeColor="background1"/>
                                <w:sz w:val="22"/>
                              </w:rPr>
                            </w:pPr>
                            <w:r>
                              <w:rPr>
                                <w:rFonts w:asciiTheme="minorHAnsi" w:hAnsiTheme="minorHAnsi"/>
                                <w:color w:val="FFFFFF" w:themeColor="background1"/>
                                <w:sz w:val="22"/>
                                <w:lang w:val="en"/>
                              </w:rPr>
                              <w:t>7 September</w:t>
                            </w:r>
                            <w:r w:rsidR="00627C9F">
                              <w:rPr>
                                <w:rFonts w:asciiTheme="minorHAnsi" w:hAnsiTheme="minorHAnsi"/>
                                <w:color w:val="FFFFFF" w:themeColor="background1"/>
                                <w:sz w:val="22"/>
                                <w:lang w:val="en"/>
                              </w:rPr>
                              <w:t xml:space="preserve"> 2017</w:t>
                            </w:r>
                          </w:p>
                          <w:p w14:paraId="209EC34B" w14:textId="77777777" w:rsidR="00627C9F" w:rsidRPr="004B7EB6" w:rsidRDefault="00627C9F" w:rsidP="002C1641">
                            <w:pPr>
                              <w:jc w:val="right"/>
                              <w:rPr>
                                <w:rFonts w:asciiTheme="minorHAnsi" w:hAnsiTheme="minorHAnsi"/>
                                <w:color w:val="FFFFFF" w:themeColor="background1"/>
                                <w:sz w:val="22"/>
                              </w:rPr>
                            </w:pPr>
                            <w:r>
                              <w:rPr>
                                <w:rFonts w:asciiTheme="minorHAnsi" w:hAnsiTheme="minorHAnsi"/>
                                <w:color w:val="FFFFFF" w:themeColor="background1"/>
                                <w:sz w:val="22"/>
                                <w:lang w:val="en"/>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0B26E2C8" w14:textId="77777777" w:rsidR="00627C9F" w:rsidRPr="00476411" w:rsidRDefault="00627C9F" w:rsidP="002C1641">
                      <w:pPr>
                        <w:jc w:val="right"/>
                        <w:rPr>
                          <w:rFonts w:asciiTheme="minorHAnsi" w:hAnsiTheme="minorHAnsi"/>
                          <w:color w:val="FFFFFF" w:themeColor="background1"/>
                          <w:sz w:val="22"/>
                        </w:rPr>
                      </w:pPr>
                      <w:r w:rsidRPr="00476411">
                        <w:rPr>
                          <w:rFonts w:asciiTheme="minorHAnsi" w:hAnsiTheme="minorHAnsi"/>
                          <w:color w:val="FFFFFF" w:themeColor="background1"/>
                          <w:sz w:val="22"/>
                        </w:rPr>
                        <w:t>OEA/Ser.L/V/II.164</w:t>
                      </w:r>
                    </w:p>
                    <w:p w14:paraId="6DD6D99C" w14:textId="79BEF414" w:rsidR="00627C9F" w:rsidRPr="00476411" w:rsidRDefault="00476411" w:rsidP="002C1641">
                      <w:pPr>
                        <w:jc w:val="right"/>
                        <w:rPr>
                          <w:rFonts w:asciiTheme="minorHAnsi" w:hAnsiTheme="minorHAnsi"/>
                          <w:color w:val="FFFFFF" w:themeColor="background1"/>
                          <w:sz w:val="22"/>
                        </w:rPr>
                      </w:pPr>
                      <w:r w:rsidRPr="00476411">
                        <w:rPr>
                          <w:rFonts w:asciiTheme="minorHAnsi" w:hAnsiTheme="minorHAnsi"/>
                          <w:color w:val="FFFFFF" w:themeColor="background1"/>
                          <w:sz w:val="22"/>
                        </w:rPr>
                        <w:t>Doc. 123</w:t>
                      </w:r>
                    </w:p>
                    <w:p w14:paraId="66673666" w14:textId="2A1F62F7" w:rsidR="00627C9F" w:rsidRPr="004B7EB6" w:rsidRDefault="00476411" w:rsidP="002C1641">
                      <w:pPr>
                        <w:jc w:val="right"/>
                        <w:rPr>
                          <w:rFonts w:asciiTheme="minorHAnsi" w:hAnsiTheme="minorHAnsi"/>
                          <w:color w:val="FFFFFF" w:themeColor="background1"/>
                          <w:sz w:val="22"/>
                        </w:rPr>
                      </w:pPr>
                      <w:r>
                        <w:rPr>
                          <w:rFonts w:asciiTheme="minorHAnsi" w:hAnsiTheme="minorHAnsi"/>
                          <w:color w:val="FFFFFF" w:themeColor="background1"/>
                          <w:sz w:val="22"/>
                          <w:lang w:val="en"/>
                        </w:rPr>
                        <w:t>7 September</w:t>
                      </w:r>
                      <w:r w:rsidR="00627C9F">
                        <w:rPr>
                          <w:rFonts w:asciiTheme="minorHAnsi" w:hAnsiTheme="minorHAnsi"/>
                          <w:color w:val="FFFFFF" w:themeColor="background1"/>
                          <w:sz w:val="22"/>
                          <w:lang w:val="en"/>
                        </w:rPr>
                        <w:t xml:space="preserve"> 2017</w:t>
                      </w:r>
                    </w:p>
                    <w:p w14:paraId="209EC34B" w14:textId="77777777" w:rsidR="00627C9F" w:rsidRPr="004B7EB6" w:rsidRDefault="00627C9F" w:rsidP="002C1641">
                      <w:pPr>
                        <w:jc w:val="right"/>
                        <w:rPr>
                          <w:rFonts w:asciiTheme="minorHAnsi" w:hAnsiTheme="minorHAnsi"/>
                          <w:color w:val="FFFFFF" w:themeColor="background1"/>
                          <w:sz w:val="22"/>
                        </w:rPr>
                      </w:pPr>
                      <w:r>
                        <w:rPr>
                          <w:rFonts w:asciiTheme="minorHAnsi" w:hAnsiTheme="minorHAnsi"/>
                          <w:color w:val="FFFFFF" w:themeColor="background1"/>
                          <w:sz w:val="22"/>
                          <w:lang w:val="en"/>
                        </w:rPr>
                        <w:t>Original: Spanish</w:t>
                      </w:r>
                    </w:p>
                  </w:txbxContent>
                </v:textbox>
              </v:shape>
            </w:pict>
          </mc:Fallback>
        </mc:AlternateContent>
      </w:r>
    </w:p>
    <w:p w14:paraId="3F3A5F6F" w14:textId="77777777" w:rsidR="00040C3A" w:rsidRPr="003C32BC" w:rsidRDefault="00040C3A" w:rsidP="00040C3A">
      <w:pPr>
        <w:tabs>
          <w:tab w:val="center" w:pos="5400"/>
        </w:tabs>
        <w:suppressAutoHyphens/>
        <w:jc w:val="center"/>
        <w:rPr>
          <w:rFonts w:asciiTheme="majorHAnsi" w:hAnsiTheme="majorHAnsi"/>
          <w:sz w:val="22"/>
          <w:szCs w:val="22"/>
        </w:rPr>
      </w:pPr>
    </w:p>
    <w:p w14:paraId="3D6BF20D" w14:textId="77777777" w:rsidR="00040C3A" w:rsidRPr="003C32BC" w:rsidRDefault="00040C3A" w:rsidP="00040C3A">
      <w:pPr>
        <w:tabs>
          <w:tab w:val="center" w:pos="5400"/>
        </w:tabs>
        <w:suppressAutoHyphens/>
        <w:jc w:val="center"/>
        <w:rPr>
          <w:rFonts w:asciiTheme="majorHAnsi" w:hAnsiTheme="majorHAnsi" w:cs="Arial"/>
          <w:sz w:val="22"/>
          <w:szCs w:val="22"/>
        </w:rPr>
      </w:pPr>
    </w:p>
    <w:p w14:paraId="7131B68F" w14:textId="77777777" w:rsidR="00040C3A" w:rsidRPr="003C32BC" w:rsidRDefault="00040C3A" w:rsidP="00040C3A">
      <w:pPr>
        <w:tabs>
          <w:tab w:val="center" w:pos="5400"/>
        </w:tabs>
        <w:suppressAutoHyphens/>
        <w:jc w:val="center"/>
        <w:rPr>
          <w:rFonts w:asciiTheme="majorHAnsi" w:hAnsiTheme="majorHAnsi"/>
          <w:sz w:val="22"/>
          <w:szCs w:val="22"/>
        </w:rPr>
      </w:pPr>
    </w:p>
    <w:p w14:paraId="1B3583FD" w14:textId="77777777" w:rsidR="00040C3A" w:rsidRPr="003C32BC" w:rsidRDefault="00040C3A" w:rsidP="00040C3A">
      <w:pPr>
        <w:tabs>
          <w:tab w:val="center" w:pos="5400"/>
        </w:tabs>
        <w:suppressAutoHyphens/>
        <w:jc w:val="center"/>
        <w:rPr>
          <w:rFonts w:asciiTheme="majorHAnsi" w:hAnsiTheme="majorHAnsi"/>
          <w:sz w:val="22"/>
          <w:szCs w:val="22"/>
        </w:rPr>
      </w:pPr>
    </w:p>
    <w:p w14:paraId="6F153415" w14:textId="77777777" w:rsidR="00040C3A" w:rsidRPr="003C32BC" w:rsidRDefault="00040C3A" w:rsidP="00040C3A">
      <w:pPr>
        <w:tabs>
          <w:tab w:val="center" w:pos="5400"/>
        </w:tabs>
        <w:suppressAutoHyphens/>
        <w:jc w:val="center"/>
        <w:rPr>
          <w:rFonts w:asciiTheme="majorHAnsi" w:hAnsiTheme="majorHAnsi"/>
          <w:sz w:val="22"/>
          <w:szCs w:val="22"/>
        </w:rPr>
      </w:pPr>
    </w:p>
    <w:p w14:paraId="1B7C0C28" w14:textId="77777777" w:rsidR="00040C3A" w:rsidRPr="003C32BC" w:rsidRDefault="00040C3A" w:rsidP="00040C3A">
      <w:pPr>
        <w:tabs>
          <w:tab w:val="center" w:pos="5400"/>
        </w:tabs>
        <w:suppressAutoHyphens/>
        <w:jc w:val="center"/>
        <w:rPr>
          <w:rFonts w:asciiTheme="majorHAnsi" w:hAnsiTheme="majorHAnsi"/>
          <w:sz w:val="22"/>
          <w:szCs w:val="22"/>
        </w:rPr>
      </w:pPr>
    </w:p>
    <w:p w14:paraId="00EB1E32" w14:textId="77777777" w:rsidR="005128E4" w:rsidRPr="003C32BC" w:rsidRDefault="005128E4" w:rsidP="00040C3A">
      <w:pPr>
        <w:tabs>
          <w:tab w:val="center" w:pos="5400"/>
        </w:tabs>
        <w:suppressAutoHyphens/>
        <w:jc w:val="center"/>
        <w:rPr>
          <w:rFonts w:asciiTheme="majorHAnsi" w:hAnsiTheme="majorHAnsi"/>
          <w:sz w:val="22"/>
          <w:szCs w:val="22"/>
        </w:rPr>
      </w:pPr>
    </w:p>
    <w:p w14:paraId="56F21877" w14:textId="77777777" w:rsidR="00040C3A" w:rsidRPr="003C32BC" w:rsidRDefault="00040C3A" w:rsidP="00040C3A">
      <w:pPr>
        <w:tabs>
          <w:tab w:val="center" w:pos="5400"/>
        </w:tabs>
        <w:suppressAutoHyphens/>
        <w:jc w:val="center"/>
        <w:rPr>
          <w:rFonts w:asciiTheme="majorHAnsi" w:hAnsiTheme="majorHAnsi"/>
          <w:sz w:val="22"/>
          <w:szCs w:val="22"/>
        </w:rPr>
      </w:pPr>
    </w:p>
    <w:p w14:paraId="20A15ED5" w14:textId="77777777" w:rsidR="005128E4" w:rsidRPr="003C32BC" w:rsidRDefault="005128E4" w:rsidP="00040C3A">
      <w:pPr>
        <w:tabs>
          <w:tab w:val="center" w:pos="5400"/>
        </w:tabs>
        <w:suppressAutoHyphens/>
        <w:jc w:val="center"/>
        <w:rPr>
          <w:rFonts w:asciiTheme="majorHAnsi" w:hAnsiTheme="majorHAnsi"/>
          <w:sz w:val="22"/>
          <w:szCs w:val="22"/>
        </w:rPr>
      </w:pPr>
    </w:p>
    <w:p w14:paraId="69BFC8E6" w14:textId="77777777" w:rsidR="005128E4" w:rsidRPr="003C32BC" w:rsidRDefault="005128E4" w:rsidP="00040C3A">
      <w:pPr>
        <w:tabs>
          <w:tab w:val="center" w:pos="5400"/>
        </w:tabs>
        <w:suppressAutoHyphens/>
        <w:jc w:val="center"/>
        <w:rPr>
          <w:rFonts w:asciiTheme="majorHAnsi" w:hAnsiTheme="majorHAnsi"/>
          <w:sz w:val="22"/>
          <w:szCs w:val="22"/>
        </w:rPr>
      </w:pPr>
    </w:p>
    <w:p w14:paraId="7D8B103E" w14:textId="77777777" w:rsidR="005128E4" w:rsidRPr="003C32BC" w:rsidRDefault="005128E4" w:rsidP="00040C3A">
      <w:pPr>
        <w:tabs>
          <w:tab w:val="center" w:pos="5400"/>
        </w:tabs>
        <w:suppressAutoHyphens/>
        <w:jc w:val="center"/>
        <w:rPr>
          <w:rFonts w:asciiTheme="majorHAnsi" w:hAnsiTheme="majorHAnsi"/>
          <w:sz w:val="22"/>
          <w:szCs w:val="22"/>
        </w:rPr>
      </w:pPr>
    </w:p>
    <w:p w14:paraId="5AFB21EB" w14:textId="77777777" w:rsidR="00040C3A" w:rsidRPr="003C32BC" w:rsidRDefault="00040C3A" w:rsidP="00040C3A">
      <w:pPr>
        <w:tabs>
          <w:tab w:val="center" w:pos="5400"/>
        </w:tabs>
        <w:suppressAutoHyphens/>
        <w:jc w:val="center"/>
        <w:rPr>
          <w:rFonts w:asciiTheme="majorHAnsi" w:hAnsiTheme="majorHAnsi"/>
          <w:sz w:val="22"/>
          <w:szCs w:val="22"/>
        </w:rPr>
      </w:pPr>
    </w:p>
    <w:p w14:paraId="6F5116E6" w14:textId="77777777" w:rsidR="00040C3A" w:rsidRPr="003C32BC" w:rsidRDefault="00040C3A" w:rsidP="00040C3A">
      <w:pPr>
        <w:tabs>
          <w:tab w:val="center" w:pos="5400"/>
        </w:tabs>
        <w:suppressAutoHyphens/>
        <w:jc w:val="center"/>
        <w:rPr>
          <w:rFonts w:asciiTheme="majorHAnsi" w:hAnsiTheme="majorHAnsi"/>
          <w:sz w:val="22"/>
          <w:szCs w:val="22"/>
        </w:rPr>
      </w:pPr>
    </w:p>
    <w:p w14:paraId="14E8704A" w14:textId="77777777" w:rsidR="002C1641" w:rsidRPr="003C32BC" w:rsidRDefault="002C1641" w:rsidP="00040C3A">
      <w:pPr>
        <w:tabs>
          <w:tab w:val="center" w:pos="5400"/>
        </w:tabs>
        <w:suppressAutoHyphens/>
        <w:jc w:val="center"/>
        <w:rPr>
          <w:rFonts w:asciiTheme="majorHAnsi" w:hAnsiTheme="majorHAnsi"/>
          <w:sz w:val="18"/>
          <w:szCs w:val="22"/>
        </w:rPr>
      </w:pPr>
    </w:p>
    <w:p w14:paraId="34288EBD" w14:textId="77777777" w:rsidR="002C1641" w:rsidRPr="003C32BC" w:rsidRDefault="002C1641" w:rsidP="00040C3A">
      <w:pPr>
        <w:tabs>
          <w:tab w:val="center" w:pos="5400"/>
        </w:tabs>
        <w:suppressAutoHyphens/>
        <w:jc w:val="center"/>
        <w:rPr>
          <w:rFonts w:asciiTheme="majorHAnsi" w:hAnsiTheme="majorHAnsi"/>
          <w:sz w:val="18"/>
          <w:szCs w:val="22"/>
        </w:rPr>
      </w:pPr>
    </w:p>
    <w:p w14:paraId="12F8C9EC" w14:textId="77777777" w:rsidR="002C1641" w:rsidRPr="003C32BC" w:rsidRDefault="002C1641" w:rsidP="00040C3A">
      <w:pPr>
        <w:tabs>
          <w:tab w:val="center" w:pos="5400"/>
        </w:tabs>
        <w:suppressAutoHyphens/>
        <w:jc w:val="center"/>
        <w:rPr>
          <w:rFonts w:asciiTheme="majorHAnsi" w:hAnsiTheme="majorHAnsi"/>
          <w:sz w:val="18"/>
          <w:szCs w:val="22"/>
        </w:rPr>
      </w:pPr>
    </w:p>
    <w:p w14:paraId="6D670D5E" w14:textId="77777777" w:rsidR="002C1641" w:rsidRPr="003C32BC" w:rsidRDefault="002C1641" w:rsidP="00040C3A">
      <w:pPr>
        <w:tabs>
          <w:tab w:val="center" w:pos="5400"/>
        </w:tabs>
        <w:suppressAutoHyphens/>
        <w:jc w:val="center"/>
        <w:rPr>
          <w:rFonts w:asciiTheme="majorHAnsi" w:hAnsiTheme="majorHAnsi"/>
          <w:sz w:val="18"/>
          <w:szCs w:val="22"/>
        </w:rPr>
      </w:pPr>
    </w:p>
    <w:p w14:paraId="2578B68D" w14:textId="77777777" w:rsidR="002C1641" w:rsidRPr="003C32BC" w:rsidRDefault="002C1641" w:rsidP="00040C3A">
      <w:pPr>
        <w:tabs>
          <w:tab w:val="center" w:pos="5400"/>
        </w:tabs>
        <w:suppressAutoHyphens/>
        <w:jc w:val="center"/>
        <w:rPr>
          <w:rFonts w:asciiTheme="majorHAnsi" w:hAnsiTheme="majorHAnsi"/>
          <w:sz w:val="18"/>
          <w:szCs w:val="22"/>
        </w:rPr>
      </w:pPr>
    </w:p>
    <w:p w14:paraId="23000C2D" w14:textId="77777777" w:rsidR="002C1641" w:rsidRPr="003C32BC" w:rsidRDefault="002C1641" w:rsidP="00040C3A">
      <w:pPr>
        <w:tabs>
          <w:tab w:val="center" w:pos="5400"/>
        </w:tabs>
        <w:suppressAutoHyphens/>
        <w:jc w:val="center"/>
        <w:rPr>
          <w:rFonts w:asciiTheme="majorHAnsi" w:hAnsiTheme="majorHAnsi"/>
          <w:sz w:val="18"/>
          <w:szCs w:val="22"/>
        </w:rPr>
      </w:pPr>
    </w:p>
    <w:p w14:paraId="53DFE2BA" w14:textId="77777777" w:rsidR="002C1641" w:rsidRPr="003C32BC" w:rsidRDefault="002C1641" w:rsidP="00040C3A">
      <w:pPr>
        <w:tabs>
          <w:tab w:val="center" w:pos="5400"/>
        </w:tabs>
        <w:suppressAutoHyphens/>
        <w:jc w:val="center"/>
        <w:rPr>
          <w:rFonts w:asciiTheme="majorHAnsi" w:hAnsiTheme="majorHAnsi"/>
          <w:sz w:val="18"/>
          <w:szCs w:val="22"/>
        </w:rPr>
      </w:pPr>
    </w:p>
    <w:p w14:paraId="4F09E53E" w14:textId="77777777" w:rsidR="002C1641" w:rsidRPr="003C32BC" w:rsidRDefault="002C1641" w:rsidP="00040C3A">
      <w:pPr>
        <w:tabs>
          <w:tab w:val="center" w:pos="5400"/>
        </w:tabs>
        <w:suppressAutoHyphens/>
        <w:jc w:val="center"/>
        <w:rPr>
          <w:rFonts w:asciiTheme="majorHAnsi" w:hAnsiTheme="majorHAnsi"/>
          <w:sz w:val="18"/>
          <w:szCs w:val="22"/>
        </w:rPr>
      </w:pPr>
    </w:p>
    <w:p w14:paraId="49AC5609" w14:textId="77777777" w:rsidR="002C1641" w:rsidRPr="003C32BC" w:rsidRDefault="002C1641" w:rsidP="00040C3A">
      <w:pPr>
        <w:tabs>
          <w:tab w:val="center" w:pos="5400"/>
        </w:tabs>
        <w:suppressAutoHyphens/>
        <w:jc w:val="center"/>
        <w:rPr>
          <w:rFonts w:asciiTheme="majorHAnsi" w:hAnsiTheme="majorHAnsi"/>
          <w:sz w:val="18"/>
          <w:szCs w:val="22"/>
        </w:rPr>
      </w:pPr>
    </w:p>
    <w:p w14:paraId="736D814A" w14:textId="77777777" w:rsidR="002C1641" w:rsidRPr="003C32BC" w:rsidRDefault="002C1641" w:rsidP="00040C3A">
      <w:pPr>
        <w:tabs>
          <w:tab w:val="center" w:pos="5400"/>
        </w:tabs>
        <w:suppressAutoHyphens/>
        <w:jc w:val="center"/>
        <w:rPr>
          <w:rFonts w:asciiTheme="majorHAnsi" w:hAnsiTheme="majorHAnsi"/>
          <w:sz w:val="18"/>
          <w:szCs w:val="22"/>
        </w:rPr>
      </w:pPr>
    </w:p>
    <w:p w14:paraId="4B05F4E9" w14:textId="77777777" w:rsidR="002C1641" w:rsidRPr="003C32BC" w:rsidRDefault="002C1641" w:rsidP="00040C3A">
      <w:pPr>
        <w:tabs>
          <w:tab w:val="center" w:pos="5400"/>
        </w:tabs>
        <w:suppressAutoHyphens/>
        <w:jc w:val="center"/>
        <w:rPr>
          <w:rFonts w:asciiTheme="majorHAnsi" w:hAnsiTheme="majorHAnsi"/>
          <w:sz w:val="18"/>
          <w:szCs w:val="22"/>
        </w:rPr>
      </w:pPr>
    </w:p>
    <w:p w14:paraId="3E916064" w14:textId="77777777" w:rsidR="002C1641" w:rsidRPr="003C32BC" w:rsidRDefault="002C1641" w:rsidP="00040C3A">
      <w:pPr>
        <w:tabs>
          <w:tab w:val="center" w:pos="5400"/>
        </w:tabs>
        <w:suppressAutoHyphens/>
        <w:jc w:val="center"/>
        <w:rPr>
          <w:rFonts w:asciiTheme="majorHAnsi" w:hAnsiTheme="majorHAnsi"/>
          <w:sz w:val="18"/>
          <w:szCs w:val="22"/>
        </w:rPr>
      </w:pPr>
    </w:p>
    <w:p w14:paraId="6A2BBCAF" w14:textId="77777777" w:rsidR="002C1641" w:rsidRPr="003C32BC" w:rsidRDefault="003C32BC" w:rsidP="00040C3A">
      <w:pPr>
        <w:tabs>
          <w:tab w:val="center" w:pos="5400"/>
        </w:tabs>
        <w:suppressAutoHyphens/>
        <w:jc w:val="center"/>
        <w:rPr>
          <w:rFonts w:asciiTheme="majorHAnsi" w:hAnsiTheme="majorHAnsi"/>
          <w:sz w:val="18"/>
          <w:szCs w:val="22"/>
        </w:rPr>
      </w:pPr>
      <w:r>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3C4080D" wp14:editId="5275A700">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8B4E2D" w14:textId="05181FC6"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0"/>
                                <w:lang w:val="en"/>
                              </w:rPr>
                              <w:t xml:space="preserve">Approved by the </w:t>
                            </w:r>
                            <w:r w:rsidR="00476411">
                              <w:rPr>
                                <w:rFonts w:asciiTheme="majorHAnsi" w:hAnsiTheme="majorHAnsi"/>
                                <w:color w:val="0D0D0D" w:themeColor="text1" w:themeTint="F2"/>
                                <w:sz w:val="18"/>
                                <w:szCs w:val="20"/>
                                <w:lang w:val="en"/>
                              </w:rPr>
                              <w:t>Commission at its session No. 2098 held on September 7, 2017</w:t>
                            </w:r>
                            <w:r w:rsidR="00E129EE">
                              <w:rPr>
                                <w:rFonts w:asciiTheme="majorHAnsi" w:hAnsiTheme="majorHAnsi"/>
                                <w:color w:val="0D0D0D" w:themeColor="text1" w:themeTint="F2"/>
                                <w:sz w:val="18"/>
                                <w:szCs w:val="20"/>
                                <w:lang w:val="en"/>
                              </w:rPr>
                              <w:t>.</w:t>
                            </w:r>
                            <w:r w:rsidR="00476411">
                              <w:rPr>
                                <w:rFonts w:asciiTheme="majorHAnsi" w:hAnsiTheme="majorHAnsi"/>
                                <w:color w:val="0D0D0D" w:themeColor="text1" w:themeTint="F2"/>
                                <w:sz w:val="18"/>
                                <w:szCs w:val="20"/>
                                <w:lang w:val="en"/>
                              </w:rPr>
                              <w:br/>
                            </w:r>
                            <w:r w:rsidR="00476411" w:rsidRPr="00476411">
                              <w:rPr>
                                <w:rFonts w:asciiTheme="majorHAnsi" w:hAnsiTheme="majorHAnsi"/>
                                <w:color w:val="0D0D0D" w:themeColor="text1" w:themeTint="F2"/>
                                <w:sz w:val="18"/>
                                <w:szCs w:val="20"/>
                                <w:lang w:val="en"/>
                              </w:rPr>
                              <w:t>164</w:t>
                            </w:r>
                            <w:r w:rsidR="00476411" w:rsidRPr="00DF05F9">
                              <w:rPr>
                                <w:rFonts w:asciiTheme="majorHAnsi" w:hAnsiTheme="majorHAnsi"/>
                                <w:color w:val="0D0D0D" w:themeColor="text1" w:themeTint="F2"/>
                                <w:sz w:val="18"/>
                                <w:szCs w:val="20"/>
                                <w:vertAlign w:val="superscript"/>
                                <w:lang w:val="en"/>
                              </w:rPr>
                              <w:t>th</w:t>
                            </w:r>
                            <w:r w:rsidR="00476411" w:rsidRPr="00476411">
                              <w:rPr>
                                <w:rFonts w:asciiTheme="majorHAnsi" w:hAnsiTheme="majorHAnsi"/>
                                <w:color w:val="0D0D0D" w:themeColor="text1" w:themeTint="F2"/>
                                <w:sz w:val="18"/>
                                <w:szCs w:val="20"/>
                                <w:lang w:val="en"/>
                              </w:rPr>
                              <w:t xml:space="preserve"> </w:t>
                            </w:r>
                            <w:r w:rsidR="00E129EE">
                              <w:rPr>
                                <w:rFonts w:asciiTheme="majorHAnsi" w:hAnsiTheme="majorHAnsi"/>
                                <w:color w:val="0D0D0D" w:themeColor="text1" w:themeTint="F2"/>
                                <w:sz w:val="18"/>
                                <w:szCs w:val="20"/>
                                <w:lang w:val="en"/>
                              </w:rPr>
                              <w:t>Special</w:t>
                            </w:r>
                            <w:r w:rsidR="00476411" w:rsidRPr="00476411">
                              <w:rPr>
                                <w:rFonts w:asciiTheme="majorHAnsi" w:hAnsiTheme="majorHAnsi"/>
                                <w:color w:val="0D0D0D" w:themeColor="text1" w:themeTint="F2"/>
                                <w:sz w:val="18"/>
                                <w:szCs w:val="20"/>
                                <w:lang w:val="en"/>
                              </w:rPr>
                              <w:t xml:space="preserve"> Period of Sessions</w:t>
                            </w:r>
                            <w:r w:rsidR="00E129EE">
                              <w:rPr>
                                <w:rFonts w:asciiTheme="majorHAnsi" w:hAnsiTheme="majorHAnsi"/>
                                <w:color w:val="0D0D0D" w:themeColor="text1" w:themeTint="F2"/>
                                <w:sz w:val="18"/>
                                <w:szCs w:val="20"/>
                                <w:lang w:val="en"/>
                              </w:rPr>
                              <w:t>.</w:t>
                            </w:r>
                          </w:p>
                          <w:p w14:paraId="2242EE90" w14:textId="77777777"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14:paraId="538B4E2D" w14:textId="05181FC6"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0"/>
                          <w:lang w:val="en"/>
                        </w:rPr>
                        <w:t xml:space="preserve">Approved by the </w:t>
                      </w:r>
                      <w:r w:rsidR="00476411">
                        <w:rPr>
                          <w:rFonts w:asciiTheme="majorHAnsi" w:hAnsiTheme="majorHAnsi"/>
                          <w:color w:val="0D0D0D" w:themeColor="text1" w:themeTint="F2"/>
                          <w:sz w:val="18"/>
                          <w:szCs w:val="20"/>
                          <w:lang w:val="en"/>
                        </w:rPr>
                        <w:t>Commission at its session No. 2098 held on September 7, 2017</w:t>
                      </w:r>
                      <w:r w:rsidR="00E129EE">
                        <w:rPr>
                          <w:rFonts w:asciiTheme="majorHAnsi" w:hAnsiTheme="majorHAnsi"/>
                          <w:color w:val="0D0D0D" w:themeColor="text1" w:themeTint="F2"/>
                          <w:sz w:val="18"/>
                          <w:szCs w:val="20"/>
                          <w:lang w:val="en"/>
                        </w:rPr>
                        <w:t>.</w:t>
                      </w:r>
                      <w:r w:rsidR="00476411">
                        <w:rPr>
                          <w:rFonts w:asciiTheme="majorHAnsi" w:hAnsiTheme="majorHAnsi"/>
                          <w:color w:val="0D0D0D" w:themeColor="text1" w:themeTint="F2"/>
                          <w:sz w:val="18"/>
                          <w:szCs w:val="20"/>
                          <w:lang w:val="en"/>
                        </w:rPr>
                        <w:br/>
                      </w:r>
                      <w:r w:rsidR="00476411" w:rsidRPr="00476411">
                        <w:rPr>
                          <w:rFonts w:asciiTheme="majorHAnsi" w:hAnsiTheme="majorHAnsi"/>
                          <w:color w:val="0D0D0D" w:themeColor="text1" w:themeTint="F2"/>
                          <w:sz w:val="18"/>
                          <w:szCs w:val="20"/>
                          <w:lang w:val="en"/>
                        </w:rPr>
                        <w:t>164</w:t>
                      </w:r>
                      <w:r w:rsidR="00476411" w:rsidRPr="00DF05F9">
                        <w:rPr>
                          <w:rFonts w:asciiTheme="majorHAnsi" w:hAnsiTheme="majorHAnsi"/>
                          <w:color w:val="0D0D0D" w:themeColor="text1" w:themeTint="F2"/>
                          <w:sz w:val="18"/>
                          <w:szCs w:val="20"/>
                          <w:vertAlign w:val="superscript"/>
                          <w:lang w:val="en"/>
                        </w:rPr>
                        <w:t>th</w:t>
                      </w:r>
                      <w:r w:rsidR="00476411" w:rsidRPr="00476411">
                        <w:rPr>
                          <w:rFonts w:asciiTheme="majorHAnsi" w:hAnsiTheme="majorHAnsi"/>
                          <w:color w:val="0D0D0D" w:themeColor="text1" w:themeTint="F2"/>
                          <w:sz w:val="18"/>
                          <w:szCs w:val="20"/>
                          <w:lang w:val="en"/>
                        </w:rPr>
                        <w:t xml:space="preserve"> </w:t>
                      </w:r>
                      <w:r w:rsidR="00E129EE">
                        <w:rPr>
                          <w:rFonts w:asciiTheme="majorHAnsi" w:hAnsiTheme="majorHAnsi"/>
                          <w:color w:val="0D0D0D" w:themeColor="text1" w:themeTint="F2"/>
                          <w:sz w:val="18"/>
                          <w:szCs w:val="20"/>
                          <w:lang w:val="en"/>
                        </w:rPr>
                        <w:t>Special</w:t>
                      </w:r>
                      <w:r w:rsidR="00476411" w:rsidRPr="00476411">
                        <w:rPr>
                          <w:rFonts w:asciiTheme="majorHAnsi" w:hAnsiTheme="majorHAnsi"/>
                          <w:color w:val="0D0D0D" w:themeColor="text1" w:themeTint="F2"/>
                          <w:sz w:val="18"/>
                          <w:szCs w:val="20"/>
                          <w:lang w:val="en"/>
                        </w:rPr>
                        <w:t xml:space="preserve"> Period of Sessions</w:t>
                      </w:r>
                      <w:r w:rsidR="00E129EE">
                        <w:rPr>
                          <w:rFonts w:asciiTheme="majorHAnsi" w:hAnsiTheme="majorHAnsi"/>
                          <w:color w:val="0D0D0D" w:themeColor="text1" w:themeTint="F2"/>
                          <w:sz w:val="18"/>
                          <w:szCs w:val="20"/>
                          <w:lang w:val="en"/>
                        </w:rPr>
                        <w:t>.</w:t>
                      </w:r>
                    </w:p>
                    <w:p w14:paraId="2242EE90" w14:textId="77777777"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14:paraId="2AF2760B" w14:textId="77777777" w:rsidR="002C1641" w:rsidRPr="003C32BC" w:rsidRDefault="002C1641" w:rsidP="00040C3A">
      <w:pPr>
        <w:tabs>
          <w:tab w:val="center" w:pos="5400"/>
        </w:tabs>
        <w:suppressAutoHyphens/>
        <w:jc w:val="center"/>
        <w:rPr>
          <w:rFonts w:asciiTheme="majorHAnsi" w:hAnsiTheme="majorHAnsi"/>
          <w:sz w:val="18"/>
          <w:szCs w:val="22"/>
        </w:rPr>
      </w:pPr>
    </w:p>
    <w:p w14:paraId="32A75020" w14:textId="77777777" w:rsidR="002C1641" w:rsidRPr="003C32BC" w:rsidRDefault="002C1641" w:rsidP="00040C3A">
      <w:pPr>
        <w:tabs>
          <w:tab w:val="center" w:pos="5400"/>
        </w:tabs>
        <w:suppressAutoHyphens/>
        <w:jc w:val="center"/>
        <w:rPr>
          <w:rFonts w:asciiTheme="majorHAnsi" w:hAnsiTheme="majorHAnsi"/>
          <w:sz w:val="18"/>
          <w:szCs w:val="22"/>
        </w:rPr>
      </w:pPr>
    </w:p>
    <w:p w14:paraId="57B9A414" w14:textId="77777777" w:rsidR="002C1641" w:rsidRPr="003C32BC" w:rsidRDefault="002C1641" w:rsidP="00040C3A">
      <w:pPr>
        <w:tabs>
          <w:tab w:val="center" w:pos="5400"/>
        </w:tabs>
        <w:suppressAutoHyphens/>
        <w:jc w:val="center"/>
        <w:rPr>
          <w:rFonts w:asciiTheme="majorHAnsi" w:hAnsiTheme="majorHAnsi"/>
          <w:sz w:val="18"/>
          <w:szCs w:val="22"/>
        </w:rPr>
      </w:pPr>
    </w:p>
    <w:p w14:paraId="07D885E9" w14:textId="77777777" w:rsidR="002C1641" w:rsidRPr="003C32BC" w:rsidRDefault="002C1641" w:rsidP="00040C3A">
      <w:pPr>
        <w:tabs>
          <w:tab w:val="center" w:pos="5400"/>
        </w:tabs>
        <w:suppressAutoHyphens/>
        <w:jc w:val="center"/>
        <w:rPr>
          <w:rFonts w:asciiTheme="majorHAnsi" w:hAnsiTheme="majorHAnsi"/>
          <w:sz w:val="18"/>
          <w:szCs w:val="22"/>
        </w:rPr>
      </w:pPr>
    </w:p>
    <w:p w14:paraId="1895EBAD" w14:textId="77777777" w:rsidR="002C1641" w:rsidRPr="003C32BC" w:rsidRDefault="003C32BC" w:rsidP="00040C3A">
      <w:pPr>
        <w:tabs>
          <w:tab w:val="center" w:pos="5400"/>
        </w:tabs>
        <w:suppressAutoHyphens/>
        <w:jc w:val="center"/>
        <w:rPr>
          <w:rFonts w:asciiTheme="majorHAnsi" w:hAnsiTheme="majorHAnsi"/>
          <w:sz w:val="18"/>
          <w:szCs w:val="22"/>
        </w:rPr>
      </w:pPr>
      <w:r>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06948165" wp14:editId="0A34C3B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B1203" w14:textId="5F974866" w:rsidR="00F644E6" w:rsidRPr="00476411" w:rsidRDefault="00F644E6" w:rsidP="00476411">
                            <w:pPr>
                              <w:spacing w:line="276" w:lineRule="auto"/>
                              <w:rPr>
                                <w:rFonts w:asciiTheme="majorHAnsi" w:hAnsiTheme="majorHAnsi"/>
                                <w:color w:val="595959" w:themeColor="text1" w:themeTint="A6"/>
                                <w:sz w:val="18"/>
                                <w:lang w:val="en"/>
                              </w:rPr>
                            </w:pPr>
                            <w:r>
                              <w:rPr>
                                <w:rFonts w:asciiTheme="majorHAnsi" w:hAnsiTheme="majorHAnsi"/>
                                <w:b/>
                                <w:bCs/>
                                <w:color w:val="595959" w:themeColor="text1" w:themeTint="A6"/>
                                <w:sz w:val="18"/>
                                <w:lang w:val="en"/>
                              </w:rPr>
                              <w:t xml:space="preserve">Cite as: </w:t>
                            </w:r>
                            <w:r>
                              <w:rPr>
                                <w:rFonts w:asciiTheme="majorHAnsi" w:hAnsiTheme="majorHAnsi"/>
                                <w:color w:val="595959" w:themeColor="text1" w:themeTint="A6"/>
                                <w:sz w:val="18"/>
                                <w:lang w:val="en"/>
                              </w:rPr>
                              <w:t xml:space="preserve">IACHR, Report No. </w:t>
                            </w:r>
                            <w:r w:rsidR="00476411">
                              <w:rPr>
                                <w:rFonts w:asciiTheme="majorHAnsi" w:hAnsiTheme="majorHAnsi"/>
                                <w:color w:val="595959" w:themeColor="text1" w:themeTint="A6"/>
                                <w:sz w:val="18"/>
                                <w:lang w:val="en"/>
                              </w:rPr>
                              <w:t xml:space="preserve">102/17. Petition 383-08. </w:t>
                            </w:r>
                            <w:r w:rsidR="00476411" w:rsidRPr="005A1131">
                              <w:rPr>
                                <w:rFonts w:asciiTheme="majorHAnsi" w:hAnsiTheme="majorHAnsi"/>
                                <w:color w:val="595959" w:themeColor="text1" w:themeTint="A6"/>
                                <w:sz w:val="18"/>
                                <w:lang w:val="pt-BR"/>
                              </w:rPr>
                              <w:t xml:space="preserve">Admissibility. Hebe Alicia López Osuna. </w:t>
                            </w:r>
                            <w:r w:rsidR="00476411" w:rsidRPr="00476411">
                              <w:rPr>
                                <w:rFonts w:asciiTheme="majorHAnsi" w:hAnsiTheme="majorHAnsi"/>
                                <w:color w:val="595959" w:themeColor="text1" w:themeTint="A6"/>
                                <w:sz w:val="18"/>
                                <w:lang w:val="en"/>
                              </w:rPr>
                              <w:t>Argentina</w:t>
                            </w:r>
                            <w:r w:rsidR="00476411">
                              <w:rPr>
                                <w:rFonts w:asciiTheme="majorHAnsi" w:hAnsiTheme="majorHAnsi"/>
                                <w:color w:val="595959" w:themeColor="text1" w:themeTint="A6"/>
                                <w:sz w:val="18"/>
                                <w:lang w:val="en"/>
                              </w:rPr>
                              <w:t>. September 7,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736B1203" w14:textId="5F974866" w:rsidR="00F644E6" w:rsidRPr="00476411" w:rsidRDefault="00F644E6" w:rsidP="00476411">
                      <w:pPr>
                        <w:spacing w:line="276" w:lineRule="auto"/>
                        <w:rPr>
                          <w:rFonts w:asciiTheme="majorHAnsi" w:hAnsiTheme="majorHAnsi"/>
                          <w:color w:val="595959" w:themeColor="text1" w:themeTint="A6"/>
                          <w:sz w:val="18"/>
                          <w:lang w:val="en"/>
                        </w:rPr>
                      </w:pPr>
                      <w:r>
                        <w:rPr>
                          <w:rFonts w:asciiTheme="majorHAnsi" w:hAnsiTheme="majorHAnsi"/>
                          <w:b/>
                          <w:bCs/>
                          <w:color w:val="595959" w:themeColor="text1" w:themeTint="A6"/>
                          <w:sz w:val="18"/>
                          <w:lang w:val="en"/>
                        </w:rPr>
                        <w:t xml:space="preserve">Cite as: </w:t>
                      </w:r>
                      <w:r>
                        <w:rPr>
                          <w:rFonts w:asciiTheme="majorHAnsi" w:hAnsiTheme="majorHAnsi"/>
                          <w:color w:val="595959" w:themeColor="text1" w:themeTint="A6"/>
                          <w:sz w:val="18"/>
                          <w:lang w:val="en"/>
                        </w:rPr>
                        <w:t xml:space="preserve">IACHR, Report No. </w:t>
                      </w:r>
                      <w:r w:rsidR="00476411">
                        <w:rPr>
                          <w:rFonts w:asciiTheme="majorHAnsi" w:hAnsiTheme="majorHAnsi"/>
                          <w:color w:val="595959" w:themeColor="text1" w:themeTint="A6"/>
                          <w:sz w:val="18"/>
                          <w:lang w:val="en"/>
                        </w:rPr>
                        <w:t xml:space="preserve">102/17. </w:t>
                      </w:r>
                      <w:proofErr w:type="gramStart"/>
                      <w:r w:rsidR="00476411">
                        <w:rPr>
                          <w:rFonts w:asciiTheme="majorHAnsi" w:hAnsiTheme="majorHAnsi"/>
                          <w:color w:val="595959" w:themeColor="text1" w:themeTint="A6"/>
                          <w:sz w:val="18"/>
                          <w:lang w:val="en"/>
                        </w:rPr>
                        <w:t>Petition 383-08.</w:t>
                      </w:r>
                      <w:proofErr w:type="gramEnd"/>
                      <w:r w:rsidR="00476411">
                        <w:rPr>
                          <w:rFonts w:asciiTheme="majorHAnsi" w:hAnsiTheme="majorHAnsi"/>
                          <w:color w:val="595959" w:themeColor="text1" w:themeTint="A6"/>
                          <w:sz w:val="18"/>
                          <w:lang w:val="en"/>
                        </w:rPr>
                        <w:t xml:space="preserve"> </w:t>
                      </w:r>
                      <w:proofErr w:type="gramStart"/>
                      <w:r w:rsidR="00476411">
                        <w:rPr>
                          <w:rFonts w:asciiTheme="majorHAnsi" w:hAnsiTheme="majorHAnsi"/>
                          <w:color w:val="595959" w:themeColor="text1" w:themeTint="A6"/>
                          <w:sz w:val="18"/>
                          <w:lang w:val="en"/>
                        </w:rPr>
                        <w:t>Admissibility.</w:t>
                      </w:r>
                      <w:proofErr w:type="gramEnd"/>
                      <w:r w:rsidR="00476411">
                        <w:rPr>
                          <w:rFonts w:asciiTheme="majorHAnsi" w:hAnsiTheme="majorHAnsi"/>
                          <w:color w:val="595959" w:themeColor="text1" w:themeTint="A6"/>
                          <w:sz w:val="18"/>
                          <w:lang w:val="en"/>
                        </w:rPr>
                        <w:t xml:space="preserve"> Hebe Alicia </w:t>
                      </w:r>
                      <w:proofErr w:type="spellStart"/>
                      <w:r w:rsidR="00476411">
                        <w:rPr>
                          <w:rFonts w:asciiTheme="majorHAnsi" w:hAnsiTheme="majorHAnsi"/>
                          <w:color w:val="595959" w:themeColor="text1" w:themeTint="A6"/>
                          <w:sz w:val="18"/>
                          <w:lang w:val="en"/>
                        </w:rPr>
                        <w:t>López</w:t>
                      </w:r>
                      <w:proofErr w:type="spellEnd"/>
                      <w:r w:rsidR="00476411">
                        <w:rPr>
                          <w:rFonts w:asciiTheme="majorHAnsi" w:hAnsiTheme="majorHAnsi"/>
                          <w:color w:val="595959" w:themeColor="text1" w:themeTint="A6"/>
                          <w:sz w:val="18"/>
                          <w:lang w:val="en"/>
                        </w:rPr>
                        <w:t xml:space="preserve"> Osuna. </w:t>
                      </w:r>
                      <w:r w:rsidR="00476411" w:rsidRPr="00476411">
                        <w:rPr>
                          <w:rFonts w:asciiTheme="majorHAnsi" w:hAnsiTheme="majorHAnsi"/>
                          <w:color w:val="595959" w:themeColor="text1" w:themeTint="A6"/>
                          <w:sz w:val="18"/>
                          <w:lang w:val="en"/>
                        </w:rPr>
                        <w:t>Argentina</w:t>
                      </w:r>
                      <w:r w:rsidR="00476411">
                        <w:rPr>
                          <w:rFonts w:asciiTheme="majorHAnsi" w:hAnsiTheme="majorHAnsi"/>
                          <w:color w:val="595959" w:themeColor="text1" w:themeTint="A6"/>
                          <w:sz w:val="18"/>
                          <w:lang w:val="en"/>
                        </w:rPr>
                        <w:t>. September 7, 2017.</w:t>
                      </w:r>
                    </w:p>
                  </w:txbxContent>
                </v:textbox>
              </v:shape>
            </w:pict>
          </mc:Fallback>
        </mc:AlternateContent>
      </w:r>
    </w:p>
    <w:p w14:paraId="4A7F0FE2" w14:textId="77777777" w:rsidR="002C1641" w:rsidRPr="003C32BC" w:rsidRDefault="002C1641" w:rsidP="00040C3A">
      <w:pPr>
        <w:tabs>
          <w:tab w:val="center" w:pos="5400"/>
        </w:tabs>
        <w:suppressAutoHyphens/>
        <w:jc w:val="center"/>
        <w:rPr>
          <w:rFonts w:asciiTheme="majorHAnsi" w:hAnsiTheme="majorHAnsi"/>
          <w:sz w:val="18"/>
          <w:szCs w:val="22"/>
        </w:rPr>
      </w:pPr>
    </w:p>
    <w:p w14:paraId="0791283F" w14:textId="77777777" w:rsidR="002C1641" w:rsidRPr="003C32BC" w:rsidRDefault="002C1641" w:rsidP="00040C3A">
      <w:pPr>
        <w:tabs>
          <w:tab w:val="center" w:pos="5400"/>
        </w:tabs>
        <w:suppressAutoHyphens/>
        <w:jc w:val="center"/>
        <w:rPr>
          <w:rFonts w:asciiTheme="majorHAnsi" w:hAnsiTheme="majorHAnsi"/>
          <w:sz w:val="18"/>
          <w:szCs w:val="22"/>
        </w:rPr>
      </w:pPr>
    </w:p>
    <w:p w14:paraId="66C1B5E0" w14:textId="77777777" w:rsidR="003C32BC" w:rsidRPr="003C32BC" w:rsidRDefault="003C32BC" w:rsidP="003C32BC">
      <w:pPr>
        <w:tabs>
          <w:tab w:val="center" w:pos="5400"/>
        </w:tabs>
        <w:suppressAutoHyphens/>
        <w:jc w:val="center"/>
        <w:rPr>
          <w:rFonts w:asciiTheme="majorHAnsi" w:hAnsiTheme="majorHAnsi"/>
          <w:sz w:val="18"/>
          <w:szCs w:val="22"/>
        </w:rPr>
      </w:pPr>
    </w:p>
    <w:p w14:paraId="306B4D09" w14:textId="77777777" w:rsidR="003C32BC" w:rsidRPr="003C32BC" w:rsidRDefault="006311DA" w:rsidP="003C32BC">
      <w:pPr>
        <w:tabs>
          <w:tab w:val="center" w:pos="5400"/>
        </w:tabs>
        <w:suppressAutoHyphens/>
        <w:jc w:val="center"/>
        <w:rPr>
          <w:rFonts w:asciiTheme="majorHAnsi" w:hAnsiTheme="majorHAnsi"/>
          <w:sz w:val="18"/>
          <w:szCs w:val="22"/>
        </w:rPr>
      </w:pPr>
      <w:r>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5458DB7" wp14:editId="785A6278">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F8088D" w14:textId="77777777" w:rsidR="006311DA" w:rsidRPr="004B7EB6" w:rsidRDefault="006311DA" w:rsidP="006311DA">
                            <w:pPr>
                              <w:jc w:val="center"/>
                              <w:rPr>
                                <w:rFonts w:asciiTheme="minorHAnsi" w:hAnsiTheme="minorHAnsi"/>
                                <w:b/>
                                <w:color w:val="FFFFFF" w:themeColor="background1"/>
                              </w:rPr>
                            </w:pPr>
                            <w:r>
                              <w:rPr>
                                <w:rFonts w:asciiTheme="minorHAnsi" w:hAnsiTheme="minorHAnsi"/>
                                <w:b/>
                                <w:bCs/>
                                <w:color w:val="FFFFFF" w:themeColor="background1"/>
                                <w:lang w:val="en"/>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5F8088D" w14:textId="77777777" w:rsidR="006311DA" w:rsidRPr="004B7EB6" w:rsidRDefault="006311DA" w:rsidP="006311DA">
                      <w:pPr>
                        <w:jc w:val="center"/>
                        <w:rPr>
                          <w:rFonts w:asciiTheme="minorHAnsi" w:hAnsiTheme="minorHAnsi"/>
                          <w:b/>
                          <w:color w:val="FFFFFF" w:themeColor="background1"/>
                        </w:rPr>
                      </w:pPr>
                      <w:r>
                        <w:rPr>
                          <w:rFonts w:asciiTheme="minorHAnsi" w:hAnsiTheme="minorHAnsi"/>
                          <w:b/>
                          <w:bCs/>
                          <w:color w:val="FFFFFF" w:themeColor="background1"/>
                          <w:lang w:val="en"/>
                        </w:rPr>
                        <w:t>www.cidh.org</w:t>
                      </w:r>
                    </w:p>
                  </w:txbxContent>
                </v:textbox>
              </v:shape>
            </w:pict>
          </mc:Fallback>
        </mc:AlternateContent>
      </w:r>
      <w:r>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3E809040" wp14:editId="652ACE6D">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11CF5DF" w14:textId="77777777" w:rsidR="003C32BC" w:rsidRDefault="003C32BC">
                            <w:r>
                              <w:rPr>
                                <w:noProof/>
                              </w:rPr>
                              <w:drawing>
                                <wp:inline distT="0" distB="0" distL="0" distR="0" wp14:anchorId="4083DF8C" wp14:editId="1E23E02B">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411CF5DF" w14:textId="77777777" w:rsidR="003C32BC" w:rsidRDefault="003C32BC">
                      <w:r>
                        <w:rPr>
                          <w:noProof/>
                        </w:rPr>
                        <w:drawing>
                          <wp:inline distT="0" distB="0" distL="0" distR="0" wp14:anchorId="4083DF8C" wp14:editId="1E23E02B">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1F771303"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36210B2B" w14:textId="4182C007" w:rsidR="00DC3FA8" w:rsidRPr="00722C9F" w:rsidRDefault="00476411" w:rsidP="00DC3FA8">
      <w:pPr>
        <w:tabs>
          <w:tab w:val="center" w:pos="5400"/>
        </w:tabs>
        <w:suppressAutoHyphens/>
        <w:spacing w:line="276" w:lineRule="auto"/>
        <w:jc w:val="center"/>
        <w:rPr>
          <w:rFonts w:asciiTheme="majorHAnsi" w:hAnsiTheme="majorHAnsi"/>
          <w:b/>
          <w:sz w:val="18"/>
          <w:szCs w:val="20"/>
        </w:rPr>
      </w:pPr>
      <w:r>
        <w:rPr>
          <w:rFonts w:asciiTheme="majorHAnsi" w:hAnsiTheme="majorHAnsi"/>
          <w:b/>
          <w:bCs/>
          <w:sz w:val="18"/>
          <w:szCs w:val="20"/>
          <w:lang w:val="en"/>
        </w:rPr>
        <w:lastRenderedPageBreak/>
        <w:t>REPORT No. 102</w:t>
      </w:r>
      <w:r w:rsidR="00DC3FA8">
        <w:rPr>
          <w:rFonts w:asciiTheme="majorHAnsi" w:hAnsiTheme="majorHAnsi"/>
          <w:b/>
          <w:bCs/>
          <w:sz w:val="18"/>
          <w:szCs w:val="20"/>
          <w:lang w:val="en"/>
        </w:rPr>
        <w:t>/17</w:t>
      </w:r>
    </w:p>
    <w:p w14:paraId="2CB6497D" w14:textId="77777777" w:rsidR="00DC3FA8" w:rsidRPr="00722C9F" w:rsidRDefault="00DC3FA8" w:rsidP="00DC3FA8">
      <w:pPr>
        <w:tabs>
          <w:tab w:val="center" w:pos="5400"/>
        </w:tabs>
        <w:suppressAutoHyphens/>
        <w:spacing w:line="276" w:lineRule="auto"/>
        <w:jc w:val="center"/>
        <w:rPr>
          <w:rFonts w:asciiTheme="majorHAnsi" w:hAnsiTheme="majorHAnsi"/>
          <w:b/>
          <w:sz w:val="18"/>
          <w:szCs w:val="20"/>
        </w:rPr>
      </w:pPr>
      <w:r>
        <w:rPr>
          <w:rFonts w:asciiTheme="majorHAnsi" w:hAnsiTheme="majorHAnsi"/>
          <w:b/>
          <w:bCs/>
          <w:sz w:val="18"/>
          <w:szCs w:val="20"/>
          <w:lang w:val="en"/>
        </w:rPr>
        <w:t xml:space="preserve">PETITION 383-08 </w:t>
      </w:r>
    </w:p>
    <w:p w14:paraId="682E0438" w14:textId="77777777" w:rsidR="00DC3FA8" w:rsidRPr="00722C9F" w:rsidRDefault="00DC3FA8" w:rsidP="00DC3FA8">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lang w:val="en"/>
        </w:rPr>
        <w:t xml:space="preserve">REPORT ON ADMISSIBILITY </w:t>
      </w:r>
    </w:p>
    <w:p w14:paraId="4864C0F2" w14:textId="77777777" w:rsidR="00DC3FA8" w:rsidRPr="00722C9F" w:rsidRDefault="00DC3FA8" w:rsidP="00DC3FA8">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lang w:val="en"/>
        </w:rPr>
        <w:t>HEBE ALICIA LÓPEZ OSUNA</w:t>
      </w:r>
    </w:p>
    <w:p w14:paraId="5C4ACD44" w14:textId="77777777" w:rsidR="00DC3FA8" w:rsidRDefault="00DC3FA8" w:rsidP="00DC3FA8">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lang w:val="en"/>
        </w:rPr>
        <w:t>ARGENTINA</w:t>
      </w:r>
    </w:p>
    <w:p w14:paraId="3CB1A33D" w14:textId="793692C8" w:rsidR="00DC3FA8" w:rsidRDefault="00476411" w:rsidP="00DC3FA8">
      <w:pPr>
        <w:tabs>
          <w:tab w:val="center" w:pos="5400"/>
        </w:tabs>
        <w:suppressAutoHyphens/>
        <w:spacing w:line="276" w:lineRule="auto"/>
        <w:jc w:val="center"/>
        <w:rPr>
          <w:rFonts w:asciiTheme="majorHAnsi" w:hAnsiTheme="majorHAnsi"/>
          <w:sz w:val="18"/>
          <w:szCs w:val="20"/>
        </w:rPr>
      </w:pPr>
      <w:r w:rsidRPr="00476411">
        <w:rPr>
          <w:rFonts w:asciiTheme="majorHAnsi" w:hAnsiTheme="majorHAnsi"/>
          <w:sz w:val="18"/>
          <w:szCs w:val="20"/>
        </w:rPr>
        <w:t>SEPTEMBER 7, 2017</w:t>
      </w:r>
    </w:p>
    <w:p w14:paraId="05D02678" w14:textId="77777777" w:rsidR="00DC3FA8" w:rsidRDefault="00DC3FA8" w:rsidP="00DC3FA8">
      <w:pPr>
        <w:tabs>
          <w:tab w:val="center" w:pos="5400"/>
        </w:tabs>
        <w:suppressAutoHyphens/>
        <w:spacing w:line="276" w:lineRule="auto"/>
        <w:rPr>
          <w:rFonts w:asciiTheme="majorHAnsi" w:hAnsiTheme="majorHAnsi"/>
          <w:sz w:val="20"/>
          <w:szCs w:val="20"/>
        </w:rPr>
      </w:pPr>
    </w:p>
    <w:p w14:paraId="1D606BC3" w14:textId="77777777" w:rsidR="00DC3FA8" w:rsidRPr="000419AD" w:rsidRDefault="00DC3FA8" w:rsidP="00DC3FA8">
      <w:pPr>
        <w:spacing w:after="240"/>
        <w:ind w:firstLine="720"/>
        <w:jc w:val="both"/>
        <w:rPr>
          <w:rFonts w:asciiTheme="majorHAnsi" w:hAnsiTheme="majorHAnsi"/>
          <w:b/>
          <w:bCs/>
          <w:sz w:val="20"/>
          <w:szCs w:val="20"/>
        </w:rPr>
      </w:pPr>
      <w:r>
        <w:rPr>
          <w:rFonts w:asciiTheme="majorHAnsi" w:hAnsiTheme="majorHAnsi"/>
          <w:b/>
          <w:bCs/>
          <w:sz w:val="20"/>
          <w:szCs w:val="20"/>
          <w:lang w:val="en"/>
        </w:rPr>
        <w:t>I.</w:t>
      </w:r>
      <w:r>
        <w:rPr>
          <w:rFonts w:asciiTheme="majorHAnsi" w:hAnsiTheme="majorHAnsi"/>
          <w:b/>
          <w:bCs/>
          <w:sz w:val="20"/>
          <w:szCs w:val="20"/>
          <w:lang w:val="en"/>
        </w:rPr>
        <w:tab/>
        <w:t xml:space="preserve">PETITION INFORMATION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DC3FA8" w14:paraId="3EBF5E1D" w14:textId="77777777" w:rsidTr="00DC3FA8">
        <w:tc>
          <w:tcPr>
            <w:tcW w:w="4680" w:type="dxa"/>
            <w:tcBorders>
              <w:top w:val="single" w:sz="4" w:space="0" w:color="auto"/>
              <w:bottom w:val="single" w:sz="6" w:space="0" w:color="auto"/>
            </w:tcBorders>
            <w:shd w:val="clear" w:color="auto" w:fill="67AE3C"/>
            <w:vAlign w:val="center"/>
          </w:tcPr>
          <w:p w14:paraId="1712EB17" w14:textId="77777777" w:rsidR="00DC3FA8" w:rsidRPr="00706824" w:rsidRDefault="00DC3FA8" w:rsidP="001A7DC4">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Petitioner(s):</w:t>
            </w:r>
          </w:p>
        </w:tc>
        <w:tc>
          <w:tcPr>
            <w:tcW w:w="4680" w:type="dxa"/>
            <w:vAlign w:val="center"/>
          </w:tcPr>
          <w:p w14:paraId="4BD17D43" w14:textId="77777777" w:rsidR="00DC3FA8" w:rsidRPr="004B3C14" w:rsidRDefault="00DC3FA8" w:rsidP="001A7DC4">
            <w:pPr>
              <w:jc w:val="both"/>
              <w:rPr>
                <w:rFonts w:ascii="Cambria" w:hAnsi="Cambria"/>
                <w:bCs/>
                <w:sz w:val="20"/>
                <w:szCs w:val="20"/>
              </w:rPr>
            </w:pPr>
            <w:r>
              <w:rPr>
                <w:rFonts w:ascii="Cambria" w:hAnsi="Cambria"/>
                <w:sz w:val="20"/>
                <w:szCs w:val="20"/>
                <w:lang w:val="en"/>
              </w:rPr>
              <w:t>Hebe Alicia López Osuna, Noemi Marta Berros, Alberto Bovino, Juan Pablo Chorinos, and Raúl Enrique Barrandeguy</w:t>
            </w:r>
          </w:p>
        </w:tc>
      </w:tr>
      <w:tr w:rsidR="00DC3FA8" w:rsidRPr="001E49E7" w14:paraId="327E7B53" w14:textId="77777777" w:rsidTr="00DC3FA8">
        <w:tc>
          <w:tcPr>
            <w:tcW w:w="4680" w:type="dxa"/>
            <w:tcBorders>
              <w:top w:val="single" w:sz="6" w:space="0" w:color="auto"/>
              <w:bottom w:val="single" w:sz="6" w:space="0" w:color="auto"/>
            </w:tcBorders>
            <w:shd w:val="clear" w:color="auto" w:fill="67AE3C"/>
            <w:vAlign w:val="center"/>
          </w:tcPr>
          <w:p w14:paraId="4E8A5228" w14:textId="77777777" w:rsidR="00DC3FA8" w:rsidRPr="00706824" w:rsidRDefault="00EF7634" w:rsidP="001A7DC4">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AAA50EB1DC2F4D36A8D357A7099FE7E2"/>
                </w:placeholder>
                <w:dropDownList>
                  <w:listItem w:value="Choose an item."/>
                  <w:listItem w:displayText="Presunta víctima" w:value="Presunta víctima"/>
                  <w:listItem w:displayText="Presuntas víctimas" w:value="Presuntas víctimas"/>
                </w:dropDownList>
              </w:sdtPr>
              <w:sdtEndPr/>
              <w:sdtContent>
                <w:r w:rsidR="00225855">
                  <w:rPr>
                    <w:rFonts w:ascii="Cambria" w:hAnsi="Cambria"/>
                    <w:b/>
                    <w:bCs/>
                    <w:color w:val="FFFFFF" w:themeColor="background1"/>
                    <w:sz w:val="20"/>
                    <w:szCs w:val="20"/>
                    <w:lang w:val="en"/>
                  </w:rPr>
                  <w:t>Alleged victim</w:t>
                </w:r>
              </w:sdtContent>
            </w:sdt>
            <w:r w:rsidR="00225855">
              <w:rPr>
                <w:rFonts w:ascii="Cambria" w:hAnsi="Cambria"/>
                <w:b/>
                <w:bCs/>
                <w:color w:val="FFFFFF" w:themeColor="background1"/>
                <w:sz w:val="20"/>
                <w:szCs w:val="20"/>
                <w:lang w:val="en"/>
              </w:rPr>
              <w:t>:</w:t>
            </w:r>
          </w:p>
        </w:tc>
        <w:tc>
          <w:tcPr>
            <w:tcW w:w="4680" w:type="dxa"/>
            <w:vAlign w:val="center"/>
          </w:tcPr>
          <w:p w14:paraId="2B7E9748" w14:textId="77777777" w:rsidR="00DC3FA8" w:rsidRPr="004C2312" w:rsidRDefault="00DC3FA8" w:rsidP="001A7DC4">
            <w:pPr>
              <w:jc w:val="both"/>
              <w:rPr>
                <w:rFonts w:ascii="Cambria" w:hAnsi="Cambria"/>
                <w:bCs/>
                <w:sz w:val="20"/>
                <w:szCs w:val="20"/>
              </w:rPr>
            </w:pPr>
            <w:r>
              <w:rPr>
                <w:rFonts w:ascii="Cambria" w:hAnsi="Cambria"/>
                <w:sz w:val="20"/>
                <w:szCs w:val="20"/>
                <w:lang w:val="en"/>
              </w:rPr>
              <w:t>Hebe Alicia López Osuna</w:t>
            </w:r>
          </w:p>
        </w:tc>
      </w:tr>
      <w:tr w:rsidR="00DC3FA8" w14:paraId="246E94A6" w14:textId="77777777" w:rsidTr="00DC3FA8">
        <w:tc>
          <w:tcPr>
            <w:tcW w:w="4680" w:type="dxa"/>
            <w:tcBorders>
              <w:top w:val="single" w:sz="6" w:space="0" w:color="auto"/>
              <w:bottom w:val="single" w:sz="6" w:space="0" w:color="auto"/>
            </w:tcBorders>
            <w:shd w:val="clear" w:color="auto" w:fill="67AE3C"/>
            <w:vAlign w:val="center"/>
          </w:tcPr>
          <w:p w14:paraId="394DF4A5" w14:textId="77777777" w:rsidR="00DC3FA8" w:rsidRPr="00706824" w:rsidRDefault="00DC3FA8" w:rsidP="001A7DC4">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State:</w:t>
            </w:r>
          </w:p>
        </w:tc>
        <w:tc>
          <w:tcPr>
            <w:tcW w:w="4680" w:type="dxa"/>
            <w:vAlign w:val="center"/>
          </w:tcPr>
          <w:p w14:paraId="7EAF4171" w14:textId="77777777" w:rsidR="00DC3FA8" w:rsidRPr="004B3C14" w:rsidRDefault="00DC3FA8" w:rsidP="001A7DC4">
            <w:pPr>
              <w:jc w:val="both"/>
              <w:rPr>
                <w:rFonts w:ascii="Cambria" w:hAnsi="Cambria"/>
                <w:bCs/>
                <w:sz w:val="20"/>
                <w:szCs w:val="20"/>
              </w:rPr>
            </w:pPr>
            <w:r>
              <w:rPr>
                <w:rFonts w:ascii="Cambria" w:hAnsi="Cambria"/>
                <w:sz w:val="20"/>
                <w:szCs w:val="20"/>
                <w:lang w:val="en"/>
              </w:rPr>
              <w:t>Argentina</w:t>
            </w:r>
          </w:p>
        </w:tc>
      </w:tr>
      <w:tr w:rsidR="00DC3FA8" w:rsidRPr="00225855" w14:paraId="6F254178" w14:textId="77777777" w:rsidTr="00DC3FA8">
        <w:tc>
          <w:tcPr>
            <w:tcW w:w="4680" w:type="dxa"/>
            <w:tcBorders>
              <w:top w:val="single" w:sz="6" w:space="0" w:color="auto"/>
              <w:bottom w:val="single" w:sz="6" w:space="0" w:color="auto"/>
            </w:tcBorders>
            <w:shd w:val="clear" w:color="auto" w:fill="67AE3C"/>
            <w:vAlign w:val="center"/>
          </w:tcPr>
          <w:p w14:paraId="41495CE0" w14:textId="77777777" w:rsidR="00DC3FA8" w:rsidRPr="00706824" w:rsidRDefault="00DC3FA8" w:rsidP="001A7DC4">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Rights invoked:</w:t>
            </w:r>
          </w:p>
        </w:tc>
        <w:tc>
          <w:tcPr>
            <w:tcW w:w="4680" w:type="dxa"/>
            <w:vAlign w:val="center"/>
          </w:tcPr>
          <w:p w14:paraId="367CDC89" w14:textId="77777777" w:rsidR="00DC3FA8" w:rsidRPr="002C4021" w:rsidRDefault="00DC3FA8" w:rsidP="001A7DC4">
            <w:pPr>
              <w:jc w:val="both"/>
              <w:rPr>
                <w:rFonts w:ascii="Cambria" w:hAnsi="Cambria"/>
                <w:bCs/>
                <w:sz w:val="20"/>
                <w:szCs w:val="20"/>
              </w:rPr>
            </w:pPr>
            <w:r>
              <w:rPr>
                <w:rFonts w:ascii="Cambria" w:hAnsi="Cambria"/>
                <w:sz w:val="20"/>
                <w:szCs w:val="20"/>
                <w:lang w:val="en"/>
              </w:rPr>
              <w:t>Articles 7 (personal liberty), 8 (fair trial), and 24 (equal protection) of the American Convention on Human Rights,</w:t>
            </w:r>
            <w:r>
              <w:rPr>
                <w:rStyle w:val="FootnoteReference"/>
                <w:rFonts w:ascii="Cambria" w:hAnsi="Cambria"/>
                <w:sz w:val="20"/>
                <w:szCs w:val="20"/>
                <w:lang w:val="en"/>
              </w:rPr>
              <w:footnoteReference w:id="2"/>
            </w:r>
            <w:r>
              <w:rPr>
                <w:rFonts w:ascii="Cambria" w:hAnsi="Cambria"/>
                <w:sz w:val="20"/>
                <w:szCs w:val="20"/>
                <w:lang w:val="en"/>
              </w:rPr>
              <w:t xml:space="preserve"> in conjunction with Article 1(1) (obligation to respect rights)</w:t>
            </w:r>
          </w:p>
        </w:tc>
      </w:tr>
    </w:tbl>
    <w:p w14:paraId="034D804C" w14:textId="77777777" w:rsidR="00DC3FA8" w:rsidRPr="00E4118C" w:rsidRDefault="00DC3FA8" w:rsidP="00DC3FA8">
      <w:pPr>
        <w:spacing w:before="240" w:after="240"/>
        <w:ind w:firstLine="720"/>
        <w:jc w:val="both"/>
        <w:rPr>
          <w:rFonts w:asciiTheme="majorHAnsi" w:hAnsiTheme="majorHAnsi"/>
          <w:b/>
          <w:bCs/>
          <w:sz w:val="20"/>
          <w:szCs w:val="20"/>
        </w:rPr>
      </w:pPr>
      <w:r>
        <w:rPr>
          <w:rFonts w:asciiTheme="majorHAnsi" w:hAnsiTheme="majorHAnsi"/>
          <w:b/>
          <w:bCs/>
          <w:sz w:val="20"/>
          <w:szCs w:val="20"/>
          <w:lang w:val="en"/>
        </w:rPr>
        <w:t>II.</w:t>
      </w:r>
      <w:r>
        <w:rPr>
          <w:rFonts w:asciiTheme="majorHAnsi" w:hAnsiTheme="majorHAnsi"/>
          <w:b/>
          <w:bCs/>
          <w:sz w:val="20"/>
          <w:szCs w:val="20"/>
          <w:lang w:val="en"/>
        </w:rPr>
        <w:tab/>
        <w:t>PROCESSING BY THE IACHR</w:t>
      </w:r>
      <w:r>
        <w:rPr>
          <w:rStyle w:val="FootnoteReference"/>
          <w:rFonts w:ascii="Cambria" w:hAnsi="Cambria"/>
          <w:b/>
          <w:bCs/>
          <w:sz w:val="20"/>
          <w:szCs w:val="20"/>
          <w:lang w:val="en"/>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DC3FA8" w:rsidRPr="00A94ED9" w14:paraId="4FBA3C48" w14:textId="77777777" w:rsidTr="00DC3FA8">
        <w:tc>
          <w:tcPr>
            <w:tcW w:w="4680" w:type="dxa"/>
            <w:tcBorders>
              <w:top w:val="single" w:sz="6" w:space="0" w:color="auto"/>
              <w:bottom w:val="single" w:sz="6" w:space="0" w:color="auto"/>
            </w:tcBorders>
            <w:shd w:val="clear" w:color="auto" w:fill="67AE3C"/>
            <w:vAlign w:val="center"/>
          </w:tcPr>
          <w:p w14:paraId="4F3FA612" w14:textId="77777777" w:rsidR="00DC3FA8" w:rsidRPr="003239B8" w:rsidRDefault="00DC3FA8" w:rsidP="001A7DC4">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Deadline for submitting the petition:</w:t>
            </w:r>
          </w:p>
        </w:tc>
        <w:tc>
          <w:tcPr>
            <w:tcW w:w="4680" w:type="dxa"/>
            <w:vAlign w:val="center"/>
          </w:tcPr>
          <w:p w14:paraId="57D2DECD" w14:textId="77777777" w:rsidR="00DC3FA8" w:rsidRPr="003239B8" w:rsidRDefault="00DC3FA8" w:rsidP="001A7DC4">
            <w:pPr>
              <w:jc w:val="both"/>
              <w:rPr>
                <w:rFonts w:ascii="Cambria" w:hAnsi="Cambria"/>
                <w:bCs/>
                <w:sz w:val="20"/>
                <w:szCs w:val="20"/>
              </w:rPr>
            </w:pPr>
            <w:r>
              <w:rPr>
                <w:rFonts w:ascii="Cambria" w:hAnsi="Cambria"/>
                <w:sz w:val="20"/>
                <w:szCs w:val="20"/>
                <w:lang w:val="en"/>
              </w:rPr>
              <w:t>April 2, 2008</w:t>
            </w:r>
          </w:p>
        </w:tc>
      </w:tr>
      <w:tr w:rsidR="00DC3FA8" w:rsidRPr="00225855" w14:paraId="398B6FE9" w14:textId="77777777" w:rsidTr="00DC3FA8">
        <w:tc>
          <w:tcPr>
            <w:tcW w:w="4680" w:type="dxa"/>
            <w:tcBorders>
              <w:top w:val="single" w:sz="6" w:space="0" w:color="auto"/>
              <w:bottom w:val="single" w:sz="6" w:space="0" w:color="auto"/>
            </w:tcBorders>
            <w:shd w:val="clear" w:color="auto" w:fill="67AE3C"/>
            <w:vAlign w:val="center"/>
          </w:tcPr>
          <w:p w14:paraId="36A77FE2" w14:textId="77777777" w:rsidR="00DC3FA8" w:rsidRPr="001E49E7" w:rsidRDefault="00DC3FA8" w:rsidP="001A7DC4">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Additional information received during the study phase:</w:t>
            </w:r>
          </w:p>
        </w:tc>
        <w:tc>
          <w:tcPr>
            <w:tcW w:w="4680" w:type="dxa"/>
            <w:vAlign w:val="center"/>
          </w:tcPr>
          <w:p w14:paraId="52E1BFE4" w14:textId="77777777" w:rsidR="00DC3FA8" w:rsidRPr="0029564C" w:rsidRDefault="00DC3FA8" w:rsidP="001A7DC4">
            <w:pPr>
              <w:rPr>
                <w:rFonts w:ascii="Cambria" w:hAnsi="Cambria"/>
                <w:bCs/>
                <w:color w:val="FFFFFF" w:themeColor="background1"/>
                <w:sz w:val="20"/>
                <w:szCs w:val="20"/>
              </w:rPr>
            </w:pPr>
            <w:r>
              <w:rPr>
                <w:rFonts w:ascii="Cambria" w:hAnsi="Cambria"/>
                <w:sz w:val="20"/>
                <w:szCs w:val="20"/>
                <w:lang w:val="en"/>
              </w:rPr>
              <w:t>August 11, 2008, January 13, 2009, and January 22, 2009</w:t>
            </w:r>
          </w:p>
        </w:tc>
      </w:tr>
      <w:tr w:rsidR="00DC3FA8" w:rsidRPr="00A94ED9" w14:paraId="3F9F503F" w14:textId="77777777" w:rsidTr="00DC3FA8">
        <w:tc>
          <w:tcPr>
            <w:tcW w:w="4680" w:type="dxa"/>
            <w:tcBorders>
              <w:top w:val="single" w:sz="6" w:space="0" w:color="auto"/>
              <w:bottom w:val="single" w:sz="6" w:space="0" w:color="auto"/>
            </w:tcBorders>
            <w:shd w:val="clear" w:color="auto" w:fill="67AE3C"/>
            <w:vAlign w:val="center"/>
          </w:tcPr>
          <w:p w14:paraId="35510E91" w14:textId="77777777" w:rsidR="00DC3FA8" w:rsidRPr="003239B8" w:rsidRDefault="00DC3FA8" w:rsidP="001A7DC4">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Date on which the State was notified of the petition:</w:t>
            </w:r>
          </w:p>
        </w:tc>
        <w:tc>
          <w:tcPr>
            <w:tcW w:w="4680" w:type="dxa"/>
            <w:vAlign w:val="center"/>
          </w:tcPr>
          <w:p w14:paraId="01A8B11D" w14:textId="77777777" w:rsidR="00DC3FA8" w:rsidRPr="003239B8" w:rsidRDefault="00DC3FA8" w:rsidP="001A7DC4">
            <w:pPr>
              <w:jc w:val="both"/>
              <w:rPr>
                <w:rFonts w:ascii="Cambria" w:hAnsi="Cambria"/>
                <w:bCs/>
                <w:sz w:val="20"/>
                <w:szCs w:val="20"/>
              </w:rPr>
            </w:pPr>
            <w:r>
              <w:rPr>
                <w:rFonts w:ascii="Cambria" w:hAnsi="Cambria"/>
                <w:sz w:val="20"/>
                <w:szCs w:val="20"/>
                <w:lang w:val="en"/>
              </w:rPr>
              <w:t>January 17, 2013</w:t>
            </w:r>
          </w:p>
        </w:tc>
      </w:tr>
      <w:tr w:rsidR="00DC3FA8" w:rsidRPr="00A94ED9" w14:paraId="13247527" w14:textId="77777777" w:rsidTr="00DC3FA8">
        <w:tc>
          <w:tcPr>
            <w:tcW w:w="4680" w:type="dxa"/>
            <w:tcBorders>
              <w:top w:val="single" w:sz="6" w:space="0" w:color="auto"/>
              <w:bottom w:val="single" w:sz="6" w:space="0" w:color="auto"/>
            </w:tcBorders>
            <w:shd w:val="clear" w:color="auto" w:fill="67AE3C"/>
            <w:vAlign w:val="center"/>
          </w:tcPr>
          <w:p w14:paraId="5DD648E4" w14:textId="77777777" w:rsidR="00DC3FA8" w:rsidRPr="003239B8" w:rsidRDefault="00DC3FA8" w:rsidP="001A7DC4">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Date of State’s initial response:</w:t>
            </w:r>
          </w:p>
        </w:tc>
        <w:tc>
          <w:tcPr>
            <w:tcW w:w="4680" w:type="dxa"/>
            <w:vAlign w:val="center"/>
          </w:tcPr>
          <w:p w14:paraId="00B74D7D" w14:textId="77777777" w:rsidR="00DC3FA8" w:rsidRPr="003239B8" w:rsidRDefault="00DC3FA8" w:rsidP="001A7DC4">
            <w:pPr>
              <w:jc w:val="both"/>
              <w:rPr>
                <w:rFonts w:ascii="Cambria" w:hAnsi="Cambria"/>
                <w:bCs/>
                <w:sz w:val="20"/>
                <w:szCs w:val="20"/>
              </w:rPr>
            </w:pPr>
            <w:r>
              <w:rPr>
                <w:rFonts w:ascii="Cambria" w:hAnsi="Cambria"/>
                <w:sz w:val="20"/>
                <w:szCs w:val="20"/>
                <w:lang w:val="en"/>
              </w:rPr>
              <w:t>June 25, 2013</w:t>
            </w:r>
          </w:p>
        </w:tc>
      </w:tr>
      <w:tr w:rsidR="00DC3FA8" w:rsidRPr="00225855" w14:paraId="34A24B1C" w14:textId="77777777" w:rsidTr="00C6376A">
        <w:tc>
          <w:tcPr>
            <w:tcW w:w="4680" w:type="dxa"/>
            <w:tcBorders>
              <w:top w:val="single" w:sz="6" w:space="0" w:color="auto"/>
              <w:bottom w:val="single" w:sz="6" w:space="0" w:color="auto"/>
            </w:tcBorders>
            <w:shd w:val="clear" w:color="auto" w:fill="67AE3C"/>
            <w:vAlign w:val="center"/>
          </w:tcPr>
          <w:p w14:paraId="78AF0A3E" w14:textId="77777777" w:rsidR="00DC3FA8" w:rsidRPr="003239B8" w:rsidRDefault="00DC3FA8" w:rsidP="001A7DC4">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Additional observations of the petitioner:</w:t>
            </w:r>
          </w:p>
        </w:tc>
        <w:tc>
          <w:tcPr>
            <w:tcW w:w="4680" w:type="dxa"/>
            <w:vAlign w:val="center"/>
          </w:tcPr>
          <w:p w14:paraId="6E28F740" w14:textId="77777777" w:rsidR="00DC3FA8" w:rsidRPr="003239B8" w:rsidRDefault="00DC3FA8" w:rsidP="001A7DC4">
            <w:pPr>
              <w:jc w:val="both"/>
              <w:rPr>
                <w:rFonts w:ascii="Cambria" w:hAnsi="Cambria"/>
                <w:bCs/>
                <w:sz w:val="20"/>
                <w:szCs w:val="20"/>
              </w:rPr>
            </w:pPr>
            <w:r>
              <w:rPr>
                <w:rFonts w:ascii="Cambria" w:hAnsi="Cambria"/>
                <w:sz w:val="20"/>
                <w:szCs w:val="20"/>
                <w:lang w:val="en"/>
              </w:rPr>
              <w:t>October 7, 2013, August 22, 2014, October 28, 2015, and October 3, 2016</w:t>
            </w:r>
          </w:p>
        </w:tc>
      </w:tr>
      <w:tr w:rsidR="00DC3FA8" w:rsidRPr="00225855" w14:paraId="3E6F2DE3" w14:textId="77777777" w:rsidTr="00C6376A">
        <w:tc>
          <w:tcPr>
            <w:tcW w:w="4680" w:type="dxa"/>
            <w:tcBorders>
              <w:top w:val="single" w:sz="6" w:space="0" w:color="auto"/>
              <w:bottom w:val="single" w:sz="4" w:space="0" w:color="auto"/>
            </w:tcBorders>
            <w:shd w:val="clear" w:color="auto" w:fill="6BA42C"/>
            <w:vAlign w:val="center"/>
          </w:tcPr>
          <w:p w14:paraId="51284A90" w14:textId="77777777" w:rsidR="00DC3FA8" w:rsidRPr="00C6376A" w:rsidRDefault="00DC3FA8" w:rsidP="001A7DC4">
            <w:pPr>
              <w:jc w:val="center"/>
              <w:rPr>
                <w:rFonts w:ascii="Cambria" w:hAnsi="Cambria"/>
                <w:b/>
                <w:bCs/>
                <w:color w:val="FFFFFF" w:themeColor="background1"/>
                <w:sz w:val="20"/>
                <w:szCs w:val="20"/>
                <w:lang w:val="en"/>
              </w:rPr>
            </w:pPr>
            <w:r w:rsidRPr="00C6376A">
              <w:rPr>
                <w:rFonts w:ascii="Cambria" w:hAnsi="Cambria"/>
                <w:b/>
                <w:bCs/>
                <w:color w:val="FFFFFF" w:themeColor="background1"/>
                <w:sz w:val="20"/>
                <w:szCs w:val="20"/>
                <w:lang w:val="en"/>
              </w:rPr>
              <w:t>Additional observations of the State:</w:t>
            </w:r>
          </w:p>
        </w:tc>
        <w:tc>
          <w:tcPr>
            <w:tcW w:w="4680" w:type="dxa"/>
            <w:vAlign w:val="center"/>
          </w:tcPr>
          <w:p w14:paraId="11C1448A" w14:textId="77777777" w:rsidR="00DC3FA8" w:rsidRPr="00F43CD8" w:rsidRDefault="00DC3FA8" w:rsidP="001A7DC4">
            <w:pPr>
              <w:jc w:val="both"/>
              <w:rPr>
                <w:rFonts w:ascii="Cambria" w:hAnsi="Cambria"/>
                <w:bCs/>
                <w:sz w:val="20"/>
                <w:szCs w:val="20"/>
              </w:rPr>
            </w:pPr>
            <w:r>
              <w:rPr>
                <w:rFonts w:ascii="Cambria" w:hAnsi="Cambria"/>
                <w:sz w:val="20"/>
                <w:szCs w:val="20"/>
                <w:lang w:val="en"/>
              </w:rPr>
              <w:t>February 12, 2015 and July 28, 2017</w:t>
            </w:r>
          </w:p>
        </w:tc>
      </w:tr>
    </w:tbl>
    <w:p w14:paraId="4A402971" w14:textId="77777777" w:rsidR="00DC3FA8" w:rsidRPr="003239B8" w:rsidRDefault="00DC3FA8" w:rsidP="00DC3FA8">
      <w:pPr>
        <w:spacing w:before="240" w:after="240"/>
        <w:ind w:firstLine="720"/>
        <w:jc w:val="both"/>
        <w:rPr>
          <w:rFonts w:asciiTheme="majorHAnsi" w:hAnsiTheme="majorHAnsi"/>
          <w:b/>
          <w:bCs/>
          <w:sz w:val="20"/>
          <w:szCs w:val="20"/>
        </w:rPr>
      </w:pPr>
      <w:r>
        <w:rPr>
          <w:rFonts w:asciiTheme="majorHAnsi" w:hAnsiTheme="majorHAnsi"/>
          <w:b/>
          <w:bCs/>
          <w:sz w:val="20"/>
          <w:szCs w:val="20"/>
          <w:lang w:val="en"/>
        </w:rPr>
        <w:t xml:space="preserve">III. </w:t>
      </w:r>
      <w:r>
        <w:rPr>
          <w:rFonts w:asciiTheme="majorHAnsi" w:hAnsiTheme="majorHAnsi"/>
          <w:sz w:val="20"/>
          <w:szCs w:val="20"/>
          <w:lang w:val="en"/>
        </w:rPr>
        <w:tab/>
      </w:r>
      <w:r>
        <w:rPr>
          <w:rFonts w:asciiTheme="majorHAnsi" w:hAnsiTheme="majorHAnsi"/>
          <w:b/>
          <w:bCs/>
          <w:sz w:val="20"/>
          <w:szCs w:val="20"/>
          <w:lang w:val="en"/>
        </w:rPr>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DC3FA8" w:rsidRPr="00540F17" w14:paraId="4FC74A9C" w14:textId="77777777" w:rsidTr="00DC3FA8">
        <w:trPr>
          <w:cantSplit/>
        </w:trPr>
        <w:tc>
          <w:tcPr>
            <w:tcW w:w="4680" w:type="dxa"/>
            <w:tcBorders>
              <w:top w:val="single" w:sz="4" w:space="0" w:color="auto"/>
              <w:bottom w:val="single" w:sz="6" w:space="0" w:color="auto"/>
            </w:tcBorders>
            <w:shd w:val="clear" w:color="auto" w:fill="67AE3C"/>
            <w:vAlign w:val="center"/>
          </w:tcPr>
          <w:p w14:paraId="1A82B4F0" w14:textId="77777777" w:rsidR="00DC3FA8" w:rsidRPr="00496195" w:rsidRDefault="00DC3FA8" w:rsidP="001A7DC4">
            <w:pPr>
              <w:jc w:val="center"/>
              <w:rPr>
                <w:rFonts w:ascii="Cambria" w:hAnsi="Cambria"/>
                <w:b/>
                <w:bCs/>
                <w:i/>
                <w:color w:val="FFFFFF" w:themeColor="background1"/>
                <w:sz w:val="20"/>
                <w:szCs w:val="20"/>
              </w:rPr>
            </w:pPr>
            <w:r>
              <w:rPr>
                <w:rFonts w:ascii="Cambria" w:hAnsi="Cambria"/>
                <w:b/>
                <w:bCs/>
                <w:i/>
                <w:iCs/>
                <w:color w:val="FFFFFF" w:themeColor="background1"/>
                <w:sz w:val="20"/>
                <w:szCs w:val="20"/>
                <w:lang w:val="en"/>
              </w:rPr>
              <w:t xml:space="preserve">Ratione personae </w:t>
            </w:r>
            <w:r>
              <w:rPr>
                <w:rFonts w:ascii="Cambria" w:hAnsi="Cambria"/>
                <w:b/>
                <w:bCs/>
                <w:color w:val="FFFFFF" w:themeColor="background1"/>
                <w:sz w:val="20"/>
                <w:szCs w:val="20"/>
                <w:lang w:val="en"/>
              </w:rPr>
              <w:t>competence:</w:t>
            </w:r>
          </w:p>
        </w:tc>
        <w:tc>
          <w:tcPr>
            <w:tcW w:w="4680" w:type="dxa"/>
            <w:vAlign w:val="center"/>
          </w:tcPr>
          <w:p w14:paraId="23640958" w14:textId="77777777" w:rsidR="00DC3FA8" w:rsidRPr="004B3C14" w:rsidRDefault="00DC3FA8" w:rsidP="001A7DC4">
            <w:pPr>
              <w:rPr>
                <w:rFonts w:ascii="Cambria" w:hAnsi="Cambria"/>
                <w:bCs/>
                <w:sz w:val="20"/>
                <w:szCs w:val="20"/>
              </w:rPr>
            </w:pPr>
            <w:r>
              <w:rPr>
                <w:rFonts w:ascii="Cambria" w:hAnsi="Cambria"/>
                <w:sz w:val="20"/>
                <w:szCs w:val="20"/>
                <w:lang w:val="en"/>
              </w:rPr>
              <w:t>Yes</w:t>
            </w:r>
          </w:p>
        </w:tc>
      </w:tr>
      <w:tr w:rsidR="00DC3FA8" w:rsidRPr="00540F17" w14:paraId="0A8EF24B" w14:textId="77777777" w:rsidTr="00DC3FA8">
        <w:trPr>
          <w:cantSplit/>
        </w:trPr>
        <w:tc>
          <w:tcPr>
            <w:tcW w:w="4680" w:type="dxa"/>
            <w:tcBorders>
              <w:top w:val="single" w:sz="6" w:space="0" w:color="auto"/>
              <w:bottom w:val="single" w:sz="6" w:space="0" w:color="auto"/>
            </w:tcBorders>
            <w:shd w:val="clear" w:color="auto" w:fill="67AE3C"/>
            <w:vAlign w:val="center"/>
          </w:tcPr>
          <w:p w14:paraId="2B86341D" w14:textId="77777777" w:rsidR="00DC3FA8" w:rsidRPr="00706824" w:rsidRDefault="00DC3FA8" w:rsidP="001A7DC4">
            <w:pPr>
              <w:jc w:val="center"/>
              <w:rPr>
                <w:rFonts w:ascii="Cambria" w:hAnsi="Cambria"/>
                <w:b/>
                <w:bCs/>
                <w:color w:val="FFFFFF" w:themeColor="background1"/>
                <w:sz w:val="20"/>
                <w:szCs w:val="20"/>
              </w:rPr>
            </w:pPr>
            <w:r>
              <w:rPr>
                <w:rFonts w:ascii="Cambria" w:hAnsi="Cambria"/>
                <w:b/>
                <w:bCs/>
                <w:i/>
                <w:iCs/>
                <w:color w:val="FFFFFF" w:themeColor="background1"/>
                <w:sz w:val="20"/>
                <w:szCs w:val="20"/>
                <w:lang w:val="en"/>
              </w:rPr>
              <w:t xml:space="preserve">Ratione loci </w:t>
            </w:r>
            <w:r>
              <w:rPr>
                <w:rFonts w:ascii="Cambria" w:hAnsi="Cambria"/>
                <w:b/>
                <w:bCs/>
                <w:color w:val="FFFFFF" w:themeColor="background1"/>
                <w:sz w:val="20"/>
                <w:szCs w:val="20"/>
                <w:lang w:val="en"/>
              </w:rPr>
              <w:t>competence:</w:t>
            </w:r>
          </w:p>
        </w:tc>
        <w:tc>
          <w:tcPr>
            <w:tcW w:w="4680" w:type="dxa"/>
            <w:vAlign w:val="center"/>
          </w:tcPr>
          <w:p w14:paraId="568A1686" w14:textId="77777777" w:rsidR="00DC3FA8" w:rsidRPr="004B3C14" w:rsidRDefault="00DC3FA8" w:rsidP="001A7DC4">
            <w:pPr>
              <w:rPr>
                <w:rFonts w:ascii="Cambria" w:hAnsi="Cambria"/>
                <w:bCs/>
                <w:sz w:val="20"/>
                <w:szCs w:val="20"/>
              </w:rPr>
            </w:pPr>
            <w:r>
              <w:rPr>
                <w:rFonts w:ascii="Cambria" w:hAnsi="Cambria"/>
                <w:sz w:val="20"/>
                <w:szCs w:val="20"/>
                <w:lang w:val="en"/>
              </w:rPr>
              <w:t>Yes</w:t>
            </w:r>
          </w:p>
        </w:tc>
      </w:tr>
      <w:tr w:rsidR="00DC3FA8" w:rsidRPr="00540F17" w14:paraId="5F52E1CF" w14:textId="77777777" w:rsidTr="00DC3FA8">
        <w:trPr>
          <w:cantSplit/>
        </w:trPr>
        <w:tc>
          <w:tcPr>
            <w:tcW w:w="4680" w:type="dxa"/>
            <w:tcBorders>
              <w:top w:val="single" w:sz="6" w:space="0" w:color="auto"/>
              <w:bottom w:val="single" w:sz="6" w:space="0" w:color="auto"/>
            </w:tcBorders>
            <w:shd w:val="clear" w:color="auto" w:fill="67AE3C"/>
            <w:vAlign w:val="center"/>
          </w:tcPr>
          <w:p w14:paraId="28F1D208" w14:textId="77777777" w:rsidR="00DC3FA8" w:rsidRPr="00706824" w:rsidRDefault="00DC3FA8" w:rsidP="001A7DC4">
            <w:pPr>
              <w:jc w:val="center"/>
              <w:rPr>
                <w:rFonts w:ascii="Cambria" w:hAnsi="Cambria"/>
                <w:b/>
                <w:bCs/>
                <w:color w:val="FFFFFF" w:themeColor="background1"/>
                <w:sz w:val="20"/>
                <w:szCs w:val="20"/>
              </w:rPr>
            </w:pPr>
            <w:r>
              <w:rPr>
                <w:rFonts w:ascii="Cambria" w:hAnsi="Cambria"/>
                <w:b/>
                <w:bCs/>
                <w:i/>
                <w:iCs/>
                <w:color w:val="FFFFFF" w:themeColor="background1"/>
                <w:sz w:val="20"/>
                <w:szCs w:val="20"/>
                <w:lang w:val="en"/>
              </w:rPr>
              <w:t xml:space="preserve">Ratione temporis </w:t>
            </w:r>
            <w:r>
              <w:rPr>
                <w:rFonts w:ascii="Cambria" w:hAnsi="Cambria"/>
                <w:b/>
                <w:bCs/>
                <w:color w:val="FFFFFF" w:themeColor="background1"/>
                <w:sz w:val="20"/>
                <w:szCs w:val="20"/>
                <w:lang w:val="en"/>
              </w:rPr>
              <w:t>competence:</w:t>
            </w:r>
          </w:p>
        </w:tc>
        <w:tc>
          <w:tcPr>
            <w:tcW w:w="4680" w:type="dxa"/>
            <w:vAlign w:val="center"/>
          </w:tcPr>
          <w:p w14:paraId="60134BE1" w14:textId="77777777" w:rsidR="00DC3FA8" w:rsidRPr="00153E77" w:rsidRDefault="00DC3FA8" w:rsidP="001A7DC4">
            <w:pPr>
              <w:rPr>
                <w:bCs/>
                <w:sz w:val="20"/>
                <w:szCs w:val="20"/>
              </w:rPr>
            </w:pPr>
            <w:r>
              <w:rPr>
                <w:sz w:val="20"/>
                <w:szCs w:val="20"/>
                <w:lang w:val="en"/>
              </w:rPr>
              <w:t>Yes</w:t>
            </w:r>
          </w:p>
        </w:tc>
      </w:tr>
      <w:tr w:rsidR="00DC3FA8" w:rsidRPr="00225855" w14:paraId="364AFD21" w14:textId="77777777" w:rsidTr="00DC3FA8">
        <w:trPr>
          <w:cantSplit/>
        </w:trPr>
        <w:tc>
          <w:tcPr>
            <w:tcW w:w="4680" w:type="dxa"/>
            <w:tcBorders>
              <w:top w:val="single" w:sz="6" w:space="0" w:color="auto"/>
              <w:bottom w:val="single" w:sz="6" w:space="0" w:color="auto"/>
            </w:tcBorders>
            <w:shd w:val="clear" w:color="auto" w:fill="67AE3C"/>
            <w:vAlign w:val="center"/>
          </w:tcPr>
          <w:p w14:paraId="09ADB1B2" w14:textId="77777777" w:rsidR="00DC3FA8" w:rsidRPr="00706824" w:rsidRDefault="00DC3FA8" w:rsidP="001A7DC4">
            <w:pPr>
              <w:jc w:val="center"/>
              <w:rPr>
                <w:rFonts w:ascii="Cambria" w:hAnsi="Cambria"/>
                <w:b/>
                <w:bCs/>
                <w:color w:val="FFFFFF" w:themeColor="background1"/>
                <w:sz w:val="20"/>
                <w:szCs w:val="20"/>
              </w:rPr>
            </w:pPr>
            <w:r>
              <w:rPr>
                <w:rFonts w:ascii="Cambria" w:hAnsi="Cambria"/>
                <w:b/>
                <w:bCs/>
                <w:i/>
                <w:iCs/>
                <w:color w:val="FFFFFF" w:themeColor="background1"/>
                <w:sz w:val="20"/>
                <w:szCs w:val="20"/>
                <w:lang w:val="en"/>
              </w:rPr>
              <w:t xml:space="preserve">Ratione materiae </w:t>
            </w:r>
            <w:r>
              <w:rPr>
                <w:rFonts w:ascii="Cambria" w:hAnsi="Cambria"/>
                <w:b/>
                <w:bCs/>
                <w:color w:val="FFFFFF" w:themeColor="background1"/>
                <w:sz w:val="20"/>
                <w:szCs w:val="20"/>
                <w:lang w:val="en"/>
              </w:rPr>
              <w:t>competence:</w:t>
            </w:r>
          </w:p>
        </w:tc>
        <w:tc>
          <w:tcPr>
            <w:tcW w:w="4680" w:type="dxa"/>
            <w:vAlign w:val="center"/>
          </w:tcPr>
          <w:p w14:paraId="6786B7ED" w14:textId="77777777" w:rsidR="00DC3FA8" w:rsidRPr="004C2312" w:rsidRDefault="00DC3FA8" w:rsidP="001A7DC4">
            <w:pPr>
              <w:jc w:val="both"/>
              <w:rPr>
                <w:rFonts w:ascii="Cambria" w:hAnsi="Cambria"/>
                <w:bCs/>
                <w:sz w:val="20"/>
                <w:szCs w:val="20"/>
              </w:rPr>
            </w:pPr>
            <w:r>
              <w:rPr>
                <w:rFonts w:ascii="Cambria" w:hAnsi="Cambria"/>
                <w:sz w:val="20"/>
                <w:szCs w:val="20"/>
                <w:lang w:val="en"/>
              </w:rPr>
              <w:t>Yes, American Convention on Human Rights (ratification instrument deposited on September 5, 1984)</w:t>
            </w:r>
          </w:p>
        </w:tc>
      </w:tr>
    </w:tbl>
    <w:p w14:paraId="75DDA264" w14:textId="77777777" w:rsidR="00DC3FA8" w:rsidRPr="003239B8" w:rsidRDefault="00DC3FA8" w:rsidP="00DC3FA8">
      <w:pPr>
        <w:spacing w:before="240" w:after="240"/>
        <w:ind w:firstLine="720"/>
        <w:jc w:val="both"/>
        <w:rPr>
          <w:rFonts w:asciiTheme="majorHAnsi" w:hAnsiTheme="majorHAnsi"/>
          <w:b/>
          <w:bCs/>
          <w:sz w:val="20"/>
          <w:szCs w:val="20"/>
        </w:rPr>
      </w:pPr>
      <w:r>
        <w:rPr>
          <w:rFonts w:asciiTheme="majorHAnsi" w:hAnsiTheme="majorHAnsi"/>
          <w:b/>
          <w:bCs/>
          <w:sz w:val="20"/>
          <w:szCs w:val="20"/>
          <w:lang w:val="en"/>
        </w:rPr>
        <w:t xml:space="preserve">IV. </w:t>
      </w:r>
      <w:r>
        <w:rPr>
          <w:rFonts w:asciiTheme="majorHAnsi" w:hAnsiTheme="majorHAnsi"/>
          <w:sz w:val="20"/>
          <w:szCs w:val="20"/>
          <w:lang w:val="en"/>
        </w:rPr>
        <w:tab/>
      </w:r>
      <w:r>
        <w:rPr>
          <w:rFonts w:asciiTheme="majorHAnsi" w:hAnsiTheme="majorHAnsi"/>
          <w:b/>
          <w:bCs/>
          <w:sz w:val="20"/>
          <w:szCs w:val="20"/>
          <w:lang w:val="en"/>
        </w:rPr>
        <w:t>ANALYSIS OF DUPLICATION</w:t>
      </w:r>
      <w:r>
        <w:rPr>
          <w:rFonts w:asciiTheme="majorHAnsi" w:hAnsiTheme="majorHAnsi"/>
          <w:b/>
          <w:bCs/>
          <w:color w:val="FFFFFF" w:themeColor="background1"/>
          <w:sz w:val="20"/>
          <w:szCs w:val="20"/>
          <w:lang w:val="en"/>
        </w:rPr>
        <w:t xml:space="preserve"> </w:t>
      </w:r>
      <w:r>
        <w:rPr>
          <w:rFonts w:asciiTheme="majorHAnsi" w:hAnsiTheme="majorHAnsi"/>
          <w:b/>
          <w:bCs/>
          <w:sz w:val="20"/>
          <w:szCs w:val="20"/>
          <w:lang w:val="en"/>
        </w:rPr>
        <w:t xml:space="preserve">OF PROCEEDINGS AND INTERNATIONAL </w:t>
      </w:r>
      <w:r>
        <w:rPr>
          <w:rFonts w:asciiTheme="majorHAnsi" w:hAnsiTheme="majorHAnsi"/>
          <w:b/>
          <w:bCs/>
          <w:i/>
          <w:iCs/>
          <w:sz w:val="20"/>
          <w:szCs w:val="20"/>
          <w:lang w:val="en"/>
        </w:rPr>
        <w:t>RES JUDICATA</w:t>
      </w:r>
      <w:r>
        <w:rPr>
          <w:rFonts w:asciiTheme="majorHAnsi" w:hAnsiTheme="majorHAnsi"/>
          <w:b/>
          <w:bCs/>
          <w:sz w:val="20"/>
          <w:szCs w:val="20"/>
          <w:lang w:val="en"/>
        </w:rPr>
        <w:t>, COLORABLE CLAIM, EXHAUSTION OF LOCAL REMEDIES, AND TIMELINESS</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DC3FA8" w:rsidRPr="00A94ED9" w14:paraId="282E51DD" w14:textId="77777777" w:rsidTr="00DC3FA8">
        <w:trPr>
          <w:cantSplit/>
        </w:trPr>
        <w:tc>
          <w:tcPr>
            <w:tcW w:w="4680" w:type="dxa"/>
            <w:tcBorders>
              <w:top w:val="single" w:sz="4" w:space="0" w:color="auto"/>
              <w:bottom w:val="single" w:sz="6" w:space="0" w:color="auto"/>
            </w:tcBorders>
            <w:shd w:val="clear" w:color="auto" w:fill="67AE3C"/>
            <w:vAlign w:val="center"/>
          </w:tcPr>
          <w:p w14:paraId="52ABDA80" w14:textId="77777777" w:rsidR="00DC3FA8" w:rsidRPr="00EE00E9" w:rsidRDefault="00DC3FA8" w:rsidP="001A7DC4">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 xml:space="preserve">Duplication of proceedings and international </w:t>
            </w:r>
            <w:r>
              <w:rPr>
                <w:rFonts w:ascii="Cambria" w:hAnsi="Cambria"/>
                <w:b/>
                <w:bCs/>
                <w:i/>
                <w:iCs/>
                <w:color w:val="FFFFFF" w:themeColor="background1"/>
                <w:sz w:val="20"/>
                <w:szCs w:val="20"/>
                <w:lang w:val="en"/>
              </w:rPr>
              <w:t>res judicata</w:t>
            </w:r>
            <w:r>
              <w:rPr>
                <w:rFonts w:ascii="Cambria" w:hAnsi="Cambria"/>
                <w:b/>
                <w:bCs/>
                <w:color w:val="FFFFFF" w:themeColor="background1"/>
                <w:sz w:val="20"/>
                <w:szCs w:val="20"/>
                <w:lang w:val="en"/>
              </w:rPr>
              <w:t>:</w:t>
            </w:r>
          </w:p>
        </w:tc>
        <w:tc>
          <w:tcPr>
            <w:tcW w:w="4680" w:type="dxa"/>
            <w:vAlign w:val="center"/>
          </w:tcPr>
          <w:p w14:paraId="25EA4A3A" w14:textId="77777777" w:rsidR="00DC3FA8" w:rsidRPr="00EE00E9" w:rsidRDefault="00DC3FA8" w:rsidP="001A7DC4">
            <w:pPr>
              <w:jc w:val="both"/>
              <w:rPr>
                <w:rFonts w:ascii="Cambria" w:hAnsi="Cambria"/>
                <w:bCs/>
                <w:sz w:val="20"/>
                <w:szCs w:val="20"/>
              </w:rPr>
            </w:pPr>
            <w:r>
              <w:rPr>
                <w:rFonts w:ascii="Cambria" w:hAnsi="Cambria"/>
                <w:sz w:val="20"/>
                <w:szCs w:val="20"/>
                <w:lang w:val="en"/>
              </w:rPr>
              <w:t>No</w:t>
            </w:r>
          </w:p>
        </w:tc>
      </w:tr>
      <w:tr w:rsidR="00DC3FA8" w:rsidRPr="00225855" w14:paraId="6D994AF3" w14:textId="77777777" w:rsidTr="00DC3FA8">
        <w:trPr>
          <w:cantSplit/>
        </w:trPr>
        <w:tc>
          <w:tcPr>
            <w:tcW w:w="4680" w:type="dxa"/>
            <w:tcBorders>
              <w:top w:val="single" w:sz="4" w:space="0" w:color="auto"/>
              <w:bottom w:val="single" w:sz="6" w:space="0" w:color="auto"/>
            </w:tcBorders>
            <w:shd w:val="clear" w:color="auto" w:fill="67AE3C"/>
            <w:vAlign w:val="center"/>
          </w:tcPr>
          <w:p w14:paraId="14074702" w14:textId="77777777" w:rsidR="00DC3FA8" w:rsidRPr="00496195" w:rsidRDefault="00DC3FA8" w:rsidP="001A7DC4">
            <w:pPr>
              <w:jc w:val="center"/>
              <w:rPr>
                <w:rFonts w:ascii="Cambria" w:hAnsi="Cambria"/>
                <w:b/>
                <w:bCs/>
                <w:i/>
                <w:color w:val="FFFFFF" w:themeColor="background1"/>
                <w:sz w:val="20"/>
                <w:szCs w:val="20"/>
              </w:rPr>
            </w:pPr>
            <w:r>
              <w:rPr>
                <w:rFonts w:ascii="Cambria" w:hAnsi="Cambria"/>
                <w:b/>
                <w:bCs/>
                <w:color w:val="FFFFFF" w:themeColor="background1"/>
                <w:sz w:val="20"/>
                <w:szCs w:val="20"/>
                <w:lang w:val="en"/>
              </w:rPr>
              <w:lastRenderedPageBreak/>
              <w:t>Rights declared admissible:</w:t>
            </w:r>
          </w:p>
        </w:tc>
        <w:tc>
          <w:tcPr>
            <w:tcW w:w="4680" w:type="dxa"/>
            <w:vAlign w:val="center"/>
          </w:tcPr>
          <w:p w14:paraId="763BC248" w14:textId="5AD6328C" w:rsidR="00DC3FA8" w:rsidRPr="00A02D76" w:rsidRDefault="00DC3FA8" w:rsidP="001A7DC4">
            <w:pPr>
              <w:jc w:val="both"/>
              <w:rPr>
                <w:rFonts w:ascii="Cambria" w:hAnsi="Cambria"/>
                <w:bCs/>
                <w:sz w:val="20"/>
                <w:szCs w:val="20"/>
              </w:rPr>
            </w:pPr>
            <w:r>
              <w:rPr>
                <w:rFonts w:ascii="Cambria" w:hAnsi="Cambria"/>
                <w:sz w:val="20"/>
                <w:szCs w:val="20"/>
                <w:lang w:val="en"/>
              </w:rPr>
              <w:t xml:space="preserve">Articles 7 (right to personal liberty), 8 (fair trial), </w:t>
            </w:r>
            <w:r w:rsidR="004C3654">
              <w:rPr>
                <w:rFonts w:ascii="Cambria" w:hAnsi="Cambria"/>
                <w:sz w:val="20"/>
                <w:szCs w:val="20"/>
                <w:lang w:val="en"/>
              </w:rPr>
              <w:t xml:space="preserve">24 (equal protection) </w:t>
            </w:r>
            <w:r>
              <w:rPr>
                <w:rFonts w:ascii="Cambria" w:hAnsi="Cambria"/>
                <w:sz w:val="20"/>
                <w:szCs w:val="20"/>
                <w:lang w:val="en"/>
              </w:rPr>
              <w:t xml:space="preserve">and 25 (judicial protection) of the ACHR, in conjunction with Article 1(1) (obligation to respect rights) and 2 (domestic legal effects) of the Convention.  </w:t>
            </w:r>
          </w:p>
        </w:tc>
      </w:tr>
      <w:tr w:rsidR="00DC3FA8" w:rsidRPr="00225855" w14:paraId="6FEC4D00" w14:textId="77777777" w:rsidTr="00DC3FA8">
        <w:trPr>
          <w:cantSplit/>
        </w:trPr>
        <w:tc>
          <w:tcPr>
            <w:tcW w:w="4680" w:type="dxa"/>
            <w:tcBorders>
              <w:top w:val="single" w:sz="6" w:space="0" w:color="auto"/>
              <w:bottom w:val="single" w:sz="6" w:space="0" w:color="auto"/>
            </w:tcBorders>
            <w:shd w:val="clear" w:color="auto" w:fill="67AE3C"/>
            <w:vAlign w:val="center"/>
          </w:tcPr>
          <w:p w14:paraId="2CDD43CA" w14:textId="77777777" w:rsidR="00DC3FA8" w:rsidRPr="00EE00E9" w:rsidRDefault="00DC3FA8" w:rsidP="001A7DC4">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Exhaustion of domestic remedies or admissibility of an objection:</w:t>
            </w:r>
          </w:p>
        </w:tc>
        <w:tc>
          <w:tcPr>
            <w:tcW w:w="4680" w:type="dxa"/>
            <w:vAlign w:val="center"/>
          </w:tcPr>
          <w:p w14:paraId="3F7E6B6F" w14:textId="77777777" w:rsidR="00DC3FA8" w:rsidRPr="00EE00E9" w:rsidRDefault="00DC3FA8" w:rsidP="001A7DC4">
            <w:pPr>
              <w:rPr>
                <w:rFonts w:ascii="Cambria" w:hAnsi="Cambria"/>
                <w:bCs/>
                <w:sz w:val="20"/>
                <w:szCs w:val="20"/>
              </w:rPr>
            </w:pPr>
            <w:r>
              <w:rPr>
                <w:rFonts w:ascii="Cambria" w:hAnsi="Cambria"/>
                <w:sz w:val="20"/>
                <w:szCs w:val="20"/>
                <w:lang w:val="en"/>
              </w:rPr>
              <w:t>Yes, October 4, 2007</w:t>
            </w:r>
          </w:p>
        </w:tc>
      </w:tr>
      <w:tr w:rsidR="00DC3FA8" w:rsidRPr="00225855" w14:paraId="594D7CF8" w14:textId="77777777" w:rsidTr="00DC3FA8">
        <w:trPr>
          <w:cantSplit/>
        </w:trPr>
        <w:tc>
          <w:tcPr>
            <w:tcW w:w="4680" w:type="dxa"/>
            <w:tcBorders>
              <w:top w:val="single" w:sz="6" w:space="0" w:color="auto"/>
              <w:bottom w:val="single" w:sz="6" w:space="0" w:color="auto"/>
            </w:tcBorders>
            <w:shd w:val="clear" w:color="auto" w:fill="67AE3C"/>
            <w:vAlign w:val="center"/>
          </w:tcPr>
          <w:p w14:paraId="5752E45F" w14:textId="77777777" w:rsidR="00DC3FA8" w:rsidRPr="00706824" w:rsidRDefault="00DC3FA8" w:rsidP="001A7DC4">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Timely submission:</w:t>
            </w:r>
          </w:p>
        </w:tc>
        <w:tc>
          <w:tcPr>
            <w:tcW w:w="4680" w:type="dxa"/>
            <w:vAlign w:val="center"/>
          </w:tcPr>
          <w:p w14:paraId="220FF598" w14:textId="77777777" w:rsidR="00DC3FA8" w:rsidRPr="00374C95" w:rsidRDefault="00DC3FA8" w:rsidP="001A7DC4">
            <w:pPr>
              <w:rPr>
                <w:bCs/>
                <w:sz w:val="20"/>
                <w:szCs w:val="20"/>
              </w:rPr>
            </w:pPr>
            <w:r>
              <w:rPr>
                <w:sz w:val="20"/>
                <w:szCs w:val="20"/>
                <w:lang w:val="en"/>
              </w:rPr>
              <w:t>Yes, April 2, 2008</w:t>
            </w:r>
          </w:p>
        </w:tc>
      </w:tr>
    </w:tbl>
    <w:p w14:paraId="0CC00B24" w14:textId="77777777" w:rsidR="00DC3FA8" w:rsidRPr="00EA1CE1" w:rsidRDefault="00DC3FA8" w:rsidP="00DC3FA8">
      <w:pPr>
        <w:spacing w:before="240" w:after="240"/>
        <w:ind w:firstLine="720"/>
        <w:jc w:val="both"/>
        <w:rPr>
          <w:rFonts w:asciiTheme="majorHAnsi" w:hAnsiTheme="majorHAnsi"/>
          <w:b/>
          <w:sz w:val="20"/>
          <w:szCs w:val="20"/>
        </w:rPr>
      </w:pPr>
      <w:r>
        <w:rPr>
          <w:rFonts w:asciiTheme="majorHAnsi" w:hAnsiTheme="majorHAnsi"/>
          <w:b/>
          <w:bCs/>
          <w:sz w:val="20"/>
          <w:szCs w:val="20"/>
          <w:lang w:val="en"/>
        </w:rPr>
        <w:t xml:space="preserve">V. </w:t>
      </w:r>
      <w:r>
        <w:rPr>
          <w:rFonts w:asciiTheme="majorHAnsi" w:hAnsiTheme="majorHAnsi"/>
          <w:b/>
          <w:bCs/>
          <w:sz w:val="20"/>
          <w:szCs w:val="20"/>
          <w:lang w:val="en"/>
        </w:rPr>
        <w:tab/>
        <w:t xml:space="preserve">ALLEGED FACTS </w:t>
      </w:r>
    </w:p>
    <w:p w14:paraId="3E781DC6" w14:textId="04B3B6E7" w:rsidR="00DC3FA8" w:rsidRPr="00476411" w:rsidRDefault="00DC3FA8" w:rsidP="00476411">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476411">
        <w:rPr>
          <w:rFonts w:asciiTheme="majorHAnsi" w:hAnsiTheme="majorHAnsi"/>
          <w:sz w:val="20"/>
          <w:szCs w:val="20"/>
          <w:lang w:val="en"/>
        </w:rPr>
        <w:t>The petitioners fundamentally allege that the Argentine State has violated the rights of Ms. Hebe Alicia López Ozuna (hereinafter also "the alleged victim") on failing to provide reparations for the damages caused by her illegal and arbitrary imprisonment as part of a criminal process in which her right to due process was also violated. They allege that the alleged victim was held in pretrial detention for more than a year and a half based on false testimony</w:t>
      </w:r>
      <w:r w:rsidR="000A302B" w:rsidRPr="00476411">
        <w:rPr>
          <w:rFonts w:asciiTheme="majorHAnsi" w:hAnsiTheme="majorHAnsi"/>
          <w:sz w:val="20"/>
          <w:szCs w:val="20"/>
          <w:lang w:val="en"/>
        </w:rPr>
        <w:t>,</w:t>
      </w:r>
      <w:r w:rsidRPr="00476411">
        <w:rPr>
          <w:rFonts w:asciiTheme="majorHAnsi" w:hAnsiTheme="majorHAnsi"/>
          <w:sz w:val="20"/>
          <w:szCs w:val="20"/>
          <w:lang w:val="en"/>
        </w:rPr>
        <w:t xml:space="preserve"> </w:t>
      </w:r>
      <w:r w:rsidR="000A302B" w:rsidRPr="00476411">
        <w:rPr>
          <w:rFonts w:asciiTheme="majorHAnsi" w:hAnsiTheme="majorHAnsi"/>
          <w:sz w:val="20"/>
          <w:szCs w:val="20"/>
          <w:lang w:val="en"/>
        </w:rPr>
        <w:t>which</w:t>
      </w:r>
      <w:r w:rsidRPr="00476411">
        <w:rPr>
          <w:rFonts w:asciiTheme="majorHAnsi" w:hAnsiTheme="majorHAnsi"/>
          <w:sz w:val="20"/>
          <w:szCs w:val="20"/>
          <w:lang w:val="en"/>
        </w:rPr>
        <w:t xml:space="preserve"> was obtained with the complicity of government authorities</w:t>
      </w:r>
      <w:r w:rsidR="000A302B" w:rsidRPr="00476411">
        <w:rPr>
          <w:rFonts w:asciiTheme="majorHAnsi" w:hAnsiTheme="majorHAnsi"/>
          <w:sz w:val="20"/>
          <w:szCs w:val="20"/>
          <w:lang w:val="en"/>
        </w:rPr>
        <w:t>,</w:t>
      </w:r>
      <w:r w:rsidRPr="00476411">
        <w:rPr>
          <w:rFonts w:asciiTheme="majorHAnsi" w:hAnsiTheme="majorHAnsi"/>
          <w:sz w:val="20"/>
          <w:szCs w:val="20"/>
          <w:lang w:val="en"/>
        </w:rPr>
        <w:t xml:space="preserve"> and in consideration only of the type of crime of which she was accused. </w:t>
      </w:r>
    </w:p>
    <w:p w14:paraId="211B0987" w14:textId="77777777" w:rsidR="00DC3FA8" w:rsidRPr="00EA1CE1" w:rsidRDefault="00DC3FA8" w:rsidP="00DC3FA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lang w:val="en"/>
        </w:rPr>
        <w:t xml:space="preserve">The petitioners stated that toward the beginning of 1997, a criminal process for murder was launched before the Third Trial Court of Paraná, Entre Ríos province. During the course of the investigations, Ms. Ángela González incriminated herself and several other people, including the alleged victim. Ms. González was the only witness for the prosecution, and her testimony was decisive in the arrest of the alleged victim on April 17, 1997. The alleged victim was formally ordered held in pretrial detention on June 2, 1997. The petitioners allege that the judge based his decision exclusively on the nature of the crime for which she was accused and the severity of the corresponding punishments. They also indicate that aside from the testimony implementing the alleged victim, no other routes of investigation were explored. </w:t>
      </w:r>
    </w:p>
    <w:p w14:paraId="2549364B" w14:textId="77777777" w:rsidR="00DC3FA8" w:rsidRPr="008F2D03" w:rsidRDefault="00DC3FA8" w:rsidP="00DC3FA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lang w:val="en"/>
        </w:rPr>
        <w:t xml:space="preserve">The order of pretrial detention was appealed on June 10, 1997, and upheld by the Second Court of the Criminal Chamber of Parná on June </w:t>
      </w:r>
      <w:r w:rsidR="000A302B">
        <w:rPr>
          <w:rFonts w:asciiTheme="majorHAnsi" w:hAnsiTheme="majorHAnsi"/>
          <w:sz w:val="20"/>
          <w:szCs w:val="20"/>
          <w:lang w:val="en"/>
        </w:rPr>
        <w:t xml:space="preserve">26, </w:t>
      </w:r>
      <w:r>
        <w:rPr>
          <w:rFonts w:asciiTheme="majorHAnsi" w:hAnsiTheme="majorHAnsi"/>
          <w:sz w:val="20"/>
          <w:szCs w:val="20"/>
          <w:lang w:val="en"/>
        </w:rPr>
        <w:t xml:space="preserve">1997. On July 17, 1997, based on new evidence, the defense of Ms. Hebe López asked that her legal status be changed and that she be released immediately. Despite this, on July 20, the preliminary investigation judge rejected the request and kept her in pretrial detention. Ms. Hebe López’s defense appealed this ruling on July 25; however, the Second Court of the Criminal Chamber of Paraná upheld the decision </w:t>
      </w:r>
      <w:r>
        <w:rPr>
          <w:rFonts w:asciiTheme="majorHAnsi" w:hAnsiTheme="majorHAnsi"/>
          <w:i/>
          <w:iCs/>
          <w:sz w:val="20"/>
          <w:szCs w:val="20"/>
          <w:lang w:val="en"/>
        </w:rPr>
        <w:t>a quo</w:t>
      </w:r>
      <w:r>
        <w:rPr>
          <w:rFonts w:asciiTheme="majorHAnsi" w:hAnsiTheme="majorHAnsi"/>
          <w:sz w:val="20"/>
          <w:szCs w:val="20"/>
          <w:lang w:val="en"/>
        </w:rPr>
        <w:t xml:space="preserve"> on August 19, 1997. On December 16, 1997, the preliminary investigation judge concluded the investigation and forwarded it to the First Court of the Criminal Chamber of Paraná, which acquitted the alleged victim on November 3, 1998, declaring her innocent and ordering her immediate release. Subsequently, on November 4, 2002, the First Court of the Criminal Chamber of Paraná convicted Ms. Gonález—the lead witness in the case against the alleged victim—of perjury. On August 9, 2004, the court also convicted the police officers who participated in the investigations of the crime.</w:t>
      </w:r>
    </w:p>
    <w:p w14:paraId="04B4A235" w14:textId="77777777" w:rsidR="00DC3FA8" w:rsidRPr="00C85EBD" w:rsidRDefault="00DC3FA8" w:rsidP="00DC3FA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lang w:val="en"/>
        </w:rPr>
        <w:t>Based on these facts, on August 19, 1999, the representatives of the alleged victim filed a civil lawsuit for damages against the province of Entre Ríos before the First Court of the First Civil and Commercial Circuit of the city of Paraná, alleging that the courts had committed a "judicial error" on ordering Ms. Hebe López be held in pretrial detention. The court rejected this suit on July 3, 2001, finding that no “miscarriage of justice” had taken place, as this was only the case when the measure is unquestionably baseless and arbitrary, something that had not occurred with the alleged victim. This ruling was appealed, and on September 25, 2003, the Second Court of the Third Appeals Chamber of Paraná overturned the lower court’s ruling, finding against the province of Entre Ríos and ordering it to pay compensation of 372,250 Argentine pesos (equivalent to US$128,583 at the time</w:t>
      </w:r>
      <w:r>
        <w:rPr>
          <w:rStyle w:val="FootnoteReference"/>
          <w:rFonts w:asciiTheme="majorHAnsi" w:hAnsiTheme="majorHAnsi"/>
          <w:sz w:val="20"/>
          <w:szCs w:val="20"/>
          <w:lang w:val="en"/>
        </w:rPr>
        <w:footnoteReference w:id="4"/>
      </w:r>
      <w:r>
        <w:rPr>
          <w:rFonts w:asciiTheme="majorHAnsi" w:hAnsiTheme="majorHAnsi"/>
          <w:sz w:val="20"/>
          <w:szCs w:val="20"/>
          <w:lang w:val="en"/>
        </w:rPr>
        <w:t xml:space="preserve">), plus interest accrued from April 17, 1997, until payment was made. In its ruling, the court found “that although pretrial detention was formally and legally ordered, its content was the result of an unreasonable and arbitrary judicial assessment of the facts and </w:t>
      </w:r>
      <w:r>
        <w:rPr>
          <w:rFonts w:asciiTheme="majorHAnsi" w:hAnsiTheme="majorHAnsi"/>
          <w:sz w:val="20"/>
          <w:szCs w:val="20"/>
          <w:lang w:val="en"/>
        </w:rPr>
        <w:lastRenderedPageBreak/>
        <w:t xml:space="preserve">evidence at the time, making the judicial error of the preliminary investigation judge both unlawful and flagrant.” </w:t>
      </w:r>
    </w:p>
    <w:p w14:paraId="20BF7F42" w14:textId="533A8E2B" w:rsidR="00DC3FA8" w:rsidRPr="007364B9" w:rsidRDefault="00DC3FA8" w:rsidP="00DC3FA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lang w:val="en"/>
        </w:rPr>
        <w:t xml:space="preserve">This judgment was appealed by the province of Entre Ríos, and on August 17, 2004, the Civil Chamber of the Superior Court of Justice of Entre Ríos overturned it, reinstating the lower court ruling as the final judgment. It found that the pretrial detention was not objectively incompatible with the evidence in the case, nor was it manifestly groundless or arbitrary, and that the State cannot be held responsible based on subjective factors. The alleged victim filed an extraordinary federal appeal against this decision on September 6, 2004. This appeal was declared inadmissible by the Civil Chamber of the High Court of Justice of Entre Ríos on June 22, 2005, </w:t>
      </w:r>
      <w:r w:rsidR="000A302B">
        <w:rPr>
          <w:rFonts w:asciiTheme="majorHAnsi" w:hAnsiTheme="majorHAnsi"/>
          <w:sz w:val="20"/>
          <w:szCs w:val="20"/>
          <w:lang w:val="en"/>
        </w:rPr>
        <w:t>after</w:t>
      </w:r>
      <w:r>
        <w:rPr>
          <w:rFonts w:asciiTheme="majorHAnsi" w:hAnsiTheme="majorHAnsi"/>
          <w:sz w:val="20"/>
          <w:szCs w:val="20"/>
          <w:lang w:val="en"/>
        </w:rPr>
        <w:t xml:space="preserve"> finding it confusing, repetitive, and inadequate for overturning the judgment. In response to this decision rejecting the appeal, on July 28, 2005 the alleged </w:t>
      </w:r>
      <w:r w:rsidR="000A302B">
        <w:rPr>
          <w:rFonts w:asciiTheme="majorHAnsi" w:hAnsiTheme="majorHAnsi"/>
          <w:sz w:val="20"/>
          <w:szCs w:val="20"/>
          <w:lang w:val="en"/>
        </w:rPr>
        <w:t>victim filed a direct complaint</w:t>
      </w:r>
      <w:r>
        <w:rPr>
          <w:rFonts w:asciiTheme="majorHAnsi" w:hAnsiTheme="majorHAnsi"/>
          <w:sz w:val="20"/>
          <w:szCs w:val="20"/>
          <w:lang w:val="en"/>
        </w:rPr>
        <w:t xml:space="preserve"> appeal with the Supreme Court of Justice of the Nation, which denied it on September 25, 2007, without ruling on the merits of the matter. The alleged victim was notified of this final decision on October 4, 2007.</w:t>
      </w:r>
    </w:p>
    <w:p w14:paraId="6D81BCB3" w14:textId="086CEC8E" w:rsidR="00DC3FA8" w:rsidRPr="009B5066" w:rsidRDefault="00DC3FA8" w:rsidP="00DC3FA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lang w:val="en"/>
        </w:rPr>
        <w:t>The petitioners also indicate that on October 3, 2008, the Constitution of the province of Entre Ríos was amended to allow for compensation in cases like that of the alleged victim,</w:t>
      </w:r>
      <w:r>
        <w:rPr>
          <w:rStyle w:val="FootnoteReference"/>
          <w:rFonts w:asciiTheme="majorHAnsi" w:hAnsiTheme="majorHAnsi"/>
          <w:sz w:val="20"/>
          <w:szCs w:val="20"/>
          <w:lang w:val="en"/>
        </w:rPr>
        <w:footnoteReference w:id="5"/>
      </w:r>
      <w:r>
        <w:rPr>
          <w:rFonts w:asciiTheme="majorHAnsi" w:hAnsiTheme="majorHAnsi"/>
          <w:sz w:val="20"/>
          <w:szCs w:val="20"/>
          <w:lang w:val="en"/>
        </w:rPr>
        <w:t xml:space="preserve"> and that the case of Ms. Hebe López was highlighted during debate of the amendment as a paradigmatic example of the issue it sought to correct. Other individuals who were also accused during the same criminal proceeding as the alleged victim—also as a result of the testimony of Ms. Ángela González—were indeed granted compensation by the same Superior Civil Chamber of Justice of Entre Ríos. For example, on October 4, 2010, that court found—based on criteria established in treaties and constitutional law—that in the case of Carlos Enrique, there had been a failure to administer justice. Likewise, on April 27, 2011, it acknowledged a judicial error during the preliminary investigation phase with regard to Claudia Vinzón, granting her compensation on the same basis. In this regard, the petitioners argue that the State’s judicial bodies have clearly recognized the judicial error committed, even though they have refused to do so in the case of the alleged victim.</w:t>
      </w:r>
    </w:p>
    <w:p w14:paraId="253101EF" w14:textId="77777777" w:rsidR="00DC3FA8" w:rsidRPr="00D1064B" w:rsidRDefault="00DC3FA8" w:rsidP="00DC3FA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lang w:val="en"/>
        </w:rPr>
        <w:t>For its part, the State asks for the file to be closed on this petition, arguing that it was received by the IACHR in 2008 and not forwarded to the State until 2013. It also asks that the petition be declared inadmissible because the facts in question do not constitute a violation of the human rights of the alleged victim, as domestic courts did address the facts that are the subject of the petition and issued the corresponding decisions with full respect for the alleged victim's right to due process. Consequently, the Commission, as a subsidiary body, cannot review decisions of domestic courts that act within their competence and with all due judicial guarantees Thus, the IACHR cannot review the grounds and assessment of evidence as deployed by the domestic judicial authorities.</w:t>
      </w:r>
    </w:p>
    <w:p w14:paraId="6423FEAC" w14:textId="77777777" w:rsidR="00DC3FA8" w:rsidRPr="00EA1CE1" w:rsidRDefault="00DC3FA8" w:rsidP="00DC3FA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lang w:val="en"/>
        </w:rPr>
        <w:t xml:space="preserve">The State argues that the indictment and pretrial detention ordered for Hebe López in the criminal proceeding against her were based on the evidence available at the time, consisting of a suspicion based on the testimony of one of the witnesses. This is also supported by the fact that the pretrial detention order was upheld twice by appeals courts. The State also argues that compensation is not applicable for deprivation of liberty in pretrial detention, rather than after a guilty verdict. It also claims that the petitioner was able to exercise her right to defense and a hearing by the court in the case, and that her due process guarantees were respected to the point that she was acquitted and ordered immediately released, while Ms. Ángela Gónzalez and the police officers involved were convicted of perjury. </w:t>
      </w:r>
    </w:p>
    <w:p w14:paraId="53EDE5F3" w14:textId="77777777" w:rsidR="00DC3FA8" w:rsidRPr="006258C3" w:rsidRDefault="00DC3FA8" w:rsidP="00DC3FA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lang w:val="en"/>
        </w:rPr>
        <w:t xml:space="preserve">The State adds in its final communication that this petition was submitted late to the IACHR, as in its opinion, internal judicial remedies were exhausted on November 3, 1998, with the ruling to acquit the alleged victim, which stands as </w:t>
      </w:r>
      <w:r>
        <w:rPr>
          <w:rFonts w:asciiTheme="majorHAnsi" w:hAnsiTheme="majorHAnsi"/>
          <w:i/>
          <w:iCs/>
          <w:sz w:val="20"/>
          <w:szCs w:val="20"/>
          <w:lang w:val="en"/>
        </w:rPr>
        <w:t>res judicata</w:t>
      </w:r>
      <w:r>
        <w:rPr>
          <w:rFonts w:asciiTheme="majorHAnsi" w:hAnsiTheme="majorHAnsi"/>
          <w:sz w:val="20"/>
          <w:szCs w:val="20"/>
          <w:lang w:val="en"/>
        </w:rPr>
        <w:t xml:space="preserve">. Meanwhile, the alleged petition was filed in April 2008, therefore exceeding the six-month deadline established in Article 46(1)(b) of the American Convention. </w:t>
      </w:r>
    </w:p>
    <w:p w14:paraId="689B7078" w14:textId="77777777" w:rsidR="00DC3FA8" w:rsidRPr="00EA1CE1" w:rsidRDefault="00DC3FA8" w:rsidP="00DC3FA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rPr>
      </w:pPr>
      <w:r>
        <w:rPr>
          <w:rFonts w:asciiTheme="majorHAnsi" w:hAnsiTheme="majorHAnsi"/>
          <w:b/>
          <w:bCs/>
          <w:color w:val="000000"/>
          <w:sz w:val="20"/>
          <w:szCs w:val="20"/>
          <w:u w:color="000000"/>
          <w:lang w:val="en"/>
        </w:rPr>
        <w:lastRenderedPageBreak/>
        <w:t>VI.</w:t>
      </w:r>
      <w:r>
        <w:rPr>
          <w:rFonts w:asciiTheme="majorHAnsi" w:hAnsiTheme="majorHAnsi"/>
          <w:b/>
          <w:bCs/>
          <w:color w:val="000000"/>
          <w:sz w:val="20"/>
          <w:szCs w:val="20"/>
          <w:u w:color="000000"/>
          <w:lang w:val="en"/>
        </w:rPr>
        <w:tab/>
      </w:r>
      <w:r>
        <w:rPr>
          <w:rFonts w:asciiTheme="majorHAnsi" w:hAnsiTheme="majorHAnsi"/>
          <w:b/>
          <w:bCs/>
          <w:sz w:val="20"/>
          <w:szCs w:val="20"/>
          <w:lang w:val="en"/>
        </w:rPr>
        <w:t>EXHAUSTION OF DOMESTIC REMEDIES AND SUBMISSION DEADLINE</w:t>
      </w:r>
      <w:r>
        <w:rPr>
          <w:rFonts w:asciiTheme="majorHAnsi" w:hAnsiTheme="majorHAnsi"/>
          <w:b/>
          <w:bCs/>
          <w:color w:val="000000"/>
          <w:sz w:val="20"/>
          <w:szCs w:val="20"/>
          <w:u w:color="000000"/>
          <w:lang w:val="en"/>
        </w:rPr>
        <w:t xml:space="preserve"> </w:t>
      </w:r>
    </w:p>
    <w:p w14:paraId="2E369997" w14:textId="77777777" w:rsidR="00DC3FA8" w:rsidRPr="00BC115E" w:rsidRDefault="00DC3FA8" w:rsidP="00DC3FA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lang w:val="en"/>
        </w:rPr>
        <w:t xml:space="preserve">The Inter-American Commission first observes that the parties are not in conflict with regard to exhaustion of domestic judicial remedies by the alleged victim. Thus, based on the positions of the parties and the information available in the case file, the Commission observes that, although they are closely related, the facts asserted in the petition address two clearly distinct judicial proceedings. The first is a criminal process that began toward the start of April 1997 with the arrest of the alleged victim and concluded on 3 November 1998 with her acquittal, which took on the status of </w:t>
      </w:r>
      <w:r>
        <w:rPr>
          <w:rFonts w:asciiTheme="majorHAnsi" w:hAnsiTheme="majorHAnsi"/>
          <w:i/>
          <w:iCs/>
          <w:sz w:val="20"/>
          <w:lang w:val="en"/>
        </w:rPr>
        <w:t>res judicata</w:t>
      </w:r>
      <w:r>
        <w:rPr>
          <w:rFonts w:asciiTheme="majorHAnsi" w:hAnsiTheme="majorHAnsi"/>
          <w:sz w:val="20"/>
          <w:lang w:val="en"/>
        </w:rPr>
        <w:t xml:space="preserve">. Later, a civil suit for damages was filed against the province of Entre Ríos. It began on August 19, 1999, and the alleged victim was notified of the final ruling, issued by the Supreme Court of Justice of the Nation, on October 4, 2007. Based on this, the Commission concludes that this petition complies with the requirement of exhaustion of domestic remedies established in Article 46(1)(a) of the American Convention. </w:t>
      </w:r>
    </w:p>
    <w:p w14:paraId="7FAF0234" w14:textId="77777777" w:rsidR="00DC3FA8" w:rsidRPr="00BC115E" w:rsidRDefault="00DC3FA8" w:rsidP="00DC3FA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lang w:val="en"/>
        </w:rPr>
        <w:t xml:space="preserve">Thus, based on these considerations, the Commission finds that the pleadings submitted by the petitioners on the facts that took place during the criminal process pursued against Ms. Hebe López are time-barred, pursuant to the terms of Article 46(1)(b) of the American Convention, as that proceeding concluded almost 10 years before this petition was submitted to the Commission. Nevertheless, all the facts related to the alleged failure to provide compensation to the alleged victim for the aforementioned violations of her right to personal liberty are admissible under Article 46(1)(b) of the American Convention. The alleged victim was notified of the final decision handed down in the civil proceeding for damages on October 4, 2007, and the petition was presented to the IACHR on April 2, 2008, before the six-month deadline stipulated in the Convention.   </w:t>
      </w:r>
    </w:p>
    <w:p w14:paraId="77F4889D" w14:textId="77777777" w:rsidR="00DC3FA8" w:rsidRPr="00BC115E" w:rsidRDefault="00DC3FA8" w:rsidP="00DC3FA8">
      <w:pPr>
        <w:pStyle w:val="ListParagraph"/>
        <w:numPr>
          <w:ilvl w:val="0"/>
          <w:numId w:val="103"/>
        </w:numPr>
        <w:jc w:val="both"/>
        <w:rPr>
          <w:rFonts w:asciiTheme="majorHAnsi" w:hAnsiTheme="majorHAnsi"/>
          <w:sz w:val="20"/>
          <w:szCs w:val="20"/>
        </w:rPr>
      </w:pPr>
      <w:r>
        <w:rPr>
          <w:rFonts w:asciiTheme="majorHAnsi" w:hAnsiTheme="majorHAnsi"/>
          <w:sz w:val="20"/>
          <w:szCs w:val="20"/>
          <w:lang w:val="en"/>
        </w:rPr>
        <w:t>Finally, the Inter-American Commission takes note of the State’s allegation that the petition was forwarded to it late. The IACHR notes that neither the American Convention nor the Rules of Procedure of the Commission establish a deadline for forwarding a petition to a State after it is received, and that the deadlines established in the Rules of Procedure in the Convention for other stages of the process are not applicable by analogy.</w:t>
      </w:r>
      <w:r>
        <w:rPr>
          <w:rFonts w:asciiTheme="majorHAnsi" w:hAnsiTheme="majorHAnsi"/>
          <w:vertAlign w:val="superscript"/>
          <w:lang w:val="en"/>
        </w:rPr>
        <w:footnoteReference w:id="6"/>
      </w:r>
    </w:p>
    <w:p w14:paraId="7B29D575" w14:textId="77777777" w:rsidR="00DC3FA8" w:rsidRPr="00EA1CE1" w:rsidRDefault="00DC3FA8" w:rsidP="00DC3FA8">
      <w:pPr>
        <w:pStyle w:val="ListParagraph"/>
        <w:spacing w:before="240" w:after="240"/>
        <w:jc w:val="both"/>
        <w:rPr>
          <w:rFonts w:asciiTheme="majorHAnsi" w:hAnsiTheme="majorHAnsi"/>
          <w:b/>
          <w:sz w:val="20"/>
          <w:szCs w:val="20"/>
        </w:rPr>
      </w:pPr>
      <w:r>
        <w:rPr>
          <w:rFonts w:asciiTheme="majorHAnsi" w:hAnsiTheme="majorHAnsi"/>
          <w:b/>
          <w:bCs/>
          <w:sz w:val="20"/>
          <w:szCs w:val="20"/>
          <w:lang w:val="en"/>
        </w:rPr>
        <w:t>VII.</w:t>
      </w:r>
      <w:r>
        <w:rPr>
          <w:rFonts w:asciiTheme="majorHAnsi" w:hAnsiTheme="majorHAnsi"/>
          <w:b/>
          <w:bCs/>
          <w:sz w:val="20"/>
          <w:szCs w:val="20"/>
          <w:lang w:val="en"/>
        </w:rPr>
        <w:tab/>
        <w:t>COLORABLE CLAIM</w:t>
      </w:r>
    </w:p>
    <w:p w14:paraId="0EEEF566" w14:textId="55BBAA66" w:rsidR="00DC3FA8" w:rsidRPr="00EA1CE1" w:rsidRDefault="00DC3FA8" w:rsidP="00DC3FA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lang w:val="en"/>
        </w:rPr>
        <w:t>In light of the elements of fact and law alleged by the petitioners, the Commission finds that the facts submitted by the petitioners on the failure to provide reparations to the alleged victim as a result of damage caused by the alleged illegitimate application of pretrial detention to her detriment for more than one and a half years could represent violations of the rights established in articles 7 (right to personal liberty), 8 (fair trial), and 25 (judicial protection), in conjunction with the general obligations to respect and guarantee established in Article 1(1) and the duty to adopt domestic legal effects established in Article 2 of the Convention.</w:t>
      </w:r>
      <w:r>
        <w:rPr>
          <w:rStyle w:val="FootnoteReference"/>
          <w:rFonts w:asciiTheme="majorHAnsi" w:hAnsiTheme="majorHAnsi"/>
          <w:sz w:val="20"/>
          <w:szCs w:val="20"/>
          <w:lang w:val="en"/>
        </w:rPr>
        <w:footnoteReference w:id="7"/>
      </w:r>
      <w:r>
        <w:rPr>
          <w:rFonts w:asciiTheme="majorHAnsi" w:hAnsiTheme="majorHAnsi"/>
          <w:sz w:val="20"/>
          <w:szCs w:val="20"/>
          <w:lang w:val="en"/>
        </w:rPr>
        <w:t xml:space="preserve"> In this regard, and in line with the conclusions reached with regard to analysis of the deadline for submitting the petition, the Inter-American Commission will analyze the facts related to the criminal proceeding carried out against the alleged victim as relevant background that is necessary for correctly understanding and assessing the facts that took place subsequently. </w:t>
      </w:r>
    </w:p>
    <w:p w14:paraId="0BEB13CE" w14:textId="77777777" w:rsidR="00DC3FA8" w:rsidRPr="00443311" w:rsidRDefault="00DC3FA8" w:rsidP="00DC3FA8">
      <w:pPr>
        <w:pStyle w:val="ListParagraph"/>
        <w:numPr>
          <w:ilvl w:val="0"/>
          <w:numId w:val="103"/>
        </w:numPr>
        <w:jc w:val="both"/>
        <w:rPr>
          <w:rFonts w:asciiTheme="majorHAnsi" w:hAnsiTheme="majorHAnsi"/>
          <w:sz w:val="20"/>
          <w:szCs w:val="20"/>
        </w:rPr>
      </w:pPr>
      <w:r>
        <w:rPr>
          <w:rFonts w:asciiTheme="majorHAnsi" w:hAnsiTheme="majorHAnsi"/>
          <w:sz w:val="20"/>
          <w:szCs w:val="20"/>
          <w:lang w:val="en"/>
        </w:rPr>
        <w:t xml:space="preserve">Finally, with regard to the State’s "fourth instance" pleading, the Commission notes that admitting this petition is not an attempt to supersede the competence of domestic judicial authorities. The question of whether domestic judicial proceedings complied with provision of due process guarantees and </w:t>
      </w:r>
      <w:r>
        <w:rPr>
          <w:rFonts w:asciiTheme="majorHAnsi" w:hAnsiTheme="majorHAnsi"/>
          <w:sz w:val="20"/>
          <w:szCs w:val="20"/>
          <w:lang w:val="en"/>
        </w:rPr>
        <w:lastRenderedPageBreak/>
        <w:t>judicial protection and ensured access to justice for the alleged victim in keeping with the American Convention will be analyzed during the merits stage of this petition</w:t>
      </w:r>
    </w:p>
    <w:p w14:paraId="54637DA8" w14:textId="77777777" w:rsidR="00DC3FA8" w:rsidRPr="00EA1CE1" w:rsidRDefault="00DC3FA8" w:rsidP="00DC3FA8">
      <w:pPr>
        <w:pStyle w:val="ListParagraph"/>
        <w:spacing w:before="240" w:after="240"/>
        <w:jc w:val="both"/>
        <w:rPr>
          <w:rFonts w:asciiTheme="majorHAnsi" w:hAnsiTheme="majorHAnsi"/>
          <w:b/>
          <w:bCs/>
          <w:sz w:val="20"/>
          <w:szCs w:val="20"/>
        </w:rPr>
      </w:pPr>
      <w:r>
        <w:rPr>
          <w:rFonts w:asciiTheme="majorHAnsi" w:hAnsiTheme="majorHAnsi"/>
          <w:b/>
          <w:bCs/>
          <w:sz w:val="20"/>
          <w:szCs w:val="20"/>
          <w:lang w:val="en"/>
        </w:rPr>
        <w:t xml:space="preserve">VIII. </w:t>
      </w:r>
      <w:r>
        <w:rPr>
          <w:rFonts w:asciiTheme="majorHAnsi" w:hAnsiTheme="majorHAnsi"/>
          <w:sz w:val="20"/>
          <w:szCs w:val="20"/>
          <w:lang w:val="en"/>
        </w:rPr>
        <w:tab/>
      </w:r>
      <w:r>
        <w:rPr>
          <w:rFonts w:asciiTheme="majorHAnsi" w:hAnsiTheme="majorHAnsi"/>
          <w:b/>
          <w:bCs/>
          <w:sz w:val="20"/>
          <w:szCs w:val="20"/>
          <w:lang w:val="en"/>
        </w:rPr>
        <w:t>THE INTER-AMERICAN COMMISSION ON HUMAN RIGHTS DECIDES</w:t>
      </w:r>
    </w:p>
    <w:p w14:paraId="5624CFBE" w14:textId="34406917" w:rsidR="00DC3FA8" w:rsidRPr="004C3654" w:rsidRDefault="00DC3FA8" w:rsidP="00DC3FA8">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lang w:val="en"/>
        </w:rPr>
        <w:t xml:space="preserve">To declare this petition admissible regarding articles 7, 8, </w:t>
      </w:r>
      <w:r w:rsidR="004C3654">
        <w:rPr>
          <w:rFonts w:asciiTheme="majorHAnsi" w:hAnsiTheme="majorHAnsi"/>
          <w:sz w:val="20"/>
          <w:szCs w:val="20"/>
          <w:lang w:val="en"/>
        </w:rPr>
        <w:t xml:space="preserve">24 </w:t>
      </w:r>
      <w:r>
        <w:rPr>
          <w:rFonts w:asciiTheme="majorHAnsi" w:hAnsiTheme="majorHAnsi"/>
          <w:sz w:val="20"/>
          <w:szCs w:val="20"/>
          <w:lang w:val="en"/>
        </w:rPr>
        <w:t>and 25 of the American Convention on Human Rights, in conjunction with articl</w:t>
      </w:r>
      <w:r w:rsidR="004C3654">
        <w:rPr>
          <w:rFonts w:asciiTheme="majorHAnsi" w:hAnsiTheme="majorHAnsi"/>
          <w:sz w:val="20"/>
          <w:szCs w:val="20"/>
          <w:lang w:val="en"/>
        </w:rPr>
        <w:t>es 1(1) and 2 of the Convention;</w:t>
      </w:r>
    </w:p>
    <w:p w14:paraId="5D42899B" w14:textId="77777777" w:rsidR="00DC3FA8" w:rsidRPr="00EA1CE1" w:rsidRDefault="00DC3FA8" w:rsidP="00DC3FA8">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lang w:val="en"/>
        </w:rPr>
        <w:t>To notify the parties of this decision;</w:t>
      </w:r>
    </w:p>
    <w:p w14:paraId="5CA5FA7D" w14:textId="77777777" w:rsidR="00DC3FA8" w:rsidRPr="00EA1CE1" w:rsidRDefault="00DC3FA8" w:rsidP="00DC3FA8">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lang w:val="en"/>
        </w:rPr>
        <w:t>To continue with the analysis of the merits of this matter; and</w:t>
      </w:r>
    </w:p>
    <w:p w14:paraId="66877EED" w14:textId="77777777" w:rsidR="00DC3FA8" w:rsidRPr="00EA1CE1" w:rsidRDefault="00DC3FA8" w:rsidP="00DC3FA8">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lang w:val="en"/>
        </w:rPr>
        <w:t>To publish this ruling and include it in its Annual Report to the General Assembly of the Organization of American States.</w:t>
      </w:r>
    </w:p>
    <w:p w14:paraId="5A9E8DA8" w14:textId="3517AE50" w:rsidR="00476411" w:rsidRDefault="00476411" w:rsidP="00476411">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napToGrid w:val="0"/>
          <w:spacing w:val="-2"/>
          <w:sz w:val="20"/>
          <w:szCs w:val="20"/>
          <w:bdr w:val="none" w:sz="0" w:space="0" w:color="auto"/>
        </w:rPr>
      </w:pPr>
      <w:r w:rsidRPr="007643D8">
        <w:rPr>
          <w:rFonts w:ascii="Cambria" w:eastAsia="Times New Roman" w:hAnsi="Cambria"/>
          <w:snapToGrid w:val="0"/>
          <w:spacing w:val="-2"/>
          <w:sz w:val="20"/>
          <w:szCs w:val="20"/>
          <w:bdr w:val="none" w:sz="0" w:space="0" w:color="auto"/>
        </w:rPr>
        <w:t xml:space="preserve">Approved by the Inter-American Commission on Human Rights in the city of </w:t>
      </w:r>
      <w:r>
        <w:rPr>
          <w:rFonts w:ascii="Cambria" w:eastAsia="Times New Roman" w:hAnsi="Cambria"/>
          <w:snapToGrid w:val="0"/>
          <w:spacing w:val="-2"/>
          <w:sz w:val="20"/>
          <w:szCs w:val="20"/>
          <w:bdr w:val="none" w:sz="0" w:space="0" w:color="auto"/>
        </w:rPr>
        <w:t>M</w:t>
      </w:r>
      <w:r w:rsidRPr="007643D8">
        <w:rPr>
          <w:rFonts w:ascii="Cambria" w:eastAsia="Times New Roman" w:hAnsi="Cambria"/>
          <w:snapToGrid w:val="0"/>
          <w:spacing w:val="-2"/>
          <w:sz w:val="20"/>
          <w:szCs w:val="20"/>
          <w:bdr w:val="none" w:sz="0" w:space="0" w:color="auto"/>
        </w:rPr>
        <w:t>éxico, on the 7</w:t>
      </w:r>
      <w:r w:rsidR="00E129EE" w:rsidRPr="00E129EE">
        <w:rPr>
          <w:rFonts w:ascii="Cambria" w:eastAsia="Times New Roman" w:hAnsi="Cambria"/>
          <w:snapToGrid w:val="0"/>
          <w:spacing w:val="-2"/>
          <w:sz w:val="20"/>
          <w:szCs w:val="20"/>
          <w:bdr w:val="none" w:sz="0" w:space="0" w:color="auto"/>
          <w:vertAlign w:val="superscript"/>
        </w:rPr>
        <w:t>th</w:t>
      </w:r>
      <w:r w:rsidRPr="007643D8">
        <w:rPr>
          <w:rFonts w:ascii="Cambria" w:eastAsia="Times New Roman" w:hAnsi="Cambria"/>
          <w:snapToGrid w:val="0"/>
          <w:spacing w:val="-2"/>
          <w:sz w:val="20"/>
          <w:szCs w:val="20"/>
          <w:bdr w:val="none" w:sz="0" w:space="0" w:color="auto"/>
        </w:rPr>
        <w:t xml:space="preserve"> day of the month of September, 2017. (Signed):  Francisco José Eguiguren, President; Margarette May Macaulay, First Vice President; Esmeralda E. Arosemena Bernal de Troitiño, Second Vice President; José de Jesús Orozco Henríquez, Paulo Vannuchi, James L. Cavallaro, and Luis Ernesto Vargas Silva, Commissioners</w:t>
      </w:r>
      <w:r w:rsidR="005A1131">
        <w:rPr>
          <w:rFonts w:ascii="Cambria" w:eastAsia="Times New Roman" w:hAnsi="Cambria"/>
          <w:snapToGrid w:val="0"/>
          <w:spacing w:val="-2"/>
          <w:sz w:val="20"/>
          <w:szCs w:val="20"/>
          <w:bdr w:val="none" w:sz="0" w:space="0" w:color="auto"/>
        </w:rPr>
        <w:t>.</w:t>
      </w:r>
    </w:p>
    <w:p w14:paraId="771D2B0D" w14:textId="77777777" w:rsidR="00DC3FA8" w:rsidRPr="00EA1CE1" w:rsidRDefault="00DC3FA8" w:rsidP="00DC3FA8">
      <w:pPr>
        <w:pStyle w:val="ListParagraph"/>
        <w:suppressAutoHyphens/>
        <w:spacing w:before="240" w:after="240"/>
        <w:jc w:val="both"/>
        <w:rPr>
          <w:rFonts w:asciiTheme="majorHAnsi" w:hAnsiTheme="majorHAnsi"/>
          <w:sz w:val="20"/>
          <w:szCs w:val="20"/>
        </w:rPr>
      </w:pPr>
    </w:p>
    <w:p w14:paraId="35099393" w14:textId="77777777" w:rsidR="00DC3FA8" w:rsidRPr="00EA1CE1" w:rsidRDefault="00DC3FA8" w:rsidP="00DC3FA8">
      <w:pPr>
        <w:tabs>
          <w:tab w:val="center" w:pos="5400"/>
        </w:tabs>
        <w:suppressAutoHyphens/>
        <w:spacing w:line="276" w:lineRule="auto"/>
        <w:rPr>
          <w:rFonts w:asciiTheme="majorHAnsi" w:hAnsiTheme="majorHAnsi"/>
          <w:sz w:val="20"/>
          <w:szCs w:val="20"/>
        </w:rPr>
      </w:pPr>
    </w:p>
    <w:p w14:paraId="4B6F4000" w14:textId="77777777" w:rsidR="00DC3FA8" w:rsidRPr="00EA1CE1" w:rsidRDefault="00DC3FA8" w:rsidP="00DC3FA8">
      <w:pPr>
        <w:rPr>
          <w:rFonts w:asciiTheme="majorHAnsi" w:hAnsiTheme="majorHAnsi" w:cs="Calibri"/>
          <w:sz w:val="20"/>
          <w:szCs w:val="20"/>
        </w:rPr>
      </w:pPr>
    </w:p>
    <w:p w14:paraId="05F7126D" w14:textId="77777777" w:rsidR="00C55560" w:rsidRPr="00225855" w:rsidRDefault="00C55560" w:rsidP="00DC3FA8">
      <w:pPr>
        <w:tabs>
          <w:tab w:val="center" w:pos="5400"/>
        </w:tabs>
        <w:suppressAutoHyphens/>
        <w:spacing w:line="276" w:lineRule="auto"/>
        <w:jc w:val="center"/>
        <w:rPr>
          <w:rFonts w:asciiTheme="majorHAnsi" w:hAnsiTheme="majorHAnsi"/>
          <w:sz w:val="20"/>
          <w:szCs w:val="20"/>
        </w:rPr>
      </w:pPr>
    </w:p>
    <w:sectPr w:rsidR="00C55560" w:rsidRPr="00225855" w:rsidSect="00DC3FA8">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19310B" w14:textId="77777777" w:rsidR="00EF7634" w:rsidRDefault="00EF7634" w:rsidP="00036A8A">
      <w:r>
        <w:separator/>
      </w:r>
    </w:p>
  </w:endnote>
  <w:endnote w:type="continuationSeparator" w:id="0">
    <w:p w14:paraId="34B01CE7" w14:textId="77777777" w:rsidR="00EF7634" w:rsidRDefault="00EF7634"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90ED1" w14:textId="77777777" w:rsidR="0097720E" w:rsidRDefault="009772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14:paraId="2E5292F2" w14:textId="77777777" w:rsidR="00F1380F" w:rsidRPr="006311DA" w:rsidRDefault="00F1380F">
        <w:pPr>
          <w:pStyle w:val="Footer"/>
          <w:jc w:val="center"/>
          <w:rPr>
            <w:sz w:val="16"/>
          </w:rPr>
        </w:pPr>
        <w:r>
          <w:rPr>
            <w:sz w:val="16"/>
            <w:lang w:val="en"/>
          </w:rPr>
          <w:fldChar w:fldCharType="begin"/>
        </w:r>
        <w:r>
          <w:rPr>
            <w:sz w:val="16"/>
            <w:lang w:val="en"/>
          </w:rPr>
          <w:instrText xml:space="preserve"> PAGE   \* MERGEFORMAT </w:instrText>
        </w:r>
        <w:r>
          <w:rPr>
            <w:sz w:val="16"/>
            <w:lang w:val="en"/>
          </w:rPr>
          <w:fldChar w:fldCharType="separate"/>
        </w:r>
        <w:r w:rsidR="0097720E">
          <w:rPr>
            <w:noProof/>
            <w:sz w:val="16"/>
            <w:lang w:val="en"/>
          </w:rPr>
          <w:t>1</w:t>
        </w:r>
        <w:r>
          <w:rPr>
            <w:noProof/>
            <w:sz w:val="16"/>
            <w:lang w:val="en"/>
          </w:rPr>
          <w:fldChar w:fldCharType="end"/>
        </w:r>
      </w:p>
    </w:sdtContent>
  </w:sdt>
  <w:p w14:paraId="30DC1C5E"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96108" w14:textId="77777777" w:rsidR="007607C4" w:rsidRDefault="007607C4">
    <w:pPr>
      <w:pStyle w:val="Footer"/>
      <w:jc w:val="center"/>
    </w:pPr>
  </w:p>
  <w:p w14:paraId="244C2B8D"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182B22" w14:textId="77777777" w:rsidR="00EF7634" w:rsidRPr="00036A8A" w:rsidRDefault="00EF7634" w:rsidP="00036A8A">
      <w:pPr>
        <w:rPr>
          <w:rFonts w:asciiTheme="majorHAnsi" w:hAnsiTheme="majorHAnsi"/>
          <w:sz w:val="16"/>
          <w:szCs w:val="16"/>
        </w:rPr>
      </w:pPr>
      <w:r>
        <w:rPr>
          <w:rFonts w:asciiTheme="majorHAnsi" w:hAnsiTheme="majorHAnsi"/>
          <w:sz w:val="16"/>
          <w:szCs w:val="16"/>
        </w:rPr>
        <w:separator/>
      </w:r>
    </w:p>
  </w:footnote>
  <w:footnote w:type="continuationSeparator" w:id="0">
    <w:p w14:paraId="7DCF3F61" w14:textId="77777777" w:rsidR="00EF7634" w:rsidRPr="00036A8A" w:rsidRDefault="00EF7634" w:rsidP="00036A8A">
      <w:pPr>
        <w:rPr>
          <w:rFonts w:asciiTheme="majorHAnsi" w:hAnsiTheme="majorHAnsi"/>
          <w:sz w:val="16"/>
          <w:szCs w:val="16"/>
        </w:rPr>
      </w:pPr>
      <w:r>
        <w:rPr>
          <w:rFonts w:asciiTheme="majorHAnsi" w:hAnsiTheme="majorHAnsi"/>
          <w:sz w:val="16"/>
          <w:szCs w:val="16"/>
        </w:rPr>
        <w:separator/>
      </w:r>
    </w:p>
    <w:p w14:paraId="12BF6387" w14:textId="77777777" w:rsidR="00EF7634" w:rsidRPr="00036A8A" w:rsidRDefault="00EF7634" w:rsidP="00036A8A">
      <w:pPr>
        <w:pStyle w:val="Footer"/>
        <w:rPr>
          <w:rFonts w:asciiTheme="majorHAnsi" w:hAnsiTheme="majorHAnsi"/>
          <w:sz w:val="16"/>
          <w:szCs w:val="16"/>
        </w:rPr>
      </w:pPr>
      <w:r>
        <w:rPr>
          <w:rFonts w:asciiTheme="majorHAnsi" w:hAnsiTheme="majorHAnsi"/>
          <w:sz w:val="16"/>
          <w:szCs w:val="16"/>
        </w:rPr>
        <w:t>[… continuation]</w:t>
      </w:r>
    </w:p>
  </w:footnote>
  <w:footnote w:type="continuationNotice" w:id="1">
    <w:p w14:paraId="3BC3E59C" w14:textId="77777777" w:rsidR="00EF7634" w:rsidRPr="0093441A" w:rsidRDefault="00EF7634" w:rsidP="005B222D">
      <w:pPr>
        <w:jc w:val="right"/>
        <w:rPr>
          <w:rFonts w:asciiTheme="majorHAnsi" w:hAnsiTheme="majorHAnsi"/>
          <w:sz w:val="16"/>
          <w:szCs w:val="16"/>
        </w:rPr>
      </w:pPr>
      <w:r>
        <w:rPr>
          <w:rFonts w:asciiTheme="majorHAnsi" w:hAnsiTheme="majorHAnsi"/>
          <w:sz w:val="16"/>
          <w:szCs w:val="16"/>
        </w:rPr>
        <w:t>[continues …]</w:t>
      </w:r>
    </w:p>
  </w:footnote>
  <w:footnote w:id="2">
    <w:p w14:paraId="75C1EDA6" w14:textId="77777777" w:rsidR="00DC3FA8" w:rsidRPr="00C11C1D" w:rsidRDefault="00DC3FA8" w:rsidP="00DC3FA8">
      <w:pPr>
        <w:pStyle w:val="FootnoteText"/>
        <w:spacing w:after="120"/>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Hereinafter "the American Convention" or "the ACHR."</w:t>
      </w:r>
    </w:p>
  </w:footnote>
  <w:footnote w:id="3">
    <w:p w14:paraId="2BC6F311" w14:textId="77777777" w:rsidR="00DC3FA8" w:rsidRPr="00C11C1D" w:rsidRDefault="00DC3FA8" w:rsidP="00DC3FA8">
      <w:pPr>
        <w:pStyle w:val="FootnoteText"/>
        <w:spacing w:after="120"/>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The comments of each party were duly forwarded to the counter-party.</w:t>
      </w:r>
    </w:p>
  </w:footnote>
  <w:footnote w:id="4">
    <w:p w14:paraId="0A678D19" w14:textId="77777777" w:rsidR="00DC3FA8" w:rsidRPr="00225855" w:rsidRDefault="00DC3FA8" w:rsidP="00DC3FA8">
      <w:pPr>
        <w:pStyle w:val="FootnoteText"/>
        <w:spacing w:after="120"/>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Calculation based on data from the official webpage of the Central Bank of the Argentine Republic (</w:t>
      </w:r>
      <w:hyperlink r:id="rId1" w:history="1">
        <w:r>
          <w:rPr>
            <w:rStyle w:val="Hyperlink"/>
            <w:rFonts w:asciiTheme="majorHAnsi" w:hAnsiTheme="majorHAnsi"/>
            <w:sz w:val="16"/>
            <w:szCs w:val="16"/>
            <w:lang w:val="en"/>
          </w:rPr>
          <w:t>http://www.bcra.gov.ar/PublicacionesEstadisticas/Cotizaciones_por_fecha_2.asp</w:t>
        </w:r>
      </w:hyperlink>
      <w:r>
        <w:rPr>
          <w:rFonts w:asciiTheme="majorHAnsi" w:hAnsiTheme="majorHAnsi"/>
          <w:sz w:val="16"/>
          <w:szCs w:val="16"/>
          <w:lang w:val="en"/>
        </w:rPr>
        <w:t xml:space="preserve">) </w:t>
      </w:r>
    </w:p>
  </w:footnote>
  <w:footnote w:id="5">
    <w:p w14:paraId="34C72398" w14:textId="77777777" w:rsidR="00DC3FA8" w:rsidRPr="00225855" w:rsidRDefault="00DC3FA8" w:rsidP="00DC3FA8">
      <w:pPr>
        <w:pStyle w:val="FootnoteText"/>
        <w:spacing w:after="120"/>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According to information provided by the petitioners, following the amendment, Article 64 of the Constitution of Entre Ríos establishes "[…] Every person declared innocent of charges for which they had been deprived of liberty baselessly or in a way that has turned out to be unreasonable over the course of the proceeding will have the right, in accordance with the law, for the State to provide compensation for the damage suffered as a result of this deprivation of liberty."</w:t>
      </w:r>
    </w:p>
  </w:footnote>
  <w:footnote w:id="6">
    <w:p w14:paraId="506EC7C5" w14:textId="77777777" w:rsidR="00DC3FA8" w:rsidRPr="00C11C1D" w:rsidRDefault="00DC3FA8" w:rsidP="00DC3FA8">
      <w:pPr>
        <w:pStyle w:val="FootnoteText"/>
        <w:spacing w:after="120"/>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See IACHR Report No. 56/16. Petition 666-03. </w:t>
      </w:r>
      <w:r w:rsidRPr="00C6376A">
        <w:rPr>
          <w:rFonts w:asciiTheme="majorHAnsi" w:hAnsiTheme="majorHAnsi"/>
          <w:sz w:val="16"/>
          <w:szCs w:val="16"/>
          <w:lang w:val="pt-BR"/>
        </w:rPr>
        <w:t xml:space="preserve">Admissibility. Luis Alberto Leiva. Argentina. </w:t>
      </w:r>
      <w:r>
        <w:rPr>
          <w:rFonts w:asciiTheme="majorHAnsi" w:hAnsiTheme="majorHAnsi"/>
          <w:sz w:val="16"/>
          <w:szCs w:val="16"/>
          <w:lang w:val="en"/>
        </w:rPr>
        <w:t xml:space="preserve">December 6, 2016. Also see Inter-American Court, </w:t>
      </w:r>
      <w:r>
        <w:rPr>
          <w:rFonts w:asciiTheme="majorHAnsi" w:hAnsiTheme="majorHAnsi"/>
          <w:i/>
          <w:iCs/>
          <w:sz w:val="16"/>
          <w:szCs w:val="16"/>
          <w:lang w:val="en"/>
        </w:rPr>
        <w:t xml:space="preserve">Case of Mémoli v. Argentina. </w:t>
      </w:r>
      <w:r>
        <w:rPr>
          <w:rFonts w:asciiTheme="majorHAnsi" w:hAnsiTheme="majorHAnsi"/>
          <w:sz w:val="16"/>
          <w:szCs w:val="16"/>
          <w:lang w:val="en"/>
        </w:rPr>
        <w:t>Preliminary Objections, Merits, Reparations, and Costs. Judgment dated August 22, 2013. Series C No. 295, paras. 30-33.</w:t>
      </w:r>
    </w:p>
  </w:footnote>
  <w:footnote w:id="7">
    <w:p w14:paraId="2F126BD7" w14:textId="77777777" w:rsidR="00DC3FA8" w:rsidRPr="00C11C1D" w:rsidRDefault="00DC3FA8" w:rsidP="00DC3FA8">
      <w:pPr>
        <w:pStyle w:val="FootnoteText"/>
        <w:spacing w:after="120"/>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In its report on the Use of Pretrial Detention in the Americas, the IACHR notes that “States are required to make amends for violations within their jurisdictions of the right to personal liberty under Article 7, which of course includes those related to the imposition of pretrial detention.” It adds that “Consequently, States should institute, in their domestic legal systems, appropriate legal mechanisms to ensure effective access to this type of reparation” (para. 218).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82507"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lang w:val="en"/>
      </w:rPr>
      <w:fldChar w:fldCharType="begin"/>
    </w:r>
    <w:r>
      <w:rPr>
        <w:rStyle w:val="PageNumber"/>
        <w:rFonts w:eastAsia="Trebuchet MS"/>
        <w:lang w:val="en"/>
      </w:rPr>
      <w:instrText xml:space="preserve">PAGE  </w:instrText>
    </w:r>
    <w:r>
      <w:rPr>
        <w:rStyle w:val="PageNumber"/>
        <w:rFonts w:eastAsia="Trebuchet MS"/>
        <w:lang w:val="en"/>
      </w:rPr>
      <w:fldChar w:fldCharType="end"/>
    </w:r>
  </w:p>
  <w:p w14:paraId="79B18037"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AF14F"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092A29E" wp14:editId="047552EE">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66281EE4" w14:textId="77777777" w:rsidR="00040C3A" w:rsidRPr="00EC7D62" w:rsidRDefault="00EF7634" w:rsidP="002C1641">
    <w:pPr>
      <w:pStyle w:val="Header"/>
      <w:tabs>
        <w:tab w:val="clear" w:pos="4320"/>
        <w:tab w:val="clear" w:pos="8640"/>
      </w:tabs>
      <w:jc w:val="center"/>
      <w:rPr>
        <w:sz w:val="22"/>
        <w:szCs w:val="22"/>
      </w:rPr>
    </w:pPr>
    <w:r>
      <w:rPr>
        <w:sz w:val="22"/>
        <w:szCs w:val="22"/>
        <w:lang w:val="en"/>
      </w:rPr>
      <w:pict w14:anchorId="23FB2B89">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A09F1" w14:textId="77777777" w:rsidR="0097720E" w:rsidRDefault="009772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FAF657FA"/>
    <w:lvl w:ilvl="0" w:tplc="7C1226A8">
      <w:start w:val="1"/>
      <w:numFmt w:val="decimal"/>
      <w:lvlText w:val="%1."/>
      <w:lvlJc w:val="left"/>
      <w:pPr>
        <w:tabs>
          <w:tab w:val="num" w:pos="720"/>
        </w:tabs>
        <w:ind w:left="0" w:firstLine="720"/>
      </w:pPr>
      <w:rPr>
        <w:rFonts w:asciiTheme="majorHAnsi" w:eastAsia="Arial Unicode MS" w:hAnsiTheme="majorHAnsi" w:cs="Times New Roman"/>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1">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8"/>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1"/>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5"/>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6"/>
  </w:num>
  <w:num w:numId="8">
    <w:abstractNumId w:val="21"/>
  </w:num>
  <w:num w:numId="9">
    <w:abstractNumId w:val="48"/>
  </w:num>
  <w:num w:numId="10">
    <w:abstractNumId w:val="14"/>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7"/>
  </w:num>
  <w:num w:numId="12">
    <w:abstractNumId w:val="54"/>
  </w:num>
  <w:num w:numId="13">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1"/>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1"/>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3"/>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1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7"/>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3"/>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8"/>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6"/>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3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2"/>
  </w:num>
  <w:num w:numId="53">
    <w:abstractNumId w:val="0"/>
  </w:num>
  <w:num w:numId="54">
    <w:abstractNumId w:val="37"/>
  </w:num>
  <w:num w:numId="55">
    <w:abstractNumId w:val="38"/>
  </w:num>
  <w:num w:numId="56">
    <w:abstractNumId w:val="44"/>
  </w:num>
  <w:num w:numId="57">
    <w:abstractNumId w:val="1"/>
  </w:num>
  <w:num w:numId="58">
    <w:abstractNumId w:val="2"/>
  </w:num>
  <w:num w:numId="59">
    <w:abstractNumId w:val="8"/>
  </w:num>
  <w:num w:numId="60">
    <w:abstractNumId w:val="9"/>
  </w:num>
  <w:num w:numId="61">
    <w:abstractNumId w:val="10"/>
  </w:num>
  <w:num w:numId="62">
    <w:abstractNumId w:val="11"/>
  </w:num>
  <w:num w:numId="63">
    <w:abstractNumId w:val="12"/>
  </w:num>
  <w:num w:numId="64">
    <w:abstractNumId w:val="13"/>
  </w:num>
  <w:num w:numId="65">
    <w:abstractNumId w:val="14"/>
  </w:num>
  <w:num w:numId="66">
    <w:abstractNumId w:val="15"/>
  </w:num>
  <w:num w:numId="67">
    <w:abstractNumId w:val="16"/>
  </w:num>
  <w:num w:numId="68">
    <w:abstractNumId w:val="18"/>
  </w:num>
  <w:num w:numId="69">
    <w:abstractNumId w:val="19"/>
  </w:num>
  <w:num w:numId="70">
    <w:abstractNumId w:val="22"/>
  </w:num>
  <w:num w:numId="71">
    <w:abstractNumId w:val="23"/>
  </w:num>
  <w:num w:numId="72">
    <w:abstractNumId w:val="24"/>
  </w:num>
  <w:num w:numId="73">
    <w:abstractNumId w:val="26"/>
  </w:num>
  <w:num w:numId="74">
    <w:abstractNumId w:val="28"/>
  </w:num>
  <w:num w:numId="75">
    <w:abstractNumId w:val="29"/>
  </w:num>
  <w:num w:numId="76">
    <w:abstractNumId w:val="30"/>
  </w:num>
  <w:num w:numId="77">
    <w:abstractNumId w:val="31"/>
  </w:num>
  <w:num w:numId="78">
    <w:abstractNumId w:val="32"/>
  </w:num>
  <w:num w:numId="79">
    <w:abstractNumId w:val="33"/>
  </w:num>
  <w:num w:numId="80">
    <w:abstractNumId w:val="34"/>
  </w:num>
  <w:num w:numId="81">
    <w:abstractNumId w:val="35"/>
  </w:num>
  <w:num w:numId="82">
    <w:abstractNumId w:val="39"/>
  </w:num>
  <w:num w:numId="83">
    <w:abstractNumId w:val="40"/>
  </w:num>
  <w:num w:numId="84">
    <w:abstractNumId w:val="46"/>
  </w:num>
  <w:num w:numId="85">
    <w:abstractNumId w:val="49"/>
  </w:num>
  <w:num w:numId="86">
    <w:abstractNumId w:val="51"/>
  </w:num>
  <w:num w:numId="87">
    <w:abstractNumId w:val="53"/>
  </w:num>
  <w:num w:numId="88">
    <w:abstractNumId w:val="55"/>
  </w:num>
  <w:num w:numId="89">
    <w:abstractNumId w:val="57"/>
  </w:num>
  <w:num w:numId="90">
    <w:abstractNumId w:val="58"/>
  </w:num>
  <w:num w:numId="91">
    <w:abstractNumId w:val="59"/>
  </w:num>
  <w:num w:numId="92">
    <w:abstractNumId w:val="60"/>
  </w:num>
  <w:num w:numId="93">
    <w:abstractNumId w:val="61"/>
  </w:num>
  <w:num w:numId="94">
    <w:abstractNumId w:val="20"/>
  </w:num>
  <w:num w:numId="95">
    <w:abstractNumId w:val="41"/>
  </w:num>
  <w:num w:numId="96">
    <w:abstractNumId w:val="52"/>
  </w:num>
  <w:num w:numId="97">
    <w:abstractNumId w:val="50"/>
  </w:num>
  <w:num w:numId="98">
    <w:abstractNumId w:val="45"/>
  </w:num>
  <w:num w:numId="99">
    <w:abstractNumId w:val="36"/>
  </w:num>
  <w:num w:numId="100">
    <w:abstractNumId w:val="3"/>
  </w:num>
  <w:num w:numId="101">
    <w:abstractNumId w:val="25"/>
  </w:num>
  <w:num w:numId="102">
    <w:abstractNumId w:val="47"/>
  </w:num>
  <w:num w:numId="103">
    <w:abstractNumId w:val="5"/>
  </w:num>
  <w:num w:numId="104">
    <w:abstractNumId w:val="43"/>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70D7"/>
    <w:rsid w:val="00010A21"/>
    <w:rsid w:val="000111A8"/>
    <w:rsid w:val="0001730C"/>
    <w:rsid w:val="0001788C"/>
    <w:rsid w:val="00036A8A"/>
    <w:rsid w:val="00040C3A"/>
    <w:rsid w:val="000639C0"/>
    <w:rsid w:val="00070F3A"/>
    <w:rsid w:val="000716C5"/>
    <w:rsid w:val="00075E23"/>
    <w:rsid w:val="00092F32"/>
    <w:rsid w:val="0009344A"/>
    <w:rsid w:val="000A302B"/>
    <w:rsid w:val="000A575F"/>
    <w:rsid w:val="000D10DB"/>
    <w:rsid w:val="000E7306"/>
    <w:rsid w:val="0013104F"/>
    <w:rsid w:val="00137EBA"/>
    <w:rsid w:val="00145EDC"/>
    <w:rsid w:val="00167A34"/>
    <w:rsid w:val="0018037F"/>
    <w:rsid w:val="001A5F27"/>
    <w:rsid w:val="001A7870"/>
    <w:rsid w:val="001C1B41"/>
    <w:rsid w:val="00210E0E"/>
    <w:rsid w:val="00225855"/>
    <w:rsid w:val="00247403"/>
    <w:rsid w:val="00247542"/>
    <w:rsid w:val="00257893"/>
    <w:rsid w:val="00265CA3"/>
    <w:rsid w:val="00266092"/>
    <w:rsid w:val="00266B61"/>
    <w:rsid w:val="0026712A"/>
    <w:rsid w:val="002704DB"/>
    <w:rsid w:val="002C1641"/>
    <w:rsid w:val="002D535B"/>
    <w:rsid w:val="002D7EA2"/>
    <w:rsid w:val="002E15DF"/>
    <w:rsid w:val="002E187C"/>
    <w:rsid w:val="002E6E57"/>
    <w:rsid w:val="00301075"/>
    <w:rsid w:val="00302733"/>
    <w:rsid w:val="00311A4F"/>
    <w:rsid w:val="00314078"/>
    <w:rsid w:val="00322450"/>
    <w:rsid w:val="003246B5"/>
    <w:rsid w:val="0033169F"/>
    <w:rsid w:val="00333B09"/>
    <w:rsid w:val="003414AC"/>
    <w:rsid w:val="00356185"/>
    <w:rsid w:val="00360380"/>
    <w:rsid w:val="00386CF0"/>
    <w:rsid w:val="003C32BC"/>
    <w:rsid w:val="003F1BBF"/>
    <w:rsid w:val="004165C2"/>
    <w:rsid w:val="00450A4A"/>
    <w:rsid w:val="004666FB"/>
    <w:rsid w:val="00467B7E"/>
    <w:rsid w:val="00476411"/>
    <w:rsid w:val="0049419D"/>
    <w:rsid w:val="004B2762"/>
    <w:rsid w:val="004B7EB6"/>
    <w:rsid w:val="004C3654"/>
    <w:rsid w:val="004C4B62"/>
    <w:rsid w:val="004D6025"/>
    <w:rsid w:val="004D72BC"/>
    <w:rsid w:val="00501399"/>
    <w:rsid w:val="00507BC4"/>
    <w:rsid w:val="005128E4"/>
    <w:rsid w:val="00525560"/>
    <w:rsid w:val="005357A6"/>
    <w:rsid w:val="00544C49"/>
    <w:rsid w:val="0057402A"/>
    <w:rsid w:val="005771D0"/>
    <w:rsid w:val="0059191A"/>
    <w:rsid w:val="005921FF"/>
    <w:rsid w:val="00593AB3"/>
    <w:rsid w:val="005A1131"/>
    <w:rsid w:val="005A6D0E"/>
    <w:rsid w:val="005B222D"/>
    <w:rsid w:val="005B52B0"/>
    <w:rsid w:val="005B6806"/>
    <w:rsid w:val="005C00F9"/>
    <w:rsid w:val="005C4225"/>
    <w:rsid w:val="005F0F33"/>
    <w:rsid w:val="00600DEB"/>
    <w:rsid w:val="00613027"/>
    <w:rsid w:val="00627C9F"/>
    <w:rsid w:val="006311DA"/>
    <w:rsid w:val="006311E9"/>
    <w:rsid w:val="00632354"/>
    <w:rsid w:val="00642810"/>
    <w:rsid w:val="00652333"/>
    <w:rsid w:val="006640AA"/>
    <w:rsid w:val="0068009E"/>
    <w:rsid w:val="006A17D2"/>
    <w:rsid w:val="006A73E6"/>
    <w:rsid w:val="006B2D5C"/>
    <w:rsid w:val="006C4EB1"/>
    <w:rsid w:val="006E0166"/>
    <w:rsid w:val="006E7B34"/>
    <w:rsid w:val="00701B24"/>
    <w:rsid w:val="00711A48"/>
    <w:rsid w:val="00745899"/>
    <w:rsid w:val="007607C4"/>
    <w:rsid w:val="0076643F"/>
    <w:rsid w:val="007A2F70"/>
    <w:rsid w:val="007B6665"/>
    <w:rsid w:val="007C3334"/>
    <w:rsid w:val="007C52BB"/>
    <w:rsid w:val="007D2B98"/>
    <w:rsid w:val="00803F1C"/>
    <w:rsid w:val="0080600E"/>
    <w:rsid w:val="00817612"/>
    <w:rsid w:val="00837C45"/>
    <w:rsid w:val="00853419"/>
    <w:rsid w:val="00897E12"/>
    <w:rsid w:val="008D43BA"/>
    <w:rsid w:val="008E3759"/>
    <w:rsid w:val="008F50A0"/>
    <w:rsid w:val="009041DC"/>
    <w:rsid w:val="009104B4"/>
    <w:rsid w:val="00925FCD"/>
    <w:rsid w:val="0093441A"/>
    <w:rsid w:val="00954BF7"/>
    <w:rsid w:val="0096706E"/>
    <w:rsid w:val="0097720E"/>
    <w:rsid w:val="00981FBA"/>
    <w:rsid w:val="009B381B"/>
    <w:rsid w:val="009C2E34"/>
    <w:rsid w:val="009D7611"/>
    <w:rsid w:val="009E53DE"/>
    <w:rsid w:val="00A36B13"/>
    <w:rsid w:val="00A43458"/>
    <w:rsid w:val="00A528D1"/>
    <w:rsid w:val="00A66BE5"/>
    <w:rsid w:val="00AA4BD6"/>
    <w:rsid w:val="00AD37C1"/>
    <w:rsid w:val="00AE66EC"/>
    <w:rsid w:val="00AE6F91"/>
    <w:rsid w:val="00AF5571"/>
    <w:rsid w:val="00B167E9"/>
    <w:rsid w:val="00B314DB"/>
    <w:rsid w:val="00B31EBE"/>
    <w:rsid w:val="00B3718B"/>
    <w:rsid w:val="00B4632A"/>
    <w:rsid w:val="00BA276C"/>
    <w:rsid w:val="00BB306F"/>
    <w:rsid w:val="00BD232B"/>
    <w:rsid w:val="00BD4B89"/>
    <w:rsid w:val="00C21762"/>
    <w:rsid w:val="00C24543"/>
    <w:rsid w:val="00C256A2"/>
    <w:rsid w:val="00C3492D"/>
    <w:rsid w:val="00C55560"/>
    <w:rsid w:val="00C6376A"/>
    <w:rsid w:val="00C66B72"/>
    <w:rsid w:val="00C9567A"/>
    <w:rsid w:val="00CB2660"/>
    <w:rsid w:val="00CC5E90"/>
    <w:rsid w:val="00CD046C"/>
    <w:rsid w:val="00CE5199"/>
    <w:rsid w:val="00CE66D5"/>
    <w:rsid w:val="00CF54A4"/>
    <w:rsid w:val="00D34786"/>
    <w:rsid w:val="00D40A1E"/>
    <w:rsid w:val="00D42817"/>
    <w:rsid w:val="00D712D3"/>
    <w:rsid w:val="00D71422"/>
    <w:rsid w:val="00D7145E"/>
    <w:rsid w:val="00D7558D"/>
    <w:rsid w:val="00D81D92"/>
    <w:rsid w:val="00D93446"/>
    <w:rsid w:val="00DA7B5F"/>
    <w:rsid w:val="00DC3FA8"/>
    <w:rsid w:val="00DE4E65"/>
    <w:rsid w:val="00DF05F9"/>
    <w:rsid w:val="00E129EE"/>
    <w:rsid w:val="00E43157"/>
    <w:rsid w:val="00E533FF"/>
    <w:rsid w:val="00E57C37"/>
    <w:rsid w:val="00E709B3"/>
    <w:rsid w:val="00E832F9"/>
    <w:rsid w:val="00E8789F"/>
    <w:rsid w:val="00E97B71"/>
    <w:rsid w:val="00EB454D"/>
    <w:rsid w:val="00EE3522"/>
    <w:rsid w:val="00EF619B"/>
    <w:rsid w:val="00EF7634"/>
    <w:rsid w:val="00F00B55"/>
    <w:rsid w:val="00F1380F"/>
    <w:rsid w:val="00F14F0E"/>
    <w:rsid w:val="00F24C29"/>
    <w:rsid w:val="00F253CC"/>
    <w:rsid w:val="00F27DAF"/>
    <w:rsid w:val="00F56BA5"/>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D9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table" w:styleId="TableGrid">
    <w:name w:val="Table Grid"/>
    <w:basedOn w:val="TableNormal"/>
    <w:uiPriority w:val="59"/>
    <w:rsid w:val="00DC3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table" w:styleId="TableGrid">
    <w:name w:val="Table Grid"/>
    <w:basedOn w:val="TableNormal"/>
    <w:uiPriority w:val="59"/>
    <w:rsid w:val="00DC3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bcra.gov.ar/PublicacionesEstadisticas/Cotizaciones_por_fecha_2.as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AA50EB1DC2F4D36A8D357A7099FE7E2"/>
        <w:category>
          <w:name w:val="General"/>
          <w:gallery w:val="placeholder"/>
        </w:category>
        <w:types>
          <w:type w:val="bbPlcHdr"/>
        </w:types>
        <w:behaviors>
          <w:behavior w:val="content"/>
        </w:behaviors>
        <w:guid w:val="{4D4A4442-0B44-46D6-97D3-54BBE5AB6FB6}"/>
      </w:docPartPr>
      <w:docPartBody>
        <w:p w:rsidR="000B56AA" w:rsidRDefault="00920EFD" w:rsidP="00920EFD">
          <w:pPr>
            <w:pStyle w:val="AAA50EB1DC2F4D36A8D357A7099FE7E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EFD"/>
    <w:rsid w:val="000622A0"/>
    <w:rsid w:val="000B56AA"/>
    <w:rsid w:val="002964E5"/>
    <w:rsid w:val="002A0FAC"/>
    <w:rsid w:val="00600D10"/>
    <w:rsid w:val="00656E80"/>
    <w:rsid w:val="0067324F"/>
    <w:rsid w:val="008E77B0"/>
    <w:rsid w:val="00920EFD"/>
    <w:rsid w:val="00CB3142"/>
    <w:rsid w:val="00E74B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0EFD"/>
    <w:rPr>
      <w:color w:val="808080"/>
    </w:rPr>
  </w:style>
  <w:style w:type="paragraph" w:customStyle="1" w:styleId="AAA50EB1DC2F4D36A8D357A7099FE7E2">
    <w:name w:val="AAA50EB1DC2F4D36A8D357A7099FE7E2"/>
    <w:rsid w:val="00920EF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0EFD"/>
    <w:rPr>
      <w:color w:val="808080"/>
    </w:rPr>
  </w:style>
  <w:style w:type="paragraph" w:customStyle="1" w:styleId="AAA50EB1DC2F4D36A8D357A7099FE7E2">
    <w:name w:val="AAA50EB1DC2F4D36A8D357A7099FE7E2"/>
    <w:rsid w:val="00920E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FA231-5EC5-44F9-B467-0EE90F1AB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2217</Words>
  <Characters>12641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102/17</dc:title>
  <dc:creator/>
  <cp:lastModifiedBy/>
  <cp:revision>1</cp:revision>
  <dcterms:created xsi:type="dcterms:W3CDTF">2018-03-15T17:25:00Z</dcterms:created>
  <dcterms:modified xsi:type="dcterms:W3CDTF">2018-03-15T17:25:00Z</dcterms:modified>
</cp:coreProperties>
</file>