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D4389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114</w:t>
                            </w:r>
                            <w:r w:rsidR="00322450">
                              <w:rPr>
                                <w:rFonts w:asciiTheme="majorHAnsi" w:hAnsiTheme="majorHAnsi" w:cs="Arial"/>
                                <w:b/>
                                <w:bCs/>
                                <w:color w:val="0D0D0D" w:themeColor="text1" w:themeTint="F2"/>
                                <w:sz w:val="36"/>
                                <w:szCs w:val="40"/>
                                <w:lang w:val="en"/>
                              </w:rPr>
                              <w:t>/17</w:t>
                            </w:r>
                          </w:p>
                          <w:p w:rsidR="00322450" w:rsidRPr="004B7EB6" w:rsidRDefault="00613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PETITION 1151-08</w:t>
                            </w:r>
                          </w:p>
                          <w:p w:rsidR="009459BB" w:rsidRPr="004B7EB6" w:rsidRDefault="00450A4A" w:rsidP="009459B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9459BB" w:rsidRPr="00E90504" w:rsidRDefault="009459BB" w:rsidP="009459BB">
                            <w:pPr>
                              <w:spacing w:line="276" w:lineRule="auto"/>
                              <w:rPr>
                                <w:rFonts w:asciiTheme="majorHAnsi" w:hAnsiTheme="majorHAnsi" w:cs="Arial"/>
                                <w:color w:val="0D0D0D" w:themeColor="text1" w:themeTint="F2"/>
                                <w:szCs w:val="22"/>
                                <w:lang w:val="es-ES"/>
                              </w:rPr>
                            </w:pPr>
                            <w:r w:rsidRPr="00E90504">
                              <w:rPr>
                                <w:rFonts w:asciiTheme="majorHAnsi" w:hAnsiTheme="majorHAnsi" w:cs="Arial"/>
                                <w:color w:val="0D0D0D" w:themeColor="text1" w:themeTint="F2"/>
                                <w:szCs w:val="22"/>
                                <w:lang w:val="es-ES"/>
                              </w:rPr>
                              <w:t>JOSÉ ISMAEL MARTÍNEZ ROMÁN AND FAMILY</w:t>
                            </w:r>
                          </w:p>
                          <w:p w:rsidR="005B52B0" w:rsidRPr="004B7EB6" w:rsidRDefault="009459BB" w:rsidP="009459BB">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D4389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114</w:t>
                      </w:r>
                      <w:r w:rsidR="00322450">
                        <w:rPr>
                          <w:rFonts w:asciiTheme="majorHAnsi" w:hAnsiTheme="majorHAnsi" w:cs="Arial"/>
                          <w:b/>
                          <w:bCs/>
                          <w:color w:val="0D0D0D" w:themeColor="text1" w:themeTint="F2"/>
                          <w:sz w:val="36"/>
                          <w:szCs w:val="40"/>
                          <w:lang w:val="en"/>
                        </w:rPr>
                        <w:t>/17</w:t>
                      </w:r>
                    </w:p>
                    <w:p w:rsidR="00322450" w:rsidRPr="004B7EB6" w:rsidRDefault="00613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PETITION 1151-08</w:t>
                      </w:r>
                    </w:p>
                    <w:p w:rsidR="009459BB" w:rsidRPr="004B7EB6" w:rsidRDefault="00450A4A" w:rsidP="009459B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9459BB" w:rsidRPr="00E90504" w:rsidRDefault="009459BB" w:rsidP="009459BB">
                      <w:pPr>
                        <w:spacing w:line="276" w:lineRule="auto"/>
                        <w:rPr>
                          <w:rFonts w:asciiTheme="majorHAnsi" w:hAnsiTheme="majorHAnsi" w:cs="Arial"/>
                          <w:color w:val="0D0D0D" w:themeColor="text1" w:themeTint="F2"/>
                          <w:szCs w:val="22"/>
                          <w:lang w:val="es-ES"/>
                        </w:rPr>
                      </w:pPr>
                      <w:r w:rsidRPr="00E90504">
                        <w:rPr>
                          <w:rFonts w:asciiTheme="majorHAnsi" w:hAnsiTheme="majorHAnsi" w:cs="Arial"/>
                          <w:color w:val="0D0D0D" w:themeColor="text1" w:themeTint="F2"/>
                          <w:szCs w:val="22"/>
                          <w:lang w:val="es-ES"/>
                        </w:rPr>
                        <w:t>JOSÉ ISMAEL MARTÍNEZ ROMÁN AND FAMILY</w:t>
                      </w:r>
                    </w:p>
                    <w:p w:rsidR="005B52B0" w:rsidRPr="004B7EB6" w:rsidRDefault="009459BB" w:rsidP="009459BB">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COLOMBIA</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90504" w:rsidRDefault="00627C9F" w:rsidP="002C1641">
                            <w:pPr>
                              <w:jc w:val="right"/>
                              <w:rPr>
                                <w:rFonts w:asciiTheme="minorHAnsi" w:hAnsiTheme="minorHAnsi"/>
                                <w:color w:val="FFFFFF" w:themeColor="background1"/>
                                <w:sz w:val="22"/>
                                <w:lang w:val="pt-BR"/>
                              </w:rPr>
                            </w:pPr>
                            <w:r w:rsidRPr="00E90504">
                              <w:rPr>
                                <w:rFonts w:asciiTheme="minorHAnsi" w:hAnsiTheme="minorHAnsi"/>
                                <w:color w:val="FFFFFF" w:themeColor="background1"/>
                                <w:sz w:val="22"/>
                                <w:lang w:val="pt-BR"/>
                              </w:rPr>
                              <w:t>OEA/Ser.L/V/II.164</w:t>
                            </w:r>
                          </w:p>
                          <w:p w:rsidR="00627C9F" w:rsidRPr="00E90504" w:rsidRDefault="00D43892"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135</w:t>
                            </w:r>
                          </w:p>
                          <w:p w:rsidR="00627C9F" w:rsidRPr="004B7EB6" w:rsidRDefault="00D43892"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7</w:t>
                            </w:r>
                            <w:r w:rsidR="00627C9F">
                              <w:rPr>
                                <w:rFonts w:asciiTheme="minorHAnsi" w:hAnsiTheme="minorHAnsi"/>
                                <w:color w:val="FFFFFF" w:themeColor="background1"/>
                                <w:sz w:val="22"/>
                                <w:lang w:val="en"/>
                              </w:rPr>
                              <w:t xml:space="preserve"> September 2017</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E90504" w:rsidRDefault="00627C9F" w:rsidP="002C1641">
                      <w:pPr>
                        <w:jc w:val="right"/>
                        <w:rPr>
                          <w:rFonts w:asciiTheme="minorHAnsi" w:hAnsiTheme="minorHAnsi"/>
                          <w:color w:val="FFFFFF" w:themeColor="background1"/>
                          <w:sz w:val="22"/>
                          <w:lang w:val="pt-BR"/>
                        </w:rPr>
                      </w:pPr>
                      <w:r w:rsidRPr="00E90504">
                        <w:rPr>
                          <w:rFonts w:asciiTheme="minorHAnsi" w:hAnsiTheme="minorHAnsi"/>
                          <w:color w:val="FFFFFF" w:themeColor="background1"/>
                          <w:sz w:val="22"/>
                          <w:lang w:val="pt-BR"/>
                        </w:rPr>
                        <w:t>OEA/Ser.L/V/II.164</w:t>
                      </w:r>
                    </w:p>
                    <w:p w:rsidR="00627C9F" w:rsidRPr="00E90504" w:rsidRDefault="00D43892"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135</w:t>
                      </w:r>
                    </w:p>
                    <w:p w:rsidR="00627C9F" w:rsidRPr="004B7EB6" w:rsidRDefault="00D43892"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7</w:t>
                      </w:r>
                      <w:r w:rsidR="00627C9F">
                        <w:rPr>
                          <w:rFonts w:asciiTheme="minorHAnsi" w:hAnsiTheme="minorHAnsi"/>
                          <w:color w:val="FFFFFF" w:themeColor="background1"/>
                          <w:sz w:val="22"/>
                          <w:lang w:val="en"/>
                        </w:rPr>
                        <w:t xml:space="preserve"> September 2017</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bookmarkStart w:id="0" w:name="_GoBack"/>
      <w:bookmarkEnd w:id="0"/>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892" w:rsidRPr="00D43892" w:rsidRDefault="00D43892" w:rsidP="00D43892">
                            <w:pPr>
                              <w:tabs>
                                <w:tab w:val="center" w:pos="5400"/>
                              </w:tabs>
                              <w:suppressAutoHyphens/>
                              <w:spacing w:before="60"/>
                              <w:rPr>
                                <w:rFonts w:asciiTheme="majorHAnsi" w:hAnsiTheme="majorHAnsi"/>
                                <w:color w:val="0D0D0D" w:themeColor="text1" w:themeTint="F2"/>
                                <w:sz w:val="18"/>
                                <w:szCs w:val="20"/>
                              </w:rPr>
                            </w:pPr>
                            <w:r w:rsidRPr="00D43892">
                              <w:rPr>
                                <w:rFonts w:asciiTheme="majorHAnsi" w:hAnsiTheme="majorHAnsi"/>
                                <w:color w:val="0D0D0D" w:themeColor="text1" w:themeTint="F2"/>
                                <w:sz w:val="18"/>
                                <w:szCs w:val="20"/>
                              </w:rPr>
                              <w:t>Approved by the Commission at its session No. 2098 held on September 7, 2017</w:t>
                            </w:r>
                            <w:r w:rsidR="007051E9">
                              <w:rPr>
                                <w:rFonts w:asciiTheme="majorHAnsi" w:hAnsiTheme="majorHAnsi"/>
                                <w:color w:val="0D0D0D" w:themeColor="text1" w:themeTint="F2"/>
                                <w:sz w:val="18"/>
                                <w:szCs w:val="20"/>
                              </w:rPr>
                              <w:t>.</w:t>
                            </w:r>
                            <w:r w:rsidRPr="00D43892">
                              <w:rPr>
                                <w:rFonts w:asciiTheme="majorHAnsi" w:hAnsiTheme="majorHAnsi"/>
                                <w:color w:val="0D0D0D" w:themeColor="text1" w:themeTint="F2"/>
                                <w:sz w:val="18"/>
                                <w:szCs w:val="20"/>
                              </w:rPr>
                              <w:br/>
                            </w:r>
                            <w:r w:rsidR="00DA12A9" w:rsidRPr="00DA12A9">
                              <w:rPr>
                                <w:rFonts w:asciiTheme="majorHAnsi" w:hAnsiTheme="majorHAnsi"/>
                                <w:color w:val="0D0D0D" w:themeColor="text1" w:themeTint="F2"/>
                                <w:sz w:val="18"/>
                                <w:szCs w:val="20"/>
                                <w:lang w:val="en"/>
                              </w:rPr>
                              <w:t>164</w:t>
                            </w:r>
                            <w:r w:rsidR="00DA12A9" w:rsidRPr="00DA12A9">
                              <w:rPr>
                                <w:rFonts w:asciiTheme="majorHAnsi" w:hAnsiTheme="majorHAnsi"/>
                                <w:color w:val="0D0D0D" w:themeColor="text1" w:themeTint="F2"/>
                                <w:sz w:val="18"/>
                                <w:szCs w:val="20"/>
                                <w:vertAlign w:val="superscript"/>
                                <w:lang w:val="en"/>
                              </w:rPr>
                              <w:t>th</w:t>
                            </w:r>
                            <w:r w:rsidR="00DA12A9" w:rsidRPr="00DA12A9">
                              <w:rPr>
                                <w:rFonts w:asciiTheme="majorHAnsi" w:hAnsiTheme="majorHAnsi"/>
                                <w:color w:val="0D0D0D" w:themeColor="text1" w:themeTint="F2"/>
                                <w:sz w:val="18"/>
                                <w:szCs w:val="20"/>
                                <w:lang w:val="en"/>
                              </w:rPr>
                              <w:t xml:space="preserve"> </w:t>
                            </w:r>
                            <w:r w:rsidR="007051E9">
                              <w:rPr>
                                <w:rFonts w:asciiTheme="majorHAnsi" w:hAnsiTheme="majorHAnsi"/>
                                <w:color w:val="0D0D0D" w:themeColor="text1" w:themeTint="F2"/>
                                <w:sz w:val="18"/>
                                <w:szCs w:val="20"/>
                                <w:lang w:val="en"/>
                              </w:rPr>
                              <w:t>Special</w:t>
                            </w:r>
                            <w:r w:rsidR="00DA12A9" w:rsidRPr="00DA12A9">
                              <w:rPr>
                                <w:rFonts w:asciiTheme="majorHAnsi" w:hAnsiTheme="majorHAnsi"/>
                                <w:color w:val="0D0D0D" w:themeColor="text1" w:themeTint="F2"/>
                                <w:sz w:val="18"/>
                                <w:szCs w:val="20"/>
                                <w:lang w:val="en"/>
                              </w:rPr>
                              <w:t xml:space="preserve"> Period of Sessions</w:t>
                            </w:r>
                            <w:r w:rsidR="007051E9">
                              <w:rPr>
                                <w:rFonts w:asciiTheme="majorHAnsi" w:hAnsiTheme="majorHAnsi"/>
                                <w:color w:val="0D0D0D" w:themeColor="text1" w:themeTint="F2"/>
                                <w:sz w:val="18"/>
                                <w:szCs w:val="20"/>
                                <w:lang w:val="en"/>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D43892" w:rsidRPr="00D43892" w:rsidRDefault="00D43892" w:rsidP="00D43892">
                      <w:pPr>
                        <w:tabs>
                          <w:tab w:val="center" w:pos="5400"/>
                        </w:tabs>
                        <w:suppressAutoHyphens/>
                        <w:spacing w:before="60"/>
                        <w:rPr>
                          <w:rFonts w:asciiTheme="majorHAnsi" w:hAnsiTheme="majorHAnsi"/>
                          <w:color w:val="0D0D0D" w:themeColor="text1" w:themeTint="F2"/>
                          <w:sz w:val="18"/>
                          <w:szCs w:val="20"/>
                        </w:rPr>
                      </w:pPr>
                      <w:r w:rsidRPr="00D43892">
                        <w:rPr>
                          <w:rFonts w:asciiTheme="majorHAnsi" w:hAnsiTheme="majorHAnsi"/>
                          <w:color w:val="0D0D0D" w:themeColor="text1" w:themeTint="F2"/>
                          <w:sz w:val="18"/>
                          <w:szCs w:val="20"/>
                        </w:rPr>
                        <w:t>Approved by the Commission at its session No. 2098 held on September 7, 2017</w:t>
                      </w:r>
                      <w:r w:rsidR="007051E9">
                        <w:rPr>
                          <w:rFonts w:asciiTheme="majorHAnsi" w:hAnsiTheme="majorHAnsi"/>
                          <w:color w:val="0D0D0D" w:themeColor="text1" w:themeTint="F2"/>
                          <w:sz w:val="18"/>
                          <w:szCs w:val="20"/>
                        </w:rPr>
                        <w:t>.</w:t>
                      </w:r>
                      <w:r w:rsidRPr="00D43892">
                        <w:rPr>
                          <w:rFonts w:asciiTheme="majorHAnsi" w:hAnsiTheme="majorHAnsi"/>
                          <w:color w:val="0D0D0D" w:themeColor="text1" w:themeTint="F2"/>
                          <w:sz w:val="18"/>
                          <w:szCs w:val="20"/>
                        </w:rPr>
                        <w:br/>
                      </w:r>
                      <w:r w:rsidR="00DA12A9" w:rsidRPr="00DA12A9">
                        <w:rPr>
                          <w:rFonts w:asciiTheme="majorHAnsi" w:hAnsiTheme="majorHAnsi"/>
                          <w:color w:val="0D0D0D" w:themeColor="text1" w:themeTint="F2"/>
                          <w:sz w:val="18"/>
                          <w:szCs w:val="20"/>
                          <w:lang w:val="en"/>
                        </w:rPr>
                        <w:t>164</w:t>
                      </w:r>
                      <w:r w:rsidR="00DA12A9" w:rsidRPr="00DA12A9">
                        <w:rPr>
                          <w:rFonts w:asciiTheme="majorHAnsi" w:hAnsiTheme="majorHAnsi"/>
                          <w:color w:val="0D0D0D" w:themeColor="text1" w:themeTint="F2"/>
                          <w:sz w:val="18"/>
                          <w:szCs w:val="20"/>
                          <w:vertAlign w:val="superscript"/>
                          <w:lang w:val="en"/>
                        </w:rPr>
                        <w:t>th</w:t>
                      </w:r>
                      <w:r w:rsidR="00DA12A9" w:rsidRPr="00DA12A9">
                        <w:rPr>
                          <w:rFonts w:asciiTheme="majorHAnsi" w:hAnsiTheme="majorHAnsi"/>
                          <w:color w:val="0D0D0D" w:themeColor="text1" w:themeTint="F2"/>
                          <w:sz w:val="18"/>
                          <w:szCs w:val="20"/>
                          <w:lang w:val="en"/>
                        </w:rPr>
                        <w:t xml:space="preserve"> </w:t>
                      </w:r>
                      <w:r w:rsidR="007051E9">
                        <w:rPr>
                          <w:rFonts w:asciiTheme="majorHAnsi" w:hAnsiTheme="majorHAnsi"/>
                          <w:color w:val="0D0D0D" w:themeColor="text1" w:themeTint="F2"/>
                          <w:sz w:val="18"/>
                          <w:szCs w:val="20"/>
                          <w:lang w:val="en"/>
                        </w:rPr>
                        <w:t>Special</w:t>
                      </w:r>
                      <w:r w:rsidR="00DA12A9" w:rsidRPr="00DA12A9">
                        <w:rPr>
                          <w:rFonts w:asciiTheme="majorHAnsi" w:hAnsiTheme="majorHAnsi"/>
                          <w:color w:val="0D0D0D" w:themeColor="text1" w:themeTint="F2"/>
                          <w:sz w:val="18"/>
                          <w:szCs w:val="20"/>
                          <w:lang w:val="en"/>
                        </w:rPr>
                        <w:t xml:space="preserve"> Period of Sessions</w:t>
                      </w:r>
                      <w:r w:rsidR="007051E9">
                        <w:rPr>
                          <w:rFonts w:asciiTheme="majorHAnsi" w:hAnsiTheme="majorHAnsi"/>
                          <w:color w:val="0D0D0D" w:themeColor="text1" w:themeTint="F2"/>
                          <w:sz w:val="18"/>
                          <w:szCs w:val="20"/>
                          <w:lang w:val="en"/>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D43892" w:rsidRDefault="00F644E6" w:rsidP="00D43892">
                            <w:pPr>
                              <w:spacing w:line="276" w:lineRule="auto"/>
                              <w:rPr>
                                <w:rFonts w:asciiTheme="majorHAnsi" w:hAnsiTheme="majorHAnsi"/>
                                <w:color w:val="595959" w:themeColor="text1" w:themeTint="A6"/>
                                <w:sz w:val="18"/>
                                <w:lang w:val="en"/>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 xml:space="preserve">IACHR, Report No. </w:t>
                            </w:r>
                            <w:r w:rsidR="00D43892">
                              <w:rPr>
                                <w:rFonts w:asciiTheme="majorHAnsi" w:hAnsiTheme="majorHAnsi"/>
                                <w:color w:val="595959" w:themeColor="text1" w:themeTint="A6"/>
                                <w:sz w:val="18"/>
                                <w:lang w:val="en"/>
                              </w:rPr>
                              <w:t xml:space="preserve">114/17. Petition 1151-08. Admissibility. </w:t>
                            </w:r>
                            <w:r w:rsidR="00D43892" w:rsidRPr="00D43892">
                              <w:rPr>
                                <w:rFonts w:asciiTheme="majorHAnsi" w:hAnsiTheme="majorHAnsi"/>
                                <w:color w:val="595959" w:themeColor="text1" w:themeTint="A6"/>
                                <w:sz w:val="18"/>
                                <w:lang w:val="en"/>
                              </w:rPr>
                              <w:t>José I</w:t>
                            </w:r>
                            <w:r w:rsidR="009A350B">
                              <w:rPr>
                                <w:rFonts w:asciiTheme="majorHAnsi" w:hAnsiTheme="majorHAnsi"/>
                                <w:color w:val="595959" w:themeColor="text1" w:themeTint="A6"/>
                                <w:sz w:val="18"/>
                                <w:lang w:val="en"/>
                              </w:rPr>
                              <w:t>smael Martínez Román a</w:t>
                            </w:r>
                            <w:r w:rsidR="00D43892">
                              <w:rPr>
                                <w:rFonts w:asciiTheme="majorHAnsi" w:hAnsiTheme="majorHAnsi"/>
                                <w:color w:val="595959" w:themeColor="text1" w:themeTint="A6"/>
                                <w:sz w:val="18"/>
                                <w:lang w:val="en"/>
                              </w:rPr>
                              <w:t xml:space="preserve">nd Family. </w:t>
                            </w:r>
                            <w:r w:rsidR="00D43892" w:rsidRPr="00D43892">
                              <w:rPr>
                                <w:rFonts w:asciiTheme="majorHAnsi" w:hAnsiTheme="majorHAnsi"/>
                                <w:color w:val="595959" w:themeColor="text1" w:themeTint="A6"/>
                                <w:sz w:val="18"/>
                                <w:lang w:val="en"/>
                              </w:rPr>
                              <w:t>Colombia</w:t>
                            </w:r>
                            <w:r w:rsidR="00D43892">
                              <w:rPr>
                                <w:rFonts w:asciiTheme="majorHAnsi" w:hAnsiTheme="majorHAnsi"/>
                                <w:color w:val="595959" w:themeColor="text1" w:themeTint="A6"/>
                                <w:sz w:val="18"/>
                                <w:lang w:val="en"/>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D43892" w:rsidRDefault="00F644E6" w:rsidP="00D43892">
                      <w:pPr>
                        <w:spacing w:line="276" w:lineRule="auto"/>
                        <w:rPr>
                          <w:rFonts w:asciiTheme="majorHAnsi" w:hAnsiTheme="majorHAnsi"/>
                          <w:color w:val="595959" w:themeColor="text1" w:themeTint="A6"/>
                          <w:sz w:val="18"/>
                          <w:lang w:val="en"/>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 xml:space="preserve">IACHR, Report No. </w:t>
                      </w:r>
                      <w:r w:rsidR="00D43892">
                        <w:rPr>
                          <w:rFonts w:asciiTheme="majorHAnsi" w:hAnsiTheme="majorHAnsi"/>
                          <w:color w:val="595959" w:themeColor="text1" w:themeTint="A6"/>
                          <w:sz w:val="18"/>
                          <w:lang w:val="en"/>
                        </w:rPr>
                        <w:t xml:space="preserve">114/17. </w:t>
                      </w:r>
                      <w:proofErr w:type="gramStart"/>
                      <w:r w:rsidR="00D43892">
                        <w:rPr>
                          <w:rFonts w:asciiTheme="majorHAnsi" w:hAnsiTheme="majorHAnsi"/>
                          <w:color w:val="595959" w:themeColor="text1" w:themeTint="A6"/>
                          <w:sz w:val="18"/>
                          <w:lang w:val="en"/>
                        </w:rPr>
                        <w:t>Petition 1151-08.</w:t>
                      </w:r>
                      <w:proofErr w:type="gramEnd"/>
                      <w:r w:rsidR="00D43892">
                        <w:rPr>
                          <w:rFonts w:asciiTheme="majorHAnsi" w:hAnsiTheme="majorHAnsi"/>
                          <w:color w:val="595959" w:themeColor="text1" w:themeTint="A6"/>
                          <w:sz w:val="18"/>
                          <w:lang w:val="en"/>
                        </w:rPr>
                        <w:t xml:space="preserve"> </w:t>
                      </w:r>
                      <w:proofErr w:type="gramStart"/>
                      <w:r w:rsidR="00D43892">
                        <w:rPr>
                          <w:rFonts w:asciiTheme="majorHAnsi" w:hAnsiTheme="majorHAnsi"/>
                          <w:color w:val="595959" w:themeColor="text1" w:themeTint="A6"/>
                          <w:sz w:val="18"/>
                          <w:lang w:val="en"/>
                        </w:rPr>
                        <w:t>Admissibility.</w:t>
                      </w:r>
                      <w:proofErr w:type="gramEnd"/>
                      <w:r w:rsidR="00D43892">
                        <w:rPr>
                          <w:rFonts w:asciiTheme="majorHAnsi" w:hAnsiTheme="majorHAnsi"/>
                          <w:color w:val="595959" w:themeColor="text1" w:themeTint="A6"/>
                          <w:sz w:val="18"/>
                          <w:lang w:val="en"/>
                        </w:rPr>
                        <w:t xml:space="preserve"> </w:t>
                      </w:r>
                      <w:proofErr w:type="gramStart"/>
                      <w:r w:rsidR="00D43892" w:rsidRPr="00D43892">
                        <w:rPr>
                          <w:rFonts w:asciiTheme="majorHAnsi" w:hAnsiTheme="majorHAnsi"/>
                          <w:color w:val="595959" w:themeColor="text1" w:themeTint="A6"/>
                          <w:sz w:val="18"/>
                          <w:lang w:val="en"/>
                        </w:rPr>
                        <w:t>José I</w:t>
                      </w:r>
                      <w:r w:rsidR="009A350B">
                        <w:rPr>
                          <w:rFonts w:asciiTheme="majorHAnsi" w:hAnsiTheme="majorHAnsi"/>
                          <w:color w:val="595959" w:themeColor="text1" w:themeTint="A6"/>
                          <w:sz w:val="18"/>
                          <w:lang w:val="en"/>
                        </w:rPr>
                        <w:t xml:space="preserve">smael </w:t>
                      </w:r>
                      <w:proofErr w:type="spellStart"/>
                      <w:r w:rsidR="009A350B">
                        <w:rPr>
                          <w:rFonts w:asciiTheme="majorHAnsi" w:hAnsiTheme="majorHAnsi"/>
                          <w:color w:val="595959" w:themeColor="text1" w:themeTint="A6"/>
                          <w:sz w:val="18"/>
                          <w:lang w:val="en"/>
                        </w:rPr>
                        <w:t>Martínez</w:t>
                      </w:r>
                      <w:proofErr w:type="spellEnd"/>
                      <w:r w:rsidR="009A350B">
                        <w:rPr>
                          <w:rFonts w:asciiTheme="majorHAnsi" w:hAnsiTheme="majorHAnsi"/>
                          <w:color w:val="595959" w:themeColor="text1" w:themeTint="A6"/>
                          <w:sz w:val="18"/>
                          <w:lang w:val="en"/>
                        </w:rPr>
                        <w:t xml:space="preserve"> </w:t>
                      </w:r>
                      <w:proofErr w:type="spellStart"/>
                      <w:r w:rsidR="009A350B">
                        <w:rPr>
                          <w:rFonts w:asciiTheme="majorHAnsi" w:hAnsiTheme="majorHAnsi"/>
                          <w:color w:val="595959" w:themeColor="text1" w:themeTint="A6"/>
                          <w:sz w:val="18"/>
                          <w:lang w:val="en"/>
                        </w:rPr>
                        <w:t>Román</w:t>
                      </w:r>
                      <w:proofErr w:type="spellEnd"/>
                      <w:r w:rsidR="009A350B">
                        <w:rPr>
                          <w:rFonts w:asciiTheme="majorHAnsi" w:hAnsiTheme="majorHAnsi"/>
                          <w:color w:val="595959" w:themeColor="text1" w:themeTint="A6"/>
                          <w:sz w:val="18"/>
                          <w:lang w:val="en"/>
                        </w:rPr>
                        <w:t xml:space="preserve"> a</w:t>
                      </w:r>
                      <w:r w:rsidR="00D43892">
                        <w:rPr>
                          <w:rFonts w:asciiTheme="majorHAnsi" w:hAnsiTheme="majorHAnsi"/>
                          <w:color w:val="595959" w:themeColor="text1" w:themeTint="A6"/>
                          <w:sz w:val="18"/>
                          <w:lang w:val="en"/>
                        </w:rPr>
                        <w:t>nd Family.</w:t>
                      </w:r>
                      <w:proofErr w:type="gramEnd"/>
                      <w:r w:rsidR="00D43892">
                        <w:rPr>
                          <w:rFonts w:asciiTheme="majorHAnsi" w:hAnsiTheme="majorHAnsi"/>
                          <w:color w:val="595959" w:themeColor="text1" w:themeTint="A6"/>
                          <w:sz w:val="18"/>
                          <w:lang w:val="en"/>
                        </w:rPr>
                        <w:t xml:space="preserve"> </w:t>
                      </w:r>
                      <w:r w:rsidR="00D43892" w:rsidRPr="00D43892">
                        <w:rPr>
                          <w:rFonts w:asciiTheme="majorHAnsi" w:hAnsiTheme="majorHAnsi"/>
                          <w:color w:val="595959" w:themeColor="text1" w:themeTint="A6"/>
                          <w:sz w:val="18"/>
                          <w:lang w:val="en"/>
                        </w:rPr>
                        <w:t>Colombia</w:t>
                      </w:r>
                      <w:r w:rsidR="00D43892">
                        <w:rPr>
                          <w:rFonts w:asciiTheme="majorHAnsi" w:hAnsiTheme="majorHAnsi"/>
                          <w:color w:val="595959" w:themeColor="text1" w:themeTint="A6"/>
                          <w:sz w:val="18"/>
                          <w:lang w:val="en"/>
                        </w:rPr>
                        <w:t>. September 7, 2017.</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9459BB" w:rsidRPr="00D11049" w:rsidRDefault="009A350B" w:rsidP="009459BB">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lastRenderedPageBreak/>
        <w:t>REPORT No. 114</w:t>
      </w:r>
      <w:r w:rsidR="009459BB">
        <w:rPr>
          <w:rFonts w:asciiTheme="majorHAnsi" w:hAnsiTheme="majorHAnsi"/>
          <w:b/>
          <w:bCs/>
          <w:sz w:val="18"/>
          <w:szCs w:val="20"/>
          <w:lang w:val="en"/>
        </w:rPr>
        <w:t>/17</w:t>
      </w:r>
      <w:r w:rsidR="009459BB">
        <w:rPr>
          <w:rStyle w:val="FootnoteReference"/>
          <w:rFonts w:asciiTheme="majorHAnsi" w:hAnsiTheme="majorHAnsi"/>
          <w:b/>
          <w:bCs/>
          <w:sz w:val="18"/>
          <w:szCs w:val="20"/>
          <w:lang w:val="en"/>
        </w:rPr>
        <w:footnoteReference w:id="2"/>
      </w:r>
    </w:p>
    <w:p w:rsidR="009459BB" w:rsidRPr="00D11049" w:rsidRDefault="009459BB" w:rsidP="009459BB">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t xml:space="preserve">PETITION 1151-08 </w:t>
      </w:r>
    </w:p>
    <w:p w:rsidR="009459BB" w:rsidRPr="00D11049" w:rsidRDefault="009459BB" w:rsidP="009459BB">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 xml:space="preserve">REPORT ON ADMISSIBILITY </w:t>
      </w:r>
    </w:p>
    <w:p w:rsidR="009459BB" w:rsidRPr="00E90504" w:rsidRDefault="009459BB" w:rsidP="009459BB">
      <w:pPr>
        <w:tabs>
          <w:tab w:val="center" w:pos="5400"/>
        </w:tabs>
        <w:suppressAutoHyphens/>
        <w:spacing w:line="276" w:lineRule="auto"/>
        <w:jc w:val="center"/>
        <w:rPr>
          <w:rFonts w:asciiTheme="majorHAnsi" w:hAnsiTheme="majorHAnsi"/>
          <w:sz w:val="18"/>
          <w:szCs w:val="20"/>
          <w:lang w:val="es-ES"/>
        </w:rPr>
      </w:pPr>
      <w:r w:rsidRPr="00E90504">
        <w:rPr>
          <w:rFonts w:asciiTheme="majorHAnsi" w:hAnsiTheme="majorHAnsi"/>
          <w:sz w:val="18"/>
          <w:szCs w:val="20"/>
          <w:lang w:val="es-ES"/>
        </w:rPr>
        <w:t>JOSÉ ISMAEL MARTÍNEZ ROMÁN AND FAMILY</w:t>
      </w:r>
    </w:p>
    <w:p w:rsidR="009459BB" w:rsidRPr="00D11049" w:rsidRDefault="009459BB" w:rsidP="009459BB">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COLOMBIA</w:t>
      </w:r>
    </w:p>
    <w:p w:rsidR="009459BB" w:rsidRPr="00D11049" w:rsidRDefault="009A350B" w:rsidP="009459BB">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lang w:val="en"/>
        </w:rPr>
        <w:t>SEPTEMBER 7, 2017</w:t>
      </w:r>
    </w:p>
    <w:p w:rsidR="009459BB" w:rsidRPr="00D11049" w:rsidRDefault="009459BB" w:rsidP="009459BB">
      <w:pPr>
        <w:tabs>
          <w:tab w:val="center" w:pos="5400"/>
        </w:tabs>
        <w:suppressAutoHyphens/>
        <w:spacing w:line="276" w:lineRule="auto"/>
        <w:rPr>
          <w:rFonts w:asciiTheme="majorHAnsi" w:hAnsiTheme="majorHAnsi"/>
          <w:sz w:val="20"/>
          <w:szCs w:val="20"/>
        </w:rPr>
      </w:pPr>
    </w:p>
    <w:p w:rsidR="009459BB" w:rsidRPr="00D11049" w:rsidRDefault="009459BB" w:rsidP="009459BB">
      <w:pPr>
        <w:pStyle w:val="ListParagraph"/>
        <w:numPr>
          <w:ilvl w:val="0"/>
          <w:numId w:val="106"/>
        </w:numPr>
        <w:spacing w:after="240"/>
        <w:jc w:val="both"/>
        <w:rPr>
          <w:rFonts w:asciiTheme="majorHAnsi" w:hAnsiTheme="majorHAnsi"/>
          <w:b/>
          <w:bCs/>
          <w:sz w:val="20"/>
          <w:szCs w:val="20"/>
        </w:rPr>
      </w:pPr>
      <w:r>
        <w:rPr>
          <w:rFonts w:asciiTheme="majorHAnsi" w:hAnsiTheme="majorHAnsi"/>
          <w:b/>
          <w:bCs/>
          <w:sz w:val="20"/>
          <w:szCs w:val="20"/>
          <w:lang w:val="en"/>
        </w:rPr>
        <w:t xml:space="preserve">INFORMATION </w:t>
      </w:r>
      <w:r w:rsidR="00E90504">
        <w:rPr>
          <w:rFonts w:asciiTheme="majorHAnsi" w:hAnsiTheme="majorHAnsi"/>
          <w:b/>
          <w:bCs/>
          <w:sz w:val="20"/>
          <w:szCs w:val="20"/>
          <w:lang w:val="en"/>
        </w:rPr>
        <w:t>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459BB" w:rsidRPr="00D11049" w:rsidTr="009459BB">
        <w:tc>
          <w:tcPr>
            <w:tcW w:w="4680" w:type="dxa"/>
            <w:tcBorders>
              <w:top w:val="single" w:sz="4" w:space="0" w:color="auto"/>
              <w:bottom w:val="single" w:sz="6" w:space="0" w:color="auto"/>
            </w:tcBorders>
            <w:shd w:val="clear" w:color="auto" w:fill="67AE3C"/>
            <w:vAlign w:val="center"/>
          </w:tcPr>
          <w:p w:rsidR="009459BB" w:rsidRPr="00D11049" w:rsidRDefault="009459BB" w:rsidP="009459BB">
            <w:pPr>
              <w:shd w:val="clear" w:color="auto" w:fill="67AE3C"/>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4680" w:type="dxa"/>
            <w:vAlign w:val="center"/>
          </w:tcPr>
          <w:p w:rsidR="009459BB" w:rsidRPr="00D11049" w:rsidRDefault="009459BB" w:rsidP="00D635E1">
            <w:pPr>
              <w:jc w:val="both"/>
              <w:rPr>
                <w:rFonts w:ascii="Cambria" w:hAnsi="Cambria"/>
                <w:bCs/>
                <w:sz w:val="20"/>
                <w:szCs w:val="20"/>
              </w:rPr>
            </w:pPr>
            <w:r>
              <w:rPr>
                <w:rFonts w:ascii="Cambria" w:hAnsi="Cambria"/>
                <w:sz w:val="20"/>
                <w:szCs w:val="20"/>
                <w:lang w:val="en"/>
              </w:rPr>
              <w:t>Eliana Patricia Quintero García</w:t>
            </w:r>
          </w:p>
        </w:tc>
      </w:tr>
      <w:tr w:rsidR="009459BB" w:rsidRPr="00F901B3" w:rsidTr="009459BB">
        <w:tc>
          <w:tcPr>
            <w:tcW w:w="4680" w:type="dxa"/>
            <w:tcBorders>
              <w:top w:val="single" w:sz="6" w:space="0" w:color="auto"/>
              <w:bottom w:val="single" w:sz="6" w:space="0" w:color="auto"/>
            </w:tcBorders>
            <w:shd w:val="clear" w:color="auto" w:fill="67AE3C"/>
            <w:vAlign w:val="center"/>
          </w:tcPr>
          <w:p w:rsidR="009459BB" w:rsidRPr="00D11049" w:rsidRDefault="007F3B26" w:rsidP="00D635E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E1D284C948D4A85B5F5ACBCB81851EF"/>
                </w:placeholder>
                <w:dropDownList>
                  <w:listItem w:value="Choose an item."/>
                  <w:listItem w:displayText="Presunta víctima" w:value="Presunta víctima"/>
                  <w:listItem w:displayText="Presuntas víctimas" w:value="Presuntas víctimas"/>
                </w:dropDownList>
              </w:sdtPr>
              <w:sdtEndPr/>
              <w:sdtContent>
                <w:r w:rsidR="009459BB">
                  <w:rPr>
                    <w:rFonts w:ascii="Cambria" w:hAnsi="Cambria"/>
                    <w:b/>
                    <w:bCs/>
                    <w:color w:val="FFFFFF" w:themeColor="background1"/>
                    <w:sz w:val="20"/>
                    <w:szCs w:val="20"/>
                    <w:lang w:val="en"/>
                  </w:rPr>
                  <w:t>Alleged victim</w:t>
                </w:r>
              </w:sdtContent>
            </w:sdt>
            <w:r w:rsidR="009459BB">
              <w:rPr>
                <w:rFonts w:ascii="Cambria" w:hAnsi="Cambria"/>
                <w:b/>
                <w:bCs/>
                <w:color w:val="FFFFFF" w:themeColor="background1"/>
                <w:sz w:val="20"/>
                <w:szCs w:val="20"/>
                <w:lang w:val="en"/>
              </w:rPr>
              <w:t>:</w:t>
            </w:r>
          </w:p>
        </w:tc>
        <w:tc>
          <w:tcPr>
            <w:tcW w:w="4680" w:type="dxa"/>
            <w:vAlign w:val="center"/>
          </w:tcPr>
          <w:p w:rsidR="009459BB" w:rsidRPr="00E90504" w:rsidRDefault="009459BB" w:rsidP="00D635E1">
            <w:pPr>
              <w:jc w:val="both"/>
              <w:rPr>
                <w:rFonts w:ascii="Cambria" w:hAnsi="Cambria"/>
                <w:bCs/>
                <w:sz w:val="20"/>
                <w:szCs w:val="20"/>
                <w:lang w:val="es-ES"/>
              </w:rPr>
            </w:pPr>
            <w:r w:rsidRPr="00E90504">
              <w:rPr>
                <w:rFonts w:ascii="Cambria" w:hAnsi="Cambria"/>
                <w:sz w:val="20"/>
                <w:szCs w:val="20"/>
                <w:lang w:val="es-ES"/>
              </w:rPr>
              <w:t>José Ismael Martínez Román and family</w:t>
            </w:r>
          </w:p>
        </w:tc>
      </w:tr>
      <w:tr w:rsidR="009459BB" w:rsidRPr="00D11049" w:rsidTr="009459BB">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State:</w:t>
            </w:r>
          </w:p>
        </w:tc>
        <w:tc>
          <w:tcPr>
            <w:tcW w:w="4680" w:type="dxa"/>
            <w:vAlign w:val="center"/>
          </w:tcPr>
          <w:p w:rsidR="009459BB" w:rsidRPr="00D11049" w:rsidRDefault="009459BB" w:rsidP="00D635E1">
            <w:pPr>
              <w:jc w:val="both"/>
              <w:rPr>
                <w:rFonts w:ascii="Cambria" w:hAnsi="Cambria"/>
                <w:bCs/>
                <w:sz w:val="20"/>
                <w:szCs w:val="20"/>
              </w:rPr>
            </w:pPr>
            <w:r>
              <w:rPr>
                <w:rFonts w:ascii="Cambria" w:hAnsi="Cambria"/>
                <w:sz w:val="20"/>
                <w:szCs w:val="20"/>
                <w:lang w:val="en"/>
              </w:rPr>
              <w:t>Colombia</w:t>
            </w:r>
          </w:p>
        </w:tc>
      </w:tr>
      <w:tr w:rsidR="009459BB" w:rsidRPr="00D11049" w:rsidTr="009459BB">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4680" w:type="dxa"/>
            <w:vAlign w:val="center"/>
          </w:tcPr>
          <w:p w:rsidR="009459BB" w:rsidRPr="00D11049" w:rsidRDefault="009459BB" w:rsidP="00D635E1">
            <w:pPr>
              <w:jc w:val="both"/>
              <w:rPr>
                <w:rFonts w:ascii="Cambria" w:hAnsi="Cambria"/>
                <w:bCs/>
                <w:sz w:val="20"/>
                <w:szCs w:val="20"/>
              </w:rPr>
            </w:pPr>
            <w:r>
              <w:rPr>
                <w:rFonts w:ascii="Cambria" w:hAnsi="Cambria"/>
                <w:sz w:val="20"/>
                <w:szCs w:val="20"/>
                <w:lang w:val="en"/>
              </w:rPr>
              <w:t xml:space="preserve">Articles 4 (life); 5 (humane treatment); 8 (fair trial); and 25 (judicial protection) of the American Convention </w:t>
            </w:r>
            <w:r>
              <w:rPr>
                <w:rFonts w:asciiTheme="majorHAnsi" w:hAnsiTheme="majorHAnsi"/>
                <w:sz w:val="20"/>
                <w:szCs w:val="20"/>
                <w:lang w:val="en"/>
              </w:rPr>
              <w:t>on Human Rights;</w:t>
            </w:r>
            <w:r>
              <w:rPr>
                <w:sz w:val="20"/>
                <w:vertAlign w:val="superscript"/>
                <w:lang w:val="en"/>
              </w:rPr>
              <w:footnoteReference w:id="3"/>
            </w:r>
            <w:r>
              <w:rPr>
                <w:rFonts w:asciiTheme="majorHAnsi" w:hAnsiTheme="majorHAnsi"/>
                <w:sz w:val="20"/>
                <w:szCs w:val="20"/>
                <w:lang w:val="en"/>
              </w:rPr>
              <w:t xml:space="preserve"> </w:t>
            </w:r>
            <w:r>
              <w:rPr>
                <w:rFonts w:ascii="Cambria" w:hAnsi="Cambria"/>
                <w:sz w:val="20"/>
                <w:szCs w:val="20"/>
                <w:lang w:val="en"/>
              </w:rPr>
              <w:t>and articles I (life), XI (health), and XVII (fair trial</w:t>
            </w:r>
            <w:r>
              <w:rPr>
                <w:rFonts w:asciiTheme="majorHAnsi" w:hAnsiTheme="majorHAnsi"/>
                <w:sz w:val="20"/>
                <w:szCs w:val="20"/>
                <w:lang w:val="en"/>
              </w:rPr>
              <w:t>) of the American Declaration of the Rights and Duties of Man</w:t>
            </w:r>
            <w:r>
              <w:rPr>
                <w:rStyle w:val="FootnoteReference"/>
                <w:rFonts w:asciiTheme="majorHAnsi" w:hAnsiTheme="majorHAnsi"/>
                <w:sz w:val="20"/>
                <w:szCs w:val="20"/>
                <w:lang w:val="en"/>
              </w:rPr>
              <w:footnoteReference w:id="4"/>
            </w:r>
          </w:p>
        </w:tc>
      </w:tr>
    </w:tbl>
    <w:p w:rsidR="009459BB" w:rsidRPr="00D11049" w:rsidRDefault="009459BB" w:rsidP="009459BB">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PROCEDURE BEFORE THE IACHR</w:t>
      </w:r>
      <w:r>
        <w:rPr>
          <w:rStyle w:val="FootnoteReference"/>
          <w:rFonts w:ascii="Cambria" w:hAnsi="Cambria"/>
          <w:b/>
          <w:bCs/>
          <w:sz w:val="20"/>
          <w:szCs w:val="20"/>
          <w:lang w:val="en"/>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459BB" w:rsidRPr="00D11049" w:rsidTr="009459BB">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Date on which the petition was received:</w:t>
            </w:r>
          </w:p>
        </w:tc>
        <w:tc>
          <w:tcPr>
            <w:tcW w:w="4680" w:type="dxa"/>
            <w:vAlign w:val="center"/>
          </w:tcPr>
          <w:p w:rsidR="009459BB" w:rsidRPr="00D11049" w:rsidRDefault="00E90504" w:rsidP="00D635E1">
            <w:pPr>
              <w:jc w:val="both"/>
              <w:rPr>
                <w:rFonts w:ascii="Cambria" w:hAnsi="Cambria"/>
                <w:bCs/>
                <w:sz w:val="20"/>
                <w:szCs w:val="20"/>
              </w:rPr>
            </w:pPr>
            <w:r>
              <w:rPr>
                <w:rFonts w:ascii="Cambria" w:hAnsi="Cambria"/>
                <w:sz w:val="20"/>
                <w:szCs w:val="20"/>
                <w:lang w:val="en"/>
              </w:rPr>
              <w:t>October 1, 2008</w:t>
            </w:r>
          </w:p>
        </w:tc>
      </w:tr>
      <w:tr w:rsidR="009459BB" w:rsidRPr="00D11049" w:rsidTr="009459BB">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color w:val="FFFFFF" w:themeColor="background1"/>
                <w:sz w:val="20"/>
                <w:szCs w:val="20"/>
              </w:rPr>
            </w:pPr>
            <w:r>
              <w:rPr>
                <w:rFonts w:ascii="Cambria" w:hAnsi="Cambria"/>
                <w:b/>
                <w:bCs/>
                <w:color w:val="FFFFFF" w:themeColor="background1"/>
                <w:sz w:val="20"/>
                <w:szCs w:val="20"/>
                <w:lang w:val="en"/>
              </w:rPr>
              <w:t>Additional information received at the initial study phase:</w:t>
            </w:r>
          </w:p>
        </w:tc>
        <w:tc>
          <w:tcPr>
            <w:tcW w:w="4680" w:type="dxa"/>
            <w:vAlign w:val="center"/>
          </w:tcPr>
          <w:p w:rsidR="009459BB" w:rsidRPr="00D11049" w:rsidRDefault="009459BB" w:rsidP="00D635E1">
            <w:pPr>
              <w:jc w:val="both"/>
              <w:rPr>
                <w:rFonts w:ascii="Cambria" w:hAnsi="Cambria"/>
                <w:bCs/>
                <w:sz w:val="20"/>
                <w:szCs w:val="20"/>
              </w:rPr>
            </w:pPr>
            <w:r>
              <w:rPr>
                <w:rFonts w:ascii="Cambria" w:hAnsi="Cambria"/>
                <w:sz w:val="20"/>
                <w:szCs w:val="20"/>
                <w:lang w:val="en"/>
              </w:rPr>
              <w:t>December 12, 2008, and September 18, 2014</w:t>
            </w:r>
          </w:p>
        </w:tc>
      </w:tr>
      <w:tr w:rsidR="009459BB" w:rsidRPr="00D11049" w:rsidTr="009459BB">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Date on which the petition was transmitted to the State:</w:t>
            </w:r>
          </w:p>
        </w:tc>
        <w:tc>
          <w:tcPr>
            <w:tcW w:w="4680" w:type="dxa"/>
            <w:vAlign w:val="center"/>
          </w:tcPr>
          <w:p w:rsidR="009459BB" w:rsidRPr="00D11049" w:rsidRDefault="00E90504" w:rsidP="00D635E1">
            <w:pPr>
              <w:jc w:val="both"/>
              <w:rPr>
                <w:rFonts w:ascii="Cambria" w:hAnsi="Cambria"/>
                <w:bCs/>
                <w:sz w:val="20"/>
                <w:szCs w:val="20"/>
              </w:rPr>
            </w:pPr>
            <w:r>
              <w:rPr>
                <w:rFonts w:ascii="Cambria" w:hAnsi="Cambria"/>
                <w:sz w:val="20"/>
                <w:szCs w:val="20"/>
                <w:lang w:val="en"/>
              </w:rPr>
              <w:t>September 30, 2014</w:t>
            </w:r>
          </w:p>
        </w:tc>
      </w:tr>
      <w:tr w:rsidR="009459BB" w:rsidRPr="00D11049" w:rsidTr="009459BB">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Date of State’s first response:</w:t>
            </w:r>
          </w:p>
        </w:tc>
        <w:tc>
          <w:tcPr>
            <w:tcW w:w="4680" w:type="dxa"/>
            <w:vAlign w:val="center"/>
          </w:tcPr>
          <w:p w:rsidR="009459BB" w:rsidRPr="00D11049" w:rsidRDefault="00E90504" w:rsidP="00D635E1">
            <w:pPr>
              <w:jc w:val="both"/>
              <w:rPr>
                <w:rFonts w:ascii="Cambria" w:hAnsi="Cambria"/>
                <w:bCs/>
                <w:sz w:val="20"/>
                <w:szCs w:val="20"/>
              </w:rPr>
            </w:pPr>
            <w:r>
              <w:rPr>
                <w:rFonts w:ascii="Cambria" w:hAnsi="Cambria"/>
                <w:sz w:val="20"/>
                <w:szCs w:val="20"/>
                <w:lang w:val="en"/>
              </w:rPr>
              <w:t>February 12, 2015</w:t>
            </w:r>
          </w:p>
        </w:tc>
      </w:tr>
    </w:tbl>
    <w:p w:rsidR="009459BB" w:rsidRPr="00D11049" w:rsidRDefault="009459BB" w:rsidP="009459BB">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459BB" w:rsidRPr="00D11049" w:rsidTr="009459BB">
        <w:trPr>
          <w:cantSplit/>
        </w:trPr>
        <w:tc>
          <w:tcPr>
            <w:tcW w:w="4680" w:type="dxa"/>
            <w:tcBorders>
              <w:top w:val="single" w:sz="4" w:space="0" w:color="auto"/>
              <w:bottom w:val="single" w:sz="6" w:space="0" w:color="auto"/>
            </w:tcBorders>
            <w:shd w:val="clear" w:color="auto" w:fill="67AE3C"/>
            <w:vAlign w:val="center"/>
          </w:tcPr>
          <w:p w:rsidR="009459BB" w:rsidRPr="00D11049" w:rsidRDefault="009459BB" w:rsidP="00D635E1">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4680" w:type="dxa"/>
            <w:vAlign w:val="center"/>
          </w:tcPr>
          <w:p w:rsidR="009459BB" w:rsidRPr="00D11049" w:rsidRDefault="009459BB" w:rsidP="00D635E1">
            <w:pPr>
              <w:rPr>
                <w:rFonts w:asciiTheme="majorHAnsi" w:hAnsiTheme="majorHAnsi"/>
                <w:bCs/>
                <w:sz w:val="20"/>
                <w:szCs w:val="20"/>
              </w:rPr>
            </w:pPr>
            <w:r>
              <w:rPr>
                <w:rFonts w:asciiTheme="majorHAnsi" w:hAnsiTheme="majorHAnsi"/>
                <w:sz w:val="20"/>
                <w:szCs w:val="20"/>
                <w:lang w:val="en"/>
              </w:rPr>
              <w:t>Yes</w:t>
            </w:r>
          </w:p>
        </w:tc>
      </w:tr>
      <w:tr w:rsidR="009459BB" w:rsidRPr="00D11049" w:rsidTr="009459BB">
        <w:trPr>
          <w:cantSplit/>
        </w:trPr>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Competence r</w:t>
            </w:r>
            <w:r>
              <w:rPr>
                <w:rFonts w:ascii="Cambria" w:hAnsi="Cambria"/>
                <w:b/>
                <w:bCs/>
                <w:i/>
                <w:iCs/>
                <w:color w:val="FFFFFF" w:themeColor="background1"/>
                <w:sz w:val="20"/>
                <w:szCs w:val="20"/>
                <w:lang w:val="en"/>
              </w:rPr>
              <w:t>atione loci</w:t>
            </w:r>
            <w:r>
              <w:rPr>
                <w:rFonts w:ascii="Cambria" w:hAnsi="Cambria"/>
                <w:b/>
                <w:bCs/>
                <w:color w:val="FFFFFF" w:themeColor="background1"/>
                <w:sz w:val="20"/>
                <w:szCs w:val="20"/>
                <w:lang w:val="en"/>
              </w:rPr>
              <w:t>:</w:t>
            </w:r>
          </w:p>
        </w:tc>
        <w:tc>
          <w:tcPr>
            <w:tcW w:w="4680" w:type="dxa"/>
            <w:vAlign w:val="center"/>
          </w:tcPr>
          <w:p w:rsidR="009459BB" w:rsidRPr="00D11049" w:rsidRDefault="009459BB" w:rsidP="00D635E1">
            <w:pPr>
              <w:rPr>
                <w:rFonts w:asciiTheme="majorHAnsi" w:hAnsiTheme="majorHAnsi"/>
                <w:bCs/>
                <w:sz w:val="20"/>
                <w:szCs w:val="20"/>
              </w:rPr>
            </w:pPr>
            <w:r>
              <w:rPr>
                <w:rFonts w:asciiTheme="majorHAnsi" w:hAnsiTheme="majorHAnsi"/>
                <w:sz w:val="20"/>
                <w:szCs w:val="20"/>
                <w:lang w:val="en"/>
              </w:rPr>
              <w:t>Yes</w:t>
            </w:r>
          </w:p>
        </w:tc>
      </w:tr>
      <w:tr w:rsidR="009459BB" w:rsidRPr="00D11049" w:rsidTr="009459BB">
        <w:trPr>
          <w:cantSplit/>
        </w:trPr>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4680" w:type="dxa"/>
            <w:vAlign w:val="center"/>
          </w:tcPr>
          <w:p w:rsidR="009459BB" w:rsidRPr="00D11049" w:rsidRDefault="009459BB" w:rsidP="00D635E1">
            <w:pPr>
              <w:rPr>
                <w:rFonts w:asciiTheme="majorHAnsi" w:hAnsiTheme="majorHAnsi"/>
                <w:bCs/>
                <w:sz w:val="20"/>
                <w:szCs w:val="20"/>
              </w:rPr>
            </w:pPr>
            <w:r>
              <w:rPr>
                <w:rFonts w:asciiTheme="majorHAnsi" w:hAnsiTheme="majorHAnsi"/>
                <w:sz w:val="20"/>
                <w:szCs w:val="20"/>
                <w:lang w:val="en"/>
              </w:rPr>
              <w:t>Yes</w:t>
            </w:r>
          </w:p>
        </w:tc>
      </w:tr>
      <w:tr w:rsidR="009459BB" w:rsidRPr="00D11049" w:rsidTr="009459BB">
        <w:trPr>
          <w:cantSplit/>
        </w:trPr>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4680" w:type="dxa"/>
            <w:vAlign w:val="center"/>
          </w:tcPr>
          <w:p w:rsidR="009459BB" w:rsidRPr="00D11049" w:rsidRDefault="009459BB" w:rsidP="00D635E1">
            <w:pPr>
              <w:jc w:val="both"/>
              <w:rPr>
                <w:rFonts w:ascii="Cambria" w:hAnsi="Cambria"/>
                <w:sz w:val="20"/>
                <w:szCs w:val="20"/>
              </w:rPr>
            </w:pPr>
            <w:r>
              <w:rPr>
                <w:rFonts w:asciiTheme="majorHAnsi" w:hAnsiTheme="majorHAnsi"/>
                <w:sz w:val="20"/>
                <w:szCs w:val="20"/>
                <w:lang w:val="en"/>
              </w:rPr>
              <w:t>Yes, American Convention (ratification instrument deposited on July 31, 1973) and American Declaration</w:t>
            </w:r>
          </w:p>
        </w:tc>
      </w:tr>
    </w:tbl>
    <w:p w:rsidR="009459BB" w:rsidRPr="00D11049" w:rsidRDefault="009459BB" w:rsidP="009459BB">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ANALYSIS OF 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459BB" w:rsidRPr="00D11049" w:rsidTr="009459BB">
        <w:trPr>
          <w:cantSplit/>
        </w:trPr>
        <w:tc>
          <w:tcPr>
            <w:tcW w:w="4680" w:type="dxa"/>
            <w:tcBorders>
              <w:top w:val="single" w:sz="4"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4680" w:type="dxa"/>
            <w:vAlign w:val="center"/>
          </w:tcPr>
          <w:p w:rsidR="009459BB" w:rsidRPr="00D11049" w:rsidRDefault="009459BB" w:rsidP="00D635E1">
            <w:pPr>
              <w:jc w:val="both"/>
              <w:rPr>
                <w:rFonts w:ascii="Cambria" w:hAnsi="Cambria"/>
                <w:bCs/>
                <w:sz w:val="20"/>
                <w:szCs w:val="20"/>
              </w:rPr>
            </w:pPr>
            <w:r>
              <w:rPr>
                <w:rFonts w:ascii="Cambria" w:hAnsi="Cambria"/>
                <w:sz w:val="20"/>
                <w:szCs w:val="20"/>
                <w:lang w:val="en"/>
              </w:rPr>
              <w:t>No</w:t>
            </w:r>
          </w:p>
        </w:tc>
      </w:tr>
      <w:tr w:rsidR="009459BB" w:rsidRPr="00D11049" w:rsidTr="009459BB">
        <w:trPr>
          <w:cantSplit/>
        </w:trPr>
        <w:tc>
          <w:tcPr>
            <w:tcW w:w="4680" w:type="dxa"/>
            <w:tcBorders>
              <w:top w:val="single" w:sz="4" w:space="0" w:color="auto"/>
              <w:bottom w:val="single" w:sz="6" w:space="0" w:color="auto"/>
            </w:tcBorders>
            <w:shd w:val="clear" w:color="auto" w:fill="67AE3C"/>
            <w:vAlign w:val="center"/>
          </w:tcPr>
          <w:p w:rsidR="009459BB" w:rsidRPr="00D11049" w:rsidRDefault="009459BB" w:rsidP="00D635E1">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4680" w:type="dxa"/>
            <w:vAlign w:val="center"/>
          </w:tcPr>
          <w:p w:rsidR="009459BB" w:rsidRPr="00D11049" w:rsidRDefault="009459BB" w:rsidP="00D635E1">
            <w:pPr>
              <w:jc w:val="both"/>
              <w:rPr>
                <w:rFonts w:ascii="Cambria" w:hAnsi="Cambria"/>
                <w:bCs/>
                <w:sz w:val="20"/>
                <w:szCs w:val="20"/>
              </w:rPr>
            </w:pPr>
            <w:r>
              <w:rPr>
                <w:rFonts w:ascii="Cambria" w:hAnsi="Cambria"/>
                <w:sz w:val="20"/>
                <w:szCs w:val="20"/>
                <w:lang w:val="en"/>
              </w:rPr>
              <w:t>Articles 5 (humane treatment); 8 (fair trial); and 25 (judicial protection) of the American Convention, in conjunction with its Article 1(1) (obligation to respect rights)</w:t>
            </w:r>
          </w:p>
        </w:tc>
      </w:tr>
      <w:tr w:rsidR="009459BB" w:rsidRPr="00D11049" w:rsidTr="009459BB">
        <w:trPr>
          <w:cantSplit/>
        </w:trPr>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lastRenderedPageBreak/>
              <w:t>Exhaustion of domestic remedies or applicability of an exception to the rule:</w:t>
            </w:r>
          </w:p>
        </w:tc>
        <w:tc>
          <w:tcPr>
            <w:tcW w:w="4680" w:type="dxa"/>
            <w:vAlign w:val="center"/>
          </w:tcPr>
          <w:p w:rsidR="009459BB" w:rsidRPr="00D11049" w:rsidRDefault="009459BB" w:rsidP="00D635E1">
            <w:pPr>
              <w:rPr>
                <w:rFonts w:ascii="Cambria" w:hAnsi="Cambria"/>
                <w:bCs/>
                <w:sz w:val="20"/>
                <w:szCs w:val="20"/>
              </w:rPr>
            </w:pPr>
            <w:r>
              <w:rPr>
                <w:rFonts w:ascii="Cambria" w:hAnsi="Cambria"/>
                <w:sz w:val="20"/>
                <w:szCs w:val="20"/>
                <w:lang w:val="en"/>
              </w:rPr>
              <w:t xml:space="preserve">Yes, </w:t>
            </w:r>
            <w:r w:rsidR="00E90504">
              <w:rPr>
                <w:rFonts w:ascii="Cambria" w:hAnsi="Cambria"/>
                <w:sz w:val="20"/>
                <w:szCs w:val="20"/>
                <w:lang w:val="en"/>
              </w:rPr>
              <w:t>February 23, 2012</w:t>
            </w:r>
          </w:p>
        </w:tc>
      </w:tr>
      <w:tr w:rsidR="009459BB" w:rsidRPr="00D11049" w:rsidTr="009459BB">
        <w:trPr>
          <w:cantSplit/>
        </w:trPr>
        <w:tc>
          <w:tcPr>
            <w:tcW w:w="4680" w:type="dxa"/>
            <w:tcBorders>
              <w:top w:val="single" w:sz="6" w:space="0" w:color="auto"/>
              <w:bottom w:val="single" w:sz="6" w:space="0" w:color="auto"/>
            </w:tcBorders>
            <w:shd w:val="clear" w:color="auto" w:fill="67AE3C"/>
            <w:vAlign w:val="center"/>
          </w:tcPr>
          <w:p w:rsidR="009459BB" w:rsidRPr="00D11049" w:rsidRDefault="009459BB" w:rsidP="00D635E1">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4680" w:type="dxa"/>
            <w:vAlign w:val="center"/>
          </w:tcPr>
          <w:p w:rsidR="009459BB" w:rsidRPr="00D11049" w:rsidRDefault="00E90504" w:rsidP="00D635E1">
            <w:pPr>
              <w:rPr>
                <w:rFonts w:ascii="Cambria" w:hAnsi="Cambria"/>
                <w:bCs/>
                <w:sz w:val="20"/>
                <w:szCs w:val="20"/>
              </w:rPr>
            </w:pPr>
            <w:r>
              <w:rPr>
                <w:rFonts w:ascii="Cambria" w:hAnsi="Cambria"/>
                <w:sz w:val="20"/>
                <w:szCs w:val="20"/>
                <w:lang w:val="en"/>
              </w:rPr>
              <w:t>Yes, October 1, 2008</w:t>
            </w:r>
          </w:p>
        </w:tc>
      </w:tr>
    </w:tbl>
    <w:p w:rsidR="009459BB" w:rsidRPr="00D11049" w:rsidRDefault="009459BB" w:rsidP="009459BB">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ALLEGED FACTS </w:t>
      </w:r>
    </w:p>
    <w:p w:rsidR="009459BB" w:rsidRPr="00D11049" w:rsidRDefault="009459BB" w:rsidP="009459BB">
      <w:pPr>
        <w:pStyle w:val="ListParagraph"/>
        <w:numPr>
          <w:ilvl w:val="0"/>
          <w:numId w:val="105"/>
        </w:numPr>
        <w:spacing w:before="240" w:after="240"/>
        <w:ind w:left="0" w:firstLine="720"/>
        <w:jc w:val="both"/>
        <w:rPr>
          <w:rFonts w:asciiTheme="majorHAnsi" w:hAnsiTheme="majorHAnsi"/>
          <w:b/>
          <w:sz w:val="20"/>
          <w:szCs w:val="20"/>
        </w:rPr>
      </w:pPr>
      <w:r>
        <w:rPr>
          <w:sz w:val="20"/>
          <w:szCs w:val="20"/>
          <w:lang w:val="en"/>
        </w:rPr>
        <w:t xml:space="preserve">The petition states that at the time of the facts, José Ismael Martínez Román (hereinafter “the alleged victim”) was a member of the National Army of Colombia, under the Fifth Brigade of Barrancabermeja. It states that on May 7, 1995, the alleged victim was in an urban area of Santander when he found an explosive device, known as a “radio bomb.” The petitioner states rather than order the controlled detonation of the device, Sgt. Aurelio Morales, the alleged victim’s commanding officer ordered it be placed in the alleged victim’s custody, without measures of protection. The petition states that the radio bomb exploded in the alleged victim’s hand. As a result, he lost both eyes, his left hand, and phalanges from his right hand. The petition notes that after these facts, the alleged victim returned to live with his family in a squatter settlement, with no access to rehabilitation treatment that would have enabled him to rejoin the workforce. </w:t>
      </w:r>
    </w:p>
    <w:p w:rsidR="009459BB" w:rsidRPr="00D11049" w:rsidRDefault="009459BB" w:rsidP="009459BB">
      <w:pPr>
        <w:pStyle w:val="ListParagraph"/>
        <w:numPr>
          <w:ilvl w:val="0"/>
          <w:numId w:val="105"/>
        </w:numPr>
        <w:spacing w:before="240" w:after="240"/>
        <w:ind w:left="0" w:firstLine="720"/>
        <w:jc w:val="both"/>
        <w:rPr>
          <w:rFonts w:asciiTheme="majorHAnsi" w:hAnsiTheme="majorHAnsi"/>
          <w:sz w:val="20"/>
          <w:szCs w:val="20"/>
        </w:rPr>
      </w:pPr>
      <w:r>
        <w:rPr>
          <w:sz w:val="20"/>
          <w:szCs w:val="20"/>
          <w:lang w:val="en"/>
        </w:rPr>
        <w:t>It says that the alleged victim filed a suit seeking direct compensation from the National Army on September 11, 1995.</w:t>
      </w:r>
      <w:r>
        <w:rPr>
          <w:color w:val="393939"/>
          <w:sz w:val="23"/>
          <w:szCs w:val="23"/>
          <w:lang w:val="en"/>
        </w:rPr>
        <w:t xml:space="preserve"> </w:t>
      </w:r>
      <w:r>
        <w:rPr>
          <w:sz w:val="20"/>
          <w:szCs w:val="20"/>
          <w:lang w:val="en"/>
        </w:rPr>
        <w:t>The suit alleges that he was suffering from deep depression and that his family did not have the financial resources to pay for psychological treatment, nor to pay for the rehab sessions recommend by the doctors. It states that in a judgment handed down on June 14, 2001, the Administrative Backlog Reduction Court of Cali dismissed the suit, finding that “the injuries suffered by Second Corporal José Ismael Martínez Román were the result of his careless and imprudent actions in tampering with an explosive device, which should have been left to explosives experts.” On July 17, 2002, the judgment was appealed before to the Council of State, which, as of the filing date of this petition (October 1, 2008) had still not been resolved, for which reason the petitioner alleged existence of an unjustified delay.</w:t>
      </w:r>
    </w:p>
    <w:p w:rsidR="009459BB" w:rsidRPr="00D11049" w:rsidRDefault="009459BB" w:rsidP="009459BB">
      <w:pPr>
        <w:pStyle w:val="ListParagraph"/>
        <w:numPr>
          <w:ilvl w:val="0"/>
          <w:numId w:val="105"/>
        </w:numPr>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The State maintains that the petition should have been declared inadmissible because it does not describe facts that would comprise human rights violations. It argues that the petitioner wants the Commission to act as a “fourth instance” by reviewing rulings made by domestic courts. Regarding the facts, it alleges that Sgt. Aurelio Morales left the radio bomb in the custody of the alleged victim with clear orders not to connect the battery or turn the device on, due to its suspicious nature. It states that the aforementioned item turned out to be an explosive device left by the members of the National Liberation Army guerilla group, and that despite the warnings of his commanding officer, the alleged victim tampered with the device in an attempt to intercept communications from the illegal group. It alleges that these facts were demonstrated during the adversarial administrative proceeding and recognized by the representative of the alleged victim in his appeal pleading. </w:t>
      </w:r>
    </w:p>
    <w:p w:rsidR="009459BB" w:rsidRPr="00D11049" w:rsidRDefault="009459BB" w:rsidP="009459BB">
      <w:pPr>
        <w:pStyle w:val="ListParagraph"/>
        <w:numPr>
          <w:ilvl w:val="0"/>
          <w:numId w:val="105"/>
        </w:numPr>
        <w:spacing w:before="240" w:after="240"/>
        <w:ind w:left="0" w:firstLine="720"/>
        <w:jc w:val="both"/>
        <w:rPr>
          <w:rFonts w:asciiTheme="majorHAnsi" w:hAnsiTheme="majorHAnsi"/>
          <w:sz w:val="20"/>
          <w:szCs w:val="20"/>
        </w:rPr>
      </w:pPr>
      <w:r>
        <w:rPr>
          <w:rFonts w:asciiTheme="majorHAnsi" w:hAnsiTheme="majorHAnsi"/>
          <w:sz w:val="20"/>
          <w:szCs w:val="20"/>
          <w:lang w:val="en"/>
        </w:rPr>
        <w:t>The State adds that on February 23, 2012, the Council of State issued its judgment on the appeal. In its judgment, it upheld the decision of the lower court, finding that “none of the evidence [...] supports the conclusion that the entity being sued [the National Army] was responsible for the failure, and there is no evidence to indicate the alleged omission of the commanding officer of the counter-guerilla patrol; on the contrary, the evidence shows that when Sgt. Aurelio Morales handed over the radio to Second Corporal Martínez Román, he warned him of the danger involved in connecting the battery and the further danger in turning the communication device on, as it could be an explosive device. Nevertheless, the plaintiff ignored this advice and proceeded to turn the device on.</w:t>
      </w:r>
    </w:p>
    <w:p w:rsidR="009459BB" w:rsidRPr="00D11049" w:rsidRDefault="009459BB" w:rsidP="009459BB">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EXHAUSTION OF DOMESTIC REMEDIES AND TIMELINESS OF THE PETITION</w:t>
      </w:r>
      <w:r>
        <w:rPr>
          <w:rFonts w:asciiTheme="majorHAnsi" w:hAnsiTheme="majorHAnsi"/>
          <w:b/>
          <w:bCs/>
          <w:color w:val="000000"/>
          <w:sz w:val="20"/>
          <w:szCs w:val="20"/>
          <w:u w:color="000000"/>
          <w:lang w:val="en"/>
        </w:rPr>
        <w:t xml:space="preserve"> </w:t>
      </w:r>
    </w:p>
    <w:p w:rsidR="009459BB" w:rsidRPr="00D11049" w:rsidRDefault="009459BB" w:rsidP="009459BB">
      <w:pPr>
        <w:pStyle w:val="ListParagraph"/>
        <w:numPr>
          <w:ilvl w:val="0"/>
          <w:numId w:val="105"/>
        </w:numPr>
        <w:ind w:left="0" w:firstLine="720"/>
        <w:jc w:val="both"/>
        <w:rPr>
          <w:sz w:val="20"/>
          <w:szCs w:val="20"/>
        </w:rPr>
      </w:pPr>
      <w:r>
        <w:rPr>
          <w:sz w:val="20"/>
          <w:szCs w:val="20"/>
          <w:lang w:val="en"/>
        </w:rPr>
        <w:t xml:space="preserve">The information available indicates that on September 11, 1995, the alleged victim filed suit for direct compensation, and the suit was dismissed by the Administrative Debottlenecking Court of Cali on June 14, 2001. This judgment was appealed, and the Council of State issued a judgment on this appeal on February 23, 2012, upholding the lower court. The State made no argument with regard to exhaustion of domestic remedies. Based on this, the Commission concludes that the alleged victim exhausted domestic </w:t>
      </w:r>
      <w:r>
        <w:rPr>
          <w:sz w:val="20"/>
          <w:szCs w:val="20"/>
          <w:lang w:val="en"/>
        </w:rPr>
        <w:lastRenderedPageBreak/>
        <w:t>remedies with the issuing of the judgment on February 23, 2012, in compliance with articles 46(1)(a) of the Convention and 31(1) of the Rules of Procedure.</w:t>
      </w:r>
    </w:p>
    <w:p w:rsidR="009459BB" w:rsidRPr="00D11049" w:rsidRDefault="009459BB" w:rsidP="009459BB">
      <w:pPr>
        <w:pStyle w:val="ListParagraph"/>
        <w:jc w:val="both"/>
        <w:rPr>
          <w:sz w:val="20"/>
          <w:szCs w:val="20"/>
        </w:rPr>
      </w:pPr>
    </w:p>
    <w:p w:rsidR="009459BB" w:rsidRPr="00D11049" w:rsidRDefault="009459BB" w:rsidP="009459BB">
      <w:pPr>
        <w:pStyle w:val="ListParagraph"/>
        <w:numPr>
          <w:ilvl w:val="0"/>
          <w:numId w:val="105"/>
        </w:numPr>
        <w:ind w:left="0" w:firstLine="720"/>
        <w:jc w:val="both"/>
        <w:rPr>
          <w:sz w:val="20"/>
          <w:szCs w:val="20"/>
        </w:rPr>
      </w:pPr>
      <w:r>
        <w:rPr>
          <w:sz w:val="20"/>
          <w:szCs w:val="20"/>
          <w:lang w:val="en"/>
        </w:rPr>
        <w:t>Regarding the petitioner’s allegation of violation of Article XI (health) of the American Declaration, the IACHR observes that no information has been provided regarding the steps taking to obtain the requested medical treatments. In this regard, the Commission finds that the internal remedies regarding this pleading have not been exhausted.</w:t>
      </w:r>
    </w:p>
    <w:p w:rsidR="009459BB" w:rsidRPr="00D11049" w:rsidRDefault="009459BB" w:rsidP="009459BB">
      <w:pPr>
        <w:jc w:val="both"/>
        <w:rPr>
          <w:sz w:val="20"/>
          <w:szCs w:val="20"/>
        </w:rPr>
      </w:pPr>
    </w:p>
    <w:p w:rsidR="009459BB" w:rsidRPr="00D11049" w:rsidRDefault="009459BB" w:rsidP="009459BB">
      <w:pPr>
        <w:pStyle w:val="ListParagraph"/>
        <w:numPr>
          <w:ilvl w:val="0"/>
          <w:numId w:val="105"/>
        </w:numPr>
        <w:ind w:left="0" w:firstLine="720"/>
        <w:jc w:val="both"/>
        <w:rPr>
          <w:sz w:val="20"/>
          <w:szCs w:val="20"/>
        </w:rPr>
      </w:pPr>
      <w:r>
        <w:rPr>
          <w:sz w:val="20"/>
          <w:szCs w:val="20"/>
          <w:lang w:val="en"/>
        </w:rPr>
        <w:t>The petition before the IACHR was submitted on October 1, 2008, and the remedies were exhausted on February 23, 2012, when the judgment on the appeal was handed down while the petition’s admissibility was still under examination.</w:t>
      </w:r>
      <w:r>
        <w:rPr>
          <w:lang w:val="en"/>
        </w:rPr>
        <w:t xml:space="preserve"> </w:t>
      </w:r>
      <w:r>
        <w:rPr>
          <w:sz w:val="20"/>
          <w:szCs w:val="20"/>
          <w:lang w:val="en"/>
        </w:rPr>
        <w:t>In accordance with IACHR case law, analysis of the requirements established in articles 46(1)(b) of the Convention and 32(1) of the Rules of Procedure should be conducted based on the situation at the moment the admissibility or inadmissibility of a claim is declared. This requirement is therefore considered fulfilled.</w:t>
      </w:r>
    </w:p>
    <w:p w:rsidR="009459BB" w:rsidRPr="00D11049" w:rsidRDefault="009459BB" w:rsidP="009459BB">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COLORABLE CLAIM</w:t>
      </w:r>
    </w:p>
    <w:p w:rsidR="009459BB" w:rsidRPr="00D11049" w:rsidRDefault="009459BB" w:rsidP="009459BB">
      <w:pPr>
        <w:pStyle w:val="ListParagraph"/>
        <w:numPr>
          <w:ilvl w:val="0"/>
          <w:numId w:val="105"/>
        </w:numPr>
        <w:ind w:left="0" w:firstLine="720"/>
        <w:jc w:val="both"/>
        <w:rPr>
          <w:sz w:val="20"/>
          <w:szCs w:val="20"/>
        </w:rPr>
      </w:pPr>
      <w:r>
        <w:rPr>
          <w:sz w:val="20"/>
          <w:szCs w:val="20"/>
          <w:lang w:val="en"/>
        </w:rPr>
        <w:t>In view of the elements of fact and law presented by the parties and the nature of the matter under consideration, the IACHR finds that should the alleged unjustified delay of more than 17 years in resolving the direct compensation claim be proven, along with the injuries suffered by the alleged victim and the lack of compensation, they could represent violations to the rights protected in articles 5 (humane treatment), 8 (fair trial), and 25 (judicial protection) of the Convention, in conjunction with Article 1(1) thereof. The Commission decides to declare this petition inadmissible in its allegation of the violation of Article 4 of the Convention.</w:t>
      </w:r>
    </w:p>
    <w:p w:rsidR="009459BB" w:rsidRPr="00D11049" w:rsidRDefault="009459BB" w:rsidP="009459BB">
      <w:pPr>
        <w:pStyle w:val="ListParagraph"/>
        <w:jc w:val="both"/>
        <w:rPr>
          <w:sz w:val="20"/>
          <w:szCs w:val="20"/>
        </w:rPr>
      </w:pPr>
    </w:p>
    <w:p w:rsidR="009459BB" w:rsidRPr="00D11049" w:rsidRDefault="009459BB" w:rsidP="009459BB">
      <w:pPr>
        <w:pStyle w:val="ListParagraph"/>
        <w:numPr>
          <w:ilvl w:val="0"/>
          <w:numId w:val="105"/>
        </w:numPr>
        <w:ind w:left="0" w:firstLine="720"/>
        <w:jc w:val="both"/>
        <w:rPr>
          <w:sz w:val="20"/>
          <w:szCs w:val="20"/>
        </w:rPr>
      </w:pPr>
      <w:r>
        <w:rPr>
          <w:sz w:val="20"/>
          <w:szCs w:val="20"/>
          <w:lang w:val="en"/>
        </w:rPr>
        <w:t xml:space="preserve">Regarding allegations of violations of the American Declaration, pursuant to the provisions of articles 23 and 49 of its Rules of Procedure, in principle, the Commission enjoys </w:t>
      </w:r>
      <w:r>
        <w:rPr>
          <w:i/>
          <w:iCs/>
          <w:sz w:val="20"/>
          <w:szCs w:val="20"/>
          <w:lang w:val="en"/>
        </w:rPr>
        <w:t>ratione materiae</w:t>
      </w:r>
      <w:r>
        <w:rPr>
          <w:sz w:val="20"/>
          <w:szCs w:val="20"/>
          <w:lang w:val="en"/>
        </w:rPr>
        <w:t xml:space="preserve"> competence to examine violations of rights enshrined in that Declaration. However, the IACHR has previously established that once the American Convention enters into force with regard to a State, it is that instrument—not the Declaration—that becomes the specific source of law to be applied by the Inter-American Commission, as long as the petition alleges violations of rights that are substantially identical to rights enshrined in both instruments and that an ongoing situation is not involved. </w:t>
      </w:r>
    </w:p>
    <w:p w:rsidR="009459BB" w:rsidRPr="00D11049" w:rsidRDefault="009459BB" w:rsidP="009459BB">
      <w:pPr>
        <w:jc w:val="both"/>
        <w:rPr>
          <w:sz w:val="20"/>
          <w:szCs w:val="20"/>
        </w:rPr>
      </w:pPr>
    </w:p>
    <w:p w:rsidR="009459BB" w:rsidRPr="00D11049" w:rsidRDefault="009459BB" w:rsidP="009459BB">
      <w:pPr>
        <w:pStyle w:val="ListParagraph"/>
        <w:numPr>
          <w:ilvl w:val="0"/>
          <w:numId w:val="105"/>
        </w:numPr>
        <w:ind w:left="0" w:firstLine="720"/>
        <w:jc w:val="both"/>
        <w:rPr>
          <w:sz w:val="20"/>
          <w:szCs w:val="20"/>
        </w:rPr>
      </w:pPr>
      <w:r>
        <w:rPr>
          <w:sz w:val="20"/>
          <w:szCs w:val="20"/>
          <w:lang w:val="en"/>
        </w:rPr>
        <w:t>Regarding the State’s pleadings on the fourth instance, the Commission recognizes that it lacks competence to review judgments handed down by domestic courts acting in the realm of their own competence, in observance of the rights to due process and judicial guarantees. However, it reiterates that within the framework of its mandate, it is competent to declare a petition admissible and rule on its merits when the petition addresses domestic proceedings that could violate rights protected by the American Convention.</w:t>
      </w:r>
    </w:p>
    <w:p w:rsidR="009459BB" w:rsidRPr="00D11049" w:rsidRDefault="009459BB" w:rsidP="009459BB">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rsidR="009459BB" w:rsidRPr="00D11049" w:rsidRDefault="009459BB" w:rsidP="009459B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find this petition admissible in relation to articles 5, 8, and 25 the American Convention, with regard to Article 1(1) of the same instrument;</w:t>
      </w:r>
    </w:p>
    <w:p w:rsidR="009459BB" w:rsidRPr="00D11049" w:rsidRDefault="009459BB" w:rsidP="009459BB">
      <w:pPr>
        <w:pStyle w:val="ListParagraph"/>
        <w:numPr>
          <w:ilvl w:val="0"/>
          <w:numId w:val="104"/>
        </w:numPr>
        <w:jc w:val="both"/>
        <w:rPr>
          <w:rFonts w:eastAsia="Arial Unicode MS" w:cs="Times New Roman"/>
          <w:color w:val="auto"/>
          <w:sz w:val="20"/>
          <w:szCs w:val="20"/>
        </w:rPr>
      </w:pPr>
      <w:r>
        <w:rPr>
          <w:color w:val="auto"/>
          <w:sz w:val="20"/>
          <w:szCs w:val="20"/>
          <w:lang w:val="en"/>
        </w:rPr>
        <w:t>To find this petition inadmissible in relation to Article 4 of the American Convention</w:t>
      </w:r>
      <w:r>
        <w:rPr>
          <w:rFonts w:asciiTheme="majorHAnsi" w:hAnsiTheme="majorHAnsi"/>
          <w:sz w:val="20"/>
          <w:szCs w:val="20"/>
          <w:lang w:val="en"/>
        </w:rPr>
        <w:t xml:space="preserve"> and Article XI of the American Declaration;</w:t>
      </w:r>
    </w:p>
    <w:p w:rsidR="009459BB" w:rsidRPr="00D11049" w:rsidRDefault="009459BB" w:rsidP="009459BB">
      <w:pPr>
        <w:pStyle w:val="ListParagraph"/>
        <w:rPr>
          <w:rFonts w:eastAsia="Arial Unicode MS" w:cs="Times New Roman"/>
          <w:color w:val="auto"/>
          <w:sz w:val="20"/>
          <w:szCs w:val="20"/>
        </w:rPr>
      </w:pPr>
    </w:p>
    <w:p w:rsidR="009459BB" w:rsidRPr="00D11049" w:rsidRDefault="009459BB" w:rsidP="009459B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To notify the parties of this decision;</w:t>
      </w:r>
    </w:p>
    <w:p w:rsidR="00E90504" w:rsidRDefault="009459BB" w:rsidP="00E90504">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To continue with the analysis of the merits of this matter; and</w:t>
      </w:r>
    </w:p>
    <w:p w:rsidR="00C55560" w:rsidRPr="00D43892" w:rsidRDefault="009459BB" w:rsidP="00E90504">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90504">
        <w:rPr>
          <w:rFonts w:asciiTheme="majorHAnsi" w:hAnsiTheme="majorHAnsi"/>
          <w:sz w:val="20"/>
          <w:szCs w:val="20"/>
          <w:lang w:val="en"/>
        </w:rPr>
        <w:t>To publish this ruling and include it in its Annual Report to the General Assembly of the Organization of American States.</w:t>
      </w:r>
    </w:p>
    <w:p w:rsidR="00D43892" w:rsidRDefault="00D43892" w:rsidP="00D43892">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lastRenderedPageBreak/>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 day of the month of September, 2017. (Signed):  Francisco José Eguiguren, President; Margarette May Macaulay, First Vice President; Esmeralda E. Arosemena Bernal de Troitiño, Second Vice President; José de Jesús Orozco Henríquez, Paul</w:t>
      </w:r>
      <w:r>
        <w:rPr>
          <w:rFonts w:ascii="Cambria" w:eastAsia="Times New Roman" w:hAnsi="Cambria"/>
          <w:snapToGrid w:val="0"/>
          <w:spacing w:val="-2"/>
          <w:sz w:val="20"/>
          <w:szCs w:val="20"/>
          <w:bdr w:val="none" w:sz="0" w:space="0" w:color="auto"/>
        </w:rPr>
        <w:t>o Vannuchi, and James L. Cavallaro</w:t>
      </w:r>
      <w:r w:rsidRPr="007643D8">
        <w:rPr>
          <w:rFonts w:ascii="Cambria" w:eastAsia="Times New Roman" w:hAnsi="Cambria"/>
          <w:snapToGrid w:val="0"/>
          <w:spacing w:val="-2"/>
          <w:sz w:val="20"/>
          <w:szCs w:val="20"/>
          <w:bdr w:val="none" w:sz="0" w:space="0" w:color="auto"/>
        </w:rPr>
        <w:t>, Commissioners</w:t>
      </w:r>
      <w:r>
        <w:rPr>
          <w:rFonts w:ascii="Cambria" w:eastAsia="Times New Roman" w:hAnsi="Cambria"/>
          <w:snapToGrid w:val="0"/>
          <w:spacing w:val="-2"/>
          <w:sz w:val="20"/>
          <w:szCs w:val="20"/>
          <w:bdr w:val="none" w:sz="0" w:space="0" w:color="auto"/>
        </w:rPr>
        <w:t>.</w:t>
      </w:r>
    </w:p>
    <w:p w:rsidR="00D43892" w:rsidRPr="00E90504" w:rsidRDefault="00D43892" w:rsidP="00D438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D43892" w:rsidRPr="00E90504" w:rsidSect="009459BB">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26" w:rsidRDefault="007F3B26" w:rsidP="00036A8A">
      <w:r>
        <w:separator/>
      </w:r>
    </w:p>
  </w:endnote>
  <w:endnote w:type="continuationSeparator" w:id="0">
    <w:p w:rsidR="007F3B26" w:rsidRDefault="007F3B2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B3" w:rsidRDefault="00F90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F901B3">
          <w:rPr>
            <w:noProof/>
            <w:sz w:val="16"/>
            <w:lang w:val="en"/>
          </w:rPr>
          <w:t>1</w:t>
        </w:r>
        <w:r>
          <w:rPr>
            <w:noProof/>
            <w:sz w:val="16"/>
            <w:lang w:val="en"/>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26" w:rsidRPr="00036A8A" w:rsidRDefault="007F3B26"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7F3B26" w:rsidRPr="00036A8A" w:rsidRDefault="007F3B26" w:rsidP="00036A8A">
      <w:pPr>
        <w:rPr>
          <w:rFonts w:asciiTheme="majorHAnsi" w:hAnsiTheme="majorHAnsi"/>
          <w:sz w:val="16"/>
          <w:szCs w:val="16"/>
        </w:rPr>
      </w:pPr>
      <w:r>
        <w:rPr>
          <w:rFonts w:asciiTheme="majorHAnsi" w:hAnsiTheme="majorHAnsi"/>
          <w:sz w:val="16"/>
          <w:szCs w:val="16"/>
        </w:rPr>
        <w:separator/>
      </w:r>
    </w:p>
    <w:p w:rsidR="007F3B26" w:rsidRPr="00036A8A" w:rsidRDefault="007F3B26"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7F3B26" w:rsidRPr="0093441A" w:rsidRDefault="007F3B26" w:rsidP="005B222D">
      <w:pPr>
        <w:jc w:val="right"/>
        <w:rPr>
          <w:rFonts w:asciiTheme="majorHAnsi" w:hAnsiTheme="majorHAnsi"/>
          <w:sz w:val="16"/>
          <w:szCs w:val="16"/>
        </w:rPr>
      </w:pPr>
      <w:r>
        <w:rPr>
          <w:rFonts w:asciiTheme="majorHAnsi" w:hAnsiTheme="majorHAnsi"/>
          <w:sz w:val="16"/>
          <w:szCs w:val="16"/>
        </w:rPr>
        <w:t>[continues …]</w:t>
      </w:r>
    </w:p>
  </w:footnote>
  <w:footnote w:id="2">
    <w:p w:rsidR="009459BB" w:rsidRPr="00743515" w:rsidRDefault="009459BB" w:rsidP="009459BB">
      <w:pPr>
        <w:pStyle w:val="FootnoteText"/>
        <w:spacing w:after="120"/>
        <w:ind w:firstLine="720"/>
        <w:jc w:val="both"/>
        <w:rPr>
          <w:rFonts w:asciiTheme="majorHAnsi" w:hAnsiTheme="majorHAnsi"/>
        </w:rPr>
      </w:pPr>
      <w:r>
        <w:rPr>
          <w:rStyle w:val="FootnoteReference"/>
          <w:rFonts w:asciiTheme="majorHAnsi" w:hAnsiTheme="majorHAnsi"/>
          <w:sz w:val="16"/>
          <w:lang w:val="en"/>
        </w:rPr>
        <w:footnoteRef/>
      </w:r>
      <w:r>
        <w:rPr>
          <w:rFonts w:asciiTheme="majorHAnsi" w:hAnsiTheme="majorHAnsi"/>
          <w:sz w:val="16"/>
          <w:lang w:val="en"/>
        </w:rPr>
        <w:t xml:space="preserve"> Commissioner Luis Vargas, of Colombian nationality, did not participate in the deliberations nor in the decision in this case, in keeping with the provisions of Article 17(2)(a) of the Rules of Procedure of the Commission.</w:t>
      </w:r>
    </w:p>
  </w:footnote>
  <w:footnote w:id="3">
    <w:p w:rsidR="009459BB" w:rsidRPr="00F2125E" w:rsidRDefault="009459BB" w:rsidP="009459BB">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“Convention” or the “American Convention.”</w:t>
      </w:r>
    </w:p>
  </w:footnote>
  <w:footnote w:id="4">
    <w:p w:rsidR="009459BB" w:rsidRPr="00F2125E" w:rsidRDefault="009459BB" w:rsidP="009459BB">
      <w:pPr>
        <w:pStyle w:val="FootnoteText"/>
        <w:spacing w:after="120"/>
        <w:ind w:firstLine="720"/>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“Declaration” or the “American Declaration.”</w:t>
      </w:r>
    </w:p>
  </w:footnote>
  <w:footnote w:id="5">
    <w:p w:rsidR="009459BB" w:rsidRPr="00537490" w:rsidRDefault="009459BB" w:rsidP="009459BB">
      <w:pPr>
        <w:pStyle w:val="FootnoteText"/>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The comments of each party were duly forwarded to the counter-party.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F3B26"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B3" w:rsidRDefault="00F90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3F"/>
    <w:multiLevelType w:val="hybridMultilevel"/>
    <w:tmpl w:val="3F006DB0"/>
    <w:lvl w:ilvl="0" w:tplc="19CAA5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0646F8"/>
    <w:multiLevelType w:val="hybridMultilevel"/>
    <w:tmpl w:val="FBF473CA"/>
    <w:lvl w:ilvl="0" w:tplc="89F892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1"/>
  </w:num>
  <w:num w:numId="54">
    <w:abstractNumId w:val="38"/>
  </w:num>
  <w:num w:numId="55">
    <w:abstractNumId w:val="39"/>
  </w:num>
  <w:num w:numId="56">
    <w:abstractNumId w:val="45"/>
  </w:num>
  <w:num w:numId="57">
    <w:abstractNumId w:val="2"/>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7"/>
  </w:num>
  <w:num w:numId="99">
    <w:abstractNumId w:val="37"/>
  </w:num>
  <w:num w:numId="100">
    <w:abstractNumId w:val="4"/>
  </w:num>
  <w:num w:numId="101">
    <w:abstractNumId w:val="26"/>
  </w:num>
  <w:num w:numId="102">
    <w:abstractNumId w:val="49"/>
  </w:num>
  <w:num w:numId="103">
    <w:abstractNumId w:val="6"/>
  </w:num>
  <w:num w:numId="104">
    <w:abstractNumId w:val="44"/>
  </w:num>
  <w:num w:numId="105">
    <w:abstractNumId w:val="46"/>
  </w:num>
  <w:num w:numId="106">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804BE"/>
    <w:rsid w:val="00092F32"/>
    <w:rsid w:val="0009344A"/>
    <w:rsid w:val="000A575F"/>
    <w:rsid w:val="000D10DB"/>
    <w:rsid w:val="0013104F"/>
    <w:rsid w:val="00137EBA"/>
    <w:rsid w:val="00145EDC"/>
    <w:rsid w:val="00167A34"/>
    <w:rsid w:val="0017698D"/>
    <w:rsid w:val="0018037F"/>
    <w:rsid w:val="001A5F27"/>
    <w:rsid w:val="001A7870"/>
    <w:rsid w:val="001C1B41"/>
    <w:rsid w:val="00210E0E"/>
    <w:rsid w:val="00247403"/>
    <w:rsid w:val="00247542"/>
    <w:rsid w:val="00257893"/>
    <w:rsid w:val="00266092"/>
    <w:rsid w:val="00266B61"/>
    <w:rsid w:val="0026712A"/>
    <w:rsid w:val="002704DB"/>
    <w:rsid w:val="002A34AF"/>
    <w:rsid w:val="002C1641"/>
    <w:rsid w:val="002D535B"/>
    <w:rsid w:val="002D7EA2"/>
    <w:rsid w:val="002E15DF"/>
    <w:rsid w:val="002E187C"/>
    <w:rsid w:val="002E6E57"/>
    <w:rsid w:val="002F7CD4"/>
    <w:rsid w:val="00301075"/>
    <w:rsid w:val="00302733"/>
    <w:rsid w:val="00311A4F"/>
    <w:rsid w:val="00314078"/>
    <w:rsid w:val="00322450"/>
    <w:rsid w:val="003246B5"/>
    <w:rsid w:val="0033169F"/>
    <w:rsid w:val="00333B09"/>
    <w:rsid w:val="003414AC"/>
    <w:rsid w:val="00356185"/>
    <w:rsid w:val="00360380"/>
    <w:rsid w:val="003670EC"/>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93AB3"/>
    <w:rsid w:val="00593F6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051E9"/>
    <w:rsid w:val="00745899"/>
    <w:rsid w:val="007607C4"/>
    <w:rsid w:val="0076643F"/>
    <w:rsid w:val="00773968"/>
    <w:rsid w:val="007A2F70"/>
    <w:rsid w:val="007C3334"/>
    <w:rsid w:val="007C52BB"/>
    <w:rsid w:val="007D2B98"/>
    <w:rsid w:val="007F3B26"/>
    <w:rsid w:val="00803F1C"/>
    <w:rsid w:val="0080600E"/>
    <w:rsid w:val="00817612"/>
    <w:rsid w:val="00837C45"/>
    <w:rsid w:val="00853419"/>
    <w:rsid w:val="00897E12"/>
    <w:rsid w:val="008D43BA"/>
    <w:rsid w:val="008E3759"/>
    <w:rsid w:val="009041DC"/>
    <w:rsid w:val="009104B4"/>
    <w:rsid w:val="00925FCD"/>
    <w:rsid w:val="0093441A"/>
    <w:rsid w:val="009459BB"/>
    <w:rsid w:val="00954BF7"/>
    <w:rsid w:val="0096706E"/>
    <w:rsid w:val="00981FBA"/>
    <w:rsid w:val="009A350B"/>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54A4"/>
    <w:rsid w:val="00D34786"/>
    <w:rsid w:val="00D40A1E"/>
    <w:rsid w:val="00D42817"/>
    <w:rsid w:val="00D43892"/>
    <w:rsid w:val="00D712D3"/>
    <w:rsid w:val="00D71422"/>
    <w:rsid w:val="00D7145E"/>
    <w:rsid w:val="00D7558D"/>
    <w:rsid w:val="00D81D92"/>
    <w:rsid w:val="00D93446"/>
    <w:rsid w:val="00DA12A9"/>
    <w:rsid w:val="00DA7B5F"/>
    <w:rsid w:val="00DE4E65"/>
    <w:rsid w:val="00E43157"/>
    <w:rsid w:val="00E50D43"/>
    <w:rsid w:val="00E533FF"/>
    <w:rsid w:val="00E709B3"/>
    <w:rsid w:val="00E832F9"/>
    <w:rsid w:val="00E8789F"/>
    <w:rsid w:val="00E90504"/>
    <w:rsid w:val="00E97B71"/>
    <w:rsid w:val="00EB454D"/>
    <w:rsid w:val="00EE3522"/>
    <w:rsid w:val="00EF619B"/>
    <w:rsid w:val="00F00B55"/>
    <w:rsid w:val="00F1380F"/>
    <w:rsid w:val="00F14F0E"/>
    <w:rsid w:val="00F24C29"/>
    <w:rsid w:val="00F253CC"/>
    <w:rsid w:val="00F56BA5"/>
    <w:rsid w:val="00F644E6"/>
    <w:rsid w:val="00F901B3"/>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94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94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1D284C948D4A85B5F5ACBCB81851EF"/>
        <w:category>
          <w:name w:val="General"/>
          <w:gallery w:val="placeholder"/>
        </w:category>
        <w:types>
          <w:type w:val="bbPlcHdr"/>
        </w:types>
        <w:behaviors>
          <w:behavior w:val="content"/>
        </w:behaviors>
        <w:guid w:val="{93454EAD-C16E-435B-98C8-7EFCC7354F4C}"/>
      </w:docPartPr>
      <w:docPartBody>
        <w:p w:rsidR="003B7C46" w:rsidRDefault="001245AB" w:rsidP="001245AB">
          <w:pPr>
            <w:pStyle w:val="BE1D284C948D4A85B5F5ACBCB81851E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AB"/>
    <w:rsid w:val="001245AB"/>
    <w:rsid w:val="003B7C46"/>
    <w:rsid w:val="003F56AD"/>
    <w:rsid w:val="00806040"/>
    <w:rsid w:val="00810F1B"/>
    <w:rsid w:val="009D0092"/>
    <w:rsid w:val="00C07628"/>
    <w:rsid w:val="00FD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5AB"/>
    <w:rPr>
      <w:color w:val="808080"/>
    </w:rPr>
  </w:style>
  <w:style w:type="paragraph" w:customStyle="1" w:styleId="BE1D284C948D4A85B5F5ACBCB81851EF">
    <w:name w:val="BE1D284C948D4A85B5F5ACBCB81851EF"/>
    <w:rsid w:val="001245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5AB"/>
    <w:rPr>
      <w:color w:val="808080"/>
    </w:rPr>
  </w:style>
  <w:style w:type="paragraph" w:customStyle="1" w:styleId="BE1D284C948D4A85B5F5ACBCB81851EF">
    <w:name w:val="BE1D284C948D4A85B5F5ACBCB81851EF"/>
    <w:rsid w:val="0012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BD8F-075C-4AC3-A3FB-716D7047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8275</Characters>
  <Application>Microsoft Office Word</Application>
  <DocSecurity>0</DocSecurity>
  <Lines>192</Lines>
  <Paragraphs>70</Paragraphs>
  <ScaleCrop>false</ScaleCrop>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114/17</dc:title>
  <dc:creator/>
  <cp:lastModifiedBy/>
  <cp:revision>1</cp:revision>
  <dcterms:created xsi:type="dcterms:W3CDTF">2018-03-16T13:44:00Z</dcterms:created>
  <dcterms:modified xsi:type="dcterms:W3CDTF">2018-03-16T13:44:00Z</dcterms:modified>
</cp:coreProperties>
</file>