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F7213E" w:rsidRDefault="006311DA" w:rsidP="00627C9F">
      <w:pPr>
        <w:jc w:val="both"/>
        <w:rPr>
          <w:rFonts w:asciiTheme="majorHAnsi" w:hAnsiTheme="majorHAnsi" w:cs="Univers"/>
          <w:b/>
          <w:bCs/>
          <w:sz w:val="22"/>
          <w:szCs w:val="22"/>
        </w:rPr>
      </w:pPr>
      <w:r w:rsidRPr="00F7213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DBECCBB" wp14:editId="5BC0FA33">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F7213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54B4F52" wp14:editId="052EB9A2">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56FB" w:rsidRDefault="00BA56FB">
                            <w:r>
                              <w:rPr>
                                <w:noProof/>
                              </w:rPr>
                              <w:drawing>
                                <wp:inline distT="0" distB="0" distL="0" distR="0" wp14:anchorId="7BC30BC0" wp14:editId="04A6BF1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BA56FB" w:rsidRDefault="00BA56FB">
                      <w:r>
                        <w:rPr>
                          <w:noProof/>
                        </w:rPr>
                        <w:drawing>
                          <wp:inline distT="0" distB="0" distL="0" distR="0" wp14:anchorId="7BC30BC0" wp14:editId="04A6BF1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F7213E" w:rsidRDefault="00040C3A" w:rsidP="00040C3A">
      <w:pPr>
        <w:tabs>
          <w:tab w:val="center" w:pos="5400"/>
        </w:tabs>
        <w:suppressAutoHyphens/>
        <w:jc w:val="both"/>
        <w:rPr>
          <w:rFonts w:asciiTheme="majorHAnsi" w:hAnsiTheme="majorHAnsi"/>
          <w:sz w:val="22"/>
          <w:szCs w:val="22"/>
        </w:rPr>
      </w:pPr>
    </w:p>
    <w:p w:rsidR="00040C3A" w:rsidRPr="00F7213E" w:rsidRDefault="00040C3A" w:rsidP="00040C3A">
      <w:pPr>
        <w:tabs>
          <w:tab w:val="center" w:pos="5400"/>
        </w:tabs>
        <w:suppressAutoHyphens/>
        <w:jc w:val="both"/>
        <w:rPr>
          <w:rFonts w:asciiTheme="majorHAnsi" w:hAnsiTheme="majorHAnsi"/>
          <w:sz w:val="22"/>
          <w:szCs w:val="22"/>
        </w:rPr>
      </w:pPr>
    </w:p>
    <w:p w:rsidR="005128E4" w:rsidRPr="00F7213E" w:rsidRDefault="005128E4" w:rsidP="00040C3A">
      <w:pPr>
        <w:tabs>
          <w:tab w:val="center" w:pos="5400"/>
        </w:tabs>
        <w:suppressAutoHyphens/>
        <w:rPr>
          <w:rFonts w:asciiTheme="majorHAnsi" w:hAnsiTheme="majorHAnsi"/>
          <w:sz w:val="22"/>
          <w:szCs w:val="22"/>
        </w:rPr>
      </w:pPr>
    </w:p>
    <w:p w:rsidR="005128E4" w:rsidRPr="00F7213E" w:rsidRDefault="005128E4" w:rsidP="00040C3A">
      <w:pPr>
        <w:tabs>
          <w:tab w:val="center" w:pos="5400"/>
        </w:tabs>
        <w:suppressAutoHyphens/>
        <w:rPr>
          <w:rFonts w:asciiTheme="majorHAnsi" w:hAnsiTheme="majorHAnsi"/>
          <w:sz w:val="22"/>
          <w:szCs w:val="22"/>
        </w:rPr>
      </w:pPr>
    </w:p>
    <w:p w:rsidR="005128E4" w:rsidRPr="00F7213E" w:rsidRDefault="005128E4" w:rsidP="00040C3A">
      <w:pPr>
        <w:tabs>
          <w:tab w:val="center" w:pos="5400"/>
        </w:tabs>
        <w:suppressAutoHyphens/>
        <w:rPr>
          <w:rFonts w:asciiTheme="majorHAnsi" w:hAnsiTheme="majorHAnsi"/>
          <w:sz w:val="22"/>
          <w:szCs w:val="22"/>
        </w:rPr>
      </w:pPr>
    </w:p>
    <w:p w:rsidR="00040C3A" w:rsidRPr="00F7213E" w:rsidRDefault="00040C3A" w:rsidP="005128E4">
      <w:pPr>
        <w:tabs>
          <w:tab w:val="center" w:pos="5400"/>
        </w:tabs>
        <w:suppressAutoHyphens/>
        <w:jc w:val="center"/>
        <w:rPr>
          <w:rFonts w:asciiTheme="majorHAnsi" w:hAnsiTheme="majorHAnsi"/>
          <w:sz w:val="22"/>
          <w:szCs w:val="22"/>
        </w:rPr>
      </w:pPr>
    </w:p>
    <w:p w:rsidR="00040C3A" w:rsidRPr="00F7213E" w:rsidRDefault="00040C3A" w:rsidP="005128E4">
      <w:pPr>
        <w:tabs>
          <w:tab w:val="center" w:pos="5400"/>
        </w:tabs>
        <w:suppressAutoHyphens/>
        <w:jc w:val="center"/>
        <w:rPr>
          <w:rFonts w:asciiTheme="majorHAnsi" w:hAnsiTheme="majorHAnsi"/>
          <w:sz w:val="22"/>
          <w:szCs w:val="22"/>
        </w:rPr>
      </w:pPr>
    </w:p>
    <w:p w:rsidR="005B52B0" w:rsidRPr="00F7213E" w:rsidRDefault="005B52B0" w:rsidP="005128E4">
      <w:pPr>
        <w:tabs>
          <w:tab w:val="center" w:pos="5400"/>
        </w:tabs>
        <w:suppressAutoHyphens/>
        <w:jc w:val="center"/>
        <w:rPr>
          <w:rFonts w:asciiTheme="majorHAnsi" w:hAnsiTheme="majorHAnsi"/>
          <w:sz w:val="22"/>
          <w:szCs w:val="22"/>
        </w:rPr>
      </w:pPr>
    </w:p>
    <w:p w:rsidR="005B52B0" w:rsidRPr="00F7213E" w:rsidRDefault="005B52B0" w:rsidP="005128E4">
      <w:pPr>
        <w:tabs>
          <w:tab w:val="center" w:pos="5400"/>
        </w:tabs>
        <w:suppressAutoHyphens/>
        <w:jc w:val="center"/>
        <w:rPr>
          <w:rFonts w:asciiTheme="majorHAnsi" w:hAnsiTheme="majorHAnsi"/>
          <w:sz w:val="22"/>
          <w:szCs w:val="22"/>
        </w:rPr>
      </w:pPr>
    </w:p>
    <w:p w:rsidR="005B52B0" w:rsidRPr="00F7213E" w:rsidRDefault="005B52B0" w:rsidP="005128E4">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040C3A" w:rsidRPr="00F7213E" w:rsidRDefault="00E533FF" w:rsidP="00040C3A">
      <w:pPr>
        <w:tabs>
          <w:tab w:val="center" w:pos="5400"/>
        </w:tabs>
        <w:suppressAutoHyphens/>
        <w:jc w:val="center"/>
        <w:rPr>
          <w:rFonts w:asciiTheme="majorHAnsi" w:hAnsiTheme="majorHAnsi"/>
          <w:sz w:val="22"/>
          <w:szCs w:val="22"/>
        </w:rPr>
      </w:pPr>
      <w:r w:rsidRPr="00F7213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944235" wp14:editId="0EBCDA9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56FB" w:rsidRPr="00264541" w:rsidRDefault="00BA56FB" w:rsidP="00991A16">
                            <w:pPr>
                              <w:spacing w:line="276" w:lineRule="auto"/>
                              <w:rPr>
                                <w:rFonts w:asciiTheme="majorHAnsi" w:hAnsiTheme="majorHAnsi" w:cs="Arial"/>
                                <w:b/>
                                <w:bCs/>
                                <w:color w:val="0D0D0D" w:themeColor="text1" w:themeTint="F2"/>
                                <w:sz w:val="36"/>
                                <w:szCs w:val="22"/>
                              </w:rPr>
                            </w:pPr>
                            <w:r w:rsidRPr="00264541">
                              <w:rPr>
                                <w:rFonts w:asciiTheme="majorHAnsi" w:hAnsiTheme="majorHAnsi" w:cs="Arial"/>
                                <w:b/>
                                <w:bCs/>
                                <w:color w:val="0D0D0D" w:themeColor="text1" w:themeTint="F2"/>
                                <w:sz w:val="36"/>
                                <w:szCs w:val="22"/>
                              </w:rPr>
                              <w:t xml:space="preserve">REPORT </w:t>
                            </w:r>
                            <w:r w:rsidRPr="00264541">
                              <w:rPr>
                                <w:rFonts w:asciiTheme="majorHAnsi" w:hAnsiTheme="majorHAnsi" w:cs="Arial"/>
                                <w:b/>
                                <w:bCs/>
                                <w:color w:val="0D0D0D" w:themeColor="text1" w:themeTint="F2"/>
                                <w:sz w:val="36"/>
                                <w:szCs w:val="40"/>
                              </w:rPr>
                              <w:t>No</w:t>
                            </w:r>
                            <w:r w:rsidR="000F41B6">
                              <w:rPr>
                                <w:rFonts w:asciiTheme="majorHAnsi" w:hAnsiTheme="majorHAnsi" w:cs="Arial"/>
                                <w:b/>
                                <w:bCs/>
                                <w:color w:val="0D0D0D" w:themeColor="text1" w:themeTint="F2"/>
                                <w:sz w:val="36"/>
                                <w:szCs w:val="40"/>
                              </w:rPr>
                              <w:t>. 122</w:t>
                            </w:r>
                            <w:r w:rsidRPr="00264541">
                              <w:rPr>
                                <w:rFonts w:asciiTheme="majorHAnsi" w:hAnsiTheme="majorHAnsi" w:cs="Arial"/>
                                <w:b/>
                                <w:bCs/>
                                <w:color w:val="0D0D0D" w:themeColor="text1" w:themeTint="F2"/>
                                <w:sz w:val="36"/>
                                <w:szCs w:val="22"/>
                              </w:rPr>
                              <w:t>/17</w:t>
                            </w:r>
                          </w:p>
                          <w:p w:rsidR="00BA56FB" w:rsidRPr="00264541" w:rsidRDefault="00BA56FB" w:rsidP="00991A16">
                            <w:pPr>
                              <w:spacing w:line="276" w:lineRule="auto"/>
                              <w:rPr>
                                <w:rFonts w:asciiTheme="majorHAnsi" w:hAnsiTheme="majorHAnsi" w:cs="Arial"/>
                                <w:b/>
                                <w:color w:val="0D0D0D" w:themeColor="text1" w:themeTint="F2"/>
                                <w:sz w:val="36"/>
                                <w:szCs w:val="22"/>
                              </w:rPr>
                            </w:pPr>
                            <w:r w:rsidRPr="00264541">
                              <w:rPr>
                                <w:rFonts w:asciiTheme="majorHAnsi" w:hAnsiTheme="majorHAnsi" w:cs="Arial"/>
                                <w:b/>
                                <w:color w:val="0D0D0D" w:themeColor="text1" w:themeTint="F2"/>
                                <w:sz w:val="36"/>
                                <w:szCs w:val="22"/>
                              </w:rPr>
                              <w:t xml:space="preserve">PETITION </w:t>
                            </w:r>
                            <w:r w:rsidR="000A6974">
                              <w:rPr>
                                <w:rFonts w:asciiTheme="majorHAnsi" w:hAnsiTheme="majorHAnsi" w:cs="Arial"/>
                                <w:b/>
                                <w:color w:val="0D0D0D" w:themeColor="text1" w:themeTint="F2"/>
                                <w:sz w:val="36"/>
                                <w:szCs w:val="22"/>
                              </w:rPr>
                              <w:t>156-08</w:t>
                            </w:r>
                            <w:r w:rsidRPr="00264541">
                              <w:rPr>
                                <w:rFonts w:asciiTheme="majorHAnsi" w:hAnsiTheme="majorHAnsi" w:cs="Arial"/>
                                <w:b/>
                                <w:color w:val="0D0D0D" w:themeColor="text1" w:themeTint="F2"/>
                                <w:sz w:val="36"/>
                                <w:szCs w:val="22"/>
                              </w:rPr>
                              <w:t xml:space="preserve"> </w:t>
                            </w:r>
                          </w:p>
                          <w:p w:rsidR="00BA56FB" w:rsidRPr="00264541" w:rsidRDefault="00BA56FB" w:rsidP="00264541">
                            <w:pPr>
                              <w:spacing w:line="276" w:lineRule="auto"/>
                              <w:rPr>
                                <w:rFonts w:asciiTheme="majorHAnsi" w:hAnsiTheme="majorHAnsi" w:cs="Arial"/>
                                <w:color w:val="0D0D0D" w:themeColor="text1" w:themeTint="F2"/>
                                <w:szCs w:val="22"/>
                              </w:rPr>
                            </w:pPr>
                            <w:bookmarkStart w:id="1" w:name="_ftnref1"/>
                            <w:r w:rsidRPr="00264541">
                              <w:rPr>
                                <w:rFonts w:asciiTheme="majorHAnsi" w:hAnsiTheme="majorHAnsi" w:cs="Arial"/>
                                <w:color w:val="0D0D0D" w:themeColor="text1" w:themeTint="F2"/>
                                <w:szCs w:val="22"/>
                              </w:rPr>
                              <w:t>REPORT ON ADMISSIBILITY</w:t>
                            </w:r>
                          </w:p>
                          <w:p w:rsidR="00BA56FB" w:rsidRPr="00264541" w:rsidRDefault="00BA56FB" w:rsidP="00991A16">
                            <w:pPr>
                              <w:spacing w:line="276" w:lineRule="auto"/>
                              <w:rPr>
                                <w:rFonts w:asciiTheme="majorHAnsi" w:hAnsiTheme="majorHAnsi" w:cs="Arial"/>
                                <w:color w:val="0D0D0D" w:themeColor="text1" w:themeTint="F2"/>
                                <w:szCs w:val="22"/>
                              </w:rPr>
                            </w:pPr>
                          </w:p>
                          <w:bookmarkEnd w:id="1"/>
                          <w:p w:rsidR="000F41B6" w:rsidRPr="007B0A3F" w:rsidRDefault="000A6974" w:rsidP="000A6974">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WILLIAMS MARIANO PAR</w:t>
                            </w:r>
                            <w:r>
                              <w:rPr>
                                <w:rFonts w:asciiTheme="majorHAnsi" w:hAnsiTheme="majorHAnsi" w:cs="Arial"/>
                                <w:color w:val="0D0D0D" w:themeColor="text1" w:themeTint="F2"/>
                                <w:szCs w:val="22"/>
                              </w:rPr>
                              <w:t xml:space="preserve">ÍA TAPIA </w:t>
                            </w:r>
                          </w:p>
                          <w:p w:rsidR="00BA56FB" w:rsidRPr="0032444D" w:rsidRDefault="000F41B6" w:rsidP="000A6974">
                            <w:pPr>
                              <w:rPr>
                                <w:color w:val="0D0D0D" w:themeColor="text1" w:themeTint="F2"/>
                                <w:lang w:val="es-ES"/>
                              </w:rPr>
                            </w:pPr>
                            <w:r>
                              <w:rPr>
                                <w:rFonts w:asciiTheme="majorHAnsi" w:hAnsiTheme="majorHAnsi" w:cs="Arial"/>
                                <w:bCs/>
                                <w:color w:val="0D0D0D" w:themeColor="text1" w:themeTint="F2"/>
                                <w:szCs w:val="22"/>
                                <w:lang w:val="es-ES"/>
                              </w:rPr>
                              <w:t>PERU</w:t>
                            </w:r>
                          </w:p>
                          <w:p w:rsidR="00BA56FB" w:rsidRPr="004B7EB6" w:rsidRDefault="00BA56FB"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BA56FB" w:rsidRPr="00264541" w:rsidRDefault="00BA56FB" w:rsidP="00991A16">
                      <w:pPr>
                        <w:spacing w:line="276" w:lineRule="auto"/>
                        <w:rPr>
                          <w:rFonts w:asciiTheme="majorHAnsi" w:hAnsiTheme="majorHAnsi" w:cs="Arial"/>
                          <w:b/>
                          <w:bCs/>
                          <w:color w:val="0D0D0D" w:themeColor="text1" w:themeTint="F2"/>
                          <w:sz w:val="36"/>
                          <w:szCs w:val="22"/>
                        </w:rPr>
                      </w:pPr>
                      <w:r w:rsidRPr="00264541">
                        <w:rPr>
                          <w:rFonts w:asciiTheme="majorHAnsi" w:hAnsiTheme="majorHAnsi" w:cs="Arial"/>
                          <w:b/>
                          <w:bCs/>
                          <w:color w:val="0D0D0D" w:themeColor="text1" w:themeTint="F2"/>
                          <w:sz w:val="36"/>
                          <w:szCs w:val="22"/>
                        </w:rPr>
                        <w:t xml:space="preserve">REPORT </w:t>
                      </w:r>
                      <w:r w:rsidRPr="00264541">
                        <w:rPr>
                          <w:rFonts w:asciiTheme="majorHAnsi" w:hAnsiTheme="majorHAnsi" w:cs="Arial"/>
                          <w:b/>
                          <w:bCs/>
                          <w:color w:val="0D0D0D" w:themeColor="text1" w:themeTint="F2"/>
                          <w:sz w:val="36"/>
                          <w:szCs w:val="40"/>
                        </w:rPr>
                        <w:t>No</w:t>
                      </w:r>
                      <w:r w:rsidR="000F41B6">
                        <w:rPr>
                          <w:rFonts w:asciiTheme="majorHAnsi" w:hAnsiTheme="majorHAnsi" w:cs="Arial"/>
                          <w:b/>
                          <w:bCs/>
                          <w:color w:val="0D0D0D" w:themeColor="text1" w:themeTint="F2"/>
                          <w:sz w:val="36"/>
                          <w:szCs w:val="40"/>
                        </w:rPr>
                        <w:t>. 122</w:t>
                      </w:r>
                      <w:r w:rsidRPr="00264541">
                        <w:rPr>
                          <w:rFonts w:asciiTheme="majorHAnsi" w:hAnsiTheme="majorHAnsi" w:cs="Arial"/>
                          <w:b/>
                          <w:bCs/>
                          <w:color w:val="0D0D0D" w:themeColor="text1" w:themeTint="F2"/>
                          <w:sz w:val="36"/>
                          <w:szCs w:val="22"/>
                        </w:rPr>
                        <w:t>/17</w:t>
                      </w:r>
                    </w:p>
                    <w:p w:rsidR="00BA56FB" w:rsidRPr="00264541" w:rsidRDefault="00BA56FB" w:rsidP="00991A16">
                      <w:pPr>
                        <w:spacing w:line="276" w:lineRule="auto"/>
                        <w:rPr>
                          <w:rFonts w:asciiTheme="majorHAnsi" w:hAnsiTheme="majorHAnsi" w:cs="Arial"/>
                          <w:b/>
                          <w:color w:val="0D0D0D" w:themeColor="text1" w:themeTint="F2"/>
                          <w:sz w:val="36"/>
                          <w:szCs w:val="22"/>
                        </w:rPr>
                      </w:pPr>
                      <w:r w:rsidRPr="00264541">
                        <w:rPr>
                          <w:rFonts w:asciiTheme="majorHAnsi" w:hAnsiTheme="majorHAnsi" w:cs="Arial"/>
                          <w:b/>
                          <w:color w:val="0D0D0D" w:themeColor="text1" w:themeTint="F2"/>
                          <w:sz w:val="36"/>
                          <w:szCs w:val="22"/>
                        </w:rPr>
                        <w:t xml:space="preserve">PETITION </w:t>
                      </w:r>
                      <w:r w:rsidR="000A6974">
                        <w:rPr>
                          <w:rFonts w:asciiTheme="majorHAnsi" w:hAnsiTheme="majorHAnsi" w:cs="Arial"/>
                          <w:b/>
                          <w:color w:val="0D0D0D" w:themeColor="text1" w:themeTint="F2"/>
                          <w:sz w:val="36"/>
                          <w:szCs w:val="22"/>
                        </w:rPr>
                        <w:t>156-08</w:t>
                      </w:r>
                      <w:r w:rsidRPr="00264541">
                        <w:rPr>
                          <w:rFonts w:asciiTheme="majorHAnsi" w:hAnsiTheme="majorHAnsi" w:cs="Arial"/>
                          <w:b/>
                          <w:color w:val="0D0D0D" w:themeColor="text1" w:themeTint="F2"/>
                          <w:sz w:val="36"/>
                          <w:szCs w:val="22"/>
                        </w:rPr>
                        <w:t xml:space="preserve"> </w:t>
                      </w:r>
                    </w:p>
                    <w:p w:rsidR="00BA56FB" w:rsidRPr="00264541" w:rsidRDefault="00BA56FB" w:rsidP="00264541">
                      <w:pPr>
                        <w:spacing w:line="276" w:lineRule="auto"/>
                        <w:rPr>
                          <w:rFonts w:asciiTheme="majorHAnsi" w:hAnsiTheme="majorHAnsi" w:cs="Arial"/>
                          <w:color w:val="0D0D0D" w:themeColor="text1" w:themeTint="F2"/>
                          <w:szCs w:val="22"/>
                        </w:rPr>
                      </w:pPr>
                      <w:bookmarkStart w:id="1" w:name="_ftnref1"/>
                      <w:r w:rsidRPr="00264541">
                        <w:rPr>
                          <w:rFonts w:asciiTheme="majorHAnsi" w:hAnsiTheme="majorHAnsi" w:cs="Arial"/>
                          <w:color w:val="0D0D0D" w:themeColor="text1" w:themeTint="F2"/>
                          <w:szCs w:val="22"/>
                        </w:rPr>
                        <w:t>REPORT ON ADMISSIBILITY</w:t>
                      </w:r>
                    </w:p>
                    <w:p w:rsidR="00BA56FB" w:rsidRPr="00264541" w:rsidRDefault="00BA56FB" w:rsidP="00991A16">
                      <w:pPr>
                        <w:spacing w:line="276" w:lineRule="auto"/>
                        <w:rPr>
                          <w:rFonts w:asciiTheme="majorHAnsi" w:hAnsiTheme="majorHAnsi" w:cs="Arial"/>
                          <w:color w:val="0D0D0D" w:themeColor="text1" w:themeTint="F2"/>
                          <w:szCs w:val="22"/>
                        </w:rPr>
                      </w:pPr>
                    </w:p>
                    <w:bookmarkEnd w:id="1"/>
                    <w:p w:rsidR="000F41B6" w:rsidRPr="007B0A3F" w:rsidRDefault="000A6974" w:rsidP="000A6974">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WILLIAMS MARIANO PAR</w:t>
                      </w:r>
                      <w:r>
                        <w:rPr>
                          <w:rFonts w:asciiTheme="majorHAnsi" w:hAnsiTheme="majorHAnsi" w:cs="Arial"/>
                          <w:color w:val="0D0D0D" w:themeColor="text1" w:themeTint="F2"/>
                          <w:szCs w:val="22"/>
                        </w:rPr>
                        <w:t xml:space="preserve">ÍA TAPIA </w:t>
                      </w:r>
                    </w:p>
                    <w:p w:rsidR="00BA56FB" w:rsidRPr="0032444D" w:rsidRDefault="000F41B6" w:rsidP="000A6974">
                      <w:pPr>
                        <w:rPr>
                          <w:color w:val="0D0D0D" w:themeColor="text1" w:themeTint="F2"/>
                          <w:lang w:val="es-ES"/>
                        </w:rPr>
                      </w:pPr>
                      <w:r>
                        <w:rPr>
                          <w:rFonts w:asciiTheme="majorHAnsi" w:hAnsiTheme="majorHAnsi" w:cs="Arial"/>
                          <w:bCs/>
                          <w:color w:val="0D0D0D" w:themeColor="text1" w:themeTint="F2"/>
                          <w:szCs w:val="22"/>
                          <w:lang w:val="es-ES"/>
                        </w:rPr>
                        <w:t>PERU</w:t>
                      </w:r>
                    </w:p>
                    <w:p w:rsidR="00BA56FB" w:rsidRPr="004B7EB6" w:rsidRDefault="00BA56FB"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F7213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E1AF66C" wp14:editId="6B6C7B14">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56FB" w:rsidRPr="00A313CD" w:rsidRDefault="00BA56FB" w:rsidP="002C1641">
                            <w:pPr>
                              <w:jc w:val="right"/>
                              <w:rPr>
                                <w:rFonts w:asciiTheme="minorHAnsi" w:hAnsiTheme="minorHAnsi"/>
                                <w:color w:val="FFFFFF" w:themeColor="background1"/>
                                <w:sz w:val="22"/>
                                <w:lang w:val="pt-BR"/>
                              </w:rPr>
                            </w:pPr>
                            <w:r w:rsidRPr="00A313CD">
                              <w:rPr>
                                <w:rFonts w:asciiTheme="minorHAnsi" w:hAnsiTheme="minorHAnsi"/>
                                <w:color w:val="FFFFFF" w:themeColor="background1"/>
                                <w:sz w:val="22"/>
                                <w:lang w:val="pt-BR"/>
                              </w:rPr>
                              <w:t>OEA/Ser.L/V/II.16</w:t>
                            </w:r>
                            <w:r w:rsidR="000F41B6">
                              <w:rPr>
                                <w:rFonts w:asciiTheme="minorHAnsi" w:hAnsiTheme="minorHAnsi"/>
                                <w:color w:val="FFFFFF" w:themeColor="background1"/>
                                <w:sz w:val="22"/>
                                <w:lang w:val="pt-BR"/>
                              </w:rPr>
                              <w:t>4</w:t>
                            </w:r>
                          </w:p>
                          <w:p w:rsidR="00BA56FB" w:rsidRPr="00A313CD" w:rsidRDefault="00BA56FB" w:rsidP="002C1641">
                            <w:pPr>
                              <w:jc w:val="right"/>
                              <w:rPr>
                                <w:rFonts w:asciiTheme="minorHAnsi" w:hAnsiTheme="minorHAnsi"/>
                                <w:color w:val="FFFFFF" w:themeColor="background1"/>
                                <w:sz w:val="22"/>
                                <w:lang w:val="pt-BR"/>
                              </w:rPr>
                            </w:pPr>
                            <w:r w:rsidRPr="00A313CD">
                              <w:rPr>
                                <w:rFonts w:asciiTheme="minorHAnsi" w:hAnsiTheme="minorHAnsi"/>
                                <w:color w:val="FFFFFF" w:themeColor="background1"/>
                                <w:sz w:val="22"/>
                                <w:lang w:val="pt-BR"/>
                              </w:rPr>
                              <w:t>Doc</w:t>
                            </w:r>
                            <w:r w:rsidR="000F41B6">
                              <w:rPr>
                                <w:rFonts w:asciiTheme="minorHAnsi" w:hAnsiTheme="minorHAnsi"/>
                                <w:color w:val="FFFFFF" w:themeColor="background1"/>
                                <w:sz w:val="22"/>
                                <w:lang w:val="pt-BR"/>
                              </w:rPr>
                              <w:t>. 143</w:t>
                            </w:r>
                          </w:p>
                          <w:p w:rsidR="00BA56FB" w:rsidRPr="004B7EB6" w:rsidRDefault="000F41B6" w:rsidP="002C1641">
                            <w:pPr>
                              <w:jc w:val="right"/>
                              <w:rPr>
                                <w:rFonts w:asciiTheme="minorHAnsi" w:hAnsiTheme="minorHAnsi"/>
                                <w:color w:val="FFFFFF" w:themeColor="background1"/>
                                <w:sz w:val="22"/>
                              </w:rPr>
                            </w:pPr>
                            <w:r>
                              <w:rPr>
                                <w:rFonts w:asciiTheme="minorHAnsi" w:hAnsiTheme="minorHAnsi"/>
                                <w:color w:val="FFFFFF" w:themeColor="background1"/>
                                <w:sz w:val="22"/>
                              </w:rPr>
                              <w:t>7 September</w:t>
                            </w:r>
                            <w:r w:rsidR="00BA56FB">
                              <w:rPr>
                                <w:rFonts w:asciiTheme="minorHAnsi" w:hAnsiTheme="minorHAnsi"/>
                                <w:color w:val="FFFFFF" w:themeColor="background1"/>
                                <w:sz w:val="22"/>
                              </w:rPr>
                              <w:t xml:space="preserve"> 2017</w:t>
                            </w:r>
                          </w:p>
                          <w:p w:rsidR="00BA56FB" w:rsidRPr="004B7EB6" w:rsidRDefault="00BA56F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BA56FB" w:rsidRPr="00A313CD" w:rsidRDefault="00BA56FB" w:rsidP="002C1641">
                      <w:pPr>
                        <w:jc w:val="right"/>
                        <w:rPr>
                          <w:rFonts w:asciiTheme="minorHAnsi" w:hAnsiTheme="minorHAnsi"/>
                          <w:color w:val="FFFFFF" w:themeColor="background1"/>
                          <w:sz w:val="22"/>
                          <w:lang w:val="pt-BR"/>
                        </w:rPr>
                      </w:pPr>
                      <w:r w:rsidRPr="00A313CD">
                        <w:rPr>
                          <w:rFonts w:asciiTheme="minorHAnsi" w:hAnsiTheme="minorHAnsi"/>
                          <w:color w:val="FFFFFF" w:themeColor="background1"/>
                          <w:sz w:val="22"/>
                          <w:lang w:val="pt-BR"/>
                        </w:rPr>
                        <w:t>OEA/Ser.L/V/II.16</w:t>
                      </w:r>
                      <w:r w:rsidR="000F41B6">
                        <w:rPr>
                          <w:rFonts w:asciiTheme="minorHAnsi" w:hAnsiTheme="minorHAnsi"/>
                          <w:color w:val="FFFFFF" w:themeColor="background1"/>
                          <w:sz w:val="22"/>
                          <w:lang w:val="pt-BR"/>
                        </w:rPr>
                        <w:t>4</w:t>
                      </w:r>
                    </w:p>
                    <w:p w:rsidR="00BA56FB" w:rsidRPr="00A313CD" w:rsidRDefault="00BA56FB" w:rsidP="002C1641">
                      <w:pPr>
                        <w:jc w:val="right"/>
                        <w:rPr>
                          <w:rFonts w:asciiTheme="minorHAnsi" w:hAnsiTheme="minorHAnsi"/>
                          <w:color w:val="FFFFFF" w:themeColor="background1"/>
                          <w:sz w:val="22"/>
                          <w:lang w:val="pt-BR"/>
                        </w:rPr>
                      </w:pPr>
                      <w:r w:rsidRPr="00A313CD">
                        <w:rPr>
                          <w:rFonts w:asciiTheme="minorHAnsi" w:hAnsiTheme="minorHAnsi"/>
                          <w:color w:val="FFFFFF" w:themeColor="background1"/>
                          <w:sz w:val="22"/>
                          <w:lang w:val="pt-BR"/>
                        </w:rPr>
                        <w:t>Doc</w:t>
                      </w:r>
                      <w:r w:rsidR="000F41B6">
                        <w:rPr>
                          <w:rFonts w:asciiTheme="minorHAnsi" w:hAnsiTheme="minorHAnsi"/>
                          <w:color w:val="FFFFFF" w:themeColor="background1"/>
                          <w:sz w:val="22"/>
                          <w:lang w:val="pt-BR"/>
                        </w:rPr>
                        <w:t>. 143</w:t>
                      </w:r>
                    </w:p>
                    <w:p w:rsidR="00BA56FB" w:rsidRPr="004B7EB6" w:rsidRDefault="000F41B6" w:rsidP="002C1641">
                      <w:pPr>
                        <w:jc w:val="right"/>
                        <w:rPr>
                          <w:rFonts w:asciiTheme="minorHAnsi" w:hAnsiTheme="minorHAnsi"/>
                          <w:color w:val="FFFFFF" w:themeColor="background1"/>
                          <w:sz w:val="22"/>
                        </w:rPr>
                      </w:pPr>
                      <w:r>
                        <w:rPr>
                          <w:rFonts w:asciiTheme="minorHAnsi" w:hAnsiTheme="minorHAnsi"/>
                          <w:color w:val="FFFFFF" w:themeColor="background1"/>
                          <w:sz w:val="22"/>
                        </w:rPr>
                        <w:t>7 September</w:t>
                      </w:r>
                      <w:r w:rsidR="00BA56FB">
                        <w:rPr>
                          <w:rFonts w:asciiTheme="minorHAnsi" w:hAnsiTheme="minorHAnsi"/>
                          <w:color w:val="FFFFFF" w:themeColor="background1"/>
                          <w:sz w:val="22"/>
                        </w:rPr>
                        <w:t xml:space="preserve"> 2017</w:t>
                      </w:r>
                    </w:p>
                    <w:p w:rsidR="00BA56FB" w:rsidRPr="004B7EB6" w:rsidRDefault="00BA56F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F7213E" w:rsidRDefault="00040C3A"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cs="Arial"/>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5128E4" w:rsidRPr="00F7213E" w:rsidRDefault="005128E4"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5128E4" w:rsidRPr="00F7213E" w:rsidRDefault="005128E4" w:rsidP="00040C3A">
      <w:pPr>
        <w:tabs>
          <w:tab w:val="center" w:pos="5400"/>
        </w:tabs>
        <w:suppressAutoHyphens/>
        <w:jc w:val="center"/>
        <w:rPr>
          <w:rFonts w:asciiTheme="majorHAnsi" w:hAnsiTheme="majorHAnsi"/>
          <w:sz w:val="22"/>
          <w:szCs w:val="22"/>
        </w:rPr>
      </w:pPr>
    </w:p>
    <w:p w:rsidR="005128E4" w:rsidRPr="00F7213E" w:rsidRDefault="005128E4" w:rsidP="00040C3A">
      <w:pPr>
        <w:tabs>
          <w:tab w:val="center" w:pos="5400"/>
        </w:tabs>
        <w:suppressAutoHyphens/>
        <w:jc w:val="center"/>
        <w:rPr>
          <w:rFonts w:asciiTheme="majorHAnsi" w:hAnsiTheme="majorHAnsi"/>
          <w:sz w:val="22"/>
          <w:szCs w:val="22"/>
        </w:rPr>
      </w:pPr>
    </w:p>
    <w:p w:rsidR="005128E4" w:rsidRPr="00F7213E" w:rsidRDefault="005128E4"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040C3A" w:rsidRPr="00F7213E" w:rsidRDefault="00040C3A" w:rsidP="00040C3A">
      <w:pPr>
        <w:tabs>
          <w:tab w:val="center" w:pos="5400"/>
        </w:tabs>
        <w:suppressAutoHyphens/>
        <w:jc w:val="center"/>
        <w:rPr>
          <w:rFonts w:asciiTheme="majorHAnsi" w:hAnsiTheme="majorHAnsi"/>
          <w:sz w:val="22"/>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3C32BC" w:rsidP="00040C3A">
      <w:pPr>
        <w:tabs>
          <w:tab w:val="center" w:pos="5400"/>
        </w:tabs>
        <w:suppressAutoHyphens/>
        <w:jc w:val="center"/>
        <w:rPr>
          <w:rFonts w:asciiTheme="majorHAnsi" w:hAnsiTheme="majorHAnsi"/>
          <w:sz w:val="18"/>
          <w:szCs w:val="22"/>
        </w:rPr>
      </w:pPr>
      <w:r w:rsidRPr="00F7213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BBA9332" wp14:editId="7FADB269">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41B6" w:rsidRPr="000F41B6" w:rsidRDefault="000F41B6" w:rsidP="000F41B6">
                            <w:pPr>
                              <w:tabs>
                                <w:tab w:val="center" w:pos="5400"/>
                              </w:tabs>
                              <w:suppressAutoHyphens/>
                              <w:spacing w:before="60"/>
                              <w:rPr>
                                <w:rFonts w:asciiTheme="majorHAnsi" w:hAnsiTheme="majorHAnsi"/>
                                <w:color w:val="0D0D0D" w:themeColor="text1" w:themeTint="F2"/>
                                <w:sz w:val="18"/>
                                <w:szCs w:val="20"/>
                              </w:rPr>
                            </w:pPr>
                            <w:r w:rsidRPr="000F41B6">
                              <w:rPr>
                                <w:rFonts w:asciiTheme="majorHAnsi" w:hAnsiTheme="majorHAnsi"/>
                                <w:color w:val="0D0D0D" w:themeColor="text1" w:themeTint="F2"/>
                                <w:sz w:val="18"/>
                                <w:szCs w:val="20"/>
                              </w:rPr>
                              <w:t>Approved by the Commission at its session No. 2098 held on September 7, 2017</w:t>
                            </w:r>
                            <w:r w:rsidRPr="000F41B6">
                              <w:rPr>
                                <w:rFonts w:asciiTheme="majorHAnsi" w:hAnsiTheme="majorHAnsi"/>
                                <w:color w:val="0D0D0D" w:themeColor="text1" w:themeTint="F2"/>
                                <w:sz w:val="18"/>
                                <w:szCs w:val="20"/>
                              </w:rPr>
                              <w:br/>
                            </w:r>
                            <w:r w:rsidR="00865C9E" w:rsidRPr="00865C9E">
                              <w:rPr>
                                <w:rFonts w:asciiTheme="majorHAnsi" w:hAnsiTheme="majorHAnsi"/>
                                <w:color w:val="0D0D0D" w:themeColor="text1" w:themeTint="F2"/>
                                <w:sz w:val="18"/>
                                <w:szCs w:val="20"/>
                                <w:lang w:val="en"/>
                              </w:rPr>
                              <w:t>164</w:t>
                            </w:r>
                            <w:r w:rsidR="00865C9E" w:rsidRPr="00865C9E">
                              <w:rPr>
                                <w:rFonts w:asciiTheme="majorHAnsi" w:hAnsiTheme="majorHAnsi"/>
                                <w:color w:val="0D0D0D" w:themeColor="text1" w:themeTint="F2"/>
                                <w:sz w:val="18"/>
                                <w:szCs w:val="20"/>
                                <w:vertAlign w:val="superscript"/>
                                <w:lang w:val="en"/>
                              </w:rPr>
                              <w:t>th</w:t>
                            </w:r>
                            <w:r w:rsidR="00865C9E" w:rsidRPr="00865C9E">
                              <w:rPr>
                                <w:rFonts w:asciiTheme="majorHAnsi" w:hAnsiTheme="majorHAnsi"/>
                                <w:color w:val="0D0D0D" w:themeColor="text1" w:themeTint="F2"/>
                                <w:sz w:val="18"/>
                                <w:szCs w:val="20"/>
                                <w:lang w:val="en"/>
                              </w:rPr>
                              <w:t xml:space="preserve"> Extraordinary Period of Sessions</w:t>
                            </w:r>
                          </w:p>
                          <w:p w:rsidR="00BA56FB" w:rsidRPr="003C32BC" w:rsidRDefault="00BA56FB"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F41B6" w:rsidRPr="000F41B6" w:rsidRDefault="000F41B6" w:rsidP="000F41B6">
                      <w:pPr>
                        <w:tabs>
                          <w:tab w:val="center" w:pos="5400"/>
                        </w:tabs>
                        <w:suppressAutoHyphens/>
                        <w:spacing w:before="60"/>
                        <w:rPr>
                          <w:rFonts w:asciiTheme="majorHAnsi" w:hAnsiTheme="majorHAnsi"/>
                          <w:color w:val="0D0D0D" w:themeColor="text1" w:themeTint="F2"/>
                          <w:sz w:val="18"/>
                          <w:szCs w:val="20"/>
                        </w:rPr>
                      </w:pPr>
                      <w:r w:rsidRPr="000F41B6">
                        <w:rPr>
                          <w:rFonts w:asciiTheme="majorHAnsi" w:hAnsiTheme="majorHAnsi"/>
                          <w:color w:val="0D0D0D" w:themeColor="text1" w:themeTint="F2"/>
                          <w:sz w:val="18"/>
                          <w:szCs w:val="20"/>
                        </w:rPr>
                        <w:t xml:space="preserve">Approved by the Commission at its session No. </w:t>
                      </w:r>
                      <w:r w:rsidRPr="000F41B6">
                        <w:rPr>
                          <w:rFonts w:asciiTheme="majorHAnsi" w:hAnsiTheme="majorHAnsi"/>
                          <w:color w:val="0D0D0D" w:themeColor="text1" w:themeTint="F2"/>
                          <w:sz w:val="18"/>
                          <w:szCs w:val="20"/>
                        </w:rPr>
                        <w:t>2098 held on September 7, 2017</w:t>
                      </w:r>
                      <w:r w:rsidRPr="000F41B6">
                        <w:rPr>
                          <w:rFonts w:asciiTheme="majorHAnsi" w:hAnsiTheme="majorHAnsi"/>
                          <w:color w:val="0D0D0D" w:themeColor="text1" w:themeTint="F2"/>
                          <w:sz w:val="18"/>
                          <w:szCs w:val="20"/>
                        </w:rPr>
                        <w:br/>
                      </w:r>
                      <w:r w:rsidR="00865C9E" w:rsidRPr="00865C9E">
                        <w:rPr>
                          <w:rFonts w:asciiTheme="majorHAnsi" w:hAnsiTheme="majorHAnsi"/>
                          <w:color w:val="0D0D0D" w:themeColor="text1" w:themeTint="F2"/>
                          <w:sz w:val="18"/>
                          <w:szCs w:val="20"/>
                          <w:lang w:val="en"/>
                        </w:rPr>
                        <w:t>164</w:t>
                      </w:r>
                      <w:r w:rsidR="00865C9E" w:rsidRPr="00865C9E">
                        <w:rPr>
                          <w:rFonts w:asciiTheme="majorHAnsi" w:hAnsiTheme="majorHAnsi"/>
                          <w:color w:val="0D0D0D" w:themeColor="text1" w:themeTint="F2"/>
                          <w:sz w:val="18"/>
                          <w:szCs w:val="20"/>
                          <w:vertAlign w:val="superscript"/>
                          <w:lang w:val="en"/>
                        </w:rPr>
                        <w:t>th</w:t>
                      </w:r>
                      <w:r w:rsidR="00865C9E" w:rsidRPr="00865C9E">
                        <w:rPr>
                          <w:rFonts w:asciiTheme="majorHAnsi" w:hAnsiTheme="majorHAnsi"/>
                          <w:color w:val="0D0D0D" w:themeColor="text1" w:themeTint="F2"/>
                          <w:sz w:val="18"/>
                          <w:szCs w:val="20"/>
                          <w:lang w:val="en"/>
                        </w:rPr>
                        <w:t xml:space="preserve"> Extraordinary Period of </w:t>
                      </w:r>
                      <w:r w:rsidR="00865C9E" w:rsidRPr="00865C9E">
                        <w:rPr>
                          <w:rFonts w:asciiTheme="majorHAnsi" w:hAnsiTheme="majorHAnsi"/>
                          <w:color w:val="0D0D0D" w:themeColor="text1" w:themeTint="F2"/>
                          <w:sz w:val="18"/>
                          <w:szCs w:val="20"/>
                          <w:lang w:val="en"/>
                        </w:rPr>
                        <w:t>Sessions</w:t>
                      </w:r>
                      <w:bookmarkStart w:id="2" w:name="_GoBack"/>
                      <w:bookmarkEnd w:id="2"/>
                    </w:p>
                    <w:p w:rsidR="00BA56FB" w:rsidRPr="003C32BC" w:rsidRDefault="00BA56FB"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3C32BC" w:rsidP="00040C3A">
      <w:pPr>
        <w:tabs>
          <w:tab w:val="center" w:pos="5400"/>
        </w:tabs>
        <w:suppressAutoHyphens/>
        <w:jc w:val="center"/>
        <w:rPr>
          <w:rFonts w:asciiTheme="majorHAnsi" w:hAnsiTheme="majorHAnsi"/>
          <w:sz w:val="18"/>
          <w:szCs w:val="22"/>
        </w:rPr>
      </w:pPr>
      <w:r w:rsidRPr="00F7213E">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45A270C3" wp14:editId="03CCC42E">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56FB" w:rsidRPr="003C32BC" w:rsidRDefault="00BA56FB" w:rsidP="000F41B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0F41B6">
                              <w:rPr>
                                <w:rFonts w:asciiTheme="majorHAnsi" w:hAnsiTheme="majorHAnsi"/>
                                <w:color w:val="595959" w:themeColor="text1" w:themeTint="A6"/>
                                <w:sz w:val="18"/>
                              </w:rPr>
                              <w:t xml:space="preserve">. 122/17. Petition 156-08. Admissibility. Williams Mariano Paría Tapia. </w:t>
                            </w:r>
                            <w:r w:rsidR="000F41B6" w:rsidRPr="000F41B6">
                              <w:rPr>
                                <w:rFonts w:asciiTheme="majorHAnsi" w:hAnsiTheme="majorHAnsi"/>
                                <w:color w:val="595959" w:themeColor="text1" w:themeTint="A6"/>
                                <w:sz w:val="18"/>
                              </w:rPr>
                              <w:t>Peru</w:t>
                            </w:r>
                            <w:r w:rsidR="000F41B6">
                              <w:rPr>
                                <w:rFonts w:asciiTheme="majorHAnsi" w:hAnsiTheme="majorHAnsi"/>
                                <w:color w:val="595959" w:themeColor="text1" w:themeTint="A6"/>
                                <w:sz w:val="18"/>
                              </w:rPr>
                              <w:t>. September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BA56FB" w:rsidRPr="003C32BC" w:rsidRDefault="00BA56FB" w:rsidP="000F41B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0F41B6">
                        <w:rPr>
                          <w:rFonts w:asciiTheme="majorHAnsi" w:hAnsiTheme="majorHAnsi"/>
                          <w:color w:val="595959" w:themeColor="text1" w:themeTint="A6"/>
                          <w:sz w:val="18"/>
                        </w:rPr>
                        <w:t xml:space="preserve">. 122/17. </w:t>
                      </w:r>
                      <w:proofErr w:type="gramStart"/>
                      <w:r w:rsidR="000F41B6">
                        <w:rPr>
                          <w:rFonts w:asciiTheme="majorHAnsi" w:hAnsiTheme="majorHAnsi"/>
                          <w:color w:val="595959" w:themeColor="text1" w:themeTint="A6"/>
                          <w:sz w:val="18"/>
                        </w:rPr>
                        <w:t>Petition 156-08.</w:t>
                      </w:r>
                      <w:proofErr w:type="gramEnd"/>
                      <w:r w:rsidR="000F41B6">
                        <w:rPr>
                          <w:rFonts w:asciiTheme="majorHAnsi" w:hAnsiTheme="majorHAnsi"/>
                          <w:color w:val="595959" w:themeColor="text1" w:themeTint="A6"/>
                          <w:sz w:val="18"/>
                        </w:rPr>
                        <w:t xml:space="preserve"> </w:t>
                      </w:r>
                      <w:proofErr w:type="gramStart"/>
                      <w:r w:rsidR="000F41B6">
                        <w:rPr>
                          <w:rFonts w:asciiTheme="majorHAnsi" w:hAnsiTheme="majorHAnsi"/>
                          <w:color w:val="595959" w:themeColor="text1" w:themeTint="A6"/>
                          <w:sz w:val="18"/>
                        </w:rPr>
                        <w:t>Admissibility.</w:t>
                      </w:r>
                      <w:proofErr w:type="gramEnd"/>
                      <w:r w:rsidR="000F41B6">
                        <w:rPr>
                          <w:rFonts w:asciiTheme="majorHAnsi" w:hAnsiTheme="majorHAnsi"/>
                          <w:color w:val="595959" w:themeColor="text1" w:themeTint="A6"/>
                          <w:sz w:val="18"/>
                        </w:rPr>
                        <w:t xml:space="preserve"> Williams Mariano </w:t>
                      </w:r>
                      <w:proofErr w:type="spellStart"/>
                      <w:r w:rsidR="000F41B6">
                        <w:rPr>
                          <w:rFonts w:asciiTheme="majorHAnsi" w:hAnsiTheme="majorHAnsi"/>
                          <w:color w:val="595959" w:themeColor="text1" w:themeTint="A6"/>
                          <w:sz w:val="18"/>
                        </w:rPr>
                        <w:t>Paría</w:t>
                      </w:r>
                      <w:proofErr w:type="spellEnd"/>
                      <w:r w:rsidR="000F41B6">
                        <w:rPr>
                          <w:rFonts w:asciiTheme="majorHAnsi" w:hAnsiTheme="majorHAnsi"/>
                          <w:color w:val="595959" w:themeColor="text1" w:themeTint="A6"/>
                          <w:sz w:val="18"/>
                        </w:rPr>
                        <w:t xml:space="preserve"> Tapia. </w:t>
                      </w:r>
                      <w:r w:rsidR="000F41B6" w:rsidRPr="000F41B6">
                        <w:rPr>
                          <w:rFonts w:asciiTheme="majorHAnsi" w:hAnsiTheme="majorHAnsi"/>
                          <w:color w:val="595959" w:themeColor="text1" w:themeTint="A6"/>
                          <w:sz w:val="18"/>
                        </w:rPr>
                        <w:t>Peru</w:t>
                      </w:r>
                      <w:r w:rsidR="000F41B6">
                        <w:rPr>
                          <w:rFonts w:asciiTheme="majorHAnsi" w:hAnsiTheme="majorHAnsi"/>
                          <w:color w:val="595959" w:themeColor="text1" w:themeTint="A6"/>
                          <w:sz w:val="18"/>
                        </w:rPr>
                        <w:t>. September 7, 2017.</w:t>
                      </w:r>
                    </w:p>
                  </w:txbxContent>
                </v:textbox>
              </v:shape>
            </w:pict>
          </mc:Fallback>
        </mc:AlternateContent>
      </w:r>
    </w:p>
    <w:p w:rsidR="002C1641" w:rsidRPr="00F7213E" w:rsidRDefault="002C1641" w:rsidP="00040C3A">
      <w:pPr>
        <w:tabs>
          <w:tab w:val="center" w:pos="5400"/>
        </w:tabs>
        <w:suppressAutoHyphens/>
        <w:jc w:val="center"/>
        <w:rPr>
          <w:rFonts w:asciiTheme="majorHAnsi" w:hAnsiTheme="majorHAnsi"/>
          <w:sz w:val="18"/>
          <w:szCs w:val="22"/>
        </w:rPr>
      </w:pPr>
    </w:p>
    <w:p w:rsidR="002C1641" w:rsidRPr="00F7213E" w:rsidRDefault="002C1641" w:rsidP="00040C3A">
      <w:pPr>
        <w:tabs>
          <w:tab w:val="center" w:pos="5400"/>
        </w:tabs>
        <w:suppressAutoHyphens/>
        <w:jc w:val="center"/>
        <w:rPr>
          <w:rFonts w:asciiTheme="majorHAnsi" w:hAnsiTheme="majorHAnsi"/>
          <w:sz w:val="18"/>
          <w:szCs w:val="22"/>
        </w:rPr>
      </w:pPr>
    </w:p>
    <w:p w:rsidR="003C32BC" w:rsidRPr="00F7213E" w:rsidRDefault="003C32BC" w:rsidP="003C32BC">
      <w:pPr>
        <w:tabs>
          <w:tab w:val="center" w:pos="5400"/>
        </w:tabs>
        <w:suppressAutoHyphens/>
        <w:jc w:val="center"/>
        <w:rPr>
          <w:rFonts w:asciiTheme="majorHAnsi" w:hAnsiTheme="majorHAnsi"/>
          <w:sz w:val="18"/>
          <w:szCs w:val="22"/>
        </w:rPr>
      </w:pPr>
    </w:p>
    <w:p w:rsidR="003C32BC" w:rsidRPr="00F7213E" w:rsidRDefault="006311DA" w:rsidP="003C32BC">
      <w:pPr>
        <w:tabs>
          <w:tab w:val="center" w:pos="5400"/>
        </w:tabs>
        <w:suppressAutoHyphens/>
        <w:jc w:val="center"/>
        <w:rPr>
          <w:rFonts w:asciiTheme="majorHAnsi" w:hAnsiTheme="majorHAnsi"/>
          <w:sz w:val="18"/>
          <w:szCs w:val="22"/>
        </w:rPr>
      </w:pPr>
      <w:r w:rsidRPr="00F7213E">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18EDC4B" wp14:editId="40A6234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56FB" w:rsidRPr="004B7EB6" w:rsidRDefault="00BA56F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BA56FB" w:rsidRPr="004B7EB6" w:rsidRDefault="00BA56F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F7213E">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0A53D0E" wp14:editId="1E241423">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56FB" w:rsidRDefault="00BA56FB">
                            <w:r>
                              <w:rPr>
                                <w:noProof/>
                              </w:rPr>
                              <w:drawing>
                                <wp:inline distT="0" distB="0" distL="0" distR="0" wp14:anchorId="0BFE607A" wp14:editId="38C7F0D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BA56FB" w:rsidRDefault="00BA56FB">
                      <w:r>
                        <w:rPr>
                          <w:noProof/>
                        </w:rPr>
                        <w:drawing>
                          <wp:inline distT="0" distB="0" distL="0" distR="0" wp14:anchorId="0BFE607A" wp14:editId="38C7F0D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F7213E" w:rsidRDefault="007607C4" w:rsidP="003C32BC">
      <w:pPr>
        <w:tabs>
          <w:tab w:val="center" w:pos="5400"/>
        </w:tabs>
        <w:suppressAutoHyphens/>
        <w:jc w:val="center"/>
        <w:rPr>
          <w:rFonts w:asciiTheme="majorHAnsi" w:hAnsiTheme="majorHAnsi"/>
          <w:sz w:val="18"/>
          <w:szCs w:val="22"/>
        </w:rPr>
        <w:sectPr w:rsidR="007607C4" w:rsidRPr="00F7213E"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0A6974" w:rsidRPr="00240490" w:rsidRDefault="000F41B6" w:rsidP="000A6974">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122</w:t>
      </w:r>
      <w:r w:rsidR="000A6974" w:rsidRPr="00240490">
        <w:rPr>
          <w:rFonts w:asciiTheme="majorHAnsi" w:hAnsiTheme="majorHAnsi"/>
          <w:b/>
          <w:sz w:val="18"/>
          <w:szCs w:val="20"/>
        </w:rPr>
        <w:t>/ 17</w:t>
      </w:r>
      <w:r w:rsidR="000A6974" w:rsidRPr="00240490">
        <w:rPr>
          <w:rStyle w:val="FootnoteReference"/>
          <w:rFonts w:ascii="Cambria" w:hAnsi="Cambria"/>
          <w:b/>
          <w:sz w:val="18"/>
          <w:szCs w:val="18"/>
        </w:rPr>
        <w:footnoteReference w:id="2"/>
      </w:r>
    </w:p>
    <w:p w:rsidR="000A6974" w:rsidRPr="00240490" w:rsidRDefault="000A6974" w:rsidP="000A6974">
      <w:pPr>
        <w:tabs>
          <w:tab w:val="center" w:pos="5400"/>
        </w:tabs>
        <w:suppressAutoHyphens/>
        <w:spacing w:line="276" w:lineRule="auto"/>
        <w:jc w:val="center"/>
        <w:rPr>
          <w:rFonts w:asciiTheme="majorHAnsi" w:hAnsiTheme="majorHAnsi"/>
          <w:b/>
          <w:sz w:val="18"/>
          <w:szCs w:val="20"/>
        </w:rPr>
      </w:pPr>
      <w:r w:rsidRPr="00240490">
        <w:rPr>
          <w:rFonts w:asciiTheme="majorHAnsi" w:hAnsiTheme="majorHAnsi"/>
          <w:b/>
          <w:sz w:val="18"/>
          <w:szCs w:val="20"/>
        </w:rPr>
        <w:t>PETITION 156-08</w:t>
      </w:r>
    </w:p>
    <w:p w:rsidR="000A6974" w:rsidRPr="00240490" w:rsidRDefault="000A6974" w:rsidP="000A6974">
      <w:pPr>
        <w:tabs>
          <w:tab w:val="center" w:pos="5400"/>
        </w:tabs>
        <w:suppressAutoHyphens/>
        <w:spacing w:line="276" w:lineRule="auto"/>
        <w:jc w:val="center"/>
        <w:rPr>
          <w:rFonts w:asciiTheme="majorHAnsi" w:hAnsiTheme="majorHAnsi"/>
          <w:sz w:val="18"/>
          <w:szCs w:val="20"/>
        </w:rPr>
      </w:pPr>
      <w:r w:rsidRPr="00240490">
        <w:rPr>
          <w:rFonts w:asciiTheme="majorHAnsi" w:hAnsiTheme="majorHAnsi"/>
          <w:sz w:val="18"/>
          <w:szCs w:val="20"/>
        </w:rPr>
        <w:t xml:space="preserve">REPORT ON ADMISSIBILITY </w:t>
      </w:r>
    </w:p>
    <w:p w:rsidR="000A6974" w:rsidRPr="00240490" w:rsidRDefault="000A6974" w:rsidP="000A6974">
      <w:pPr>
        <w:tabs>
          <w:tab w:val="center" w:pos="5400"/>
        </w:tabs>
        <w:suppressAutoHyphens/>
        <w:spacing w:line="276" w:lineRule="auto"/>
        <w:jc w:val="center"/>
        <w:rPr>
          <w:rFonts w:asciiTheme="majorHAnsi" w:hAnsiTheme="majorHAnsi"/>
          <w:bCs/>
          <w:sz w:val="14"/>
          <w:szCs w:val="20"/>
        </w:rPr>
      </w:pPr>
      <w:r w:rsidRPr="00240490">
        <w:rPr>
          <w:rFonts w:asciiTheme="majorHAnsi" w:hAnsiTheme="majorHAnsi" w:cs="Arial"/>
          <w:color w:val="0D0D0D" w:themeColor="text1" w:themeTint="F2"/>
          <w:sz w:val="18"/>
          <w:szCs w:val="22"/>
        </w:rPr>
        <w:t xml:space="preserve">WILLIAMS MARIANO PARÍA TAPIA </w:t>
      </w:r>
    </w:p>
    <w:p w:rsidR="000A6974" w:rsidRPr="00240490" w:rsidRDefault="000F41B6" w:rsidP="000A6974">
      <w:pPr>
        <w:tabs>
          <w:tab w:val="center" w:pos="5400"/>
        </w:tabs>
        <w:suppressAutoHyphens/>
        <w:spacing w:line="276" w:lineRule="auto"/>
        <w:jc w:val="center"/>
        <w:rPr>
          <w:rFonts w:asciiTheme="majorHAnsi" w:hAnsiTheme="majorHAnsi"/>
          <w:sz w:val="12"/>
          <w:szCs w:val="20"/>
        </w:rPr>
      </w:pPr>
      <w:r>
        <w:rPr>
          <w:rFonts w:asciiTheme="majorHAnsi" w:hAnsiTheme="majorHAnsi"/>
          <w:bCs/>
          <w:sz w:val="18"/>
          <w:szCs w:val="20"/>
        </w:rPr>
        <w:t>PERU</w:t>
      </w:r>
    </w:p>
    <w:p w:rsidR="000A6974" w:rsidRPr="00240490" w:rsidRDefault="000F41B6" w:rsidP="000F41B6">
      <w:pPr>
        <w:tabs>
          <w:tab w:val="center" w:pos="5400"/>
        </w:tabs>
        <w:suppressAutoHyphens/>
        <w:spacing w:line="276" w:lineRule="auto"/>
        <w:jc w:val="center"/>
        <w:rPr>
          <w:rFonts w:asciiTheme="majorHAnsi" w:hAnsiTheme="majorHAnsi"/>
          <w:sz w:val="18"/>
          <w:szCs w:val="20"/>
        </w:rPr>
      </w:pPr>
      <w:r>
        <w:rPr>
          <w:rStyle w:val="Style1"/>
        </w:rPr>
        <w:t>September 7, 2017</w:t>
      </w:r>
    </w:p>
    <w:p w:rsidR="000A6974" w:rsidRPr="00240490" w:rsidRDefault="000A6974" w:rsidP="000A6974">
      <w:pPr>
        <w:spacing w:after="240"/>
        <w:ind w:firstLine="720"/>
        <w:jc w:val="both"/>
        <w:rPr>
          <w:rFonts w:asciiTheme="majorHAnsi" w:hAnsiTheme="majorHAnsi"/>
          <w:b/>
          <w:bCs/>
          <w:sz w:val="20"/>
          <w:szCs w:val="20"/>
        </w:rPr>
      </w:pPr>
    </w:p>
    <w:p w:rsidR="000A6974" w:rsidRPr="00240490" w:rsidRDefault="000A6974" w:rsidP="000A6974">
      <w:pPr>
        <w:spacing w:after="240"/>
        <w:ind w:firstLine="720"/>
        <w:jc w:val="both"/>
        <w:rPr>
          <w:rFonts w:asciiTheme="majorHAnsi" w:hAnsiTheme="majorHAnsi"/>
          <w:b/>
          <w:bCs/>
          <w:sz w:val="20"/>
          <w:szCs w:val="20"/>
        </w:rPr>
      </w:pPr>
      <w:r w:rsidRPr="00240490">
        <w:rPr>
          <w:rFonts w:asciiTheme="majorHAnsi" w:hAnsiTheme="majorHAnsi"/>
          <w:b/>
          <w:bCs/>
          <w:sz w:val="20"/>
          <w:szCs w:val="20"/>
        </w:rPr>
        <w:t>I.</w:t>
      </w:r>
      <w:r w:rsidRPr="00240490">
        <w:rPr>
          <w:rFonts w:asciiTheme="majorHAnsi" w:hAnsiTheme="majorHAnsi"/>
          <w:b/>
          <w:bCs/>
          <w:sz w:val="20"/>
          <w:szCs w:val="20"/>
        </w:rPr>
        <w:tab/>
      </w:r>
      <w:r>
        <w:rPr>
          <w:rFonts w:asciiTheme="majorHAnsi" w:hAnsiTheme="majorHAnsi"/>
          <w:b/>
          <w:bCs/>
          <w:sz w:val="20"/>
          <w:szCs w:val="20"/>
        </w:rPr>
        <w:t xml:space="preserve">INFORMATION ON THE </w:t>
      </w:r>
      <w:r w:rsidRPr="00240490">
        <w:rPr>
          <w:rFonts w:asciiTheme="majorHAnsi" w:hAnsiTheme="majorHAnsi"/>
          <w:b/>
          <w:bCs/>
          <w:sz w:val="20"/>
          <w:szCs w:val="20"/>
        </w:rPr>
        <w:t xml:space="preserve">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A6974" w:rsidRPr="00240490" w:rsidTr="008F7F06">
        <w:tc>
          <w:tcPr>
            <w:tcW w:w="4680" w:type="dxa"/>
            <w:tcBorders>
              <w:top w:val="single" w:sz="4" w:space="0" w:color="auto"/>
              <w:bottom w:val="single" w:sz="6" w:space="0" w:color="auto"/>
            </w:tcBorders>
            <w:shd w:val="clear" w:color="auto" w:fill="67AE3C"/>
            <w:vAlign w:val="center"/>
          </w:tcPr>
          <w:p w:rsidR="000A6974" w:rsidRPr="00240490" w:rsidRDefault="000A6974" w:rsidP="008F7F06">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240490">
              <w:rPr>
                <w:rFonts w:ascii="Cambria" w:hAnsi="Cambria"/>
                <w:b/>
                <w:bCs/>
                <w:color w:val="FFFFFF" w:themeColor="background1"/>
                <w:sz w:val="20"/>
                <w:szCs w:val="20"/>
              </w:rPr>
              <w:t>:</w:t>
            </w:r>
          </w:p>
        </w:tc>
        <w:tc>
          <w:tcPr>
            <w:tcW w:w="4680" w:type="dxa"/>
            <w:vAlign w:val="center"/>
          </w:tcPr>
          <w:p w:rsidR="000A6974" w:rsidRPr="00240490" w:rsidRDefault="000A6974" w:rsidP="008F7F06">
            <w:pPr>
              <w:jc w:val="both"/>
              <w:rPr>
                <w:rFonts w:asciiTheme="majorHAnsi" w:hAnsiTheme="majorHAnsi"/>
                <w:bCs/>
                <w:sz w:val="20"/>
                <w:szCs w:val="20"/>
              </w:rPr>
            </w:pPr>
            <w:r w:rsidRPr="00240490">
              <w:rPr>
                <w:rFonts w:asciiTheme="majorHAnsi" w:hAnsiTheme="majorHAnsi"/>
                <w:sz w:val="20"/>
                <w:szCs w:val="20"/>
              </w:rPr>
              <w:t>Williams Mariano Paría Tapia</w:t>
            </w:r>
          </w:p>
        </w:tc>
      </w:tr>
      <w:tr w:rsidR="000A6974" w:rsidRPr="00240490" w:rsidTr="008F7F06">
        <w:tc>
          <w:tcPr>
            <w:tcW w:w="4680" w:type="dxa"/>
            <w:tcBorders>
              <w:top w:val="single" w:sz="6" w:space="0" w:color="auto"/>
              <w:bottom w:val="single" w:sz="6" w:space="0" w:color="auto"/>
            </w:tcBorders>
            <w:shd w:val="clear" w:color="auto" w:fill="67AE3C"/>
            <w:vAlign w:val="center"/>
          </w:tcPr>
          <w:p w:rsidR="000A6974" w:rsidRPr="00240490" w:rsidRDefault="000A6974" w:rsidP="008F7F06">
            <w:pPr>
              <w:jc w:val="center"/>
              <w:rPr>
                <w:rFonts w:ascii="Cambria" w:hAnsi="Cambria"/>
                <w:b/>
                <w:bCs/>
                <w:color w:val="FFFFFF" w:themeColor="background1"/>
                <w:sz w:val="20"/>
                <w:szCs w:val="20"/>
              </w:rPr>
            </w:pPr>
            <w:r w:rsidRPr="00240490">
              <w:rPr>
                <w:rFonts w:ascii="Cambria" w:hAnsi="Cambria"/>
                <w:b/>
                <w:bCs/>
                <w:color w:val="FFFFFF" w:themeColor="background1"/>
                <w:sz w:val="20"/>
                <w:szCs w:val="20"/>
              </w:rPr>
              <w:t>Alleged victim:</w:t>
            </w:r>
          </w:p>
        </w:tc>
        <w:tc>
          <w:tcPr>
            <w:tcW w:w="4680" w:type="dxa"/>
            <w:vAlign w:val="center"/>
          </w:tcPr>
          <w:p w:rsidR="000A6974" w:rsidRPr="00240490" w:rsidRDefault="000A6974" w:rsidP="008F7F06">
            <w:pPr>
              <w:jc w:val="both"/>
              <w:rPr>
                <w:rFonts w:asciiTheme="majorHAnsi" w:hAnsiTheme="majorHAnsi"/>
                <w:bCs/>
                <w:sz w:val="20"/>
                <w:szCs w:val="20"/>
              </w:rPr>
            </w:pPr>
            <w:r w:rsidRPr="00240490">
              <w:rPr>
                <w:rFonts w:asciiTheme="majorHAnsi" w:hAnsiTheme="majorHAnsi"/>
                <w:sz w:val="20"/>
                <w:szCs w:val="20"/>
              </w:rPr>
              <w:t xml:space="preserve">Williams Mariano Paría Tapia </w:t>
            </w:r>
          </w:p>
        </w:tc>
      </w:tr>
      <w:tr w:rsidR="000A6974" w:rsidRPr="00240490" w:rsidTr="008F7F06">
        <w:tc>
          <w:tcPr>
            <w:tcW w:w="4680" w:type="dxa"/>
            <w:tcBorders>
              <w:top w:val="single" w:sz="6" w:space="0" w:color="auto"/>
              <w:bottom w:val="single" w:sz="6" w:space="0" w:color="auto"/>
            </w:tcBorders>
            <w:shd w:val="clear" w:color="auto" w:fill="67AE3C"/>
            <w:vAlign w:val="center"/>
          </w:tcPr>
          <w:p w:rsidR="000A6974" w:rsidRPr="00240490" w:rsidRDefault="000A6974" w:rsidP="008F7F06">
            <w:pPr>
              <w:jc w:val="center"/>
              <w:rPr>
                <w:rFonts w:ascii="Cambria" w:hAnsi="Cambria"/>
                <w:b/>
                <w:bCs/>
                <w:color w:val="FFFFFF" w:themeColor="background1"/>
                <w:sz w:val="20"/>
                <w:szCs w:val="20"/>
              </w:rPr>
            </w:pPr>
            <w:r>
              <w:rPr>
                <w:rFonts w:ascii="Cambria" w:hAnsi="Cambria"/>
                <w:b/>
                <w:bCs/>
                <w:color w:val="FFFFFF" w:themeColor="background1"/>
                <w:sz w:val="20"/>
                <w:szCs w:val="20"/>
              </w:rPr>
              <w:t>State denounced</w:t>
            </w:r>
            <w:r w:rsidRPr="00240490">
              <w:rPr>
                <w:rFonts w:ascii="Cambria" w:hAnsi="Cambria"/>
                <w:b/>
                <w:bCs/>
                <w:color w:val="FFFFFF" w:themeColor="background1"/>
                <w:sz w:val="20"/>
                <w:szCs w:val="20"/>
              </w:rPr>
              <w:t>:</w:t>
            </w:r>
          </w:p>
        </w:tc>
        <w:tc>
          <w:tcPr>
            <w:tcW w:w="4680" w:type="dxa"/>
            <w:vAlign w:val="center"/>
          </w:tcPr>
          <w:p w:rsidR="000A6974" w:rsidRPr="00240490" w:rsidRDefault="000F41B6" w:rsidP="008F7F06">
            <w:pPr>
              <w:jc w:val="both"/>
              <w:rPr>
                <w:rFonts w:ascii="Cambria" w:hAnsi="Cambria"/>
                <w:bCs/>
                <w:sz w:val="20"/>
                <w:szCs w:val="20"/>
              </w:rPr>
            </w:pPr>
            <w:r>
              <w:rPr>
                <w:rFonts w:ascii="Cambria" w:hAnsi="Cambria"/>
                <w:bCs/>
                <w:sz w:val="20"/>
                <w:szCs w:val="20"/>
              </w:rPr>
              <w:t>Peru</w:t>
            </w:r>
          </w:p>
        </w:tc>
      </w:tr>
      <w:tr w:rsidR="000A6974" w:rsidRPr="00F339A2" w:rsidTr="008F7F06">
        <w:tc>
          <w:tcPr>
            <w:tcW w:w="4680" w:type="dxa"/>
            <w:tcBorders>
              <w:top w:val="single" w:sz="6" w:space="0" w:color="auto"/>
              <w:bottom w:val="single" w:sz="6" w:space="0" w:color="auto"/>
            </w:tcBorders>
            <w:shd w:val="clear" w:color="auto" w:fill="67AE3C"/>
            <w:vAlign w:val="center"/>
          </w:tcPr>
          <w:p w:rsidR="000A6974" w:rsidRPr="00240490" w:rsidRDefault="000A6974" w:rsidP="008F7F06">
            <w:pPr>
              <w:jc w:val="center"/>
              <w:rPr>
                <w:rFonts w:ascii="Cambria" w:hAnsi="Cambria"/>
                <w:b/>
                <w:bCs/>
                <w:color w:val="FFFFFF" w:themeColor="background1"/>
                <w:sz w:val="20"/>
                <w:szCs w:val="20"/>
              </w:rPr>
            </w:pPr>
            <w:r>
              <w:rPr>
                <w:rFonts w:ascii="Cambria" w:hAnsi="Cambria"/>
                <w:b/>
                <w:bCs/>
                <w:color w:val="FFFFFF" w:themeColor="background1"/>
                <w:sz w:val="20"/>
                <w:szCs w:val="20"/>
              </w:rPr>
              <w:t>Rights claimed</w:t>
            </w:r>
            <w:r w:rsidRPr="00240490">
              <w:rPr>
                <w:rFonts w:ascii="Cambria" w:hAnsi="Cambria"/>
                <w:b/>
                <w:bCs/>
                <w:color w:val="FFFFFF" w:themeColor="background1"/>
                <w:sz w:val="20"/>
                <w:szCs w:val="20"/>
              </w:rPr>
              <w:t>:</w:t>
            </w:r>
          </w:p>
        </w:tc>
        <w:tc>
          <w:tcPr>
            <w:tcW w:w="4680" w:type="dxa"/>
            <w:vAlign w:val="center"/>
          </w:tcPr>
          <w:p w:rsidR="000A6974" w:rsidRPr="00240490" w:rsidRDefault="000A6974" w:rsidP="007F149A">
            <w:pPr>
              <w:jc w:val="both"/>
              <w:rPr>
                <w:rFonts w:ascii="Cambria" w:hAnsi="Cambria"/>
                <w:bCs/>
                <w:sz w:val="20"/>
                <w:szCs w:val="20"/>
              </w:rPr>
            </w:pPr>
            <w:r>
              <w:rPr>
                <w:rFonts w:ascii="Cambria" w:hAnsi="Cambria"/>
                <w:bCs/>
                <w:sz w:val="20"/>
                <w:szCs w:val="20"/>
              </w:rPr>
              <w:t>Article</w:t>
            </w:r>
            <w:r w:rsidRPr="00240490">
              <w:rPr>
                <w:rFonts w:ascii="Cambria" w:hAnsi="Cambria"/>
                <w:bCs/>
                <w:sz w:val="20"/>
                <w:szCs w:val="20"/>
              </w:rPr>
              <w:t>s 7 (</w:t>
            </w:r>
            <w:r w:rsidR="007F149A">
              <w:rPr>
                <w:rFonts w:ascii="Cambria" w:hAnsi="Cambria"/>
                <w:bCs/>
                <w:sz w:val="20"/>
                <w:szCs w:val="20"/>
              </w:rPr>
              <w:t xml:space="preserve">Right to </w:t>
            </w:r>
            <w:r>
              <w:rPr>
                <w:rFonts w:ascii="Cambria" w:hAnsi="Cambria"/>
                <w:bCs/>
                <w:sz w:val="20"/>
                <w:szCs w:val="20"/>
              </w:rPr>
              <w:t xml:space="preserve">Personal </w:t>
            </w:r>
            <w:r w:rsidR="007F149A">
              <w:rPr>
                <w:rFonts w:ascii="Cambria" w:hAnsi="Cambria"/>
                <w:bCs/>
                <w:sz w:val="20"/>
                <w:szCs w:val="20"/>
              </w:rPr>
              <w:t>Liberty</w:t>
            </w:r>
            <w:r w:rsidRPr="00240490">
              <w:rPr>
                <w:rFonts w:ascii="Cambria" w:hAnsi="Cambria"/>
                <w:bCs/>
                <w:sz w:val="20"/>
                <w:szCs w:val="20"/>
              </w:rPr>
              <w:t>), 8 (</w:t>
            </w:r>
            <w:r w:rsidR="007F149A">
              <w:rPr>
                <w:rFonts w:ascii="Cambria" w:hAnsi="Cambria"/>
                <w:bCs/>
                <w:sz w:val="20"/>
                <w:szCs w:val="20"/>
              </w:rPr>
              <w:t>Right to a F</w:t>
            </w:r>
            <w:r>
              <w:rPr>
                <w:rFonts w:ascii="Cambria" w:hAnsi="Cambria"/>
                <w:bCs/>
                <w:sz w:val="20"/>
                <w:szCs w:val="20"/>
              </w:rPr>
              <w:t xml:space="preserve">air </w:t>
            </w:r>
            <w:r w:rsidR="007F149A">
              <w:rPr>
                <w:rFonts w:ascii="Cambria" w:hAnsi="Cambria"/>
                <w:bCs/>
                <w:sz w:val="20"/>
                <w:szCs w:val="20"/>
              </w:rPr>
              <w:t>T</w:t>
            </w:r>
            <w:r>
              <w:rPr>
                <w:rFonts w:ascii="Cambria" w:hAnsi="Cambria"/>
                <w:bCs/>
                <w:sz w:val="20"/>
                <w:szCs w:val="20"/>
              </w:rPr>
              <w:t>rial</w:t>
            </w:r>
            <w:r w:rsidRPr="00240490">
              <w:rPr>
                <w:rFonts w:ascii="Cambria" w:hAnsi="Cambria"/>
                <w:bCs/>
                <w:sz w:val="20"/>
                <w:szCs w:val="20"/>
              </w:rPr>
              <w:t>) 9 (</w:t>
            </w:r>
            <w:r>
              <w:rPr>
                <w:rFonts w:ascii="Cambria" w:hAnsi="Cambria"/>
                <w:bCs/>
                <w:sz w:val="20"/>
                <w:szCs w:val="20"/>
              </w:rPr>
              <w:t xml:space="preserve">Freedom from </w:t>
            </w:r>
            <w:r w:rsidR="007F149A">
              <w:rPr>
                <w:rFonts w:ascii="Cambria" w:hAnsi="Cambria"/>
                <w:bCs/>
                <w:sz w:val="20"/>
                <w:szCs w:val="20"/>
              </w:rPr>
              <w:t>E</w:t>
            </w:r>
            <w:r>
              <w:rPr>
                <w:rFonts w:ascii="Cambria" w:hAnsi="Cambria"/>
                <w:bCs/>
                <w:sz w:val="20"/>
                <w:szCs w:val="20"/>
              </w:rPr>
              <w:t xml:space="preserve">x </w:t>
            </w:r>
            <w:r w:rsidR="007F149A">
              <w:rPr>
                <w:rFonts w:ascii="Cambria" w:hAnsi="Cambria"/>
                <w:bCs/>
                <w:sz w:val="20"/>
                <w:szCs w:val="20"/>
              </w:rPr>
              <w:t>P</w:t>
            </w:r>
            <w:r>
              <w:rPr>
                <w:rFonts w:ascii="Cambria" w:hAnsi="Cambria"/>
                <w:bCs/>
                <w:sz w:val="20"/>
                <w:szCs w:val="20"/>
              </w:rPr>
              <w:t xml:space="preserve">ost </w:t>
            </w:r>
            <w:r w:rsidR="007F149A">
              <w:rPr>
                <w:rFonts w:ascii="Cambria" w:hAnsi="Cambria"/>
                <w:bCs/>
                <w:sz w:val="20"/>
                <w:szCs w:val="20"/>
              </w:rPr>
              <w:t>F</w:t>
            </w:r>
            <w:r>
              <w:rPr>
                <w:rFonts w:ascii="Cambria" w:hAnsi="Cambria"/>
                <w:bCs/>
                <w:sz w:val="20"/>
                <w:szCs w:val="20"/>
              </w:rPr>
              <w:t xml:space="preserve">acto </w:t>
            </w:r>
            <w:r w:rsidR="007F149A">
              <w:rPr>
                <w:rFonts w:ascii="Cambria" w:hAnsi="Cambria"/>
                <w:bCs/>
                <w:sz w:val="20"/>
                <w:szCs w:val="20"/>
              </w:rPr>
              <w:t>L</w:t>
            </w:r>
            <w:r>
              <w:rPr>
                <w:rFonts w:ascii="Cambria" w:hAnsi="Cambria"/>
                <w:bCs/>
                <w:sz w:val="20"/>
                <w:szCs w:val="20"/>
              </w:rPr>
              <w:t>aws</w:t>
            </w:r>
            <w:r w:rsidRPr="00240490">
              <w:rPr>
                <w:rFonts w:ascii="Cambria" w:hAnsi="Cambria"/>
                <w:bCs/>
                <w:sz w:val="20"/>
                <w:szCs w:val="20"/>
              </w:rPr>
              <w:t>), 10 (</w:t>
            </w:r>
            <w:r>
              <w:rPr>
                <w:rFonts w:ascii="Cambria" w:hAnsi="Cambria"/>
                <w:bCs/>
                <w:sz w:val="20"/>
                <w:szCs w:val="20"/>
              </w:rPr>
              <w:t xml:space="preserve">Right to </w:t>
            </w:r>
            <w:r w:rsidR="007F149A">
              <w:rPr>
                <w:rFonts w:ascii="Cambria" w:hAnsi="Cambria"/>
                <w:bCs/>
                <w:sz w:val="20"/>
                <w:szCs w:val="20"/>
              </w:rPr>
              <w:t>C</w:t>
            </w:r>
            <w:r>
              <w:rPr>
                <w:rFonts w:ascii="Cambria" w:hAnsi="Cambria"/>
                <w:bCs/>
                <w:sz w:val="20"/>
                <w:szCs w:val="20"/>
              </w:rPr>
              <w:t>ompensation</w:t>
            </w:r>
            <w:r w:rsidRPr="00240490">
              <w:rPr>
                <w:rFonts w:ascii="Cambria" w:hAnsi="Cambria"/>
                <w:bCs/>
                <w:sz w:val="20"/>
                <w:szCs w:val="20"/>
              </w:rPr>
              <w:t>), 11 (</w:t>
            </w:r>
            <w:r>
              <w:rPr>
                <w:rFonts w:ascii="Cambria" w:hAnsi="Cambria"/>
                <w:bCs/>
                <w:sz w:val="20"/>
                <w:szCs w:val="20"/>
              </w:rPr>
              <w:t xml:space="preserve">Right to </w:t>
            </w:r>
            <w:r w:rsidR="007F149A">
              <w:rPr>
                <w:rFonts w:ascii="Cambria" w:hAnsi="Cambria"/>
                <w:bCs/>
                <w:sz w:val="20"/>
                <w:szCs w:val="20"/>
              </w:rPr>
              <w:t>P</w:t>
            </w:r>
            <w:r>
              <w:rPr>
                <w:rFonts w:ascii="Cambria" w:hAnsi="Cambria"/>
                <w:bCs/>
                <w:sz w:val="20"/>
                <w:szCs w:val="20"/>
              </w:rPr>
              <w:t>rivacy</w:t>
            </w:r>
            <w:r w:rsidRPr="00240490">
              <w:rPr>
                <w:rFonts w:ascii="Cambria" w:hAnsi="Cambria"/>
                <w:bCs/>
                <w:sz w:val="20"/>
                <w:szCs w:val="20"/>
              </w:rPr>
              <w:t>), 24 (</w:t>
            </w:r>
            <w:r>
              <w:rPr>
                <w:rFonts w:ascii="Cambria" w:hAnsi="Cambria"/>
                <w:bCs/>
                <w:sz w:val="20"/>
                <w:szCs w:val="20"/>
              </w:rPr>
              <w:t xml:space="preserve">Right to </w:t>
            </w:r>
            <w:r w:rsidR="007F149A">
              <w:rPr>
                <w:rFonts w:ascii="Cambria" w:hAnsi="Cambria"/>
                <w:bCs/>
                <w:sz w:val="20"/>
                <w:szCs w:val="20"/>
              </w:rPr>
              <w:t>E</w:t>
            </w:r>
            <w:r>
              <w:rPr>
                <w:rFonts w:ascii="Cambria" w:hAnsi="Cambria"/>
                <w:bCs/>
                <w:sz w:val="20"/>
                <w:szCs w:val="20"/>
              </w:rPr>
              <w:t xml:space="preserve">qual </w:t>
            </w:r>
            <w:r w:rsidR="007F149A">
              <w:rPr>
                <w:rFonts w:ascii="Cambria" w:hAnsi="Cambria"/>
                <w:bCs/>
                <w:sz w:val="20"/>
                <w:szCs w:val="20"/>
              </w:rPr>
              <w:t>P</w:t>
            </w:r>
            <w:r>
              <w:rPr>
                <w:rFonts w:ascii="Cambria" w:hAnsi="Cambria"/>
                <w:bCs/>
                <w:sz w:val="20"/>
                <w:szCs w:val="20"/>
              </w:rPr>
              <w:t>rotection</w:t>
            </w:r>
            <w:r w:rsidRPr="00240490">
              <w:rPr>
                <w:rFonts w:ascii="Cambria" w:hAnsi="Cambria"/>
                <w:bCs/>
                <w:sz w:val="20"/>
                <w:szCs w:val="20"/>
              </w:rPr>
              <w:t>), 25 (</w:t>
            </w:r>
            <w:r w:rsidR="007F149A">
              <w:rPr>
                <w:rFonts w:ascii="Cambria" w:hAnsi="Cambria"/>
                <w:bCs/>
                <w:sz w:val="20"/>
                <w:szCs w:val="20"/>
              </w:rPr>
              <w:t xml:space="preserve">Right to </w:t>
            </w:r>
            <w:r>
              <w:rPr>
                <w:rFonts w:ascii="Cambria" w:hAnsi="Cambria"/>
                <w:bCs/>
                <w:sz w:val="20"/>
                <w:szCs w:val="20"/>
              </w:rPr>
              <w:t xml:space="preserve">Judicial </w:t>
            </w:r>
            <w:r w:rsidR="007F149A">
              <w:rPr>
                <w:rFonts w:ascii="Cambria" w:hAnsi="Cambria"/>
                <w:bCs/>
                <w:sz w:val="20"/>
                <w:szCs w:val="20"/>
              </w:rPr>
              <w:t>P</w:t>
            </w:r>
            <w:r>
              <w:rPr>
                <w:rFonts w:ascii="Cambria" w:hAnsi="Cambria"/>
                <w:bCs/>
                <w:sz w:val="20"/>
                <w:szCs w:val="20"/>
              </w:rPr>
              <w:t>rotection) and</w:t>
            </w:r>
            <w:r w:rsidRPr="00240490">
              <w:rPr>
                <w:rFonts w:ascii="Cambria" w:hAnsi="Cambria"/>
                <w:bCs/>
                <w:sz w:val="20"/>
                <w:szCs w:val="20"/>
              </w:rPr>
              <w:t xml:space="preserve"> 29 (</w:t>
            </w:r>
            <w:r>
              <w:rPr>
                <w:rFonts w:ascii="Cambria" w:hAnsi="Cambria"/>
                <w:bCs/>
                <w:sz w:val="20"/>
                <w:szCs w:val="20"/>
              </w:rPr>
              <w:t>Restrictions regarding interpretation</w:t>
            </w:r>
            <w:r w:rsidRPr="00240490">
              <w:rPr>
                <w:rFonts w:ascii="Cambria" w:hAnsi="Cambria"/>
                <w:bCs/>
                <w:sz w:val="20"/>
                <w:szCs w:val="20"/>
              </w:rPr>
              <w:t xml:space="preserve">) </w:t>
            </w:r>
            <w:r>
              <w:rPr>
                <w:rFonts w:ascii="Cambria" w:hAnsi="Cambria"/>
                <w:bCs/>
                <w:sz w:val="20"/>
                <w:szCs w:val="20"/>
              </w:rPr>
              <w:t>of the American Convention on Human Rights;</w:t>
            </w:r>
            <w:r w:rsidRPr="00240490">
              <w:rPr>
                <w:rStyle w:val="FootnoteReference"/>
                <w:rFonts w:ascii="Cambria" w:hAnsi="Cambria"/>
                <w:bCs/>
                <w:sz w:val="20"/>
                <w:szCs w:val="20"/>
                <w:bdr w:val="none" w:sz="0" w:space="0" w:color="auto" w:frame="1"/>
              </w:rPr>
              <w:footnoteReference w:id="3"/>
            </w:r>
            <w:r>
              <w:rPr>
                <w:rFonts w:ascii="Cambria" w:hAnsi="Cambria"/>
                <w:bCs/>
                <w:sz w:val="20"/>
                <w:szCs w:val="20"/>
              </w:rPr>
              <w:t xml:space="preserve"> Articles </w:t>
            </w:r>
            <w:r w:rsidRPr="00240490">
              <w:rPr>
                <w:rFonts w:ascii="Cambria" w:hAnsi="Cambria"/>
                <w:bCs/>
                <w:sz w:val="20"/>
                <w:szCs w:val="20"/>
              </w:rPr>
              <w:t>I (</w:t>
            </w:r>
            <w:r>
              <w:rPr>
                <w:rFonts w:ascii="Cambria" w:hAnsi="Cambria"/>
                <w:bCs/>
                <w:sz w:val="20"/>
                <w:szCs w:val="20"/>
              </w:rPr>
              <w:t xml:space="preserve">Right to life, liberty and personal security), </w:t>
            </w:r>
            <w:r w:rsidRPr="00240490">
              <w:rPr>
                <w:rFonts w:ascii="Cambria" w:hAnsi="Cambria"/>
                <w:bCs/>
                <w:sz w:val="20"/>
                <w:szCs w:val="20"/>
              </w:rPr>
              <w:t xml:space="preserve">V </w:t>
            </w:r>
            <w:r>
              <w:rPr>
                <w:rFonts w:ascii="Cambria" w:hAnsi="Cambria"/>
                <w:bCs/>
                <w:sz w:val="20"/>
                <w:szCs w:val="20"/>
              </w:rPr>
              <w:t>(</w:t>
            </w:r>
            <w:r w:rsidRPr="00BC6BD7">
              <w:rPr>
                <w:rFonts w:ascii="Cambria" w:hAnsi="Cambria"/>
                <w:bCs/>
                <w:sz w:val="20"/>
                <w:szCs w:val="20"/>
              </w:rPr>
              <w:t>Right to protection of honor, personal reputation, and private and family life</w:t>
            </w:r>
            <w:r>
              <w:rPr>
                <w:rFonts w:ascii="Cambria" w:hAnsi="Cambria"/>
                <w:bCs/>
                <w:sz w:val="20"/>
                <w:szCs w:val="20"/>
              </w:rPr>
              <w:t>)</w:t>
            </w:r>
            <w:r w:rsidRPr="00240490">
              <w:rPr>
                <w:rFonts w:ascii="Cambria" w:hAnsi="Cambria"/>
                <w:bCs/>
                <w:sz w:val="20"/>
                <w:szCs w:val="20"/>
              </w:rPr>
              <w:t>, XVIII (</w:t>
            </w:r>
            <w:r>
              <w:rPr>
                <w:rFonts w:ascii="Cambria" w:hAnsi="Cambria"/>
                <w:bCs/>
                <w:sz w:val="20"/>
                <w:szCs w:val="20"/>
              </w:rPr>
              <w:t>Right to a fair trial</w:t>
            </w:r>
            <w:r w:rsidRPr="00240490">
              <w:rPr>
                <w:rFonts w:ascii="Cambria" w:hAnsi="Cambria"/>
                <w:bCs/>
                <w:sz w:val="20"/>
                <w:szCs w:val="20"/>
              </w:rPr>
              <w:t>), XXIV (</w:t>
            </w:r>
            <w:r>
              <w:rPr>
                <w:rFonts w:ascii="Cambria" w:hAnsi="Cambria"/>
                <w:bCs/>
                <w:sz w:val="20"/>
                <w:szCs w:val="20"/>
              </w:rPr>
              <w:t>Right of petition</w:t>
            </w:r>
            <w:r w:rsidRPr="00240490">
              <w:rPr>
                <w:rFonts w:ascii="Cambria" w:hAnsi="Cambria"/>
                <w:bCs/>
                <w:sz w:val="20"/>
                <w:szCs w:val="20"/>
              </w:rPr>
              <w:t>), XXV (</w:t>
            </w:r>
            <w:r>
              <w:rPr>
                <w:rFonts w:ascii="Cambria" w:hAnsi="Cambria"/>
                <w:bCs/>
                <w:sz w:val="20"/>
                <w:szCs w:val="20"/>
              </w:rPr>
              <w:t>P</w:t>
            </w:r>
            <w:r w:rsidRPr="004D1D25">
              <w:rPr>
                <w:rFonts w:ascii="Cambria" w:hAnsi="Cambria"/>
                <w:bCs/>
                <w:sz w:val="20"/>
                <w:szCs w:val="20"/>
              </w:rPr>
              <w:t>rotection from arbitrary arrest</w:t>
            </w:r>
            <w:r>
              <w:rPr>
                <w:rFonts w:ascii="Cambria" w:hAnsi="Cambria"/>
                <w:bCs/>
                <w:sz w:val="20"/>
                <w:szCs w:val="20"/>
              </w:rPr>
              <w:t xml:space="preserve">) and </w:t>
            </w:r>
            <w:r w:rsidRPr="00240490">
              <w:rPr>
                <w:rFonts w:ascii="Cambria" w:hAnsi="Cambria"/>
                <w:bCs/>
                <w:sz w:val="20"/>
                <w:szCs w:val="20"/>
              </w:rPr>
              <w:t>XXVI (</w:t>
            </w:r>
            <w:r>
              <w:rPr>
                <w:rFonts w:ascii="Cambria" w:hAnsi="Cambria"/>
                <w:bCs/>
                <w:sz w:val="20"/>
                <w:szCs w:val="20"/>
              </w:rPr>
              <w:t>Right to due process of law</w:t>
            </w:r>
            <w:r w:rsidRPr="00240490">
              <w:rPr>
                <w:rFonts w:ascii="Cambria" w:hAnsi="Cambria"/>
                <w:bCs/>
                <w:sz w:val="20"/>
                <w:szCs w:val="20"/>
              </w:rPr>
              <w:t xml:space="preserve">) </w:t>
            </w:r>
            <w:r>
              <w:rPr>
                <w:rFonts w:ascii="Cambria" w:hAnsi="Cambria"/>
                <w:bCs/>
                <w:sz w:val="20"/>
                <w:szCs w:val="20"/>
              </w:rPr>
              <w:t>of the American Declaration of the Rights and Duties of Man;</w:t>
            </w:r>
            <w:r w:rsidRPr="00240490">
              <w:rPr>
                <w:rStyle w:val="FootnoteReference"/>
                <w:rFonts w:ascii="Cambria" w:hAnsi="Cambria"/>
                <w:bCs/>
                <w:sz w:val="20"/>
                <w:szCs w:val="20"/>
              </w:rPr>
              <w:footnoteReference w:id="4"/>
            </w:r>
            <w:r>
              <w:rPr>
                <w:rFonts w:ascii="Cambria" w:hAnsi="Cambria"/>
                <w:bCs/>
                <w:sz w:val="20"/>
                <w:szCs w:val="20"/>
              </w:rPr>
              <w:t xml:space="preserve"> and other international treaties.</w:t>
            </w:r>
            <w:r w:rsidRPr="00240490">
              <w:rPr>
                <w:rStyle w:val="FootnoteReference"/>
                <w:rFonts w:ascii="Cambria" w:hAnsi="Cambria"/>
                <w:bCs/>
                <w:sz w:val="20"/>
                <w:szCs w:val="20"/>
              </w:rPr>
              <w:footnoteReference w:id="5"/>
            </w:r>
            <w:r w:rsidRPr="00240490">
              <w:rPr>
                <w:rFonts w:ascii="Cambria" w:hAnsi="Cambria"/>
                <w:bCs/>
                <w:sz w:val="20"/>
                <w:szCs w:val="20"/>
              </w:rPr>
              <w:t xml:space="preserve"> </w:t>
            </w:r>
          </w:p>
        </w:tc>
      </w:tr>
    </w:tbl>
    <w:p w:rsidR="000A6974" w:rsidRPr="00240490" w:rsidRDefault="000A6974" w:rsidP="000A6974">
      <w:pPr>
        <w:spacing w:before="240" w:after="240"/>
        <w:ind w:firstLine="720"/>
        <w:jc w:val="both"/>
        <w:rPr>
          <w:rFonts w:asciiTheme="majorHAnsi" w:hAnsiTheme="majorHAnsi"/>
          <w:b/>
          <w:bCs/>
          <w:sz w:val="20"/>
          <w:szCs w:val="20"/>
        </w:rPr>
      </w:pPr>
      <w:r w:rsidRPr="00240490">
        <w:rPr>
          <w:rFonts w:asciiTheme="majorHAnsi" w:hAnsiTheme="majorHAnsi"/>
          <w:b/>
          <w:bCs/>
          <w:sz w:val="20"/>
          <w:szCs w:val="20"/>
        </w:rPr>
        <w:t>II.</w:t>
      </w:r>
      <w:r w:rsidRPr="00240490">
        <w:rPr>
          <w:rFonts w:asciiTheme="majorHAnsi" w:hAnsiTheme="majorHAnsi"/>
          <w:b/>
          <w:bCs/>
          <w:sz w:val="20"/>
          <w:szCs w:val="20"/>
        </w:rPr>
        <w:tab/>
      </w:r>
      <w:r>
        <w:rPr>
          <w:rFonts w:asciiTheme="majorHAnsi" w:hAnsiTheme="majorHAnsi"/>
          <w:b/>
          <w:bCs/>
          <w:sz w:val="20"/>
          <w:szCs w:val="20"/>
        </w:rPr>
        <w:t>PROCEEDINGS BEFORE THE IACHR</w:t>
      </w:r>
      <w:r w:rsidRPr="00BE21DA">
        <w:rPr>
          <w:rFonts w:asciiTheme="majorHAnsi" w:hAnsiTheme="majorHAnsi"/>
          <w:b/>
          <w:bCs/>
          <w:sz w:val="20"/>
          <w:szCs w:val="20"/>
          <w:vertAlign w:val="superscript"/>
        </w:rPr>
        <w:footnoteReference w:id="6"/>
      </w:r>
      <w:r>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A6974" w:rsidRPr="00240490" w:rsidTr="008F7F06">
        <w:tc>
          <w:tcPr>
            <w:tcW w:w="4680" w:type="dxa"/>
            <w:tcBorders>
              <w:top w:val="single" w:sz="6" w:space="0" w:color="auto"/>
              <w:bottom w:val="single" w:sz="6" w:space="0" w:color="auto"/>
            </w:tcBorders>
            <w:shd w:val="clear" w:color="auto" w:fill="67AE3C"/>
            <w:vAlign w:val="center"/>
          </w:tcPr>
          <w:p w:rsidR="000A6974" w:rsidRPr="00240490" w:rsidRDefault="000A6974" w:rsidP="008F7F06">
            <w:pPr>
              <w:jc w:val="center"/>
              <w:rPr>
                <w:rFonts w:ascii="Cambria" w:hAnsi="Cambria"/>
                <w:b/>
                <w:bCs/>
                <w:color w:val="FFFFFF" w:themeColor="background1"/>
                <w:sz w:val="20"/>
                <w:szCs w:val="20"/>
              </w:rPr>
            </w:pPr>
            <w:r w:rsidRPr="00BE21DA">
              <w:rPr>
                <w:rFonts w:ascii="Cambria" w:hAnsi="Cambria"/>
                <w:b/>
                <w:bCs/>
                <w:color w:val="FFFFFF" w:themeColor="background1"/>
                <w:sz w:val="20"/>
                <w:szCs w:val="20"/>
              </w:rPr>
              <w:t>Date on which the petition was received:</w:t>
            </w:r>
          </w:p>
        </w:tc>
        <w:tc>
          <w:tcPr>
            <w:tcW w:w="4680" w:type="dxa"/>
            <w:vAlign w:val="center"/>
          </w:tcPr>
          <w:p w:rsidR="000A6974" w:rsidRPr="00240490" w:rsidRDefault="000A6974" w:rsidP="008F7F06">
            <w:pPr>
              <w:jc w:val="both"/>
              <w:rPr>
                <w:rFonts w:ascii="Cambria" w:hAnsi="Cambria"/>
                <w:bCs/>
                <w:sz w:val="20"/>
                <w:szCs w:val="20"/>
              </w:rPr>
            </w:pPr>
            <w:r>
              <w:rPr>
                <w:rFonts w:ascii="Cambria" w:hAnsi="Cambria"/>
                <w:bCs/>
                <w:sz w:val="20"/>
                <w:szCs w:val="20"/>
              </w:rPr>
              <w:t xml:space="preserve">February </w:t>
            </w:r>
            <w:r w:rsidRPr="00240490">
              <w:rPr>
                <w:rFonts w:ascii="Cambria" w:hAnsi="Cambria"/>
                <w:bCs/>
                <w:sz w:val="20"/>
                <w:szCs w:val="20"/>
              </w:rPr>
              <w:t>13</w:t>
            </w:r>
            <w:r>
              <w:rPr>
                <w:rFonts w:ascii="Cambria" w:hAnsi="Cambria"/>
                <w:bCs/>
                <w:sz w:val="20"/>
                <w:szCs w:val="20"/>
              </w:rPr>
              <w:t>,</w:t>
            </w:r>
            <w:r w:rsidRPr="00240490">
              <w:rPr>
                <w:rFonts w:ascii="Cambria" w:hAnsi="Cambria"/>
                <w:bCs/>
                <w:sz w:val="20"/>
                <w:szCs w:val="20"/>
              </w:rPr>
              <w:t xml:space="preserve"> 2008</w:t>
            </w:r>
          </w:p>
        </w:tc>
      </w:tr>
      <w:tr w:rsidR="000A6974" w:rsidRPr="00F339A2" w:rsidTr="008F7F06">
        <w:tc>
          <w:tcPr>
            <w:tcW w:w="4680" w:type="dxa"/>
            <w:tcBorders>
              <w:top w:val="single" w:sz="6" w:space="0" w:color="auto"/>
              <w:bottom w:val="single" w:sz="6" w:space="0" w:color="auto"/>
            </w:tcBorders>
            <w:shd w:val="clear" w:color="auto" w:fill="67AE3C"/>
            <w:vAlign w:val="center"/>
          </w:tcPr>
          <w:p w:rsidR="000A6974" w:rsidRPr="00240490" w:rsidRDefault="000A6974" w:rsidP="008F7F06">
            <w:pPr>
              <w:jc w:val="center"/>
              <w:rPr>
                <w:rFonts w:ascii="Cambria" w:hAnsi="Cambria"/>
                <w:b/>
                <w:color w:val="FFFFFF" w:themeColor="background1"/>
                <w:sz w:val="20"/>
                <w:szCs w:val="20"/>
              </w:rPr>
            </w:pPr>
            <w:r>
              <w:rPr>
                <w:rFonts w:ascii="Cambria" w:hAnsi="Cambria"/>
                <w:b/>
                <w:color w:val="FFFFFF" w:themeColor="background1"/>
                <w:sz w:val="20"/>
                <w:szCs w:val="20"/>
              </w:rPr>
              <w:t>Additional information received during the stage of initial review</w:t>
            </w:r>
            <w:r w:rsidRPr="00240490">
              <w:rPr>
                <w:rFonts w:ascii="Cambria" w:hAnsi="Cambria"/>
                <w:b/>
                <w:color w:val="FFFFFF" w:themeColor="background1"/>
                <w:sz w:val="20"/>
                <w:szCs w:val="20"/>
              </w:rPr>
              <w:t>:</w:t>
            </w:r>
          </w:p>
        </w:tc>
        <w:tc>
          <w:tcPr>
            <w:tcW w:w="4680" w:type="dxa"/>
            <w:vAlign w:val="center"/>
          </w:tcPr>
          <w:p w:rsidR="000A6974" w:rsidRPr="00240490" w:rsidRDefault="000A6974" w:rsidP="008F7F06">
            <w:pPr>
              <w:jc w:val="both"/>
              <w:rPr>
                <w:rFonts w:ascii="Cambria" w:hAnsi="Cambria"/>
                <w:bCs/>
                <w:sz w:val="20"/>
                <w:szCs w:val="20"/>
              </w:rPr>
            </w:pPr>
            <w:r>
              <w:rPr>
                <w:rFonts w:ascii="Cambria" w:hAnsi="Cambria"/>
                <w:bCs/>
                <w:sz w:val="20"/>
                <w:szCs w:val="20"/>
              </w:rPr>
              <w:t xml:space="preserve">May </w:t>
            </w:r>
            <w:r w:rsidRPr="00240490">
              <w:rPr>
                <w:rFonts w:ascii="Cambria" w:hAnsi="Cambria"/>
                <w:bCs/>
                <w:sz w:val="20"/>
                <w:szCs w:val="20"/>
              </w:rPr>
              <w:t>13</w:t>
            </w:r>
            <w:r>
              <w:rPr>
                <w:rFonts w:ascii="Cambria" w:hAnsi="Cambria"/>
                <w:bCs/>
                <w:sz w:val="20"/>
                <w:szCs w:val="20"/>
              </w:rPr>
              <w:t>,</w:t>
            </w:r>
            <w:r w:rsidRPr="00240490">
              <w:rPr>
                <w:rFonts w:ascii="Cambria" w:hAnsi="Cambria"/>
                <w:bCs/>
                <w:sz w:val="20"/>
                <w:szCs w:val="20"/>
              </w:rPr>
              <w:t xml:space="preserve"> 2008; </w:t>
            </w:r>
            <w:r>
              <w:rPr>
                <w:rFonts w:ascii="Cambria" w:hAnsi="Cambria"/>
                <w:bCs/>
                <w:sz w:val="20"/>
                <w:szCs w:val="20"/>
              </w:rPr>
              <w:t xml:space="preserve">November </w:t>
            </w:r>
            <w:r w:rsidRPr="00240490">
              <w:rPr>
                <w:rFonts w:ascii="Cambria" w:hAnsi="Cambria"/>
                <w:bCs/>
                <w:sz w:val="20"/>
                <w:szCs w:val="20"/>
              </w:rPr>
              <w:t>12</w:t>
            </w:r>
            <w:r>
              <w:rPr>
                <w:rFonts w:ascii="Cambria" w:hAnsi="Cambria"/>
                <w:bCs/>
                <w:sz w:val="20"/>
                <w:szCs w:val="20"/>
              </w:rPr>
              <w:t>,</w:t>
            </w:r>
            <w:r w:rsidRPr="00240490">
              <w:rPr>
                <w:rFonts w:ascii="Cambria" w:hAnsi="Cambria"/>
                <w:bCs/>
                <w:sz w:val="20"/>
                <w:szCs w:val="20"/>
              </w:rPr>
              <w:t xml:space="preserve"> 2008; </w:t>
            </w:r>
            <w:r>
              <w:rPr>
                <w:rFonts w:ascii="Cambria" w:hAnsi="Cambria"/>
                <w:bCs/>
                <w:sz w:val="20"/>
                <w:szCs w:val="20"/>
              </w:rPr>
              <w:t xml:space="preserve">April </w:t>
            </w:r>
            <w:r w:rsidRPr="00240490">
              <w:rPr>
                <w:rFonts w:ascii="Cambria" w:hAnsi="Cambria"/>
                <w:bCs/>
                <w:sz w:val="20"/>
                <w:szCs w:val="20"/>
              </w:rPr>
              <w:t>8</w:t>
            </w:r>
            <w:r>
              <w:rPr>
                <w:rFonts w:ascii="Cambria" w:hAnsi="Cambria"/>
                <w:bCs/>
                <w:sz w:val="20"/>
                <w:szCs w:val="20"/>
              </w:rPr>
              <w:t>,</w:t>
            </w:r>
            <w:r w:rsidRPr="00240490">
              <w:rPr>
                <w:rFonts w:ascii="Cambria" w:hAnsi="Cambria"/>
                <w:bCs/>
                <w:sz w:val="20"/>
                <w:szCs w:val="20"/>
              </w:rPr>
              <w:t xml:space="preserve"> 2009; </w:t>
            </w:r>
            <w:r>
              <w:rPr>
                <w:rFonts w:ascii="Cambria" w:hAnsi="Cambria"/>
                <w:bCs/>
                <w:sz w:val="20"/>
                <w:szCs w:val="20"/>
              </w:rPr>
              <w:t xml:space="preserve">October </w:t>
            </w:r>
            <w:r w:rsidRPr="00240490">
              <w:rPr>
                <w:rFonts w:ascii="Cambria" w:hAnsi="Cambria"/>
                <w:bCs/>
                <w:sz w:val="20"/>
                <w:szCs w:val="20"/>
              </w:rPr>
              <w:t>26</w:t>
            </w:r>
            <w:r>
              <w:rPr>
                <w:rFonts w:ascii="Cambria" w:hAnsi="Cambria"/>
                <w:bCs/>
                <w:sz w:val="20"/>
                <w:szCs w:val="20"/>
              </w:rPr>
              <w:t>,</w:t>
            </w:r>
            <w:r w:rsidRPr="00240490">
              <w:rPr>
                <w:rFonts w:ascii="Cambria" w:hAnsi="Cambria"/>
                <w:bCs/>
                <w:sz w:val="20"/>
                <w:szCs w:val="20"/>
              </w:rPr>
              <w:t xml:space="preserve"> 2009; </w:t>
            </w:r>
            <w:r>
              <w:rPr>
                <w:rFonts w:ascii="Cambria" w:hAnsi="Cambria"/>
                <w:bCs/>
                <w:sz w:val="20"/>
                <w:szCs w:val="20"/>
              </w:rPr>
              <w:t xml:space="preserve">August </w:t>
            </w:r>
            <w:r w:rsidRPr="00240490">
              <w:rPr>
                <w:rFonts w:ascii="Cambria" w:hAnsi="Cambria"/>
                <w:bCs/>
                <w:sz w:val="20"/>
                <w:szCs w:val="20"/>
              </w:rPr>
              <w:t>3</w:t>
            </w:r>
            <w:r>
              <w:rPr>
                <w:rFonts w:ascii="Cambria" w:hAnsi="Cambria"/>
                <w:bCs/>
                <w:sz w:val="20"/>
                <w:szCs w:val="20"/>
              </w:rPr>
              <w:t>,</w:t>
            </w:r>
            <w:r w:rsidRPr="00240490">
              <w:rPr>
                <w:rFonts w:ascii="Cambria" w:hAnsi="Cambria"/>
                <w:bCs/>
                <w:sz w:val="20"/>
                <w:szCs w:val="20"/>
              </w:rPr>
              <w:t xml:space="preserve"> 2010; </w:t>
            </w:r>
            <w:r>
              <w:rPr>
                <w:rFonts w:ascii="Cambria" w:hAnsi="Cambria"/>
                <w:bCs/>
                <w:sz w:val="20"/>
                <w:szCs w:val="20"/>
              </w:rPr>
              <w:t xml:space="preserve">September </w:t>
            </w:r>
            <w:r w:rsidRPr="00240490">
              <w:rPr>
                <w:rFonts w:ascii="Cambria" w:hAnsi="Cambria"/>
                <w:bCs/>
                <w:sz w:val="20"/>
                <w:szCs w:val="20"/>
              </w:rPr>
              <w:t>30</w:t>
            </w:r>
            <w:r>
              <w:rPr>
                <w:rFonts w:ascii="Cambria" w:hAnsi="Cambria"/>
                <w:bCs/>
                <w:sz w:val="20"/>
                <w:szCs w:val="20"/>
              </w:rPr>
              <w:t>,</w:t>
            </w:r>
            <w:r w:rsidRPr="00240490">
              <w:rPr>
                <w:rFonts w:ascii="Cambria" w:hAnsi="Cambria"/>
                <w:bCs/>
                <w:sz w:val="20"/>
                <w:szCs w:val="20"/>
              </w:rPr>
              <w:t xml:space="preserve"> 2011; </w:t>
            </w:r>
            <w:r>
              <w:rPr>
                <w:rFonts w:ascii="Cambria" w:hAnsi="Cambria"/>
                <w:bCs/>
                <w:sz w:val="20"/>
                <w:szCs w:val="20"/>
              </w:rPr>
              <w:t xml:space="preserve">February </w:t>
            </w:r>
            <w:r w:rsidRPr="00240490">
              <w:rPr>
                <w:rFonts w:ascii="Cambria" w:hAnsi="Cambria"/>
                <w:bCs/>
                <w:sz w:val="20"/>
                <w:szCs w:val="20"/>
              </w:rPr>
              <w:t>24</w:t>
            </w:r>
            <w:r>
              <w:rPr>
                <w:rFonts w:ascii="Cambria" w:hAnsi="Cambria"/>
                <w:bCs/>
                <w:sz w:val="20"/>
                <w:szCs w:val="20"/>
              </w:rPr>
              <w:t>, 2014 and</w:t>
            </w:r>
            <w:r w:rsidRPr="00240490">
              <w:rPr>
                <w:rFonts w:ascii="Cambria" w:hAnsi="Cambria"/>
                <w:bCs/>
                <w:sz w:val="20"/>
                <w:szCs w:val="20"/>
              </w:rPr>
              <w:t xml:space="preserve"> </w:t>
            </w:r>
            <w:r>
              <w:rPr>
                <w:rFonts w:ascii="Cambria" w:hAnsi="Cambria"/>
                <w:bCs/>
                <w:sz w:val="20"/>
                <w:szCs w:val="20"/>
              </w:rPr>
              <w:t xml:space="preserve">September </w:t>
            </w:r>
            <w:r w:rsidRPr="00240490">
              <w:rPr>
                <w:rFonts w:ascii="Cambria" w:hAnsi="Cambria"/>
                <w:bCs/>
                <w:sz w:val="20"/>
                <w:szCs w:val="20"/>
              </w:rPr>
              <w:t>24</w:t>
            </w:r>
            <w:r>
              <w:rPr>
                <w:rFonts w:ascii="Cambria" w:hAnsi="Cambria"/>
                <w:bCs/>
                <w:sz w:val="20"/>
                <w:szCs w:val="20"/>
              </w:rPr>
              <w:t>,</w:t>
            </w:r>
            <w:r w:rsidRPr="00240490">
              <w:rPr>
                <w:rFonts w:ascii="Cambria" w:hAnsi="Cambria"/>
                <w:bCs/>
                <w:sz w:val="20"/>
                <w:szCs w:val="20"/>
              </w:rPr>
              <w:t xml:space="preserve"> 2014</w:t>
            </w:r>
          </w:p>
        </w:tc>
      </w:tr>
      <w:tr w:rsidR="000A6974" w:rsidRPr="00240490" w:rsidTr="008F7F06">
        <w:tc>
          <w:tcPr>
            <w:tcW w:w="4680" w:type="dxa"/>
            <w:tcBorders>
              <w:top w:val="single" w:sz="6" w:space="0" w:color="auto"/>
              <w:bottom w:val="single" w:sz="6" w:space="0" w:color="auto"/>
            </w:tcBorders>
            <w:shd w:val="clear" w:color="auto" w:fill="67AE3C"/>
            <w:vAlign w:val="center"/>
          </w:tcPr>
          <w:p w:rsidR="000A6974" w:rsidRPr="00240490" w:rsidRDefault="000A6974" w:rsidP="008F7F06">
            <w:pPr>
              <w:jc w:val="center"/>
              <w:rPr>
                <w:rFonts w:ascii="Cambria" w:hAnsi="Cambria"/>
                <w:b/>
                <w:bCs/>
                <w:color w:val="FFFFFF" w:themeColor="background1"/>
                <w:sz w:val="20"/>
                <w:szCs w:val="20"/>
              </w:rPr>
            </w:pPr>
            <w:r w:rsidRPr="00F339A2">
              <w:rPr>
                <w:rFonts w:ascii="Cambria" w:hAnsi="Cambria"/>
                <w:b/>
                <w:color w:val="FFFFFF" w:themeColor="background1"/>
                <w:sz w:val="20"/>
                <w:szCs w:val="20"/>
              </w:rPr>
              <w:t>Date on which the petition was transmitted to the State:</w:t>
            </w:r>
          </w:p>
        </w:tc>
        <w:tc>
          <w:tcPr>
            <w:tcW w:w="4680" w:type="dxa"/>
            <w:vAlign w:val="center"/>
          </w:tcPr>
          <w:p w:rsidR="000A6974" w:rsidRPr="00240490" w:rsidRDefault="000A6974" w:rsidP="008F7F06">
            <w:pPr>
              <w:jc w:val="both"/>
              <w:rPr>
                <w:rFonts w:ascii="Cambria" w:hAnsi="Cambria"/>
                <w:bCs/>
                <w:sz w:val="20"/>
                <w:szCs w:val="20"/>
                <w:highlight w:val="yellow"/>
              </w:rPr>
            </w:pPr>
            <w:r>
              <w:rPr>
                <w:rFonts w:ascii="Cambria" w:hAnsi="Cambria"/>
                <w:bCs/>
                <w:sz w:val="20"/>
                <w:szCs w:val="20"/>
              </w:rPr>
              <w:t xml:space="preserve">December </w:t>
            </w:r>
            <w:r w:rsidRPr="00240490">
              <w:rPr>
                <w:rFonts w:ascii="Cambria" w:hAnsi="Cambria"/>
                <w:bCs/>
                <w:sz w:val="20"/>
                <w:szCs w:val="20"/>
              </w:rPr>
              <w:t>30</w:t>
            </w:r>
            <w:r>
              <w:rPr>
                <w:rFonts w:ascii="Cambria" w:hAnsi="Cambria"/>
                <w:bCs/>
                <w:sz w:val="20"/>
                <w:szCs w:val="20"/>
              </w:rPr>
              <w:t>,</w:t>
            </w:r>
            <w:r w:rsidRPr="00240490">
              <w:rPr>
                <w:rFonts w:ascii="Cambria" w:hAnsi="Cambria"/>
                <w:bCs/>
                <w:sz w:val="20"/>
                <w:szCs w:val="20"/>
              </w:rPr>
              <w:t xml:space="preserve"> 2014</w:t>
            </w:r>
          </w:p>
        </w:tc>
      </w:tr>
      <w:tr w:rsidR="000A6974" w:rsidRPr="00240490" w:rsidTr="008F7F06">
        <w:tc>
          <w:tcPr>
            <w:tcW w:w="4680" w:type="dxa"/>
            <w:tcBorders>
              <w:top w:val="single" w:sz="6" w:space="0" w:color="auto"/>
              <w:bottom w:val="single" w:sz="6" w:space="0" w:color="auto"/>
            </w:tcBorders>
            <w:shd w:val="clear" w:color="auto" w:fill="67AE3C"/>
            <w:vAlign w:val="center"/>
          </w:tcPr>
          <w:p w:rsidR="000A6974" w:rsidRPr="00240490" w:rsidRDefault="000A6974" w:rsidP="008F7F06">
            <w:pPr>
              <w:jc w:val="center"/>
              <w:rPr>
                <w:rFonts w:ascii="Cambria" w:hAnsi="Cambria"/>
                <w:b/>
                <w:bCs/>
                <w:color w:val="FFFFFF" w:themeColor="background1"/>
                <w:sz w:val="20"/>
                <w:szCs w:val="20"/>
              </w:rPr>
            </w:pPr>
            <w:r w:rsidRPr="00BE21DA">
              <w:rPr>
                <w:rFonts w:ascii="Cambria" w:hAnsi="Cambria"/>
                <w:b/>
                <w:color w:val="FFFFFF" w:themeColor="background1"/>
                <w:sz w:val="20"/>
                <w:szCs w:val="20"/>
              </w:rPr>
              <w:t>Date of the State’s first response:</w:t>
            </w:r>
          </w:p>
        </w:tc>
        <w:tc>
          <w:tcPr>
            <w:tcW w:w="4680" w:type="dxa"/>
            <w:vAlign w:val="center"/>
          </w:tcPr>
          <w:p w:rsidR="000A6974" w:rsidRPr="00240490" w:rsidRDefault="000A6974" w:rsidP="008F7F06">
            <w:pPr>
              <w:jc w:val="both"/>
              <w:rPr>
                <w:rFonts w:ascii="Cambria" w:hAnsi="Cambria"/>
                <w:bCs/>
                <w:sz w:val="20"/>
                <w:szCs w:val="20"/>
                <w:highlight w:val="yellow"/>
              </w:rPr>
            </w:pPr>
            <w:r>
              <w:rPr>
                <w:rFonts w:ascii="Cambria" w:hAnsi="Cambria"/>
                <w:bCs/>
                <w:sz w:val="20"/>
                <w:szCs w:val="20"/>
              </w:rPr>
              <w:t xml:space="preserve">April </w:t>
            </w:r>
            <w:r w:rsidRPr="00240490">
              <w:rPr>
                <w:rFonts w:ascii="Cambria" w:hAnsi="Cambria"/>
                <w:bCs/>
                <w:sz w:val="20"/>
                <w:szCs w:val="20"/>
              </w:rPr>
              <w:t>1</w:t>
            </w:r>
            <w:r>
              <w:rPr>
                <w:rFonts w:ascii="Cambria" w:hAnsi="Cambria"/>
                <w:bCs/>
                <w:sz w:val="20"/>
                <w:szCs w:val="20"/>
              </w:rPr>
              <w:t>,</w:t>
            </w:r>
            <w:r w:rsidRPr="00240490">
              <w:rPr>
                <w:rFonts w:ascii="Cambria" w:hAnsi="Cambria"/>
                <w:bCs/>
                <w:sz w:val="20"/>
                <w:szCs w:val="20"/>
              </w:rPr>
              <w:t xml:space="preserve"> 2015</w:t>
            </w:r>
          </w:p>
        </w:tc>
      </w:tr>
      <w:tr w:rsidR="007F149A" w:rsidRPr="00240490" w:rsidTr="008F7F06">
        <w:tc>
          <w:tcPr>
            <w:tcW w:w="4680" w:type="dxa"/>
            <w:tcBorders>
              <w:top w:val="single" w:sz="6" w:space="0" w:color="auto"/>
              <w:bottom w:val="single" w:sz="6" w:space="0" w:color="auto"/>
            </w:tcBorders>
            <w:shd w:val="clear" w:color="auto" w:fill="67AE3C"/>
            <w:vAlign w:val="center"/>
          </w:tcPr>
          <w:p w:rsidR="007F149A" w:rsidRPr="00240490" w:rsidRDefault="007F149A" w:rsidP="007F149A">
            <w:pPr>
              <w:jc w:val="center"/>
              <w:rPr>
                <w:rFonts w:ascii="Cambria" w:hAnsi="Cambria"/>
                <w:b/>
                <w:bCs/>
                <w:color w:val="FFFFFF" w:themeColor="background1"/>
                <w:sz w:val="20"/>
                <w:szCs w:val="20"/>
              </w:rPr>
            </w:pPr>
            <w:r w:rsidRPr="007F149A">
              <w:rPr>
                <w:rFonts w:ascii="Cambria" w:hAnsi="Cambria"/>
                <w:b/>
                <w:bCs/>
                <w:color w:val="FFFFFF" w:themeColor="background1"/>
                <w:sz w:val="20"/>
                <w:szCs w:val="20"/>
              </w:rPr>
              <w:t xml:space="preserve">Additional observations from the </w:t>
            </w:r>
            <w:r>
              <w:rPr>
                <w:rFonts w:ascii="Cambria" w:hAnsi="Cambria"/>
                <w:b/>
                <w:bCs/>
                <w:color w:val="FFFFFF" w:themeColor="background1"/>
                <w:sz w:val="20"/>
                <w:szCs w:val="20"/>
              </w:rPr>
              <w:t>petitioner</w:t>
            </w:r>
            <w:r w:rsidRPr="007F149A">
              <w:rPr>
                <w:rFonts w:ascii="Cambria" w:hAnsi="Cambria"/>
                <w:b/>
                <w:bCs/>
                <w:color w:val="FFFFFF" w:themeColor="background1"/>
                <w:sz w:val="20"/>
                <w:szCs w:val="20"/>
              </w:rPr>
              <w:t>:</w:t>
            </w:r>
          </w:p>
        </w:tc>
        <w:tc>
          <w:tcPr>
            <w:tcW w:w="4680" w:type="dxa"/>
            <w:vAlign w:val="center"/>
          </w:tcPr>
          <w:p w:rsidR="007F149A" w:rsidRPr="00240490" w:rsidRDefault="007F149A" w:rsidP="008F7F06">
            <w:pPr>
              <w:jc w:val="both"/>
              <w:rPr>
                <w:rFonts w:ascii="Cambria" w:hAnsi="Cambria"/>
                <w:bCs/>
                <w:sz w:val="20"/>
                <w:szCs w:val="20"/>
                <w:highlight w:val="yellow"/>
              </w:rPr>
            </w:pPr>
            <w:r>
              <w:rPr>
                <w:rFonts w:ascii="Cambria" w:hAnsi="Cambria"/>
                <w:bCs/>
                <w:sz w:val="20"/>
                <w:szCs w:val="20"/>
              </w:rPr>
              <w:t xml:space="preserve">March </w:t>
            </w:r>
            <w:r w:rsidRPr="00240490">
              <w:rPr>
                <w:rFonts w:ascii="Cambria" w:hAnsi="Cambria"/>
                <w:bCs/>
                <w:sz w:val="20"/>
                <w:szCs w:val="20"/>
              </w:rPr>
              <w:t>2</w:t>
            </w:r>
            <w:r>
              <w:rPr>
                <w:rFonts w:ascii="Cambria" w:hAnsi="Cambria"/>
                <w:bCs/>
                <w:sz w:val="20"/>
                <w:szCs w:val="20"/>
              </w:rPr>
              <w:t>,</w:t>
            </w:r>
            <w:r w:rsidRPr="00240490">
              <w:rPr>
                <w:rFonts w:ascii="Cambria" w:hAnsi="Cambria"/>
                <w:bCs/>
                <w:sz w:val="20"/>
                <w:szCs w:val="20"/>
              </w:rPr>
              <w:t xml:space="preserve"> 2016</w:t>
            </w:r>
          </w:p>
        </w:tc>
      </w:tr>
      <w:tr w:rsidR="007F149A" w:rsidRPr="00240490" w:rsidTr="008F7F06">
        <w:tc>
          <w:tcPr>
            <w:tcW w:w="4680" w:type="dxa"/>
            <w:tcBorders>
              <w:top w:val="single" w:sz="6" w:space="0" w:color="auto"/>
              <w:bottom w:val="single" w:sz="6" w:space="0" w:color="auto"/>
            </w:tcBorders>
            <w:shd w:val="clear" w:color="auto" w:fill="67AE3C"/>
            <w:vAlign w:val="center"/>
          </w:tcPr>
          <w:p w:rsidR="007F149A" w:rsidRPr="00240490" w:rsidRDefault="007F149A" w:rsidP="008F7F06">
            <w:pPr>
              <w:jc w:val="center"/>
              <w:rPr>
                <w:rFonts w:ascii="Cambria" w:hAnsi="Cambria"/>
                <w:b/>
                <w:bCs/>
                <w:color w:val="FFFFFF" w:themeColor="background1"/>
                <w:sz w:val="20"/>
                <w:szCs w:val="20"/>
              </w:rPr>
            </w:pPr>
            <w:r w:rsidRPr="00BE21DA">
              <w:rPr>
                <w:rFonts w:ascii="Cambria" w:hAnsi="Cambria"/>
                <w:b/>
                <w:bCs/>
                <w:color w:val="FFFFFF" w:themeColor="background1"/>
                <w:sz w:val="20"/>
                <w:szCs w:val="20"/>
              </w:rPr>
              <w:t>Additional observations from the State:</w:t>
            </w:r>
          </w:p>
        </w:tc>
        <w:tc>
          <w:tcPr>
            <w:tcW w:w="4680" w:type="dxa"/>
            <w:vAlign w:val="center"/>
          </w:tcPr>
          <w:p w:rsidR="007F149A" w:rsidRPr="00240490" w:rsidRDefault="007F149A" w:rsidP="008F7F06">
            <w:pPr>
              <w:jc w:val="both"/>
              <w:rPr>
                <w:rFonts w:ascii="Cambria" w:hAnsi="Cambria"/>
                <w:bCs/>
                <w:sz w:val="20"/>
                <w:szCs w:val="20"/>
              </w:rPr>
            </w:pPr>
            <w:r>
              <w:rPr>
                <w:rFonts w:ascii="Cambria" w:hAnsi="Cambria"/>
                <w:bCs/>
                <w:sz w:val="20"/>
                <w:szCs w:val="20"/>
              </w:rPr>
              <w:t xml:space="preserve">November </w:t>
            </w:r>
            <w:r w:rsidRPr="00240490">
              <w:rPr>
                <w:rFonts w:ascii="Cambria" w:hAnsi="Cambria"/>
                <w:bCs/>
                <w:sz w:val="20"/>
                <w:szCs w:val="20"/>
              </w:rPr>
              <w:t>11</w:t>
            </w:r>
            <w:r>
              <w:rPr>
                <w:rFonts w:ascii="Cambria" w:hAnsi="Cambria"/>
                <w:bCs/>
                <w:sz w:val="20"/>
                <w:szCs w:val="20"/>
              </w:rPr>
              <w:t>,</w:t>
            </w:r>
            <w:r w:rsidRPr="00240490">
              <w:rPr>
                <w:rFonts w:ascii="Cambria" w:hAnsi="Cambria"/>
                <w:bCs/>
                <w:sz w:val="20"/>
                <w:szCs w:val="20"/>
              </w:rPr>
              <w:t xml:space="preserve"> 2016</w:t>
            </w:r>
          </w:p>
        </w:tc>
      </w:tr>
    </w:tbl>
    <w:p w:rsidR="000A6974" w:rsidRPr="00240490" w:rsidRDefault="000A6974" w:rsidP="000A6974">
      <w:pPr>
        <w:spacing w:before="240" w:after="240"/>
        <w:ind w:firstLine="720"/>
        <w:jc w:val="both"/>
        <w:rPr>
          <w:rFonts w:asciiTheme="majorHAnsi" w:hAnsiTheme="majorHAnsi"/>
          <w:b/>
          <w:bCs/>
          <w:sz w:val="20"/>
          <w:szCs w:val="20"/>
        </w:rPr>
      </w:pPr>
      <w:r>
        <w:rPr>
          <w:rFonts w:asciiTheme="majorHAnsi" w:hAnsiTheme="majorHAnsi"/>
          <w:b/>
          <w:bCs/>
          <w:sz w:val="20"/>
          <w:szCs w:val="20"/>
        </w:rPr>
        <w:t xml:space="preserve">III. </w:t>
      </w:r>
      <w:r>
        <w:rPr>
          <w:rFonts w:asciiTheme="majorHAnsi" w:hAnsiTheme="majorHAnsi"/>
          <w:b/>
          <w:bCs/>
          <w:sz w:val="20"/>
          <w:szCs w:val="20"/>
        </w:rPr>
        <w:tab/>
        <w:t>COMPETENCE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A6974" w:rsidRPr="00240490" w:rsidTr="008F7F06">
        <w:trPr>
          <w:cantSplit/>
        </w:trPr>
        <w:tc>
          <w:tcPr>
            <w:tcW w:w="4680" w:type="dxa"/>
            <w:tcBorders>
              <w:top w:val="single" w:sz="4" w:space="0" w:color="auto"/>
              <w:bottom w:val="single" w:sz="6" w:space="0" w:color="auto"/>
            </w:tcBorders>
            <w:shd w:val="clear" w:color="auto" w:fill="67AE3C"/>
            <w:vAlign w:val="center"/>
          </w:tcPr>
          <w:p w:rsidR="000A6974" w:rsidRPr="00240490" w:rsidRDefault="000A6974" w:rsidP="008F7F06">
            <w:pPr>
              <w:jc w:val="center"/>
              <w:rPr>
                <w:rFonts w:ascii="Cambria" w:hAnsi="Cambria"/>
                <w:b/>
                <w:bCs/>
                <w:i/>
                <w:color w:val="FFFFFF" w:themeColor="background1"/>
                <w:sz w:val="20"/>
                <w:szCs w:val="20"/>
              </w:rPr>
            </w:pPr>
            <w:r>
              <w:rPr>
                <w:rFonts w:ascii="Cambria" w:hAnsi="Cambria"/>
                <w:b/>
                <w:bCs/>
                <w:color w:val="FFFFFF" w:themeColor="background1"/>
                <w:sz w:val="20"/>
                <w:szCs w:val="20"/>
              </w:rPr>
              <w:t>Competence</w:t>
            </w:r>
            <w:r w:rsidRPr="00240490">
              <w:rPr>
                <w:rFonts w:ascii="Cambria" w:hAnsi="Cambria"/>
                <w:b/>
                <w:bCs/>
                <w:i/>
                <w:color w:val="FFFFFF" w:themeColor="background1"/>
                <w:sz w:val="20"/>
                <w:szCs w:val="20"/>
              </w:rPr>
              <w:t xml:space="preserve"> Ratione personae:</w:t>
            </w:r>
          </w:p>
        </w:tc>
        <w:tc>
          <w:tcPr>
            <w:tcW w:w="4680" w:type="dxa"/>
            <w:vAlign w:val="center"/>
          </w:tcPr>
          <w:p w:rsidR="000A6974" w:rsidRPr="00240490" w:rsidRDefault="000A6974" w:rsidP="008F7F06">
            <w:pPr>
              <w:rPr>
                <w:rFonts w:ascii="Cambria" w:hAnsi="Cambria"/>
                <w:bCs/>
                <w:sz w:val="20"/>
                <w:szCs w:val="20"/>
              </w:rPr>
            </w:pPr>
            <w:r>
              <w:rPr>
                <w:rFonts w:ascii="Cambria" w:hAnsi="Cambria"/>
                <w:bCs/>
                <w:sz w:val="20"/>
                <w:szCs w:val="20"/>
              </w:rPr>
              <w:t>Yes</w:t>
            </w:r>
          </w:p>
        </w:tc>
      </w:tr>
      <w:tr w:rsidR="000A6974" w:rsidRPr="00240490" w:rsidTr="008F7F06">
        <w:trPr>
          <w:cantSplit/>
        </w:trPr>
        <w:tc>
          <w:tcPr>
            <w:tcW w:w="4680" w:type="dxa"/>
            <w:tcBorders>
              <w:top w:val="single" w:sz="6" w:space="0" w:color="auto"/>
              <w:bottom w:val="single" w:sz="6" w:space="0" w:color="auto"/>
            </w:tcBorders>
            <w:shd w:val="clear" w:color="auto" w:fill="67AE3C"/>
            <w:vAlign w:val="center"/>
          </w:tcPr>
          <w:p w:rsidR="000A6974" w:rsidRPr="00240490" w:rsidRDefault="000A6974" w:rsidP="008F7F06">
            <w:pPr>
              <w:jc w:val="center"/>
              <w:rPr>
                <w:rFonts w:ascii="Cambria" w:hAnsi="Cambria"/>
                <w:b/>
                <w:bCs/>
                <w:color w:val="FFFFFF" w:themeColor="background1"/>
                <w:sz w:val="20"/>
                <w:szCs w:val="20"/>
              </w:rPr>
            </w:pPr>
            <w:r>
              <w:rPr>
                <w:rFonts w:ascii="Cambria" w:hAnsi="Cambria"/>
                <w:b/>
                <w:bCs/>
                <w:color w:val="FFFFFF" w:themeColor="background1"/>
                <w:sz w:val="20"/>
                <w:szCs w:val="20"/>
              </w:rPr>
              <w:lastRenderedPageBreak/>
              <w:t>Competence</w:t>
            </w:r>
            <w:r w:rsidRPr="00240490">
              <w:rPr>
                <w:rFonts w:ascii="Cambria" w:hAnsi="Cambria"/>
                <w:b/>
                <w:bCs/>
                <w:i/>
                <w:color w:val="FFFFFF" w:themeColor="background1"/>
                <w:sz w:val="20"/>
                <w:szCs w:val="20"/>
              </w:rPr>
              <w:t xml:space="preserve"> Ratione loci</w:t>
            </w:r>
            <w:r w:rsidRPr="00240490">
              <w:rPr>
                <w:rFonts w:ascii="Cambria" w:hAnsi="Cambria"/>
                <w:b/>
                <w:bCs/>
                <w:color w:val="FFFFFF" w:themeColor="background1"/>
                <w:sz w:val="20"/>
                <w:szCs w:val="20"/>
              </w:rPr>
              <w:t>:</w:t>
            </w:r>
          </w:p>
        </w:tc>
        <w:tc>
          <w:tcPr>
            <w:tcW w:w="4680" w:type="dxa"/>
            <w:vAlign w:val="center"/>
          </w:tcPr>
          <w:p w:rsidR="000A6974" w:rsidRPr="00240490" w:rsidRDefault="000A6974" w:rsidP="008F7F06">
            <w:pPr>
              <w:rPr>
                <w:rFonts w:ascii="Cambria" w:hAnsi="Cambria"/>
                <w:bCs/>
                <w:sz w:val="20"/>
                <w:szCs w:val="20"/>
              </w:rPr>
            </w:pPr>
            <w:r>
              <w:rPr>
                <w:rFonts w:ascii="Cambria" w:hAnsi="Cambria"/>
                <w:bCs/>
                <w:sz w:val="20"/>
                <w:szCs w:val="20"/>
              </w:rPr>
              <w:t>Yes</w:t>
            </w:r>
          </w:p>
        </w:tc>
      </w:tr>
      <w:tr w:rsidR="000A6974" w:rsidRPr="00240490" w:rsidTr="008F7F06">
        <w:trPr>
          <w:cantSplit/>
        </w:trPr>
        <w:tc>
          <w:tcPr>
            <w:tcW w:w="4680" w:type="dxa"/>
            <w:tcBorders>
              <w:top w:val="single" w:sz="6" w:space="0" w:color="auto"/>
              <w:bottom w:val="single" w:sz="6" w:space="0" w:color="auto"/>
            </w:tcBorders>
            <w:shd w:val="clear" w:color="auto" w:fill="67AE3C"/>
            <w:vAlign w:val="center"/>
          </w:tcPr>
          <w:p w:rsidR="000A6974" w:rsidRPr="00240490" w:rsidRDefault="000A6974" w:rsidP="008F7F06">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Pr="00240490">
              <w:rPr>
                <w:rFonts w:ascii="Cambria" w:hAnsi="Cambria"/>
                <w:b/>
                <w:bCs/>
                <w:i/>
                <w:color w:val="FFFFFF" w:themeColor="background1"/>
                <w:sz w:val="20"/>
                <w:szCs w:val="20"/>
              </w:rPr>
              <w:t xml:space="preserve"> Ratione temporis</w:t>
            </w:r>
            <w:r w:rsidRPr="00240490">
              <w:rPr>
                <w:rFonts w:ascii="Cambria" w:hAnsi="Cambria"/>
                <w:b/>
                <w:bCs/>
                <w:color w:val="FFFFFF" w:themeColor="background1"/>
                <w:sz w:val="20"/>
                <w:szCs w:val="20"/>
              </w:rPr>
              <w:t>:</w:t>
            </w:r>
          </w:p>
        </w:tc>
        <w:tc>
          <w:tcPr>
            <w:tcW w:w="4680" w:type="dxa"/>
            <w:vAlign w:val="center"/>
          </w:tcPr>
          <w:p w:rsidR="000A6974" w:rsidRPr="00240490" w:rsidRDefault="000A6974" w:rsidP="008F7F06">
            <w:pPr>
              <w:rPr>
                <w:bCs/>
                <w:sz w:val="20"/>
                <w:szCs w:val="20"/>
              </w:rPr>
            </w:pPr>
            <w:r>
              <w:rPr>
                <w:rFonts w:ascii="Cambria" w:hAnsi="Cambria"/>
                <w:bCs/>
                <w:sz w:val="20"/>
                <w:szCs w:val="20"/>
              </w:rPr>
              <w:t>Yes</w:t>
            </w:r>
          </w:p>
        </w:tc>
      </w:tr>
      <w:tr w:rsidR="000A6974" w:rsidRPr="00F339A2" w:rsidTr="008F7F06">
        <w:trPr>
          <w:cantSplit/>
        </w:trPr>
        <w:tc>
          <w:tcPr>
            <w:tcW w:w="4680" w:type="dxa"/>
            <w:tcBorders>
              <w:top w:val="single" w:sz="6" w:space="0" w:color="auto"/>
              <w:bottom w:val="single" w:sz="6" w:space="0" w:color="auto"/>
            </w:tcBorders>
            <w:shd w:val="clear" w:color="auto" w:fill="67AE3C"/>
            <w:vAlign w:val="center"/>
          </w:tcPr>
          <w:p w:rsidR="000A6974" w:rsidRPr="00240490" w:rsidRDefault="000A6974" w:rsidP="008F7F06">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sidRPr="00240490">
              <w:rPr>
                <w:rFonts w:ascii="Cambria" w:hAnsi="Cambria"/>
                <w:b/>
                <w:bCs/>
                <w:i/>
                <w:color w:val="FFFFFF" w:themeColor="background1"/>
                <w:sz w:val="20"/>
                <w:szCs w:val="20"/>
              </w:rPr>
              <w:t xml:space="preserve"> Ratione materiae</w:t>
            </w:r>
            <w:r w:rsidRPr="00240490">
              <w:rPr>
                <w:rFonts w:ascii="Cambria" w:hAnsi="Cambria"/>
                <w:b/>
                <w:bCs/>
                <w:color w:val="FFFFFF" w:themeColor="background1"/>
                <w:sz w:val="20"/>
                <w:szCs w:val="20"/>
              </w:rPr>
              <w:t>:</w:t>
            </w:r>
          </w:p>
        </w:tc>
        <w:tc>
          <w:tcPr>
            <w:tcW w:w="4680" w:type="dxa"/>
            <w:vAlign w:val="center"/>
          </w:tcPr>
          <w:p w:rsidR="000A6974" w:rsidRPr="00240490" w:rsidRDefault="000A6974" w:rsidP="008F7F06">
            <w:pPr>
              <w:jc w:val="both"/>
              <w:rPr>
                <w:rFonts w:ascii="Cambria" w:hAnsi="Cambria"/>
                <w:bCs/>
                <w:sz w:val="20"/>
                <w:szCs w:val="20"/>
              </w:rPr>
            </w:pPr>
            <w:r>
              <w:rPr>
                <w:rFonts w:ascii="Cambria" w:hAnsi="Cambria"/>
                <w:bCs/>
                <w:sz w:val="20"/>
                <w:szCs w:val="20"/>
                <w:bdr w:val="none" w:sz="0" w:space="0" w:color="auto" w:frame="1"/>
              </w:rPr>
              <w:t>Yes</w:t>
            </w:r>
            <w:r w:rsidRPr="00240490">
              <w:rPr>
                <w:bCs/>
                <w:sz w:val="20"/>
                <w:szCs w:val="20"/>
                <w:bdr w:val="none" w:sz="0" w:space="0" w:color="auto" w:frame="1"/>
              </w:rPr>
              <w:t xml:space="preserve">, </w:t>
            </w:r>
            <w:r>
              <w:rPr>
                <w:bCs/>
                <w:sz w:val="20"/>
                <w:szCs w:val="20"/>
                <w:bdr w:val="none" w:sz="0" w:space="0" w:color="auto" w:frame="1"/>
              </w:rPr>
              <w:t xml:space="preserve">American Convention </w:t>
            </w:r>
            <w:r w:rsidRPr="00240490">
              <w:rPr>
                <w:rFonts w:ascii="Cambria" w:hAnsi="Cambria"/>
                <w:bCs/>
                <w:sz w:val="20"/>
                <w:szCs w:val="20"/>
                <w:bdr w:val="none" w:sz="0" w:space="0" w:color="auto" w:frame="1"/>
              </w:rPr>
              <w:t>(</w:t>
            </w:r>
            <w:r>
              <w:rPr>
                <w:rFonts w:ascii="Cambria" w:hAnsi="Cambria"/>
                <w:bCs/>
                <w:sz w:val="20"/>
                <w:szCs w:val="20"/>
                <w:bdr w:val="none" w:sz="0" w:space="0" w:color="auto" w:frame="1"/>
              </w:rPr>
              <w:t>instrument deposited on July 28, 1978</w:t>
            </w:r>
            <w:r w:rsidRPr="00240490">
              <w:rPr>
                <w:rFonts w:ascii="Cambria" w:hAnsi="Cambria"/>
                <w:bCs/>
                <w:sz w:val="20"/>
                <w:szCs w:val="20"/>
                <w:bdr w:val="none" w:sz="0" w:space="0" w:color="auto" w:frame="1"/>
              </w:rPr>
              <w:t>)</w:t>
            </w:r>
          </w:p>
        </w:tc>
      </w:tr>
    </w:tbl>
    <w:p w:rsidR="000A6974" w:rsidRPr="00240490" w:rsidRDefault="000A6974" w:rsidP="000A6974">
      <w:pPr>
        <w:spacing w:before="240" w:after="240"/>
        <w:ind w:firstLine="720"/>
        <w:jc w:val="both"/>
        <w:rPr>
          <w:rFonts w:asciiTheme="majorHAnsi" w:hAnsiTheme="majorHAnsi"/>
          <w:b/>
          <w:bCs/>
          <w:sz w:val="20"/>
          <w:szCs w:val="20"/>
        </w:rPr>
      </w:pPr>
      <w:r w:rsidRPr="00240490">
        <w:rPr>
          <w:rFonts w:asciiTheme="majorHAnsi" w:hAnsiTheme="majorHAnsi"/>
          <w:b/>
          <w:bCs/>
          <w:sz w:val="20"/>
          <w:szCs w:val="20"/>
        </w:rPr>
        <w:t xml:space="preserve">IV. </w:t>
      </w:r>
      <w:r w:rsidRPr="00240490">
        <w:rPr>
          <w:rFonts w:asciiTheme="majorHAnsi" w:hAnsiTheme="majorHAnsi"/>
          <w:b/>
          <w:bCs/>
          <w:sz w:val="20"/>
          <w:szCs w:val="20"/>
        </w:rPr>
        <w:tab/>
      </w:r>
      <w:r>
        <w:rPr>
          <w:rFonts w:asciiTheme="majorHAnsi" w:hAnsiTheme="majorHAnsi"/>
          <w:b/>
          <w:bCs/>
          <w:sz w:val="20"/>
          <w:szCs w:val="20"/>
        </w:rPr>
        <w:t>ANALYSIS ON DUPLICATION OF PROCEEDINGS AND INTERNATIONAL RES JUDICATA</w:t>
      </w:r>
      <w:r w:rsidRPr="00240490">
        <w:rPr>
          <w:rFonts w:asciiTheme="majorHAnsi" w:hAnsiTheme="majorHAnsi"/>
          <w:b/>
          <w:bCs/>
          <w:sz w:val="20"/>
          <w:szCs w:val="20"/>
        </w:rPr>
        <w:t>, C</w:t>
      </w:r>
      <w:r>
        <w:rPr>
          <w:rFonts w:asciiTheme="majorHAnsi" w:hAnsiTheme="majorHAnsi"/>
          <w:b/>
          <w:bCs/>
          <w:sz w:val="20"/>
          <w:szCs w:val="20"/>
        </w:rPr>
        <w:t xml:space="preserve">OLORABLE CLAIM, EXHAUSTION OF DOMESTIC REMEDIES AND TIMELINESS OF PETITION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A6974" w:rsidRPr="00240490" w:rsidTr="008F7F06">
        <w:trPr>
          <w:cantSplit/>
        </w:trPr>
        <w:tc>
          <w:tcPr>
            <w:tcW w:w="4680" w:type="dxa"/>
            <w:tcBorders>
              <w:top w:val="single" w:sz="4" w:space="0" w:color="auto"/>
              <w:bottom w:val="single" w:sz="6" w:space="0" w:color="auto"/>
            </w:tcBorders>
            <w:shd w:val="clear" w:color="auto" w:fill="67AE3C"/>
            <w:vAlign w:val="center"/>
          </w:tcPr>
          <w:p w:rsidR="000A6974" w:rsidRPr="00240490" w:rsidRDefault="000A6974" w:rsidP="008F7F06">
            <w:pPr>
              <w:jc w:val="center"/>
              <w:rPr>
                <w:rFonts w:ascii="Cambria" w:hAnsi="Cambria"/>
                <w:b/>
                <w:bCs/>
                <w:color w:val="FFFFFF" w:themeColor="background1"/>
                <w:sz w:val="20"/>
                <w:szCs w:val="20"/>
              </w:rPr>
            </w:pPr>
            <w:r>
              <w:rPr>
                <w:rFonts w:asciiTheme="majorHAnsi" w:hAnsiTheme="majorHAnsi"/>
                <w:b/>
                <w:bCs/>
                <w:color w:val="FFFFFF" w:themeColor="background1"/>
                <w:sz w:val="20"/>
                <w:szCs w:val="20"/>
              </w:rPr>
              <w:t>Duplication of proceedings and international res judicata</w:t>
            </w:r>
            <w:r w:rsidRPr="00240490">
              <w:rPr>
                <w:rFonts w:asciiTheme="majorHAnsi" w:hAnsiTheme="majorHAnsi"/>
                <w:b/>
                <w:bCs/>
                <w:color w:val="FFFFFF" w:themeColor="background1"/>
                <w:sz w:val="20"/>
                <w:szCs w:val="20"/>
              </w:rPr>
              <w:t>:</w:t>
            </w:r>
          </w:p>
        </w:tc>
        <w:tc>
          <w:tcPr>
            <w:tcW w:w="4680" w:type="dxa"/>
            <w:vAlign w:val="center"/>
          </w:tcPr>
          <w:p w:rsidR="000A6974" w:rsidRPr="00240490" w:rsidRDefault="000A6974" w:rsidP="008F7F06">
            <w:pPr>
              <w:jc w:val="both"/>
              <w:rPr>
                <w:rFonts w:ascii="Cambria" w:hAnsi="Cambria"/>
                <w:bCs/>
                <w:sz w:val="20"/>
                <w:szCs w:val="20"/>
              </w:rPr>
            </w:pPr>
            <w:r w:rsidRPr="00240490">
              <w:rPr>
                <w:rFonts w:ascii="Cambria" w:hAnsi="Cambria"/>
                <w:bCs/>
                <w:sz w:val="20"/>
                <w:szCs w:val="20"/>
              </w:rPr>
              <w:t>No</w:t>
            </w:r>
          </w:p>
        </w:tc>
      </w:tr>
      <w:tr w:rsidR="000A6974" w:rsidRPr="00F339A2" w:rsidTr="008F7F06">
        <w:trPr>
          <w:cantSplit/>
        </w:trPr>
        <w:tc>
          <w:tcPr>
            <w:tcW w:w="4680" w:type="dxa"/>
            <w:tcBorders>
              <w:top w:val="single" w:sz="6" w:space="0" w:color="auto"/>
              <w:bottom w:val="single" w:sz="6" w:space="0" w:color="auto"/>
            </w:tcBorders>
            <w:shd w:val="clear" w:color="auto" w:fill="67AE3C"/>
            <w:vAlign w:val="center"/>
          </w:tcPr>
          <w:p w:rsidR="000A6974" w:rsidRPr="00240490" w:rsidRDefault="000A6974" w:rsidP="008F7F06">
            <w:pPr>
              <w:jc w:val="center"/>
              <w:rPr>
                <w:rFonts w:ascii="Cambria" w:hAnsi="Cambria"/>
                <w:b/>
                <w:bCs/>
                <w:i/>
                <w:color w:val="FFFFFF" w:themeColor="background1"/>
                <w:sz w:val="20"/>
                <w:szCs w:val="20"/>
              </w:rPr>
            </w:pPr>
            <w:r>
              <w:rPr>
                <w:rFonts w:ascii="Cambria" w:hAnsi="Cambria"/>
                <w:b/>
                <w:bCs/>
                <w:color w:val="FFFFFF" w:themeColor="background1"/>
                <w:sz w:val="20"/>
                <w:szCs w:val="20"/>
              </w:rPr>
              <w:t>Rights declared admissible</w:t>
            </w:r>
            <w:r w:rsidRPr="00240490">
              <w:rPr>
                <w:rFonts w:ascii="Cambria" w:hAnsi="Cambria"/>
                <w:b/>
                <w:bCs/>
                <w:i/>
                <w:color w:val="FFFFFF" w:themeColor="background1"/>
                <w:sz w:val="20"/>
                <w:szCs w:val="20"/>
              </w:rPr>
              <w:t>:</w:t>
            </w:r>
          </w:p>
        </w:tc>
        <w:tc>
          <w:tcPr>
            <w:tcW w:w="4680" w:type="dxa"/>
            <w:vAlign w:val="center"/>
          </w:tcPr>
          <w:p w:rsidR="000A6974" w:rsidRPr="00240490" w:rsidRDefault="000A6974" w:rsidP="008F7F06">
            <w:pPr>
              <w:jc w:val="both"/>
              <w:rPr>
                <w:rFonts w:ascii="Cambria" w:hAnsi="Cambria"/>
                <w:bCs/>
                <w:sz w:val="20"/>
                <w:szCs w:val="20"/>
                <w:highlight w:val="yellow"/>
              </w:rPr>
            </w:pPr>
            <w:r>
              <w:rPr>
                <w:rFonts w:ascii="Cambria" w:hAnsi="Cambria"/>
                <w:bCs/>
                <w:sz w:val="20"/>
                <w:szCs w:val="20"/>
              </w:rPr>
              <w:t>Article</w:t>
            </w:r>
            <w:r w:rsidRPr="00240490">
              <w:rPr>
                <w:rFonts w:ascii="Cambria" w:hAnsi="Cambria"/>
                <w:bCs/>
                <w:sz w:val="20"/>
                <w:szCs w:val="20"/>
              </w:rPr>
              <w:t>s 5 (</w:t>
            </w:r>
            <w:r>
              <w:rPr>
                <w:rFonts w:ascii="Cambria" w:hAnsi="Cambria"/>
                <w:bCs/>
                <w:sz w:val="20"/>
                <w:szCs w:val="20"/>
              </w:rPr>
              <w:t>Humane Treatment</w:t>
            </w:r>
            <w:r w:rsidRPr="00240490">
              <w:rPr>
                <w:rFonts w:ascii="Cambria" w:hAnsi="Cambria"/>
                <w:bCs/>
                <w:sz w:val="20"/>
                <w:szCs w:val="20"/>
              </w:rPr>
              <w:t>), 8 (</w:t>
            </w:r>
            <w:r>
              <w:rPr>
                <w:rFonts w:ascii="Cambria" w:hAnsi="Cambria"/>
                <w:bCs/>
                <w:sz w:val="20"/>
                <w:szCs w:val="20"/>
              </w:rPr>
              <w:t>Right to fair trial</w:t>
            </w:r>
            <w:r w:rsidRPr="00240490">
              <w:rPr>
                <w:rFonts w:ascii="Cambria" w:hAnsi="Cambria"/>
                <w:bCs/>
                <w:sz w:val="20"/>
                <w:szCs w:val="20"/>
              </w:rPr>
              <w:t>), 24 (</w:t>
            </w:r>
            <w:r>
              <w:rPr>
                <w:rFonts w:ascii="Cambria" w:hAnsi="Cambria"/>
                <w:bCs/>
                <w:sz w:val="20"/>
                <w:szCs w:val="20"/>
              </w:rPr>
              <w:t>Right to equal protection) and</w:t>
            </w:r>
            <w:r w:rsidRPr="00240490">
              <w:rPr>
                <w:rFonts w:ascii="Cambria" w:hAnsi="Cambria"/>
                <w:bCs/>
                <w:sz w:val="20"/>
                <w:szCs w:val="20"/>
              </w:rPr>
              <w:t xml:space="preserve"> 25 (</w:t>
            </w:r>
            <w:r>
              <w:rPr>
                <w:rFonts w:ascii="Cambria" w:hAnsi="Cambria"/>
                <w:bCs/>
                <w:sz w:val="20"/>
                <w:szCs w:val="20"/>
              </w:rPr>
              <w:t>Judicial protection</w:t>
            </w:r>
            <w:r w:rsidRPr="00240490">
              <w:rPr>
                <w:rFonts w:ascii="Cambria" w:hAnsi="Cambria"/>
                <w:bCs/>
                <w:sz w:val="20"/>
                <w:szCs w:val="20"/>
              </w:rPr>
              <w:t xml:space="preserve">) </w:t>
            </w:r>
            <w:r>
              <w:rPr>
                <w:rFonts w:ascii="Cambria" w:hAnsi="Cambria"/>
                <w:bCs/>
                <w:sz w:val="20"/>
                <w:szCs w:val="20"/>
              </w:rPr>
              <w:t>of the American Convention in connection with Articles 1.1 (Obligation to respect rights) and 2 (Domestic legal effects)</w:t>
            </w:r>
            <w:r w:rsidRPr="00240490">
              <w:rPr>
                <w:rFonts w:ascii="Cambria" w:hAnsi="Cambria"/>
                <w:bCs/>
                <w:sz w:val="20"/>
                <w:szCs w:val="20"/>
              </w:rPr>
              <w:t xml:space="preserve"> </w:t>
            </w:r>
          </w:p>
        </w:tc>
      </w:tr>
      <w:tr w:rsidR="000A6974" w:rsidRPr="00F339A2" w:rsidTr="008F7F06">
        <w:trPr>
          <w:cantSplit/>
        </w:trPr>
        <w:tc>
          <w:tcPr>
            <w:tcW w:w="4680" w:type="dxa"/>
            <w:tcBorders>
              <w:top w:val="single" w:sz="6" w:space="0" w:color="auto"/>
              <w:bottom w:val="single" w:sz="6" w:space="0" w:color="auto"/>
            </w:tcBorders>
            <w:shd w:val="clear" w:color="auto" w:fill="67AE3C"/>
            <w:vAlign w:val="center"/>
          </w:tcPr>
          <w:p w:rsidR="000A6974" w:rsidRPr="00240490" w:rsidRDefault="000A6974" w:rsidP="008F7F06">
            <w:pPr>
              <w:jc w:val="center"/>
              <w:rPr>
                <w:rFonts w:ascii="Cambria" w:hAnsi="Cambria"/>
                <w:b/>
                <w:bCs/>
                <w:color w:val="FFFFFF" w:themeColor="background1"/>
                <w:sz w:val="20"/>
                <w:szCs w:val="20"/>
              </w:rPr>
            </w:pPr>
            <w:r>
              <w:rPr>
                <w:rFonts w:ascii="Cambria" w:hAnsi="Cambria"/>
                <w:b/>
                <w:bCs/>
                <w:color w:val="FFFFFF" w:themeColor="background1"/>
                <w:sz w:val="20"/>
                <w:szCs w:val="20"/>
              </w:rPr>
              <w:t>Exhaustion of domestic remedies</w:t>
            </w:r>
            <w:r w:rsidRPr="00240490">
              <w:rPr>
                <w:rFonts w:ascii="Cambria" w:hAnsi="Cambria"/>
                <w:b/>
                <w:bCs/>
                <w:color w:val="FFFFFF" w:themeColor="background1"/>
                <w:sz w:val="20"/>
                <w:szCs w:val="20"/>
              </w:rPr>
              <w:t>:</w:t>
            </w:r>
          </w:p>
        </w:tc>
        <w:tc>
          <w:tcPr>
            <w:tcW w:w="4680" w:type="dxa"/>
            <w:vAlign w:val="center"/>
          </w:tcPr>
          <w:p w:rsidR="000A6974" w:rsidRPr="00240490" w:rsidRDefault="000A6974" w:rsidP="008F7F06">
            <w:pPr>
              <w:rPr>
                <w:rFonts w:ascii="Cambria" w:hAnsi="Cambria"/>
                <w:bCs/>
                <w:sz w:val="20"/>
                <w:szCs w:val="20"/>
              </w:rPr>
            </w:pPr>
            <w:r>
              <w:rPr>
                <w:rFonts w:ascii="Cambria" w:hAnsi="Cambria"/>
                <w:bCs/>
                <w:sz w:val="20"/>
                <w:szCs w:val="20"/>
              </w:rPr>
              <w:t xml:space="preserve">Yes, in accordance with section VI </w:t>
            </w:r>
          </w:p>
        </w:tc>
      </w:tr>
      <w:tr w:rsidR="000A6974" w:rsidRPr="00F339A2" w:rsidTr="008F7F06">
        <w:trPr>
          <w:cantSplit/>
        </w:trPr>
        <w:tc>
          <w:tcPr>
            <w:tcW w:w="4680" w:type="dxa"/>
            <w:tcBorders>
              <w:top w:val="single" w:sz="6" w:space="0" w:color="auto"/>
              <w:bottom w:val="single" w:sz="6" w:space="0" w:color="auto"/>
            </w:tcBorders>
            <w:shd w:val="clear" w:color="auto" w:fill="67AE3C"/>
            <w:vAlign w:val="center"/>
          </w:tcPr>
          <w:p w:rsidR="000A6974" w:rsidRPr="00240490" w:rsidRDefault="000A6974" w:rsidP="008F7F06">
            <w:pPr>
              <w:jc w:val="center"/>
              <w:rPr>
                <w:rFonts w:ascii="Cambria" w:hAnsi="Cambria"/>
                <w:b/>
                <w:bCs/>
                <w:color w:val="FFFFFF" w:themeColor="background1"/>
                <w:sz w:val="20"/>
                <w:szCs w:val="20"/>
              </w:rPr>
            </w:pPr>
            <w:r>
              <w:rPr>
                <w:rFonts w:ascii="Cambria" w:hAnsi="Cambria"/>
                <w:b/>
                <w:bCs/>
                <w:color w:val="FFFFFF" w:themeColor="background1"/>
                <w:sz w:val="20"/>
                <w:szCs w:val="20"/>
              </w:rPr>
              <w:t>Timeliness of the petition</w:t>
            </w:r>
            <w:r w:rsidRPr="00240490">
              <w:rPr>
                <w:rFonts w:ascii="Cambria" w:hAnsi="Cambria"/>
                <w:b/>
                <w:bCs/>
                <w:color w:val="FFFFFF" w:themeColor="background1"/>
                <w:sz w:val="20"/>
                <w:szCs w:val="20"/>
              </w:rPr>
              <w:t>:</w:t>
            </w:r>
          </w:p>
        </w:tc>
        <w:tc>
          <w:tcPr>
            <w:tcW w:w="4680" w:type="dxa"/>
            <w:vAlign w:val="center"/>
          </w:tcPr>
          <w:p w:rsidR="000A6974" w:rsidRPr="00240490" w:rsidRDefault="000A6974" w:rsidP="008F7F06">
            <w:pPr>
              <w:rPr>
                <w:rFonts w:ascii="Cambria" w:hAnsi="Cambria"/>
                <w:bCs/>
                <w:sz w:val="20"/>
                <w:szCs w:val="20"/>
              </w:rPr>
            </w:pPr>
            <w:r>
              <w:rPr>
                <w:rFonts w:ascii="Cambria" w:hAnsi="Cambria"/>
                <w:bCs/>
                <w:sz w:val="20"/>
                <w:szCs w:val="20"/>
              </w:rPr>
              <w:t xml:space="preserve">Yes, in accordance with section VI </w:t>
            </w:r>
          </w:p>
        </w:tc>
      </w:tr>
    </w:tbl>
    <w:p w:rsidR="000A6974" w:rsidRPr="00240490" w:rsidRDefault="000A6974" w:rsidP="000A6974">
      <w:pPr>
        <w:spacing w:before="240" w:after="240"/>
        <w:ind w:firstLine="720"/>
        <w:jc w:val="both"/>
        <w:rPr>
          <w:rFonts w:asciiTheme="majorHAnsi" w:hAnsiTheme="majorHAnsi"/>
          <w:b/>
          <w:sz w:val="20"/>
          <w:szCs w:val="20"/>
        </w:rPr>
      </w:pPr>
      <w:r w:rsidRPr="00240490">
        <w:rPr>
          <w:rFonts w:asciiTheme="majorHAnsi" w:hAnsiTheme="majorHAnsi"/>
          <w:b/>
          <w:sz w:val="20"/>
          <w:szCs w:val="20"/>
        </w:rPr>
        <w:t xml:space="preserve">V. </w:t>
      </w:r>
      <w:r w:rsidRPr="00240490">
        <w:rPr>
          <w:rFonts w:asciiTheme="majorHAnsi" w:hAnsiTheme="majorHAnsi"/>
          <w:b/>
          <w:sz w:val="20"/>
          <w:szCs w:val="20"/>
        </w:rPr>
        <w:tab/>
      </w:r>
      <w:r>
        <w:rPr>
          <w:rFonts w:asciiTheme="majorHAnsi" w:hAnsiTheme="majorHAnsi"/>
          <w:b/>
          <w:sz w:val="20"/>
          <w:szCs w:val="20"/>
        </w:rPr>
        <w:t xml:space="preserve">ALLEGED FACTS </w:t>
      </w:r>
    </w:p>
    <w:p w:rsidR="000A6974" w:rsidRPr="00240490" w:rsidRDefault="000A6974" w:rsidP="000A6974">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Theme="majorHAnsi" w:hAnsiTheme="majorHAnsi"/>
          <w:sz w:val="20"/>
          <w:szCs w:val="20"/>
        </w:rPr>
      </w:pPr>
      <w:r>
        <w:rPr>
          <w:rFonts w:asciiTheme="majorHAnsi" w:hAnsiTheme="majorHAnsi"/>
          <w:sz w:val="20"/>
          <w:szCs w:val="20"/>
        </w:rPr>
        <w:t xml:space="preserve">Mr. </w:t>
      </w:r>
      <w:r w:rsidRPr="00240490">
        <w:rPr>
          <w:rFonts w:asciiTheme="majorHAnsi" w:hAnsiTheme="majorHAnsi"/>
          <w:sz w:val="20"/>
          <w:szCs w:val="20"/>
        </w:rPr>
        <w:t>William Mariano Paría Tapia (</w:t>
      </w:r>
      <w:r>
        <w:rPr>
          <w:rFonts w:asciiTheme="majorHAnsi" w:hAnsiTheme="majorHAnsi"/>
          <w:sz w:val="20"/>
          <w:szCs w:val="20"/>
        </w:rPr>
        <w:t xml:space="preserve">hereinafter, “the alleged victim,” “Mr. Paría” or </w:t>
      </w:r>
      <w:r w:rsidR="008833C9">
        <w:rPr>
          <w:rFonts w:asciiTheme="majorHAnsi" w:hAnsiTheme="majorHAnsi"/>
          <w:sz w:val="20"/>
          <w:szCs w:val="20"/>
        </w:rPr>
        <w:t>“the petitioner”) claims to have been wrongfully convic</w:t>
      </w:r>
      <w:r w:rsidR="00802609">
        <w:rPr>
          <w:rFonts w:asciiTheme="majorHAnsi" w:hAnsiTheme="majorHAnsi"/>
          <w:sz w:val="20"/>
          <w:szCs w:val="20"/>
        </w:rPr>
        <w:t xml:space="preserve">ted by the </w:t>
      </w:r>
      <w:r w:rsidR="00003543">
        <w:rPr>
          <w:rFonts w:asciiTheme="majorHAnsi" w:hAnsiTheme="majorHAnsi"/>
          <w:sz w:val="20"/>
          <w:szCs w:val="20"/>
        </w:rPr>
        <w:t xml:space="preserve">State of Peru since </w:t>
      </w:r>
      <w:r w:rsidR="006421A3">
        <w:rPr>
          <w:rFonts w:asciiTheme="majorHAnsi" w:hAnsiTheme="majorHAnsi"/>
          <w:sz w:val="20"/>
          <w:szCs w:val="20"/>
        </w:rPr>
        <w:t>judicial authorities failed to carry out</w:t>
      </w:r>
      <w:r w:rsidR="00895CDC">
        <w:rPr>
          <w:rFonts w:asciiTheme="majorHAnsi" w:hAnsiTheme="majorHAnsi"/>
          <w:sz w:val="20"/>
          <w:szCs w:val="20"/>
        </w:rPr>
        <w:t xml:space="preserve"> an </w:t>
      </w:r>
      <w:r>
        <w:rPr>
          <w:rFonts w:asciiTheme="majorHAnsi" w:hAnsiTheme="majorHAnsi"/>
          <w:sz w:val="20"/>
          <w:szCs w:val="20"/>
        </w:rPr>
        <w:t>ad</w:t>
      </w:r>
      <w:r w:rsidR="0026423B">
        <w:rPr>
          <w:rFonts w:asciiTheme="majorHAnsi" w:hAnsiTheme="majorHAnsi"/>
          <w:sz w:val="20"/>
          <w:szCs w:val="20"/>
        </w:rPr>
        <w:t xml:space="preserve">equate and </w:t>
      </w:r>
      <w:r w:rsidR="00895CDC">
        <w:rPr>
          <w:rFonts w:asciiTheme="majorHAnsi" w:hAnsiTheme="majorHAnsi"/>
          <w:sz w:val="20"/>
          <w:szCs w:val="20"/>
        </w:rPr>
        <w:t>suitable review of his</w:t>
      </w:r>
      <w:r>
        <w:rPr>
          <w:rFonts w:asciiTheme="majorHAnsi" w:hAnsiTheme="majorHAnsi"/>
          <w:sz w:val="20"/>
          <w:szCs w:val="20"/>
        </w:rPr>
        <w:t xml:space="preserve"> situation </w:t>
      </w:r>
      <w:r w:rsidR="00895CDC">
        <w:rPr>
          <w:rFonts w:asciiTheme="majorHAnsi" w:hAnsiTheme="majorHAnsi"/>
          <w:sz w:val="20"/>
          <w:szCs w:val="20"/>
        </w:rPr>
        <w:t xml:space="preserve">and of </w:t>
      </w:r>
      <w:r w:rsidR="005419F8">
        <w:rPr>
          <w:rFonts w:asciiTheme="majorHAnsi" w:hAnsiTheme="majorHAnsi"/>
          <w:sz w:val="20"/>
          <w:szCs w:val="20"/>
        </w:rPr>
        <w:t xml:space="preserve">the evidence during criminal proceedings carried out against the </w:t>
      </w:r>
      <w:r w:rsidR="0026423B">
        <w:rPr>
          <w:rFonts w:asciiTheme="majorHAnsi" w:hAnsiTheme="majorHAnsi"/>
          <w:sz w:val="20"/>
          <w:szCs w:val="20"/>
        </w:rPr>
        <w:t>all</w:t>
      </w:r>
      <w:r w:rsidR="005419F8">
        <w:rPr>
          <w:rFonts w:asciiTheme="majorHAnsi" w:hAnsiTheme="majorHAnsi"/>
          <w:sz w:val="20"/>
          <w:szCs w:val="20"/>
        </w:rPr>
        <w:t>eged victim</w:t>
      </w:r>
      <w:r w:rsidR="00596E11">
        <w:rPr>
          <w:rFonts w:asciiTheme="majorHAnsi" w:hAnsiTheme="majorHAnsi"/>
          <w:sz w:val="20"/>
          <w:szCs w:val="20"/>
        </w:rPr>
        <w:t xml:space="preserve">, thus </w:t>
      </w:r>
      <w:r w:rsidR="004B384E">
        <w:rPr>
          <w:rFonts w:asciiTheme="majorHAnsi" w:hAnsiTheme="majorHAnsi"/>
          <w:sz w:val="20"/>
          <w:szCs w:val="20"/>
        </w:rPr>
        <w:t>rendering</w:t>
      </w:r>
      <w:r w:rsidR="00596E11">
        <w:rPr>
          <w:rFonts w:asciiTheme="majorHAnsi" w:hAnsiTheme="majorHAnsi"/>
          <w:sz w:val="20"/>
          <w:szCs w:val="20"/>
        </w:rPr>
        <w:t xml:space="preserve"> them responsible for the il</w:t>
      </w:r>
      <w:r w:rsidR="00CA5563">
        <w:rPr>
          <w:rFonts w:asciiTheme="majorHAnsi" w:hAnsiTheme="majorHAnsi"/>
          <w:sz w:val="20"/>
          <w:szCs w:val="20"/>
        </w:rPr>
        <w:t>legal deprivation of his liberty</w:t>
      </w:r>
      <w:r w:rsidR="00596E11">
        <w:rPr>
          <w:rFonts w:asciiTheme="majorHAnsi" w:hAnsiTheme="majorHAnsi"/>
          <w:sz w:val="20"/>
          <w:szCs w:val="20"/>
        </w:rPr>
        <w:t xml:space="preserve">. </w:t>
      </w:r>
      <w:r w:rsidR="004B384E">
        <w:rPr>
          <w:rFonts w:asciiTheme="majorHAnsi" w:hAnsiTheme="majorHAnsi"/>
          <w:sz w:val="20"/>
          <w:szCs w:val="20"/>
        </w:rPr>
        <w:t xml:space="preserve">Moreover, he alleges that while he was incarcerated, </w:t>
      </w:r>
      <w:r w:rsidR="00880D73">
        <w:rPr>
          <w:rFonts w:asciiTheme="majorHAnsi" w:hAnsiTheme="majorHAnsi"/>
          <w:sz w:val="20"/>
          <w:szCs w:val="20"/>
        </w:rPr>
        <w:t xml:space="preserve">he was beaten and tortured by prison staff and that despite denouncing these facts, </w:t>
      </w:r>
      <w:r w:rsidR="007A4C10">
        <w:rPr>
          <w:rFonts w:asciiTheme="majorHAnsi" w:hAnsiTheme="majorHAnsi"/>
          <w:sz w:val="20"/>
          <w:szCs w:val="20"/>
        </w:rPr>
        <w:t xml:space="preserve">a situation of impunity persists until </w:t>
      </w:r>
      <w:r w:rsidR="008F3A7D">
        <w:rPr>
          <w:rFonts w:asciiTheme="majorHAnsi" w:hAnsiTheme="majorHAnsi"/>
          <w:sz w:val="20"/>
          <w:szCs w:val="20"/>
        </w:rPr>
        <w:t xml:space="preserve">today, since </w:t>
      </w:r>
      <w:r w:rsidR="00126B97">
        <w:rPr>
          <w:rFonts w:asciiTheme="majorHAnsi" w:hAnsiTheme="majorHAnsi"/>
          <w:sz w:val="20"/>
          <w:szCs w:val="20"/>
        </w:rPr>
        <w:t>no one was charged or sanctioned for</w:t>
      </w:r>
      <w:r w:rsidR="008F3A7D">
        <w:rPr>
          <w:rFonts w:asciiTheme="majorHAnsi" w:hAnsiTheme="majorHAnsi"/>
          <w:sz w:val="20"/>
          <w:szCs w:val="20"/>
        </w:rPr>
        <w:t xml:space="preserve"> these acts.</w:t>
      </w:r>
    </w:p>
    <w:p w:rsidR="000A6974" w:rsidRPr="00240490" w:rsidRDefault="000A6974" w:rsidP="000A6974">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Theme="majorHAnsi" w:hAnsiTheme="majorHAnsi"/>
          <w:sz w:val="20"/>
          <w:szCs w:val="20"/>
        </w:rPr>
      </w:pPr>
      <w:r>
        <w:rPr>
          <w:rFonts w:asciiTheme="majorHAnsi" w:hAnsiTheme="majorHAnsi"/>
          <w:sz w:val="20"/>
          <w:szCs w:val="20"/>
        </w:rPr>
        <w:t xml:space="preserve">According to the petitioner’s allegations, on December 12, 2005, the </w:t>
      </w:r>
      <w:r w:rsidR="00400009">
        <w:rPr>
          <w:rFonts w:asciiTheme="majorHAnsi" w:hAnsiTheme="majorHAnsi"/>
          <w:sz w:val="20"/>
          <w:szCs w:val="20"/>
        </w:rPr>
        <w:t>Mixed Chamber</w:t>
      </w:r>
      <w:r>
        <w:rPr>
          <w:rFonts w:asciiTheme="majorHAnsi" w:hAnsiTheme="majorHAnsi"/>
          <w:sz w:val="20"/>
          <w:szCs w:val="20"/>
        </w:rPr>
        <w:t xml:space="preserve"> of Chachapoyas of the Superior Court of Justice of Amazonas sentenced him to </w:t>
      </w:r>
      <w:r w:rsidR="00400009">
        <w:rPr>
          <w:rFonts w:asciiTheme="majorHAnsi" w:hAnsiTheme="majorHAnsi"/>
          <w:sz w:val="20"/>
          <w:szCs w:val="20"/>
        </w:rPr>
        <w:t>imprisonment</w:t>
      </w:r>
      <w:r>
        <w:rPr>
          <w:rFonts w:asciiTheme="majorHAnsi" w:hAnsiTheme="majorHAnsi"/>
          <w:sz w:val="20"/>
          <w:szCs w:val="20"/>
        </w:rPr>
        <w:t xml:space="preserve"> for a crime against sexual liberty, specifically the rape of a girl under the age of 14-years-old. </w:t>
      </w:r>
      <w:r w:rsidR="00400009">
        <w:rPr>
          <w:rFonts w:asciiTheme="majorHAnsi" w:hAnsiTheme="majorHAnsi"/>
          <w:sz w:val="20"/>
          <w:szCs w:val="20"/>
        </w:rPr>
        <w:t xml:space="preserve"> </w:t>
      </w:r>
      <w:r>
        <w:rPr>
          <w:rFonts w:asciiTheme="majorHAnsi" w:hAnsiTheme="majorHAnsi"/>
          <w:sz w:val="20"/>
          <w:szCs w:val="20"/>
        </w:rPr>
        <w:t xml:space="preserve">He contends that the </w:t>
      </w:r>
      <w:r w:rsidR="00B420BB">
        <w:rPr>
          <w:rFonts w:asciiTheme="majorHAnsi" w:hAnsiTheme="majorHAnsi"/>
          <w:sz w:val="20"/>
          <w:szCs w:val="20"/>
        </w:rPr>
        <w:t>court</w:t>
      </w:r>
      <w:r w:rsidR="00185468">
        <w:rPr>
          <w:rFonts w:asciiTheme="majorHAnsi" w:hAnsiTheme="majorHAnsi"/>
          <w:sz w:val="20"/>
          <w:szCs w:val="20"/>
        </w:rPr>
        <w:t xml:space="preserve"> did not take into account</w:t>
      </w:r>
      <w:r>
        <w:rPr>
          <w:rFonts w:asciiTheme="majorHAnsi" w:hAnsiTheme="majorHAnsi"/>
          <w:sz w:val="20"/>
          <w:szCs w:val="20"/>
        </w:rPr>
        <w:t xml:space="preserve"> the fact that it was impossible for him to know the age of the minor girl at the time of the sexual and romantic relationship with her, given her physical appearance and claims she herself had made as to her age.</w:t>
      </w:r>
      <w:r w:rsidR="00B8089E">
        <w:rPr>
          <w:rFonts w:asciiTheme="majorHAnsi" w:hAnsiTheme="majorHAnsi"/>
          <w:sz w:val="20"/>
          <w:szCs w:val="20"/>
        </w:rPr>
        <w:t xml:space="preserve">  He argues that the court </w:t>
      </w:r>
      <w:r>
        <w:rPr>
          <w:rFonts w:asciiTheme="majorHAnsi" w:hAnsiTheme="majorHAnsi"/>
          <w:sz w:val="20"/>
          <w:szCs w:val="20"/>
        </w:rPr>
        <w:t xml:space="preserve">ignored consistent legal precedents on acquittal </w:t>
      </w:r>
      <w:r w:rsidR="000664C2">
        <w:rPr>
          <w:rFonts w:asciiTheme="majorHAnsi" w:hAnsiTheme="majorHAnsi"/>
          <w:sz w:val="20"/>
          <w:szCs w:val="20"/>
        </w:rPr>
        <w:t xml:space="preserve">of charges of sexual </w:t>
      </w:r>
      <w:r w:rsidR="004011E2">
        <w:rPr>
          <w:rFonts w:asciiTheme="majorHAnsi" w:hAnsiTheme="majorHAnsi"/>
          <w:sz w:val="20"/>
          <w:szCs w:val="20"/>
        </w:rPr>
        <w:t>offenses under such circumstances</w:t>
      </w:r>
      <w:r>
        <w:rPr>
          <w:rFonts w:asciiTheme="majorHAnsi" w:hAnsiTheme="majorHAnsi"/>
          <w:sz w:val="20"/>
          <w:szCs w:val="20"/>
        </w:rPr>
        <w:t xml:space="preserve">. </w:t>
      </w:r>
    </w:p>
    <w:p w:rsidR="000A6974" w:rsidRPr="00240490" w:rsidRDefault="000A6974" w:rsidP="000A6974">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Theme="majorHAnsi" w:hAnsiTheme="majorHAnsi"/>
          <w:sz w:val="20"/>
          <w:szCs w:val="20"/>
        </w:rPr>
      </w:pPr>
      <w:r w:rsidRPr="00240490">
        <w:rPr>
          <w:rFonts w:asciiTheme="majorHAnsi" w:hAnsiTheme="majorHAnsi"/>
          <w:sz w:val="20"/>
          <w:szCs w:val="20"/>
        </w:rPr>
        <w:t xml:space="preserve"> </w:t>
      </w:r>
      <w:r>
        <w:rPr>
          <w:rFonts w:asciiTheme="majorHAnsi" w:hAnsiTheme="majorHAnsi"/>
          <w:sz w:val="20"/>
          <w:szCs w:val="20"/>
        </w:rPr>
        <w:t xml:space="preserve">He claims that the proceeding was based on an improper assessment of the evidence inasmuch as the statements of the under-aged girl, the manifestation of </w:t>
      </w:r>
      <w:r w:rsidR="00475780">
        <w:rPr>
          <w:rFonts w:asciiTheme="majorHAnsi" w:hAnsiTheme="majorHAnsi"/>
          <w:sz w:val="20"/>
          <w:szCs w:val="20"/>
        </w:rPr>
        <w:t xml:space="preserve">her </w:t>
      </w:r>
      <w:r>
        <w:rPr>
          <w:rFonts w:asciiTheme="majorHAnsi" w:hAnsiTheme="majorHAnsi"/>
          <w:sz w:val="20"/>
          <w:szCs w:val="20"/>
        </w:rPr>
        <w:t xml:space="preserve">consent, their domestic partnership and the fact that they had procreated a daughter together were not taken into account and, consequently, there would be a due process violation. </w:t>
      </w:r>
      <w:r w:rsidR="000664C2">
        <w:rPr>
          <w:rFonts w:asciiTheme="majorHAnsi" w:hAnsiTheme="majorHAnsi"/>
          <w:sz w:val="20"/>
          <w:szCs w:val="20"/>
        </w:rPr>
        <w:t xml:space="preserve"> </w:t>
      </w:r>
      <w:r>
        <w:rPr>
          <w:rFonts w:asciiTheme="majorHAnsi" w:hAnsiTheme="majorHAnsi"/>
          <w:sz w:val="20"/>
          <w:szCs w:val="20"/>
        </w:rPr>
        <w:t xml:space="preserve">As such, he asserts that there was also unwarranted delay in the administration of justice, on the grounds that the remedies pursued by him to challenge the conviction were not settled within the statutory time period, but rather with delays of more than one year and, therefore, his right of defense was infringed because of the careless way the judicial officers handled the case. </w:t>
      </w:r>
    </w:p>
    <w:p w:rsidR="000A6974" w:rsidRPr="00240490" w:rsidRDefault="000A6974" w:rsidP="000A6974">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Theme="majorHAnsi" w:hAnsiTheme="majorHAnsi"/>
          <w:sz w:val="20"/>
          <w:szCs w:val="20"/>
        </w:rPr>
      </w:pPr>
      <w:r>
        <w:rPr>
          <w:rFonts w:asciiTheme="majorHAnsi" w:hAnsiTheme="majorHAnsi"/>
          <w:sz w:val="20"/>
          <w:szCs w:val="20"/>
        </w:rPr>
        <w:t xml:space="preserve">He contends that he and the Office of the Public Prosecutor filed a motion to vacate the judgment of conviction of December 12, 2005 with the Supreme Court of Justice. </w:t>
      </w:r>
      <w:r w:rsidR="000664C2">
        <w:rPr>
          <w:rFonts w:asciiTheme="majorHAnsi" w:hAnsiTheme="majorHAnsi"/>
          <w:sz w:val="20"/>
          <w:szCs w:val="20"/>
        </w:rPr>
        <w:t xml:space="preserve"> </w:t>
      </w:r>
      <w:r>
        <w:rPr>
          <w:rFonts w:asciiTheme="majorHAnsi" w:hAnsiTheme="majorHAnsi"/>
          <w:sz w:val="20"/>
          <w:szCs w:val="20"/>
        </w:rPr>
        <w:t>He claims that on May</w:t>
      </w:r>
      <w:r w:rsidR="000664C2">
        <w:rPr>
          <w:rFonts w:asciiTheme="majorHAnsi" w:hAnsiTheme="majorHAnsi"/>
          <w:sz w:val="20"/>
          <w:szCs w:val="20"/>
        </w:rPr>
        <w:t> </w:t>
      </w:r>
      <w:r>
        <w:rPr>
          <w:rFonts w:asciiTheme="majorHAnsi" w:hAnsiTheme="majorHAnsi"/>
          <w:sz w:val="20"/>
          <w:szCs w:val="20"/>
        </w:rPr>
        <w:t>4,</w:t>
      </w:r>
      <w:r w:rsidR="000664C2">
        <w:rPr>
          <w:rFonts w:asciiTheme="majorHAnsi" w:hAnsiTheme="majorHAnsi"/>
          <w:sz w:val="20"/>
          <w:szCs w:val="20"/>
        </w:rPr>
        <w:t> </w:t>
      </w:r>
      <w:r>
        <w:rPr>
          <w:rFonts w:asciiTheme="majorHAnsi" w:hAnsiTheme="majorHAnsi"/>
          <w:sz w:val="20"/>
          <w:szCs w:val="20"/>
        </w:rPr>
        <w:t xml:space="preserve">2006, the Second Transitory Criminal Chamber of the Supreme Court amended the sentence of five years of </w:t>
      </w:r>
      <w:r w:rsidR="000664C2">
        <w:rPr>
          <w:rFonts w:asciiTheme="majorHAnsi" w:hAnsiTheme="majorHAnsi"/>
          <w:sz w:val="20"/>
          <w:szCs w:val="20"/>
        </w:rPr>
        <w:t xml:space="preserve">imprisonment </w:t>
      </w:r>
      <w:r>
        <w:rPr>
          <w:rFonts w:asciiTheme="majorHAnsi" w:hAnsiTheme="majorHAnsi"/>
          <w:sz w:val="20"/>
          <w:szCs w:val="20"/>
        </w:rPr>
        <w:t>increasing it to 9 years.</w:t>
      </w:r>
      <w:r w:rsidR="000664C2">
        <w:rPr>
          <w:rFonts w:asciiTheme="majorHAnsi" w:hAnsiTheme="majorHAnsi"/>
          <w:sz w:val="20"/>
          <w:szCs w:val="20"/>
        </w:rPr>
        <w:t xml:space="preserve"> </w:t>
      </w:r>
      <w:r>
        <w:rPr>
          <w:rFonts w:asciiTheme="majorHAnsi" w:hAnsiTheme="majorHAnsi"/>
          <w:sz w:val="20"/>
          <w:szCs w:val="20"/>
        </w:rPr>
        <w:t xml:space="preserve"> In response to this ruling, the alleged victim filed a motion for review of judgment with the Permanent Criminal Chamber of the Supreme Court of Justice, which was denied on September 7, 2007, on the grounds that the appellant’s claim was meant for the court to reexamine evidence, which had been appropriately subjected to discovery and evaluation in the Judgment of conviction issued by the trial court and the Judgment of denial of appeal issued by the Transitory Criminal Chamber.  He </w:t>
      </w:r>
      <w:r>
        <w:rPr>
          <w:rFonts w:asciiTheme="majorHAnsi" w:hAnsiTheme="majorHAnsi"/>
          <w:sz w:val="20"/>
          <w:szCs w:val="20"/>
        </w:rPr>
        <w:lastRenderedPageBreak/>
        <w:t>contends that this panel of judges was made up of three judges who had previously ruled on his original motion to vacate the judgment</w:t>
      </w:r>
      <w:r w:rsidRPr="00240490">
        <w:rPr>
          <w:rFonts w:ascii="Cambria" w:hAnsi="Cambria"/>
          <w:sz w:val="20"/>
          <w:szCs w:val="20"/>
        </w:rPr>
        <w:t xml:space="preserve">. </w:t>
      </w:r>
    </w:p>
    <w:p w:rsidR="000A6974" w:rsidRPr="00240490" w:rsidRDefault="000A6974" w:rsidP="000A6974">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Theme="majorHAnsi" w:hAnsiTheme="majorHAnsi"/>
          <w:sz w:val="20"/>
          <w:szCs w:val="20"/>
        </w:rPr>
      </w:pPr>
      <w:r>
        <w:rPr>
          <w:rFonts w:ascii="Cambria" w:hAnsi="Cambria"/>
          <w:sz w:val="20"/>
          <w:szCs w:val="20"/>
        </w:rPr>
        <w:t xml:space="preserve">Additionally, on March 30, 2007, Mr. Paría filed a petition for </w:t>
      </w:r>
      <w:r w:rsidRPr="00CE03D5">
        <w:rPr>
          <w:rFonts w:ascii="Cambria" w:hAnsi="Cambria"/>
          <w:i/>
          <w:sz w:val="20"/>
          <w:szCs w:val="20"/>
        </w:rPr>
        <w:t>habeas corpus</w:t>
      </w:r>
      <w:r>
        <w:rPr>
          <w:rFonts w:ascii="Cambria" w:hAnsi="Cambria"/>
          <w:sz w:val="20"/>
          <w:szCs w:val="20"/>
        </w:rPr>
        <w:t xml:space="preserve"> with the Constitutional Court, in order to question the reasoning of the trial court judgment and the evidence introduced during the case proceedings.</w:t>
      </w:r>
      <w:r w:rsidR="00C87E1D">
        <w:rPr>
          <w:rFonts w:ascii="Cambria" w:hAnsi="Cambria"/>
          <w:sz w:val="20"/>
          <w:szCs w:val="20"/>
        </w:rPr>
        <w:t xml:space="preserve"> </w:t>
      </w:r>
      <w:r>
        <w:rPr>
          <w:rFonts w:ascii="Cambria" w:hAnsi="Cambria"/>
          <w:sz w:val="20"/>
          <w:szCs w:val="20"/>
        </w:rPr>
        <w:t xml:space="preserve"> Said petition was denied on October 4, 2007, on the grounds that it sought to reexamine the judgment of conviction, and that the finding of criminal liability and assessment of evidence were aspects for which the trial court is the competent court.  He claims that he subsequently filed other petitions for </w:t>
      </w:r>
      <w:r w:rsidRPr="002444A3">
        <w:rPr>
          <w:rFonts w:ascii="Cambria" w:hAnsi="Cambria"/>
          <w:i/>
          <w:sz w:val="20"/>
          <w:szCs w:val="20"/>
        </w:rPr>
        <w:t>habeas corpus</w:t>
      </w:r>
      <w:r>
        <w:rPr>
          <w:rFonts w:ascii="Cambria" w:hAnsi="Cambria"/>
          <w:sz w:val="20"/>
          <w:szCs w:val="20"/>
        </w:rPr>
        <w:t xml:space="preserve">, as well as other motions for review of judgment.  He contends that the judges, who had previously ruled on his motion to vacate the judgment in his first motion for review of judgment, continued to sit on the panels that denied his subsequent motions. </w:t>
      </w:r>
    </w:p>
    <w:p w:rsidR="00F95C53" w:rsidRDefault="000A6974" w:rsidP="000A6974">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Theme="majorHAnsi" w:hAnsiTheme="majorHAnsi"/>
          <w:sz w:val="20"/>
          <w:szCs w:val="20"/>
        </w:rPr>
      </w:pPr>
      <w:r>
        <w:rPr>
          <w:rFonts w:asciiTheme="majorHAnsi" w:hAnsiTheme="majorHAnsi"/>
          <w:sz w:val="20"/>
          <w:szCs w:val="20"/>
        </w:rPr>
        <w:t xml:space="preserve">He asserts that on July 31, 2008, he was denied </w:t>
      </w:r>
      <w:r w:rsidR="00C87E1D">
        <w:rPr>
          <w:rFonts w:asciiTheme="majorHAnsi" w:hAnsiTheme="majorHAnsi"/>
          <w:sz w:val="20"/>
          <w:szCs w:val="20"/>
        </w:rPr>
        <w:t>day-</w:t>
      </w:r>
      <w:r>
        <w:rPr>
          <w:rFonts w:asciiTheme="majorHAnsi" w:hAnsiTheme="majorHAnsi"/>
          <w:sz w:val="20"/>
          <w:szCs w:val="20"/>
        </w:rPr>
        <w:t xml:space="preserve">release by the Second Specialized Court for Criminal Matters of Chachapoyas based on the nature of the conviction, inasmuch as Law 28.704 establishes that the benefit of </w:t>
      </w:r>
      <w:r w:rsidR="00C87E1D">
        <w:rPr>
          <w:rFonts w:asciiTheme="majorHAnsi" w:hAnsiTheme="majorHAnsi"/>
          <w:sz w:val="20"/>
          <w:szCs w:val="20"/>
        </w:rPr>
        <w:t>day-</w:t>
      </w:r>
      <w:r>
        <w:rPr>
          <w:rFonts w:asciiTheme="majorHAnsi" w:hAnsiTheme="majorHAnsi"/>
          <w:sz w:val="20"/>
          <w:szCs w:val="20"/>
        </w:rPr>
        <w:t>release is not applicable to crimes relating to the sexual liberty of minors,</w:t>
      </w:r>
      <w:r>
        <w:rPr>
          <w:rFonts w:asciiTheme="majorHAnsi" w:hAnsiTheme="majorHAnsi"/>
          <w:i/>
          <w:sz w:val="20"/>
          <w:szCs w:val="20"/>
        </w:rPr>
        <w:t xml:space="preserve"> </w:t>
      </w:r>
      <w:r>
        <w:rPr>
          <w:rFonts w:asciiTheme="majorHAnsi" w:hAnsiTheme="majorHAnsi"/>
          <w:sz w:val="20"/>
          <w:szCs w:val="20"/>
        </w:rPr>
        <w:t>among other offenses</w:t>
      </w:r>
      <w:r w:rsidRPr="00240490">
        <w:rPr>
          <w:rFonts w:asciiTheme="majorHAnsi" w:hAnsiTheme="majorHAnsi"/>
          <w:sz w:val="20"/>
          <w:szCs w:val="20"/>
        </w:rPr>
        <w:t>.</w:t>
      </w:r>
      <w:r>
        <w:rPr>
          <w:rFonts w:asciiTheme="majorHAnsi" w:hAnsiTheme="majorHAnsi"/>
          <w:sz w:val="20"/>
          <w:szCs w:val="20"/>
        </w:rPr>
        <w:t xml:space="preserve"> </w:t>
      </w:r>
      <w:r w:rsidR="00C87E1D">
        <w:rPr>
          <w:rFonts w:asciiTheme="majorHAnsi" w:hAnsiTheme="majorHAnsi"/>
          <w:sz w:val="20"/>
          <w:szCs w:val="20"/>
        </w:rPr>
        <w:t xml:space="preserve"> </w:t>
      </w:r>
      <w:r>
        <w:rPr>
          <w:rFonts w:asciiTheme="majorHAnsi" w:hAnsiTheme="majorHAnsi"/>
          <w:sz w:val="20"/>
          <w:szCs w:val="20"/>
        </w:rPr>
        <w:t xml:space="preserve">The petitioner argues that said ruling entails discriminatory conduct by judicial officials because the benefits of </w:t>
      </w:r>
      <w:r w:rsidR="00C87E1D">
        <w:rPr>
          <w:rFonts w:asciiTheme="majorHAnsi" w:hAnsiTheme="majorHAnsi"/>
          <w:sz w:val="20"/>
          <w:szCs w:val="20"/>
        </w:rPr>
        <w:t>day-</w:t>
      </w:r>
      <w:r>
        <w:rPr>
          <w:rFonts w:asciiTheme="majorHAnsi" w:hAnsiTheme="majorHAnsi"/>
          <w:sz w:val="20"/>
          <w:szCs w:val="20"/>
        </w:rPr>
        <w:t xml:space="preserve">release and sentence reduction have been granted in more serious cases than his, such as for crimes of illicit drug trafficking and homicide.  </w:t>
      </w:r>
    </w:p>
    <w:p w:rsidR="000A6974" w:rsidRPr="00240490" w:rsidRDefault="000A6974" w:rsidP="000A6974">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Theme="majorHAnsi" w:hAnsiTheme="majorHAnsi"/>
          <w:sz w:val="20"/>
          <w:szCs w:val="20"/>
        </w:rPr>
      </w:pPr>
      <w:r>
        <w:rPr>
          <w:rFonts w:asciiTheme="majorHAnsi" w:hAnsiTheme="majorHAnsi"/>
          <w:sz w:val="20"/>
          <w:szCs w:val="20"/>
        </w:rPr>
        <w:t xml:space="preserve">He further alleges that in 2009, he was beaten and tortured by the prison staff while he was imprisoned, which he reported to the authorities of the prison facility and brought it to the attention of the Office of the Prosecutor; notwithstanding, he received no response or findings of investigations with a view to clarifying the facts. </w:t>
      </w:r>
      <w:r w:rsidR="00354062">
        <w:rPr>
          <w:rFonts w:asciiTheme="majorHAnsi" w:hAnsiTheme="majorHAnsi"/>
          <w:sz w:val="20"/>
          <w:szCs w:val="20"/>
        </w:rPr>
        <w:t xml:space="preserve"> </w:t>
      </w:r>
      <w:r>
        <w:rPr>
          <w:rFonts w:asciiTheme="majorHAnsi" w:hAnsiTheme="majorHAnsi"/>
          <w:sz w:val="20"/>
          <w:szCs w:val="20"/>
        </w:rPr>
        <w:t xml:space="preserve">He also contends that the conviction had an adverse effect on his nuclear family members, their interpersonal relationships and support of his household. </w:t>
      </w:r>
    </w:p>
    <w:p w:rsidR="000A6974" w:rsidRPr="00240490" w:rsidRDefault="000A6974" w:rsidP="000A6974">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Theme="majorHAnsi" w:hAnsiTheme="majorHAnsi"/>
          <w:sz w:val="20"/>
          <w:szCs w:val="20"/>
        </w:rPr>
      </w:pPr>
      <w:r>
        <w:rPr>
          <w:rFonts w:asciiTheme="majorHAnsi" w:hAnsiTheme="majorHAnsi"/>
          <w:sz w:val="20"/>
          <w:szCs w:val="20"/>
        </w:rPr>
        <w:t xml:space="preserve">Based on the foregoing allegations, the petitioner asserts that the actions of the State constitute a violation of the right to humane treatment, personal liberty, a fair trial, freedom from ex post facto law, compensation, privacy and equal protection, as provided for under the American Convention. </w:t>
      </w:r>
      <w:r w:rsidR="00354062">
        <w:rPr>
          <w:rFonts w:asciiTheme="majorHAnsi" w:hAnsiTheme="majorHAnsi"/>
          <w:sz w:val="20"/>
          <w:szCs w:val="20"/>
        </w:rPr>
        <w:t xml:space="preserve"> </w:t>
      </w:r>
      <w:r>
        <w:rPr>
          <w:rFonts w:asciiTheme="majorHAnsi" w:hAnsiTheme="majorHAnsi"/>
          <w:sz w:val="20"/>
          <w:szCs w:val="20"/>
        </w:rPr>
        <w:t xml:space="preserve">He further claims that the conviction imposed on him for a crime against the sexual liberty of a minor girl has destroyed his family life and home. </w:t>
      </w:r>
      <w:r w:rsidR="00354062">
        <w:rPr>
          <w:rFonts w:asciiTheme="majorHAnsi" w:hAnsiTheme="majorHAnsi"/>
          <w:sz w:val="20"/>
          <w:szCs w:val="20"/>
        </w:rPr>
        <w:t xml:space="preserve"> </w:t>
      </w:r>
      <w:r>
        <w:rPr>
          <w:rFonts w:asciiTheme="majorHAnsi" w:hAnsiTheme="majorHAnsi"/>
          <w:sz w:val="20"/>
          <w:szCs w:val="20"/>
        </w:rPr>
        <w:t xml:space="preserve">He adds that the woman he was married to at the time of the events separated from and divorced him. </w:t>
      </w:r>
      <w:r w:rsidR="00354062">
        <w:rPr>
          <w:rFonts w:asciiTheme="majorHAnsi" w:hAnsiTheme="majorHAnsi"/>
          <w:sz w:val="20"/>
          <w:szCs w:val="20"/>
        </w:rPr>
        <w:t xml:space="preserve"> </w:t>
      </w:r>
      <w:r>
        <w:rPr>
          <w:rFonts w:asciiTheme="majorHAnsi" w:hAnsiTheme="majorHAnsi"/>
          <w:sz w:val="20"/>
          <w:szCs w:val="20"/>
        </w:rPr>
        <w:t xml:space="preserve">He also contends that his daughters were left unprotected and deprived a father figure during the period that he was confined to prison and he was also unable to provide adequate economic support to them during that period. </w:t>
      </w:r>
      <w:r w:rsidR="00354062">
        <w:rPr>
          <w:rFonts w:asciiTheme="majorHAnsi" w:hAnsiTheme="majorHAnsi"/>
          <w:sz w:val="20"/>
          <w:szCs w:val="20"/>
        </w:rPr>
        <w:t xml:space="preserve"> </w:t>
      </w:r>
      <w:r>
        <w:rPr>
          <w:rFonts w:asciiTheme="majorHAnsi" w:hAnsiTheme="majorHAnsi"/>
          <w:sz w:val="20"/>
          <w:szCs w:val="20"/>
        </w:rPr>
        <w:t xml:space="preserve">He argues, therefore, that the State is also responsible for the violation of the rights of the family and the rights of the child. </w:t>
      </w:r>
    </w:p>
    <w:p w:rsidR="000A6974" w:rsidRPr="00240490" w:rsidRDefault="000A6974" w:rsidP="000A6974">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Theme="majorHAnsi" w:hAnsiTheme="majorHAnsi"/>
          <w:sz w:val="20"/>
          <w:szCs w:val="20"/>
        </w:rPr>
      </w:pPr>
      <w:r>
        <w:rPr>
          <w:rFonts w:asciiTheme="majorHAnsi" w:hAnsiTheme="majorHAnsi"/>
          <w:sz w:val="20"/>
          <w:szCs w:val="20"/>
        </w:rPr>
        <w:t xml:space="preserve">The State, in turn, alleges that the facts giving rise to the petition do not tend to establish violations of rights protected by the American Convention as provided for under the instrument itself. </w:t>
      </w:r>
      <w:r w:rsidR="00354062">
        <w:rPr>
          <w:rFonts w:asciiTheme="majorHAnsi" w:hAnsiTheme="majorHAnsi"/>
          <w:sz w:val="20"/>
          <w:szCs w:val="20"/>
        </w:rPr>
        <w:t xml:space="preserve"> </w:t>
      </w:r>
      <w:r>
        <w:rPr>
          <w:rFonts w:asciiTheme="majorHAnsi" w:hAnsiTheme="majorHAnsi"/>
          <w:sz w:val="20"/>
          <w:szCs w:val="20"/>
        </w:rPr>
        <w:t xml:space="preserve">It puts forward the argument that the petition calls into question the judgment issued by domestic courts, on the grounds that it views it as wrongful and violating rights because of the alleged failure of the domestic operator of justice to </w:t>
      </w:r>
      <w:r w:rsidR="00354062">
        <w:rPr>
          <w:rFonts w:asciiTheme="majorHAnsi" w:hAnsiTheme="majorHAnsi"/>
          <w:sz w:val="20"/>
          <w:szCs w:val="20"/>
        </w:rPr>
        <w:t>acknowledge that he could not have known the girl’s age</w:t>
      </w:r>
      <w:r w:rsidRPr="00240490">
        <w:rPr>
          <w:rFonts w:asciiTheme="majorHAnsi" w:hAnsiTheme="majorHAnsi"/>
          <w:sz w:val="20"/>
          <w:szCs w:val="20"/>
        </w:rPr>
        <w:t>.</w:t>
      </w:r>
      <w:r>
        <w:rPr>
          <w:rFonts w:asciiTheme="majorHAnsi" w:hAnsiTheme="majorHAnsi"/>
          <w:sz w:val="20"/>
          <w:szCs w:val="20"/>
        </w:rPr>
        <w:t xml:space="preserve"> </w:t>
      </w:r>
      <w:r w:rsidR="00354062">
        <w:rPr>
          <w:rFonts w:asciiTheme="majorHAnsi" w:hAnsiTheme="majorHAnsi"/>
          <w:sz w:val="20"/>
          <w:szCs w:val="20"/>
        </w:rPr>
        <w:t xml:space="preserve"> </w:t>
      </w:r>
      <w:r>
        <w:rPr>
          <w:rFonts w:asciiTheme="majorHAnsi" w:hAnsiTheme="majorHAnsi"/>
          <w:sz w:val="20"/>
          <w:szCs w:val="20"/>
        </w:rPr>
        <w:t>As such, the State claims that the issues raised by him were previously examined in the domestic courts and, consequently, the Commission is precluded from acting as a fourth instance and therefore is legally barred from intervening and reviewing any domestic rulings issued in the case.</w:t>
      </w:r>
      <w:r w:rsidRPr="00240490">
        <w:rPr>
          <w:rFonts w:asciiTheme="majorHAnsi" w:hAnsiTheme="majorHAnsi"/>
          <w:sz w:val="20"/>
          <w:szCs w:val="20"/>
        </w:rPr>
        <w:t xml:space="preserve">  </w:t>
      </w:r>
    </w:p>
    <w:p w:rsidR="000A6974" w:rsidRPr="00240490" w:rsidRDefault="000A6974" w:rsidP="000A6974">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Cambria" w:hAnsi="Cambria"/>
          <w:sz w:val="20"/>
          <w:szCs w:val="20"/>
        </w:rPr>
      </w:pPr>
      <w:r>
        <w:rPr>
          <w:rFonts w:asciiTheme="majorHAnsi" w:hAnsiTheme="majorHAnsi"/>
          <w:sz w:val="20"/>
          <w:szCs w:val="20"/>
        </w:rPr>
        <w:t xml:space="preserve">Additionally, the State asserts that the petitioner had access to justice and to judicial remedies, which turned out to be unfavorable to him. </w:t>
      </w:r>
      <w:r w:rsidR="00354062">
        <w:rPr>
          <w:rFonts w:asciiTheme="majorHAnsi" w:hAnsiTheme="majorHAnsi"/>
          <w:sz w:val="20"/>
          <w:szCs w:val="20"/>
        </w:rPr>
        <w:t xml:space="preserve"> </w:t>
      </w:r>
      <w:r>
        <w:rPr>
          <w:rFonts w:asciiTheme="majorHAnsi" w:hAnsiTheme="majorHAnsi"/>
          <w:sz w:val="20"/>
          <w:szCs w:val="20"/>
        </w:rPr>
        <w:t xml:space="preserve">It further contends that the judicial proceedings brought by the petitioner in order to exhaust domestic remedies are only relevant to the right to personal liberty and judicial protection. </w:t>
      </w:r>
      <w:r w:rsidR="00354062">
        <w:rPr>
          <w:rFonts w:asciiTheme="majorHAnsi" w:hAnsiTheme="majorHAnsi"/>
          <w:sz w:val="20"/>
          <w:szCs w:val="20"/>
        </w:rPr>
        <w:t xml:space="preserve"> </w:t>
      </w:r>
      <w:r>
        <w:rPr>
          <w:rFonts w:asciiTheme="majorHAnsi" w:hAnsiTheme="majorHAnsi"/>
          <w:sz w:val="20"/>
          <w:szCs w:val="20"/>
        </w:rPr>
        <w:t xml:space="preserve">With respect to the alleged violation of the right to freedom from ex post facto law, compensation, privacy, family, rights of the child, equal protection and the rules of interpretation, as enshrined in the American Convention, it argues that </w:t>
      </w:r>
      <w:r w:rsidR="003F4A49">
        <w:rPr>
          <w:rFonts w:asciiTheme="majorHAnsi" w:hAnsiTheme="majorHAnsi"/>
          <w:sz w:val="20"/>
          <w:szCs w:val="20"/>
        </w:rPr>
        <w:t>the remedies exhausted in</w:t>
      </w:r>
      <w:r>
        <w:rPr>
          <w:rFonts w:asciiTheme="majorHAnsi" w:hAnsiTheme="majorHAnsi"/>
          <w:sz w:val="20"/>
          <w:szCs w:val="20"/>
        </w:rPr>
        <w:t xml:space="preserve"> domestic courts</w:t>
      </w:r>
      <w:r w:rsidR="003F4A49">
        <w:rPr>
          <w:rFonts w:asciiTheme="majorHAnsi" w:hAnsiTheme="majorHAnsi"/>
          <w:sz w:val="20"/>
          <w:szCs w:val="20"/>
        </w:rPr>
        <w:t xml:space="preserve"> were no</w:t>
      </w:r>
      <w:r>
        <w:rPr>
          <w:rFonts w:asciiTheme="majorHAnsi" w:hAnsiTheme="majorHAnsi"/>
          <w:sz w:val="20"/>
          <w:szCs w:val="20"/>
        </w:rPr>
        <w:t xml:space="preserve"> related to the potential violation of those rights and, as such, there is no evidence that Mr. Paría has fulfilled the requirement of prior exhaustion of domestic remedies. </w:t>
      </w:r>
      <w:r w:rsidR="003F4A49">
        <w:rPr>
          <w:rFonts w:asciiTheme="majorHAnsi" w:hAnsiTheme="majorHAnsi"/>
          <w:sz w:val="20"/>
          <w:szCs w:val="20"/>
        </w:rPr>
        <w:t xml:space="preserve"> </w:t>
      </w:r>
      <w:r>
        <w:rPr>
          <w:rFonts w:asciiTheme="majorHAnsi" w:hAnsiTheme="majorHAnsi"/>
          <w:sz w:val="20"/>
          <w:szCs w:val="20"/>
        </w:rPr>
        <w:t xml:space="preserve">As for the complaints for the crimes of bodily injury and abuse of authority filed against a prison guard, the State asserts that these incidents are the subject of a preliminary investigation at this time.  </w:t>
      </w:r>
    </w:p>
    <w:p w:rsidR="000A6974" w:rsidRPr="00240490" w:rsidRDefault="003F4A49" w:rsidP="000A6974">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Theme="majorHAnsi" w:hAnsiTheme="majorHAnsi"/>
          <w:sz w:val="20"/>
          <w:szCs w:val="20"/>
        </w:rPr>
      </w:pPr>
      <w:r>
        <w:rPr>
          <w:rFonts w:ascii="Cambria" w:hAnsi="Cambria"/>
          <w:sz w:val="20"/>
          <w:szCs w:val="20"/>
        </w:rPr>
        <w:lastRenderedPageBreak/>
        <w:t>Moreover</w:t>
      </w:r>
      <w:r w:rsidR="000A6974">
        <w:rPr>
          <w:rFonts w:ascii="Cambria" w:hAnsi="Cambria"/>
          <w:sz w:val="20"/>
          <w:szCs w:val="20"/>
        </w:rPr>
        <w:t xml:space="preserve">, with regard to the alleged discrimination resulting from the denial of the prison benefit of </w:t>
      </w:r>
      <w:r>
        <w:rPr>
          <w:rFonts w:ascii="Cambria" w:hAnsi="Cambria"/>
          <w:sz w:val="20"/>
          <w:szCs w:val="20"/>
        </w:rPr>
        <w:t>day-</w:t>
      </w:r>
      <w:r w:rsidR="000A6974">
        <w:rPr>
          <w:rFonts w:ascii="Cambria" w:hAnsi="Cambria"/>
          <w:sz w:val="20"/>
          <w:szCs w:val="20"/>
        </w:rPr>
        <w:t xml:space="preserve">release, the State argues that said court decision is fully justified under special provisions of law prohibiting the application of some prison benefits to persons who have been convicted of the crime of statutory rape. </w:t>
      </w:r>
      <w:r>
        <w:rPr>
          <w:rFonts w:ascii="Cambria" w:hAnsi="Cambria"/>
          <w:sz w:val="20"/>
          <w:szCs w:val="20"/>
        </w:rPr>
        <w:t xml:space="preserve"> </w:t>
      </w:r>
      <w:r w:rsidR="000A6974">
        <w:rPr>
          <w:rFonts w:ascii="Cambria" w:hAnsi="Cambria"/>
          <w:sz w:val="20"/>
          <w:szCs w:val="20"/>
        </w:rPr>
        <w:t xml:space="preserve">It further contends that the defense was careless, inasmuch as </w:t>
      </w:r>
      <w:r>
        <w:rPr>
          <w:rFonts w:ascii="Cambria" w:hAnsi="Cambria"/>
          <w:sz w:val="20"/>
          <w:szCs w:val="20"/>
        </w:rPr>
        <w:t>it</w:t>
      </w:r>
      <w:r w:rsidR="000A6974">
        <w:rPr>
          <w:rFonts w:ascii="Cambria" w:hAnsi="Cambria"/>
          <w:sz w:val="20"/>
          <w:szCs w:val="20"/>
        </w:rPr>
        <w:t xml:space="preserve"> requested a benefit that was expressly prohibited under a law that </w:t>
      </w:r>
      <w:r>
        <w:rPr>
          <w:rFonts w:ascii="Cambria" w:hAnsi="Cambria"/>
          <w:sz w:val="20"/>
          <w:szCs w:val="20"/>
        </w:rPr>
        <w:t>it</w:t>
      </w:r>
      <w:r w:rsidR="000A6974">
        <w:rPr>
          <w:rFonts w:ascii="Cambria" w:hAnsi="Cambria"/>
          <w:sz w:val="20"/>
          <w:szCs w:val="20"/>
        </w:rPr>
        <w:t xml:space="preserve"> should have been aware of. </w:t>
      </w:r>
    </w:p>
    <w:p w:rsidR="000A6974" w:rsidRPr="00240490" w:rsidRDefault="000A6974" w:rsidP="000A6974">
      <w:pPr>
        <w:spacing w:before="240" w:after="240"/>
        <w:ind w:firstLine="720"/>
        <w:jc w:val="both"/>
        <w:rPr>
          <w:rFonts w:asciiTheme="majorHAnsi" w:eastAsia="Cambria" w:hAnsiTheme="majorHAnsi" w:cs="Cambria"/>
          <w:b/>
          <w:bCs/>
          <w:color w:val="000000"/>
          <w:sz w:val="20"/>
          <w:szCs w:val="20"/>
          <w:u w:color="000000"/>
          <w:lang w:eastAsia="es-ES"/>
        </w:rPr>
      </w:pPr>
      <w:r w:rsidRPr="00240490">
        <w:rPr>
          <w:rFonts w:asciiTheme="majorHAnsi" w:eastAsia="Cambria" w:hAnsiTheme="majorHAnsi" w:cs="Cambria"/>
          <w:b/>
          <w:bCs/>
          <w:color w:val="000000"/>
          <w:sz w:val="20"/>
          <w:szCs w:val="20"/>
          <w:u w:color="000000"/>
          <w:lang w:eastAsia="es-ES"/>
        </w:rPr>
        <w:t>VI.</w:t>
      </w:r>
      <w:r w:rsidRPr="00240490">
        <w:rPr>
          <w:rFonts w:asciiTheme="majorHAnsi" w:eastAsia="Cambria" w:hAnsiTheme="majorHAnsi" w:cs="Cambria"/>
          <w:b/>
          <w:bCs/>
          <w:color w:val="000000"/>
          <w:sz w:val="20"/>
          <w:szCs w:val="20"/>
          <w:u w:color="000000"/>
          <w:lang w:eastAsia="es-ES"/>
        </w:rPr>
        <w:tab/>
      </w:r>
      <w:r>
        <w:rPr>
          <w:rFonts w:asciiTheme="majorHAnsi" w:eastAsia="Cambria" w:hAnsiTheme="majorHAnsi" w:cs="Cambria"/>
          <w:b/>
          <w:bCs/>
          <w:color w:val="000000"/>
          <w:sz w:val="20"/>
          <w:szCs w:val="20"/>
          <w:u w:color="000000"/>
          <w:lang w:eastAsia="es-ES"/>
        </w:rPr>
        <w:t xml:space="preserve">EXHAUSTION OF DOMESTIC REMEDIES AND TIMELINESS OF THE PETITION </w:t>
      </w:r>
    </w:p>
    <w:p w:rsidR="000A6974" w:rsidRPr="00240490" w:rsidRDefault="000A6974" w:rsidP="000A6974">
      <w:pPr>
        <w:pStyle w:val="ListParagraph"/>
        <w:numPr>
          <w:ilvl w:val="0"/>
          <w:numId w:val="102"/>
        </w:numPr>
        <w:spacing w:before="240" w:after="240"/>
        <w:jc w:val="both"/>
        <w:rPr>
          <w:rFonts w:asciiTheme="majorHAnsi" w:hAnsiTheme="majorHAnsi"/>
          <w:sz w:val="20"/>
          <w:szCs w:val="20"/>
        </w:rPr>
      </w:pPr>
      <w:r>
        <w:rPr>
          <w:rFonts w:asciiTheme="majorHAnsi" w:hAnsiTheme="majorHAnsi"/>
          <w:sz w:val="20"/>
          <w:szCs w:val="20"/>
        </w:rPr>
        <w:t xml:space="preserve">The petitioner </w:t>
      </w:r>
      <w:r w:rsidR="003F4A49">
        <w:rPr>
          <w:rFonts w:asciiTheme="majorHAnsi" w:hAnsiTheme="majorHAnsi"/>
          <w:sz w:val="20"/>
          <w:szCs w:val="20"/>
        </w:rPr>
        <w:t>submits</w:t>
      </w:r>
      <w:r>
        <w:rPr>
          <w:rFonts w:asciiTheme="majorHAnsi" w:hAnsiTheme="majorHAnsi"/>
          <w:sz w:val="20"/>
          <w:szCs w:val="20"/>
        </w:rPr>
        <w:t xml:space="preserve"> that he filed a motion to vacate the judgment of December 12, 2005, which was denied by the Second Transitory Criminal Chamber of the Supreme Court on May 4, 2006. </w:t>
      </w:r>
      <w:r w:rsidR="003F4A49">
        <w:rPr>
          <w:rFonts w:asciiTheme="majorHAnsi" w:hAnsiTheme="majorHAnsi"/>
          <w:sz w:val="20"/>
          <w:szCs w:val="20"/>
        </w:rPr>
        <w:t xml:space="preserve"> </w:t>
      </w:r>
      <w:r>
        <w:rPr>
          <w:rFonts w:asciiTheme="majorHAnsi" w:hAnsiTheme="majorHAnsi"/>
          <w:sz w:val="20"/>
          <w:szCs w:val="20"/>
        </w:rPr>
        <w:t xml:space="preserve">He asserts that on November 6, 2006, he filed a motion for review of the judgments from 2005 and 2006 issued by the lower Court Chamber, which was denied as inadmissible on September 7, 2007. </w:t>
      </w:r>
      <w:r w:rsidR="003F4A49">
        <w:rPr>
          <w:rFonts w:asciiTheme="majorHAnsi" w:hAnsiTheme="majorHAnsi"/>
          <w:sz w:val="20"/>
          <w:szCs w:val="20"/>
        </w:rPr>
        <w:t xml:space="preserve"> </w:t>
      </w:r>
      <w:r>
        <w:rPr>
          <w:rFonts w:asciiTheme="majorHAnsi" w:hAnsiTheme="majorHAnsi"/>
          <w:sz w:val="20"/>
          <w:szCs w:val="20"/>
        </w:rPr>
        <w:t xml:space="preserve">He also </w:t>
      </w:r>
      <w:r w:rsidR="003F4A49">
        <w:rPr>
          <w:rFonts w:asciiTheme="majorHAnsi" w:hAnsiTheme="majorHAnsi"/>
          <w:sz w:val="20"/>
          <w:szCs w:val="20"/>
        </w:rPr>
        <w:t>submits that</w:t>
      </w:r>
      <w:r>
        <w:rPr>
          <w:rFonts w:asciiTheme="majorHAnsi" w:hAnsiTheme="majorHAnsi"/>
          <w:sz w:val="20"/>
          <w:szCs w:val="20"/>
        </w:rPr>
        <w:t xml:space="preserve"> he filed a petition for habeas corpus with the Constitutional Court on March 30, 2007, which was found inadmissible on October 4, 2007.  While the State recognizes that Mr. Paría exhausted the above-cited remedies, it argues that the motion to review judgment and habeas corpus were not suitable remedies. </w:t>
      </w:r>
      <w:r w:rsidR="003F4A49">
        <w:rPr>
          <w:rFonts w:asciiTheme="majorHAnsi" w:hAnsiTheme="majorHAnsi"/>
          <w:sz w:val="20"/>
          <w:szCs w:val="20"/>
        </w:rPr>
        <w:t xml:space="preserve"> </w:t>
      </w:r>
      <w:r>
        <w:rPr>
          <w:rFonts w:asciiTheme="majorHAnsi" w:hAnsiTheme="majorHAnsi"/>
          <w:sz w:val="20"/>
          <w:szCs w:val="20"/>
        </w:rPr>
        <w:t xml:space="preserve">As such, it contends that through these remedies the alleged victim requested reevaluation of the evidence and that these remedies are not meant for this purpose. </w:t>
      </w:r>
      <w:r w:rsidR="003F4A49">
        <w:rPr>
          <w:rFonts w:asciiTheme="majorHAnsi" w:hAnsiTheme="majorHAnsi"/>
          <w:sz w:val="20"/>
          <w:szCs w:val="20"/>
        </w:rPr>
        <w:t xml:space="preserve"> </w:t>
      </w:r>
      <w:r>
        <w:rPr>
          <w:rFonts w:asciiTheme="majorHAnsi" w:hAnsiTheme="majorHAnsi"/>
          <w:sz w:val="20"/>
          <w:szCs w:val="20"/>
        </w:rPr>
        <w:t>Therefore, it claims that the conviction became final on November 6, 2006</w:t>
      </w:r>
      <w:r w:rsidR="003F4A49">
        <w:rPr>
          <w:rFonts w:asciiTheme="majorHAnsi" w:hAnsiTheme="majorHAnsi"/>
          <w:sz w:val="20"/>
          <w:szCs w:val="20"/>
        </w:rPr>
        <w:t>,</w:t>
      </w:r>
      <w:r>
        <w:rPr>
          <w:rFonts w:asciiTheme="majorHAnsi" w:hAnsiTheme="majorHAnsi"/>
          <w:sz w:val="20"/>
          <w:szCs w:val="20"/>
        </w:rPr>
        <w:t xml:space="preserve"> and that the petition lodged with the IACHR on February 13, 2008</w:t>
      </w:r>
      <w:r w:rsidR="003F4A49">
        <w:rPr>
          <w:rFonts w:asciiTheme="majorHAnsi" w:hAnsiTheme="majorHAnsi"/>
          <w:sz w:val="20"/>
          <w:szCs w:val="20"/>
        </w:rPr>
        <w:t>,</w:t>
      </w:r>
      <w:r>
        <w:rPr>
          <w:rFonts w:asciiTheme="majorHAnsi" w:hAnsiTheme="majorHAnsi"/>
          <w:sz w:val="20"/>
          <w:szCs w:val="20"/>
        </w:rPr>
        <w:t xml:space="preserve"> is untimely. </w:t>
      </w:r>
    </w:p>
    <w:p w:rsidR="000A6974" w:rsidRPr="00240490" w:rsidRDefault="000A6974" w:rsidP="000A6974">
      <w:pPr>
        <w:pStyle w:val="ListParagraph"/>
        <w:numPr>
          <w:ilvl w:val="0"/>
          <w:numId w:val="102"/>
        </w:numPr>
        <w:spacing w:before="240" w:after="240"/>
        <w:jc w:val="both"/>
        <w:rPr>
          <w:rFonts w:asciiTheme="majorHAnsi" w:hAnsiTheme="majorHAnsi"/>
          <w:sz w:val="20"/>
          <w:szCs w:val="20"/>
        </w:rPr>
      </w:pPr>
      <w:r>
        <w:rPr>
          <w:rFonts w:asciiTheme="majorHAnsi" w:hAnsiTheme="majorHAnsi"/>
          <w:sz w:val="20"/>
          <w:szCs w:val="20"/>
        </w:rPr>
        <w:t xml:space="preserve">With respect to the suitability of the motion for review and the petition for habeas corpus filed by the alleged victim, the Commission notes that the judicial authorities cited the circumstances in which these remedies could be used to satisfy the claims of the alleged victim but concluded in the specific case that the alleged victim had not proven that his situation matched any of these circumstances. The Commission finds that the unfavorable result does not prove in and of itself the lack of suitability of these remedies. </w:t>
      </w:r>
      <w:r w:rsidR="00727DD8">
        <w:rPr>
          <w:rFonts w:asciiTheme="majorHAnsi" w:hAnsiTheme="majorHAnsi"/>
          <w:sz w:val="20"/>
          <w:szCs w:val="20"/>
        </w:rPr>
        <w:t xml:space="preserve"> </w:t>
      </w:r>
      <w:r>
        <w:rPr>
          <w:rFonts w:asciiTheme="majorHAnsi" w:hAnsiTheme="majorHAnsi"/>
          <w:sz w:val="20"/>
          <w:szCs w:val="20"/>
        </w:rPr>
        <w:t xml:space="preserve">Additionally, Mr. Paría filed the petition for habeas corpus in relation to his right to freedom, which in principle provides for a chance to protect said right. </w:t>
      </w:r>
    </w:p>
    <w:p w:rsidR="000A6974" w:rsidRPr="00240490" w:rsidRDefault="000A6974" w:rsidP="000A6974">
      <w:pPr>
        <w:pStyle w:val="ListParagraph"/>
        <w:numPr>
          <w:ilvl w:val="0"/>
          <w:numId w:val="102"/>
        </w:numPr>
        <w:spacing w:before="240" w:after="240"/>
        <w:jc w:val="both"/>
        <w:rPr>
          <w:rFonts w:asciiTheme="majorHAnsi" w:hAnsiTheme="majorHAnsi"/>
          <w:sz w:val="20"/>
          <w:szCs w:val="20"/>
        </w:rPr>
      </w:pPr>
      <w:r w:rsidRPr="00240490">
        <w:rPr>
          <w:rFonts w:asciiTheme="majorHAnsi" w:hAnsiTheme="majorHAnsi"/>
          <w:sz w:val="20"/>
          <w:szCs w:val="20"/>
        </w:rPr>
        <w:t xml:space="preserve"> </w:t>
      </w:r>
      <w:r>
        <w:rPr>
          <w:rFonts w:asciiTheme="majorHAnsi" w:hAnsiTheme="majorHAnsi"/>
          <w:sz w:val="20"/>
          <w:szCs w:val="20"/>
        </w:rPr>
        <w:t xml:space="preserve">In view of the foregoing, the Commission finds that domestic remedies were exhausted on October 4, 2007, the date when the petition for habeas corpus was denied. </w:t>
      </w:r>
      <w:r w:rsidR="00727DD8">
        <w:rPr>
          <w:rFonts w:asciiTheme="majorHAnsi" w:hAnsiTheme="majorHAnsi"/>
          <w:sz w:val="20"/>
          <w:szCs w:val="20"/>
        </w:rPr>
        <w:t xml:space="preserve"> </w:t>
      </w:r>
      <w:r>
        <w:rPr>
          <w:rFonts w:asciiTheme="majorHAnsi" w:hAnsiTheme="majorHAnsi"/>
          <w:sz w:val="20"/>
          <w:szCs w:val="20"/>
        </w:rPr>
        <w:t xml:space="preserve">Also, taking into account the petition of February 13, 2008, the Commission finds that the petition fulfills the requirement under Article 46.1.b of the American Convention as to his deprivation of liberty and the alleged violations of due process in the proceedings brought in the trial and appeals courts. </w:t>
      </w:r>
    </w:p>
    <w:p w:rsidR="000A6974" w:rsidRPr="00240490" w:rsidRDefault="000A6974" w:rsidP="000A6974">
      <w:pPr>
        <w:pStyle w:val="ListParagraph"/>
        <w:numPr>
          <w:ilvl w:val="0"/>
          <w:numId w:val="102"/>
        </w:numPr>
        <w:spacing w:before="240" w:after="240"/>
        <w:jc w:val="both"/>
        <w:rPr>
          <w:rFonts w:asciiTheme="majorHAnsi" w:hAnsiTheme="majorHAnsi"/>
          <w:sz w:val="20"/>
          <w:szCs w:val="20"/>
        </w:rPr>
      </w:pPr>
      <w:r>
        <w:rPr>
          <w:rFonts w:asciiTheme="majorHAnsi" w:hAnsiTheme="majorHAnsi"/>
          <w:sz w:val="20"/>
          <w:szCs w:val="20"/>
        </w:rPr>
        <w:t>The IACHR further notes that the allegations of a potential violation of due process rights by virtue of the participation of the same three judges in the decision on the motion to vacate judgment and in the successive motions for review, only materialized on September 7, 2007</w:t>
      </w:r>
      <w:r w:rsidR="00727DD8">
        <w:rPr>
          <w:rFonts w:asciiTheme="majorHAnsi" w:hAnsiTheme="majorHAnsi"/>
          <w:sz w:val="20"/>
          <w:szCs w:val="20"/>
        </w:rPr>
        <w:t>,</w:t>
      </w:r>
      <w:r>
        <w:rPr>
          <w:rFonts w:asciiTheme="majorHAnsi" w:hAnsiTheme="majorHAnsi"/>
          <w:sz w:val="20"/>
          <w:szCs w:val="20"/>
        </w:rPr>
        <w:t xml:space="preserve"> when the same judges participated in the ruling on the</w:t>
      </w:r>
      <w:r w:rsidR="00727DD8">
        <w:rPr>
          <w:rFonts w:asciiTheme="majorHAnsi" w:hAnsiTheme="majorHAnsi"/>
          <w:sz w:val="20"/>
          <w:szCs w:val="20"/>
        </w:rPr>
        <w:t xml:space="preserve"> petitioner’s</w:t>
      </w:r>
      <w:r>
        <w:rPr>
          <w:rFonts w:asciiTheme="majorHAnsi" w:hAnsiTheme="majorHAnsi"/>
          <w:sz w:val="20"/>
          <w:szCs w:val="20"/>
        </w:rPr>
        <w:t xml:space="preserve"> first motion </w:t>
      </w:r>
      <w:r w:rsidR="00727DD8">
        <w:rPr>
          <w:rFonts w:asciiTheme="majorHAnsi" w:hAnsiTheme="majorHAnsi"/>
          <w:sz w:val="20"/>
          <w:szCs w:val="20"/>
        </w:rPr>
        <w:t>for</w:t>
      </w:r>
      <w:r>
        <w:rPr>
          <w:rFonts w:asciiTheme="majorHAnsi" w:hAnsiTheme="majorHAnsi"/>
          <w:sz w:val="20"/>
          <w:szCs w:val="20"/>
        </w:rPr>
        <w:t xml:space="preserve"> review.  After the </w:t>
      </w:r>
      <w:r w:rsidR="00727DD8">
        <w:rPr>
          <w:rFonts w:asciiTheme="majorHAnsi" w:hAnsiTheme="majorHAnsi"/>
          <w:sz w:val="20"/>
          <w:szCs w:val="20"/>
        </w:rPr>
        <w:t>present</w:t>
      </w:r>
      <w:r>
        <w:rPr>
          <w:rFonts w:asciiTheme="majorHAnsi" w:hAnsiTheme="majorHAnsi"/>
          <w:sz w:val="20"/>
          <w:szCs w:val="20"/>
        </w:rPr>
        <w:t xml:space="preserve"> petition was received, the IACHR received documentation </w:t>
      </w:r>
      <w:r w:rsidR="00727DD8">
        <w:rPr>
          <w:rFonts w:asciiTheme="majorHAnsi" w:hAnsiTheme="majorHAnsi"/>
          <w:sz w:val="20"/>
          <w:szCs w:val="20"/>
        </w:rPr>
        <w:t>which show</w:t>
      </w:r>
      <w:r>
        <w:rPr>
          <w:rFonts w:asciiTheme="majorHAnsi" w:hAnsiTheme="majorHAnsi"/>
          <w:sz w:val="20"/>
          <w:szCs w:val="20"/>
        </w:rPr>
        <w:t xml:space="preserve"> the fi</w:t>
      </w:r>
      <w:r w:rsidR="00727DD8">
        <w:rPr>
          <w:rFonts w:asciiTheme="majorHAnsi" w:hAnsiTheme="majorHAnsi"/>
          <w:sz w:val="20"/>
          <w:szCs w:val="20"/>
        </w:rPr>
        <w:t xml:space="preserve">ling of other motions for review </w:t>
      </w:r>
      <w:r>
        <w:rPr>
          <w:rFonts w:asciiTheme="majorHAnsi" w:hAnsiTheme="majorHAnsi"/>
          <w:sz w:val="20"/>
          <w:szCs w:val="20"/>
        </w:rPr>
        <w:t xml:space="preserve">over the years and that in these motions repeated requests were made to the Supreme Court of Justice for the judges that ruled on the motion to vacate to recuse themselves from deciding the motion </w:t>
      </w:r>
      <w:r w:rsidR="00727DD8">
        <w:rPr>
          <w:rFonts w:asciiTheme="majorHAnsi" w:hAnsiTheme="majorHAnsi"/>
          <w:sz w:val="20"/>
          <w:szCs w:val="20"/>
        </w:rPr>
        <w:t>for</w:t>
      </w:r>
      <w:r>
        <w:rPr>
          <w:rFonts w:asciiTheme="majorHAnsi" w:hAnsiTheme="majorHAnsi"/>
          <w:sz w:val="20"/>
          <w:szCs w:val="20"/>
        </w:rPr>
        <w:t xml:space="preserve"> review</w:t>
      </w:r>
      <w:r>
        <w:rPr>
          <w:rFonts w:asciiTheme="majorHAnsi" w:hAnsiTheme="majorHAnsi"/>
          <w:i/>
          <w:sz w:val="20"/>
          <w:szCs w:val="20"/>
        </w:rPr>
        <w:t xml:space="preserve">. </w:t>
      </w:r>
      <w:r>
        <w:rPr>
          <w:sz w:val="20"/>
          <w:szCs w:val="20"/>
        </w:rPr>
        <w:t xml:space="preserve"> In view of the foregoing, the IACHR finds that the petitioner brought these facts to the attention of the judicial authorities on several occasions, even while the petition was already under consideration before the IACHR. </w:t>
      </w:r>
      <w:r w:rsidR="00727DD8">
        <w:rPr>
          <w:sz w:val="20"/>
          <w:szCs w:val="20"/>
        </w:rPr>
        <w:t xml:space="preserve"> </w:t>
      </w:r>
      <w:r>
        <w:rPr>
          <w:sz w:val="20"/>
          <w:szCs w:val="20"/>
        </w:rPr>
        <w:t xml:space="preserve">Consequently, the IACHR finds that the requirements provided for in Articles 46.1.a and 46.1.b of the American Convention have been met with respect to these allegations. </w:t>
      </w:r>
    </w:p>
    <w:p w:rsidR="000A6974" w:rsidRPr="00240490" w:rsidRDefault="000A6974" w:rsidP="000A6974">
      <w:pPr>
        <w:pStyle w:val="ListParagraph"/>
        <w:numPr>
          <w:ilvl w:val="0"/>
          <w:numId w:val="102"/>
        </w:numPr>
        <w:spacing w:before="240" w:after="240"/>
        <w:jc w:val="both"/>
        <w:rPr>
          <w:rFonts w:asciiTheme="majorHAnsi" w:hAnsiTheme="majorHAnsi"/>
          <w:sz w:val="20"/>
          <w:szCs w:val="20"/>
        </w:rPr>
      </w:pPr>
      <w:r>
        <w:rPr>
          <w:rFonts w:asciiTheme="majorHAnsi" w:hAnsiTheme="majorHAnsi"/>
          <w:sz w:val="20"/>
          <w:szCs w:val="20"/>
        </w:rPr>
        <w:t xml:space="preserve">The Commission also notes that in 2009, the petitioner reported to the authorities that he was the target of beatings and torture at the penitentiary facility by a prison guard, upon which he bases the allegation that his right to humane treatment was violated. </w:t>
      </w:r>
      <w:r w:rsidR="00727DD8">
        <w:rPr>
          <w:rFonts w:asciiTheme="majorHAnsi" w:hAnsiTheme="majorHAnsi"/>
          <w:sz w:val="20"/>
          <w:szCs w:val="20"/>
        </w:rPr>
        <w:t xml:space="preserve"> </w:t>
      </w:r>
      <w:r>
        <w:rPr>
          <w:rFonts w:asciiTheme="majorHAnsi" w:hAnsiTheme="majorHAnsi"/>
          <w:sz w:val="20"/>
          <w:szCs w:val="20"/>
        </w:rPr>
        <w:t xml:space="preserve">According to the information received from both parties, an investigation into these incidents was opened by the Office of the Prosecutor in 2009. </w:t>
      </w:r>
      <w:r w:rsidR="00727DD8">
        <w:rPr>
          <w:rFonts w:asciiTheme="majorHAnsi" w:hAnsiTheme="majorHAnsi"/>
          <w:sz w:val="20"/>
          <w:szCs w:val="20"/>
        </w:rPr>
        <w:t xml:space="preserve"> </w:t>
      </w:r>
      <w:r>
        <w:rPr>
          <w:rFonts w:asciiTheme="majorHAnsi" w:hAnsiTheme="majorHAnsi"/>
          <w:sz w:val="20"/>
          <w:szCs w:val="20"/>
        </w:rPr>
        <w:t>On April</w:t>
      </w:r>
      <w:r w:rsidR="00727DD8">
        <w:rPr>
          <w:rFonts w:asciiTheme="majorHAnsi" w:hAnsiTheme="majorHAnsi"/>
          <w:sz w:val="20"/>
          <w:szCs w:val="20"/>
        </w:rPr>
        <w:t> </w:t>
      </w:r>
      <w:r>
        <w:rPr>
          <w:rFonts w:asciiTheme="majorHAnsi" w:hAnsiTheme="majorHAnsi"/>
          <w:sz w:val="20"/>
          <w:szCs w:val="20"/>
        </w:rPr>
        <w:t>1,</w:t>
      </w:r>
      <w:r w:rsidR="00727DD8">
        <w:rPr>
          <w:rFonts w:asciiTheme="majorHAnsi" w:hAnsiTheme="majorHAnsi"/>
          <w:sz w:val="20"/>
          <w:szCs w:val="20"/>
        </w:rPr>
        <w:t> </w:t>
      </w:r>
      <w:r>
        <w:rPr>
          <w:rFonts w:asciiTheme="majorHAnsi" w:hAnsiTheme="majorHAnsi"/>
          <w:sz w:val="20"/>
          <w:szCs w:val="20"/>
        </w:rPr>
        <w:t>2015, the State reported to the IACHR that an investigation was underway and that it would request information about it in order to inform the Commission about the course of the investigation.</w:t>
      </w:r>
      <w:r w:rsidR="00727DD8">
        <w:rPr>
          <w:rFonts w:asciiTheme="majorHAnsi" w:hAnsiTheme="majorHAnsi"/>
          <w:sz w:val="20"/>
          <w:szCs w:val="20"/>
        </w:rPr>
        <w:t xml:space="preserve"> </w:t>
      </w:r>
      <w:r>
        <w:rPr>
          <w:rFonts w:asciiTheme="majorHAnsi" w:hAnsiTheme="majorHAnsi"/>
          <w:sz w:val="20"/>
          <w:szCs w:val="20"/>
        </w:rPr>
        <w:t xml:space="preserve"> On November</w:t>
      </w:r>
      <w:r w:rsidR="00727DD8">
        <w:rPr>
          <w:rFonts w:asciiTheme="majorHAnsi" w:hAnsiTheme="majorHAnsi"/>
          <w:sz w:val="20"/>
          <w:szCs w:val="20"/>
        </w:rPr>
        <w:t> </w:t>
      </w:r>
      <w:r>
        <w:rPr>
          <w:rFonts w:asciiTheme="majorHAnsi" w:hAnsiTheme="majorHAnsi"/>
          <w:sz w:val="20"/>
          <w:szCs w:val="20"/>
        </w:rPr>
        <w:t>11,</w:t>
      </w:r>
      <w:r w:rsidR="00727DD8">
        <w:rPr>
          <w:rFonts w:asciiTheme="majorHAnsi" w:hAnsiTheme="majorHAnsi"/>
          <w:sz w:val="20"/>
          <w:szCs w:val="20"/>
        </w:rPr>
        <w:t> </w:t>
      </w:r>
      <w:r>
        <w:rPr>
          <w:rFonts w:asciiTheme="majorHAnsi" w:hAnsiTheme="majorHAnsi"/>
          <w:sz w:val="20"/>
          <w:szCs w:val="20"/>
        </w:rPr>
        <w:t xml:space="preserve">2016, the State submitted additional observations on the petition without making any reference to the investigation opened in 2009. </w:t>
      </w:r>
      <w:r w:rsidR="00727DD8">
        <w:rPr>
          <w:rFonts w:asciiTheme="majorHAnsi" w:hAnsiTheme="majorHAnsi"/>
          <w:sz w:val="20"/>
          <w:szCs w:val="20"/>
        </w:rPr>
        <w:t xml:space="preserve"> </w:t>
      </w:r>
      <w:r>
        <w:rPr>
          <w:rFonts w:asciiTheme="majorHAnsi" w:hAnsiTheme="majorHAnsi"/>
          <w:sz w:val="20"/>
          <w:szCs w:val="20"/>
        </w:rPr>
        <w:t>Based on the foregoing, the IACHR finds that</w:t>
      </w:r>
      <w:r w:rsidR="00727DD8">
        <w:rPr>
          <w:rFonts w:asciiTheme="majorHAnsi" w:hAnsiTheme="majorHAnsi"/>
          <w:sz w:val="20"/>
          <w:szCs w:val="20"/>
        </w:rPr>
        <w:t xml:space="preserve"> the exception to the requirement for exhaustion provided for in Article 46.2.c of the American Convention is applicable</w:t>
      </w:r>
      <w:r>
        <w:rPr>
          <w:rFonts w:asciiTheme="majorHAnsi" w:hAnsiTheme="majorHAnsi"/>
          <w:sz w:val="20"/>
          <w:szCs w:val="20"/>
        </w:rPr>
        <w:t xml:space="preserve"> </w:t>
      </w:r>
      <w:r w:rsidR="00727DD8">
        <w:rPr>
          <w:rFonts w:asciiTheme="majorHAnsi" w:hAnsiTheme="majorHAnsi"/>
          <w:sz w:val="20"/>
          <w:szCs w:val="20"/>
        </w:rPr>
        <w:t>with respect</w:t>
      </w:r>
      <w:r>
        <w:rPr>
          <w:rFonts w:asciiTheme="majorHAnsi" w:hAnsiTheme="majorHAnsi"/>
          <w:sz w:val="20"/>
          <w:szCs w:val="20"/>
        </w:rPr>
        <w:t xml:space="preserve"> to the alleged victim</w:t>
      </w:r>
      <w:r w:rsidR="00727DD8">
        <w:rPr>
          <w:rFonts w:asciiTheme="majorHAnsi" w:hAnsiTheme="majorHAnsi"/>
          <w:sz w:val="20"/>
          <w:szCs w:val="20"/>
        </w:rPr>
        <w:t>’</w:t>
      </w:r>
      <w:r>
        <w:rPr>
          <w:rFonts w:asciiTheme="majorHAnsi" w:hAnsiTheme="majorHAnsi"/>
          <w:sz w:val="20"/>
          <w:szCs w:val="20"/>
        </w:rPr>
        <w:t xml:space="preserve">s allegations about the supposed assault inflicted upon him </w:t>
      </w:r>
      <w:r w:rsidR="00727DD8">
        <w:rPr>
          <w:rFonts w:asciiTheme="majorHAnsi" w:hAnsiTheme="majorHAnsi"/>
          <w:sz w:val="20"/>
          <w:szCs w:val="20"/>
        </w:rPr>
        <w:t>in prison</w:t>
      </w:r>
      <w:r>
        <w:rPr>
          <w:rFonts w:asciiTheme="majorHAnsi" w:hAnsiTheme="majorHAnsi"/>
          <w:sz w:val="20"/>
          <w:szCs w:val="20"/>
        </w:rPr>
        <w:t xml:space="preserve"> and the </w:t>
      </w:r>
      <w:r>
        <w:rPr>
          <w:rFonts w:asciiTheme="majorHAnsi" w:hAnsiTheme="majorHAnsi"/>
          <w:sz w:val="20"/>
          <w:szCs w:val="20"/>
        </w:rPr>
        <w:lastRenderedPageBreak/>
        <w:t xml:space="preserve">denial of justice, because there is no indication that the investigation into the incidents opened in 2009 has been completed as of the date of the </w:t>
      </w:r>
      <w:r w:rsidR="00727DD8">
        <w:rPr>
          <w:rFonts w:asciiTheme="majorHAnsi" w:hAnsiTheme="majorHAnsi"/>
          <w:sz w:val="20"/>
          <w:szCs w:val="20"/>
        </w:rPr>
        <w:t>present</w:t>
      </w:r>
      <w:r>
        <w:rPr>
          <w:rFonts w:asciiTheme="majorHAnsi" w:hAnsiTheme="majorHAnsi"/>
          <w:sz w:val="20"/>
          <w:szCs w:val="20"/>
        </w:rPr>
        <w:t xml:space="preserve"> report. </w:t>
      </w:r>
      <w:r w:rsidR="00727DD8">
        <w:rPr>
          <w:rFonts w:asciiTheme="majorHAnsi" w:hAnsiTheme="majorHAnsi"/>
          <w:sz w:val="20"/>
          <w:szCs w:val="20"/>
        </w:rPr>
        <w:t xml:space="preserve"> </w:t>
      </w:r>
      <w:r>
        <w:rPr>
          <w:rFonts w:asciiTheme="majorHAnsi" w:hAnsiTheme="majorHAnsi"/>
          <w:sz w:val="20"/>
          <w:szCs w:val="20"/>
        </w:rPr>
        <w:t xml:space="preserve">Additionally, taking into account that the events took place while the petition was already under review by the IACHR and the consequences of the alleged failure to investigate and punish those responsible persist up to the present time, it is fitting to find the requirement of Article 32.2 of the IACHR Rules of Procedure to have been met. </w:t>
      </w:r>
      <w:r w:rsidR="00314EFE">
        <w:rPr>
          <w:rFonts w:asciiTheme="majorHAnsi" w:hAnsiTheme="majorHAnsi"/>
          <w:sz w:val="20"/>
          <w:szCs w:val="20"/>
        </w:rPr>
        <w:t xml:space="preserve"> </w:t>
      </w:r>
      <w:r>
        <w:rPr>
          <w:rFonts w:asciiTheme="majorHAnsi" w:hAnsiTheme="majorHAnsi"/>
          <w:sz w:val="20"/>
          <w:szCs w:val="20"/>
        </w:rPr>
        <w:t xml:space="preserve">The causes and effects preventing exhaustion of domestic remedies in the instant case shall be examined, as appropriate, in the report on the merits of the dispute which may be adopted by the Commission, in order to ascertain whether there have been violations of the Convention.   </w:t>
      </w:r>
    </w:p>
    <w:p w:rsidR="000A6974" w:rsidRPr="00240490" w:rsidRDefault="000A6974" w:rsidP="000A6974">
      <w:pPr>
        <w:pStyle w:val="ListParagraph"/>
        <w:numPr>
          <w:ilvl w:val="0"/>
          <w:numId w:val="102"/>
        </w:numPr>
        <w:spacing w:before="240" w:after="240"/>
        <w:jc w:val="both"/>
        <w:rPr>
          <w:sz w:val="20"/>
          <w:szCs w:val="20"/>
        </w:rPr>
      </w:pPr>
      <w:r>
        <w:rPr>
          <w:rFonts w:asciiTheme="majorHAnsi" w:hAnsiTheme="majorHAnsi"/>
          <w:sz w:val="20"/>
          <w:szCs w:val="20"/>
        </w:rPr>
        <w:t xml:space="preserve">Additionally, with respect to the alleged inability to obtain the benefit of </w:t>
      </w:r>
      <w:r w:rsidR="00314EFE">
        <w:rPr>
          <w:rFonts w:asciiTheme="majorHAnsi" w:hAnsiTheme="majorHAnsi"/>
          <w:sz w:val="20"/>
          <w:szCs w:val="20"/>
        </w:rPr>
        <w:t>day-</w:t>
      </w:r>
      <w:r>
        <w:rPr>
          <w:rFonts w:asciiTheme="majorHAnsi" w:hAnsiTheme="majorHAnsi"/>
          <w:sz w:val="20"/>
          <w:szCs w:val="20"/>
        </w:rPr>
        <w:t>release, the IACHR notes that the petitioner requested this benefit and it was denied on July 31, 2008</w:t>
      </w:r>
      <w:r w:rsidR="00314EFE">
        <w:rPr>
          <w:rFonts w:asciiTheme="majorHAnsi" w:hAnsiTheme="majorHAnsi"/>
          <w:sz w:val="20"/>
          <w:szCs w:val="20"/>
        </w:rPr>
        <w:t>,</w:t>
      </w:r>
      <w:r>
        <w:rPr>
          <w:rFonts w:asciiTheme="majorHAnsi" w:hAnsiTheme="majorHAnsi"/>
          <w:sz w:val="20"/>
          <w:szCs w:val="20"/>
        </w:rPr>
        <w:t xml:space="preserve"> by the 2</w:t>
      </w:r>
      <w:r w:rsidRPr="00934F02">
        <w:rPr>
          <w:rFonts w:asciiTheme="majorHAnsi" w:hAnsiTheme="majorHAnsi"/>
          <w:sz w:val="20"/>
          <w:szCs w:val="20"/>
          <w:vertAlign w:val="superscript"/>
        </w:rPr>
        <w:t>nd</w:t>
      </w:r>
      <w:r>
        <w:rPr>
          <w:rFonts w:asciiTheme="majorHAnsi" w:hAnsiTheme="majorHAnsi"/>
          <w:sz w:val="20"/>
          <w:szCs w:val="20"/>
        </w:rPr>
        <w:t xml:space="preserve"> Specialized Court for Criminal Matters of Chachapoyas.</w:t>
      </w:r>
      <w:r w:rsidR="00314EFE">
        <w:rPr>
          <w:rFonts w:asciiTheme="majorHAnsi" w:hAnsiTheme="majorHAnsi"/>
          <w:sz w:val="20"/>
          <w:szCs w:val="20"/>
        </w:rPr>
        <w:t xml:space="preserve"> </w:t>
      </w:r>
      <w:r>
        <w:rPr>
          <w:rFonts w:asciiTheme="majorHAnsi" w:hAnsiTheme="majorHAnsi"/>
          <w:sz w:val="20"/>
          <w:szCs w:val="20"/>
        </w:rPr>
        <w:t xml:space="preserve"> Based on the documentary evidence provided by Mr.</w:t>
      </w:r>
      <w:r w:rsidR="00314EFE">
        <w:rPr>
          <w:rFonts w:asciiTheme="majorHAnsi" w:hAnsiTheme="majorHAnsi"/>
          <w:sz w:val="20"/>
          <w:szCs w:val="20"/>
        </w:rPr>
        <w:t> </w:t>
      </w:r>
      <w:r w:rsidRPr="00240490">
        <w:rPr>
          <w:sz w:val="20"/>
          <w:szCs w:val="20"/>
        </w:rPr>
        <w:t>Paría</w:t>
      </w:r>
      <w:r>
        <w:rPr>
          <w:sz w:val="20"/>
          <w:szCs w:val="20"/>
        </w:rPr>
        <w:t xml:space="preserve">, at the special hearing on </w:t>
      </w:r>
      <w:r w:rsidR="00314EFE">
        <w:rPr>
          <w:sz w:val="20"/>
          <w:szCs w:val="20"/>
        </w:rPr>
        <w:t>day-</w:t>
      </w:r>
      <w:r>
        <w:rPr>
          <w:sz w:val="20"/>
          <w:szCs w:val="20"/>
        </w:rPr>
        <w:t xml:space="preserve">release, he argued to the judge that the Peruvian law prohibiting the granting of the benefit of </w:t>
      </w:r>
      <w:r w:rsidR="00314EFE">
        <w:rPr>
          <w:sz w:val="20"/>
          <w:szCs w:val="20"/>
        </w:rPr>
        <w:t>day-</w:t>
      </w:r>
      <w:r>
        <w:rPr>
          <w:sz w:val="20"/>
          <w:szCs w:val="20"/>
        </w:rPr>
        <w:t xml:space="preserve">release to persons convicted of the crime of rape is incompatible with the Peruvian Constitution and with international treaties ratified by the Peruvian State. </w:t>
      </w:r>
      <w:r w:rsidR="00314EFE">
        <w:rPr>
          <w:sz w:val="20"/>
          <w:szCs w:val="20"/>
        </w:rPr>
        <w:t xml:space="preserve"> </w:t>
      </w:r>
      <w:r>
        <w:rPr>
          <w:sz w:val="20"/>
          <w:szCs w:val="20"/>
        </w:rPr>
        <w:t xml:space="preserve">The State, in response, claims that the accused’s defense was careless, inasmuch as </w:t>
      </w:r>
      <w:r w:rsidR="00314EFE">
        <w:rPr>
          <w:sz w:val="20"/>
          <w:szCs w:val="20"/>
        </w:rPr>
        <w:t>he</w:t>
      </w:r>
      <w:r>
        <w:rPr>
          <w:sz w:val="20"/>
          <w:szCs w:val="20"/>
        </w:rPr>
        <w:t xml:space="preserve"> requested a prison benefit that was expressly prohibited by a law that he should have known and notes that the petitioner called into question the denial of the benefit of </w:t>
      </w:r>
      <w:r w:rsidR="00314EFE">
        <w:rPr>
          <w:sz w:val="20"/>
          <w:szCs w:val="20"/>
        </w:rPr>
        <w:t>day-</w:t>
      </w:r>
      <w:r>
        <w:rPr>
          <w:sz w:val="20"/>
          <w:szCs w:val="20"/>
        </w:rPr>
        <w:t>release at the time the decision to deny was read to him</w:t>
      </w:r>
      <w:r w:rsidR="00314EFE">
        <w:rPr>
          <w:sz w:val="20"/>
          <w:szCs w:val="20"/>
        </w:rPr>
        <w:t>, thus</w:t>
      </w:r>
      <w:r>
        <w:rPr>
          <w:sz w:val="20"/>
          <w:szCs w:val="20"/>
        </w:rPr>
        <w:t xml:space="preserve"> using a method to challenge the ruling that is not provided for by law. The Commission recalls that the purpose of the requirement of prior exhaustion of domestic remedies is to allow national authorities to hear alleged violations and have a chance to resolve them.  Based on the foregoing, the Commission finds that the petitioner brought to the attention of the State authorities the alleged incompatibility of the provisions of Law 28.704 with the Political Constitution of Peru and with international treaties ratified by the State, including the American Convention, and, taking into account that the State does not mention any other suitable means to have raised these issues, the IACHR finds that the alleged victim has met the requirement of Article 46.1.a on July 31, 2008. The Commission further notes that domestic remedies were exhausted on July 31, 2008 while the petition was under review of admissibility and recalls that in these circumstances it is appropriate to find the requirement of Article 46.1.b of the Convention to have been met.</w:t>
      </w:r>
      <w:r w:rsidR="00314EFE" w:rsidRPr="00240490">
        <w:rPr>
          <w:sz w:val="20"/>
          <w:szCs w:val="20"/>
          <w:vertAlign w:val="superscript"/>
        </w:rPr>
        <w:footnoteReference w:id="7"/>
      </w:r>
      <w:r>
        <w:rPr>
          <w:sz w:val="20"/>
          <w:szCs w:val="20"/>
        </w:rPr>
        <w:t xml:space="preserve"> </w:t>
      </w:r>
      <w:r w:rsidRPr="00240490">
        <w:rPr>
          <w:sz w:val="20"/>
          <w:szCs w:val="20"/>
        </w:rPr>
        <w:t xml:space="preserve"> </w:t>
      </w:r>
    </w:p>
    <w:p w:rsidR="000A6974" w:rsidRPr="00240490" w:rsidRDefault="000A6974" w:rsidP="000A6974">
      <w:pPr>
        <w:pStyle w:val="ListParagraph"/>
        <w:spacing w:before="240" w:after="240"/>
        <w:jc w:val="both"/>
        <w:rPr>
          <w:rFonts w:asciiTheme="majorHAnsi" w:hAnsiTheme="majorHAnsi"/>
          <w:b/>
          <w:bCs/>
          <w:sz w:val="20"/>
          <w:szCs w:val="20"/>
        </w:rPr>
      </w:pPr>
      <w:r w:rsidRPr="00240490">
        <w:rPr>
          <w:rFonts w:asciiTheme="majorHAnsi" w:hAnsiTheme="majorHAnsi"/>
          <w:b/>
          <w:bCs/>
          <w:sz w:val="20"/>
          <w:szCs w:val="20"/>
        </w:rPr>
        <w:t>VII.</w:t>
      </w:r>
      <w:r w:rsidRPr="00240490">
        <w:rPr>
          <w:rFonts w:asciiTheme="majorHAnsi" w:hAnsiTheme="majorHAnsi"/>
          <w:b/>
          <w:bCs/>
          <w:sz w:val="20"/>
          <w:szCs w:val="20"/>
        </w:rPr>
        <w:tab/>
      </w:r>
      <w:r>
        <w:rPr>
          <w:rFonts w:asciiTheme="majorHAnsi" w:hAnsiTheme="majorHAnsi"/>
          <w:b/>
          <w:bCs/>
          <w:sz w:val="20"/>
          <w:szCs w:val="20"/>
        </w:rPr>
        <w:t xml:space="preserve">COLORABLE CLAIM TO ALLEGED FACTS </w:t>
      </w:r>
    </w:p>
    <w:p w:rsidR="00654AF9" w:rsidRPr="00240490" w:rsidRDefault="005717AA" w:rsidP="00654AF9">
      <w:pPr>
        <w:pStyle w:val="ListParagraph"/>
        <w:numPr>
          <w:ilvl w:val="0"/>
          <w:numId w:val="102"/>
        </w:numPr>
        <w:spacing w:before="240" w:after="240"/>
        <w:jc w:val="both"/>
        <w:rPr>
          <w:rFonts w:asciiTheme="majorHAnsi" w:hAnsiTheme="majorHAnsi"/>
          <w:bCs/>
          <w:color w:val="auto"/>
          <w:sz w:val="20"/>
          <w:szCs w:val="20"/>
        </w:rPr>
      </w:pPr>
      <w:r>
        <w:rPr>
          <w:rFonts w:asciiTheme="majorHAnsi" w:hAnsiTheme="majorHAnsi"/>
          <w:bCs/>
          <w:color w:val="auto"/>
          <w:sz w:val="20"/>
          <w:szCs w:val="20"/>
        </w:rPr>
        <w:t xml:space="preserve">In light of the elements expressed by the parties, </w:t>
      </w:r>
      <w:r w:rsidR="00654AF9">
        <w:rPr>
          <w:rFonts w:asciiTheme="majorHAnsi" w:hAnsiTheme="majorHAnsi"/>
          <w:bCs/>
          <w:color w:val="auto"/>
          <w:sz w:val="20"/>
          <w:szCs w:val="20"/>
        </w:rPr>
        <w:t xml:space="preserve">the Commission </w:t>
      </w:r>
      <w:r w:rsidR="00654AF9">
        <w:rPr>
          <w:rFonts w:asciiTheme="majorHAnsi" w:hAnsiTheme="majorHAnsi"/>
          <w:bCs/>
          <w:sz w:val="20"/>
          <w:szCs w:val="20"/>
        </w:rPr>
        <w:t>considers</w:t>
      </w:r>
      <w:r w:rsidR="00117026">
        <w:rPr>
          <w:rFonts w:asciiTheme="majorHAnsi" w:hAnsiTheme="majorHAnsi"/>
          <w:bCs/>
          <w:sz w:val="20"/>
          <w:szCs w:val="20"/>
        </w:rPr>
        <w:t xml:space="preserve"> that</w:t>
      </w:r>
      <w:r w:rsidR="00390DB3">
        <w:rPr>
          <w:rFonts w:asciiTheme="majorHAnsi" w:hAnsiTheme="majorHAnsi"/>
          <w:bCs/>
          <w:sz w:val="20"/>
          <w:szCs w:val="20"/>
        </w:rPr>
        <w:t xml:space="preserve"> the </w:t>
      </w:r>
      <w:r w:rsidR="006060E4">
        <w:rPr>
          <w:rFonts w:asciiTheme="majorHAnsi" w:hAnsiTheme="majorHAnsi"/>
          <w:bCs/>
          <w:sz w:val="20"/>
          <w:szCs w:val="20"/>
        </w:rPr>
        <w:t xml:space="preserve">alleged torture suffered by Mr. Paria while incarcerated and the impunity of those </w:t>
      </w:r>
      <w:r w:rsidR="00117026">
        <w:rPr>
          <w:rFonts w:asciiTheme="majorHAnsi" w:hAnsiTheme="majorHAnsi"/>
          <w:bCs/>
          <w:sz w:val="20"/>
          <w:szCs w:val="20"/>
        </w:rPr>
        <w:t xml:space="preserve">responsible </w:t>
      </w:r>
      <w:r w:rsidR="00654AF9">
        <w:rPr>
          <w:rFonts w:asciiTheme="majorHAnsi" w:hAnsiTheme="majorHAnsi"/>
          <w:bCs/>
          <w:sz w:val="20"/>
          <w:szCs w:val="20"/>
        </w:rPr>
        <w:t>could tend to establish a violation of the rights enshrined in Article</w:t>
      </w:r>
      <w:r w:rsidR="00FC5A6A">
        <w:rPr>
          <w:rFonts w:asciiTheme="majorHAnsi" w:hAnsiTheme="majorHAnsi"/>
          <w:bCs/>
          <w:sz w:val="20"/>
          <w:szCs w:val="20"/>
        </w:rPr>
        <w:t>s</w:t>
      </w:r>
      <w:r w:rsidR="00654AF9">
        <w:rPr>
          <w:rFonts w:asciiTheme="majorHAnsi" w:hAnsiTheme="majorHAnsi"/>
          <w:bCs/>
          <w:sz w:val="20"/>
          <w:szCs w:val="20"/>
        </w:rPr>
        <w:t xml:space="preserve"> 5 (Right to Humane Treatment), 8 (Right to a Fair Trial) and 25 (Right to Judicial Protection) of the American Convention in connection with Article 1.1 of said instrument to the detriment of Mr. Paría</w:t>
      </w:r>
      <w:r w:rsidR="00E746A0">
        <w:rPr>
          <w:rFonts w:asciiTheme="majorHAnsi" w:hAnsiTheme="majorHAnsi"/>
          <w:bCs/>
          <w:sz w:val="20"/>
          <w:szCs w:val="20"/>
        </w:rPr>
        <w:t xml:space="preserve"> and warrant an analysis on the merits.</w:t>
      </w:r>
      <w:r w:rsidR="000F355F">
        <w:rPr>
          <w:rFonts w:asciiTheme="majorHAnsi" w:hAnsiTheme="majorHAnsi"/>
          <w:bCs/>
          <w:sz w:val="20"/>
          <w:szCs w:val="20"/>
        </w:rPr>
        <w:t xml:space="preserve">  A</w:t>
      </w:r>
      <w:r w:rsidR="00E746A0">
        <w:rPr>
          <w:rFonts w:asciiTheme="majorHAnsi" w:hAnsiTheme="majorHAnsi"/>
          <w:bCs/>
          <w:sz w:val="20"/>
          <w:szCs w:val="20"/>
        </w:rPr>
        <w:t>dditionally</w:t>
      </w:r>
      <w:r w:rsidR="000F355F">
        <w:rPr>
          <w:rFonts w:asciiTheme="majorHAnsi" w:hAnsiTheme="majorHAnsi"/>
          <w:bCs/>
          <w:sz w:val="20"/>
          <w:szCs w:val="20"/>
        </w:rPr>
        <w:t xml:space="preserve">, </w:t>
      </w:r>
      <w:r w:rsidR="00654AF9">
        <w:rPr>
          <w:rFonts w:asciiTheme="majorHAnsi" w:hAnsiTheme="majorHAnsi"/>
          <w:bCs/>
          <w:sz w:val="20"/>
          <w:szCs w:val="20"/>
        </w:rPr>
        <w:t xml:space="preserve">the Commission shall examine during the merits stage whether or not the repeated intervention of judges, who had previously ruled on the motion to vacate the judgment and then ruled again in successive motions for review could constitute a violation of the rights enshrined in Articles 8 and 25 of the American Convention in connection with Article 1.1 of said instrument to the detriment of Mr. Paría. </w:t>
      </w:r>
      <w:r w:rsidR="00654AF9">
        <w:rPr>
          <w:rFonts w:asciiTheme="majorHAnsi" w:hAnsiTheme="majorHAnsi"/>
          <w:bCs/>
          <w:color w:val="auto"/>
          <w:sz w:val="20"/>
          <w:szCs w:val="20"/>
        </w:rPr>
        <w:t>Likewise, during the merits stage, the IACHR shall examine whether Mr. Paría’s preclusion from access to the benefit of day-release based on the crime he was convicted of could tend to establish a violation of the right enshrined in Article 24 (Right to Equal Protection) of the Convention in connection with Article</w:t>
      </w:r>
      <w:r w:rsidR="002A132C">
        <w:rPr>
          <w:rFonts w:asciiTheme="majorHAnsi" w:hAnsiTheme="majorHAnsi"/>
          <w:bCs/>
          <w:color w:val="auto"/>
          <w:sz w:val="20"/>
          <w:szCs w:val="20"/>
        </w:rPr>
        <w:t>s</w:t>
      </w:r>
      <w:r w:rsidR="00654AF9">
        <w:rPr>
          <w:rFonts w:asciiTheme="majorHAnsi" w:hAnsiTheme="majorHAnsi"/>
          <w:bCs/>
          <w:color w:val="auto"/>
          <w:sz w:val="20"/>
          <w:szCs w:val="20"/>
        </w:rPr>
        <w:t xml:space="preserve"> 1.1 and 2 of said instrument. </w:t>
      </w:r>
    </w:p>
    <w:p w:rsidR="000A6974" w:rsidRPr="008B5487" w:rsidRDefault="000F355F" w:rsidP="008B5487">
      <w:pPr>
        <w:pStyle w:val="ListParagraph"/>
        <w:numPr>
          <w:ilvl w:val="0"/>
          <w:numId w:val="102"/>
        </w:numPr>
        <w:spacing w:before="240" w:after="240"/>
        <w:jc w:val="both"/>
        <w:rPr>
          <w:rFonts w:asciiTheme="majorHAnsi" w:hAnsiTheme="majorHAnsi"/>
          <w:bCs/>
          <w:color w:val="auto"/>
          <w:sz w:val="20"/>
          <w:szCs w:val="20"/>
        </w:rPr>
      </w:pPr>
      <w:r>
        <w:rPr>
          <w:rFonts w:asciiTheme="majorHAnsi" w:hAnsiTheme="majorHAnsi"/>
          <w:bCs/>
          <w:sz w:val="20"/>
          <w:szCs w:val="20"/>
        </w:rPr>
        <w:t xml:space="preserve">However, </w:t>
      </w:r>
      <w:r w:rsidR="00EB604D">
        <w:rPr>
          <w:rFonts w:asciiTheme="majorHAnsi" w:hAnsiTheme="majorHAnsi"/>
          <w:bCs/>
          <w:sz w:val="20"/>
          <w:szCs w:val="20"/>
        </w:rPr>
        <w:t>w</w:t>
      </w:r>
      <w:r w:rsidR="00314EFE" w:rsidRPr="000F355F">
        <w:rPr>
          <w:rFonts w:asciiTheme="majorHAnsi" w:hAnsiTheme="majorHAnsi"/>
          <w:bCs/>
          <w:sz w:val="20"/>
          <w:szCs w:val="20"/>
        </w:rPr>
        <w:t>ith respect to</w:t>
      </w:r>
      <w:r w:rsidR="00EB604D">
        <w:rPr>
          <w:rFonts w:asciiTheme="majorHAnsi" w:hAnsiTheme="majorHAnsi"/>
          <w:bCs/>
          <w:sz w:val="20"/>
          <w:szCs w:val="20"/>
        </w:rPr>
        <w:t xml:space="preserve"> the criminal proceed</w:t>
      </w:r>
      <w:r w:rsidR="00AC409B">
        <w:rPr>
          <w:rFonts w:asciiTheme="majorHAnsi" w:hAnsiTheme="majorHAnsi"/>
          <w:bCs/>
          <w:sz w:val="20"/>
          <w:szCs w:val="20"/>
        </w:rPr>
        <w:t xml:space="preserve">ings carried out against </w:t>
      </w:r>
      <w:r w:rsidR="000A6974" w:rsidRPr="000F355F">
        <w:rPr>
          <w:rFonts w:asciiTheme="majorHAnsi" w:hAnsiTheme="majorHAnsi"/>
          <w:bCs/>
          <w:sz w:val="20"/>
          <w:szCs w:val="20"/>
        </w:rPr>
        <w:t xml:space="preserve">Mr. </w:t>
      </w:r>
      <w:r w:rsidR="00AC409B">
        <w:rPr>
          <w:rFonts w:asciiTheme="majorHAnsi" w:hAnsiTheme="majorHAnsi"/>
          <w:bCs/>
          <w:color w:val="auto"/>
          <w:sz w:val="20"/>
          <w:szCs w:val="20"/>
        </w:rPr>
        <w:t>Paría, his conviction and the</w:t>
      </w:r>
      <w:r w:rsidR="007E2B2F">
        <w:rPr>
          <w:rFonts w:asciiTheme="majorHAnsi" w:hAnsiTheme="majorHAnsi"/>
          <w:bCs/>
          <w:color w:val="auto"/>
          <w:sz w:val="20"/>
          <w:szCs w:val="20"/>
        </w:rPr>
        <w:t xml:space="preserve"> deprivation of his liberty</w:t>
      </w:r>
      <w:r w:rsidR="00545032">
        <w:rPr>
          <w:rFonts w:asciiTheme="majorHAnsi" w:hAnsiTheme="majorHAnsi"/>
          <w:bCs/>
          <w:color w:val="auto"/>
          <w:sz w:val="20"/>
          <w:szCs w:val="20"/>
        </w:rPr>
        <w:t xml:space="preserve">, the IACHR considers that </w:t>
      </w:r>
      <w:r w:rsidR="000447C4">
        <w:rPr>
          <w:rFonts w:asciiTheme="majorHAnsi" w:hAnsiTheme="majorHAnsi"/>
          <w:bCs/>
          <w:color w:val="auto"/>
          <w:sz w:val="20"/>
          <w:szCs w:val="20"/>
        </w:rPr>
        <w:t xml:space="preserve">Mr. Paría </w:t>
      </w:r>
      <w:r w:rsidR="006800FC">
        <w:rPr>
          <w:rFonts w:asciiTheme="majorHAnsi" w:hAnsiTheme="majorHAnsi"/>
          <w:bCs/>
          <w:color w:val="auto"/>
          <w:sz w:val="20"/>
          <w:szCs w:val="20"/>
        </w:rPr>
        <w:t xml:space="preserve">is requesting </w:t>
      </w:r>
      <w:r w:rsidR="000447C4">
        <w:rPr>
          <w:rFonts w:asciiTheme="majorHAnsi" w:hAnsiTheme="majorHAnsi"/>
          <w:bCs/>
          <w:color w:val="auto"/>
          <w:sz w:val="20"/>
          <w:szCs w:val="20"/>
        </w:rPr>
        <w:t xml:space="preserve">the Commission </w:t>
      </w:r>
      <w:r w:rsidR="006800FC">
        <w:rPr>
          <w:rFonts w:asciiTheme="majorHAnsi" w:hAnsiTheme="majorHAnsi"/>
          <w:bCs/>
          <w:color w:val="auto"/>
          <w:sz w:val="20"/>
          <w:szCs w:val="20"/>
        </w:rPr>
        <w:t xml:space="preserve">to act </w:t>
      </w:r>
      <w:r w:rsidR="000447C4">
        <w:rPr>
          <w:rFonts w:asciiTheme="majorHAnsi" w:hAnsiTheme="majorHAnsi"/>
          <w:bCs/>
          <w:color w:val="auto"/>
          <w:sz w:val="20"/>
          <w:szCs w:val="20"/>
        </w:rPr>
        <w:t xml:space="preserve">as an </w:t>
      </w:r>
      <w:r w:rsidR="000C50F3">
        <w:rPr>
          <w:rFonts w:asciiTheme="majorHAnsi" w:hAnsiTheme="majorHAnsi"/>
          <w:bCs/>
          <w:color w:val="auto"/>
          <w:sz w:val="20"/>
          <w:szCs w:val="20"/>
        </w:rPr>
        <w:t xml:space="preserve">appeals court with the objective of obtaining a new evaluation of the evidence </w:t>
      </w:r>
      <w:r w:rsidR="008B5487">
        <w:rPr>
          <w:rFonts w:asciiTheme="majorHAnsi" w:hAnsiTheme="majorHAnsi"/>
          <w:bCs/>
          <w:color w:val="auto"/>
          <w:sz w:val="20"/>
          <w:szCs w:val="20"/>
        </w:rPr>
        <w:t xml:space="preserve">that has already been analyzed and interpreted in an unfavorable manner by </w:t>
      </w:r>
      <w:r w:rsidR="00F950DE">
        <w:rPr>
          <w:rFonts w:asciiTheme="majorHAnsi" w:hAnsiTheme="majorHAnsi"/>
          <w:bCs/>
          <w:color w:val="auto"/>
          <w:sz w:val="20"/>
          <w:szCs w:val="20"/>
        </w:rPr>
        <w:t xml:space="preserve">national tribunals. </w:t>
      </w:r>
      <w:r w:rsidR="00FC2F0A">
        <w:rPr>
          <w:rFonts w:asciiTheme="majorHAnsi" w:hAnsiTheme="majorHAnsi"/>
          <w:bCs/>
          <w:color w:val="auto"/>
          <w:sz w:val="20"/>
          <w:szCs w:val="20"/>
        </w:rPr>
        <w:t>In this regard, the</w:t>
      </w:r>
      <w:r w:rsidR="000A6974" w:rsidRPr="008B5487">
        <w:rPr>
          <w:rFonts w:asciiTheme="majorHAnsi" w:hAnsiTheme="majorHAnsi"/>
          <w:bCs/>
          <w:color w:val="auto"/>
          <w:sz w:val="20"/>
          <w:szCs w:val="20"/>
        </w:rPr>
        <w:t xml:space="preserve"> Commission notes that during Mr. Paría’s trial proceedings, the defense moved for his acquittal of the charges of raping a girl under the age of 14 years old based on: i) the sexual relationship </w:t>
      </w:r>
      <w:r w:rsidR="00314EFE" w:rsidRPr="008B5487">
        <w:rPr>
          <w:rFonts w:asciiTheme="majorHAnsi" w:hAnsiTheme="majorHAnsi"/>
          <w:bCs/>
          <w:color w:val="auto"/>
          <w:sz w:val="20"/>
          <w:szCs w:val="20"/>
        </w:rPr>
        <w:t>being</w:t>
      </w:r>
      <w:r w:rsidR="000A6974" w:rsidRPr="008B5487">
        <w:rPr>
          <w:rFonts w:asciiTheme="majorHAnsi" w:hAnsiTheme="majorHAnsi"/>
          <w:bCs/>
          <w:color w:val="auto"/>
          <w:sz w:val="20"/>
          <w:szCs w:val="20"/>
        </w:rPr>
        <w:t xml:space="preserve"> consensual; ii) the girl</w:t>
      </w:r>
      <w:r w:rsidR="00314EFE" w:rsidRPr="008B5487">
        <w:rPr>
          <w:rFonts w:asciiTheme="majorHAnsi" w:hAnsiTheme="majorHAnsi"/>
          <w:bCs/>
          <w:color w:val="auto"/>
          <w:sz w:val="20"/>
          <w:szCs w:val="20"/>
        </w:rPr>
        <w:t>’s</w:t>
      </w:r>
      <w:r w:rsidR="000A6974" w:rsidRPr="008B5487">
        <w:rPr>
          <w:rFonts w:asciiTheme="majorHAnsi" w:hAnsiTheme="majorHAnsi"/>
          <w:bCs/>
          <w:color w:val="auto"/>
          <w:sz w:val="20"/>
          <w:szCs w:val="20"/>
        </w:rPr>
        <w:t xml:space="preserve"> sexual </w:t>
      </w:r>
      <w:r w:rsidR="00314EFE" w:rsidRPr="008B5487">
        <w:rPr>
          <w:rFonts w:asciiTheme="majorHAnsi" w:hAnsiTheme="majorHAnsi"/>
          <w:bCs/>
          <w:color w:val="auto"/>
          <w:sz w:val="20"/>
          <w:szCs w:val="20"/>
        </w:rPr>
        <w:t>history</w:t>
      </w:r>
      <w:r w:rsidR="000A6974" w:rsidRPr="008B5487">
        <w:rPr>
          <w:rFonts w:asciiTheme="majorHAnsi" w:hAnsiTheme="majorHAnsi"/>
          <w:bCs/>
          <w:color w:val="auto"/>
          <w:sz w:val="20"/>
          <w:szCs w:val="20"/>
        </w:rPr>
        <w:t xml:space="preserve"> with third parties; iii) the girl </w:t>
      </w:r>
      <w:r w:rsidR="00314EFE" w:rsidRPr="008B5487">
        <w:rPr>
          <w:rFonts w:asciiTheme="majorHAnsi" w:hAnsiTheme="majorHAnsi"/>
          <w:bCs/>
          <w:color w:val="auto"/>
          <w:sz w:val="20"/>
          <w:szCs w:val="20"/>
        </w:rPr>
        <w:t xml:space="preserve">having </w:t>
      </w:r>
      <w:r w:rsidR="000A6974" w:rsidRPr="008B5487">
        <w:rPr>
          <w:rFonts w:asciiTheme="majorHAnsi" w:hAnsiTheme="majorHAnsi"/>
          <w:bCs/>
          <w:color w:val="auto"/>
          <w:sz w:val="20"/>
          <w:szCs w:val="20"/>
        </w:rPr>
        <w:t xml:space="preserve">looked </w:t>
      </w:r>
      <w:r w:rsidR="00314EFE" w:rsidRPr="008B5487">
        <w:rPr>
          <w:rFonts w:asciiTheme="majorHAnsi" w:hAnsiTheme="majorHAnsi"/>
          <w:bCs/>
          <w:color w:val="auto"/>
          <w:sz w:val="20"/>
          <w:szCs w:val="20"/>
        </w:rPr>
        <w:t>like she was 1</w:t>
      </w:r>
      <w:r w:rsidR="000A6974" w:rsidRPr="008B5487">
        <w:rPr>
          <w:rFonts w:asciiTheme="majorHAnsi" w:hAnsiTheme="majorHAnsi"/>
          <w:bCs/>
          <w:color w:val="auto"/>
          <w:sz w:val="20"/>
          <w:szCs w:val="20"/>
        </w:rPr>
        <w:t>6 years of age and ha</w:t>
      </w:r>
      <w:r w:rsidR="00314EFE" w:rsidRPr="008B5487">
        <w:rPr>
          <w:rFonts w:asciiTheme="majorHAnsi" w:hAnsiTheme="majorHAnsi"/>
          <w:bCs/>
          <w:color w:val="auto"/>
          <w:sz w:val="20"/>
          <w:szCs w:val="20"/>
        </w:rPr>
        <w:t>ving</w:t>
      </w:r>
      <w:r w:rsidR="000A6974" w:rsidRPr="008B5487">
        <w:rPr>
          <w:rFonts w:asciiTheme="majorHAnsi" w:hAnsiTheme="majorHAnsi"/>
          <w:bCs/>
          <w:color w:val="auto"/>
          <w:sz w:val="20"/>
          <w:szCs w:val="20"/>
        </w:rPr>
        <w:t xml:space="preserve"> led him to believe that she was that age; and iv) Mr. Paría </w:t>
      </w:r>
      <w:r w:rsidR="00C176C3" w:rsidRPr="008B5487">
        <w:rPr>
          <w:rFonts w:asciiTheme="majorHAnsi" w:hAnsiTheme="majorHAnsi"/>
          <w:bCs/>
          <w:color w:val="auto"/>
          <w:sz w:val="20"/>
          <w:szCs w:val="20"/>
        </w:rPr>
        <w:t xml:space="preserve">having </w:t>
      </w:r>
      <w:r w:rsidR="000A6974" w:rsidRPr="008B5487">
        <w:rPr>
          <w:rFonts w:asciiTheme="majorHAnsi" w:hAnsiTheme="majorHAnsi"/>
          <w:bCs/>
          <w:color w:val="auto"/>
          <w:sz w:val="20"/>
          <w:szCs w:val="20"/>
        </w:rPr>
        <w:t>lived with the girl in domestic partnership.</w:t>
      </w:r>
      <w:r w:rsidR="00C176C3" w:rsidRPr="008B5487">
        <w:rPr>
          <w:rFonts w:asciiTheme="majorHAnsi" w:hAnsiTheme="majorHAnsi"/>
          <w:bCs/>
          <w:color w:val="auto"/>
          <w:sz w:val="20"/>
          <w:szCs w:val="20"/>
        </w:rPr>
        <w:t xml:space="preserve"> </w:t>
      </w:r>
      <w:r w:rsidR="000A6974" w:rsidRPr="008B5487">
        <w:rPr>
          <w:rFonts w:asciiTheme="majorHAnsi" w:hAnsiTheme="majorHAnsi"/>
          <w:bCs/>
          <w:color w:val="auto"/>
          <w:sz w:val="20"/>
          <w:szCs w:val="20"/>
        </w:rPr>
        <w:t xml:space="preserve"> </w:t>
      </w:r>
      <w:r w:rsidR="000A6974" w:rsidRPr="008B5487">
        <w:rPr>
          <w:rFonts w:asciiTheme="majorHAnsi" w:hAnsiTheme="majorHAnsi"/>
          <w:bCs/>
          <w:color w:val="auto"/>
          <w:sz w:val="20"/>
          <w:szCs w:val="20"/>
        </w:rPr>
        <w:lastRenderedPageBreak/>
        <w:t xml:space="preserve">Once Mr. Paría was convicted, he filed a motion to vacate the conviction on these same grounds. </w:t>
      </w:r>
      <w:r w:rsidR="00C176C3" w:rsidRPr="008B5487">
        <w:rPr>
          <w:rFonts w:asciiTheme="majorHAnsi" w:hAnsiTheme="majorHAnsi"/>
          <w:bCs/>
          <w:color w:val="auto"/>
          <w:sz w:val="20"/>
          <w:szCs w:val="20"/>
        </w:rPr>
        <w:t xml:space="preserve"> </w:t>
      </w:r>
      <w:r w:rsidR="000A6974" w:rsidRPr="008B5487">
        <w:rPr>
          <w:rFonts w:asciiTheme="majorHAnsi" w:hAnsiTheme="majorHAnsi"/>
          <w:bCs/>
          <w:color w:val="auto"/>
          <w:sz w:val="20"/>
          <w:szCs w:val="20"/>
        </w:rPr>
        <w:t xml:space="preserve">Subsequently, in several motions for review of </w:t>
      </w:r>
      <w:r w:rsidR="00C176C3" w:rsidRPr="008B5487">
        <w:rPr>
          <w:rFonts w:asciiTheme="majorHAnsi" w:hAnsiTheme="majorHAnsi"/>
          <w:bCs/>
          <w:color w:val="auto"/>
          <w:sz w:val="20"/>
          <w:szCs w:val="20"/>
        </w:rPr>
        <w:t xml:space="preserve">the judgment filed before the </w:t>
      </w:r>
      <w:r w:rsidR="000A6974" w:rsidRPr="008B5487">
        <w:rPr>
          <w:rFonts w:asciiTheme="majorHAnsi" w:hAnsiTheme="majorHAnsi"/>
          <w:bCs/>
          <w:color w:val="auto"/>
          <w:sz w:val="20"/>
          <w:szCs w:val="20"/>
        </w:rPr>
        <w:t xml:space="preserve">Supreme Court he maintained that he was innocent and that the courts had mistakenly convicted him because </w:t>
      </w:r>
      <w:r w:rsidR="00C176C3" w:rsidRPr="008B5487">
        <w:rPr>
          <w:rFonts w:asciiTheme="majorHAnsi" w:hAnsiTheme="majorHAnsi"/>
          <w:bCs/>
          <w:color w:val="auto"/>
          <w:sz w:val="20"/>
          <w:szCs w:val="20"/>
        </w:rPr>
        <w:t>it</w:t>
      </w:r>
      <w:r w:rsidR="000A6974" w:rsidRPr="008B5487">
        <w:rPr>
          <w:rFonts w:asciiTheme="majorHAnsi" w:hAnsiTheme="majorHAnsi"/>
          <w:bCs/>
          <w:color w:val="auto"/>
          <w:sz w:val="20"/>
          <w:szCs w:val="20"/>
        </w:rPr>
        <w:t xml:space="preserve"> had not </w:t>
      </w:r>
      <w:r w:rsidR="00C176C3" w:rsidRPr="008B5487">
        <w:rPr>
          <w:rFonts w:asciiTheme="majorHAnsi" w:hAnsiTheme="majorHAnsi"/>
          <w:bCs/>
          <w:color w:val="auto"/>
          <w:sz w:val="20"/>
          <w:szCs w:val="20"/>
        </w:rPr>
        <w:t xml:space="preserve">acknowledged his lack of </w:t>
      </w:r>
      <w:r w:rsidR="00C176C3" w:rsidRPr="008B5487">
        <w:rPr>
          <w:rFonts w:asciiTheme="majorHAnsi" w:hAnsiTheme="majorHAnsi"/>
          <w:bCs/>
          <w:i/>
          <w:color w:val="auto"/>
          <w:sz w:val="20"/>
          <w:szCs w:val="20"/>
        </w:rPr>
        <w:t xml:space="preserve">mens rea </w:t>
      </w:r>
      <w:r w:rsidR="00C176C3" w:rsidRPr="008B5487">
        <w:rPr>
          <w:rFonts w:asciiTheme="majorHAnsi" w:hAnsiTheme="majorHAnsi"/>
          <w:bCs/>
          <w:color w:val="auto"/>
          <w:sz w:val="20"/>
          <w:szCs w:val="20"/>
        </w:rPr>
        <w:t>due to the impossibility of knowing that the girl was under the age of 16</w:t>
      </w:r>
      <w:r w:rsidR="000A6974" w:rsidRPr="008B5487">
        <w:rPr>
          <w:rFonts w:asciiTheme="majorHAnsi" w:hAnsiTheme="majorHAnsi"/>
          <w:bCs/>
          <w:color w:val="auto"/>
          <w:sz w:val="20"/>
          <w:szCs w:val="20"/>
        </w:rPr>
        <w:t xml:space="preserve"> and </w:t>
      </w:r>
      <w:r w:rsidR="00C176C3" w:rsidRPr="008B5487">
        <w:rPr>
          <w:rFonts w:asciiTheme="majorHAnsi" w:hAnsiTheme="majorHAnsi"/>
          <w:bCs/>
          <w:color w:val="auto"/>
          <w:sz w:val="20"/>
          <w:szCs w:val="20"/>
        </w:rPr>
        <w:t>it</w:t>
      </w:r>
      <w:r w:rsidR="000A6974" w:rsidRPr="008B5487">
        <w:rPr>
          <w:rFonts w:asciiTheme="majorHAnsi" w:hAnsiTheme="majorHAnsi"/>
          <w:bCs/>
          <w:color w:val="auto"/>
          <w:sz w:val="20"/>
          <w:szCs w:val="20"/>
        </w:rPr>
        <w:t xml:space="preserve"> had not taken into account the girl’s statement.  In the habeas corpus proceedings brought by him before the domestic courts, he argued that his detention was illegal. </w:t>
      </w:r>
      <w:r w:rsidR="00C176C3" w:rsidRPr="008B5487">
        <w:rPr>
          <w:rFonts w:asciiTheme="majorHAnsi" w:hAnsiTheme="majorHAnsi"/>
          <w:bCs/>
          <w:color w:val="auto"/>
          <w:sz w:val="20"/>
          <w:szCs w:val="20"/>
        </w:rPr>
        <w:t xml:space="preserve"> </w:t>
      </w:r>
      <w:r w:rsidR="000A6974" w:rsidRPr="008B5487">
        <w:rPr>
          <w:rFonts w:asciiTheme="majorHAnsi" w:hAnsiTheme="majorHAnsi"/>
          <w:bCs/>
          <w:color w:val="auto"/>
          <w:sz w:val="20"/>
          <w:szCs w:val="20"/>
        </w:rPr>
        <w:t>Now, before the IACHR, he is claiming that he is innocent, that the courts wrongfully convicted him</w:t>
      </w:r>
      <w:r w:rsidR="00C176C3" w:rsidRPr="008B5487">
        <w:rPr>
          <w:rFonts w:asciiTheme="majorHAnsi" w:hAnsiTheme="majorHAnsi"/>
          <w:bCs/>
          <w:color w:val="auto"/>
          <w:sz w:val="20"/>
          <w:szCs w:val="20"/>
        </w:rPr>
        <w:t xml:space="preserve"> by ignoring the girl’s</w:t>
      </w:r>
      <w:r w:rsidR="000A6974" w:rsidRPr="008B5487">
        <w:rPr>
          <w:rFonts w:asciiTheme="majorHAnsi" w:hAnsiTheme="majorHAnsi"/>
          <w:bCs/>
          <w:color w:val="auto"/>
          <w:sz w:val="20"/>
          <w:szCs w:val="20"/>
        </w:rPr>
        <w:t xml:space="preserve"> </w:t>
      </w:r>
      <w:r w:rsidR="00C176C3" w:rsidRPr="008B5487">
        <w:rPr>
          <w:rFonts w:asciiTheme="majorHAnsi" w:hAnsiTheme="majorHAnsi"/>
          <w:bCs/>
          <w:color w:val="auto"/>
          <w:sz w:val="20"/>
          <w:szCs w:val="20"/>
        </w:rPr>
        <w:t>statement and failing to acknowledge his lack of knowledge of the girl’s age</w:t>
      </w:r>
      <w:r w:rsidR="000A6974" w:rsidRPr="008B5487">
        <w:rPr>
          <w:rFonts w:asciiTheme="majorHAnsi" w:hAnsiTheme="majorHAnsi"/>
          <w:bCs/>
          <w:color w:val="auto"/>
          <w:sz w:val="20"/>
          <w:szCs w:val="20"/>
        </w:rPr>
        <w:t xml:space="preserve"> and that his detention is illegal.  </w:t>
      </w:r>
    </w:p>
    <w:p w:rsidR="000A6974" w:rsidRPr="00240490" w:rsidRDefault="000A6974" w:rsidP="000A6974">
      <w:pPr>
        <w:pStyle w:val="ListParagraph"/>
        <w:numPr>
          <w:ilvl w:val="0"/>
          <w:numId w:val="102"/>
        </w:numPr>
        <w:spacing w:before="240" w:after="240"/>
        <w:jc w:val="both"/>
        <w:rPr>
          <w:rFonts w:asciiTheme="majorHAnsi" w:hAnsiTheme="majorHAnsi"/>
          <w:bCs/>
          <w:color w:val="auto"/>
          <w:sz w:val="20"/>
          <w:szCs w:val="20"/>
        </w:rPr>
      </w:pPr>
      <w:r>
        <w:rPr>
          <w:rFonts w:asciiTheme="majorHAnsi" w:hAnsiTheme="majorHAnsi"/>
          <w:bCs/>
          <w:color w:val="auto"/>
          <w:sz w:val="20"/>
          <w:szCs w:val="20"/>
        </w:rPr>
        <w:t xml:space="preserve">The IACHR recalls that it cannot act as a court of review to examine alleged errors of law and of fact, which may have been committed by domestic courts, under the scope of its mandate to ensure observance of the rights enshrined in the American Convention. </w:t>
      </w:r>
      <w:r w:rsidR="00C176C3">
        <w:rPr>
          <w:rFonts w:asciiTheme="majorHAnsi" w:hAnsiTheme="majorHAnsi"/>
          <w:bCs/>
          <w:color w:val="auto"/>
          <w:sz w:val="20"/>
          <w:szCs w:val="20"/>
        </w:rPr>
        <w:t xml:space="preserve"> </w:t>
      </w:r>
      <w:r>
        <w:rPr>
          <w:rFonts w:asciiTheme="majorHAnsi" w:hAnsiTheme="majorHAnsi"/>
          <w:bCs/>
          <w:color w:val="auto"/>
          <w:sz w:val="20"/>
          <w:szCs w:val="20"/>
        </w:rPr>
        <w:t>As such, the Commission is only competent to find a petition admissible and rule on the merits when the petition involves domestic cases that could run afoul of the rights ensured by the Convention.</w:t>
      </w:r>
      <w:r w:rsidRPr="00240490">
        <w:rPr>
          <w:rStyle w:val="FootnoteReference"/>
          <w:rFonts w:asciiTheme="majorHAnsi" w:hAnsiTheme="majorHAnsi"/>
          <w:bCs/>
          <w:color w:val="auto"/>
          <w:sz w:val="20"/>
          <w:szCs w:val="20"/>
        </w:rPr>
        <w:footnoteReference w:id="8"/>
      </w:r>
      <w:r w:rsidR="00195FAB">
        <w:rPr>
          <w:rFonts w:asciiTheme="majorHAnsi" w:hAnsiTheme="majorHAnsi"/>
          <w:bCs/>
          <w:color w:val="auto"/>
          <w:sz w:val="20"/>
          <w:szCs w:val="20"/>
        </w:rPr>
        <w:t xml:space="preserve"> </w:t>
      </w:r>
      <w:r w:rsidR="00C176C3">
        <w:rPr>
          <w:rFonts w:asciiTheme="majorHAnsi" w:hAnsiTheme="majorHAnsi"/>
          <w:bCs/>
          <w:color w:val="auto"/>
          <w:sz w:val="20"/>
          <w:szCs w:val="20"/>
        </w:rPr>
        <w:t xml:space="preserve"> </w:t>
      </w:r>
      <w:r>
        <w:rPr>
          <w:rFonts w:asciiTheme="majorHAnsi" w:hAnsiTheme="majorHAnsi"/>
          <w:bCs/>
          <w:color w:val="auto"/>
          <w:sz w:val="20"/>
          <w:szCs w:val="20"/>
        </w:rPr>
        <w:t>In view of the foregoing, the IACHR finds that the facts recounted</w:t>
      </w:r>
      <w:r w:rsidR="00C176C3">
        <w:rPr>
          <w:rFonts w:asciiTheme="majorHAnsi" w:hAnsiTheme="majorHAnsi"/>
          <w:bCs/>
          <w:color w:val="auto"/>
          <w:sz w:val="20"/>
          <w:szCs w:val="20"/>
        </w:rPr>
        <w:t xml:space="preserve"> by Mr. Paría pertaining to ordinary criminal proceedings which resulted in </w:t>
      </w:r>
      <w:r>
        <w:rPr>
          <w:rFonts w:asciiTheme="majorHAnsi" w:hAnsiTheme="majorHAnsi"/>
          <w:bCs/>
          <w:color w:val="auto"/>
          <w:sz w:val="20"/>
          <w:szCs w:val="20"/>
        </w:rPr>
        <w:t>his conviction and the actions of the judicial authorities do not tend to establish violations of the rights enshrined in Article</w:t>
      </w:r>
      <w:r w:rsidR="00A47C7B">
        <w:rPr>
          <w:rFonts w:asciiTheme="majorHAnsi" w:hAnsiTheme="majorHAnsi"/>
          <w:bCs/>
          <w:color w:val="auto"/>
          <w:sz w:val="20"/>
          <w:szCs w:val="20"/>
        </w:rPr>
        <w:t>s</w:t>
      </w:r>
      <w:r>
        <w:rPr>
          <w:rFonts w:asciiTheme="majorHAnsi" w:hAnsiTheme="majorHAnsi"/>
          <w:bCs/>
          <w:color w:val="auto"/>
          <w:sz w:val="20"/>
          <w:szCs w:val="20"/>
        </w:rPr>
        <w:t xml:space="preserve"> 7 (</w:t>
      </w:r>
      <w:r w:rsidR="00535473">
        <w:rPr>
          <w:rFonts w:asciiTheme="majorHAnsi" w:hAnsiTheme="majorHAnsi"/>
          <w:bCs/>
          <w:color w:val="auto"/>
          <w:sz w:val="20"/>
          <w:szCs w:val="20"/>
        </w:rPr>
        <w:t>Right to Personal Liberty)</w:t>
      </w:r>
      <w:r>
        <w:rPr>
          <w:rFonts w:asciiTheme="majorHAnsi" w:hAnsiTheme="majorHAnsi"/>
          <w:bCs/>
          <w:color w:val="auto"/>
          <w:sz w:val="20"/>
          <w:szCs w:val="20"/>
        </w:rPr>
        <w:t>, 8 (</w:t>
      </w:r>
      <w:r w:rsidR="00535473">
        <w:rPr>
          <w:rFonts w:asciiTheme="majorHAnsi" w:hAnsiTheme="majorHAnsi"/>
          <w:bCs/>
          <w:color w:val="auto"/>
          <w:sz w:val="20"/>
          <w:szCs w:val="20"/>
        </w:rPr>
        <w:t xml:space="preserve">Right to a </w:t>
      </w:r>
      <w:r>
        <w:rPr>
          <w:rFonts w:asciiTheme="majorHAnsi" w:hAnsiTheme="majorHAnsi"/>
          <w:bCs/>
          <w:color w:val="auto"/>
          <w:sz w:val="20"/>
          <w:szCs w:val="20"/>
        </w:rPr>
        <w:t xml:space="preserve">Fair Trial), 9 (Freedom from Ex </w:t>
      </w:r>
      <w:r w:rsidR="00535473">
        <w:rPr>
          <w:rFonts w:asciiTheme="majorHAnsi" w:hAnsiTheme="majorHAnsi"/>
          <w:bCs/>
          <w:color w:val="auto"/>
          <w:sz w:val="20"/>
          <w:szCs w:val="20"/>
        </w:rPr>
        <w:t>P</w:t>
      </w:r>
      <w:r>
        <w:rPr>
          <w:rFonts w:asciiTheme="majorHAnsi" w:hAnsiTheme="majorHAnsi"/>
          <w:bCs/>
          <w:color w:val="auto"/>
          <w:sz w:val="20"/>
          <w:szCs w:val="20"/>
        </w:rPr>
        <w:t xml:space="preserve">ost </w:t>
      </w:r>
      <w:r w:rsidR="00535473">
        <w:rPr>
          <w:rFonts w:asciiTheme="majorHAnsi" w:hAnsiTheme="majorHAnsi"/>
          <w:bCs/>
          <w:color w:val="auto"/>
          <w:sz w:val="20"/>
          <w:szCs w:val="20"/>
        </w:rPr>
        <w:t>F</w:t>
      </w:r>
      <w:r>
        <w:rPr>
          <w:rFonts w:asciiTheme="majorHAnsi" w:hAnsiTheme="majorHAnsi"/>
          <w:bCs/>
          <w:color w:val="auto"/>
          <w:sz w:val="20"/>
          <w:szCs w:val="20"/>
        </w:rPr>
        <w:t xml:space="preserve">acto </w:t>
      </w:r>
      <w:r w:rsidR="00535473">
        <w:rPr>
          <w:rFonts w:asciiTheme="majorHAnsi" w:hAnsiTheme="majorHAnsi"/>
          <w:bCs/>
          <w:color w:val="auto"/>
          <w:sz w:val="20"/>
          <w:szCs w:val="20"/>
        </w:rPr>
        <w:t>L</w:t>
      </w:r>
      <w:r>
        <w:rPr>
          <w:rFonts w:asciiTheme="majorHAnsi" w:hAnsiTheme="majorHAnsi"/>
          <w:bCs/>
          <w:color w:val="auto"/>
          <w:sz w:val="20"/>
          <w:szCs w:val="20"/>
        </w:rPr>
        <w:t>aw</w:t>
      </w:r>
      <w:r w:rsidR="00535473">
        <w:rPr>
          <w:rFonts w:asciiTheme="majorHAnsi" w:hAnsiTheme="majorHAnsi"/>
          <w:bCs/>
          <w:color w:val="auto"/>
          <w:sz w:val="20"/>
          <w:szCs w:val="20"/>
        </w:rPr>
        <w:t>s</w:t>
      </w:r>
      <w:r>
        <w:rPr>
          <w:rFonts w:asciiTheme="majorHAnsi" w:hAnsiTheme="majorHAnsi"/>
          <w:bCs/>
          <w:color w:val="auto"/>
          <w:sz w:val="20"/>
          <w:szCs w:val="20"/>
        </w:rPr>
        <w:t>), 10 (Right to Compensation)</w:t>
      </w:r>
      <w:r w:rsidR="00535473">
        <w:rPr>
          <w:rFonts w:asciiTheme="majorHAnsi" w:hAnsiTheme="majorHAnsi"/>
          <w:bCs/>
          <w:color w:val="auto"/>
          <w:sz w:val="20"/>
          <w:szCs w:val="20"/>
        </w:rPr>
        <w:t xml:space="preserve">, </w:t>
      </w:r>
      <w:r>
        <w:rPr>
          <w:rFonts w:asciiTheme="majorHAnsi" w:hAnsiTheme="majorHAnsi"/>
          <w:bCs/>
          <w:color w:val="auto"/>
          <w:sz w:val="20"/>
          <w:szCs w:val="20"/>
        </w:rPr>
        <w:t>11 (</w:t>
      </w:r>
      <w:r w:rsidR="00535473">
        <w:rPr>
          <w:rFonts w:asciiTheme="majorHAnsi" w:hAnsiTheme="majorHAnsi"/>
          <w:bCs/>
          <w:color w:val="auto"/>
          <w:sz w:val="20"/>
          <w:szCs w:val="20"/>
        </w:rPr>
        <w:t xml:space="preserve">Right to </w:t>
      </w:r>
      <w:r>
        <w:rPr>
          <w:rFonts w:asciiTheme="majorHAnsi" w:hAnsiTheme="majorHAnsi"/>
          <w:bCs/>
          <w:color w:val="auto"/>
          <w:sz w:val="20"/>
          <w:szCs w:val="20"/>
        </w:rPr>
        <w:t>Privacy) and 25 (</w:t>
      </w:r>
      <w:r w:rsidR="00535473">
        <w:rPr>
          <w:rFonts w:asciiTheme="majorHAnsi" w:hAnsiTheme="majorHAnsi"/>
          <w:bCs/>
          <w:color w:val="auto"/>
          <w:sz w:val="20"/>
          <w:szCs w:val="20"/>
        </w:rPr>
        <w:t xml:space="preserve">Right to </w:t>
      </w:r>
      <w:r>
        <w:rPr>
          <w:rFonts w:asciiTheme="majorHAnsi" w:hAnsiTheme="majorHAnsi"/>
          <w:bCs/>
          <w:color w:val="auto"/>
          <w:sz w:val="20"/>
          <w:szCs w:val="20"/>
        </w:rPr>
        <w:t xml:space="preserve">Judicial Protection) of the Convention. </w:t>
      </w:r>
    </w:p>
    <w:p w:rsidR="000A6974" w:rsidRPr="00987664" w:rsidRDefault="000A6974" w:rsidP="00987664">
      <w:pPr>
        <w:pStyle w:val="ListParagraph"/>
        <w:numPr>
          <w:ilvl w:val="0"/>
          <w:numId w:val="102"/>
        </w:numPr>
        <w:spacing w:before="240" w:after="240"/>
        <w:jc w:val="both"/>
        <w:rPr>
          <w:sz w:val="20"/>
          <w:szCs w:val="20"/>
          <w:u w:val="single"/>
          <w:lang w:eastAsia="en-US"/>
        </w:rPr>
      </w:pPr>
      <w:r>
        <w:rPr>
          <w:bCs/>
          <w:sz w:val="20"/>
          <w:szCs w:val="20"/>
        </w:rPr>
        <w:t xml:space="preserve">Likewise, the Commission finds that the facts as stated by the petitioner do not prove any potential colorable claim to violation of the rights enshrined in Article 17 (Rights of the Family) and 19 (Rights of the Child) of the American Convention. </w:t>
      </w:r>
    </w:p>
    <w:p w:rsidR="000A6974" w:rsidRPr="00240490" w:rsidRDefault="000A6974" w:rsidP="000A6974">
      <w:pPr>
        <w:pStyle w:val="ListParagraph"/>
        <w:numPr>
          <w:ilvl w:val="0"/>
          <w:numId w:val="102"/>
        </w:numPr>
        <w:jc w:val="both"/>
        <w:rPr>
          <w:rFonts w:eastAsia="Times New Roman" w:cs="Times New Roman"/>
          <w:color w:val="auto"/>
          <w:sz w:val="20"/>
          <w:szCs w:val="20"/>
          <w:bdr w:val="none" w:sz="0" w:space="0" w:color="auto"/>
          <w:lang w:eastAsia="en-US"/>
        </w:rPr>
      </w:pPr>
      <w:r>
        <w:rPr>
          <w:sz w:val="20"/>
          <w:szCs w:val="20"/>
        </w:rPr>
        <w:t xml:space="preserve">The Inter-American Commission has previously established that, once the American Convention comes into force on a State, the American Convention, and not the American Declaration, becomes the primary source of law applicable by the Commission, provided that the petition involves the alleged violation of rights identical to both instruments and does not involve a situation of ongoing violation. </w:t>
      </w:r>
      <w:r w:rsidR="00E5689F">
        <w:rPr>
          <w:sz w:val="20"/>
          <w:szCs w:val="20"/>
        </w:rPr>
        <w:t>Therefore, in t</w:t>
      </w:r>
      <w:r w:rsidR="00A86C8F">
        <w:rPr>
          <w:sz w:val="20"/>
          <w:szCs w:val="20"/>
        </w:rPr>
        <w:t xml:space="preserve">he present case </w:t>
      </w:r>
      <w:r w:rsidR="00E5689F">
        <w:rPr>
          <w:sz w:val="20"/>
          <w:szCs w:val="20"/>
        </w:rPr>
        <w:t xml:space="preserve">it is not </w:t>
      </w:r>
      <w:r w:rsidR="00CF2E9B">
        <w:rPr>
          <w:sz w:val="20"/>
          <w:szCs w:val="20"/>
        </w:rPr>
        <w:t>necessary to declare</w:t>
      </w:r>
      <w:r w:rsidR="00A86C8F">
        <w:rPr>
          <w:sz w:val="20"/>
          <w:szCs w:val="20"/>
        </w:rPr>
        <w:t xml:space="preserve"> admissible the articles of the American Declaration invoked by </w:t>
      </w:r>
      <w:r w:rsidR="00C728A2">
        <w:rPr>
          <w:sz w:val="20"/>
          <w:szCs w:val="20"/>
        </w:rPr>
        <w:t>the alleged victim.</w:t>
      </w:r>
    </w:p>
    <w:p w:rsidR="000A6974" w:rsidRPr="00240490" w:rsidRDefault="000A6974" w:rsidP="000A6974">
      <w:pPr>
        <w:pStyle w:val="ListParagraph"/>
        <w:jc w:val="both"/>
        <w:rPr>
          <w:rFonts w:eastAsia="Times New Roman" w:cs="Times New Roman"/>
          <w:color w:val="auto"/>
          <w:sz w:val="20"/>
          <w:szCs w:val="20"/>
          <w:bdr w:val="none" w:sz="0" w:space="0" w:color="auto"/>
          <w:lang w:eastAsia="en-US"/>
        </w:rPr>
      </w:pPr>
    </w:p>
    <w:p w:rsidR="000A6974" w:rsidRPr="00240490" w:rsidRDefault="000A6974" w:rsidP="000A6974">
      <w:pPr>
        <w:pStyle w:val="ListParagraph"/>
        <w:numPr>
          <w:ilvl w:val="0"/>
          <w:numId w:val="102"/>
        </w:numPr>
        <w:jc w:val="both"/>
        <w:rPr>
          <w:rFonts w:eastAsia="Times New Roman" w:cs="Times New Roman"/>
          <w:color w:val="auto"/>
          <w:sz w:val="20"/>
          <w:szCs w:val="20"/>
          <w:bdr w:val="none" w:sz="0" w:space="0" w:color="auto"/>
          <w:lang w:eastAsia="en-US"/>
        </w:rPr>
      </w:pPr>
      <w:r>
        <w:rPr>
          <w:sz w:val="20"/>
          <w:szCs w:val="20"/>
        </w:rPr>
        <w:t xml:space="preserve">Lastly, the Commission recalls that it is not competent to declare violations of rights enshrined in the Universal Declaration of Human Rights and the International Covenant on Civil and Political Rights, but it does have the legal authority to resort to the standards thereof for purposes of interpreting the provisions of the American Convention, by virtue of Article 29 of the Convention. </w:t>
      </w:r>
    </w:p>
    <w:p w:rsidR="000A6974" w:rsidRPr="00240490" w:rsidRDefault="000A6974" w:rsidP="000A6974">
      <w:pPr>
        <w:pStyle w:val="ListParagraph"/>
        <w:spacing w:before="240" w:after="240"/>
        <w:jc w:val="both"/>
        <w:rPr>
          <w:rFonts w:asciiTheme="majorHAnsi" w:hAnsiTheme="majorHAnsi"/>
          <w:b/>
          <w:bCs/>
          <w:sz w:val="20"/>
          <w:szCs w:val="20"/>
        </w:rPr>
      </w:pPr>
      <w:r w:rsidRPr="00240490">
        <w:rPr>
          <w:rFonts w:asciiTheme="majorHAnsi" w:hAnsiTheme="majorHAnsi"/>
          <w:b/>
          <w:bCs/>
          <w:sz w:val="20"/>
          <w:szCs w:val="20"/>
        </w:rPr>
        <w:t xml:space="preserve">VIII. </w:t>
      </w:r>
      <w:r w:rsidRPr="00240490">
        <w:rPr>
          <w:rFonts w:asciiTheme="majorHAnsi" w:hAnsiTheme="majorHAnsi"/>
          <w:b/>
          <w:bCs/>
          <w:sz w:val="20"/>
          <w:szCs w:val="20"/>
        </w:rPr>
        <w:tab/>
      </w:r>
      <w:r>
        <w:rPr>
          <w:rFonts w:asciiTheme="majorHAnsi" w:hAnsiTheme="majorHAnsi"/>
          <w:b/>
          <w:bCs/>
          <w:sz w:val="20"/>
          <w:szCs w:val="20"/>
        </w:rPr>
        <w:t>DECISIO</w:t>
      </w:r>
      <w:r w:rsidRPr="00240490">
        <w:rPr>
          <w:rFonts w:asciiTheme="majorHAnsi" w:hAnsiTheme="majorHAnsi"/>
          <w:b/>
          <w:bCs/>
          <w:sz w:val="20"/>
          <w:szCs w:val="20"/>
        </w:rPr>
        <w:t>N</w:t>
      </w:r>
    </w:p>
    <w:p w:rsidR="000A6974" w:rsidRPr="00240490" w:rsidRDefault="000A6974" w:rsidP="000A6974">
      <w:pPr>
        <w:pStyle w:val="ListParagraph"/>
        <w:numPr>
          <w:ilvl w:val="0"/>
          <w:numId w:val="108"/>
        </w:numPr>
        <w:suppressAutoHyphens/>
        <w:spacing w:before="240" w:after="240"/>
        <w:jc w:val="both"/>
        <w:rPr>
          <w:rFonts w:asciiTheme="majorHAnsi" w:hAnsiTheme="majorHAnsi"/>
          <w:sz w:val="20"/>
          <w:szCs w:val="20"/>
        </w:rPr>
      </w:pPr>
      <w:r>
        <w:rPr>
          <w:rFonts w:asciiTheme="majorHAnsi" w:hAnsiTheme="majorHAnsi"/>
          <w:sz w:val="20"/>
          <w:szCs w:val="20"/>
        </w:rPr>
        <w:t>To declare the instant petition admissible with regard to Articles 5, 8, 24 and 25 of the American Convention, in connection with Articles 1.1 and 2 of the same instrument.</w:t>
      </w:r>
      <w:r w:rsidRPr="00240490">
        <w:rPr>
          <w:rFonts w:asciiTheme="majorHAnsi" w:hAnsiTheme="majorHAnsi"/>
          <w:sz w:val="20"/>
          <w:szCs w:val="20"/>
        </w:rPr>
        <w:t>;</w:t>
      </w:r>
    </w:p>
    <w:p w:rsidR="000A6974" w:rsidRPr="00240490" w:rsidRDefault="000A6974" w:rsidP="000A6974">
      <w:pPr>
        <w:pStyle w:val="ListParagraph"/>
        <w:numPr>
          <w:ilvl w:val="0"/>
          <w:numId w:val="108"/>
        </w:numPr>
        <w:suppressAutoHyphens/>
        <w:spacing w:before="240" w:after="240"/>
        <w:jc w:val="both"/>
        <w:rPr>
          <w:rFonts w:asciiTheme="majorHAnsi" w:hAnsiTheme="majorHAnsi"/>
          <w:sz w:val="20"/>
          <w:szCs w:val="20"/>
        </w:rPr>
      </w:pPr>
      <w:r>
        <w:rPr>
          <w:rFonts w:asciiTheme="majorHAnsi" w:hAnsiTheme="majorHAnsi"/>
          <w:sz w:val="20"/>
          <w:szCs w:val="20"/>
        </w:rPr>
        <w:t xml:space="preserve">To declare the instant petition inadmissible with regard to Articles 7, 9, 10, 11, 17 and 19 of the American Convention; </w:t>
      </w:r>
    </w:p>
    <w:p w:rsidR="000A6974" w:rsidRPr="00240490" w:rsidRDefault="000A6974" w:rsidP="000A6974">
      <w:pPr>
        <w:pStyle w:val="ListParagraph"/>
        <w:numPr>
          <w:ilvl w:val="0"/>
          <w:numId w:val="108"/>
        </w:numPr>
        <w:suppressAutoHyphens/>
        <w:spacing w:before="240" w:after="240"/>
        <w:jc w:val="both"/>
        <w:rPr>
          <w:rFonts w:asciiTheme="majorHAnsi" w:hAnsiTheme="majorHAnsi"/>
          <w:sz w:val="20"/>
          <w:szCs w:val="20"/>
        </w:rPr>
      </w:pPr>
      <w:r>
        <w:rPr>
          <w:rFonts w:asciiTheme="majorHAnsi" w:hAnsiTheme="majorHAnsi"/>
          <w:sz w:val="20"/>
          <w:szCs w:val="20"/>
        </w:rPr>
        <w:t>To notify the parties of the instant decision;</w:t>
      </w:r>
    </w:p>
    <w:p w:rsidR="000A6974" w:rsidRPr="00240490" w:rsidRDefault="000A6974" w:rsidP="000A6974">
      <w:pPr>
        <w:pStyle w:val="ListParagraph"/>
        <w:numPr>
          <w:ilvl w:val="0"/>
          <w:numId w:val="108"/>
        </w:numPr>
        <w:suppressAutoHyphens/>
        <w:spacing w:before="240" w:after="240"/>
        <w:jc w:val="both"/>
        <w:rPr>
          <w:rFonts w:asciiTheme="majorHAnsi" w:hAnsiTheme="majorHAnsi"/>
          <w:sz w:val="20"/>
          <w:szCs w:val="20"/>
        </w:rPr>
      </w:pPr>
      <w:r>
        <w:rPr>
          <w:rFonts w:asciiTheme="majorHAnsi" w:hAnsiTheme="majorHAnsi"/>
          <w:sz w:val="20"/>
          <w:szCs w:val="20"/>
        </w:rPr>
        <w:t>To proceed to the examination of the merits of the matter; and</w:t>
      </w:r>
    </w:p>
    <w:p w:rsidR="000A6974" w:rsidRDefault="000A6974" w:rsidP="000A6974">
      <w:pPr>
        <w:pStyle w:val="ListParagraph"/>
        <w:numPr>
          <w:ilvl w:val="0"/>
          <w:numId w:val="108"/>
        </w:numPr>
        <w:suppressAutoHyphens/>
        <w:spacing w:before="240" w:after="240"/>
        <w:jc w:val="both"/>
        <w:rPr>
          <w:rFonts w:asciiTheme="majorHAnsi" w:hAnsiTheme="majorHAnsi"/>
          <w:sz w:val="20"/>
          <w:szCs w:val="20"/>
        </w:rPr>
      </w:pPr>
      <w:r>
        <w:rPr>
          <w:rFonts w:asciiTheme="majorHAnsi" w:hAnsiTheme="majorHAnsi"/>
          <w:sz w:val="20"/>
          <w:szCs w:val="20"/>
        </w:rPr>
        <w:t xml:space="preserve">To publish this decision and include it in the IACHR’s Annual Report to the General Assembly of the Organization of American States. </w:t>
      </w:r>
    </w:p>
    <w:p w:rsidR="000F41B6" w:rsidRDefault="000F41B6" w:rsidP="000F41B6">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napToGrid w:val="0"/>
          <w:spacing w:val="-2"/>
          <w:sz w:val="20"/>
          <w:szCs w:val="20"/>
          <w:bdr w:val="none" w:sz="0" w:space="0" w:color="auto"/>
        </w:rPr>
      </w:pPr>
      <w:r w:rsidRPr="007643D8">
        <w:rPr>
          <w:rFonts w:ascii="Cambria" w:eastAsia="Times New Roman" w:hAnsi="Cambria"/>
          <w:snapToGrid w:val="0"/>
          <w:spacing w:val="-2"/>
          <w:sz w:val="20"/>
          <w:szCs w:val="20"/>
          <w:bdr w:val="none" w:sz="0" w:space="0" w:color="auto"/>
        </w:rPr>
        <w:t xml:space="preserve">Approved by the Inter-American Commission on Human Rights in the city of </w:t>
      </w:r>
      <w:r>
        <w:rPr>
          <w:rFonts w:ascii="Cambria" w:eastAsia="Times New Roman" w:hAnsi="Cambria"/>
          <w:snapToGrid w:val="0"/>
          <w:spacing w:val="-2"/>
          <w:sz w:val="20"/>
          <w:szCs w:val="20"/>
          <w:bdr w:val="none" w:sz="0" w:space="0" w:color="auto"/>
        </w:rPr>
        <w:t>M</w:t>
      </w:r>
      <w:r w:rsidRPr="007643D8">
        <w:rPr>
          <w:rFonts w:ascii="Cambria" w:eastAsia="Times New Roman" w:hAnsi="Cambria"/>
          <w:snapToGrid w:val="0"/>
          <w:spacing w:val="-2"/>
          <w:sz w:val="20"/>
          <w:szCs w:val="20"/>
          <w:bdr w:val="none" w:sz="0" w:space="0" w:color="auto"/>
        </w:rPr>
        <w:t xml:space="preserve">éxico, on the 7 day of the month of September, 2017. (Signed):  Margarette May Macaulay, First Vice President; Esmeralda E. Arosemena </w:t>
      </w:r>
      <w:r w:rsidRPr="007643D8">
        <w:rPr>
          <w:rFonts w:ascii="Cambria" w:eastAsia="Times New Roman" w:hAnsi="Cambria"/>
          <w:snapToGrid w:val="0"/>
          <w:spacing w:val="-2"/>
          <w:sz w:val="20"/>
          <w:szCs w:val="20"/>
          <w:bdr w:val="none" w:sz="0" w:space="0" w:color="auto"/>
        </w:rPr>
        <w:lastRenderedPageBreak/>
        <w:t>Bernal de Troitiño, Second Vice President; José de Jesús Orozco Henríquez, Paulo Vannuchi, James L. Cavallaro, and Luis Ernesto Vargas Silva, Commissioners</w:t>
      </w:r>
      <w:r>
        <w:rPr>
          <w:rFonts w:ascii="Cambria" w:eastAsia="Times New Roman" w:hAnsi="Cambria"/>
          <w:snapToGrid w:val="0"/>
          <w:spacing w:val="-2"/>
          <w:sz w:val="20"/>
          <w:szCs w:val="20"/>
          <w:bdr w:val="none" w:sz="0" w:space="0" w:color="auto"/>
        </w:rPr>
        <w:t>.</w:t>
      </w:r>
    </w:p>
    <w:p w:rsidR="000F41B6" w:rsidRPr="000F41B6" w:rsidRDefault="000F41B6" w:rsidP="000F41B6">
      <w:pPr>
        <w:suppressAutoHyphens/>
        <w:spacing w:before="240" w:after="240"/>
        <w:jc w:val="both"/>
        <w:rPr>
          <w:rFonts w:asciiTheme="majorHAnsi" w:hAnsiTheme="majorHAnsi"/>
          <w:sz w:val="20"/>
          <w:szCs w:val="20"/>
        </w:rPr>
      </w:pPr>
    </w:p>
    <w:p w:rsidR="00706D3C" w:rsidRPr="00F7213E" w:rsidRDefault="00706D3C" w:rsidP="00706D3C">
      <w:pPr>
        <w:tabs>
          <w:tab w:val="center" w:pos="5400"/>
        </w:tabs>
        <w:suppressAutoHyphens/>
        <w:jc w:val="center"/>
        <w:rPr>
          <w:rFonts w:asciiTheme="majorHAnsi" w:hAnsiTheme="majorHAnsi"/>
          <w:sz w:val="20"/>
          <w:szCs w:val="20"/>
        </w:rPr>
      </w:pPr>
    </w:p>
    <w:sectPr w:rsidR="00706D3C" w:rsidRPr="00F7213E" w:rsidSect="000A697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ED4" w:rsidRDefault="005B3ED4" w:rsidP="00036A8A">
      <w:r>
        <w:separator/>
      </w:r>
    </w:p>
  </w:endnote>
  <w:endnote w:type="continuationSeparator" w:id="0">
    <w:p w:rsidR="005B3ED4" w:rsidRDefault="005B3ED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E8" w:rsidRDefault="00031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BA56FB" w:rsidRPr="006311DA" w:rsidRDefault="00BA56F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312E8">
          <w:rPr>
            <w:noProof/>
            <w:sz w:val="16"/>
          </w:rPr>
          <w:t>1</w:t>
        </w:r>
        <w:r w:rsidRPr="006311DA">
          <w:rPr>
            <w:noProof/>
            <w:sz w:val="16"/>
          </w:rPr>
          <w:fldChar w:fldCharType="end"/>
        </w:r>
      </w:p>
    </w:sdtContent>
  </w:sdt>
  <w:p w:rsidR="00BA56FB" w:rsidRDefault="00BA56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6FB" w:rsidRDefault="00BA56FB">
    <w:pPr>
      <w:pStyle w:val="Footer"/>
      <w:jc w:val="center"/>
    </w:pPr>
  </w:p>
  <w:p w:rsidR="00BA56FB" w:rsidRDefault="00BA5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ED4" w:rsidRPr="00036A8A" w:rsidRDefault="005B3ED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5B3ED4" w:rsidRPr="00036A8A" w:rsidRDefault="005B3ED4" w:rsidP="00036A8A">
      <w:pPr>
        <w:rPr>
          <w:rFonts w:asciiTheme="majorHAnsi" w:hAnsiTheme="majorHAnsi"/>
          <w:sz w:val="16"/>
          <w:szCs w:val="16"/>
        </w:rPr>
      </w:pPr>
      <w:r w:rsidRPr="00036A8A">
        <w:rPr>
          <w:rFonts w:asciiTheme="majorHAnsi" w:hAnsiTheme="majorHAnsi"/>
          <w:sz w:val="16"/>
          <w:szCs w:val="16"/>
        </w:rPr>
        <w:separator/>
      </w:r>
    </w:p>
    <w:p w:rsidR="005B3ED4" w:rsidRPr="00036A8A" w:rsidRDefault="005B3ED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5B3ED4" w:rsidRPr="0093441A" w:rsidRDefault="005B3ED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0A6974" w:rsidRPr="005A220C" w:rsidRDefault="000A6974" w:rsidP="000A6974">
      <w:pPr>
        <w:pStyle w:val="FootnoteText"/>
        <w:spacing w:before="120"/>
        <w:ind w:firstLine="720"/>
        <w:jc w:val="both"/>
        <w:rPr>
          <w:rFonts w:asciiTheme="majorHAnsi" w:hAnsiTheme="majorHAnsi"/>
          <w:color w:val="0070C0"/>
          <w:sz w:val="16"/>
          <w:szCs w:val="16"/>
        </w:rPr>
      </w:pPr>
      <w:r w:rsidRPr="005A220C">
        <w:rPr>
          <w:rStyle w:val="FootnoteReference"/>
          <w:rFonts w:asciiTheme="majorHAnsi" w:hAnsiTheme="majorHAnsi"/>
          <w:color w:val="auto"/>
          <w:sz w:val="16"/>
          <w:szCs w:val="16"/>
        </w:rPr>
        <w:footnoteRef/>
      </w:r>
      <w:r w:rsidRPr="005A220C">
        <w:rPr>
          <w:rFonts w:asciiTheme="majorHAnsi" w:hAnsiTheme="majorHAnsi"/>
          <w:color w:val="auto"/>
          <w:sz w:val="16"/>
          <w:szCs w:val="16"/>
        </w:rPr>
        <w:t xml:space="preserve"> </w:t>
      </w:r>
      <w:r>
        <w:rPr>
          <w:rFonts w:asciiTheme="majorHAnsi" w:hAnsiTheme="majorHAnsi"/>
          <w:color w:val="auto"/>
          <w:sz w:val="16"/>
          <w:szCs w:val="16"/>
        </w:rPr>
        <w:t xml:space="preserve">In keeping with </w:t>
      </w:r>
      <w:r w:rsidRPr="005A220C">
        <w:rPr>
          <w:rFonts w:asciiTheme="majorHAnsi" w:hAnsiTheme="majorHAnsi"/>
          <w:color w:val="auto"/>
          <w:sz w:val="16"/>
          <w:szCs w:val="16"/>
        </w:rPr>
        <w:t xml:space="preserve">Article 17.2.a of the Commission’s Rules of Procedure, </w:t>
      </w:r>
      <w:r>
        <w:rPr>
          <w:rFonts w:asciiTheme="majorHAnsi" w:hAnsiTheme="majorHAnsi"/>
          <w:color w:val="auto"/>
          <w:sz w:val="16"/>
          <w:szCs w:val="16"/>
        </w:rPr>
        <w:t xml:space="preserve">Peruvian national, </w:t>
      </w:r>
      <w:r w:rsidRPr="005A220C">
        <w:rPr>
          <w:rFonts w:asciiTheme="majorHAnsi" w:hAnsiTheme="majorHAnsi"/>
          <w:color w:val="auto"/>
          <w:sz w:val="16"/>
          <w:szCs w:val="16"/>
        </w:rPr>
        <w:t>Commis</w:t>
      </w:r>
      <w:r>
        <w:rPr>
          <w:rFonts w:asciiTheme="majorHAnsi" w:hAnsiTheme="majorHAnsi"/>
          <w:color w:val="auto"/>
          <w:sz w:val="16"/>
          <w:szCs w:val="16"/>
        </w:rPr>
        <w:t>s</w:t>
      </w:r>
      <w:r w:rsidRPr="005A220C">
        <w:rPr>
          <w:rFonts w:asciiTheme="majorHAnsi" w:hAnsiTheme="majorHAnsi"/>
          <w:color w:val="auto"/>
          <w:sz w:val="16"/>
          <w:szCs w:val="16"/>
        </w:rPr>
        <w:t>ion</w:t>
      </w:r>
      <w:r>
        <w:rPr>
          <w:rFonts w:asciiTheme="majorHAnsi" w:hAnsiTheme="majorHAnsi"/>
          <w:color w:val="auto"/>
          <w:sz w:val="16"/>
          <w:szCs w:val="16"/>
        </w:rPr>
        <w:t xml:space="preserve">er Francisco Jose Eguiguren Praeli, </w:t>
      </w:r>
      <w:r w:rsidRPr="005A220C">
        <w:rPr>
          <w:rFonts w:asciiTheme="majorHAnsi" w:hAnsiTheme="majorHAnsi" w:cs="Arial"/>
          <w:color w:val="auto"/>
          <w:sz w:val="16"/>
          <w:szCs w:val="16"/>
        </w:rPr>
        <w:t xml:space="preserve">did not </w:t>
      </w:r>
      <w:r>
        <w:rPr>
          <w:rFonts w:asciiTheme="majorHAnsi" w:hAnsiTheme="majorHAnsi" w:cs="Arial"/>
          <w:color w:val="auto"/>
          <w:sz w:val="16"/>
          <w:szCs w:val="16"/>
        </w:rPr>
        <w:t>take part in the discussion or the decision-making in the instant matter</w:t>
      </w:r>
      <w:r w:rsidRPr="005A220C">
        <w:rPr>
          <w:rFonts w:asciiTheme="majorHAnsi" w:hAnsiTheme="majorHAnsi" w:cs="Arial"/>
          <w:color w:val="auto"/>
          <w:sz w:val="16"/>
          <w:szCs w:val="16"/>
        </w:rPr>
        <w:t xml:space="preserve">. </w:t>
      </w:r>
    </w:p>
  </w:footnote>
  <w:footnote w:id="3">
    <w:p w:rsidR="000A6974" w:rsidRPr="005A220C" w:rsidRDefault="000A6974" w:rsidP="000A6974">
      <w:pPr>
        <w:pStyle w:val="FootnoteText"/>
        <w:spacing w:before="120"/>
        <w:ind w:firstLine="720"/>
        <w:jc w:val="both"/>
        <w:rPr>
          <w:rFonts w:asciiTheme="majorHAnsi" w:hAnsiTheme="majorHAnsi"/>
          <w:sz w:val="16"/>
          <w:szCs w:val="16"/>
        </w:rPr>
      </w:pPr>
      <w:r w:rsidRPr="005A220C">
        <w:rPr>
          <w:rStyle w:val="FootnoteReference"/>
          <w:rFonts w:asciiTheme="majorHAnsi" w:hAnsiTheme="majorHAnsi"/>
          <w:sz w:val="16"/>
          <w:szCs w:val="16"/>
        </w:rPr>
        <w:footnoteRef/>
      </w:r>
      <w:r w:rsidRPr="005A220C">
        <w:rPr>
          <w:rFonts w:asciiTheme="majorHAnsi" w:hAnsiTheme="majorHAnsi"/>
          <w:sz w:val="16"/>
          <w:szCs w:val="16"/>
        </w:rPr>
        <w:t xml:space="preserve"> </w:t>
      </w:r>
      <w:r>
        <w:rPr>
          <w:rFonts w:asciiTheme="majorHAnsi" w:hAnsiTheme="majorHAnsi"/>
          <w:sz w:val="16"/>
          <w:szCs w:val="16"/>
        </w:rPr>
        <w:t xml:space="preserve">Hereinafter “the Convention” or “the American Convention.” </w:t>
      </w:r>
    </w:p>
  </w:footnote>
  <w:footnote w:id="4">
    <w:p w:rsidR="000A6974" w:rsidRPr="005A220C" w:rsidRDefault="000A6974" w:rsidP="000A6974">
      <w:pPr>
        <w:pStyle w:val="FootnoteText"/>
        <w:spacing w:before="120"/>
        <w:ind w:firstLine="720"/>
        <w:jc w:val="both"/>
        <w:rPr>
          <w:rFonts w:asciiTheme="majorHAnsi" w:hAnsiTheme="majorHAnsi"/>
          <w:sz w:val="16"/>
          <w:szCs w:val="16"/>
        </w:rPr>
      </w:pPr>
      <w:r w:rsidRPr="005A220C">
        <w:rPr>
          <w:rStyle w:val="FootnoteReference"/>
          <w:rFonts w:asciiTheme="majorHAnsi" w:hAnsiTheme="majorHAnsi"/>
          <w:sz w:val="16"/>
          <w:szCs w:val="16"/>
        </w:rPr>
        <w:footnoteRef/>
      </w:r>
      <w:r w:rsidRPr="005A220C">
        <w:rPr>
          <w:rFonts w:asciiTheme="majorHAnsi" w:hAnsiTheme="majorHAnsi"/>
          <w:sz w:val="16"/>
          <w:szCs w:val="16"/>
        </w:rPr>
        <w:t xml:space="preserve"> </w:t>
      </w:r>
      <w:r>
        <w:rPr>
          <w:rFonts w:asciiTheme="majorHAnsi" w:hAnsiTheme="majorHAnsi"/>
          <w:sz w:val="16"/>
          <w:szCs w:val="16"/>
        </w:rPr>
        <w:t>Hereinafter “the Declaration” or “the American Declaration.”</w:t>
      </w:r>
    </w:p>
  </w:footnote>
  <w:footnote w:id="5">
    <w:p w:rsidR="000A6974" w:rsidRPr="005A220C" w:rsidRDefault="000A6974" w:rsidP="000A6974">
      <w:pPr>
        <w:pStyle w:val="FootnoteText"/>
        <w:spacing w:before="120"/>
        <w:ind w:firstLine="720"/>
        <w:jc w:val="both"/>
        <w:rPr>
          <w:rFonts w:asciiTheme="majorHAnsi" w:hAnsiTheme="majorHAnsi"/>
          <w:sz w:val="16"/>
          <w:szCs w:val="16"/>
        </w:rPr>
      </w:pPr>
      <w:r w:rsidRPr="005A220C">
        <w:rPr>
          <w:rStyle w:val="FootnoteReference"/>
          <w:rFonts w:asciiTheme="majorHAnsi" w:hAnsiTheme="majorHAnsi"/>
          <w:sz w:val="16"/>
          <w:szCs w:val="16"/>
        </w:rPr>
        <w:footnoteRef/>
      </w:r>
      <w:r w:rsidRPr="005A220C">
        <w:rPr>
          <w:rFonts w:asciiTheme="majorHAnsi" w:hAnsiTheme="majorHAnsi"/>
          <w:sz w:val="16"/>
          <w:szCs w:val="16"/>
        </w:rPr>
        <w:t xml:space="preserve"> </w:t>
      </w:r>
      <w:r>
        <w:rPr>
          <w:rFonts w:asciiTheme="majorHAnsi" w:hAnsiTheme="majorHAnsi"/>
          <w:bCs/>
          <w:sz w:val="16"/>
          <w:szCs w:val="16"/>
        </w:rPr>
        <w:t>Articles 3, 8 and</w:t>
      </w:r>
      <w:r w:rsidRPr="005A220C">
        <w:rPr>
          <w:rFonts w:asciiTheme="majorHAnsi" w:hAnsiTheme="majorHAnsi"/>
          <w:bCs/>
          <w:sz w:val="16"/>
          <w:szCs w:val="16"/>
        </w:rPr>
        <w:t xml:space="preserve"> 10 </w:t>
      </w:r>
      <w:r>
        <w:rPr>
          <w:rFonts w:asciiTheme="majorHAnsi" w:hAnsiTheme="majorHAnsi"/>
          <w:bCs/>
          <w:sz w:val="16"/>
          <w:szCs w:val="16"/>
        </w:rPr>
        <w:t xml:space="preserve">of the Universal Declaration of Human Rights and “provisions enshrined” in the International Covenant on Civil and Political Rights. </w:t>
      </w:r>
    </w:p>
  </w:footnote>
  <w:footnote w:id="6">
    <w:p w:rsidR="000A6974" w:rsidRPr="000B6B7A" w:rsidRDefault="000A6974" w:rsidP="000A6974">
      <w:pPr>
        <w:pStyle w:val="FootnoteText"/>
        <w:spacing w:before="120"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7">
    <w:p w:rsidR="00314EFE" w:rsidRPr="005A220C" w:rsidRDefault="00314EFE" w:rsidP="00314EFE">
      <w:pPr>
        <w:pStyle w:val="FootnoteText"/>
        <w:spacing w:before="120"/>
        <w:ind w:firstLine="720"/>
        <w:jc w:val="both"/>
        <w:rPr>
          <w:rFonts w:asciiTheme="majorHAnsi" w:hAnsiTheme="majorHAnsi"/>
          <w:sz w:val="16"/>
          <w:szCs w:val="16"/>
        </w:rPr>
      </w:pPr>
      <w:r w:rsidRPr="005A220C">
        <w:rPr>
          <w:rStyle w:val="FootnoteReference"/>
          <w:rFonts w:asciiTheme="majorHAnsi" w:hAnsiTheme="majorHAnsi"/>
          <w:sz w:val="16"/>
          <w:szCs w:val="16"/>
        </w:rPr>
        <w:footnoteRef/>
      </w:r>
      <w:r w:rsidRPr="005A220C">
        <w:rPr>
          <w:rFonts w:asciiTheme="majorHAnsi" w:hAnsiTheme="majorHAnsi"/>
          <w:sz w:val="16"/>
          <w:szCs w:val="16"/>
        </w:rPr>
        <w:t xml:space="preserve"> </w:t>
      </w:r>
      <w:r>
        <w:rPr>
          <w:rFonts w:asciiTheme="majorHAnsi" w:hAnsiTheme="majorHAnsi"/>
          <w:sz w:val="16"/>
          <w:szCs w:val="16"/>
        </w:rPr>
        <w:t>IACHR, Report No. 46/15, Petition 315-01. Admissibility</w:t>
      </w:r>
      <w:r w:rsidRPr="005A220C">
        <w:rPr>
          <w:rFonts w:asciiTheme="majorHAnsi" w:hAnsiTheme="majorHAnsi"/>
          <w:sz w:val="16"/>
          <w:szCs w:val="16"/>
        </w:rPr>
        <w:t xml:space="preserve">. Cristina Britez Arce. Argentina. </w:t>
      </w:r>
      <w:r>
        <w:rPr>
          <w:rFonts w:asciiTheme="majorHAnsi" w:hAnsiTheme="majorHAnsi"/>
          <w:sz w:val="16"/>
          <w:szCs w:val="16"/>
        </w:rPr>
        <w:t xml:space="preserve">July </w:t>
      </w:r>
      <w:r w:rsidRPr="005A220C">
        <w:rPr>
          <w:rFonts w:asciiTheme="majorHAnsi" w:hAnsiTheme="majorHAnsi"/>
          <w:sz w:val="16"/>
          <w:szCs w:val="16"/>
        </w:rPr>
        <w:t>28</w:t>
      </w:r>
      <w:r>
        <w:rPr>
          <w:rFonts w:asciiTheme="majorHAnsi" w:hAnsiTheme="majorHAnsi"/>
          <w:sz w:val="16"/>
          <w:szCs w:val="16"/>
        </w:rPr>
        <w:t>, 2015, para</w:t>
      </w:r>
      <w:r w:rsidRPr="005A220C">
        <w:rPr>
          <w:rFonts w:asciiTheme="majorHAnsi" w:hAnsiTheme="majorHAnsi"/>
          <w:sz w:val="16"/>
          <w:szCs w:val="16"/>
        </w:rPr>
        <w:t>. 47.</w:t>
      </w:r>
    </w:p>
  </w:footnote>
  <w:footnote w:id="8">
    <w:p w:rsidR="000A6974" w:rsidRPr="005A220C" w:rsidRDefault="000A6974" w:rsidP="000A6974">
      <w:pPr>
        <w:pStyle w:val="FootnoteText"/>
        <w:spacing w:before="120"/>
        <w:ind w:firstLine="720"/>
        <w:jc w:val="both"/>
        <w:rPr>
          <w:rFonts w:asciiTheme="majorHAnsi" w:hAnsiTheme="majorHAnsi"/>
          <w:sz w:val="16"/>
          <w:szCs w:val="16"/>
        </w:rPr>
      </w:pPr>
      <w:r w:rsidRPr="005A220C">
        <w:rPr>
          <w:rStyle w:val="FootnoteReference"/>
          <w:rFonts w:asciiTheme="majorHAnsi" w:hAnsiTheme="majorHAnsi"/>
          <w:sz w:val="16"/>
          <w:szCs w:val="16"/>
        </w:rPr>
        <w:footnoteRef/>
      </w:r>
      <w:r w:rsidRPr="005A220C">
        <w:rPr>
          <w:rFonts w:asciiTheme="majorHAnsi" w:hAnsiTheme="majorHAnsi"/>
          <w:sz w:val="16"/>
          <w:szCs w:val="16"/>
        </w:rPr>
        <w:t xml:space="preserve"> </w:t>
      </w:r>
      <w:r>
        <w:rPr>
          <w:rFonts w:asciiTheme="majorHAnsi" w:hAnsiTheme="majorHAnsi"/>
          <w:sz w:val="16"/>
          <w:szCs w:val="16"/>
        </w:rPr>
        <w:t xml:space="preserve">IACHR, Report </w:t>
      </w:r>
      <w:r>
        <w:rPr>
          <w:rFonts w:asciiTheme="majorHAnsi" w:hAnsiTheme="majorHAnsi" w:cs="Tahoma"/>
          <w:sz w:val="16"/>
          <w:szCs w:val="16"/>
        </w:rPr>
        <w:t>No. 37/13</w:t>
      </w:r>
      <w:r w:rsidR="00314EFE">
        <w:rPr>
          <w:rFonts w:asciiTheme="majorHAnsi" w:hAnsiTheme="majorHAnsi" w:cs="Tahoma"/>
          <w:sz w:val="16"/>
          <w:szCs w:val="16"/>
        </w:rPr>
        <w:t>.</w:t>
      </w:r>
      <w:r>
        <w:rPr>
          <w:rFonts w:asciiTheme="majorHAnsi" w:hAnsiTheme="majorHAnsi" w:cs="Tahoma"/>
          <w:sz w:val="16"/>
          <w:szCs w:val="16"/>
        </w:rPr>
        <w:t xml:space="preserve"> Petition 1279-04</w:t>
      </w:r>
      <w:r w:rsidR="00314EFE">
        <w:rPr>
          <w:rFonts w:asciiTheme="majorHAnsi" w:hAnsiTheme="majorHAnsi" w:cs="Tahoma"/>
          <w:sz w:val="16"/>
          <w:szCs w:val="16"/>
        </w:rPr>
        <w:t>. Admissibility.</w:t>
      </w:r>
      <w:r>
        <w:rPr>
          <w:rFonts w:asciiTheme="majorHAnsi" w:hAnsiTheme="majorHAnsi" w:cs="Tahoma"/>
          <w:sz w:val="16"/>
          <w:szCs w:val="16"/>
        </w:rPr>
        <w:t xml:space="preserve"> </w:t>
      </w:r>
      <w:r w:rsidRPr="000312E8">
        <w:rPr>
          <w:rFonts w:asciiTheme="majorHAnsi" w:hAnsiTheme="majorHAnsi" w:cs="Tahoma"/>
          <w:sz w:val="16"/>
          <w:szCs w:val="16"/>
        </w:rPr>
        <w:t>M.V.M. y P.S.R.</w:t>
      </w:r>
      <w:r w:rsidR="00314EFE" w:rsidRPr="000312E8">
        <w:rPr>
          <w:rFonts w:asciiTheme="majorHAnsi" w:hAnsiTheme="majorHAnsi" w:cs="Tahoma"/>
          <w:sz w:val="16"/>
          <w:szCs w:val="16"/>
        </w:rPr>
        <w:t>.</w:t>
      </w:r>
      <w:r w:rsidRPr="000312E8">
        <w:rPr>
          <w:rFonts w:asciiTheme="majorHAnsi" w:hAnsiTheme="majorHAnsi" w:cs="Tahoma"/>
          <w:sz w:val="16"/>
          <w:szCs w:val="16"/>
        </w:rPr>
        <w:t xml:space="preserve"> Braz</w:t>
      </w:r>
      <w:r w:rsidR="00314EFE" w:rsidRPr="000312E8">
        <w:rPr>
          <w:rFonts w:asciiTheme="majorHAnsi" w:hAnsiTheme="majorHAnsi" w:cs="Tahoma"/>
          <w:sz w:val="16"/>
          <w:szCs w:val="16"/>
        </w:rPr>
        <w:t>il.</w:t>
      </w:r>
      <w:r w:rsidRPr="000312E8">
        <w:rPr>
          <w:rFonts w:asciiTheme="majorHAnsi" w:hAnsiTheme="majorHAnsi" w:cs="Tahoma"/>
          <w:sz w:val="16"/>
          <w:szCs w:val="16"/>
        </w:rPr>
        <w:t xml:space="preserve"> </w:t>
      </w:r>
      <w:r>
        <w:rPr>
          <w:rFonts w:asciiTheme="majorHAnsi" w:hAnsiTheme="majorHAnsi" w:cs="Tahoma"/>
          <w:sz w:val="16"/>
          <w:szCs w:val="16"/>
        </w:rPr>
        <w:t xml:space="preserve">July </w:t>
      </w:r>
      <w:r w:rsidRPr="005A220C">
        <w:rPr>
          <w:rFonts w:asciiTheme="majorHAnsi" w:hAnsiTheme="majorHAnsi" w:cs="Tahoma"/>
          <w:sz w:val="16"/>
          <w:szCs w:val="16"/>
        </w:rPr>
        <w:t>11</w:t>
      </w:r>
      <w:r>
        <w:rPr>
          <w:rFonts w:asciiTheme="majorHAnsi" w:hAnsiTheme="majorHAnsi" w:cs="Tahoma"/>
          <w:sz w:val="16"/>
          <w:szCs w:val="16"/>
        </w:rPr>
        <w:t>, 2013, para</w:t>
      </w:r>
      <w:r w:rsidRPr="005A220C">
        <w:rPr>
          <w:rFonts w:asciiTheme="majorHAnsi" w:hAnsiTheme="majorHAnsi" w:cs="Tahoma"/>
          <w:sz w:val="16"/>
          <w:szCs w:val="16"/>
        </w:rPr>
        <w:t>.32.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6FB" w:rsidRDefault="00BA56FB" w:rsidP="00BA56F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A56FB" w:rsidRDefault="00BA56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6FB" w:rsidRDefault="00BA56FB" w:rsidP="002C1641">
    <w:pPr>
      <w:pStyle w:val="Header"/>
      <w:tabs>
        <w:tab w:val="clear" w:pos="4320"/>
        <w:tab w:val="clear" w:pos="8640"/>
      </w:tabs>
      <w:jc w:val="center"/>
      <w:rPr>
        <w:sz w:val="22"/>
        <w:szCs w:val="22"/>
      </w:rPr>
    </w:pPr>
    <w:r>
      <w:rPr>
        <w:noProof/>
        <w:sz w:val="22"/>
        <w:szCs w:val="22"/>
      </w:rPr>
      <w:drawing>
        <wp:inline distT="0" distB="0" distL="0" distR="0" wp14:anchorId="0D3AFB27" wp14:editId="2AC1CF6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BA56FB" w:rsidRPr="00EC7D62" w:rsidRDefault="005B3ED4" w:rsidP="002C1641">
    <w:pPr>
      <w:pStyle w:val="Header"/>
      <w:tabs>
        <w:tab w:val="clear" w:pos="4320"/>
        <w:tab w:val="clear" w:pos="8640"/>
      </w:tabs>
      <w:jc w:val="center"/>
      <w:rPr>
        <w:sz w:val="22"/>
        <w:szCs w:val="22"/>
      </w:rPr>
    </w:pPr>
    <w:r>
      <w:rPr>
        <w:noProof/>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E8" w:rsidRDefault="00031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9FF86930"/>
    <w:lvl w:ilvl="0" w:tplc="C40A67D6">
      <w:start w:val="2"/>
      <w:numFmt w:val="upperLetter"/>
      <w:lvlText w:val="%1."/>
      <w:lvlJc w:val="left"/>
      <w:pPr>
        <w:tabs>
          <w:tab w:val="num" w:pos="1440"/>
        </w:tabs>
        <w:ind w:left="1440" w:hanging="720"/>
      </w:pPr>
      <w:rPr>
        <w:rFonts w:hint="default"/>
      </w:rPr>
    </w:lvl>
    <w:lvl w:ilvl="1" w:tplc="BF2C9D0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3364C9"/>
    <w:multiLevelType w:val="hybridMultilevel"/>
    <w:tmpl w:val="7DCE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7351BE3"/>
    <w:multiLevelType w:val="hybridMultilevel"/>
    <w:tmpl w:val="2B5269D0"/>
    <w:lvl w:ilvl="0" w:tplc="0409000F">
      <w:start w:val="1"/>
      <w:numFmt w:val="decimal"/>
      <w:lvlText w:val="%1."/>
      <w:lvlJc w:val="left"/>
      <w:pPr>
        <w:tabs>
          <w:tab w:val="num" w:pos="720"/>
        </w:tabs>
        <w:ind w:left="0" w:firstLine="720"/>
      </w:pPr>
      <w:rPr>
        <w:rFonts w:hint="default"/>
        <w:color w:val="auto"/>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5"/>
  </w:num>
  <w:num w:numId="97">
    <w:abstractNumId w:val="53"/>
  </w:num>
  <w:num w:numId="98">
    <w:abstractNumId w:val="46"/>
  </w:num>
  <w:num w:numId="99">
    <w:abstractNumId w:val="38"/>
  </w:num>
  <w:num w:numId="100">
    <w:abstractNumId w:val="3"/>
  </w:num>
  <w:num w:numId="101">
    <w:abstractNumId w:val="26"/>
  </w:num>
  <w:num w:numId="102">
    <w:abstractNumId w:val="49"/>
  </w:num>
  <w:num w:numId="103">
    <w:abstractNumId w:val="5"/>
  </w:num>
  <w:num w:numId="104">
    <w:abstractNumId w:val="31"/>
  </w:num>
  <w:num w:numId="105">
    <w:abstractNumId w:val="31"/>
    <w:lvlOverride w:ilvl="0">
      <w:startOverride w:val="1"/>
    </w:lvlOverride>
  </w:num>
  <w:num w:numId="106">
    <w:abstractNumId w:val="11"/>
  </w:num>
  <w:num w:numId="107">
    <w:abstractNumId w:val="48"/>
  </w:num>
  <w:num w:numId="108">
    <w:abstractNumId w:val="5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966"/>
    <w:rsid w:val="00000CDA"/>
    <w:rsid w:val="00003543"/>
    <w:rsid w:val="000070D7"/>
    <w:rsid w:val="000111A8"/>
    <w:rsid w:val="0001788C"/>
    <w:rsid w:val="000312E8"/>
    <w:rsid w:val="00036A8A"/>
    <w:rsid w:val="00040C3A"/>
    <w:rsid w:val="000447C4"/>
    <w:rsid w:val="00057A41"/>
    <w:rsid w:val="000639C0"/>
    <w:rsid w:val="000664C2"/>
    <w:rsid w:val="00070F3A"/>
    <w:rsid w:val="000716C5"/>
    <w:rsid w:val="00075E23"/>
    <w:rsid w:val="00092F32"/>
    <w:rsid w:val="0009344A"/>
    <w:rsid w:val="000A35D6"/>
    <w:rsid w:val="000A575F"/>
    <w:rsid w:val="000A6974"/>
    <w:rsid w:val="000A7FB8"/>
    <w:rsid w:val="000B079B"/>
    <w:rsid w:val="000C50F3"/>
    <w:rsid w:val="000D10DB"/>
    <w:rsid w:val="000D4AB5"/>
    <w:rsid w:val="000F355F"/>
    <w:rsid w:val="000F41B6"/>
    <w:rsid w:val="00102063"/>
    <w:rsid w:val="00117026"/>
    <w:rsid w:val="00126B97"/>
    <w:rsid w:val="0013104F"/>
    <w:rsid w:val="00137EBA"/>
    <w:rsid w:val="00145EDC"/>
    <w:rsid w:val="00155961"/>
    <w:rsid w:val="001656B8"/>
    <w:rsid w:val="00167A34"/>
    <w:rsid w:val="00177D19"/>
    <w:rsid w:val="0018037F"/>
    <w:rsid w:val="00185468"/>
    <w:rsid w:val="00195FAB"/>
    <w:rsid w:val="001A5F27"/>
    <w:rsid w:val="001A7870"/>
    <w:rsid w:val="001C1B41"/>
    <w:rsid w:val="001C2CA5"/>
    <w:rsid w:val="001C71AF"/>
    <w:rsid w:val="001F40B8"/>
    <w:rsid w:val="001F54F7"/>
    <w:rsid w:val="0020383E"/>
    <w:rsid w:val="00210E0E"/>
    <w:rsid w:val="0024051F"/>
    <w:rsid w:val="00247403"/>
    <w:rsid w:val="00247542"/>
    <w:rsid w:val="00257893"/>
    <w:rsid w:val="0026423B"/>
    <w:rsid w:val="00264541"/>
    <w:rsid w:val="00266092"/>
    <w:rsid w:val="00266B61"/>
    <w:rsid w:val="0026712A"/>
    <w:rsid w:val="002704DB"/>
    <w:rsid w:val="002A132C"/>
    <w:rsid w:val="002A3F12"/>
    <w:rsid w:val="002C1641"/>
    <w:rsid w:val="002D0330"/>
    <w:rsid w:val="002D7EA2"/>
    <w:rsid w:val="002E15DF"/>
    <w:rsid w:val="002E187C"/>
    <w:rsid w:val="002E6E57"/>
    <w:rsid w:val="00301075"/>
    <w:rsid w:val="00302733"/>
    <w:rsid w:val="00311A4F"/>
    <w:rsid w:val="00314078"/>
    <w:rsid w:val="00314EFE"/>
    <w:rsid w:val="00322450"/>
    <w:rsid w:val="0032444D"/>
    <w:rsid w:val="003246B5"/>
    <w:rsid w:val="0033169F"/>
    <w:rsid w:val="003414AC"/>
    <w:rsid w:val="00354062"/>
    <w:rsid w:val="00354CB8"/>
    <w:rsid w:val="00356185"/>
    <w:rsid w:val="00360380"/>
    <w:rsid w:val="003727D1"/>
    <w:rsid w:val="00386CF0"/>
    <w:rsid w:val="00390DB3"/>
    <w:rsid w:val="003A21BF"/>
    <w:rsid w:val="003C21B6"/>
    <w:rsid w:val="003C32BC"/>
    <w:rsid w:val="003E6129"/>
    <w:rsid w:val="003F1BBF"/>
    <w:rsid w:val="003F4A49"/>
    <w:rsid w:val="00400009"/>
    <w:rsid w:val="004011E2"/>
    <w:rsid w:val="004165C2"/>
    <w:rsid w:val="00450A4A"/>
    <w:rsid w:val="00465003"/>
    <w:rsid w:val="004666FB"/>
    <w:rsid w:val="00467B7E"/>
    <w:rsid w:val="00475780"/>
    <w:rsid w:val="0049419D"/>
    <w:rsid w:val="004A4C8D"/>
    <w:rsid w:val="004B2762"/>
    <w:rsid w:val="004B384E"/>
    <w:rsid w:val="004B7EB6"/>
    <w:rsid w:val="004C4B62"/>
    <w:rsid w:val="004D6025"/>
    <w:rsid w:val="004D72BC"/>
    <w:rsid w:val="00501399"/>
    <w:rsid w:val="005056CC"/>
    <w:rsid w:val="00507BC4"/>
    <w:rsid w:val="005128E4"/>
    <w:rsid w:val="00525560"/>
    <w:rsid w:val="00535473"/>
    <w:rsid w:val="005357A6"/>
    <w:rsid w:val="005419F8"/>
    <w:rsid w:val="00544C49"/>
    <w:rsid w:val="00545032"/>
    <w:rsid w:val="00552072"/>
    <w:rsid w:val="005717AA"/>
    <w:rsid w:val="0057402A"/>
    <w:rsid w:val="005771D0"/>
    <w:rsid w:val="0059191A"/>
    <w:rsid w:val="005921FF"/>
    <w:rsid w:val="00596E11"/>
    <w:rsid w:val="005A0DE6"/>
    <w:rsid w:val="005A6D0E"/>
    <w:rsid w:val="005B222D"/>
    <w:rsid w:val="005B3ED4"/>
    <w:rsid w:val="005B52B0"/>
    <w:rsid w:val="005B6806"/>
    <w:rsid w:val="005C00F9"/>
    <w:rsid w:val="005C4225"/>
    <w:rsid w:val="005F0F33"/>
    <w:rsid w:val="00600DEB"/>
    <w:rsid w:val="006060E4"/>
    <w:rsid w:val="00613027"/>
    <w:rsid w:val="00627C9F"/>
    <w:rsid w:val="006311DA"/>
    <w:rsid w:val="006311E9"/>
    <w:rsid w:val="00632354"/>
    <w:rsid w:val="006421A3"/>
    <w:rsid w:val="00642810"/>
    <w:rsid w:val="00652333"/>
    <w:rsid w:val="00654AF9"/>
    <w:rsid w:val="00657E07"/>
    <w:rsid w:val="0068009E"/>
    <w:rsid w:val="006800FC"/>
    <w:rsid w:val="006A17D2"/>
    <w:rsid w:val="006A73E6"/>
    <w:rsid w:val="006B2D5C"/>
    <w:rsid w:val="006B5B67"/>
    <w:rsid w:val="006C4EB1"/>
    <w:rsid w:val="006D0974"/>
    <w:rsid w:val="006E0166"/>
    <w:rsid w:val="006E7B34"/>
    <w:rsid w:val="006F770D"/>
    <w:rsid w:val="00701B24"/>
    <w:rsid w:val="00706D3C"/>
    <w:rsid w:val="00710A8A"/>
    <w:rsid w:val="00727DD8"/>
    <w:rsid w:val="007308F5"/>
    <w:rsid w:val="00735A66"/>
    <w:rsid w:val="00745899"/>
    <w:rsid w:val="00751539"/>
    <w:rsid w:val="007607C4"/>
    <w:rsid w:val="0076643F"/>
    <w:rsid w:val="007A00BA"/>
    <w:rsid w:val="007A2F70"/>
    <w:rsid w:val="007A4C10"/>
    <w:rsid w:val="007A6C5F"/>
    <w:rsid w:val="007B2204"/>
    <w:rsid w:val="007C3334"/>
    <w:rsid w:val="007C3A0A"/>
    <w:rsid w:val="007C52BB"/>
    <w:rsid w:val="007D272B"/>
    <w:rsid w:val="007D2B98"/>
    <w:rsid w:val="007E2B2F"/>
    <w:rsid w:val="007F149A"/>
    <w:rsid w:val="00802609"/>
    <w:rsid w:val="00803F1C"/>
    <w:rsid w:val="0080600E"/>
    <w:rsid w:val="00817612"/>
    <w:rsid w:val="00834E56"/>
    <w:rsid w:val="00837C45"/>
    <w:rsid w:val="00837D7C"/>
    <w:rsid w:val="00853419"/>
    <w:rsid w:val="00865C9E"/>
    <w:rsid w:val="00880D73"/>
    <w:rsid w:val="008833C9"/>
    <w:rsid w:val="008855B9"/>
    <w:rsid w:val="00895CDC"/>
    <w:rsid w:val="00897E12"/>
    <w:rsid w:val="008B5487"/>
    <w:rsid w:val="008C5ED1"/>
    <w:rsid w:val="008D2F77"/>
    <w:rsid w:val="008D43BA"/>
    <w:rsid w:val="008E3759"/>
    <w:rsid w:val="008E72DD"/>
    <w:rsid w:val="008F3A7D"/>
    <w:rsid w:val="009041DC"/>
    <w:rsid w:val="009104B4"/>
    <w:rsid w:val="00911B81"/>
    <w:rsid w:val="00925FCD"/>
    <w:rsid w:val="0093441A"/>
    <w:rsid w:val="0093636A"/>
    <w:rsid w:val="009513F7"/>
    <w:rsid w:val="00954BF7"/>
    <w:rsid w:val="0096706E"/>
    <w:rsid w:val="00967D21"/>
    <w:rsid w:val="00972007"/>
    <w:rsid w:val="0097736C"/>
    <w:rsid w:val="00981FBA"/>
    <w:rsid w:val="00987664"/>
    <w:rsid w:val="00991A16"/>
    <w:rsid w:val="009B381B"/>
    <w:rsid w:val="009D7611"/>
    <w:rsid w:val="009E53DE"/>
    <w:rsid w:val="00A06E4D"/>
    <w:rsid w:val="00A313CD"/>
    <w:rsid w:val="00A4231F"/>
    <w:rsid w:val="00A43458"/>
    <w:rsid w:val="00A47C7B"/>
    <w:rsid w:val="00A528D1"/>
    <w:rsid w:val="00A6109F"/>
    <w:rsid w:val="00A66BE5"/>
    <w:rsid w:val="00A86C8F"/>
    <w:rsid w:val="00A9443A"/>
    <w:rsid w:val="00AB42E4"/>
    <w:rsid w:val="00AB4885"/>
    <w:rsid w:val="00AC409B"/>
    <w:rsid w:val="00AD37C1"/>
    <w:rsid w:val="00AD39E9"/>
    <w:rsid w:val="00AE1EE3"/>
    <w:rsid w:val="00AE66EC"/>
    <w:rsid w:val="00AE6F91"/>
    <w:rsid w:val="00AF423E"/>
    <w:rsid w:val="00AF5571"/>
    <w:rsid w:val="00B108FA"/>
    <w:rsid w:val="00B167E9"/>
    <w:rsid w:val="00B314DB"/>
    <w:rsid w:val="00B31EBE"/>
    <w:rsid w:val="00B3718B"/>
    <w:rsid w:val="00B420BB"/>
    <w:rsid w:val="00B4632A"/>
    <w:rsid w:val="00B56097"/>
    <w:rsid w:val="00B720FC"/>
    <w:rsid w:val="00B76B4B"/>
    <w:rsid w:val="00B8089E"/>
    <w:rsid w:val="00B809B6"/>
    <w:rsid w:val="00BA276C"/>
    <w:rsid w:val="00BA56FB"/>
    <w:rsid w:val="00BB306F"/>
    <w:rsid w:val="00BB4190"/>
    <w:rsid w:val="00BD232B"/>
    <w:rsid w:val="00BD4B89"/>
    <w:rsid w:val="00BE5A5C"/>
    <w:rsid w:val="00BF727E"/>
    <w:rsid w:val="00C16B59"/>
    <w:rsid w:val="00C176C3"/>
    <w:rsid w:val="00C21762"/>
    <w:rsid w:val="00C24543"/>
    <w:rsid w:val="00C256A2"/>
    <w:rsid w:val="00C3492D"/>
    <w:rsid w:val="00C45E47"/>
    <w:rsid w:val="00C55560"/>
    <w:rsid w:val="00C66B72"/>
    <w:rsid w:val="00C728A2"/>
    <w:rsid w:val="00C87E1D"/>
    <w:rsid w:val="00C9567A"/>
    <w:rsid w:val="00CA000E"/>
    <w:rsid w:val="00CA5563"/>
    <w:rsid w:val="00CB2660"/>
    <w:rsid w:val="00CB7738"/>
    <w:rsid w:val="00CC5E90"/>
    <w:rsid w:val="00CD046C"/>
    <w:rsid w:val="00CE5199"/>
    <w:rsid w:val="00CE66D5"/>
    <w:rsid w:val="00CF2E9B"/>
    <w:rsid w:val="00CF4958"/>
    <w:rsid w:val="00D32EA7"/>
    <w:rsid w:val="00D34786"/>
    <w:rsid w:val="00D40A1E"/>
    <w:rsid w:val="00D712D3"/>
    <w:rsid w:val="00D71422"/>
    <w:rsid w:val="00D7145E"/>
    <w:rsid w:val="00D7558D"/>
    <w:rsid w:val="00D808BF"/>
    <w:rsid w:val="00D81D92"/>
    <w:rsid w:val="00D83779"/>
    <w:rsid w:val="00D93446"/>
    <w:rsid w:val="00DA00F1"/>
    <w:rsid w:val="00DA4D30"/>
    <w:rsid w:val="00DA7B5F"/>
    <w:rsid w:val="00DC7954"/>
    <w:rsid w:val="00DE4D38"/>
    <w:rsid w:val="00DE4FF4"/>
    <w:rsid w:val="00E1754A"/>
    <w:rsid w:val="00E43157"/>
    <w:rsid w:val="00E47EF8"/>
    <w:rsid w:val="00E533FF"/>
    <w:rsid w:val="00E5689F"/>
    <w:rsid w:val="00E709B3"/>
    <w:rsid w:val="00E746A0"/>
    <w:rsid w:val="00E76556"/>
    <w:rsid w:val="00E77459"/>
    <w:rsid w:val="00E82091"/>
    <w:rsid w:val="00E8789F"/>
    <w:rsid w:val="00E941C9"/>
    <w:rsid w:val="00E95DF4"/>
    <w:rsid w:val="00E97B71"/>
    <w:rsid w:val="00EB0E98"/>
    <w:rsid w:val="00EB454D"/>
    <w:rsid w:val="00EB604D"/>
    <w:rsid w:val="00EE3522"/>
    <w:rsid w:val="00EF5940"/>
    <w:rsid w:val="00EF619B"/>
    <w:rsid w:val="00F00B55"/>
    <w:rsid w:val="00F10988"/>
    <w:rsid w:val="00F1380F"/>
    <w:rsid w:val="00F14F0E"/>
    <w:rsid w:val="00F24C29"/>
    <w:rsid w:val="00F253CC"/>
    <w:rsid w:val="00F56BA5"/>
    <w:rsid w:val="00F62332"/>
    <w:rsid w:val="00F644E6"/>
    <w:rsid w:val="00F67A92"/>
    <w:rsid w:val="00F7213E"/>
    <w:rsid w:val="00F950DE"/>
    <w:rsid w:val="00F95C53"/>
    <w:rsid w:val="00F9653B"/>
    <w:rsid w:val="00FB62CF"/>
    <w:rsid w:val="00FC2F0A"/>
    <w:rsid w:val="00FC3EB4"/>
    <w:rsid w:val="00FC5A6A"/>
    <w:rsid w:val="00FC6722"/>
    <w:rsid w:val="00FC6C58"/>
    <w:rsid w:val="00FE6B45"/>
    <w:rsid w:val="00FE7918"/>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paragraph" w:styleId="List">
    <w:name w:val="List"/>
    <w:basedOn w:val="Normal"/>
    <w:rsid w:val="00991A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table" w:styleId="TableGrid">
    <w:name w:val="Table Grid"/>
    <w:basedOn w:val="TableNormal"/>
    <w:uiPriority w:val="59"/>
    <w:rsid w:val="00991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1A16"/>
    <w:rPr>
      <w:color w:val="808080"/>
    </w:rPr>
  </w:style>
  <w:style w:type="character" w:customStyle="1" w:styleId="Style1">
    <w:name w:val="Style1"/>
    <w:basedOn w:val="DefaultParagraphFont"/>
    <w:uiPriority w:val="1"/>
    <w:rsid w:val="00991A16"/>
    <w:rPr>
      <w:rFonts w:ascii="Cambria" w:hAnsi="Cambria"/>
      <w:b w:val="0"/>
      <w:i w:val="0"/>
      <w:caps/>
      <w:smallCaps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paragraph" w:styleId="List">
    <w:name w:val="List"/>
    <w:basedOn w:val="Normal"/>
    <w:rsid w:val="00991A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table" w:styleId="TableGrid">
    <w:name w:val="Table Grid"/>
    <w:basedOn w:val="TableNormal"/>
    <w:uiPriority w:val="59"/>
    <w:rsid w:val="00991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1A16"/>
    <w:rPr>
      <w:color w:val="808080"/>
    </w:rPr>
  </w:style>
  <w:style w:type="character" w:customStyle="1" w:styleId="Style1">
    <w:name w:val="Style1"/>
    <w:basedOn w:val="DefaultParagraphFont"/>
    <w:uiPriority w:val="1"/>
    <w:rsid w:val="00991A16"/>
    <w:rPr>
      <w:rFonts w:ascii="Cambria" w:hAnsi="Cambria"/>
      <w:b w:val="0"/>
      <w:i w:val="0"/>
      <w:caps/>
      <w:smallCap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FB37-B338-4FF9-AD8E-20E0696D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3748</Words>
  <Characters>19982</Characters>
  <Application>Microsoft Office Word</Application>
  <DocSecurity>0</DocSecurity>
  <Lines>444</Lines>
  <Paragraphs>155</Paragraphs>
  <ScaleCrop>false</ScaleCrop>
  <Company/>
  <LinksUpToDate>false</LinksUpToDate>
  <CharactersWithSpaces>23575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122/17</dc:title>
  <dc:creator/>
  <cp:lastModifiedBy/>
  <cp:revision>1</cp:revision>
  <dcterms:created xsi:type="dcterms:W3CDTF">2018-03-16T15:49:00Z</dcterms:created>
  <dcterms:modified xsi:type="dcterms:W3CDTF">2018-03-16T15:49:00Z</dcterms:modified>
</cp:coreProperties>
</file>