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6B92F6C5">
                <wp:simplePos x="0" y="0"/>
                <wp:positionH relativeFrom="column">
                  <wp:posOffset>-34925</wp:posOffset>
                </wp:positionH>
                <wp:positionV relativeFrom="paragraph">
                  <wp:posOffset>-976986</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9378D" id="Rectangle 1" o:spid="_x0000_s1026" style="position:absolute;margin-left:-2.75pt;margin-top:-76.9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t xml:space="preserve">      </w:t>
                            </w:r>
                            <w:r w:rsidR="00AD37C1">
                              <w:t xml:space="preserve">         </w:t>
                            </w:r>
                            <w:bookmarkStart w:id="1" w:name="_Hlk516484774"/>
                            <w:bookmarkEnd w:id="1"/>
                            <w:r w:rsidR="00EE25CD">
                              <w:rPr>
                                <w:noProof/>
                              </w:rPr>
                              <w:drawing>
                                <wp:inline distT="0" distB="0" distL="0" distR="0" wp14:anchorId="1D1A3046" wp14:editId="10BAB1D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t xml:space="preserve">      </w:t>
                      </w:r>
                      <w:r w:rsidR="00AD37C1">
                        <w:t xml:space="preserve">         </w:t>
                      </w:r>
                      <w:bookmarkStart w:id="2" w:name="_Hlk516484774"/>
                      <w:bookmarkEnd w:id="2"/>
                      <w:r w:rsidR="00EE25CD">
                        <w:rPr>
                          <w:noProof/>
                        </w:rPr>
                        <w:drawing>
                          <wp:inline distT="0" distB="0" distL="0" distR="0" wp14:anchorId="1D1A3046" wp14:editId="10BAB1D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1582750</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C79" w:rsidRPr="002D4C3B" w:rsidRDefault="009D4C79" w:rsidP="009D4C79">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Pr>
                                <w:rFonts w:asciiTheme="majorHAnsi" w:hAnsiTheme="majorHAnsi" w:cs="Arial"/>
                                <w:b/>
                                <w:bCs/>
                                <w:color w:val="0D0D0D" w:themeColor="text1" w:themeTint="F2"/>
                                <w:sz w:val="36"/>
                                <w:szCs w:val="40"/>
                              </w:rPr>
                              <w:t>No.</w:t>
                            </w:r>
                            <w:r>
                              <w:rPr>
                                <w:rFonts w:asciiTheme="majorHAnsi" w:hAnsiTheme="majorHAnsi" w:cs="Arial"/>
                                <w:color w:val="0D0D0D" w:themeColor="text1" w:themeTint="F2"/>
                                <w:sz w:val="36"/>
                                <w:szCs w:val="22"/>
                              </w:rPr>
                              <w:t xml:space="preserve"> </w:t>
                            </w:r>
                            <w:r w:rsidR="00FD3D3F">
                              <w:rPr>
                                <w:rFonts w:asciiTheme="majorHAnsi" w:hAnsiTheme="majorHAnsi" w:cs="Arial"/>
                                <w:b/>
                                <w:bCs/>
                                <w:color w:val="0D0D0D" w:themeColor="text1" w:themeTint="F2"/>
                                <w:sz w:val="36"/>
                                <w:szCs w:val="22"/>
                              </w:rPr>
                              <w:t>74</w:t>
                            </w:r>
                            <w:r>
                              <w:rPr>
                                <w:rFonts w:asciiTheme="majorHAnsi" w:hAnsiTheme="majorHAnsi" w:cs="Arial"/>
                                <w:b/>
                                <w:bCs/>
                                <w:color w:val="0D0D0D" w:themeColor="text1" w:themeTint="F2"/>
                                <w:sz w:val="36"/>
                                <w:szCs w:val="22"/>
                              </w:rPr>
                              <w:t>/18</w:t>
                            </w:r>
                          </w:p>
                          <w:p w:rsidR="009D4C79" w:rsidRPr="002D4C3B" w:rsidRDefault="009D4C79" w:rsidP="009D4C79">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rPr>
                              <w:t>PETITION 1271-08</w:t>
                            </w:r>
                            <w:r>
                              <w:rPr>
                                <w:rFonts w:asciiTheme="majorHAnsi" w:hAnsiTheme="majorHAnsi" w:cs="Arial"/>
                                <w:color w:val="0D0D0D" w:themeColor="text1" w:themeTint="F2"/>
                                <w:sz w:val="36"/>
                                <w:szCs w:val="22"/>
                              </w:rPr>
                              <w:t xml:space="preserve"> </w:t>
                            </w:r>
                          </w:p>
                          <w:p w:rsidR="009D4C79" w:rsidRPr="002D4C3B" w:rsidRDefault="009D4C79" w:rsidP="009D4C7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9D4C79" w:rsidRPr="002D4C3B" w:rsidRDefault="009D4C79" w:rsidP="009D4C79">
                            <w:pPr>
                              <w:spacing w:line="276" w:lineRule="auto"/>
                              <w:rPr>
                                <w:rFonts w:asciiTheme="majorHAnsi" w:hAnsiTheme="majorHAnsi" w:cs="Arial"/>
                                <w:color w:val="0D0D0D" w:themeColor="text1" w:themeTint="F2"/>
                                <w:szCs w:val="22"/>
                              </w:rPr>
                            </w:pPr>
                            <w:bookmarkStart w:id="3" w:name="_ftnref1"/>
                          </w:p>
                          <w:p w:rsidR="009D4C79" w:rsidRPr="00EE25CD" w:rsidRDefault="009D4C79" w:rsidP="009D4C79">
                            <w:pPr>
                              <w:spacing w:line="276" w:lineRule="auto"/>
                              <w:rPr>
                                <w:rFonts w:asciiTheme="majorHAnsi" w:hAnsiTheme="majorHAnsi" w:cs="Arial"/>
                                <w:color w:val="0D0D0D" w:themeColor="text1" w:themeTint="F2"/>
                                <w:szCs w:val="22"/>
                                <w:lang w:val="es-ES"/>
                              </w:rPr>
                            </w:pPr>
                            <w:r w:rsidRPr="00EE25CD">
                              <w:rPr>
                                <w:rFonts w:asciiTheme="majorHAnsi" w:hAnsiTheme="majorHAnsi" w:cs="Arial"/>
                                <w:color w:val="0D0D0D" w:themeColor="text1" w:themeTint="F2"/>
                                <w:szCs w:val="22"/>
                                <w:lang w:val="es-ES"/>
                              </w:rPr>
                              <w:t xml:space="preserve">PATRICIA RODRÍGUEZ </w:t>
                            </w:r>
                            <w:proofErr w:type="spellStart"/>
                            <w:r w:rsidRPr="00EE25CD">
                              <w:rPr>
                                <w:rFonts w:asciiTheme="majorHAnsi" w:hAnsiTheme="majorHAnsi" w:cs="Arial"/>
                                <w:color w:val="0D0D0D" w:themeColor="text1" w:themeTint="F2"/>
                                <w:szCs w:val="22"/>
                                <w:lang w:val="es-ES"/>
                              </w:rPr>
                              <w:t>RODRÍGUEZ</w:t>
                            </w:r>
                            <w:proofErr w:type="spellEnd"/>
                            <w:r w:rsidRPr="00EE25CD">
                              <w:rPr>
                                <w:rFonts w:asciiTheme="majorHAnsi" w:hAnsiTheme="majorHAnsi" w:cs="Arial"/>
                                <w:color w:val="0D0D0D" w:themeColor="text1" w:themeTint="F2"/>
                                <w:szCs w:val="22"/>
                                <w:lang w:val="es-ES"/>
                              </w:rPr>
                              <w:t xml:space="preserve"> ET AL.</w:t>
                            </w:r>
                          </w:p>
                          <w:bookmarkEnd w:id="3"/>
                          <w:p w:rsidR="0084504C" w:rsidRPr="004B625D" w:rsidRDefault="009D4C79" w:rsidP="009D4C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rPr>
                              <w:t>COLOMBIA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124.6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" filled="f" stroked="f" strokeweight=".5pt">
                <v:textbox>
                  <w:txbxContent>
                    <w:p w:rsidR="009D4C79" w:rsidRPr="002D4C3B" w:rsidRDefault="009D4C79" w:rsidP="009D4C79">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Pr>
                          <w:rFonts w:asciiTheme="majorHAnsi" w:hAnsiTheme="majorHAnsi" w:cs="Arial"/>
                          <w:b/>
                          <w:bCs/>
                          <w:color w:val="0D0D0D" w:themeColor="text1" w:themeTint="F2"/>
                          <w:sz w:val="36"/>
                          <w:szCs w:val="40"/>
                        </w:rPr>
                        <w:t>No.</w:t>
                      </w:r>
                      <w:r>
                        <w:rPr>
                          <w:rFonts w:asciiTheme="majorHAnsi" w:hAnsiTheme="majorHAnsi" w:cs="Arial"/>
                          <w:color w:val="0D0D0D" w:themeColor="text1" w:themeTint="F2"/>
                          <w:sz w:val="36"/>
                          <w:szCs w:val="22"/>
                        </w:rPr>
                        <w:t xml:space="preserve"> </w:t>
                      </w:r>
                      <w:r w:rsidR="00FD3D3F">
                        <w:rPr>
                          <w:rFonts w:asciiTheme="majorHAnsi" w:hAnsiTheme="majorHAnsi" w:cs="Arial"/>
                          <w:b/>
                          <w:bCs/>
                          <w:color w:val="0D0D0D" w:themeColor="text1" w:themeTint="F2"/>
                          <w:sz w:val="36"/>
                          <w:szCs w:val="22"/>
                        </w:rPr>
                        <w:t>74</w:t>
                      </w:r>
                      <w:r>
                        <w:rPr>
                          <w:rFonts w:asciiTheme="majorHAnsi" w:hAnsiTheme="majorHAnsi" w:cs="Arial"/>
                          <w:b/>
                          <w:bCs/>
                          <w:color w:val="0D0D0D" w:themeColor="text1" w:themeTint="F2"/>
                          <w:sz w:val="36"/>
                          <w:szCs w:val="22"/>
                        </w:rPr>
                        <w:t>/18</w:t>
                      </w:r>
                    </w:p>
                    <w:p w:rsidR="009D4C79" w:rsidRPr="002D4C3B" w:rsidRDefault="009D4C79" w:rsidP="009D4C79">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rPr>
                        <w:t>PETITION 1271-08</w:t>
                      </w:r>
                      <w:r>
                        <w:rPr>
                          <w:rFonts w:asciiTheme="majorHAnsi" w:hAnsiTheme="majorHAnsi" w:cs="Arial"/>
                          <w:color w:val="0D0D0D" w:themeColor="text1" w:themeTint="F2"/>
                          <w:sz w:val="36"/>
                          <w:szCs w:val="22"/>
                        </w:rPr>
                        <w:t xml:space="preserve"> </w:t>
                      </w:r>
                    </w:p>
                    <w:p w:rsidR="009D4C79" w:rsidRPr="002D4C3B" w:rsidRDefault="009D4C79" w:rsidP="009D4C7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9D4C79" w:rsidRPr="002D4C3B" w:rsidRDefault="009D4C79" w:rsidP="009D4C79">
                      <w:pPr>
                        <w:spacing w:line="276" w:lineRule="auto"/>
                        <w:rPr>
                          <w:rFonts w:asciiTheme="majorHAnsi" w:hAnsiTheme="majorHAnsi" w:cs="Arial"/>
                          <w:color w:val="0D0D0D" w:themeColor="text1" w:themeTint="F2"/>
                          <w:szCs w:val="22"/>
                        </w:rPr>
                      </w:pPr>
                      <w:bookmarkStart w:id="4" w:name="_ftnref1"/>
                    </w:p>
                    <w:p w:rsidR="009D4C79" w:rsidRPr="00EE25CD" w:rsidRDefault="009D4C79" w:rsidP="009D4C79">
                      <w:pPr>
                        <w:spacing w:line="276" w:lineRule="auto"/>
                        <w:rPr>
                          <w:rFonts w:asciiTheme="majorHAnsi" w:hAnsiTheme="majorHAnsi" w:cs="Arial"/>
                          <w:color w:val="0D0D0D" w:themeColor="text1" w:themeTint="F2"/>
                          <w:szCs w:val="22"/>
                          <w:lang w:val="es-ES"/>
                        </w:rPr>
                      </w:pPr>
                      <w:r w:rsidRPr="00EE25CD">
                        <w:rPr>
                          <w:rFonts w:asciiTheme="majorHAnsi" w:hAnsiTheme="majorHAnsi" w:cs="Arial"/>
                          <w:color w:val="0D0D0D" w:themeColor="text1" w:themeTint="F2"/>
                          <w:szCs w:val="22"/>
                          <w:lang w:val="es-ES"/>
                        </w:rPr>
                        <w:t xml:space="preserve">PATRICIA RODRÍGUEZ </w:t>
                      </w:r>
                      <w:proofErr w:type="spellStart"/>
                      <w:r w:rsidRPr="00EE25CD">
                        <w:rPr>
                          <w:rFonts w:asciiTheme="majorHAnsi" w:hAnsiTheme="majorHAnsi" w:cs="Arial"/>
                          <w:color w:val="0D0D0D" w:themeColor="text1" w:themeTint="F2"/>
                          <w:szCs w:val="22"/>
                          <w:lang w:val="es-ES"/>
                        </w:rPr>
                        <w:t>RODRÍGUEZ</w:t>
                      </w:r>
                      <w:proofErr w:type="spellEnd"/>
                      <w:r w:rsidRPr="00EE25CD">
                        <w:rPr>
                          <w:rFonts w:asciiTheme="majorHAnsi" w:hAnsiTheme="majorHAnsi" w:cs="Arial"/>
                          <w:color w:val="0D0D0D" w:themeColor="text1" w:themeTint="F2"/>
                          <w:szCs w:val="22"/>
                          <w:lang w:val="es-ES"/>
                        </w:rPr>
                        <w:t xml:space="preserve"> ET AL.</w:t>
                      </w:r>
                    </w:p>
                    <w:bookmarkEnd w:id="4"/>
                    <w:p w:rsidR="0084504C" w:rsidRPr="004B625D" w:rsidRDefault="009D4C79" w:rsidP="009D4C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rPr>
                        <w:t>COLOMBIA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p>
    <w:p w:rsidR="00040C3A" w:rsidRPr="003C32BC" w:rsidRDefault="00EE25CD"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3E61459" wp14:editId="0CA7870E">
                <wp:simplePos x="0" y="0"/>
                <wp:positionH relativeFrom="column">
                  <wp:posOffset>-35560</wp:posOffset>
                </wp:positionH>
                <wp:positionV relativeFrom="paragraph">
                  <wp:posOffset>6985</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C79" w:rsidRPr="00EE25CD" w:rsidRDefault="00BD1C5D" w:rsidP="009D4C79">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D4C79" w:rsidRPr="00EE25CD" w:rsidRDefault="009D4C79" w:rsidP="009D4C79">
                            <w:pPr>
                              <w:spacing w:line="276" w:lineRule="auto"/>
                              <w:jc w:val="right"/>
                              <w:rPr>
                                <w:rFonts w:asciiTheme="minorHAnsi" w:hAnsiTheme="minorHAnsi"/>
                                <w:color w:val="FFFFFF" w:themeColor="background1"/>
                                <w:sz w:val="22"/>
                                <w:lang w:val="pt-BR"/>
                              </w:rPr>
                            </w:pPr>
                            <w:r w:rsidRPr="00EE25CD">
                              <w:rPr>
                                <w:rFonts w:asciiTheme="minorHAnsi" w:hAnsiTheme="minorHAnsi"/>
                                <w:color w:val="FFFFFF" w:themeColor="background1"/>
                                <w:sz w:val="22"/>
                                <w:lang w:val="pt-BR"/>
                              </w:rPr>
                              <w:t xml:space="preserve">Doc. </w:t>
                            </w:r>
                            <w:r w:rsidR="00FD3D3F">
                              <w:rPr>
                                <w:rFonts w:asciiTheme="minorHAnsi" w:hAnsiTheme="minorHAnsi"/>
                                <w:color w:val="FFFFFF" w:themeColor="background1"/>
                                <w:sz w:val="22"/>
                                <w:lang w:val="pt-BR"/>
                              </w:rPr>
                              <w:t>85</w:t>
                            </w:r>
                          </w:p>
                          <w:p w:rsidR="009D4C79" w:rsidRPr="0021434B" w:rsidRDefault="00BD1C5D" w:rsidP="009D4C79">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15 June</w:t>
                            </w:r>
                            <w:r w:rsidR="009D4C79">
                              <w:rPr>
                                <w:rFonts w:asciiTheme="minorHAnsi" w:hAnsiTheme="minorHAnsi"/>
                                <w:color w:val="FFFFFF" w:themeColor="background1"/>
                                <w:sz w:val="22"/>
                              </w:rPr>
                              <w:t xml:space="preserve"> 2018</w:t>
                            </w:r>
                          </w:p>
                          <w:p w:rsidR="00627C9F" w:rsidRPr="004B7EB6" w:rsidRDefault="009D4C79" w:rsidP="009D4C79">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61459" id="Text Box 8" o:spid="_x0000_s1028" type="#_x0000_t202" style="position:absolute;left:0;text-align:left;margin-left:-2.8pt;margin-top:.55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" filled="f" stroked="f" strokeweight=".5pt">
                <v:textbox>
                  <w:txbxContent>
                    <w:p w:rsidR="009D4C79" w:rsidRPr="00EE25CD" w:rsidRDefault="00BD1C5D" w:rsidP="009D4C79">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D4C79" w:rsidRPr="00EE25CD" w:rsidRDefault="009D4C79" w:rsidP="009D4C79">
                      <w:pPr>
                        <w:spacing w:line="276" w:lineRule="auto"/>
                        <w:jc w:val="right"/>
                        <w:rPr>
                          <w:rFonts w:asciiTheme="minorHAnsi" w:hAnsiTheme="minorHAnsi"/>
                          <w:color w:val="FFFFFF" w:themeColor="background1"/>
                          <w:sz w:val="22"/>
                          <w:lang w:val="pt-BR"/>
                        </w:rPr>
                      </w:pPr>
                      <w:r w:rsidRPr="00EE25CD">
                        <w:rPr>
                          <w:rFonts w:asciiTheme="minorHAnsi" w:hAnsiTheme="minorHAnsi"/>
                          <w:color w:val="FFFFFF" w:themeColor="background1"/>
                          <w:sz w:val="22"/>
                          <w:lang w:val="pt-BR"/>
                        </w:rPr>
                        <w:t xml:space="preserve">Doc. </w:t>
                      </w:r>
                      <w:r w:rsidR="00FD3D3F">
                        <w:rPr>
                          <w:rFonts w:asciiTheme="minorHAnsi" w:hAnsiTheme="minorHAnsi"/>
                          <w:color w:val="FFFFFF" w:themeColor="background1"/>
                          <w:sz w:val="22"/>
                          <w:lang w:val="pt-BR"/>
                        </w:rPr>
                        <w:t>85</w:t>
                      </w:r>
                    </w:p>
                    <w:p w:rsidR="009D4C79" w:rsidRPr="0021434B" w:rsidRDefault="00BD1C5D" w:rsidP="009D4C79">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15 June</w:t>
                      </w:r>
                      <w:r w:rsidR="009D4C79">
                        <w:rPr>
                          <w:rFonts w:asciiTheme="minorHAnsi" w:hAnsiTheme="minorHAnsi"/>
                          <w:color w:val="FFFFFF" w:themeColor="background1"/>
                          <w:sz w:val="22"/>
                        </w:rPr>
                        <w:t xml:space="preserve"> 2018</w:t>
                      </w:r>
                    </w:p>
                    <w:p w:rsidR="00627C9F" w:rsidRPr="004B7EB6" w:rsidRDefault="009D4C79" w:rsidP="009D4C79">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1477162</wp:posOffset>
                </wp:positionH>
                <wp:positionV relativeFrom="paragraph">
                  <wp:posOffset>67945</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C79" w:rsidRPr="00890650" w:rsidRDefault="001B14A3" w:rsidP="00FD3D3F">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w:t>
                            </w:r>
                            <w:r w:rsidR="00BD1C5D" w:rsidRPr="00BD1C5D">
                              <w:rPr>
                                <w:rFonts w:asciiTheme="majorHAnsi" w:hAnsiTheme="majorHAnsi"/>
                                <w:color w:val="0D0D0D" w:themeColor="text1" w:themeTint="F2"/>
                                <w:sz w:val="18"/>
                                <w:szCs w:val="20"/>
                              </w:rPr>
                              <w:t xml:space="preserve"> </w:t>
                            </w:r>
                            <w:r w:rsidR="00BD1C5D">
                              <w:rPr>
                                <w:rFonts w:asciiTheme="majorHAnsi" w:hAnsiTheme="majorHAnsi"/>
                                <w:color w:val="0D0D0D" w:themeColor="text1" w:themeTint="F2"/>
                                <w:sz w:val="18"/>
                                <w:szCs w:val="20"/>
                              </w:rPr>
                              <w:t>electronically</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by the Commission</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on </w:t>
                            </w:r>
                            <w:r w:rsidR="00FD3D3F">
                              <w:rPr>
                                <w:rFonts w:asciiTheme="majorHAnsi" w:hAnsiTheme="majorHAnsi"/>
                                <w:color w:val="0D0D0D" w:themeColor="text1" w:themeTint="F2"/>
                                <w:sz w:val="18"/>
                                <w:szCs w:val="20"/>
                              </w:rPr>
                              <w:t>June 15</w:t>
                            </w:r>
                            <w:r w:rsidR="00BD1C5D">
                              <w:rPr>
                                <w:rFonts w:asciiTheme="majorHAnsi" w:hAnsiTheme="majorHAnsi"/>
                                <w:color w:val="0D0D0D" w:themeColor="text1" w:themeTint="F2"/>
                                <w:sz w:val="18"/>
                                <w:szCs w:val="20"/>
                              </w:rPr>
                              <w:t>, 2018.</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116.3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" filled="f" stroked="f" strokeweight=".5pt">
                <v:textbox>
                  <w:txbxContent>
                    <w:p w:rsidR="009D4C79" w:rsidRPr="00890650" w:rsidRDefault="001B14A3" w:rsidP="00FD3D3F">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w:t>
                      </w:r>
                      <w:r w:rsidR="00BD1C5D" w:rsidRPr="00BD1C5D">
                        <w:rPr>
                          <w:rFonts w:asciiTheme="majorHAnsi" w:hAnsiTheme="majorHAnsi"/>
                          <w:color w:val="0D0D0D" w:themeColor="text1" w:themeTint="F2"/>
                          <w:sz w:val="18"/>
                          <w:szCs w:val="20"/>
                        </w:rPr>
                        <w:t xml:space="preserve"> </w:t>
                      </w:r>
                      <w:r w:rsidR="00BD1C5D">
                        <w:rPr>
                          <w:rFonts w:asciiTheme="majorHAnsi" w:hAnsiTheme="majorHAnsi"/>
                          <w:color w:val="0D0D0D" w:themeColor="text1" w:themeTint="F2"/>
                          <w:sz w:val="18"/>
                          <w:szCs w:val="20"/>
                        </w:rPr>
                        <w:t>electronically</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by the Commission</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on </w:t>
                      </w:r>
                      <w:r w:rsidR="00FD3D3F">
                        <w:rPr>
                          <w:rFonts w:asciiTheme="majorHAnsi" w:hAnsiTheme="majorHAnsi"/>
                          <w:color w:val="0D0D0D" w:themeColor="text1" w:themeTint="F2"/>
                          <w:sz w:val="18"/>
                          <w:szCs w:val="20"/>
                        </w:rPr>
                        <w:t>June 15</w:t>
                      </w:r>
                      <w:r w:rsidR="00BD1C5D">
                        <w:rPr>
                          <w:rFonts w:asciiTheme="majorHAnsi" w:hAnsiTheme="majorHAnsi"/>
                          <w:color w:val="0D0D0D" w:themeColor="text1" w:themeTint="F2"/>
                          <w:sz w:val="18"/>
                          <w:szCs w:val="20"/>
                        </w:rPr>
                        <w:t>, 2018.</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1477467</wp:posOffset>
                </wp:positionH>
                <wp:positionV relativeFrom="paragraph">
                  <wp:posOffset>84455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C79" w:rsidRPr="00BD1C5D" w:rsidRDefault="009D4C79" w:rsidP="009D4C79">
                            <w:pPr>
                              <w:spacing w:line="276" w:lineRule="auto"/>
                              <w:rPr>
                                <w:rFonts w:asciiTheme="majorHAnsi" w:hAnsiTheme="majorHAnsi"/>
                                <w:color w:val="595959" w:themeColor="text1" w:themeTint="A6"/>
                                <w:sz w:val="18"/>
                                <w:szCs w:val="18"/>
                                <w:lang w:val="es-US"/>
                              </w:rPr>
                            </w:pPr>
                            <w:r>
                              <w:rPr>
                                <w:rFonts w:asciiTheme="majorHAnsi" w:hAnsiTheme="majorHAnsi"/>
                                <w:b/>
                                <w:bCs/>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FD3D3F">
                              <w:rPr>
                                <w:rFonts w:asciiTheme="majorHAnsi" w:hAnsiTheme="majorHAnsi"/>
                                <w:color w:val="595959" w:themeColor="text1" w:themeTint="A6"/>
                                <w:sz w:val="18"/>
                                <w:szCs w:val="18"/>
                              </w:rPr>
                              <w:t>74/18</w:t>
                            </w:r>
                            <w:r>
                              <w:rPr>
                                <w:rFonts w:asciiTheme="majorHAnsi" w:hAnsiTheme="majorHAnsi"/>
                                <w:color w:val="595959" w:themeColor="text1" w:themeTint="A6"/>
                                <w:sz w:val="18"/>
                                <w:szCs w:val="18"/>
                              </w:rPr>
                              <w:t xml:space="preserve">. </w:t>
                            </w:r>
                            <w:proofErr w:type="spellStart"/>
                            <w:r w:rsidRPr="00BD1C5D">
                              <w:rPr>
                                <w:rFonts w:asciiTheme="majorHAnsi" w:hAnsiTheme="majorHAnsi"/>
                                <w:color w:val="595959" w:themeColor="text1" w:themeTint="A6"/>
                                <w:sz w:val="18"/>
                                <w:szCs w:val="18"/>
                                <w:lang w:val="es-US"/>
                              </w:rPr>
                              <w:t>Admissibility</w:t>
                            </w:r>
                            <w:proofErr w:type="spellEnd"/>
                            <w:r w:rsidRPr="00BD1C5D">
                              <w:rPr>
                                <w:rFonts w:asciiTheme="majorHAnsi" w:hAnsiTheme="majorHAnsi"/>
                                <w:color w:val="595959" w:themeColor="text1" w:themeTint="A6"/>
                                <w:sz w:val="18"/>
                                <w:szCs w:val="18"/>
                                <w:lang w:val="es-US"/>
                              </w:rPr>
                              <w:t xml:space="preserve">, </w:t>
                            </w:r>
                            <w:r w:rsidR="00BD1C5D" w:rsidRPr="00BD1C5D">
                              <w:rPr>
                                <w:rFonts w:asciiTheme="majorHAnsi" w:hAnsiTheme="majorHAnsi"/>
                                <w:color w:val="595959" w:themeColor="text1" w:themeTint="A6"/>
                                <w:sz w:val="18"/>
                                <w:szCs w:val="18"/>
                                <w:lang w:val="es-US"/>
                              </w:rPr>
                              <w:t xml:space="preserve">Patricia Rodríguez </w:t>
                            </w:r>
                            <w:r w:rsidRPr="00BD1C5D">
                              <w:rPr>
                                <w:rFonts w:asciiTheme="majorHAnsi" w:hAnsiTheme="majorHAnsi"/>
                                <w:color w:val="595959" w:themeColor="text1" w:themeTint="A6"/>
                                <w:sz w:val="18"/>
                                <w:szCs w:val="18"/>
                                <w:lang w:val="es-US"/>
                              </w:rPr>
                              <w:t xml:space="preserve">et al., Colombia, </w:t>
                            </w:r>
                            <w:r w:rsidR="00FD3D3F" w:rsidRPr="00BD1C5D">
                              <w:rPr>
                                <w:rFonts w:asciiTheme="majorHAnsi" w:hAnsiTheme="majorHAnsi"/>
                                <w:color w:val="595959" w:themeColor="text1" w:themeTint="A6"/>
                                <w:sz w:val="18"/>
                                <w:szCs w:val="18"/>
                                <w:lang w:val="es-US"/>
                              </w:rPr>
                              <w:t>June 15, 2018</w:t>
                            </w:r>
                            <w:r w:rsidRPr="00BD1C5D">
                              <w:rPr>
                                <w:rFonts w:asciiTheme="majorHAnsi" w:hAnsiTheme="majorHAnsi"/>
                                <w:color w:val="595959" w:themeColor="text1" w:themeTint="A6"/>
                                <w:sz w:val="18"/>
                                <w:szCs w:val="18"/>
                                <w:lang w:val="es-US"/>
                              </w:rPr>
                              <w:t>.</w:t>
                            </w:r>
                          </w:p>
                          <w:p w:rsidR="00F644E6" w:rsidRPr="00BD1C5D" w:rsidRDefault="00F644E6" w:rsidP="00F644E6">
                            <w:pPr>
                              <w:spacing w:line="276" w:lineRule="auto"/>
                              <w:rPr>
                                <w:rFonts w:asciiTheme="majorHAnsi" w:hAnsiTheme="majorHAnsi"/>
                                <w:color w:val="595959" w:themeColor="text1" w:themeTint="A6"/>
                                <w:sz w:val="18"/>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116.35pt;margin-top:6.6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" filled="f" stroked="f" strokeweight=".5pt">
                <v:textbox>
                  <w:txbxContent>
                    <w:p w:rsidR="009D4C79" w:rsidRPr="00BD1C5D" w:rsidRDefault="009D4C79" w:rsidP="009D4C79">
                      <w:pPr>
                        <w:spacing w:line="276" w:lineRule="auto"/>
                        <w:rPr>
                          <w:rFonts w:asciiTheme="majorHAnsi" w:hAnsiTheme="majorHAnsi"/>
                          <w:color w:val="595959" w:themeColor="text1" w:themeTint="A6"/>
                          <w:sz w:val="18"/>
                          <w:szCs w:val="18"/>
                          <w:lang w:val="es-US"/>
                        </w:rPr>
                      </w:pPr>
                      <w:r>
                        <w:rPr>
                          <w:rFonts w:asciiTheme="majorHAnsi" w:hAnsiTheme="majorHAnsi"/>
                          <w:b/>
                          <w:bCs/>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FD3D3F">
                        <w:rPr>
                          <w:rFonts w:asciiTheme="majorHAnsi" w:hAnsiTheme="majorHAnsi"/>
                          <w:color w:val="595959" w:themeColor="text1" w:themeTint="A6"/>
                          <w:sz w:val="18"/>
                          <w:szCs w:val="18"/>
                        </w:rPr>
                        <w:t>74/18</w:t>
                      </w:r>
                      <w:r>
                        <w:rPr>
                          <w:rFonts w:asciiTheme="majorHAnsi" w:hAnsiTheme="majorHAnsi"/>
                          <w:color w:val="595959" w:themeColor="text1" w:themeTint="A6"/>
                          <w:sz w:val="18"/>
                          <w:szCs w:val="18"/>
                        </w:rPr>
                        <w:t xml:space="preserve">. </w:t>
                      </w:r>
                      <w:proofErr w:type="spellStart"/>
                      <w:r w:rsidRPr="00BD1C5D">
                        <w:rPr>
                          <w:rFonts w:asciiTheme="majorHAnsi" w:hAnsiTheme="majorHAnsi"/>
                          <w:color w:val="595959" w:themeColor="text1" w:themeTint="A6"/>
                          <w:sz w:val="18"/>
                          <w:szCs w:val="18"/>
                          <w:lang w:val="es-US"/>
                        </w:rPr>
                        <w:t>Admissibility</w:t>
                      </w:r>
                      <w:proofErr w:type="spellEnd"/>
                      <w:r w:rsidRPr="00BD1C5D">
                        <w:rPr>
                          <w:rFonts w:asciiTheme="majorHAnsi" w:hAnsiTheme="majorHAnsi"/>
                          <w:color w:val="595959" w:themeColor="text1" w:themeTint="A6"/>
                          <w:sz w:val="18"/>
                          <w:szCs w:val="18"/>
                          <w:lang w:val="es-US"/>
                        </w:rPr>
                        <w:t xml:space="preserve">, </w:t>
                      </w:r>
                      <w:r w:rsidR="00BD1C5D" w:rsidRPr="00BD1C5D">
                        <w:rPr>
                          <w:rFonts w:asciiTheme="majorHAnsi" w:hAnsiTheme="majorHAnsi"/>
                          <w:color w:val="595959" w:themeColor="text1" w:themeTint="A6"/>
                          <w:sz w:val="18"/>
                          <w:szCs w:val="18"/>
                          <w:lang w:val="es-US"/>
                        </w:rPr>
                        <w:t xml:space="preserve">Patricia Rodríguez </w:t>
                      </w:r>
                      <w:r w:rsidRPr="00BD1C5D">
                        <w:rPr>
                          <w:rFonts w:asciiTheme="majorHAnsi" w:hAnsiTheme="majorHAnsi"/>
                          <w:color w:val="595959" w:themeColor="text1" w:themeTint="A6"/>
                          <w:sz w:val="18"/>
                          <w:szCs w:val="18"/>
                          <w:lang w:val="es-US"/>
                        </w:rPr>
                        <w:t xml:space="preserve">et al., Colombia, </w:t>
                      </w:r>
                      <w:r w:rsidR="00FD3D3F" w:rsidRPr="00BD1C5D">
                        <w:rPr>
                          <w:rFonts w:asciiTheme="majorHAnsi" w:hAnsiTheme="majorHAnsi"/>
                          <w:color w:val="595959" w:themeColor="text1" w:themeTint="A6"/>
                          <w:sz w:val="18"/>
                          <w:szCs w:val="18"/>
                          <w:lang w:val="es-US"/>
                        </w:rPr>
                        <w:t>June 15, 2018</w:t>
                      </w:r>
                      <w:r w:rsidRPr="00BD1C5D">
                        <w:rPr>
                          <w:rFonts w:asciiTheme="majorHAnsi" w:hAnsiTheme="majorHAnsi"/>
                          <w:color w:val="595959" w:themeColor="text1" w:themeTint="A6"/>
                          <w:sz w:val="18"/>
                          <w:szCs w:val="18"/>
                          <w:lang w:val="es-US"/>
                        </w:rPr>
                        <w:t>.</w:t>
                      </w:r>
                    </w:p>
                    <w:p w:rsidR="00F644E6" w:rsidRPr="00BD1C5D" w:rsidRDefault="00F644E6" w:rsidP="00F644E6">
                      <w:pPr>
                        <w:spacing w:line="276" w:lineRule="auto"/>
                        <w:rPr>
                          <w:rFonts w:asciiTheme="majorHAnsi" w:hAnsiTheme="majorHAnsi"/>
                          <w:color w:val="595959" w:themeColor="text1" w:themeTint="A6"/>
                          <w:sz w:val="18"/>
                          <w:lang w:val="es-US"/>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9D4C79" w:rsidRDefault="009D4C79" w:rsidP="003C32BC">
      <w:pPr>
        <w:tabs>
          <w:tab w:val="center" w:pos="5400"/>
        </w:tabs>
        <w:suppressAutoHyphens/>
        <w:jc w:val="center"/>
        <w:rPr>
          <w:rFonts w:asciiTheme="majorHAnsi" w:hAnsiTheme="majorHAnsi"/>
          <w:sz w:val="18"/>
          <w:szCs w:val="22"/>
        </w:rPr>
      </w:pPr>
    </w:p>
    <w:p w:rsidR="003C32BC" w:rsidRPr="003C32BC" w:rsidRDefault="00E045A2"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5148A6AD">
                <wp:simplePos x="0" y="0"/>
                <wp:positionH relativeFrom="column">
                  <wp:posOffset>3548380</wp:posOffset>
                </wp:positionH>
                <wp:positionV relativeFrom="paragraph">
                  <wp:posOffset>110490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279.4pt;margin-top:8.7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" fillcolor="white [3201]" stroked="f" strokeweight=".5pt">
                <v:textbox>
                  <w:txbxContent>
                    <w:p w:rsidR="003C32BC" w:rsidRDefault="003C32BC"/>
                  </w:txbxContent>
                </v:textbox>
              </v:shape>
            </w:pict>
          </mc:Fallback>
        </mc:AlternateContent>
      </w:r>
    </w:p>
    <w:p w:rsidR="003C32BC" w:rsidRPr="003C32BC" w:rsidRDefault="009D4C79" w:rsidP="003C32BC">
      <w:pPr>
        <w:tabs>
          <w:tab w:val="center" w:pos="5400"/>
        </w:tabs>
        <w:suppressAutoHyphens/>
        <w:jc w:val="center"/>
        <w:rPr>
          <w:rFonts w:asciiTheme="majorHAnsi" w:hAnsiTheme="majorHAnsi"/>
          <w:sz w:val="18"/>
          <w:szCs w:val="22"/>
        </w:rPr>
      </w:pPr>
      <w:r>
        <w:rPr>
          <w:noProof/>
          <w:color w:val="FFFFFF" w:themeColor="background1"/>
        </w:rPr>
        <w:drawing>
          <wp:inline distT="0" distB="0" distL="0" distR="0" wp14:anchorId="4057A3E5" wp14:editId="7D37682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5F4F13F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E25CD" w:rsidRPr="000B6B7A" w:rsidTr="005E4651">
        <w:tc>
          <w:tcPr>
            <w:tcW w:w="3690" w:type="dxa"/>
            <w:tcBorders>
              <w:top w:val="single" w:sz="4"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EE25CD" w:rsidRPr="000B6B7A" w:rsidRDefault="00EE25CD" w:rsidP="009D4C79">
            <w:pPr>
              <w:jc w:val="both"/>
              <w:rPr>
                <w:rFonts w:ascii="Cambria" w:hAnsi="Cambria"/>
                <w:bCs/>
                <w:sz w:val="20"/>
                <w:szCs w:val="20"/>
              </w:rPr>
            </w:pPr>
            <w:r>
              <w:rPr>
                <w:rFonts w:asciiTheme="majorHAnsi" w:hAnsiTheme="majorHAnsi"/>
                <w:sz w:val="20"/>
                <w:szCs w:val="20"/>
              </w:rPr>
              <w:t>Diego Armando Díaz Morales</w:t>
            </w:r>
            <w:r>
              <w:rPr>
                <w:rStyle w:val="FootnoteReference"/>
                <w:sz w:val="20"/>
                <w:szCs w:val="20"/>
              </w:rPr>
              <w:footnoteReference w:id="2"/>
            </w:r>
          </w:p>
        </w:tc>
      </w:tr>
      <w:tr w:rsidR="00EE25CD" w:rsidRPr="00BD1C5D" w:rsidTr="005E4651">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Pr>
                <w:rFonts w:ascii="Cambria" w:hAnsi="Cambria"/>
                <w:b/>
                <w:bCs/>
                <w:color w:val="FFFFFF" w:themeColor="background1"/>
                <w:sz w:val="20"/>
                <w:szCs w:val="20"/>
              </w:rPr>
              <w:t>Alleged victim</w:t>
            </w:r>
            <w:r w:rsidRPr="000C4365">
              <w:rPr>
                <w:rFonts w:ascii="Cambria" w:hAnsi="Cambria"/>
                <w:b/>
                <w:bCs/>
                <w:color w:val="FFFFFF" w:themeColor="background1"/>
                <w:sz w:val="20"/>
                <w:szCs w:val="20"/>
              </w:rPr>
              <w:t>:</w:t>
            </w:r>
          </w:p>
        </w:tc>
        <w:tc>
          <w:tcPr>
            <w:tcW w:w="5670" w:type="dxa"/>
            <w:vAlign w:val="center"/>
          </w:tcPr>
          <w:p w:rsidR="00EE25CD" w:rsidRPr="005E4651" w:rsidRDefault="00EE25CD" w:rsidP="009D4C79">
            <w:pPr>
              <w:jc w:val="both"/>
              <w:rPr>
                <w:rFonts w:ascii="Cambria" w:hAnsi="Cambria"/>
                <w:bCs/>
                <w:sz w:val="20"/>
                <w:szCs w:val="20"/>
                <w:lang w:val="es-ES"/>
              </w:rPr>
            </w:pPr>
            <w:r w:rsidRPr="005E4651">
              <w:rPr>
                <w:rFonts w:asciiTheme="majorHAnsi" w:hAnsiTheme="majorHAnsi"/>
                <w:sz w:val="20"/>
                <w:szCs w:val="20"/>
                <w:lang w:val="es-ES"/>
              </w:rPr>
              <w:t xml:space="preserve">Patricia Rodríguez </w:t>
            </w:r>
            <w:proofErr w:type="spellStart"/>
            <w:r w:rsidRPr="005E4651">
              <w:rPr>
                <w:rFonts w:asciiTheme="majorHAnsi" w:hAnsiTheme="majorHAnsi"/>
                <w:sz w:val="20"/>
                <w:szCs w:val="20"/>
                <w:lang w:val="es-ES"/>
              </w:rPr>
              <w:t>Rodríguez</w:t>
            </w:r>
            <w:proofErr w:type="spellEnd"/>
            <w:r w:rsidRPr="005E4651">
              <w:rPr>
                <w:rFonts w:asciiTheme="majorHAnsi" w:hAnsiTheme="majorHAnsi"/>
                <w:sz w:val="20"/>
                <w:szCs w:val="20"/>
                <w:lang w:val="es-ES"/>
              </w:rPr>
              <w:t xml:space="preserve"> </w:t>
            </w:r>
            <w:r w:rsidRPr="005E4651">
              <w:rPr>
                <w:rFonts w:asciiTheme="majorHAnsi" w:hAnsiTheme="majorHAnsi"/>
                <w:i/>
                <w:sz w:val="20"/>
                <w:szCs w:val="20"/>
                <w:lang w:val="es-ES"/>
              </w:rPr>
              <w:t>et al</w:t>
            </w:r>
            <w:r w:rsidRPr="005E4651">
              <w:rPr>
                <w:rFonts w:asciiTheme="majorHAnsi" w:hAnsiTheme="majorHAnsi"/>
                <w:sz w:val="20"/>
                <w:szCs w:val="20"/>
                <w:lang w:val="es-ES"/>
              </w:rPr>
              <w:t>.</w:t>
            </w:r>
            <w:r>
              <w:rPr>
                <w:rFonts w:asciiTheme="majorHAnsi" w:hAnsiTheme="majorHAnsi"/>
                <w:sz w:val="20"/>
                <w:szCs w:val="20"/>
                <w:vertAlign w:val="superscript"/>
              </w:rPr>
              <w:footnoteReference w:id="3"/>
            </w:r>
          </w:p>
        </w:tc>
      </w:tr>
      <w:tr w:rsidR="00EE25CD" w:rsidRPr="000B6B7A" w:rsidTr="005E4651">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EE25CD" w:rsidRPr="000B6B7A" w:rsidRDefault="00EE25CD" w:rsidP="009D4C79">
            <w:pPr>
              <w:jc w:val="both"/>
              <w:rPr>
                <w:rFonts w:ascii="Cambria" w:hAnsi="Cambria"/>
                <w:bCs/>
                <w:sz w:val="20"/>
                <w:szCs w:val="20"/>
              </w:rPr>
            </w:pPr>
            <w:r>
              <w:rPr>
                <w:rFonts w:asciiTheme="majorHAnsi" w:hAnsiTheme="majorHAnsi"/>
                <w:sz w:val="20"/>
                <w:szCs w:val="20"/>
              </w:rPr>
              <w:t>Colombia</w:t>
            </w:r>
            <w:r>
              <w:rPr>
                <w:rStyle w:val="FootnoteReference"/>
                <w:sz w:val="20"/>
                <w:szCs w:val="20"/>
              </w:rPr>
              <w:footnoteReference w:id="4"/>
            </w:r>
          </w:p>
        </w:tc>
      </w:tr>
      <w:tr w:rsidR="00EE25CD" w:rsidRPr="000B6B7A" w:rsidTr="005E4651">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EE25CD" w:rsidRPr="000B6B7A" w:rsidRDefault="00EE25CD" w:rsidP="009D4C79">
            <w:pPr>
              <w:jc w:val="both"/>
              <w:rPr>
                <w:rFonts w:ascii="Cambria" w:hAnsi="Cambria"/>
                <w:bCs/>
                <w:sz w:val="20"/>
                <w:szCs w:val="20"/>
              </w:rPr>
            </w:pPr>
            <w:r>
              <w:rPr>
                <w:rFonts w:asciiTheme="majorHAnsi" w:hAnsiTheme="majorHAnsi"/>
                <w:sz w:val="20"/>
                <w:szCs w:val="20"/>
              </w:rPr>
              <w:t>Articles 4 (life), 5 (humane treatment), 8 (fair trial), and 25 (judicial protection) of the American Convention on Human Rights</w:t>
            </w:r>
            <w:r>
              <w:rPr>
                <w:rStyle w:val="FootnoteReference"/>
                <w:sz w:val="20"/>
                <w:szCs w:val="20"/>
              </w:rPr>
              <w:footnoteReference w:id="5"/>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E25CD" w:rsidRPr="000B6B7A" w:rsidTr="005E4651">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EE25CD" w:rsidRPr="000B6B7A" w:rsidRDefault="00EE25CD" w:rsidP="009D4C79">
            <w:pPr>
              <w:jc w:val="both"/>
              <w:rPr>
                <w:rFonts w:ascii="Cambria" w:hAnsi="Cambria"/>
                <w:bCs/>
                <w:sz w:val="20"/>
                <w:szCs w:val="20"/>
              </w:rPr>
            </w:pPr>
            <w:r>
              <w:rPr>
                <w:rFonts w:asciiTheme="majorHAnsi" w:hAnsiTheme="majorHAnsi"/>
                <w:sz w:val="20"/>
                <w:szCs w:val="20"/>
              </w:rPr>
              <w:t>October 29, 2008</w:t>
            </w:r>
          </w:p>
        </w:tc>
      </w:tr>
      <w:tr w:rsidR="00EE25CD" w:rsidRPr="000B6B7A" w:rsidTr="005E4651">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EE25CD" w:rsidRPr="000B6B7A" w:rsidRDefault="00EE25CD" w:rsidP="009D4C79">
            <w:pPr>
              <w:jc w:val="both"/>
              <w:rPr>
                <w:rFonts w:ascii="Cambria" w:hAnsi="Cambria"/>
                <w:bCs/>
                <w:sz w:val="20"/>
                <w:szCs w:val="20"/>
              </w:rPr>
            </w:pPr>
            <w:r>
              <w:rPr>
                <w:rFonts w:asciiTheme="majorHAnsi" w:hAnsiTheme="majorHAnsi"/>
                <w:sz w:val="20"/>
                <w:szCs w:val="20"/>
              </w:rPr>
              <w:t>January 14, 2014</w:t>
            </w:r>
          </w:p>
        </w:tc>
      </w:tr>
      <w:tr w:rsidR="00EE25CD" w:rsidRPr="000B6B7A" w:rsidTr="005E4651">
        <w:trPr>
          <w:trHeight w:val="264"/>
        </w:trPr>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EE25CD" w:rsidRPr="000B6B7A" w:rsidRDefault="00EE25CD" w:rsidP="009D4C79">
            <w:pPr>
              <w:jc w:val="both"/>
              <w:rPr>
                <w:rFonts w:ascii="Cambria" w:hAnsi="Cambria"/>
                <w:bCs/>
                <w:sz w:val="20"/>
                <w:szCs w:val="20"/>
              </w:rPr>
            </w:pPr>
            <w:r>
              <w:rPr>
                <w:rFonts w:asciiTheme="majorHAnsi" w:hAnsiTheme="majorHAnsi"/>
                <w:sz w:val="20"/>
                <w:szCs w:val="20"/>
              </w:rPr>
              <w:t>May 16, 2014</w:t>
            </w:r>
          </w:p>
        </w:tc>
      </w:tr>
      <w:tr w:rsidR="00EE25CD" w:rsidRPr="000B6B7A" w:rsidTr="005E4651">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EE25CD" w:rsidRPr="000B6B7A" w:rsidRDefault="00EE25CD" w:rsidP="009D4C79">
            <w:pPr>
              <w:jc w:val="both"/>
              <w:rPr>
                <w:rFonts w:ascii="Cambria" w:hAnsi="Cambria"/>
                <w:bCs/>
                <w:sz w:val="20"/>
                <w:szCs w:val="20"/>
              </w:rPr>
            </w:pPr>
            <w:r>
              <w:rPr>
                <w:rFonts w:asciiTheme="majorHAnsi" w:hAnsiTheme="majorHAnsi"/>
                <w:sz w:val="20"/>
                <w:szCs w:val="20"/>
              </w:rPr>
              <w:t>July 16, 2017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E25CD" w:rsidRPr="000B6B7A" w:rsidTr="00EE25CD">
        <w:trPr>
          <w:cantSplit/>
        </w:trPr>
        <w:tc>
          <w:tcPr>
            <w:tcW w:w="3690" w:type="dxa"/>
            <w:tcBorders>
              <w:top w:val="single" w:sz="4" w:space="0" w:color="auto"/>
              <w:bottom w:val="single" w:sz="6" w:space="0" w:color="auto"/>
            </w:tcBorders>
            <w:shd w:val="clear" w:color="auto" w:fill="67AE3C"/>
            <w:vAlign w:val="center"/>
          </w:tcPr>
          <w:p w:rsidR="00EE25CD" w:rsidRPr="000B6B7A" w:rsidRDefault="00EE25CD" w:rsidP="009D4C7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rsidR="00EE25CD" w:rsidRPr="000B6B7A" w:rsidRDefault="00EE25CD" w:rsidP="009D4C79">
            <w:pPr>
              <w:rPr>
                <w:rFonts w:asciiTheme="majorHAnsi" w:hAnsiTheme="majorHAnsi"/>
                <w:bCs/>
                <w:sz w:val="20"/>
                <w:szCs w:val="20"/>
              </w:rPr>
            </w:pPr>
            <w:r>
              <w:rPr>
                <w:rFonts w:asciiTheme="majorHAnsi" w:hAnsiTheme="majorHAnsi"/>
                <w:sz w:val="20"/>
                <w:szCs w:val="20"/>
              </w:rPr>
              <w:t>Yes</w:t>
            </w:r>
          </w:p>
        </w:tc>
      </w:tr>
      <w:tr w:rsidR="00EE25CD" w:rsidRPr="000B6B7A" w:rsidTr="00EE25CD">
        <w:trPr>
          <w:cantSplit/>
        </w:trPr>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rsidR="00EE25CD" w:rsidRPr="000B6B7A" w:rsidRDefault="00EE25CD" w:rsidP="009D4C79">
            <w:pPr>
              <w:rPr>
                <w:rFonts w:asciiTheme="majorHAnsi" w:hAnsiTheme="majorHAnsi"/>
                <w:bCs/>
                <w:sz w:val="20"/>
                <w:szCs w:val="20"/>
              </w:rPr>
            </w:pPr>
            <w:r>
              <w:rPr>
                <w:rFonts w:asciiTheme="majorHAnsi" w:hAnsiTheme="majorHAnsi"/>
                <w:sz w:val="20"/>
                <w:szCs w:val="20"/>
              </w:rPr>
              <w:t>Yes</w:t>
            </w:r>
          </w:p>
        </w:tc>
      </w:tr>
      <w:tr w:rsidR="00EE25CD" w:rsidRPr="000B6B7A" w:rsidTr="00EE25CD">
        <w:trPr>
          <w:cantSplit/>
        </w:trPr>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EE25CD" w:rsidRPr="000B6B7A" w:rsidRDefault="00EE25CD" w:rsidP="009D4C79">
            <w:pPr>
              <w:rPr>
                <w:rFonts w:asciiTheme="majorHAnsi" w:hAnsiTheme="majorHAnsi"/>
                <w:bCs/>
                <w:sz w:val="20"/>
                <w:szCs w:val="20"/>
              </w:rPr>
            </w:pPr>
            <w:r>
              <w:rPr>
                <w:rFonts w:asciiTheme="majorHAnsi" w:hAnsiTheme="majorHAnsi"/>
                <w:sz w:val="20"/>
                <w:szCs w:val="20"/>
              </w:rPr>
              <w:t>Yes</w:t>
            </w:r>
          </w:p>
        </w:tc>
      </w:tr>
      <w:tr w:rsidR="00EE25CD" w:rsidRPr="000B6B7A" w:rsidTr="00EE25CD">
        <w:trPr>
          <w:cantSplit/>
        </w:trPr>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EE25CD" w:rsidRPr="000B6B7A" w:rsidRDefault="00EE25CD" w:rsidP="009D4C79">
            <w:pPr>
              <w:jc w:val="both"/>
              <w:rPr>
                <w:rFonts w:asciiTheme="majorHAnsi" w:hAnsiTheme="majorHAnsi"/>
                <w:bCs/>
                <w:sz w:val="20"/>
                <w:szCs w:val="20"/>
              </w:rPr>
            </w:pPr>
            <w:r>
              <w:rPr>
                <w:rFonts w:asciiTheme="majorHAnsi" w:hAnsiTheme="majorHAnsi"/>
                <w:sz w:val="20"/>
                <w:szCs w:val="20"/>
              </w:rPr>
              <w:t>Yes, American Convention (instrument deposited on July 31, 1973)</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E25CD" w:rsidRPr="000B6B7A" w:rsidTr="00EE25CD">
        <w:trPr>
          <w:cantSplit/>
        </w:trPr>
        <w:tc>
          <w:tcPr>
            <w:tcW w:w="3690" w:type="dxa"/>
            <w:tcBorders>
              <w:top w:val="single" w:sz="4"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EE25CD" w:rsidRPr="000B6B7A" w:rsidRDefault="00EE25CD" w:rsidP="009D4C79">
            <w:pPr>
              <w:jc w:val="both"/>
              <w:rPr>
                <w:rFonts w:ascii="Cambria" w:hAnsi="Cambria"/>
                <w:bCs/>
                <w:sz w:val="20"/>
                <w:szCs w:val="20"/>
              </w:rPr>
            </w:pPr>
            <w:r>
              <w:rPr>
                <w:rFonts w:asciiTheme="majorHAnsi" w:hAnsiTheme="majorHAnsi"/>
                <w:sz w:val="20"/>
                <w:szCs w:val="20"/>
              </w:rPr>
              <w:t>No, under the terms of Section V</w:t>
            </w:r>
          </w:p>
        </w:tc>
      </w:tr>
      <w:tr w:rsidR="00EE25CD" w:rsidRPr="000B6B7A" w:rsidTr="00EE25CD">
        <w:trPr>
          <w:cantSplit/>
        </w:trPr>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EE25CD" w:rsidRPr="000B6B7A" w:rsidRDefault="00EE25CD" w:rsidP="00D35DC9">
            <w:pPr>
              <w:jc w:val="both"/>
              <w:rPr>
                <w:rFonts w:ascii="Cambria" w:hAnsi="Cambria"/>
                <w:bCs/>
                <w:sz w:val="20"/>
                <w:szCs w:val="20"/>
              </w:rPr>
            </w:pPr>
            <w:r>
              <w:rPr>
                <w:rFonts w:asciiTheme="majorHAnsi" w:hAnsiTheme="majorHAnsi"/>
                <w:sz w:val="20"/>
                <w:szCs w:val="20"/>
              </w:rPr>
              <w:t xml:space="preserve">Articles 4 (life), 5 (humane treatment), 8 (fair trial), 19 (rights of the child), and 25 (judicial protection) of the American Convention, </w:t>
            </w:r>
            <w:r w:rsidR="00D35DC9">
              <w:rPr>
                <w:rFonts w:asciiTheme="majorHAnsi" w:hAnsiTheme="majorHAnsi"/>
                <w:sz w:val="20"/>
                <w:szCs w:val="20"/>
              </w:rPr>
              <w:t>in connection</w:t>
            </w:r>
            <w:r>
              <w:rPr>
                <w:rFonts w:asciiTheme="majorHAnsi" w:hAnsiTheme="majorHAnsi"/>
                <w:sz w:val="20"/>
                <w:szCs w:val="20"/>
              </w:rPr>
              <w:t xml:space="preserve"> with Article 1(1) thereof (obligation to respect rights)</w:t>
            </w:r>
          </w:p>
        </w:tc>
      </w:tr>
      <w:tr w:rsidR="00EE25CD" w:rsidRPr="000B6B7A" w:rsidTr="00EE25CD">
        <w:trPr>
          <w:cantSplit/>
        </w:trPr>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EE25CD" w:rsidRPr="000B6B7A" w:rsidRDefault="00EE25CD" w:rsidP="005E4651">
            <w:pPr>
              <w:rPr>
                <w:rFonts w:ascii="Cambria" w:hAnsi="Cambria"/>
                <w:bCs/>
                <w:sz w:val="20"/>
                <w:szCs w:val="20"/>
              </w:rPr>
            </w:pPr>
            <w:r>
              <w:rPr>
                <w:rFonts w:asciiTheme="majorHAnsi" w:hAnsiTheme="majorHAnsi"/>
                <w:sz w:val="20"/>
                <w:szCs w:val="20"/>
              </w:rPr>
              <w:t xml:space="preserve">Yes, exception </w:t>
            </w:r>
            <w:r w:rsidR="00D35DC9">
              <w:rPr>
                <w:rFonts w:asciiTheme="majorHAnsi" w:hAnsiTheme="majorHAnsi"/>
                <w:sz w:val="20"/>
                <w:szCs w:val="20"/>
              </w:rPr>
              <w:t>of</w:t>
            </w:r>
            <w:r>
              <w:rPr>
                <w:rFonts w:asciiTheme="majorHAnsi" w:hAnsiTheme="majorHAnsi"/>
                <w:sz w:val="20"/>
                <w:szCs w:val="20"/>
              </w:rPr>
              <w:t xml:space="preserve"> Article 46(2)(c) of the Convention applies</w:t>
            </w:r>
          </w:p>
        </w:tc>
      </w:tr>
      <w:tr w:rsidR="00EE25CD" w:rsidRPr="000B6B7A" w:rsidTr="00EE25CD">
        <w:trPr>
          <w:cantSplit/>
        </w:trPr>
        <w:tc>
          <w:tcPr>
            <w:tcW w:w="3690" w:type="dxa"/>
            <w:tcBorders>
              <w:top w:val="single" w:sz="6" w:space="0" w:color="auto"/>
              <w:bottom w:val="single" w:sz="6" w:space="0" w:color="auto"/>
            </w:tcBorders>
            <w:shd w:val="clear" w:color="auto" w:fill="67AE3C"/>
            <w:vAlign w:val="center"/>
          </w:tcPr>
          <w:p w:rsidR="00EE25CD" w:rsidRPr="000B6B7A" w:rsidRDefault="00EE25CD" w:rsidP="009D4C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EE25CD" w:rsidRPr="000B6B7A" w:rsidRDefault="00EE25CD" w:rsidP="005E4651">
            <w:pPr>
              <w:rPr>
                <w:rFonts w:asciiTheme="majorHAnsi" w:hAnsiTheme="majorHAnsi"/>
                <w:bCs/>
                <w:sz w:val="20"/>
                <w:szCs w:val="20"/>
              </w:rPr>
            </w:pPr>
            <w:r>
              <w:rPr>
                <w:rFonts w:asciiTheme="majorHAnsi" w:hAnsiTheme="majorHAnsi"/>
                <w:sz w:val="20"/>
                <w:szCs w:val="20"/>
              </w:rPr>
              <w:t xml:space="preserve">Yes, </w:t>
            </w:r>
            <w:r w:rsidR="001B02FC">
              <w:rPr>
                <w:rFonts w:asciiTheme="majorHAnsi" w:hAnsiTheme="majorHAnsi"/>
                <w:sz w:val="20"/>
                <w:szCs w:val="20"/>
              </w:rPr>
              <w:t xml:space="preserve">in </w:t>
            </w:r>
            <w:r>
              <w:rPr>
                <w:rFonts w:asciiTheme="majorHAnsi" w:hAnsiTheme="majorHAnsi"/>
                <w:sz w:val="20"/>
                <w:szCs w:val="20"/>
              </w:rPr>
              <w:t>the terms of Section VII</w:t>
            </w:r>
          </w:p>
        </w:tc>
      </w:tr>
    </w:tbl>
    <w:p w:rsidR="006D63E8" w:rsidRDefault="006D63E8" w:rsidP="005E4651">
      <w:pPr>
        <w:ind w:firstLine="720"/>
        <w:jc w:val="both"/>
        <w:rPr>
          <w:rFonts w:asciiTheme="majorHAnsi" w:hAnsiTheme="majorHAnsi"/>
          <w:b/>
          <w:sz w:val="20"/>
          <w:szCs w:val="20"/>
        </w:rPr>
      </w:pPr>
    </w:p>
    <w:p w:rsidR="009D4C79" w:rsidRPr="009D4C79" w:rsidRDefault="009D4C79" w:rsidP="005E4651">
      <w:pPr>
        <w:ind w:firstLine="720"/>
        <w:jc w:val="both"/>
        <w:rPr>
          <w:rFonts w:asciiTheme="majorHAnsi" w:hAnsiTheme="majorHAnsi"/>
          <w:b/>
          <w:sz w:val="20"/>
          <w:szCs w:val="20"/>
        </w:rPr>
      </w:pPr>
      <w:r w:rsidRPr="009D4C79">
        <w:rPr>
          <w:rFonts w:asciiTheme="majorHAnsi" w:hAnsiTheme="majorHAnsi"/>
          <w:b/>
          <w:bCs/>
          <w:sz w:val="20"/>
          <w:szCs w:val="20"/>
        </w:rPr>
        <w:t xml:space="preserve">V. </w:t>
      </w:r>
      <w:r w:rsidRPr="009D4C79">
        <w:rPr>
          <w:rFonts w:asciiTheme="majorHAnsi" w:hAnsiTheme="majorHAnsi"/>
          <w:sz w:val="20"/>
          <w:szCs w:val="20"/>
        </w:rPr>
        <w:tab/>
      </w:r>
      <w:r w:rsidR="00D35DC9" w:rsidRPr="005E4651">
        <w:rPr>
          <w:rFonts w:asciiTheme="majorHAnsi" w:hAnsiTheme="majorHAnsi"/>
          <w:b/>
          <w:sz w:val="20"/>
          <w:szCs w:val="20"/>
        </w:rPr>
        <w:t xml:space="preserve">PRELIMINARY </w:t>
      </w:r>
      <w:r w:rsidRPr="009D4C79">
        <w:rPr>
          <w:rFonts w:asciiTheme="majorHAnsi" w:hAnsiTheme="majorHAnsi"/>
          <w:b/>
          <w:bCs/>
          <w:sz w:val="20"/>
          <w:szCs w:val="20"/>
        </w:rPr>
        <w:t>MATTER</w:t>
      </w:r>
      <w:r w:rsidRPr="009D4C79">
        <w:rPr>
          <w:rFonts w:asciiTheme="majorHAnsi" w:hAnsiTheme="majorHAnsi"/>
          <w:sz w:val="20"/>
          <w:szCs w:val="20"/>
        </w:rPr>
        <w:t xml:space="preserve"> </w:t>
      </w:r>
    </w:p>
    <w:p w:rsidR="009D4C79" w:rsidRPr="00BD1C5D"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S"/>
        </w:rPr>
      </w:pPr>
      <w:r w:rsidRPr="009D4C79">
        <w:rPr>
          <w:rFonts w:asciiTheme="majorHAnsi" w:hAnsiTheme="majorHAnsi"/>
          <w:sz w:val="20"/>
          <w:szCs w:val="20"/>
        </w:rPr>
        <w:t xml:space="preserve">The petition refers to 19 individuals alleged to be victims of the facts </w:t>
      </w:r>
      <w:r w:rsidR="00D35DC9">
        <w:rPr>
          <w:rFonts w:asciiTheme="majorHAnsi" w:hAnsiTheme="majorHAnsi"/>
          <w:sz w:val="20"/>
          <w:szCs w:val="20"/>
        </w:rPr>
        <w:t>denounced</w:t>
      </w:r>
      <w:r w:rsidR="00D35DC9" w:rsidRPr="009D4C79">
        <w:rPr>
          <w:rFonts w:asciiTheme="majorHAnsi" w:hAnsiTheme="majorHAnsi"/>
          <w:sz w:val="20"/>
          <w:szCs w:val="20"/>
        </w:rPr>
        <w:t xml:space="preserve"> </w:t>
      </w:r>
      <w:r w:rsidRPr="009D4C79">
        <w:rPr>
          <w:rFonts w:asciiTheme="majorHAnsi" w:hAnsiTheme="majorHAnsi"/>
          <w:sz w:val="20"/>
          <w:szCs w:val="20"/>
        </w:rPr>
        <w:t xml:space="preserve">therein. The Commission has determined that 15 of those 19 individuals are included in the list of victims in Case 11.227 (Patriotic Union case), on which the Commission adopted a report on </w:t>
      </w:r>
      <w:r w:rsidR="00D35DC9">
        <w:rPr>
          <w:rFonts w:asciiTheme="majorHAnsi" w:hAnsiTheme="majorHAnsi"/>
          <w:sz w:val="20"/>
          <w:szCs w:val="20"/>
        </w:rPr>
        <w:t xml:space="preserve">the </w:t>
      </w:r>
      <w:r w:rsidRPr="009D4C79">
        <w:rPr>
          <w:rFonts w:asciiTheme="majorHAnsi" w:hAnsiTheme="majorHAnsi"/>
          <w:sz w:val="20"/>
          <w:szCs w:val="20"/>
        </w:rPr>
        <w:t xml:space="preserve">merits on December 5, 2017. Under Articles 47(d) of the Convention and 33(1)(b) of the IACHR Rules of Procedure, the Commission shall </w:t>
      </w:r>
      <w:r w:rsidRPr="009D4C79">
        <w:rPr>
          <w:rFonts w:asciiTheme="majorHAnsi" w:hAnsiTheme="majorHAnsi"/>
          <w:sz w:val="20"/>
          <w:szCs w:val="20"/>
        </w:rPr>
        <w:lastRenderedPageBreak/>
        <w:t xml:space="preserve">consider inadmissible any matter that is substantially the same as a petition pending or already examined and settled by the Commission. In light of the foregoing, and bearing </w:t>
      </w:r>
      <w:r w:rsidR="00D35DC9">
        <w:rPr>
          <w:rFonts w:asciiTheme="majorHAnsi" w:hAnsiTheme="majorHAnsi"/>
          <w:sz w:val="20"/>
          <w:szCs w:val="20"/>
        </w:rPr>
        <w:t xml:space="preserve">in </w:t>
      </w:r>
      <w:r w:rsidRPr="009D4C79">
        <w:rPr>
          <w:rFonts w:asciiTheme="majorHAnsi" w:hAnsiTheme="majorHAnsi"/>
          <w:sz w:val="20"/>
          <w:szCs w:val="20"/>
        </w:rPr>
        <w:t>mind the identity of the individuals</w:t>
      </w:r>
      <w:r w:rsidR="00D35DC9">
        <w:rPr>
          <w:rFonts w:asciiTheme="majorHAnsi" w:hAnsiTheme="majorHAnsi"/>
          <w:sz w:val="20"/>
          <w:szCs w:val="20"/>
        </w:rPr>
        <w:t>,</w:t>
      </w:r>
      <w:r w:rsidRPr="009D4C79">
        <w:rPr>
          <w:rFonts w:asciiTheme="majorHAnsi" w:hAnsiTheme="majorHAnsi"/>
          <w:sz w:val="20"/>
          <w:szCs w:val="20"/>
        </w:rPr>
        <w:t xml:space="preserve"> the purpose of the petition, and the claim, the </w:t>
      </w:r>
      <w:r w:rsidR="00D35DC9">
        <w:rPr>
          <w:rFonts w:asciiTheme="majorHAnsi" w:hAnsiTheme="majorHAnsi"/>
          <w:sz w:val="20"/>
          <w:szCs w:val="20"/>
        </w:rPr>
        <w:t>C</w:t>
      </w:r>
      <w:r w:rsidRPr="009D4C79">
        <w:rPr>
          <w:rFonts w:asciiTheme="majorHAnsi" w:hAnsiTheme="majorHAnsi"/>
          <w:sz w:val="20"/>
          <w:szCs w:val="20"/>
        </w:rPr>
        <w:t xml:space="preserve">ommission finds that there is a duplication with respect to José Arcesio Rodríguez Hurtado, Yorlenis Rodríguez Rodríguez, Leonor Ortiz Cervera, Hernando de Jesús Gómez Restrepo, Gladiz Niño de Gómez, Neftalí Quimbaya Malagón, Soledad del Carmen Cárdenas Gil, Wilson Alexis Quimbaya Solórzano, Luis Alberto Duran Martínez, Adriana Ávila Alfaro, Sandra Ávila Alfaro, Hilmer de Jesús Patiño Arias, Lili Valencia Gómez, Jairo Duran Barreto, and Adán Afanador Nieto, and, therefore, that the matter is inadmissible in relation to them. </w:t>
      </w:r>
      <w:proofErr w:type="spellStart"/>
      <w:r w:rsidRPr="00BD1C5D">
        <w:rPr>
          <w:rFonts w:asciiTheme="majorHAnsi" w:hAnsiTheme="majorHAnsi"/>
          <w:sz w:val="20"/>
          <w:szCs w:val="20"/>
          <w:lang w:val="es-US"/>
        </w:rPr>
        <w:t>Accordingly</w:t>
      </w:r>
      <w:proofErr w:type="spellEnd"/>
      <w:r w:rsidRPr="00BD1C5D">
        <w:rPr>
          <w:rFonts w:asciiTheme="majorHAnsi" w:hAnsiTheme="majorHAnsi"/>
          <w:sz w:val="20"/>
          <w:szCs w:val="20"/>
          <w:lang w:val="es-US"/>
        </w:rPr>
        <w:t xml:space="preserve">, </w:t>
      </w:r>
      <w:proofErr w:type="spellStart"/>
      <w:r w:rsidRPr="00BD1C5D">
        <w:rPr>
          <w:rFonts w:asciiTheme="majorHAnsi" w:hAnsiTheme="majorHAnsi"/>
          <w:sz w:val="20"/>
          <w:szCs w:val="20"/>
          <w:lang w:val="es-US"/>
        </w:rPr>
        <w:t>this</w:t>
      </w:r>
      <w:proofErr w:type="spellEnd"/>
      <w:r w:rsidRPr="00BD1C5D">
        <w:rPr>
          <w:rFonts w:asciiTheme="majorHAnsi" w:hAnsiTheme="majorHAnsi"/>
          <w:sz w:val="20"/>
          <w:szCs w:val="20"/>
          <w:lang w:val="es-US"/>
        </w:rPr>
        <w:t xml:space="preserve"> </w:t>
      </w:r>
      <w:proofErr w:type="spellStart"/>
      <w:r w:rsidRPr="00BD1C5D">
        <w:rPr>
          <w:rFonts w:asciiTheme="majorHAnsi" w:hAnsiTheme="majorHAnsi"/>
          <w:sz w:val="20"/>
          <w:szCs w:val="20"/>
          <w:lang w:val="es-US"/>
        </w:rPr>
        <w:t>report</w:t>
      </w:r>
      <w:proofErr w:type="spellEnd"/>
      <w:r w:rsidRPr="00BD1C5D">
        <w:rPr>
          <w:rFonts w:asciiTheme="majorHAnsi" w:hAnsiTheme="majorHAnsi"/>
          <w:sz w:val="20"/>
          <w:szCs w:val="20"/>
          <w:lang w:val="es-US"/>
        </w:rPr>
        <w:t xml:space="preserve"> </w:t>
      </w:r>
      <w:proofErr w:type="spellStart"/>
      <w:r w:rsidRPr="00BD1C5D">
        <w:rPr>
          <w:rFonts w:asciiTheme="majorHAnsi" w:hAnsiTheme="majorHAnsi"/>
          <w:sz w:val="20"/>
          <w:szCs w:val="20"/>
          <w:lang w:val="es-US"/>
        </w:rPr>
        <w:t>refers</w:t>
      </w:r>
      <w:proofErr w:type="spellEnd"/>
      <w:r w:rsidRPr="00BD1C5D">
        <w:rPr>
          <w:rFonts w:asciiTheme="majorHAnsi" w:hAnsiTheme="majorHAnsi"/>
          <w:sz w:val="20"/>
          <w:szCs w:val="20"/>
          <w:lang w:val="es-US"/>
        </w:rPr>
        <w:t xml:space="preserve"> </w:t>
      </w:r>
      <w:proofErr w:type="spellStart"/>
      <w:r w:rsidRPr="00BD1C5D">
        <w:rPr>
          <w:rFonts w:asciiTheme="majorHAnsi" w:hAnsiTheme="majorHAnsi"/>
          <w:sz w:val="20"/>
          <w:szCs w:val="20"/>
          <w:lang w:val="es-US"/>
        </w:rPr>
        <w:t>exclusively</w:t>
      </w:r>
      <w:proofErr w:type="spellEnd"/>
      <w:r w:rsidRPr="00BD1C5D">
        <w:rPr>
          <w:rFonts w:asciiTheme="majorHAnsi" w:hAnsiTheme="majorHAnsi"/>
          <w:sz w:val="20"/>
          <w:szCs w:val="20"/>
          <w:lang w:val="es-US"/>
        </w:rPr>
        <w:t xml:space="preserve"> to Patricia Rodríguez </w:t>
      </w:r>
      <w:proofErr w:type="spellStart"/>
      <w:r w:rsidRPr="00BD1C5D">
        <w:rPr>
          <w:rFonts w:asciiTheme="majorHAnsi" w:hAnsiTheme="majorHAnsi"/>
          <w:sz w:val="20"/>
          <w:szCs w:val="20"/>
          <w:lang w:val="es-US"/>
        </w:rPr>
        <w:t>Rodríguez</w:t>
      </w:r>
      <w:proofErr w:type="spellEnd"/>
      <w:r w:rsidRPr="00BD1C5D">
        <w:rPr>
          <w:rFonts w:asciiTheme="majorHAnsi" w:hAnsiTheme="majorHAnsi"/>
          <w:sz w:val="20"/>
          <w:szCs w:val="20"/>
          <w:lang w:val="es-US"/>
        </w:rPr>
        <w:t xml:space="preserve">, Belén Rodríguez Villareal, Diana Rodríguez </w:t>
      </w:r>
      <w:proofErr w:type="spellStart"/>
      <w:r w:rsidRPr="00BD1C5D">
        <w:rPr>
          <w:rFonts w:asciiTheme="majorHAnsi" w:hAnsiTheme="majorHAnsi"/>
          <w:sz w:val="20"/>
          <w:szCs w:val="20"/>
          <w:lang w:val="es-US"/>
        </w:rPr>
        <w:t>Rodríguez</w:t>
      </w:r>
      <w:proofErr w:type="spellEnd"/>
      <w:r w:rsidRPr="00BD1C5D">
        <w:rPr>
          <w:rFonts w:asciiTheme="majorHAnsi" w:hAnsiTheme="majorHAnsi"/>
          <w:sz w:val="20"/>
          <w:szCs w:val="20"/>
          <w:lang w:val="es-US"/>
        </w:rPr>
        <w:t xml:space="preserve">, and </w:t>
      </w:r>
      <w:proofErr w:type="spellStart"/>
      <w:r w:rsidRPr="00BD1C5D">
        <w:rPr>
          <w:rFonts w:asciiTheme="majorHAnsi" w:hAnsiTheme="majorHAnsi"/>
          <w:sz w:val="20"/>
          <w:szCs w:val="20"/>
          <w:lang w:val="es-US"/>
        </w:rPr>
        <w:t>Eduar</w:t>
      </w:r>
      <w:proofErr w:type="spellEnd"/>
      <w:r w:rsidRPr="00BD1C5D">
        <w:rPr>
          <w:rFonts w:asciiTheme="majorHAnsi" w:hAnsiTheme="majorHAnsi"/>
          <w:sz w:val="20"/>
          <w:szCs w:val="20"/>
          <w:lang w:val="es-US"/>
        </w:rPr>
        <w:t xml:space="preserve"> Andrés Rojas Ortiz. </w:t>
      </w:r>
    </w:p>
    <w:p w:rsidR="009D4C79" w:rsidRPr="009D4C79" w:rsidRDefault="009D4C79" w:rsidP="009D4C79">
      <w:pPr>
        <w:spacing w:before="240" w:after="240"/>
        <w:ind w:left="720"/>
        <w:jc w:val="both"/>
        <w:rPr>
          <w:rFonts w:asciiTheme="majorHAnsi" w:eastAsia="Cambria" w:hAnsiTheme="majorHAnsi" w:cs="Cambria"/>
          <w:b/>
          <w:color w:val="000000"/>
          <w:sz w:val="20"/>
          <w:szCs w:val="20"/>
          <w:u w:color="000000"/>
          <w:lang w:eastAsia="es-ES"/>
        </w:rPr>
      </w:pPr>
      <w:r w:rsidRPr="009D4C79">
        <w:rPr>
          <w:rFonts w:asciiTheme="majorHAnsi" w:eastAsia="Cambria" w:hAnsiTheme="majorHAnsi" w:cs="Cambria"/>
          <w:b/>
          <w:bCs/>
          <w:color w:val="000000"/>
          <w:sz w:val="20"/>
          <w:szCs w:val="20"/>
          <w:u w:color="000000"/>
          <w:lang w:eastAsia="es-ES"/>
        </w:rPr>
        <w:t xml:space="preserve">VI. </w:t>
      </w:r>
      <w:r w:rsidRPr="009D4C79">
        <w:rPr>
          <w:rFonts w:asciiTheme="majorHAnsi" w:eastAsia="Cambria" w:hAnsiTheme="majorHAnsi" w:cs="Cambria"/>
          <w:color w:val="000000"/>
          <w:sz w:val="20"/>
          <w:szCs w:val="20"/>
          <w:u w:color="000000"/>
          <w:lang w:eastAsia="es-ES"/>
        </w:rPr>
        <w:tab/>
      </w:r>
      <w:r w:rsidRPr="009D4C79">
        <w:rPr>
          <w:rFonts w:asciiTheme="majorHAnsi" w:eastAsia="Cambria" w:hAnsiTheme="majorHAnsi" w:cs="Cambria"/>
          <w:b/>
          <w:bCs/>
          <w:color w:val="000000"/>
          <w:sz w:val="20"/>
          <w:szCs w:val="20"/>
          <w:u w:color="000000"/>
          <w:lang w:eastAsia="es-ES"/>
        </w:rPr>
        <w:t>FACTS ALLEGED</w:t>
      </w:r>
      <w:r w:rsidRPr="009D4C79">
        <w:rPr>
          <w:rFonts w:asciiTheme="majorHAnsi" w:eastAsia="Cambria" w:hAnsiTheme="majorHAnsi" w:cs="Cambria"/>
          <w:color w:val="000000"/>
          <w:sz w:val="20"/>
          <w:szCs w:val="20"/>
          <w:u w:color="000000"/>
          <w:lang w:eastAsia="es-ES"/>
        </w:rPr>
        <w:t xml:space="preserve"> </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9D4C79">
        <w:rPr>
          <w:rFonts w:asciiTheme="majorHAnsi" w:hAnsiTheme="majorHAnsi"/>
          <w:sz w:val="20"/>
          <w:szCs w:val="20"/>
        </w:rPr>
        <w:t xml:space="preserve">The petitioners alleged that on July 3, 1988, the alleged victims, a group of 19 people, were attacked by armed civilians who fired rifles and fragmentation grenades at the vehicle in which they were traveling in the locality of Caño Sibao, Meta Department. They said that the purpose of the attack was to assassinate Manuel Salvador Mazo Correa, who was the mayor of the Municipality of Castillo and a member of the Patriotic Union, a political party. He was unscathed because he got out of the vehicle before it reached the place where the events occurred. They said that 18 people, among them boys and girls, were killed in the attack, and that the sole survivor was Patricia Rodríguez Rodríguez, who was eight years old at the time. They said that Patricia Rodríguez Rodríguez sustained six bullet wounds and was taken to the local hospital, where she was subsequently the target of threats and persecution because she was the only one to have survived. They said that the area where the events occurred was under the control of paramilitary groups and that the action was part of a campaign of extermination of members of the Patriotic Union party. </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FF0000"/>
          <w:sz w:val="20"/>
          <w:szCs w:val="20"/>
        </w:rPr>
      </w:pPr>
      <w:r w:rsidRPr="009D4C79">
        <w:rPr>
          <w:rFonts w:asciiTheme="majorHAnsi" w:hAnsiTheme="majorHAnsi"/>
          <w:sz w:val="20"/>
          <w:szCs w:val="20"/>
        </w:rPr>
        <w:t>They alleged that the massacre was the result of a coordinated operation between paramilitary groups and the Army. They said that minutes after the incident occurred, the commander of the VII Brigade put out a communiqué blaming the events on the Revolutionary Armed Forces of Colombia (hereinafter FARC), in a bid to conceal the real culprits. They added that a military base and police station were located near where the massacre occurred but that the security forces did nothing to pursue and capture the perpetrators.</w:t>
      </w:r>
      <w:r w:rsidRPr="009D4C79">
        <w:rPr>
          <w:rFonts w:asciiTheme="majorHAnsi" w:hAnsiTheme="majorHAnsi"/>
          <w:color w:val="FF0000"/>
          <w:sz w:val="20"/>
          <w:szCs w:val="20"/>
        </w:rPr>
        <w:t xml:space="preserve"> </w:t>
      </w:r>
      <w:r w:rsidRPr="009D4C79">
        <w:rPr>
          <w:rFonts w:asciiTheme="majorHAnsi" w:hAnsiTheme="majorHAnsi"/>
          <w:sz w:val="20"/>
          <w:szCs w:val="20"/>
        </w:rPr>
        <w:t>They said that after the Justice and Peace Law was passed, a number of paramilitaries who demobilized admitted their part in the massacre, along with members of the Vargas 21st Battalion, including an army colonel and lieutenant.</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FF0000"/>
          <w:sz w:val="20"/>
          <w:szCs w:val="20"/>
        </w:rPr>
      </w:pPr>
      <w:r w:rsidRPr="009D4C79">
        <w:rPr>
          <w:rFonts w:asciiTheme="majorHAnsi" w:hAnsiTheme="majorHAnsi"/>
          <w:color w:val="FF0000"/>
          <w:sz w:val="20"/>
          <w:szCs w:val="20"/>
        </w:rPr>
        <w:t xml:space="preserve"> </w:t>
      </w:r>
      <w:r w:rsidRPr="009D4C79">
        <w:rPr>
          <w:rFonts w:asciiTheme="majorHAnsi" w:hAnsiTheme="majorHAnsi"/>
          <w:sz w:val="20"/>
          <w:szCs w:val="20"/>
        </w:rPr>
        <w:t>They said that the incident was investigated by Villavicencio Fourth Public Order Court, and that on May 18, 1990, all the suspects, both those in detention and those declared absent, were acquitted. They said that the judge who acquitted them found that there was no evidence to demonstrate with absolute certainty that any of the accused had carried out or participated in the crimes, not even in relation to those who had confessed their involvement. They said that the Supreme Court of Justice confirmed the acquittal judgment.</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libri" w:hAnsiTheme="majorHAnsi" w:cs="Calibri"/>
          <w:color w:val="C0504D" w:themeColor="accent2"/>
          <w:sz w:val="20"/>
          <w:szCs w:val="20"/>
          <w:u w:color="000000"/>
          <w:lang w:eastAsia="es-ES"/>
        </w:rPr>
      </w:pPr>
      <w:r w:rsidRPr="009D4C79">
        <w:rPr>
          <w:rFonts w:asciiTheme="majorHAnsi" w:eastAsia="Calibri" w:hAnsiTheme="majorHAnsi" w:cs="Calibri"/>
          <w:sz w:val="20"/>
          <w:szCs w:val="20"/>
          <w:u w:color="000000"/>
          <w:lang w:eastAsia="es-ES"/>
        </w:rPr>
        <w:t>The petitioners submitted that there had been more than 20 years of utter impunity, since, not only were all the accused acquitted, but also none of the military personnel suspected of involvement in the massacre, whether by deed or by omission, had been investigated.</w:t>
      </w:r>
      <w:r w:rsidRPr="009D4C79">
        <w:rPr>
          <w:rFonts w:asciiTheme="majorHAnsi" w:eastAsia="Calibri" w:hAnsiTheme="majorHAnsi" w:cs="Calibri"/>
          <w:sz w:val="16"/>
          <w:szCs w:val="20"/>
          <w:u w:color="000000"/>
          <w:vertAlign w:val="superscript"/>
          <w:lang w:eastAsia="es-ES"/>
        </w:rPr>
        <w:t xml:space="preserve"> </w:t>
      </w:r>
      <w:r w:rsidRPr="009D4C79">
        <w:rPr>
          <w:rFonts w:asciiTheme="majorHAnsi" w:eastAsia="Calibri" w:hAnsiTheme="majorHAnsi" w:cs="Calibri"/>
          <w:sz w:val="20"/>
          <w:szCs w:val="20"/>
          <w:u w:color="000000"/>
          <w:lang w:eastAsia="es-ES"/>
        </w:rPr>
        <w:t>They also said that Patricia Rodríguez Rodríguez was never called to testify in the investigation and that the relatives of the alleged victims were unable to take part in the judicial proceedings because of the prevailing climate of persecution and fear of reprisal for anyone who reported crimes of that nature.</w:t>
      </w:r>
      <w:r w:rsidRPr="009D4C79">
        <w:rPr>
          <w:rFonts w:asciiTheme="majorHAnsi" w:eastAsia="Calibri" w:hAnsiTheme="majorHAnsi" w:cs="Calibri"/>
          <w:color w:val="C0504D" w:themeColor="accent2"/>
          <w:sz w:val="20"/>
          <w:szCs w:val="20"/>
          <w:u w:color="000000"/>
          <w:lang w:eastAsia="es-ES"/>
        </w:rPr>
        <w:t xml:space="preserve"> </w:t>
      </w:r>
      <w:r w:rsidRPr="009D4C79">
        <w:rPr>
          <w:rFonts w:asciiTheme="majorHAnsi" w:eastAsia="Calibri" w:hAnsiTheme="majorHAnsi" w:cs="Calibri"/>
          <w:sz w:val="20"/>
          <w:szCs w:val="20"/>
          <w:u w:color="000000"/>
          <w:lang w:eastAsia="es-ES"/>
        </w:rPr>
        <w:t xml:space="preserve">They added that the record of the criminal proceeding had vanished and that no judicial or administrative institution had a copy of it. Finally, they said that the victims and their relatives had not received any reparation whatsoever. </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libri" w:hAnsiTheme="majorHAnsi" w:cs="Calibri"/>
          <w:color w:val="000000"/>
          <w:sz w:val="20"/>
          <w:szCs w:val="20"/>
          <w:u w:color="000000"/>
          <w:lang w:eastAsia="es-ES"/>
        </w:rPr>
      </w:pPr>
      <w:r w:rsidRPr="009D4C79">
        <w:rPr>
          <w:rFonts w:asciiTheme="majorHAnsi" w:eastAsia="Calibri" w:hAnsiTheme="majorHAnsi" w:cs="Calibri"/>
          <w:sz w:val="20"/>
          <w:szCs w:val="20"/>
          <w:u w:color="000000"/>
          <w:lang w:eastAsia="es-ES"/>
        </w:rPr>
        <w:t xml:space="preserve"> </w:t>
      </w:r>
      <w:r w:rsidRPr="009D4C79">
        <w:rPr>
          <w:rFonts w:asciiTheme="majorHAnsi" w:eastAsia="Calibri" w:hAnsiTheme="majorHAnsi" w:cs="Calibri"/>
          <w:color w:val="000000"/>
          <w:sz w:val="20"/>
          <w:szCs w:val="20"/>
          <w:u w:color="000000"/>
          <w:lang w:eastAsia="es-ES"/>
        </w:rPr>
        <w:t xml:space="preserve">The State, for its part, </w:t>
      </w:r>
      <w:r w:rsidR="006D63E8">
        <w:rPr>
          <w:rFonts w:asciiTheme="majorHAnsi" w:eastAsia="Calibri" w:hAnsiTheme="majorHAnsi" w:cs="Calibri"/>
          <w:color w:val="000000"/>
          <w:sz w:val="20"/>
          <w:szCs w:val="20"/>
          <w:u w:color="000000"/>
          <w:lang w:eastAsia="es-ES"/>
        </w:rPr>
        <w:t>submitted</w:t>
      </w:r>
      <w:r w:rsidR="006D63E8" w:rsidRPr="009D4C79">
        <w:rPr>
          <w:rFonts w:asciiTheme="majorHAnsi" w:eastAsia="Calibri" w:hAnsiTheme="majorHAnsi" w:cs="Calibri"/>
          <w:color w:val="000000"/>
          <w:sz w:val="20"/>
          <w:szCs w:val="20"/>
          <w:u w:color="000000"/>
          <w:lang w:eastAsia="es-ES"/>
        </w:rPr>
        <w:t xml:space="preserve"> </w:t>
      </w:r>
      <w:r w:rsidRPr="009D4C79">
        <w:rPr>
          <w:rFonts w:asciiTheme="majorHAnsi" w:eastAsia="Calibri" w:hAnsiTheme="majorHAnsi" w:cs="Calibri"/>
          <w:color w:val="000000"/>
          <w:sz w:val="20"/>
          <w:szCs w:val="20"/>
          <w:u w:color="000000"/>
          <w:lang w:eastAsia="es-ES"/>
        </w:rPr>
        <w:t xml:space="preserve">that at the time of the events various armed groups had a presence in the Department of Meta and that State intelligence operations had concluded that the massacre was carried out by members of the FARC. The State said that the Army quickly took steps to capture those responsible. </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libri" w:hAnsiTheme="majorHAnsi" w:cs="Calibri"/>
          <w:color w:val="000000"/>
          <w:sz w:val="20"/>
          <w:szCs w:val="20"/>
          <w:u w:color="000000"/>
          <w:lang w:eastAsia="es-ES"/>
        </w:rPr>
      </w:pPr>
      <w:r w:rsidRPr="009D4C79">
        <w:rPr>
          <w:rFonts w:asciiTheme="majorHAnsi" w:eastAsia="Calibri" w:hAnsiTheme="majorHAnsi" w:cs="Calibri"/>
          <w:color w:val="000000"/>
          <w:sz w:val="20"/>
          <w:szCs w:val="20"/>
          <w:u w:color="000000"/>
          <w:lang w:eastAsia="es-ES"/>
        </w:rPr>
        <w:lastRenderedPageBreak/>
        <w:t xml:space="preserve">The State also argued that the petitioners had not brought a colorable claim, since it considered that it could not be attributed responsibility for the massacre. It argued that Article 47(b) of the American Convention presupposes the violation of a protected right potentially attributable to the State. It argued that in this case, the acts were committed by third parties and, therefore, were not attributable to it, since there was no tolerance of or connivance with the perpetrators of the massacre. It added that it had also been unaware of a situation of real and immediate risk to the alleged victims and that it could not, therefore, be said to be responsible for any failure to adopt effective preventive measures. The State also held that the petition was not supported by any evidence and was manifestly groundless under the terms of Article 47(c) of the American Convention. In that regard, it said that what the petitioners sought was for the IACHR to act as a fourth instance by reviewing proceedings conducted in the domestic jurisdiction that enjoyed the presumption of legality and conformity with the Convention. </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9D4C79">
        <w:rPr>
          <w:rFonts w:asciiTheme="majorHAnsi" w:hAnsiTheme="majorHAnsi"/>
          <w:sz w:val="20"/>
          <w:szCs w:val="20"/>
        </w:rPr>
        <w:t>Finally, the State submitted in relation to the timeliness of the petition that the petitioners had not provided copies of the above-referenced decision of the Supreme Court of Justice or the necessary information to identify it. The State said that in spite of efforts made with the Office of the Rapporteur and the General Secretariat of the Supreme Court of Justice to obtain it, it had been unable to locate the judgment with the information provided by the petitioners. In that connection, it said that it reserved the right to respond to that submission in future observations.</w:t>
      </w:r>
    </w:p>
    <w:p w:rsidR="009D4C79" w:rsidRPr="009D4C79" w:rsidRDefault="009D4C79" w:rsidP="009D4C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rPr>
      </w:pPr>
      <w:r w:rsidRPr="009D4C79">
        <w:rPr>
          <w:rFonts w:asciiTheme="majorHAnsi" w:hAnsiTheme="majorHAnsi"/>
          <w:b/>
          <w:bCs/>
          <w:color w:val="000000"/>
          <w:sz w:val="20"/>
          <w:szCs w:val="20"/>
          <w:u w:color="000000"/>
        </w:rPr>
        <w:t>VII.</w:t>
      </w:r>
      <w:r w:rsidRPr="009D4C79">
        <w:rPr>
          <w:rFonts w:asciiTheme="majorHAnsi" w:hAnsiTheme="majorHAnsi"/>
          <w:b/>
          <w:bCs/>
          <w:color w:val="000000"/>
          <w:sz w:val="20"/>
          <w:szCs w:val="20"/>
          <w:u w:color="000000"/>
        </w:rPr>
        <w:tab/>
        <w:t xml:space="preserve">ANALYSIS OF </w:t>
      </w:r>
      <w:r w:rsidRPr="009D4C79">
        <w:rPr>
          <w:rFonts w:asciiTheme="majorHAnsi" w:hAnsiTheme="majorHAnsi"/>
          <w:b/>
          <w:bCs/>
          <w:sz w:val="20"/>
          <w:szCs w:val="20"/>
        </w:rPr>
        <w:t>EXHAUSTION OF DOMESTIC REMEDIES AND TIMELINESS OF THE PETITION</w:t>
      </w:r>
      <w:r w:rsidRPr="009D4C79">
        <w:rPr>
          <w:rFonts w:asciiTheme="majorHAnsi" w:hAnsiTheme="majorHAnsi"/>
          <w:color w:val="000000"/>
          <w:sz w:val="20"/>
          <w:szCs w:val="20"/>
          <w:u w:color="000000"/>
        </w:rPr>
        <w:t xml:space="preserve"> </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rPr>
      </w:pPr>
      <w:r w:rsidRPr="009D4C79">
        <w:rPr>
          <w:rFonts w:asciiTheme="majorHAnsi" w:hAnsiTheme="majorHAnsi"/>
          <w:sz w:val="20"/>
          <w:szCs w:val="20"/>
        </w:rPr>
        <w:t xml:space="preserve">The petitioners argue that more than 20 years have passed and none of the participants, whether civilian or military, responsible for the alleged offense have yet been identified, investigated, or punished, nor has comprehensive reparation been provided to the alleged victims. The State, for its part, holds that, according to what the petitioners have indicated, the decision of the Supreme Court confirmed the acquittal of the accused and the petitioners have not furnished elements by which to pronounce on the timeliness of the petition. </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rPr>
      </w:pPr>
      <w:r w:rsidRPr="009D4C79">
        <w:rPr>
          <w:rFonts w:asciiTheme="majorHAnsi" w:hAnsiTheme="majorHAnsi"/>
          <w:sz w:val="20"/>
          <w:szCs w:val="20"/>
        </w:rPr>
        <w:t xml:space="preserve">In that regard, the Commission notes that although the parties both say that pronouncements have been made in the domestic jurisdiction, </w:t>
      </w:r>
      <w:r w:rsidR="0024738F">
        <w:rPr>
          <w:rFonts w:asciiTheme="majorHAnsi" w:hAnsiTheme="majorHAnsi"/>
          <w:sz w:val="20"/>
          <w:szCs w:val="20"/>
        </w:rPr>
        <w:t xml:space="preserve">for the purposes of the exhaustion analysis, there would be a prima facie unjustified delay in </w:t>
      </w:r>
      <w:r w:rsidRPr="009D4C79">
        <w:rPr>
          <w:rFonts w:asciiTheme="majorHAnsi" w:hAnsiTheme="majorHAnsi"/>
          <w:sz w:val="20"/>
          <w:szCs w:val="20"/>
        </w:rPr>
        <w:t>the investigations</w:t>
      </w:r>
      <w:r w:rsidR="0024738F">
        <w:rPr>
          <w:rFonts w:asciiTheme="majorHAnsi" w:hAnsiTheme="majorHAnsi"/>
          <w:sz w:val="20"/>
          <w:szCs w:val="20"/>
        </w:rPr>
        <w:t xml:space="preserve">, which would have made it impossible to </w:t>
      </w:r>
      <w:r w:rsidRPr="009D4C79">
        <w:rPr>
          <w:rFonts w:asciiTheme="majorHAnsi" w:hAnsiTheme="majorHAnsi"/>
          <w:sz w:val="20"/>
          <w:szCs w:val="20"/>
        </w:rPr>
        <w:t>e identif</w:t>
      </w:r>
      <w:r w:rsidR="0024738F">
        <w:rPr>
          <w:rFonts w:asciiTheme="majorHAnsi" w:hAnsiTheme="majorHAnsi"/>
          <w:sz w:val="20"/>
          <w:szCs w:val="20"/>
        </w:rPr>
        <w:t>y</w:t>
      </w:r>
      <w:r w:rsidRPr="009D4C79">
        <w:rPr>
          <w:rFonts w:asciiTheme="majorHAnsi" w:hAnsiTheme="majorHAnsi"/>
          <w:sz w:val="20"/>
          <w:szCs w:val="20"/>
        </w:rPr>
        <w:t xml:space="preserve"> and punish those responsible for the alleged offenses. Based on the foregoing and on the time elapsed since the events occurred, the IACHR concludes that the exception to the rule of prior exhaustion of domestic remedies envisaged at Article 46(2)(c) of the American Convention applies in this case. </w:t>
      </w:r>
      <w:r w:rsidR="0024738F">
        <w:rPr>
          <w:rFonts w:asciiTheme="majorHAnsi" w:hAnsiTheme="majorHAnsi"/>
          <w:sz w:val="20"/>
          <w:szCs w:val="20"/>
        </w:rPr>
        <w:t xml:space="preserve">The Commission also concludes that, as said exception applies, the petition has been submitted within a reasonable period of time base on Article 3.3. </w:t>
      </w:r>
      <w:proofErr w:type="gramStart"/>
      <w:r w:rsidR="0024738F">
        <w:rPr>
          <w:rFonts w:asciiTheme="majorHAnsi" w:hAnsiTheme="majorHAnsi"/>
          <w:sz w:val="20"/>
          <w:szCs w:val="20"/>
        </w:rPr>
        <w:t>of</w:t>
      </w:r>
      <w:proofErr w:type="gramEnd"/>
      <w:r w:rsidR="0024738F">
        <w:rPr>
          <w:rFonts w:asciiTheme="majorHAnsi" w:hAnsiTheme="majorHAnsi"/>
          <w:sz w:val="20"/>
          <w:szCs w:val="20"/>
        </w:rPr>
        <w:t xml:space="preserve"> it Rules. This, given that although the events occurred on July 3, 1998 and the petition was filed on October 29, 2008, some of the alleged facts, such as the alleged absence of sanctions against those responsible, would extend to the present.</w:t>
      </w:r>
    </w:p>
    <w:p w:rsidR="009D4C79" w:rsidRPr="009D4C79" w:rsidRDefault="009D4C79" w:rsidP="009D4C79">
      <w:pPr>
        <w:spacing w:before="240" w:after="240"/>
        <w:ind w:left="720"/>
        <w:jc w:val="both"/>
        <w:rPr>
          <w:rFonts w:asciiTheme="majorHAnsi" w:eastAsia="Cambria" w:hAnsiTheme="majorHAnsi" w:cs="Cambria"/>
          <w:b/>
          <w:color w:val="000000"/>
          <w:sz w:val="20"/>
          <w:szCs w:val="20"/>
          <w:u w:color="000000"/>
          <w:lang w:eastAsia="es-ES"/>
        </w:rPr>
      </w:pPr>
      <w:r w:rsidRPr="009D4C79">
        <w:rPr>
          <w:rFonts w:asciiTheme="majorHAnsi" w:eastAsia="Cambria" w:hAnsiTheme="majorHAnsi" w:cs="Cambria"/>
          <w:b/>
          <w:bCs/>
          <w:color w:val="000000"/>
          <w:sz w:val="20"/>
          <w:szCs w:val="20"/>
          <w:u w:color="000000"/>
          <w:lang w:eastAsia="es-ES"/>
        </w:rPr>
        <w:t>VIII.</w:t>
      </w:r>
      <w:r w:rsidRPr="009D4C79">
        <w:rPr>
          <w:rFonts w:asciiTheme="majorHAnsi" w:eastAsia="Cambria" w:hAnsiTheme="majorHAnsi" w:cs="Cambria"/>
          <w:b/>
          <w:bCs/>
          <w:color w:val="000000"/>
          <w:sz w:val="20"/>
          <w:szCs w:val="20"/>
          <w:u w:color="000000"/>
          <w:lang w:eastAsia="es-ES"/>
        </w:rPr>
        <w:tab/>
        <w:t>ANALYSIS OF COLORABLE CLAIM</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D4C79">
        <w:rPr>
          <w:rFonts w:asciiTheme="majorHAnsi" w:hAnsiTheme="majorHAnsi"/>
          <w:sz w:val="20"/>
          <w:szCs w:val="20"/>
        </w:rPr>
        <w:t xml:space="preserve">The petitioners submit that the State is responsible for the massacre in which the alleged victims were murdered or wounded, and which was perpetrated by paramilitary groups with the participation, acquiescence, or complicity of State agents. The petitioners also say that the alleged offenses have remained unpunished. For its part, the State holds that the petition refers to deeds carried out exclusively by the FARC, whose conduct does not engage the State's responsibility. </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D4C79">
        <w:rPr>
          <w:rFonts w:asciiTheme="majorHAnsi" w:hAnsiTheme="majorHAnsi"/>
          <w:sz w:val="20"/>
          <w:szCs w:val="20"/>
        </w:rPr>
        <w:t xml:space="preserve">In light of the factual and legal arguments set out by the parties and the nature of the matter before it, the Commission finds that, if proven, the alleged acquiescence or complicity of the State in the murder or attempted murder of the alleged victims, in addition to the alleged failure to investigate and punish the offenses could characterize possible violations of rights protected in Articles 4 (life), 8 (fair trial), and 25 (judicial protection) of the American Convention, taken in conjunction with Article 1(1) (obligation to respect rights) thereof. The facts would also seem to characterize a possible violation of Article 19 (rights of the child) of the American Convention in relation to the alleged victims who were minors at the time of the events. </w:t>
      </w:r>
    </w:p>
    <w:p w:rsidR="009D4C79" w:rsidRPr="009D4C79" w:rsidRDefault="009D4C79" w:rsidP="009D4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D4C79">
        <w:rPr>
          <w:rFonts w:asciiTheme="majorHAnsi" w:hAnsiTheme="majorHAnsi"/>
          <w:sz w:val="20"/>
          <w:szCs w:val="20"/>
        </w:rPr>
        <w:lastRenderedPageBreak/>
        <w:t xml:space="preserve">Furthermore, with regard to the only surviving victim of the massacre, Patricia Rodríguez Rodríguez, if proven, the facts could amount to possible violations of Article 5 of the Convention in conjunction with Article 1(1) thereof. Finally, with respect to the relatives of the alleged victims, the alleged facts could characterize violations of rights recognized in Articles 5, 8, and 25 of the American Convention, in connection with Article 1(1) of said instrument. </w:t>
      </w:r>
    </w:p>
    <w:p w:rsidR="009D4C79" w:rsidRPr="009D4C79" w:rsidRDefault="009D4C79" w:rsidP="009D4C79">
      <w:pPr>
        <w:spacing w:before="240" w:after="240"/>
        <w:ind w:left="720"/>
        <w:jc w:val="both"/>
        <w:rPr>
          <w:rFonts w:asciiTheme="majorHAnsi" w:eastAsia="Cambria" w:hAnsiTheme="majorHAnsi" w:cs="Cambria"/>
          <w:b/>
          <w:bCs/>
          <w:color w:val="000000"/>
          <w:sz w:val="20"/>
          <w:szCs w:val="20"/>
          <w:u w:color="000000"/>
          <w:lang w:eastAsia="es-ES"/>
        </w:rPr>
      </w:pPr>
      <w:r w:rsidRPr="009D4C79">
        <w:rPr>
          <w:rFonts w:asciiTheme="majorHAnsi" w:eastAsia="Cambria" w:hAnsiTheme="majorHAnsi" w:cs="Cambria"/>
          <w:b/>
          <w:bCs/>
          <w:color w:val="000000"/>
          <w:sz w:val="20"/>
          <w:szCs w:val="20"/>
          <w:u w:color="000000"/>
          <w:lang w:eastAsia="es-ES"/>
        </w:rPr>
        <w:t xml:space="preserve">IX. </w:t>
      </w:r>
      <w:r w:rsidRPr="009D4C79">
        <w:rPr>
          <w:rFonts w:asciiTheme="majorHAnsi" w:eastAsia="Cambria" w:hAnsiTheme="majorHAnsi" w:cs="Cambria"/>
          <w:color w:val="000000"/>
          <w:sz w:val="20"/>
          <w:szCs w:val="20"/>
          <w:u w:color="000000"/>
          <w:lang w:eastAsia="es-ES"/>
        </w:rPr>
        <w:tab/>
      </w:r>
      <w:r w:rsidRPr="009D4C79">
        <w:rPr>
          <w:rFonts w:asciiTheme="majorHAnsi" w:eastAsia="Cambria" w:hAnsiTheme="majorHAnsi" w:cs="Cambria"/>
          <w:b/>
          <w:bCs/>
          <w:color w:val="000000"/>
          <w:sz w:val="20"/>
          <w:szCs w:val="20"/>
          <w:u w:color="000000"/>
          <w:lang w:eastAsia="es-ES"/>
        </w:rPr>
        <w:t>DECISION</w:t>
      </w:r>
    </w:p>
    <w:p w:rsidR="009D4C79" w:rsidRPr="009D4C79" w:rsidRDefault="009D4C79" w:rsidP="009D4C7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D4C79">
        <w:rPr>
          <w:rFonts w:asciiTheme="majorHAnsi" w:hAnsiTheme="majorHAnsi"/>
          <w:sz w:val="20"/>
          <w:szCs w:val="20"/>
        </w:rPr>
        <w:t xml:space="preserve">To find the instant petition admissible in relation to Articles 4, 5, 8, 19, and 25 of the American Convention, </w:t>
      </w:r>
      <w:r w:rsidR="006D63E8">
        <w:rPr>
          <w:rFonts w:asciiTheme="majorHAnsi" w:hAnsiTheme="majorHAnsi"/>
          <w:sz w:val="20"/>
          <w:szCs w:val="20"/>
        </w:rPr>
        <w:t xml:space="preserve">in connection </w:t>
      </w:r>
      <w:r w:rsidRPr="009D4C79">
        <w:rPr>
          <w:rFonts w:asciiTheme="majorHAnsi" w:hAnsiTheme="majorHAnsi"/>
          <w:sz w:val="20"/>
          <w:szCs w:val="20"/>
        </w:rPr>
        <w:t>with Articles 1(1) thereof</w:t>
      </w:r>
      <w:r w:rsidR="006D63E8">
        <w:rPr>
          <w:rFonts w:asciiTheme="majorHAnsi" w:hAnsiTheme="majorHAnsi"/>
          <w:sz w:val="20"/>
          <w:szCs w:val="20"/>
        </w:rPr>
        <w:t>;</w:t>
      </w:r>
    </w:p>
    <w:p w:rsidR="009D4C79" w:rsidRPr="00BD1C5D" w:rsidRDefault="009D4C79" w:rsidP="009D4C7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D1C5D">
        <w:rPr>
          <w:rFonts w:asciiTheme="majorHAnsi" w:hAnsiTheme="majorHAnsi"/>
          <w:sz w:val="20"/>
          <w:szCs w:val="20"/>
          <w:lang w:val="es-US"/>
        </w:rPr>
        <w:t xml:space="preserve">To </w:t>
      </w:r>
      <w:proofErr w:type="spellStart"/>
      <w:r w:rsidRPr="00BD1C5D">
        <w:rPr>
          <w:rFonts w:asciiTheme="majorHAnsi" w:hAnsiTheme="majorHAnsi"/>
          <w:sz w:val="20"/>
          <w:szCs w:val="20"/>
          <w:lang w:val="es-US"/>
        </w:rPr>
        <w:t>find</w:t>
      </w:r>
      <w:proofErr w:type="spellEnd"/>
      <w:r w:rsidRPr="00BD1C5D">
        <w:rPr>
          <w:rFonts w:asciiTheme="majorHAnsi" w:hAnsiTheme="majorHAnsi"/>
          <w:sz w:val="20"/>
          <w:szCs w:val="20"/>
          <w:lang w:val="es-US"/>
        </w:rPr>
        <w:t xml:space="preserve"> </w:t>
      </w:r>
      <w:proofErr w:type="spellStart"/>
      <w:r w:rsidRPr="00BD1C5D">
        <w:rPr>
          <w:rFonts w:asciiTheme="majorHAnsi" w:hAnsiTheme="majorHAnsi"/>
          <w:sz w:val="20"/>
          <w:szCs w:val="20"/>
          <w:lang w:val="es-US"/>
        </w:rPr>
        <w:t>the</w:t>
      </w:r>
      <w:proofErr w:type="spellEnd"/>
      <w:r w:rsidRPr="00BD1C5D">
        <w:rPr>
          <w:rFonts w:asciiTheme="majorHAnsi" w:hAnsiTheme="majorHAnsi"/>
          <w:sz w:val="20"/>
          <w:szCs w:val="20"/>
          <w:lang w:val="es-US"/>
        </w:rPr>
        <w:t xml:space="preserve"> </w:t>
      </w:r>
      <w:proofErr w:type="spellStart"/>
      <w:r w:rsidRPr="00BD1C5D">
        <w:rPr>
          <w:rFonts w:asciiTheme="majorHAnsi" w:hAnsiTheme="majorHAnsi"/>
          <w:sz w:val="20"/>
          <w:szCs w:val="20"/>
          <w:lang w:val="es-US"/>
        </w:rPr>
        <w:t>instant</w:t>
      </w:r>
      <w:proofErr w:type="spellEnd"/>
      <w:r w:rsidRPr="00BD1C5D">
        <w:rPr>
          <w:rFonts w:asciiTheme="majorHAnsi" w:hAnsiTheme="majorHAnsi"/>
          <w:sz w:val="20"/>
          <w:szCs w:val="20"/>
          <w:lang w:val="es-US"/>
        </w:rPr>
        <w:t xml:space="preserve"> </w:t>
      </w:r>
      <w:proofErr w:type="spellStart"/>
      <w:r w:rsidRPr="00BD1C5D">
        <w:rPr>
          <w:rFonts w:asciiTheme="majorHAnsi" w:hAnsiTheme="majorHAnsi"/>
          <w:sz w:val="20"/>
          <w:szCs w:val="20"/>
          <w:lang w:val="es-US"/>
        </w:rPr>
        <w:t>petition</w:t>
      </w:r>
      <w:proofErr w:type="spellEnd"/>
      <w:r w:rsidRPr="00BD1C5D">
        <w:rPr>
          <w:rFonts w:asciiTheme="majorHAnsi" w:hAnsiTheme="majorHAnsi"/>
          <w:sz w:val="20"/>
          <w:szCs w:val="20"/>
          <w:lang w:val="es-US"/>
        </w:rPr>
        <w:t xml:space="preserve"> </w:t>
      </w:r>
      <w:proofErr w:type="spellStart"/>
      <w:r w:rsidRPr="00BD1C5D">
        <w:rPr>
          <w:rFonts w:asciiTheme="majorHAnsi" w:hAnsiTheme="majorHAnsi"/>
          <w:sz w:val="20"/>
          <w:szCs w:val="20"/>
          <w:lang w:val="es-US"/>
        </w:rPr>
        <w:t>inadmissible</w:t>
      </w:r>
      <w:proofErr w:type="spellEnd"/>
      <w:r w:rsidRPr="00BD1C5D">
        <w:rPr>
          <w:rFonts w:asciiTheme="majorHAnsi" w:hAnsiTheme="majorHAnsi"/>
          <w:sz w:val="20"/>
          <w:szCs w:val="20"/>
          <w:lang w:val="es-US"/>
        </w:rPr>
        <w:t xml:space="preserve"> in </w:t>
      </w:r>
      <w:proofErr w:type="spellStart"/>
      <w:r w:rsidRPr="00BD1C5D">
        <w:rPr>
          <w:rFonts w:asciiTheme="majorHAnsi" w:hAnsiTheme="majorHAnsi"/>
          <w:sz w:val="20"/>
          <w:szCs w:val="20"/>
          <w:lang w:val="es-US"/>
        </w:rPr>
        <w:t>relation</w:t>
      </w:r>
      <w:proofErr w:type="spellEnd"/>
      <w:r w:rsidRPr="00BD1C5D">
        <w:rPr>
          <w:rFonts w:asciiTheme="majorHAnsi" w:hAnsiTheme="majorHAnsi"/>
          <w:sz w:val="20"/>
          <w:szCs w:val="20"/>
          <w:lang w:val="es-US"/>
        </w:rPr>
        <w:t xml:space="preserve"> to José </w:t>
      </w:r>
      <w:proofErr w:type="spellStart"/>
      <w:r w:rsidRPr="00BD1C5D">
        <w:rPr>
          <w:rFonts w:asciiTheme="majorHAnsi" w:hAnsiTheme="majorHAnsi"/>
          <w:sz w:val="20"/>
          <w:szCs w:val="20"/>
          <w:lang w:val="es-US"/>
        </w:rPr>
        <w:t>Arcesio</w:t>
      </w:r>
      <w:proofErr w:type="spellEnd"/>
      <w:r w:rsidRPr="00BD1C5D">
        <w:rPr>
          <w:rFonts w:asciiTheme="majorHAnsi" w:hAnsiTheme="majorHAnsi"/>
          <w:sz w:val="20"/>
          <w:szCs w:val="20"/>
          <w:lang w:val="es-US"/>
        </w:rPr>
        <w:t xml:space="preserve"> Rodríguez Hurtado, </w:t>
      </w:r>
      <w:proofErr w:type="spellStart"/>
      <w:r w:rsidRPr="00BD1C5D">
        <w:rPr>
          <w:rFonts w:asciiTheme="majorHAnsi" w:hAnsiTheme="majorHAnsi"/>
          <w:sz w:val="20"/>
          <w:szCs w:val="20"/>
          <w:lang w:val="es-US"/>
        </w:rPr>
        <w:t>Yorlenis</w:t>
      </w:r>
      <w:proofErr w:type="spellEnd"/>
      <w:r w:rsidRPr="00BD1C5D">
        <w:rPr>
          <w:rFonts w:asciiTheme="majorHAnsi" w:hAnsiTheme="majorHAnsi"/>
          <w:sz w:val="20"/>
          <w:szCs w:val="20"/>
          <w:lang w:val="es-US"/>
        </w:rPr>
        <w:t xml:space="preserve"> Rodríguez </w:t>
      </w:r>
      <w:proofErr w:type="spellStart"/>
      <w:r w:rsidRPr="00BD1C5D">
        <w:rPr>
          <w:rFonts w:asciiTheme="majorHAnsi" w:hAnsiTheme="majorHAnsi"/>
          <w:sz w:val="20"/>
          <w:szCs w:val="20"/>
          <w:lang w:val="es-US"/>
        </w:rPr>
        <w:t>Rodríguez</w:t>
      </w:r>
      <w:proofErr w:type="spellEnd"/>
      <w:r w:rsidRPr="00BD1C5D">
        <w:rPr>
          <w:rFonts w:asciiTheme="majorHAnsi" w:hAnsiTheme="majorHAnsi"/>
          <w:sz w:val="20"/>
          <w:szCs w:val="20"/>
          <w:lang w:val="es-US"/>
        </w:rPr>
        <w:t xml:space="preserve">, Leonor Ortiz Cervera, Hernando de Jesús Gómez Restrepo, </w:t>
      </w:r>
      <w:proofErr w:type="spellStart"/>
      <w:r w:rsidRPr="00BD1C5D">
        <w:rPr>
          <w:rFonts w:asciiTheme="majorHAnsi" w:hAnsiTheme="majorHAnsi"/>
          <w:sz w:val="20"/>
          <w:szCs w:val="20"/>
          <w:lang w:val="es-US"/>
        </w:rPr>
        <w:t>Gladiz</w:t>
      </w:r>
      <w:proofErr w:type="spellEnd"/>
      <w:r w:rsidRPr="00BD1C5D">
        <w:rPr>
          <w:rFonts w:asciiTheme="majorHAnsi" w:hAnsiTheme="majorHAnsi"/>
          <w:sz w:val="20"/>
          <w:szCs w:val="20"/>
          <w:lang w:val="es-US"/>
        </w:rPr>
        <w:t xml:space="preserve"> Niño de Gómez, Neftalí Quimbaya </w:t>
      </w:r>
      <w:proofErr w:type="spellStart"/>
      <w:r w:rsidRPr="00BD1C5D">
        <w:rPr>
          <w:rFonts w:asciiTheme="majorHAnsi" w:hAnsiTheme="majorHAnsi"/>
          <w:sz w:val="20"/>
          <w:szCs w:val="20"/>
          <w:lang w:val="es-US"/>
        </w:rPr>
        <w:t>Malagon</w:t>
      </w:r>
      <w:proofErr w:type="spellEnd"/>
      <w:r w:rsidRPr="00BD1C5D">
        <w:rPr>
          <w:rFonts w:asciiTheme="majorHAnsi" w:hAnsiTheme="majorHAnsi"/>
          <w:sz w:val="20"/>
          <w:szCs w:val="20"/>
          <w:lang w:val="es-US"/>
        </w:rPr>
        <w:t xml:space="preserve">, Soledad del Carmen Cárdenas Gil, Wilson Alexis Quimbaya </w:t>
      </w:r>
      <w:proofErr w:type="spellStart"/>
      <w:r w:rsidRPr="00BD1C5D">
        <w:rPr>
          <w:rFonts w:asciiTheme="majorHAnsi" w:hAnsiTheme="majorHAnsi"/>
          <w:sz w:val="20"/>
          <w:szCs w:val="20"/>
          <w:lang w:val="es-US"/>
        </w:rPr>
        <w:t>Solorzano</w:t>
      </w:r>
      <w:proofErr w:type="spellEnd"/>
      <w:r w:rsidRPr="00BD1C5D">
        <w:rPr>
          <w:rFonts w:asciiTheme="majorHAnsi" w:hAnsiTheme="majorHAnsi"/>
          <w:sz w:val="20"/>
          <w:szCs w:val="20"/>
          <w:lang w:val="es-US"/>
        </w:rPr>
        <w:t xml:space="preserve">, Luis Alberto Duran Martínez, Adriana Ávila Alfaro, Sandra Ávila Alfaro, </w:t>
      </w:r>
      <w:proofErr w:type="spellStart"/>
      <w:r w:rsidRPr="00BD1C5D">
        <w:rPr>
          <w:rFonts w:asciiTheme="majorHAnsi" w:hAnsiTheme="majorHAnsi"/>
          <w:sz w:val="20"/>
          <w:szCs w:val="20"/>
          <w:lang w:val="es-US"/>
        </w:rPr>
        <w:t>Hilmer</w:t>
      </w:r>
      <w:proofErr w:type="spellEnd"/>
      <w:r w:rsidRPr="00BD1C5D">
        <w:rPr>
          <w:rFonts w:asciiTheme="majorHAnsi" w:hAnsiTheme="majorHAnsi"/>
          <w:sz w:val="20"/>
          <w:szCs w:val="20"/>
          <w:lang w:val="es-US"/>
        </w:rPr>
        <w:t xml:space="preserve"> de Jesús Patiño Arias, Lili Valencia Gómez, Jairo Duran Barreto, and Adán Afanador Nieto</w:t>
      </w:r>
      <w:r w:rsidR="006D63E8" w:rsidRPr="00BD1C5D">
        <w:rPr>
          <w:rFonts w:asciiTheme="majorHAnsi" w:hAnsiTheme="majorHAnsi"/>
          <w:sz w:val="20"/>
          <w:szCs w:val="20"/>
          <w:lang w:val="es-US"/>
        </w:rPr>
        <w:t>; and</w:t>
      </w:r>
    </w:p>
    <w:p w:rsidR="009D4C79" w:rsidRPr="009D4C79" w:rsidRDefault="009D4C79" w:rsidP="009D4C7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9D4C79">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rsidR="00FD3D3F" w:rsidRPr="00C6115F" w:rsidRDefault="00FD3D3F" w:rsidP="00FD3D3F">
      <w:pPr>
        <w:pStyle w:val="ListParagraph"/>
        <w:suppressAutoHyphens/>
        <w:spacing w:before="240" w:after="240"/>
        <w:ind w:left="0"/>
        <w:jc w:val="both"/>
        <w:rPr>
          <w:rFonts w:asciiTheme="majorHAnsi" w:hAnsiTheme="majorHAnsi"/>
          <w:sz w:val="20"/>
          <w:szCs w:val="20"/>
        </w:rPr>
      </w:pPr>
      <w:r>
        <w:rPr>
          <w:rFonts w:asciiTheme="majorHAnsi" w:hAnsiTheme="majorHAnsi"/>
          <w:sz w:val="20"/>
          <w:szCs w:val="20"/>
        </w:rPr>
        <w:tab/>
      </w:r>
      <w:r w:rsidR="00BD1C5D">
        <w:rPr>
          <w:spacing w:val="-2"/>
          <w:sz w:val="20"/>
        </w:rPr>
        <w:t>Approved by the Inter-American Commission on Human Rights</w:t>
      </w:r>
      <w:r w:rsidR="00BD1C5D" w:rsidRPr="00365F2F">
        <w:rPr>
          <w:spacing w:val="-2"/>
          <w:sz w:val="20"/>
        </w:rPr>
        <w:t xml:space="preserve"> </w:t>
      </w:r>
      <w:r w:rsidRPr="000A496F">
        <w:rPr>
          <w:rFonts w:asciiTheme="majorHAnsi" w:hAnsiTheme="majorHAnsi"/>
          <w:sz w:val="20"/>
          <w:szCs w:val="20"/>
        </w:rPr>
        <w:t xml:space="preserve">on the </w:t>
      </w:r>
      <w:r>
        <w:rPr>
          <w:rFonts w:asciiTheme="majorHAnsi" w:hAnsiTheme="majorHAnsi"/>
          <w:sz w:val="20"/>
          <w:szCs w:val="20"/>
        </w:rPr>
        <w:t>15th</w:t>
      </w:r>
      <w:r w:rsidRPr="000A496F">
        <w:rPr>
          <w:rFonts w:asciiTheme="majorHAnsi" w:hAnsiTheme="majorHAnsi"/>
          <w:sz w:val="20"/>
          <w:szCs w:val="20"/>
        </w:rPr>
        <w:t xml:space="preserve"> day of the month of </w:t>
      </w:r>
      <w:r>
        <w:rPr>
          <w:rFonts w:asciiTheme="majorHAnsi" w:hAnsiTheme="majorHAnsi"/>
          <w:sz w:val="20"/>
          <w:szCs w:val="20"/>
        </w:rPr>
        <w:t>June</w:t>
      </w:r>
      <w:r w:rsidRPr="000A496F">
        <w:rPr>
          <w:rFonts w:asciiTheme="majorHAnsi" w:hAnsiTheme="majorHAnsi"/>
          <w:sz w:val="20"/>
          <w:szCs w:val="20"/>
        </w:rPr>
        <w:t>, 2018. (Signed):  Margarette May Macaulay, President; Esmeralda E. Arosemena Bernal de Troitiño, First Vice President; Francisco José Eguiguren Praeli, Joel Hernández García, Antonia Urrejola, and Flávia Piovesan,  Commissioners.</w:t>
      </w:r>
    </w:p>
    <w:p w:rsidR="009D4C79" w:rsidRPr="009D4C79" w:rsidRDefault="009D4C79" w:rsidP="009D4C79">
      <w:pPr>
        <w:rPr>
          <w:rFonts w:asciiTheme="majorHAnsi" w:hAnsiTheme="majorHAnsi"/>
          <w:sz w:val="20"/>
          <w:szCs w:val="20"/>
        </w:rPr>
      </w:pPr>
    </w:p>
    <w:p w:rsidR="00B06BB7" w:rsidRDefault="00B06BB7">
      <w:pPr>
        <w:rPr>
          <w:rFonts w:asciiTheme="majorHAnsi" w:hAnsiTheme="majorHAnsi"/>
          <w:b/>
          <w:sz w:val="20"/>
          <w:szCs w:val="20"/>
        </w:rPr>
      </w:pPr>
    </w:p>
    <w:sectPr w:rsidR="00B06BB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C7C" w:rsidRDefault="00976C7C" w:rsidP="00036A8A">
      <w:r>
        <w:separator/>
      </w:r>
    </w:p>
  </w:endnote>
  <w:endnote w:type="continuationSeparator" w:id="0">
    <w:p w:rsidR="00976C7C" w:rsidRDefault="00976C7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B76" w:rsidRDefault="00563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63B76">
          <w:rPr>
            <w:noProof/>
            <w:sz w:val="16"/>
          </w:rPr>
          <w:t>4</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C7C" w:rsidRPr="00036A8A" w:rsidRDefault="00976C7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76C7C" w:rsidRPr="00036A8A" w:rsidRDefault="00976C7C" w:rsidP="00036A8A">
      <w:pPr>
        <w:rPr>
          <w:rFonts w:asciiTheme="majorHAnsi" w:hAnsiTheme="majorHAnsi"/>
          <w:sz w:val="16"/>
          <w:szCs w:val="16"/>
        </w:rPr>
      </w:pPr>
      <w:r w:rsidRPr="00036A8A">
        <w:rPr>
          <w:rFonts w:asciiTheme="majorHAnsi" w:hAnsiTheme="majorHAnsi"/>
          <w:sz w:val="16"/>
          <w:szCs w:val="16"/>
        </w:rPr>
        <w:separator/>
      </w:r>
    </w:p>
    <w:p w:rsidR="00976C7C" w:rsidRPr="00036A8A" w:rsidRDefault="00976C7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976C7C" w:rsidRPr="0093441A" w:rsidRDefault="00976C7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EE25CD" w:rsidRPr="009D4C79" w:rsidRDefault="00EE25CD" w:rsidP="005E4651">
      <w:pPr>
        <w:pStyle w:val="FootnoteText"/>
        <w:ind w:firstLine="720"/>
        <w:jc w:val="both"/>
        <w:rPr>
          <w:rFonts w:asciiTheme="majorHAnsi" w:hAnsiTheme="majorHAnsi"/>
          <w:color w:val="FF0000"/>
          <w:sz w:val="16"/>
          <w:szCs w:val="16"/>
        </w:rPr>
      </w:pPr>
      <w:r w:rsidRPr="009D4C79">
        <w:rPr>
          <w:rStyle w:val="FootnoteReference"/>
          <w:rFonts w:asciiTheme="majorHAnsi" w:hAnsiTheme="majorHAnsi"/>
          <w:sz w:val="16"/>
          <w:szCs w:val="16"/>
        </w:rPr>
        <w:footnoteRef/>
      </w:r>
      <w:r w:rsidRPr="009D4C79">
        <w:rPr>
          <w:rFonts w:asciiTheme="majorHAnsi" w:hAnsiTheme="majorHAnsi"/>
          <w:sz w:val="16"/>
          <w:szCs w:val="16"/>
        </w:rPr>
        <w:t xml:space="preserve"> The petition was initially lodged </w:t>
      </w:r>
      <w:r w:rsidRPr="009D4C79">
        <w:rPr>
          <w:rFonts w:asciiTheme="majorHAnsi" w:hAnsiTheme="majorHAnsi"/>
          <w:color w:val="auto"/>
          <w:sz w:val="16"/>
          <w:szCs w:val="16"/>
        </w:rPr>
        <w:t xml:space="preserve">by Nelson de </w:t>
      </w:r>
      <w:proofErr w:type="spellStart"/>
      <w:r w:rsidRPr="009D4C79">
        <w:rPr>
          <w:rFonts w:asciiTheme="majorHAnsi" w:hAnsiTheme="majorHAnsi"/>
          <w:color w:val="auto"/>
          <w:sz w:val="16"/>
          <w:szCs w:val="16"/>
        </w:rPr>
        <w:t>Jesús</w:t>
      </w:r>
      <w:proofErr w:type="spellEnd"/>
      <w:r w:rsidRPr="009D4C79">
        <w:rPr>
          <w:rFonts w:asciiTheme="majorHAnsi" w:hAnsiTheme="majorHAnsi"/>
          <w:color w:val="auto"/>
          <w:sz w:val="16"/>
          <w:szCs w:val="16"/>
        </w:rPr>
        <w:t xml:space="preserve"> Ríos </w:t>
      </w:r>
      <w:proofErr w:type="spellStart"/>
      <w:r w:rsidRPr="009D4C79">
        <w:rPr>
          <w:rFonts w:asciiTheme="majorHAnsi" w:hAnsiTheme="majorHAnsi"/>
          <w:color w:val="auto"/>
          <w:sz w:val="16"/>
          <w:szCs w:val="16"/>
        </w:rPr>
        <w:t>Santamaría</w:t>
      </w:r>
      <w:proofErr w:type="spellEnd"/>
      <w:r w:rsidRPr="009D4C79">
        <w:rPr>
          <w:rFonts w:asciiTheme="majorHAnsi" w:hAnsiTheme="majorHAnsi"/>
          <w:color w:val="auto"/>
          <w:sz w:val="16"/>
          <w:szCs w:val="16"/>
        </w:rPr>
        <w:t>. However, in a note dated September 3, 2015, the IACHR was informed of his death and a change in the alleged victims' representation.</w:t>
      </w:r>
      <w:r w:rsidRPr="009D4C79">
        <w:rPr>
          <w:rFonts w:asciiTheme="majorHAnsi" w:hAnsiTheme="majorHAnsi"/>
          <w:color w:val="FF0000"/>
          <w:sz w:val="16"/>
          <w:szCs w:val="16"/>
        </w:rPr>
        <w:t xml:space="preserve"> </w:t>
      </w:r>
    </w:p>
  </w:footnote>
  <w:footnote w:id="3">
    <w:p w:rsidR="00EE25CD" w:rsidRPr="00EE25CD" w:rsidRDefault="00EE25CD" w:rsidP="005E4651">
      <w:pPr>
        <w:pStyle w:val="FootnoteText"/>
        <w:ind w:firstLine="720"/>
        <w:jc w:val="both"/>
        <w:rPr>
          <w:rFonts w:asciiTheme="majorHAnsi" w:hAnsiTheme="majorHAnsi"/>
          <w:sz w:val="16"/>
          <w:szCs w:val="16"/>
          <w:lang w:val="es-ES"/>
        </w:rPr>
      </w:pPr>
      <w:r w:rsidRPr="009D4C79">
        <w:rPr>
          <w:rStyle w:val="FootnoteReference"/>
          <w:rFonts w:asciiTheme="majorHAnsi" w:hAnsiTheme="majorHAnsi"/>
          <w:sz w:val="16"/>
          <w:szCs w:val="16"/>
        </w:rPr>
        <w:footnoteRef/>
      </w:r>
      <w:r w:rsidRPr="00EE25CD">
        <w:rPr>
          <w:rFonts w:asciiTheme="majorHAnsi" w:hAnsiTheme="majorHAnsi"/>
          <w:sz w:val="16"/>
          <w:szCs w:val="16"/>
          <w:lang w:val="es-ES"/>
        </w:rPr>
        <w:t xml:space="preserve"> Belén Rodríguez Villareal, Diana Rodríguez </w:t>
      </w:r>
      <w:proofErr w:type="spellStart"/>
      <w:r w:rsidRPr="00EE25CD">
        <w:rPr>
          <w:rFonts w:asciiTheme="majorHAnsi" w:hAnsiTheme="majorHAnsi"/>
          <w:sz w:val="16"/>
          <w:szCs w:val="16"/>
          <w:lang w:val="es-ES"/>
        </w:rPr>
        <w:t>Rodríguez</w:t>
      </w:r>
      <w:proofErr w:type="spellEnd"/>
      <w:r w:rsidRPr="00EE25CD">
        <w:rPr>
          <w:rFonts w:asciiTheme="majorHAnsi" w:hAnsiTheme="majorHAnsi"/>
          <w:sz w:val="16"/>
          <w:szCs w:val="16"/>
          <w:lang w:val="es-ES"/>
        </w:rPr>
        <w:t xml:space="preserve">, and </w:t>
      </w:r>
      <w:proofErr w:type="spellStart"/>
      <w:r w:rsidRPr="00EE25CD">
        <w:rPr>
          <w:rFonts w:asciiTheme="majorHAnsi" w:hAnsiTheme="majorHAnsi"/>
          <w:sz w:val="16"/>
          <w:szCs w:val="16"/>
          <w:lang w:val="es-ES"/>
        </w:rPr>
        <w:t>Eduar</w:t>
      </w:r>
      <w:proofErr w:type="spellEnd"/>
      <w:r w:rsidRPr="00EE25CD">
        <w:rPr>
          <w:rFonts w:asciiTheme="majorHAnsi" w:hAnsiTheme="majorHAnsi"/>
          <w:sz w:val="16"/>
          <w:szCs w:val="16"/>
          <w:lang w:val="es-ES"/>
        </w:rPr>
        <w:t xml:space="preserve"> Andrés Rojas Ortiz.</w:t>
      </w:r>
    </w:p>
  </w:footnote>
  <w:footnote w:id="4">
    <w:p w:rsidR="00EE25CD" w:rsidRPr="009D4C79" w:rsidRDefault="00EE25CD" w:rsidP="005E4651">
      <w:pPr>
        <w:pStyle w:val="FootnoteText"/>
        <w:ind w:firstLine="720"/>
        <w:jc w:val="both"/>
        <w:rPr>
          <w:rFonts w:asciiTheme="majorHAnsi" w:hAnsiTheme="majorHAnsi"/>
          <w:sz w:val="16"/>
          <w:szCs w:val="16"/>
        </w:rPr>
      </w:pPr>
      <w:r w:rsidRPr="009D4C79">
        <w:rPr>
          <w:rStyle w:val="FootnoteReference"/>
          <w:rFonts w:asciiTheme="majorHAnsi" w:hAnsiTheme="majorHAnsi"/>
          <w:sz w:val="16"/>
          <w:szCs w:val="16"/>
        </w:rPr>
        <w:footnoteRef/>
      </w:r>
      <w:r w:rsidRPr="009D4C79">
        <w:rPr>
          <w:rFonts w:asciiTheme="majorHAnsi" w:hAnsiTheme="majorHAnsi"/>
          <w:sz w:val="16"/>
          <w:szCs w:val="16"/>
        </w:rPr>
        <w:t xml:space="preserve"> Pursuant to Article 17(2</w:t>
      </w:r>
      <w:proofErr w:type="gramStart"/>
      <w:r w:rsidRPr="009D4C79">
        <w:rPr>
          <w:rFonts w:asciiTheme="majorHAnsi" w:hAnsiTheme="majorHAnsi"/>
          <w:sz w:val="16"/>
          <w:szCs w:val="16"/>
        </w:rPr>
        <w:t>)(</w:t>
      </w:r>
      <w:proofErr w:type="gramEnd"/>
      <w:r w:rsidRPr="009D4C79">
        <w:rPr>
          <w:rFonts w:asciiTheme="majorHAnsi" w:hAnsiTheme="majorHAnsi"/>
          <w:sz w:val="16"/>
          <w:szCs w:val="16"/>
        </w:rPr>
        <w:t>a) of the Commission’s Rules of Procedure, Commissioner Luis Ernesto Vargas Silva, a Colombian national, did not participate in the discussion or decision in this matter.</w:t>
      </w:r>
    </w:p>
  </w:footnote>
  <w:footnote w:id="5">
    <w:p w:rsidR="00EE25CD" w:rsidRPr="009D4C79" w:rsidRDefault="00EE25CD" w:rsidP="005E4651">
      <w:pPr>
        <w:pStyle w:val="FootnoteText"/>
        <w:ind w:firstLine="720"/>
        <w:jc w:val="both"/>
        <w:rPr>
          <w:rFonts w:asciiTheme="majorHAnsi" w:hAnsiTheme="majorHAnsi"/>
          <w:sz w:val="16"/>
          <w:szCs w:val="16"/>
        </w:rPr>
      </w:pPr>
      <w:r w:rsidRPr="009D4C79">
        <w:rPr>
          <w:rFonts w:asciiTheme="majorHAnsi" w:hAnsiTheme="majorHAnsi"/>
          <w:sz w:val="16"/>
          <w:szCs w:val="16"/>
          <w:vertAlign w:val="superscript"/>
        </w:rPr>
        <w:footnoteRef/>
      </w:r>
      <w:r w:rsidRPr="009D4C79">
        <w:rPr>
          <w:rFonts w:asciiTheme="majorHAnsi" w:hAnsiTheme="majorHAnsi"/>
          <w:sz w:val="16"/>
          <w:szCs w:val="16"/>
          <w:vertAlign w:val="superscript"/>
        </w:rPr>
        <w:t xml:space="preserve"> </w:t>
      </w:r>
      <w:r w:rsidRPr="009D4C79">
        <w:rPr>
          <w:rFonts w:asciiTheme="majorHAnsi" w:hAnsiTheme="majorHAnsi"/>
          <w:sz w:val="16"/>
          <w:szCs w:val="16"/>
        </w:rPr>
        <w:t>Hereinafter the “Convention,” “American Convention,” or “ACHR.”</w:t>
      </w:r>
    </w:p>
  </w:footnote>
  <w:footnote w:id="6">
    <w:p w:rsidR="00653EA6" w:rsidRPr="009D4C79" w:rsidRDefault="00653EA6" w:rsidP="005E4651">
      <w:pPr>
        <w:pStyle w:val="FootnoteText"/>
        <w:ind w:firstLine="720"/>
        <w:jc w:val="both"/>
        <w:rPr>
          <w:rFonts w:asciiTheme="majorHAnsi" w:hAnsiTheme="majorHAnsi"/>
          <w:sz w:val="16"/>
          <w:szCs w:val="16"/>
        </w:rPr>
      </w:pPr>
      <w:r w:rsidRPr="009D4C79">
        <w:rPr>
          <w:rStyle w:val="FootnoteReference"/>
          <w:rFonts w:asciiTheme="majorHAnsi" w:hAnsiTheme="majorHAnsi"/>
          <w:sz w:val="16"/>
          <w:szCs w:val="16"/>
        </w:rPr>
        <w:footnoteRef/>
      </w:r>
      <w:r w:rsidRPr="009D4C79">
        <w:rPr>
          <w:rFonts w:asciiTheme="majorHAnsi" w:hAnsiTheme="majorHAnsi"/>
          <w:sz w:val="16"/>
          <w:szCs w:val="16"/>
        </w:rPr>
        <w:t xml:space="preserve"> The observations </w:t>
      </w:r>
      <w:r w:rsidR="00321AFD" w:rsidRPr="009D4C79">
        <w:rPr>
          <w:rFonts w:asciiTheme="majorHAnsi" w:hAnsiTheme="majorHAnsi"/>
          <w:sz w:val="16"/>
          <w:szCs w:val="16"/>
        </w:rPr>
        <w:t>submitted</w:t>
      </w:r>
      <w:r w:rsidRPr="009D4C79">
        <w:rPr>
          <w:rFonts w:asciiTheme="majorHAnsi" w:hAnsiTheme="majorHAnsi"/>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76C7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B76" w:rsidRDefault="00563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C4EEEC9-0D61-4748-9520-7BF52C0BBE0B}"/>
    <w:docVar w:name="dgnword-eventsink" w:val="233188600"/>
  </w:docVars>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B02FC"/>
    <w:rsid w:val="001B14A3"/>
    <w:rsid w:val="001C1B41"/>
    <w:rsid w:val="001E366B"/>
    <w:rsid w:val="001F1902"/>
    <w:rsid w:val="00210E0E"/>
    <w:rsid w:val="00210F4B"/>
    <w:rsid w:val="00230163"/>
    <w:rsid w:val="0023351C"/>
    <w:rsid w:val="0024738F"/>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A123E"/>
    <w:rsid w:val="004B2762"/>
    <w:rsid w:val="004B7EB6"/>
    <w:rsid w:val="004C2291"/>
    <w:rsid w:val="004C41DE"/>
    <w:rsid w:val="004C4B62"/>
    <w:rsid w:val="004D6025"/>
    <w:rsid w:val="004D72BC"/>
    <w:rsid w:val="004F6B67"/>
    <w:rsid w:val="00501399"/>
    <w:rsid w:val="00507BC4"/>
    <w:rsid w:val="005128E4"/>
    <w:rsid w:val="00525560"/>
    <w:rsid w:val="00526CBB"/>
    <w:rsid w:val="005357A6"/>
    <w:rsid w:val="00544C49"/>
    <w:rsid w:val="005463B9"/>
    <w:rsid w:val="00563B76"/>
    <w:rsid w:val="0057402A"/>
    <w:rsid w:val="005771D0"/>
    <w:rsid w:val="005816E5"/>
    <w:rsid w:val="0059191A"/>
    <w:rsid w:val="005921FF"/>
    <w:rsid w:val="00592718"/>
    <w:rsid w:val="005A6D0E"/>
    <w:rsid w:val="005B222D"/>
    <w:rsid w:val="005B52B0"/>
    <w:rsid w:val="005B6806"/>
    <w:rsid w:val="005C00F9"/>
    <w:rsid w:val="005C4225"/>
    <w:rsid w:val="005E4651"/>
    <w:rsid w:val="005F0F33"/>
    <w:rsid w:val="00600DEB"/>
    <w:rsid w:val="00611B10"/>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D63E8"/>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407C9"/>
    <w:rsid w:val="0084504C"/>
    <w:rsid w:val="00853419"/>
    <w:rsid w:val="00897E12"/>
    <w:rsid w:val="008D43BA"/>
    <w:rsid w:val="008E3759"/>
    <w:rsid w:val="009041DC"/>
    <w:rsid w:val="009104B4"/>
    <w:rsid w:val="009228DA"/>
    <w:rsid w:val="00925FCD"/>
    <w:rsid w:val="0093441A"/>
    <w:rsid w:val="00954BF7"/>
    <w:rsid w:val="0096706E"/>
    <w:rsid w:val="00967EE9"/>
    <w:rsid w:val="00976C7C"/>
    <w:rsid w:val="00981FBA"/>
    <w:rsid w:val="00990F57"/>
    <w:rsid w:val="009B381B"/>
    <w:rsid w:val="009D4C79"/>
    <w:rsid w:val="009D7611"/>
    <w:rsid w:val="009E53DE"/>
    <w:rsid w:val="009E566A"/>
    <w:rsid w:val="00A12DBC"/>
    <w:rsid w:val="00A20943"/>
    <w:rsid w:val="00A43458"/>
    <w:rsid w:val="00A528D1"/>
    <w:rsid w:val="00A66BE5"/>
    <w:rsid w:val="00AA68C0"/>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1C5D"/>
    <w:rsid w:val="00BD232B"/>
    <w:rsid w:val="00BD2E42"/>
    <w:rsid w:val="00BD4B89"/>
    <w:rsid w:val="00C21762"/>
    <w:rsid w:val="00C24543"/>
    <w:rsid w:val="00C256A2"/>
    <w:rsid w:val="00C3492D"/>
    <w:rsid w:val="00C55560"/>
    <w:rsid w:val="00C66B72"/>
    <w:rsid w:val="00C903DA"/>
    <w:rsid w:val="00C9567A"/>
    <w:rsid w:val="00CA6577"/>
    <w:rsid w:val="00CB2660"/>
    <w:rsid w:val="00CC5E90"/>
    <w:rsid w:val="00CD046C"/>
    <w:rsid w:val="00CE5199"/>
    <w:rsid w:val="00CE66D5"/>
    <w:rsid w:val="00D34786"/>
    <w:rsid w:val="00D35DC9"/>
    <w:rsid w:val="00D40A1E"/>
    <w:rsid w:val="00D533C0"/>
    <w:rsid w:val="00D712D3"/>
    <w:rsid w:val="00D71422"/>
    <w:rsid w:val="00D7145E"/>
    <w:rsid w:val="00D75084"/>
    <w:rsid w:val="00D7558D"/>
    <w:rsid w:val="00D81D92"/>
    <w:rsid w:val="00D93446"/>
    <w:rsid w:val="00DA7B5F"/>
    <w:rsid w:val="00DF078B"/>
    <w:rsid w:val="00DF350D"/>
    <w:rsid w:val="00E045A2"/>
    <w:rsid w:val="00E227C1"/>
    <w:rsid w:val="00E43157"/>
    <w:rsid w:val="00E47F3D"/>
    <w:rsid w:val="00E533FF"/>
    <w:rsid w:val="00E709B3"/>
    <w:rsid w:val="00E7588C"/>
    <w:rsid w:val="00E850B6"/>
    <w:rsid w:val="00E8789F"/>
    <w:rsid w:val="00E97B71"/>
    <w:rsid w:val="00EB454D"/>
    <w:rsid w:val="00ED0D1B"/>
    <w:rsid w:val="00EE25CD"/>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D3D3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0DCF-75CC-42D5-93E6-B41DCB90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10739</Characters>
  <Application>Microsoft Office Word</Application>
  <DocSecurity>0</DocSecurity>
  <Lines>238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74/18</dc:title>
  <dc:creator/>
  <cp:lastModifiedBy/>
  <cp:revision>1</cp:revision>
  <dcterms:created xsi:type="dcterms:W3CDTF">2018-09-18T15:04:00Z</dcterms:created>
  <dcterms:modified xsi:type="dcterms:W3CDTF">2018-09-18T15:05:00Z</dcterms:modified>
</cp:coreProperties>
</file>