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440" w:rsidRPr="002E1E74" w:rsidRDefault="00740DEF" w:rsidP="0010306C">
      <w:pPr>
        <w:jc w:val="both"/>
        <w:rPr>
          <w:rFonts w:ascii="Cambria" w:hAnsi="Cambria" w:cs="Cambria"/>
          <w:b/>
          <w:bCs/>
          <w:noProof/>
          <w:sz w:val="22"/>
          <w:szCs w:val="22"/>
        </w:rPr>
      </w:pPr>
      <w:bookmarkStart w:id="0" w:name="_GoBack"/>
      <w:bookmarkEnd w:id="0"/>
      <w:r>
        <w:rPr>
          <w:noProof/>
        </w:rPr>
        <mc:AlternateContent>
          <mc:Choice Requires="wps">
            <w:drawing>
              <wp:anchor distT="0" distB="0" distL="114300" distR="114300" simplePos="0" relativeHeight="251660800" behindDoc="0" locked="0" layoutInCell="1" allowOverlap="1">
                <wp:simplePos x="0" y="0"/>
                <wp:positionH relativeFrom="column">
                  <wp:posOffset>-299085</wp:posOffset>
                </wp:positionH>
                <wp:positionV relativeFrom="paragraph">
                  <wp:posOffset>8258810</wp:posOffset>
                </wp:positionV>
                <wp:extent cx="1181100" cy="332740"/>
                <wp:effectExtent l="0" t="635" r="381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D4440" w:rsidRPr="0010306C" w:rsidRDefault="007D4440" w:rsidP="0010306C">
                            <w:pPr>
                              <w:jc w:val="center"/>
                              <w:rPr>
                                <w:rFonts w:ascii="Calibri" w:hAnsi="Calibri" w:cs="Calibri"/>
                                <w:b/>
                                <w:bCs/>
                                <w:noProof/>
                                <w:color w:val="FFFFFF"/>
                              </w:rPr>
                            </w:pPr>
                            <w:r w:rsidRPr="0010306C">
                              <w:rPr>
                                <w:rFonts w:ascii="Calibri" w:hAnsi="Calibri" w:cs="Calibri"/>
                                <w:b/>
                                <w:bCs/>
                                <w:noProof/>
                                <w:color w:val="FFFFFF"/>
                              </w:rPr>
                              <w:t>www.cidh.org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3.55pt;margin-top:650.3pt;width:93pt;height:2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" filled="f" stroked="f" strokeweight=".5pt">
                <v:textbox>
                  <w:txbxContent>
                    <w:p w:rsidR="007D4440" w:rsidRPr="0010306C" w:rsidRDefault="007D4440" w:rsidP="0010306C">
                      <w:pPr>
                        <w:jc w:val="center"/>
                        <w:rPr>
                          <w:rFonts w:ascii="Calibri" w:hAnsi="Calibri" w:cs="Calibri"/>
                          <w:b/>
                          <w:bCs/>
                          <w:noProof/>
                          <w:color w:val="FFFFFF"/>
                        </w:rPr>
                      </w:pPr>
                      <w:r w:rsidRPr="0010306C">
                        <w:rPr>
                          <w:rFonts w:ascii="Calibri" w:hAnsi="Calibri" w:cs="Calibri"/>
                          <w:b/>
                          <w:bCs/>
                          <w:noProof/>
                          <w:color w:val="FFFFFF"/>
                        </w:rPr>
                        <w:t>www.cidh.org</w:t>
                      </w:r>
                    </w:p>
                  </w:txbxContent>
                </v:textbox>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-415925</wp:posOffset>
                </wp:positionH>
                <wp:positionV relativeFrom="paragraph">
                  <wp:posOffset>-356235</wp:posOffset>
                </wp:positionV>
                <wp:extent cx="1409700" cy="8977630"/>
                <wp:effectExtent l="3175" t="0" r="0" b="0"/>
                <wp:wrapNone/>
                <wp:docPr id="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8977630"/>
                        </a:xfrm>
                        <a:prstGeom prst="rect">
                          <a:avLst/>
                        </a:prstGeom>
                        <a:solidFill>
                          <a:srgbClr val="67AE3C"/>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DD870C" id="Rectangle 1" o:spid="_x0000_s1026" style="position:absolute;margin-left:-32.75pt;margin-top:-28.05pt;width:111pt;height:706.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" fillcolor="#67ae3c" stroked="f" strokeweight="2pt"/>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1143000</wp:posOffset>
                </wp:positionH>
                <wp:positionV relativeFrom="paragraph">
                  <wp:posOffset>-371475</wp:posOffset>
                </wp:positionV>
                <wp:extent cx="4486275" cy="752475"/>
                <wp:effectExtent l="0" t="0" r="0" b="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D4440" w:rsidRPr="0010306C" w:rsidRDefault="00740DEF" w:rsidP="0010306C">
                            <w:pPr>
                              <w:rPr>
                                <w:noProof/>
                              </w:rPr>
                            </w:pPr>
                            <w:r>
                              <w:rPr>
                                <w:noProof/>
                              </w:rPr>
                              <w:drawing>
                                <wp:inline distT="0" distB="0" distL="0" distR="0">
                                  <wp:extent cx="2516505" cy="467995"/>
                                  <wp:effectExtent l="0" t="0" r="0" b="8255"/>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6505" cy="467995"/>
                                          </a:xfrm>
                                          <a:prstGeom prst="rect">
                                            <a:avLst/>
                                          </a:prstGeom>
                                          <a:noFill/>
                                          <a:ln>
                                            <a:noFill/>
                                          </a:ln>
                                        </pic:spPr>
                                      </pic:pic>
                                    </a:graphicData>
                                  </a:graphic>
                                </wp:inline>
                              </w:drawing>
                            </w:r>
                            <w:r w:rsidR="007D4440">
                              <w:rPr>
                                <w:noProo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90pt;margin-top:-29.25pt;width:353.25pt;height:5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" filled="f" stroked="f" strokeweight=".5pt">
                <v:textbox>
                  <w:txbxContent>
                    <w:p w:rsidR="007D4440" w:rsidRPr="0010306C" w:rsidRDefault="00740DEF" w:rsidP="0010306C">
                      <w:pPr>
                        <w:rPr>
                          <w:noProof/>
                        </w:rPr>
                      </w:pPr>
                      <w:r>
                        <w:rPr>
                          <w:noProof/>
                        </w:rPr>
                        <w:drawing>
                          <wp:inline distT="0" distB="0" distL="0" distR="0">
                            <wp:extent cx="2516505" cy="467995"/>
                            <wp:effectExtent l="0" t="0" r="0" b="8255"/>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6505" cy="467995"/>
                                    </a:xfrm>
                                    <a:prstGeom prst="rect">
                                      <a:avLst/>
                                    </a:prstGeom>
                                    <a:noFill/>
                                    <a:ln>
                                      <a:noFill/>
                                    </a:ln>
                                  </pic:spPr>
                                </pic:pic>
                              </a:graphicData>
                            </a:graphic>
                          </wp:inline>
                        </w:drawing>
                      </w:r>
                      <w:r w:rsidR="007D4440">
                        <w:rPr>
                          <w:noProof/>
                        </w:rPr>
                        <w:t xml:space="preserve"> </w:t>
                      </w:r>
                    </w:p>
                  </w:txbxContent>
                </v:textbox>
              </v:shape>
            </w:pict>
          </mc:Fallback>
        </mc:AlternateContent>
      </w:r>
    </w:p>
    <w:p w:rsidR="007D4440" w:rsidRPr="002E1E74" w:rsidRDefault="007D4440" w:rsidP="0010306C">
      <w:pPr>
        <w:tabs>
          <w:tab w:val="center" w:pos="5400"/>
        </w:tabs>
        <w:suppressAutoHyphens/>
        <w:jc w:val="both"/>
        <w:rPr>
          <w:rFonts w:ascii="Cambria" w:hAnsi="Cambria" w:cs="Cambria"/>
          <w:noProof/>
          <w:sz w:val="22"/>
          <w:szCs w:val="22"/>
        </w:rPr>
      </w:pPr>
    </w:p>
    <w:p w:rsidR="007D4440" w:rsidRPr="002E1E74" w:rsidRDefault="007D4440" w:rsidP="0010306C">
      <w:pPr>
        <w:tabs>
          <w:tab w:val="center" w:pos="5400"/>
        </w:tabs>
        <w:suppressAutoHyphens/>
        <w:jc w:val="both"/>
        <w:rPr>
          <w:rFonts w:ascii="Cambria" w:hAnsi="Cambria" w:cs="Cambria"/>
          <w:noProof/>
          <w:sz w:val="22"/>
          <w:szCs w:val="22"/>
        </w:rPr>
      </w:pPr>
    </w:p>
    <w:p w:rsidR="007D4440" w:rsidRPr="002E1E74" w:rsidRDefault="007D4440" w:rsidP="0010306C">
      <w:pPr>
        <w:tabs>
          <w:tab w:val="center" w:pos="5400"/>
        </w:tabs>
        <w:suppressAutoHyphens/>
        <w:rPr>
          <w:rFonts w:ascii="Cambria" w:hAnsi="Cambria" w:cs="Cambria"/>
          <w:noProof/>
          <w:sz w:val="22"/>
          <w:szCs w:val="22"/>
        </w:rPr>
      </w:pPr>
    </w:p>
    <w:p w:rsidR="007D4440" w:rsidRPr="002E1E74" w:rsidRDefault="007D4440" w:rsidP="0010306C">
      <w:pPr>
        <w:tabs>
          <w:tab w:val="center" w:pos="5400"/>
        </w:tabs>
        <w:suppressAutoHyphens/>
        <w:rPr>
          <w:rFonts w:ascii="Cambria" w:hAnsi="Cambria" w:cs="Cambria"/>
          <w:noProof/>
          <w:sz w:val="22"/>
          <w:szCs w:val="22"/>
        </w:rPr>
      </w:pPr>
    </w:p>
    <w:p w:rsidR="007D4440" w:rsidRPr="002E1E74" w:rsidRDefault="007D4440" w:rsidP="0010306C">
      <w:pPr>
        <w:tabs>
          <w:tab w:val="center" w:pos="5400"/>
        </w:tabs>
        <w:suppressAutoHyphens/>
        <w:rPr>
          <w:rFonts w:ascii="Cambria" w:hAnsi="Cambria" w:cs="Cambria"/>
          <w:noProof/>
          <w:sz w:val="22"/>
          <w:szCs w:val="22"/>
        </w:rPr>
      </w:pPr>
    </w:p>
    <w:p w:rsidR="007D4440" w:rsidRPr="002E1E74" w:rsidRDefault="007D4440" w:rsidP="0010306C">
      <w:pPr>
        <w:tabs>
          <w:tab w:val="center" w:pos="5400"/>
        </w:tabs>
        <w:suppressAutoHyphens/>
        <w:jc w:val="center"/>
        <w:rPr>
          <w:rFonts w:ascii="Cambria" w:hAnsi="Cambria" w:cs="Cambria"/>
          <w:noProof/>
          <w:sz w:val="22"/>
          <w:szCs w:val="22"/>
        </w:rPr>
      </w:pPr>
    </w:p>
    <w:p w:rsidR="007D4440" w:rsidRPr="002E1E74" w:rsidRDefault="007D4440" w:rsidP="0010306C">
      <w:pPr>
        <w:tabs>
          <w:tab w:val="center" w:pos="5400"/>
        </w:tabs>
        <w:suppressAutoHyphens/>
        <w:jc w:val="center"/>
        <w:rPr>
          <w:rFonts w:ascii="Cambria" w:hAnsi="Cambria" w:cs="Cambria"/>
          <w:noProof/>
          <w:sz w:val="22"/>
          <w:szCs w:val="22"/>
        </w:rPr>
      </w:pPr>
    </w:p>
    <w:p w:rsidR="007D4440" w:rsidRPr="002E1E74" w:rsidRDefault="007D4440" w:rsidP="0010306C">
      <w:pPr>
        <w:tabs>
          <w:tab w:val="center" w:pos="5400"/>
        </w:tabs>
        <w:suppressAutoHyphens/>
        <w:jc w:val="center"/>
        <w:rPr>
          <w:rFonts w:ascii="Cambria" w:hAnsi="Cambria" w:cs="Cambria"/>
          <w:noProof/>
          <w:sz w:val="22"/>
          <w:szCs w:val="22"/>
        </w:rPr>
      </w:pPr>
    </w:p>
    <w:p w:rsidR="007D4440" w:rsidRPr="002E1E74" w:rsidRDefault="007D4440" w:rsidP="0010306C">
      <w:pPr>
        <w:tabs>
          <w:tab w:val="center" w:pos="5400"/>
        </w:tabs>
        <w:suppressAutoHyphens/>
        <w:jc w:val="center"/>
        <w:rPr>
          <w:rFonts w:ascii="Cambria" w:hAnsi="Cambria" w:cs="Cambria"/>
          <w:noProof/>
          <w:sz w:val="22"/>
          <w:szCs w:val="22"/>
        </w:rPr>
      </w:pPr>
    </w:p>
    <w:p w:rsidR="007D4440" w:rsidRPr="002E1E74" w:rsidRDefault="007D4440" w:rsidP="0010306C">
      <w:pPr>
        <w:tabs>
          <w:tab w:val="center" w:pos="5400"/>
        </w:tabs>
        <w:suppressAutoHyphens/>
        <w:jc w:val="center"/>
        <w:rPr>
          <w:rFonts w:ascii="Cambria" w:hAnsi="Cambria" w:cs="Cambria"/>
          <w:noProof/>
          <w:sz w:val="22"/>
          <w:szCs w:val="22"/>
        </w:rPr>
      </w:pPr>
    </w:p>
    <w:p w:rsidR="007D4440" w:rsidRPr="002E1E74" w:rsidRDefault="007D4440" w:rsidP="0010306C">
      <w:pPr>
        <w:tabs>
          <w:tab w:val="center" w:pos="5400"/>
        </w:tabs>
        <w:suppressAutoHyphens/>
        <w:jc w:val="center"/>
        <w:rPr>
          <w:rFonts w:ascii="Cambria" w:hAnsi="Cambria" w:cs="Cambria"/>
          <w:noProof/>
          <w:sz w:val="22"/>
          <w:szCs w:val="22"/>
        </w:rPr>
      </w:pPr>
    </w:p>
    <w:p w:rsidR="007D4440" w:rsidRPr="002E1E74" w:rsidRDefault="007D4440" w:rsidP="0010306C">
      <w:pPr>
        <w:tabs>
          <w:tab w:val="center" w:pos="5400"/>
        </w:tabs>
        <w:suppressAutoHyphens/>
        <w:jc w:val="center"/>
        <w:rPr>
          <w:rFonts w:ascii="Cambria" w:hAnsi="Cambria" w:cs="Cambria"/>
          <w:noProof/>
          <w:sz w:val="22"/>
          <w:szCs w:val="22"/>
        </w:rPr>
      </w:pPr>
    </w:p>
    <w:p w:rsidR="007D4440" w:rsidRPr="002E1E74" w:rsidRDefault="007D4440" w:rsidP="0010306C">
      <w:pPr>
        <w:tabs>
          <w:tab w:val="center" w:pos="5400"/>
        </w:tabs>
        <w:suppressAutoHyphens/>
        <w:jc w:val="center"/>
        <w:rPr>
          <w:rFonts w:ascii="Cambria" w:hAnsi="Cambria" w:cs="Cambria"/>
          <w:noProof/>
          <w:sz w:val="22"/>
          <w:szCs w:val="22"/>
        </w:rPr>
      </w:pPr>
    </w:p>
    <w:p w:rsidR="007D4440" w:rsidRPr="002E1E74" w:rsidRDefault="00740DEF" w:rsidP="0010306C">
      <w:pPr>
        <w:tabs>
          <w:tab w:val="center" w:pos="5400"/>
        </w:tabs>
        <w:suppressAutoHyphens/>
        <w:jc w:val="center"/>
        <w:rPr>
          <w:rFonts w:ascii="Cambria" w:hAnsi="Cambria" w:cs="Cambria"/>
          <w:noProof/>
          <w:sz w:val="22"/>
          <w:szCs w:val="22"/>
        </w:rPr>
      </w:pPr>
      <w:r>
        <w:rPr>
          <w:noProof/>
        </w:rPr>
        <mc:AlternateContent>
          <mc:Choice Requires="wps">
            <w:drawing>
              <wp:anchor distT="0" distB="0" distL="114300" distR="114300" simplePos="0" relativeHeight="251655680" behindDoc="0" locked="0" layoutInCell="1" allowOverlap="1">
                <wp:simplePos x="0" y="0"/>
                <wp:positionH relativeFrom="column">
                  <wp:posOffset>1209675</wp:posOffset>
                </wp:positionH>
                <wp:positionV relativeFrom="paragraph">
                  <wp:posOffset>79375</wp:posOffset>
                </wp:positionV>
                <wp:extent cx="4333875" cy="2350770"/>
                <wp:effectExtent l="0" t="635" r="0" b="127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2350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D4440" w:rsidRPr="002E1E74" w:rsidRDefault="007D4440" w:rsidP="0010306C">
                            <w:pPr>
                              <w:spacing w:line="276" w:lineRule="auto"/>
                              <w:rPr>
                                <w:rFonts w:ascii="Cambria" w:hAnsi="Cambria" w:cs="Cambria"/>
                                <w:b/>
                                <w:bCs/>
                                <w:noProof/>
                                <w:color w:val="0D0D0D"/>
                                <w:sz w:val="36"/>
                                <w:szCs w:val="36"/>
                              </w:rPr>
                            </w:pPr>
                            <w:r w:rsidRPr="002E1E74">
                              <w:rPr>
                                <w:rFonts w:ascii="Cambria" w:hAnsi="Cambria" w:cs="Cambria"/>
                                <w:b/>
                                <w:bCs/>
                                <w:noProof/>
                                <w:color w:val="0D0D0D"/>
                                <w:sz w:val="36"/>
                                <w:szCs w:val="36"/>
                              </w:rPr>
                              <w:t xml:space="preserve">REPORT No. </w:t>
                            </w:r>
                            <w:r w:rsidR="0004703C">
                              <w:rPr>
                                <w:rFonts w:ascii="Cambria" w:hAnsi="Cambria" w:cs="Cambria"/>
                                <w:b/>
                                <w:bCs/>
                                <w:noProof/>
                                <w:color w:val="0D0D0D"/>
                                <w:sz w:val="36"/>
                                <w:szCs w:val="36"/>
                              </w:rPr>
                              <w:t>39</w:t>
                            </w:r>
                            <w:r w:rsidRPr="002E1E74">
                              <w:rPr>
                                <w:rFonts w:ascii="Cambria" w:hAnsi="Cambria" w:cs="Cambria"/>
                                <w:b/>
                                <w:bCs/>
                                <w:noProof/>
                                <w:color w:val="0D0D0D"/>
                                <w:sz w:val="36"/>
                                <w:szCs w:val="36"/>
                              </w:rPr>
                              <w:t>/18</w:t>
                            </w:r>
                          </w:p>
                          <w:p w:rsidR="007D4440" w:rsidRPr="002E1E74" w:rsidRDefault="007D4440" w:rsidP="0010306C">
                            <w:pPr>
                              <w:spacing w:line="276" w:lineRule="auto"/>
                              <w:rPr>
                                <w:rFonts w:ascii="Cambria" w:hAnsi="Cambria" w:cs="Cambria"/>
                                <w:b/>
                                <w:bCs/>
                                <w:noProof/>
                                <w:color w:val="0D0D0D"/>
                                <w:sz w:val="36"/>
                                <w:szCs w:val="36"/>
                              </w:rPr>
                            </w:pPr>
                            <w:r w:rsidRPr="002E1E74">
                              <w:rPr>
                                <w:rFonts w:ascii="Cambria" w:hAnsi="Cambria" w:cs="Cambria"/>
                                <w:b/>
                                <w:bCs/>
                                <w:noProof/>
                                <w:color w:val="0D0D0D"/>
                                <w:sz w:val="36"/>
                                <w:szCs w:val="36"/>
                              </w:rPr>
                              <w:t>PETITION 196-07</w:t>
                            </w:r>
                          </w:p>
                          <w:p w:rsidR="007D4440" w:rsidRPr="002E1E74" w:rsidRDefault="007D4440" w:rsidP="0010306C">
                            <w:pPr>
                              <w:spacing w:line="276" w:lineRule="auto"/>
                              <w:rPr>
                                <w:rFonts w:ascii="Cambria" w:hAnsi="Cambria" w:cs="Cambria"/>
                                <w:noProof/>
                                <w:color w:val="0D0D0D"/>
                              </w:rPr>
                            </w:pPr>
                            <w:r w:rsidRPr="002E1E74">
                              <w:rPr>
                                <w:rFonts w:ascii="Cambria" w:hAnsi="Cambria" w:cs="Cambria"/>
                                <w:noProof/>
                                <w:color w:val="0D0D0D"/>
                              </w:rPr>
                              <w:t xml:space="preserve">REPORT ON ADMISSIBILITY </w:t>
                            </w:r>
                          </w:p>
                          <w:p w:rsidR="007D4440" w:rsidRPr="002E1E74" w:rsidRDefault="007D4440" w:rsidP="0010306C">
                            <w:pPr>
                              <w:spacing w:line="276" w:lineRule="auto"/>
                              <w:rPr>
                                <w:rFonts w:ascii="Cambria" w:hAnsi="Cambria" w:cs="Cambria"/>
                                <w:noProof/>
                                <w:color w:val="0D0D0D"/>
                              </w:rPr>
                            </w:pPr>
                          </w:p>
                          <w:p w:rsidR="007D4440" w:rsidRPr="001332CC" w:rsidRDefault="007D4440" w:rsidP="0010306C">
                            <w:pPr>
                              <w:spacing w:line="276" w:lineRule="auto"/>
                              <w:rPr>
                                <w:rFonts w:ascii="Cambria" w:hAnsi="Cambria" w:cs="Cambria"/>
                                <w:noProof/>
                                <w:color w:val="0D0D0D"/>
                                <w:lang w:val="pt-BR"/>
                              </w:rPr>
                            </w:pPr>
                            <w:r w:rsidRPr="001332CC">
                              <w:rPr>
                                <w:rFonts w:ascii="Cambria" w:hAnsi="Cambria" w:cs="Cambria"/>
                                <w:noProof/>
                                <w:color w:val="0D0D0D"/>
                                <w:lang w:val="pt-BR"/>
                              </w:rPr>
                              <w:t xml:space="preserve">JOSÉ RICARDO PARRA HURTADO, FÉLIX ALBERTO PÁEZ SUÁREZ AND THEIR FAMILIES </w:t>
                            </w:r>
                          </w:p>
                          <w:p w:rsidR="007D4440" w:rsidRPr="001332CC" w:rsidRDefault="007D4440" w:rsidP="0010306C">
                            <w:pPr>
                              <w:spacing w:line="276" w:lineRule="auto"/>
                              <w:rPr>
                                <w:rFonts w:ascii="Cambria" w:hAnsi="Cambria" w:cs="Cambria"/>
                                <w:noProof/>
                                <w:color w:val="0D0D0D"/>
                                <w:lang w:val="pt-BR"/>
                              </w:rPr>
                            </w:pPr>
                          </w:p>
                          <w:p w:rsidR="007D4440" w:rsidRPr="002E1E74" w:rsidRDefault="007D4440" w:rsidP="0010306C">
                            <w:pPr>
                              <w:spacing w:line="276" w:lineRule="auto"/>
                              <w:rPr>
                                <w:rFonts w:ascii="Cambria" w:hAnsi="Cambria" w:cs="Cambria"/>
                                <w:noProof/>
                                <w:color w:val="0D0D0D"/>
                              </w:rPr>
                            </w:pPr>
                            <w:r w:rsidRPr="002E1E74">
                              <w:rPr>
                                <w:rFonts w:ascii="Cambria" w:hAnsi="Cambria" w:cs="Cambria"/>
                                <w:noProof/>
                                <w:color w:val="0D0D0D"/>
                              </w:rPr>
                              <w:t>COLOMBIA</w:t>
                            </w:r>
                          </w:p>
                          <w:p w:rsidR="007D4440" w:rsidRPr="002E1E74" w:rsidRDefault="007D4440" w:rsidP="0010306C">
                            <w:pPr>
                              <w:spacing w:line="276" w:lineRule="auto"/>
                              <w:rPr>
                                <w:rFonts w:ascii="Cambria" w:hAnsi="Cambria" w:cs="Cambria"/>
                                <w:noProof/>
                                <w:color w:val="0D0D0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95.25pt;margin-top:6.25pt;width:341.25pt;height:185.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TtuuwIAAME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" filled="f" stroked="f" strokeweight=".5pt">
                <v:textbox>
                  <w:txbxContent>
                    <w:p w:rsidR="007D4440" w:rsidRPr="002E1E74" w:rsidRDefault="007D4440" w:rsidP="0010306C">
                      <w:pPr>
                        <w:spacing w:line="276" w:lineRule="auto"/>
                        <w:rPr>
                          <w:rFonts w:ascii="Cambria" w:hAnsi="Cambria" w:cs="Cambria"/>
                          <w:b/>
                          <w:bCs/>
                          <w:noProof/>
                          <w:color w:val="0D0D0D"/>
                          <w:sz w:val="36"/>
                          <w:szCs w:val="36"/>
                        </w:rPr>
                      </w:pPr>
                      <w:r w:rsidRPr="002E1E74">
                        <w:rPr>
                          <w:rFonts w:ascii="Cambria" w:hAnsi="Cambria" w:cs="Cambria"/>
                          <w:b/>
                          <w:bCs/>
                          <w:noProof/>
                          <w:color w:val="0D0D0D"/>
                          <w:sz w:val="36"/>
                          <w:szCs w:val="36"/>
                        </w:rPr>
                        <w:t xml:space="preserve">REPORT No. </w:t>
                      </w:r>
                      <w:r w:rsidR="0004703C">
                        <w:rPr>
                          <w:rFonts w:ascii="Cambria" w:hAnsi="Cambria" w:cs="Cambria"/>
                          <w:b/>
                          <w:bCs/>
                          <w:noProof/>
                          <w:color w:val="0D0D0D"/>
                          <w:sz w:val="36"/>
                          <w:szCs w:val="36"/>
                        </w:rPr>
                        <w:t>39</w:t>
                      </w:r>
                      <w:r w:rsidRPr="002E1E74">
                        <w:rPr>
                          <w:rFonts w:ascii="Cambria" w:hAnsi="Cambria" w:cs="Cambria"/>
                          <w:b/>
                          <w:bCs/>
                          <w:noProof/>
                          <w:color w:val="0D0D0D"/>
                          <w:sz w:val="36"/>
                          <w:szCs w:val="36"/>
                        </w:rPr>
                        <w:t>/18</w:t>
                      </w:r>
                    </w:p>
                    <w:p w:rsidR="007D4440" w:rsidRPr="002E1E74" w:rsidRDefault="007D4440" w:rsidP="0010306C">
                      <w:pPr>
                        <w:spacing w:line="276" w:lineRule="auto"/>
                        <w:rPr>
                          <w:rFonts w:ascii="Cambria" w:hAnsi="Cambria" w:cs="Cambria"/>
                          <w:b/>
                          <w:bCs/>
                          <w:noProof/>
                          <w:color w:val="0D0D0D"/>
                          <w:sz w:val="36"/>
                          <w:szCs w:val="36"/>
                        </w:rPr>
                      </w:pPr>
                      <w:r w:rsidRPr="002E1E74">
                        <w:rPr>
                          <w:rFonts w:ascii="Cambria" w:hAnsi="Cambria" w:cs="Cambria"/>
                          <w:b/>
                          <w:bCs/>
                          <w:noProof/>
                          <w:color w:val="0D0D0D"/>
                          <w:sz w:val="36"/>
                          <w:szCs w:val="36"/>
                        </w:rPr>
                        <w:t>PETITION 196-07</w:t>
                      </w:r>
                    </w:p>
                    <w:p w:rsidR="007D4440" w:rsidRPr="002E1E74" w:rsidRDefault="007D4440" w:rsidP="0010306C">
                      <w:pPr>
                        <w:spacing w:line="276" w:lineRule="auto"/>
                        <w:rPr>
                          <w:rFonts w:ascii="Cambria" w:hAnsi="Cambria" w:cs="Cambria"/>
                          <w:noProof/>
                          <w:color w:val="0D0D0D"/>
                        </w:rPr>
                      </w:pPr>
                      <w:r w:rsidRPr="002E1E74">
                        <w:rPr>
                          <w:rFonts w:ascii="Cambria" w:hAnsi="Cambria" w:cs="Cambria"/>
                          <w:noProof/>
                          <w:color w:val="0D0D0D"/>
                        </w:rPr>
                        <w:t xml:space="preserve">REPORT ON ADMISSIBILITY </w:t>
                      </w:r>
                    </w:p>
                    <w:p w:rsidR="007D4440" w:rsidRPr="002E1E74" w:rsidRDefault="007D4440" w:rsidP="0010306C">
                      <w:pPr>
                        <w:spacing w:line="276" w:lineRule="auto"/>
                        <w:rPr>
                          <w:rFonts w:ascii="Cambria" w:hAnsi="Cambria" w:cs="Cambria"/>
                          <w:noProof/>
                          <w:color w:val="0D0D0D"/>
                        </w:rPr>
                      </w:pPr>
                    </w:p>
                    <w:p w:rsidR="007D4440" w:rsidRPr="001332CC" w:rsidRDefault="007D4440" w:rsidP="0010306C">
                      <w:pPr>
                        <w:spacing w:line="276" w:lineRule="auto"/>
                        <w:rPr>
                          <w:rFonts w:ascii="Cambria" w:hAnsi="Cambria" w:cs="Cambria"/>
                          <w:noProof/>
                          <w:color w:val="0D0D0D"/>
                          <w:lang w:val="pt-BR"/>
                        </w:rPr>
                      </w:pPr>
                      <w:r w:rsidRPr="001332CC">
                        <w:rPr>
                          <w:rFonts w:ascii="Cambria" w:hAnsi="Cambria" w:cs="Cambria"/>
                          <w:noProof/>
                          <w:color w:val="0D0D0D"/>
                          <w:lang w:val="pt-BR"/>
                        </w:rPr>
                        <w:t xml:space="preserve">JOSÉ RICARDO PARRA HURTADO, FÉLIX ALBERTO PÁEZ SUÁREZ AND THEIR FAMILIES </w:t>
                      </w:r>
                    </w:p>
                    <w:p w:rsidR="007D4440" w:rsidRPr="001332CC" w:rsidRDefault="007D4440" w:rsidP="0010306C">
                      <w:pPr>
                        <w:spacing w:line="276" w:lineRule="auto"/>
                        <w:rPr>
                          <w:rFonts w:ascii="Cambria" w:hAnsi="Cambria" w:cs="Cambria"/>
                          <w:noProof/>
                          <w:color w:val="0D0D0D"/>
                          <w:lang w:val="pt-BR"/>
                        </w:rPr>
                      </w:pPr>
                    </w:p>
                    <w:p w:rsidR="007D4440" w:rsidRPr="002E1E74" w:rsidRDefault="007D4440" w:rsidP="0010306C">
                      <w:pPr>
                        <w:spacing w:line="276" w:lineRule="auto"/>
                        <w:rPr>
                          <w:rFonts w:ascii="Cambria" w:hAnsi="Cambria" w:cs="Cambria"/>
                          <w:noProof/>
                          <w:color w:val="0D0D0D"/>
                        </w:rPr>
                      </w:pPr>
                      <w:r w:rsidRPr="002E1E74">
                        <w:rPr>
                          <w:rFonts w:ascii="Cambria" w:hAnsi="Cambria" w:cs="Cambria"/>
                          <w:noProof/>
                          <w:color w:val="0D0D0D"/>
                        </w:rPr>
                        <w:t>COLOMBIA</w:t>
                      </w:r>
                    </w:p>
                    <w:p w:rsidR="007D4440" w:rsidRPr="002E1E74" w:rsidRDefault="007D4440" w:rsidP="0010306C">
                      <w:pPr>
                        <w:spacing w:line="276" w:lineRule="auto"/>
                        <w:rPr>
                          <w:rFonts w:ascii="Cambria" w:hAnsi="Cambria" w:cs="Cambria"/>
                          <w:noProof/>
                          <w:color w:val="0D0D0D"/>
                        </w:rPr>
                      </w:pP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-371475</wp:posOffset>
                </wp:positionH>
                <wp:positionV relativeFrom="paragraph">
                  <wp:posOffset>127000</wp:posOffset>
                </wp:positionV>
                <wp:extent cx="1334135" cy="1377315"/>
                <wp:effectExtent l="0" t="635" r="0" b="317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137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D4440" w:rsidRPr="001332CC" w:rsidRDefault="007D4440" w:rsidP="0010306C">
                            <w:pPr>
                              <w:jc w:val="right"/>
                              <w:rPr>
                                <w:rFonts w:ascii="Calibri" w:hAnsi="Calibri" w:cs="Calibri"/>
                                <w:noProof/>
                                <w:color w:val="FFFFFF"/>
                                <w:sz w:val="22"/>
                                <w:szCs w:val="22"/>
                                <w:lang w:val="pt-BR"/>
                              </w:rPr>
                            </w:pPr>
                            <w:r w:rsidRPr="001332CC">
                              <w:rPr>
                                <w:rFonts w:ascii="Calibri" w:hAnsi="Calibri" w:cs="Calibri"/>
                                <w:noProof/>
                                <w:color w:val="FFFFFF"/>
                                <w:sz w:val="22"/>
                                <w:szCs w:val="22"/>
                                <w:lang w:val="pt-BR"/>
                              </w:rPr>
                              <w:t>OEA/Ser.L/V/II.16</w:t>
                            </w:r>
                            <w:r w:rsidR="0004703C">
                              <w:rPr>
                                <w:rFonts w:ascii="Calibri" w:hAnsi="Calibri" w:cs="Calibri"/>
                                <w:noProof/>
                                <w:color w:val="FFFFFF"/>
                                <w:sz w:val="22"/>
                                <w:szCs w:val="22"/>
                                <w:lang w:val="pt-BR"/>
                              </w:rPr>
                              <w:t>8</w:t>
                            </w:r>
                          </w:p>
                          <w:p w:rsidR="007D4440" w:rsidRPr="001332CC" w:rsidRDefault="007D4440" w:rsidP="0010306C">
                            <w:pPr>
                              <w:jc w:val="right"/>
                              <w:rPr>
                                <w:rFonts w:ascii="Calibri" w:hAnsi="Calibri" w:cs="Calibri"/>
                                <w:noProof/>
                                <w:color w:val="FFFFFF"/>
                                <w:sz w:val="22"/>
                                <w:szCs w:val="22"/>
                                <w:lang w:val="pt-BR"/>
                              </w:rPr>
                            </w:pPr>
                            <w:r w:rsidRPr="001332CC">
                              <w:rPr>
                                <w:rFonts w:ascii="Calibri" w:hAnsi="Calibri" w:cs="Calibri"/>
                                <w:noProof/>
                                <w:color w:val="FFFFFF"/>
                                <w:sz w:val="22"/>
                                <w:szCs w:val="22"/>
                                <w:lang w:val="pt-BR"/>
                              </w:rPr>
                              <w:t xml:space="preserve">Doc. </w:t>
                            </w:r>
                            <w:r w:rsidR="0004703C">
                              <w:rPr>
                                <w:rFonts w:ascii="Calibri" w:hAnsi="Calibri" w:cs="Calibri"/>
                                <w:noProof/>
                                <w:color w:val="FFFFFF"/>
                                <w:sz w:val="22"/>
                                <w:szCs w:val="22"/>
                                <w:lang w:val="pt-BR"/>
                              </w:rPr>
                              <w:t>49</w:t>
                            </w:r>
                          </w:p>
                          <w:p w:rsidR="007D4440" w:rsidRPr="002E1E74" w:rsidRDefault="007D4440" w:rsidP="0010306C">
                            <w:pPr>
                              <w:jc w:val="right"/>
                              <w:rPr>
                                <w:rFonts w:ascii="Calibri" w:hAnsi="Calibri" w:cs="Calibri"/>
                                <w:noProof/>
                                <w:color w:val="FFFFFF"/>
                                <w:sz w:val="22"/>
                                <w:szCs w:val="22"/>
                              </w:rPr>
                            </w:pPr>
                            <w:r w:rsidRPr="001332CC">
                              <w:rPr>
                                <w:rFonts w:ascii="Calibri" w:hAnsi="Calibri" w:cs="Calibri"/>
                                <w:noProof/>
                                <w:color w:val="FFFFFF"/>
                                <w:sz w:val="22"/>
                                <w:szCs w:val="22"/>
                                <w:lang w:val="pt-BR"/>
                              </w:rPr>
                              <w:t xml:space="preserve"> </w:t>
                            </w:r>
                            <w:r w:rsidR="0054738B">
                              <w:rPr>
                                <w:rFonts w:ascii="Calibri" w:hAnsi="Calibri" w:cs="Calibri"/>
                                <w:noProof/>
                                <w:color w:val="FFFFFF"/>
                                <w:sz w:val="22"/>
                                <w:szCs w:val="22"/>
                                <w:lang w:val="pt-BR"/>
                              </w:rPr>
                              <w:t xml:space="preserve">4 </w:t>
                            </w:r>
                            <w:r w:rsidR="0054738B">
                              <w:rPr>
                                <w:rFonts w:ascii="Calibri" w:hAnsi="Calibri" w:cs="Calibri"/>
                                <w:noProof/>
                                <w:color w:val="FFFFFF"/>
                                <w:sz w:val="22"/>
                                <w:szCs w:val="22"/>
                              </w:rPr>
                              <w:t xml:space="preserve">May </w:t>
                            </w:r>
                            <w:r w:rsidRPr="002E1E74">
                              <w:rPr>
                                <w:rFonts w:ascii="Calibri" w:hAnsi="Calibri" w:cs="Calibri"/>
                                <w:noProof/>
                                <w:color w:val="FFFFFF"/>
                                <w:sz w:val="22"/>
                                <w:szCs w:val="22"/>
                              </w:rPr>
                              <w:t>2018</w:t>
                            </w:r>
                          </w:p>
                          <w:p w:rsidR="007D4440" w:rsidRPr="002E1E74" w:rsidRDefault="007D4440" w:rsidP="0010306C">
                            <w:pPr>
                              <w:jc w:val="right"/>
                              <w:rPr>
                                <w:rFonts w:ascii="Calibri" w:hAnsi="Calibri" w:cs="Calibri"/>
                                <w:noProof/>
                                <w:color w:val="FFFFFF"/>
                                <w:sz w:val="22"/>
                                <w:szCs w:val="22"/>
                              </w:rPr>
                            </w:pPr>
                            <w:r w:rsidRPr="002E1E74">
                              <w:rPr>
                                <w:rFonts w:ascii="Calibri" w:hAnsi="Calibri" w:cs="Calibri"/>
                                <w:noProof/>
                                <w:color w:val="FFFFFF"/>
                                <w:sz w:val="22"/>
                                <w:szCs w:val="22"/>
                              </w:rPr>
                              <w:t xml:space="preserve">Original: </w:t>
                            </w:r>
                            <w:r w:rsidRPr="008906A8">
                              <w:rPr>
                                <w:rFonts w:ascii="Calibri" w:hAnsi="Calibri" w:cs="Calibri"/>
                                <w:noProof/>
                                <w:color w:val="FFFFFF"/>
                                <w:sz w:val="22"/>
                                <w:szCs w:val="22"/>
                              </w:rPr>
                              <w:t>Spanish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29.25pt;margin-top:10pt;width:105.05pt;height:10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" filled="f" stroked="f" strokeweight=".5pt">
                <v:textbox>
                  <w:txbxContent>
                    <w:p w:rsidR="007D4440" w:rsidRPr="001332CC" w:rsidRDefault="007D4440" w:rsidP="0010306C">
                      <w:pPr>
                        <w:jc w:val="right"/>
                        <w:rPr>
                          <w:rFonts w:ascii="Calibri" w:hAnsi="Calibri" w:cs="Calibri"/>
                          <w:noProof/>
                          <w:color w:val="FFFFFF"/>
                          <w:sz w:val="22"/>
                          <w:szCs w:val="22"/>
                          <w:lang w:val="pt-BR"/>
                        </w:rPr>
                      </w:pPr>
                      <w:r w:rsidRPr="001332CC">
                        <w:rPr>
                          <w:rFonts w:ascii="Calibri" w:hAnsi="Calibri" w:cs="Calibri"/>
                          <w:noProof/>
                          <w:color w:val="FFFFFF"/>
                          <w:sz w:val="22"/>
                          <w:szCs w:val="22"/>
                          <w:lang w:val="pt-BR"/>
                        </w:rPr>
                        <w:t>OEA/Ser.L/V/II.16</w:t>
                      </w:r>
                      <w:r w:rsidR="0004703C">
                        <w:rPr>
                          <w:rFonts w:ascii="Calibri" w:hAnsi="Calibri" w:cs="Calibri"/>
                          <w:noProof/>
                          <w:color w:val="FFFFFF"/>
                          <w:sz w:val="22"/>
                          <w:szCs w:val="22"/>
                          <w:lang w:val="pt-BR"/>
                        </w:rPr>
                        <w:t>8</w:t>
                      </w:r>
                    </w:p>
                    <w:p w:rsidR="007D4440" w:rsidRPr="001332CC" w:rsidRDefault="007D4440" w:rsidP="0010306C">
                      <w:pPr>
                        <w:jc w:val="right"/>
                        <w:rPr>
                          <w:rFonts w:ascii="Calibri" w:hAnsi="Calibri" w:cs="Calibri"/>
                          <w:noProof/>
                          <w:color w:val="FFFFFF"/>
                          <w:sz w:val="22"/>
                          <w:szCs w:val="22"/>
                          <w:lang w:val="pt-BR"/>
                        </w:rPr>
                      </w:pPr>
                      <w:r w:rsidRPr="001332CC">
                        <w:rPr>
                          <w:rFonts w:ascii="Calibri" w:hAnsi="Calibri" w:cs="Calibri"/>
                          <w:noProof/>
                          <w:color w:val="FFFFFF"/>
                          <w:sz w:val="22"/>
                          <w:szCs w:val="22"/>
                          <w:lang w:val="pt-BR"/>
                        </w:rPr>
                        <w:t xml:space="preserve">Doc. </w:t>
                      </w:r>
                      <w:r w:rsidR="0004703C">
                        <w:rPr>
                          <w:rFonts w:ascii="Calibri" w:hAnsi="Calibri" w:cs="Calibri"/>
                          <w:noProof/>
                          <w:color w:val="FFFFFF"/>
                          <w:sz w:val="22"/>
                          <w:szCs w:val="22"/>
                          <w:lang w:val="pt-BR"/>
                        </w:rPr>
                        <w:t>49</w:t>
                      </w:r>
                    </w:p>
                    <w:p w:rsidR="007D4440" w:rsidRPr="002E1E74" w:rsidRDefault="007D4440" w:rsidP="0010306C">
                      <w:pPr>
                        <w:jc w:val="right"/>
                        <w:rPr>
                          <w:rFonts w:ascii="Calibri" w:hAnsi="Calibri" w:cs="Calibri"/>
                          <w:noProof/>
                          <w:color w:val="FFFFFF"/>
                          <w:sz w:val="22"/>
                          <w:szCs w:val="22"/>
                        </w:rPr>
                      </w:pPr>
                      <w:r w:rsidRPr="001332CC">
                        <w:rPr>
                          <w:rFonts w:ascii="Calibri" w:hAnsi="Calibri" w:cs="Calibri"/>
                          <w:noProof/>
                          <w:color w:val="FFFFFF"/>
                          <w:sz w:val="22"/>
                          <w:szCs w:val="22"/>
                          <w:lang w:val="pt-BR"/>
                        </w:rPr>
                        <w:t xml:space="preserve"> </w:t>
                      </w:r>
                      <w:r w:rsidR="0054738B">
                        <w:rPr>
                          <w:rFonts w:ascii="Calibri" w:hAnsi="Calibri" w:cs="Calibri"/>
                          <w:noProof/>
                          <w:color w:val="FFFFFF"/>
                          <w:sz w:val="22"/>
                          <w:szCs w:val="22"/>
                          <w:lang w:val="pt-BR"/>
                        </w:rPr>
                        <w:t xml:space="preserve">4 </w:t>
                      </w:r>
                      <w:r w:rsidR="0054738B">
                        <w:rPr>
                          <w:rFonts w:ascii="Calibri" w:hAnsi="Calibri" w:cs="Calibri"/>
                          <w:noProof/>
                          <w:color w:val="FFFFFF"/>
                          <w:sz w:val="22"/>
                          <w:szCs w:val="22"/>
                        </w:rPr>
                        <w:t xml:space="preserve">May </w:t>
                      </w:r>
                      <w:r w:rsidRPr="002E1E74">
                        <w:rPr>
                          <w:rFonts w:ascii="Calibri" w:hAnsi="Calibri" w:cs="Calibri"/>
                          <w:noProof/>
                          <w:color w:val="FFFFFF"/>
                          <w:sz w:val="22"/>
                          <w:szCs w:val="22"/>
                        </w:rPr>
                        <w:t>2018</w:t>
                      </w:r>
                    </w:p>
                    <w:p w:rsidR="007D4440" w:rsidRPr="002E1E74" w:rsidRDefault="007D4440" w:rsidP="0010306C">
                      <w:pPr>
                        <w:jc w:val="right"/>
                        <w:rPr>
                          <w:rFonts w:ascii="Calibri" w:hAnsi="Calibri" w:cs="Calibri"/>
                          <w:noProof/>
                          <w:color w:val="FFFFFF"/>
                          <w:sz w:val="22"/>
                          <w:szCs w:val="22"/>
                        </w:rPr>
                      </w:pPr>
                      <w:r w:rsidRPr="002E1E74">
                        <w:rPr>
                          <w:rFonts w:ascii="Calibri" w:hAnsi="Calibri" w:cs="Calibri"/>
                          <w:noProof/>
                          <w:color w:val="FFFFFF"/>
                          <w:sz w:val="22"/>
                          <w:szCs w:val="22"/>
                        </w:rPr>
                        <w:t xml:space="preserve">Original: </w:t>
                      </w:r>
                      <w:r w:rsidRPr="008906A8">
                        <w:rPr>
                          <w:rFonts w:ascii="Calibri" w:hAnsi="Calibri" w:cs="Calibri"/>
                          <w:noProof/>
                          <w:color w:val="FFFFFF"/>
                          <w:sz w:val="22"/>
                          <w:szCs w:val="22"/>
                        </w:rPr>
                        <w:t>Spanish</w:t>
                      </w:r>
                    </w:p>
                  </w:txbxContent>
                </v:textbox>
              </v:shape>
            </w:pict>
          </mc:Fallback>
        </mc:AlternateContent>
      </w:r>
    </w:p>
    <w:p w:rsidR="007D4440" w:rsidRPr="002E1E74" w:rsidRDefault="007D4440" w:rsidP="0010306C">
      <w:pPr>
        <w:tabs>
          <w:tab w:val="center" w:pos="5400"/>
        </w:tabs>
        <w:suppressAutoHyphens/>
        <w:jc w:val="center"/>
        <w:rPr>
          <w:rFonts w:ascii="Cambria" w:hAnsi="Cambria" w:cs="Cambria"/>
          <w:noProof/>
          <w:sz w:val="22"/>
          <w:szCs w:val="22"/>
        </w:rPr>
      </w:pPr>
    </w:p>
    <w:p w:rsidR="007D4440" w:rsidRPr="002E1E74" w:rsidRDefault="007D4440" w:rsidP="0010306C">
      <w:pPr>
        <w:tabs>
          <w:tab w:val="center" w:pos="5400"/>
        </w:tabs>
        <w:suppressAutoHyphens/>
        <w:jc w:val="center"/>
        <w:rPr>
          <w:rFonts w:ascii="Cambria" w:hAnsi="Cambria" w:cs="Cambria"/>
          <w:noProof/>
          <w:sz w:val="22"/>
          <w:szCs w:val="22"/>
        </w:rPr>
      </w:pPr>
    </w:p>
    <w:p w:rsidR="007D4440" w:rsidRPr="002E1E74" w:rsidRDefault="007D4440" w:rsidP="0010306C">
      <w:pPr>
        <w:tabs>
          <w:tab w:val="center" w:pos="5400"/>
        </w:tabs>
        <w:suppressAutoHyphens/>
        <w:jc w:val="center"/>
        <w:rPr>
          <w:rFonts w:ascii="Cambria" w:hAnsi="Cambria" w:cs="Cambria"/>
          <w:noProof/>
          <w:sz w:val="22"/>
          <w:szCs w:val="22"/>
        </w:rPr>
      </w:pPr>
    </w:p>
    <w:p w:rsidR="007D4440" w:rsidRPr="002E1E74" w:rsidRDefault="007D4440" w:rsidP="0010306C">
      <w:pPr>
        <w:tabs>
          <w:tab w:val="center" w:pos="5400"/>
        </w:tabs>
        <w:suppressAutoHyphens/>
        <w:jc w:val="center"/>
        <w:rPr>
          <w:rFonts w:ascii="Cambria" w:hAnsi="Cambria" w:cs="Cambria"/>
          <w:noProof/>
          <w:sz w:val="22"/>
          <w:szCs w:val="22"/>
        </w:rPr>
      </w:pPr>
    </w:p>
    <w:p w:rsidR="007D4440" w:rsidRPr="002E1E74" w:rsidRDefault="007D4440" w:rsidP="0010306C">
      <w:pPr>
        <w:tabs>
          <w:tab w:val="center" w:pos="5400"/>
        </w:tabs>
        <w:suppressAutoHyphens/>
        <w:jc w:val="center"/>
        <w:rPr>
          <w:rFonts w:ascii="Cambria" w:hAnsi="Cambria" w:cs="Cambria"/>
          <w:noProof/>
          <w:sz w:val="22"/>
          <w:szCs w:val="22"/>
        </w:rPr>
      </w:pPr>
    </w:p>
    <w:p w:rsidR="007D4440" w:rsidRPr="002E1E74" w:rsidRDefault="007D4440" w:rsidP="0010306C">
      <w:pPr>
        <w:tabs>
          <w:tab w:val="center" w:pos="5400"/>
        </w:tabs>
        <w:suppressAutoHyphens/>
        <w:jc w:val="center"/>
        <w:rPr>
          <w:rFonts w:ascii="Cambria" w:hAnsi="Cambria" w:cs="Cambria"/>
          <w:noProof/>
          <w:sz w:val="22"/>
          <w:szCs w:val="22"/>
        </w:rPr>
      </w:pPr>
    </w:p>
    <w:p w:rsidR="007D4440" w:rsidRPr="002E1E74" w:rsidRDefault="007D4440" w:rsidP="0010306C">
      <w:pPr>
        <w:tabs>
          <w:tab w:val="center" w:pos="5400"/>
        </w:tabs>
        <w:suppressAutoHyphens/>
        <w:jc w:val="center"/>
        <w:rPr>
          <w:rFonts w:ascii="Cambria" w:hAnsi="Cambria" w:cs="Cambria"/>
          <w:noProof/>
          <w:sz w:val="22"/>
          <w:szCs w:val="22"/>
        </w:rPr>
      </w:pPr>
    </w:p>
    <w:p w:rsidR="007D4440" w:rsidRPr="002E1E74" w:rsidRDefault="007D4440" w:rsidP="0010306C">
      <w:pPr>
        <w:tabs>
          <w:tab w:val="center" w:pos="5400"/>
        </w:tabs>
        <w:suppressAutoHyphens/>
        <w:jc w:val="center"/>
        <w:rPr>
          <w:rFonts w:ascii="Cambria" w:hAnsi="Cambria" w:cs="Cambria"/>
          <w:noProof/>
          <w:sz w:val="22"/>
          <w:szCs w:val="22"/>
        </w:rPr>
      </w:pPr>
    </w:p>
    <w:p w:rsidR="007D4440" w:rsidRPr="002E1E74" w:rsidRDefault="007D4440" w:rsidP="0010306C">
      <w:pPr>
        <w:tabs>
          <w:tab w:val="center" w:pos="5400"/>
        </w:tabs>
        <w:suppressAutoHyphens/>
        <w:jc w:val="center"/>
        <w:rPr>
          <w:rFonts w:ascii="Cambria" w:hAnsi="Cambria" w:cs="Cambria"/>
          <w:noProof/>
          <w:sz w:val="22"/>
          <w:szCs w:val="22"/>
        </w:rPr>
      </w:pPr>
    </w:p>
    <w:p w:rsidR="007D4440" w:rsidRPr="002E1E74" w:rsidRDefault="007D4440" w:rsidP="0010306C">
      <w:pPr>
        <w:tabs>
          <w:tab w:val="center" w:pos="5400"/>
        </w:tabs>
        <w:suppressAutoHyphens/>
        <w:jc w:val="center"/>
        <w:rPr>
          <w:rFonts w:ascii="Cambria" w:hAnsi="Cambria" w:cs="Cambria"/>
          <w:noProof/>
          <w:sz w:val="22"/>
          <w:szCs w:val="22"/>
        </w:rPr>
      </w:pPr>
    </w:p>
    <w:p w:rsidR="007D4440" w:rsidRPr="002E1E74" w:rsidRDefault="007D4440" w:rsidP="0010306C">
      <w:pPr>
        <w:tabs>
          <w:tab w:val="center" w:pos="5400"/>
        </w:tabs>
        <w:suppressAutoHyphens/>
        <w:jc w:val="center"/>
        <w:rPr>
          <w:rFonts w:ascii="Cambria" w:hAnsi="Cambria" w:cs="Cambria"/>
          <w:noProof/>
          <w:sz w:val="22"/>
          <w:szCs w:val="22"/>
        </w:rPr>
      </w:pPr>
    </w:p>
    <w:p w:rsidR="007D4440" w:rsidRPr="002E1E74" w:rsidRDefault="007D4440" w:rsidP="0010306C">
      <w:pPr>
        <w:tabs>
          <w:tab w:val="center" w:pos="5400"/>
        </w:tabs>
        <w:suppressAutoHyphens/>
        <w:jc w:val="center"/>
        <w:rPr>
          <w:rFonts w:ascii="Cambria" w:hAnsi="Cambria" w:cs="Cambria"/>
          <w:noProof/>
          <w:sz w:val="22"/>
          <w:szCs w:val="22"/>
        </w:rPr>
      </w:pPr>
    </w:p>
    <w:p w:rsidR="007D4440" w:rsidRPr="002E1E74" w:rsidRDefault="007D4440" w:rsidP="0010306C">
      <w:pPr>
        <w:tabs>
          <w:tab w:val="center" w:pos="5400"/>
        </w:tabs>
        <w:suppressAutoHyphens/>
        <w:jc w:val="center"/>
        <w:rPr>
          <w:rFonts w:ascii="Cambria" w:hAnsi="Cambria" w:cs="Cambria"/>
          <w:noProof/>
          <w:sz w:val="22"/>
          <w:szCs w:val="22"/>
        </w:rPr>
      </w:pPr>
    </w:p>
    <w:p w:rsidR="007D4440" w:rsidRPr="002E1E74" w:rsidRDefault="007D4440" w:rsidP="0010306C">
      <w:pPr>
        <w:tabs>
          <w:tab w:val="center" w:pos="5400"/>
        </w:tabs>
        <w:suppressAutoHyphens/>
        <w:jc w:val="center"/>
        <w:rPr>
          <w:rFonts w:ascii="Cambria" w:hAnsi="Cambria" w:cs="Cambria"/>
          <w:noProof/>
          <w:sz w:val="18"/>
          <w:szCs w:val="18"/>
        </w:rPr>
      </w:pPr>
    </w:p>
    <w:p w:rsidR="007D4440" w:rsidRPr="002E1E74" w:rsidRDefault="007D4440" w:rsidP="0010306C">
      <w:pPr>
        <w:tabs>
          <w:tab w:val="center" w:pos="5400"/>
        </w:tabs>
        <w:suppressAutoHyphens/>
        <w:jc w:val="center"/>
        <w:rPr>
          <w:rFonts w:ascii="Cambria" w:hAnsi="Cambria" w:cs="Cambria"/>
          <w:noProof/>
          <w:sz w:val="18"/>
          <w:szCs w:val="18"/>
        </w:rPr>
      </w:pPr>
    </w:p>
    <w:p w:rsidR="007D4440" w:rsidRPr="002E1E74" w:rsidRDefault="007D4440" w:rsidP="0010306C">
      <w:pPr>
        <w:tabs>
          <w:tab w:val="center" w:pos="5400"/>
        </w:tabs>
        <w:suppressAutoHyphens/>
        <w:jc w:val="center"/>
        <w:rPr>
          <w:rFonts w:ascii="Cambria" w:hAnsi="Cambria" w:cs="Cambria"/>
          <w:noProof/>
          <w:sz w:val="18"/>
          <w:szCs w:val="18"/>
        </w:rPr>
      </w:pPr>
    </w:p>
    <w:p w:rsidR="007D4440" w:rsidRPr="002E1E74" w:rsidRDefault="007D4440" w:rsidP="0010306C">
      <w:pPr>
        <w:tabs>
          <w:tab w:val="center" w:pos="5400"/>
        </w:tabs>
        <w:suppressAutoHyphens/>
        <w:jc w:val="center"/>
        <w:rPr>
          <w:rFonts w:ascii="Cambria" w:hAnsi="Cambria" w:cs="Cambria"/>
          <w:noProof/>
          <w:sz w:val="18"/>
          <w:szCs w:val="18"/>
        </w:rPr>
      </w:pPr>
    </w:p>
    <w:p w:rsidR="007D4440" w:rsidRPr="002E1E74" w:rsidRDefault="007D4440" w:rsidP="0010306C">
      <w:pPr>
        <w:tabs>
          <w:tab w:val="center" w:pos="5400"/>
        </w:tabs>
        <w:suppressAutoHyphens/>
        <w:jc w:val="center"/>
        <w:rPr>
          <w:rFonts w:ascii="Cambria" w:hAnsi="Cambria" w:cs="Cambria"/>
          <w:noProof/>
          <w:sz w:val="18"/>
          <w:szCs w:val="18"/>
        </w:rPr>
      </w:pPr>
    </w:p>
    <w:p w:rsidR="007D4440" w:rsidRPr="002E1E74" w:rsidRDefault="007D4440" w:rsidP="0010306C">
      <w:pPr>
        <w:tabs>
          <w:tab w:val="center" w:pos="5400"/>
        </w:tabs>
        <w:suppressAutoHyphens/>
        <w:jc w:val="center"/>
        <w:rPr>
          <w:rFonts w:ascii="Cambria" w:hAnsi="Cambria" w:cs="Cambria"/>
          <w:noProof/>
          <w:sz w:val="18"/>
          <w:szCs w:val="18"/>
        </w:rPr>
      </w:pPr>
    </w:p>
    <w:p w:rsidR="007D4440" w:rsidRPr="002E1E74" w:rsidRDefault="007D4440" w:rsidP="0010306C">
      <w:pPr>
        <w:tabs>
          <w:tab w:val="center" w:pos="5400"/>
        </w:tabs>
        <w:suppressAutoHyphens/>
        <w:jc w:val="center"/>
        <w:rPr>
          <w:rFonts w:ascii="Cambria" w:hAnsi="Cambria" w:cs="Cambria"/>
          <w:noProof/>
          <w:sz w:val="18"/>
          <w:szCs w:val="18"/>
        </w:rPr>
      </w:pPr>
    </w:p>
    <w:p w:rsidR="007D4440" w:rsidRPr="002E1E74" w:rsidRDefault="007D4440" w:rsidP="0010306C">
      <w:pPr>
        <w:tabs>
          <w:tab w:val="center" w:pos="5400"/>
        </w:tabs>
        <w:suppressAutoHyphens/>
        <w:jc w:val="center"/>
        <w:rPr>
          <w:rFonts w:ascii="Cambria" w:hAnsi="Cambria" w:cs="Cambria"/>
          <w:noProof/>
          <w:sz w:val="18"/>
          <w:szCs w:val="18"/>
        </w:rPr>
      </w:pPr>
    </w:p>
    <w:p w:rsidR="007D4440" w:rsidRPr="002E1E74" w:rsidRDefault="007D4440" w:rsidP="0010306C">
      <w:pPr>
        <w:tabs>
          <w:tab w:val="center" w:pos="5400"/>
        </w:tabs>
        <w:suppressAutoHyphens/>
        <w:jc w:val="center"/>
        <w:rPr>
          <w:rFonts w:ascii="Cambria" w:hAnsi="Cambria" w:cs="Cambria"/>
          <w:noProof/>
          <w:sz w:val="18"/>
          <w:szCs w:val="18"/>
        </w:rPr>
      </w:pPr>
    </w:p>
    <w:p w:rsidR="007D4440" w:rsidRPr="002E1E74" w:rsidRDefault="007D4440" w:rsidP="0010306C">
      <w:pPr>
        <w:tabs>
          <w:tab w:val="center" w:pos="5400"/>
        </w:tabs>
        <w:suppressAutoHyphens/>
        <w:jc w:val="center"/>
        <w:rPr>
          <w:rFonts w:ascii="Cambria" w:hAnsi="Cambria" w:cs="Cambria"/>
          <w:noProof/>
          <w:sz w:val="18"/>
          <w:szCs w:val="18"/>
        </w:rPr>
      </w:pPr>
    </w:p>
    <w:p w:rsidR="007D4440" w:rsidRPr="002E1E74" w:rsidRDefault="007D4440" w:rsidP="0010306C">
      <w:pPr>
        <w:tabs>
          <w:tab w:val="center" w:pos="5400"/>
        </w:tabs>
        <w:suppressAutoHyphens/>
        <w:jc w:val="center"/>
        <w:rPr>
          <w:rFonts w:ascii="Cambria" w:hAnsi="Cambria" w:cs="Cambria"/>
          <w:noProof/>
          <w:sz w:val="18"/>
          <w:szCs w:val="18"/>
        </w:rPr>
      </w:pPr>
    </w:p>
    <w:p w:rsidR="007D4440" w:rsidRPr="002E1E74" w:rsidRDefault="007D4440" w:rsidP="0010306C">
      <w:pPr>
        <w:tabs>
          <w:tab w:val="center" w:pos="5400"/>
        </w:tabs>
        <w:suppressAutoHyphens/>
        <w:jc w:val="center"/>
        <w:rPr>
          <w:rFonts w:ascii="Cambria" w:hAnsi="Cambria" w:cs="Cambria"/>
          <w:noProof/>
          <w:sz w:val="18"/>
          <w:szCs w:val="18"/>
        </w:rPr>
      </w:pPr>
    </w:p>
    <w:p w:rsidR="007D4440" w:rsidRPr="002E1E74" w:rsidRDefault="00740DEF" w:rsidP="0010306C">
      <w:pPr>
        <w:tabs>
          <w:tab w:val="center" w:pos="5400"/>
        </w:tabs>
        <w:suppressAutoHyphens/>
        <w:jc w:val="center"/>
        <w:rPr>
          <w:rFonts w:ascii="Cambria" w:hAnsi="Cambria" w:cs="Cambria"/>
          <w:noProof/>
          <w:sz w:val="18"/>
          <w:szCs w:val="18"/>
        </w:rPr>
      </w:pPr>
      <w:r>
        <w:rPr>
          <w:noProof/>
        </w:rPr>
        <mc:AlternateContent>
          <mc:Choice Requires="wps">
            <w:drawing>
              <wp:anchor distT="0" distB="0" distL="114300" distR="114300" simplePos="0" relativeHeight="251656704" behindDoc="0" locked="0" layoutInCell="1" allowOverlap="1">
                <wp:simplePos x="0" y="0"/>
                <wp:positionH relativeFrom="column">
                  <wp:posOffset>1207135</wp:posOffset>
                </wp:positionH>
                <wp:positionV relativeFrom="paragraph">
                  <wp:posOffset>67945</wp:posOffset>
                </wp:positionV>
                <wp:extent cx="4595495" cy="504825"/>
                <wp:effectExtent l="0" t="381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549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D4440" w:rsidRPr="002E1E74" w:rsidRDefault="007D4440" w:rsidP="0010306C">
                            <w:pPr>
                              <w:tabs>
                                <w:tab w:val="center" w:pos="5400"/>
                              </w:tabs>
                              <w:suppressAutoHyphens/>
                              <w:spacing w:before="60"/>
                              <w:rPr>
                                <w:rFonts w:ascii="Cambria" w:hAnsi="Cambria" w:cs="Cambria"/>
                                <w:noProof/>
                                <w:color w:val="0D0D0D"/>
                                <w:sz w:val="18"/>
                                <w:szCs w:val="18"/>
                              </w:rPr>
                            </w:pPr>
                            <w:r w:rsidRPr="002E1E74">
                              <w:rPr>
                                <w:rFonts w:ascii="Cambria" w:hAnsi="Cambria" w:cs="Cambria"/>
                                <w:noProof/>
                                <w:color w:val="0D0D0D"/>
                                <w:sz w:val="18"/>
                                <w:szCs w:val="18"/>
                              </w:rPr>
                              <w:t xml:space="preserve">Approved by the Commission at its session No. </w:t>
                            </w:r>
                            <w:r w:rsidR="0004703C">
                              <w:rPr>
                                <w:rFonts w:ascii="Cambria" w:hAnsi="Cambria" w:cs="Cambria"/>
                                <w:noProof/>
                                <w:color w:val="0D0D0D"/>
                                <w:sz w:val="18"/>
                                <w:szCs w:val="18"/>
                              </w:rPr>
                              <w:t>2126</w:t>
                            </w:r>
                            <w:r w:rsidRPr="002E1E74">
                              <w:rPr>
                                <w:rFonts w:ascii="Cambria" w:hAnsi="Cambria" w:cs="Cambria"/>
                                <w:noProof/>
                                <w:color w:val="0D0D0D"/>
                                <w:sz w:val="18"/>
                                <w:szCs w:val="18"/>
                              </w:rPr>
                              <w:t xml:space="preserve"> held on </w:t>
                            </w:r>
                            <w:r w:rsidR="0004703C">
                              <w:rPr>
                                <w:rFonts w:ascii="Cambria" w:hAnsi="Cambria" w:cs="Cambria"/>
                                <w:noProof/>
                                <w:color w:val="0D0D0D"/>
                                <w:sz w:val="18"/>
                                <w:szCs w:val="18"/>
                              </w:rPr>
                              <w:t>May 4</w:t>
                            </w:r>
                            <w:r w:rsidRPr="002E1E74">
                              <w:rPr>
                                <w:rFonts w:ascii="Cambria" w:hAnsi="Cambria" w:cs="Cambria"/>
                                <w:noProof/>
                                <w:color w:val="0D0D0D"/>
                                <w:sz w:val="18"/>
                                <w:szCs w:val="18"/>
                              </w:rPr>
                              <w:t>, 2018</w:t>
                            </w:r>
                            <w:r w:rsidRPr="002E1E74">
                              <w:rPr>
                                <w:rFonts w:ascii="Cambria" w:hAnsi="Cambria" w:cs="Cambria"/>
                                <w:noProof/>
                                <w:color w:val="0D0D0D"/>
                                <w:sz w:val="18"/>
                                <w:szCs w:val="18"/>
                              </w:rPr>
                              <w:br/>
                              <w:t>1</w:t>
                            </w:r>
                            <w:r w:rsidR="0004703C">
                              <w:rPr>
                                <w:rFonts w:ascii="Cambria" w:hAnsi="Cambria" w:cs="Cambria"/>
                                <w:noProof/>
                                <w:color w:val="0D0D0D"/>
                                <w:sz w:val="18"/>
                                <w:szCs w:val="18"/>
                              </w:rPr>
                              <w:t>68</w:t>
                            </w:r>
                            <w:r w:rsidRPr="002E1E74">
                              <w:rPr>
                                <w:rFonts w:ascii="Cambria" w:hAnsi="Cambria" w:cs="Cambria"/>
                                <w:noProof/>
                                <w:sz w:val="18"/>
                                <w:szCs w:val="18"/>
                                <w:vertAlign w:val="superscript"/>
                              </w:rPr>
                              <w:t>th</w:t>
                            </w:r>
                            <w:r w:rsidRPr="002E1E74">
                              <w:rPr>
                                <w:rFonts w:ascii="Cambria" w:hAnsi="Cambria" w:cs="Cambria"/>
                                <w:noProof/>
                                <w:color w:val="0D0D0D"/>
                                <w:sz w:val="18"/>
                                <w:szCs w:val="18"/>
                              </w:rPr>
                              <w:t xml:space="preserve"> </w:t>
                            </w:r>
                            <w:r w:rsidR="0004703C">
                              <w:rPr>
                                <w:rFonts w:ascii="Cambria" w:hAnsi="Cambria" w:cs="Cambria"/>
                                <w:noProof/>
                                <w:color w:val="0D0D0D"/>
                                <w:sz w:val="18"/>
                                <w:szCs w:val="18"/>
                              </w:rPr>
                              <w:t>Special</w:t>
                            </w:r>
                            <w:r w:rsidRPr="002E1E74">
                              <w:rPr>
                                <w:rFonts w:ascii="Cambria" w:hAnsi="Cambria" w:cs="Cambria"/>
                                <w:noProof/>
                                <w:color w:val="0D0D0D"/>
                                <w:sz w:val="18"/>
                                <w:szCs w:val="18"/>
                              </w:rPr>
                              <w:t xml:space="preserve"> Period of Sessions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95.05pt;margin-top:5.35pt;width:361.85pt;height: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A/2tw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" filled="f" stroked="f" strokeweight=".5pt">
                <v:textbox>
                  <w:txbxContent>
                    <w:p w:rsidR="007D4440" w:rsidRPr="002E1E74" w:rsidRDefault="007D4440" w:rsidP="0010306C">
                      <w:pPr>
                        <w:tabs>
                          <w:tab w:val="center" w:pos="5400"/>
                        </w:tabs>
                        <w:suppressAutoHyphens/>
                        <w:spacing w:before="60"/>
                        <w:rPr>
                          <w:rFonts w:ascii="Cambria" w:hAnsi="Cambria" w:cs="Cambria"/>
                          <w:noProof/>
                          <w:color w:val="0D0D0D"/>
                          <w:sz w:val="18"/>
                          <w:szCs w:val="18"/>
                        </w:rPr>
                      </w:pPr>
                      <w:r w:rsidRPr="002E1E74">
                        <w:rPr>
                          <w:rFonts w:ascii="Cambria" w:hAnsi="Cambria" w:cs="Cambria"/>
                          <w:noProof/>
                          <w:color w:val="0D0D0D"/>
                          <w:sz w:val="18"/>
                          <w:szCs w:val="18"/>
                        </w:rPr>
                        <w:t xml:space="preserve">Approved by the Commission at its session No. </w:t>
                      </w:r>
                      <w:r w:rsidR="0004703C">
                        <w:rPr>
                          <w:rFonts w:ascii="Cambria" w:hAnsi="Cambria" w:cs="Cambria"/>
                          <w:noProof/>
                          <w:color w:val="0D0D0D"/>
                          <w:sz w:val="18"/>
                          <w:szCs w:val="18"/>
                        </w:rPr>
                        <w:t>2126</w:t>
                      </w:r>
                      <w:r w:rsidRPr="002E1E74">
                        <w:rPr>
                          <w:rFonts w:ascii="Cambria" w:hAnsi="Cambria" w:cs="Cambria"/>
                          <w:noProof/>
                          <w:color w:val="0D0D0D"/>
                          <w:sz w:val="18"/>
                          <w:szCs w:val="18"/>
                        </w:rPr>
                        <w:t xml:space="preserve"> held on </w:t>
                      </w:r>
                      <w:r w:rsidR="0004703C">
                        <w:rPr>
                          <w:rFonts w:ascii="Cambria" w:hAnsi="Cambria" w:cs="Cambria"/>
                          <w:noProof/>
                          <w:color w:val="0D0D0D"/>
                          <w:sz w:val="18"/>
                          <w:szCs w:val="18"/>
                        </w:rPr>
                        <w:t>May 4</w:t>
                      </w:r>
                      <w:r w:rsidRPr="002E1E74">
                        <w:rPr>
                          <w:rFonts w:ascii="Cambria" w:hAnsi="Cambria" w:cs="Cambria"/>
                          <w:noProof/>
                          <w:color w:val="0D0D0D"/>
                          <w:sz w:val="18"/>
                          <w:szCs w:val="18"/>
                        </w:rPr>
                        <w:t>, 2018</w:t>
                      </w:r>
                      <w:r w:rsidRPr="002E1E74">
                        <w:rPr>
                          <w:rFonts w:ascii="Cambria" w:hAnsi="Cambria" w:cs="Cambria"/>
                          <w:noProof/>
                          <w:color w:val="0D0D0D"/>
                          <w:sz w:val="18"/>
                          <w:szCs w:val="18"/>
                        </w:rPr>
                        <w:br/>
                        <w:t>1</w:t>
                      </w:r>
                      <w:r w:rsidR="0004703C">
                        <w:rPr>
                          <w:rFonts w:ascii="Cambria" w:hAnsi="Cambria" w:cs="Cambria"/>
                          <w:noProof/>
                          <w:color w:val="0D0D0D"/>
                          <w:sz w:val="18"/>
                          <w:szCs w:val="18"/>
                        </w:rPr>
                        <w:t>68</w:t>
                      </w:r>
                      <w:r w:rsidRPr="002E1E74">
                        <w:rPr>
                          <w:rFonts w:ascii="Cambria" w:hAnsi="Cambria" w:cs="Cambria"/>
                          <w:noProof/>
                          <w:sz w:val="18"/>
                          <w:szCs w:val="18"/>
                          <w:vertAlign w:val="superscript"/>
                        </w:rPr>
                        <w:t>th</w:t>
                      </w:r>
                      <w:r w:rsidRPr="002E1E74">
                        <w:rPr>
                          <w:rFonts w:ascii="Cambria" w:hAnsi="Cambria" w:cs="Cambria"/>
                          <w:noProof/>
                          <w:color w:val="0D0D0D"/>
                          <w:sz w:val="18"/>
                          <w:szCs w:val="18"/>
                        </w:rPr>
                        <w:t xml:space="preserve"> </w:t>
                      </w:r>
                      <w:r w:rsidR="0004703C">
                        <w:rPr>
                          <w:rFonts w:ascii="Cambria" w:hAnsi="Cambria" w:cs="Cambria"/>
                          <w:noProof/>
                          <w:color w:val="0D0D0D"/>
                          <w:sz w:val="18"/>
                          <w:szCs w:val="18"/>
                        </w:rPr>
                        <w:t>Special</w:t>
                      </w:r>
                      <w:r w:rsidRPr="002E1E74">
                        <w:rPr>
                          <w:rFonts w:ascii="Cambria" w:hAnsi="Cambria" w:cs="Cambria"/>
                          <w:noProof/>
                          <w:color w:val="0D0D0D"/>
                          <w:sz w:val="18"/>
                          <w:szCs w:val="18"/>
                        </w:rPr>
                        <w:t xml:space="preserve"> Period of Sessions</w:t>
                      </w:r>
                    </w:p>
                  </w:txbxContent>
                </v:textbox>
              </v:shape>
            </w:pict>
          </mc:Fallback>
        </mc:AlternateContent>
      </w:r>
    </w:p>
    <w:p w:rsidR="007D4440" w:rsidRPr="002E1E74" w:rsidRDefault="007D4440" w:rsidP="0010306C">
      <w:pPr>
        <w:tabs>
          <w:tab w:val="center" w:pos="5400"/>
        </w:tabs>
        <w:suppressAutoHyphens/>
        <w:jc w:val="center"/>
        <w:rPr>
          <w:rFonts w:ascii="Cambria" w:hAnsi="Cambria" w:cs="Cambria"/>
          <w:noProof/>
          <w:sz w:val="18"/>
          <w:szCs w:val="18"/>
        </w:rPr>
      </w:pPr>
    </w:p>
    <w:p w:rsidR="007D4440" w:rsidRPr="002E1E74" w:rsidRDefault="007D4440" w:rsidP="0010306C">
      <w:pPr>
        <w:tabs>
          <w:tab w:val="center" w:pos="5400"/>
        </w:tabs>
        <w:suppressAutoHyphens/>
        <w:jc w:val="center"/>
        <w:rPr>
          <w:rFonts w:ascii="Cambria" w:hAnsi="Cambria" w:cs="Cambria"/>
          <w:noProof/>
          <w:sz w:val="18"/>
          <w:szCs w:val="18"/>
        </w:rPr>
      </w:pPr>
    </w:p>
    <w:p w:rsidR="007D4440" w:rsidRPr="002E1E74" w:rsidRDefault="007D4440" w:rsidP="0010306C">
      <w:pPr>
        <w:tabs>
          <w:tab w:val="center" w:pos="5400"/>
        </w:tabs>
        <w:suppressAutoHyphens/>
        <w:jc w:val="center"/>
        <w:rPr>
          <w:rFonts w:ascii="Cambria" w:hAnsi="Cambria" w:cs="Cambria"/>
          <w:noProof/>
          <w:sz w:val="18"/>
          <w:szCs w:val="18"/>
        </w:rPr>
      </w:pPr>
    </w:p>
    <w:p w:rsidR="007D4440" w:rsidRPr="002E1E74" w:rsidRDefault="007D4440" w:rsidP="0010306C">
      <w:pPr>
        <w:tabs>
          <w:tab w:val="center" w:pos="5400"/>
        </w:tabs>
        <w:suppressAutoHyphens/>
        <w:jc w:val="center"/>
        <w:rPr>
          <w:rFonts w:ascii="Cambria" w:hAnsi="Cambria" w:cs="Cambria"/>
          <w:noProof/>
          <w:sz w:val="18"/>
          <w:szCs w:val="18"/>
        </w:rPr>
      </w:pPr>
    </w:p>
    <w:p w:rsidR="007D4440" w:rsidRPr="002E1E74" w:rsidRDefault="00740DEF" w:rsidP="0010306C">
      <w:pPr>
        <w:tabs>
          <w:tab w:val="center" w:pos="5400"/>
        </w:tabs>
        <w:suppressAutoHyphens/>
        <w:jc w:val="center"/>
        <w:rPr>
          <w:rFonts w:ascii="Cambria" w:hAnsi="Cambria" w:cs="Cambria"/>
          <w:noProof/>
          <w:sz w:val="18"/>
          <w:szCs w:val="18"/>
        </w:rPr>
      </w:pPr>
      <w:r>
        <w:rPr>
          <w:noProof/>
        </w:rPr>
        <mc:AlternateContent>
          <mc:Choice Requires="wps">
            <w:drawing>
              <wp:anchor distT="0" distB="0" distL="114300" distR="114300" simplePos="0" relativeHeight="251659776" behindDoc="0" locked="0" layoutInCell="1" allowOverlap="1">
                <wp:simplePos x="0" y="0"/>
                <wp:positionH relativeFrom="column">
                  <wp:posOffset>1143000</wp:posOffset>
                </wp:positionH>
                <wp:positionV relativeFrom="paragraph">
                  <wp:posOffset>-5715</wp:posOffset>
                </wp:positionV>
                <wp:extent cx="4824095" cy="609600"/>
                <wp:effectExtent l="0"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409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D4440" w:rsidRPr="002E1E74" w:rsidRDefault="007D4440" w:rsidP="0010306C">
                            <w:pPr>
                              <w:spacing w:line="276" w:lineRule="auto"/>
                              <w:rPr>
                                <w:rFonts w:ascii="Cambria" w:hAnsi="Cambria" w:cs="Cambria"/>
                                <w:noProof/>
                                <w:color w:val="595959"/>
                                <w:sz w:val="18"/>
                                <w:szCs w:val="18"/>
                              </w:rPr>
                            </w:pPr>
                            <w:r w:rsidRPr="002E1E74">
                              <w:rPr>
                                <w:rFonts w:ascii="Cambria" w:hAnsi="Cambria" w:cs="Cambria"/>
                                <w:b/>
                                <w:bCs/>
                                <w:noProof/>
                                <w:color w:val="595959"/>
                                <w:sz w:val="18"/>
                                <w:szCs w:val="18"/>
                              </w:rPr>
                              <w:t xml:space="preserve">Cite as: </w:t>
                            </w:r>
                            <w:r w:rsidRPr="002E1E74">
                              <w:rPr>
                                <w:rFonts w:ascii="Cambria" w:hAnsi="Cambria" w:cs="Cambria"/>
                                <w:noProof/>
                                <w:color w:val="595959"/>
                                <w:sz w:val="18"/>
                                <w:szCs w:val="18"/>
                              </w:rPr>
                              <w:t xml:space="preserve">IACHR, Report No. </w:t>
                            </w:r>
                            <w:r w:rsidR="0004703C">
                              <w:rPr>
                                <w:rFonts w:ascii="Cambria" w:hAnsi="Cambria" w:cs="Cambria"/>
                                <w:noProof/>
                                <w:color w:val="595959"/>
                                <w:sz w:val="18"/>
                                <w:szCs w:val="18"/>
                              </w:rPr>
                              <w:t>39</w:t>
                            </w:r>
                            <w:r w:rsidRPr="002E1E74">
                              <w:rPr>
                                <w:rFonts w:ascii="Cambria" w:hAnsi="Cambria" w:cs="Cambria"/>
                                <w:noProof/>
                                <w:color w:val="595959"/>
                                <w:sz w:val="18"/>
                                <w:szCs w:val="18"/>
                              </w:rPr>
                              <w:t>/1</w:t>
                            </w:r>
                            <w:r w:rsidR="001332CC">
                              <w:rPr>
                                <w:rFonts w:ascii="Cambria" w:hAnsi="Cambria" w:cs="Cambria"/>
                                <w:noProof/>
                                <w:color w:val="595959"/>
                                <w:sz w:val="18"/>
                                <w:szCs w:val="18"/>
                              </w:rPr>
                              <w:t>8</w:t>
                            </w:r>
                            <w:r w:rsidRPr="002E1E74">
                              <w:rPr>
                                <w:rFonts w:ascii="Cambria" w:hAnsi="Cambria" w:cs="Cambria"/>
                                <w:noProof/>
                                <w:color w:val="595959"/>
                                <w:sz w:val="18"/>
                                <w:szCs w:val="18"/>
                              </w:rPr>
                              <w:t>, Petition 196/07. Admissibility. José Ricardo Parra Hurtado, Félix Alberto</w:t>
                            </w:r>
                            <w:r w:rsidR="001332CC">
                              <w:rPr>
                                <w:rFonts w:ascii="Cambria" w:hAnsi="Cambria" w:cs="Cambria"/>
                                <w:noProof/>
                                <w:color w:val="595959"/>
                                <w:sz w:val="18"/>
                                <w:szCs w:val="18"/>
                              </w:rPr>
                              <w:t xml:space="preserve"> Páez Suárez</w:t>
                            </w:r>
                            <w:r w:rsidRPr="002E1E74">
                              <w:rPr>
                                <w:rFonts w:ascii="Cambria" w:hAnsi="Cambria" w:cs="Cambria"/>
                                <w:noProof/>
                                <w:color w:val="595959"/>
                                <w:sz w:val="18"/>
                                <w:szCs w:val="18"/>
                              </w:rPr>
                              <w:t xml:space="preserve"> and their families. Colombia. </w:t>
                            </w:r>
                            <w:r w:rsidR="0004703C">
                              <w:rPr>
                                <w:rFonts w:ascii="Cambria" w:hAnsi="Cambria" w:cs="Cambria"/>
                                <w:noProof/>
                                <w:color w:val="595959"/>
                                <w:sz w:val="18"/>
                                <w:szCs w:val="18"/>
                              </w:rPr>
                              <w:t>May 4, 2018</w:t>
                            </w:r>
                            <w:r w:rsidRPr="002E1E74">
                              <w:rPr>
                                <w:rFonts w:ascii="Cambria" w:hAnsi="Cambria" w:cs="Cambria"/>
                                <w:noProof/>
                                <w:color w:val="595959"/>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90pt;margin-top:-.45pt;width:379.85pt;height: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" filled="f" stroked="f" strokeweight=".5pt">
                <v:textbox>
                  <w:txbxContent>
                    <w:p w:rsidR="007D4440" w:rsidRPr="002E1E74" w:rsidRDefault="007D4440" w:rsidP="0010306C">
                      <w:pPr>
                        <w:spacing w:line="276" w:lineRule="auto"/>
                        <w:rPr>
                          <w:rFonts w:ascii="Cambria" w:hAnsi="Cambria" w:cs="Cambria"/>
                          <w:noProof/>
                          <w:color w:val="595959"/>
                          <w:sz w:val="18"/>
                          <w:szCs w:val="18"/>
                        </w:rPr>
                      </w:pPr>
                      <w:r w:rsidRPr="002E1E74">
                        <w:rPr>
                          <w:rFonts w:ascii="Cambria" w:hAnsi="Cambria" w:cs="Cambria"/>
                          <w:b/>
                          <w:bCs/>
                          <w:noProof/>
                          <w:color w:val="595959"/>
                          <w:sz w:val="18"/>
                          <w:szCs w:val="18"/>
                        </w:rPr>
                        <w:t xml:space="preserve">Cite as: </w:t>
                      </w:r>
                      <w:r w:rsidRPr="002E1E74">
                        <w:rPr>
                          <w:rFonts w:ascii="Cambria" w:hAnsi="Cambria" w:cs="Cambria"/>
                          <w:noProof/>
                          <w:color w:val="595959"/>
                          <w:sz w:val="18"/>
                          <w:szCs w:val="18"/>
                        </w:rPr>
                        <w:t xml:space="preserve">IACHR, Report No. </w:t>
                      </w:r>
                      <w:r w:rsidR="0004703C">
                        <w:rPr>
                          <w:rFonts w:ascii="Cambria" w:hAnsi="Cambria" w:cs="Cambria"/>
                          <w:noProof/>
                          <w:color w:val="595959"/>
                          <w:sz w:val="18"/>
                          <w:szCs w:val="18"/>
                        </w:rPr>
                        <w:t>39</w:t>
                      </w:r>
                      <w:r w:rsidRPr="002E1E74">
                        <w:rPr>
                          <w:rFonts w:ascii="Cambria" w:hAnsi="Cambria" w:cs="Cambria"/>
                          <w:noProof/>
                          <w:color w:val="595959"/>
                          <w:sz w:val="18"/>
                          <w:szCs w:val="18"/>
                        </w:rPr>
                        <w:t>/1</w:t>
                      </w:r>
                      <w:r w:rsidR="001332CC">
                        <w:rPr>
                          <w:rFonts w:ascii="Cambria" w:hAnsi="Cambria" w:cs="Cambria"/>
                          <w:noProof/>
                          <w:color w:val="595959"/>
                          <w:sz w:val="18"/>
                          <w:szCs w:val="18"/>
                        </w:rPr>
                        <w:t>8</w:t>
                      </w:r>
                      <w:r w:rsidRPr="002E1E74">
                        <w:rPr>
                          <w:rFonts w:ascii="Cambria" w:hAnsi="Cambria" w:cs="Cambria"/>
                          <w:noProof/>
                          <w:color w:val="595959"/>
                          <w:sz w:val="18"/>
                          <w:szCs w:val="18"/>
                        </w:rPr>
                        <w:t>, Petition 196/07. Admissibility. José Ricardo Parra Hurtado, Félix Alberto</w:t>
                      </w:r>
                      <w:r w:rsidR="001332CC">
                        <w:rPr>
                          <w:rFonts w:ascii="Cambria" w:hAnsi="Cambria" w:cs="Cambria"/>
                          <w:noProof/>
                          <w:color w:val="595959"/>
                          <w:sz w:val="18"/>
                          <w:szCs w:val="18"/>
                        </w:rPr>
                        <w:t xml:space="preserve"> Páez Suárez</w:t>
                      </w:r>
                      <w:r w:rsidRPr="002E1E74">
                        <w:rPr>
                          <w:rFonts w:ascii="Cambria" w:hAnsi="Cambria" w:cs="Cambria"/>
                          <w:noProof/>
                          <w:color w:val="595959"/>
                          <w:sz w:val="18"/>
                          <w:szCs w:val="18"/>
                        </w:rPr>
                        <w:t xml:space="preserve"> and their families. Colombia. </w:t>
                      </w:r>
                      <w:r w:rsidR="0004703C">
                        <w:rPr>
                          <w:rFonts w:ascii="Cambria" w:hAnsi="Cambria" w:cs="Cambria"/>
                          <w:noProof/>
                          <w:color w:val="595959"/>
                          <w:sz w:val="18"/>
                          <w:szCs w:val="18"/>
                        </w:rPr>
                        <w:t>May 4, 2018</w:t>
                      </w:r>
                      <w:r w:rsidRPr="002E1E74">
                        <w:rPr>
                          <w:rFonts w:ascii="Cambria" w:hAnsi="Cambria" w:cs="Cambria"/>
                          <w:noProof/>
                          <w:color w:val="595959"/>
                          <w:sz w:val="18"/>
                          <w:szCs w:val="18"/>
                        </w:rPr>
                        <w:t>.</w:t>
                      </w:r>
                    </w:p>
                  </w:txbxContent>
                </v:textbox>
              </v:shape>
            </w:pict>
          </mc:Fallback>
        </mc:AlternateContent>
      </w:r>
    </w:p>
    <w:p w:rsidR="007D4440" w:rsidRPr="002E1E74" w:rsidRDefault="007D4440" w:rsidP="0010306C">
      <w:pPr>
        <w:tabs>
          <w:tab w:val="center" w:pos="5400"/>
        </w:tabs>
        <w:suppressAutoHyphens/>
        <w:jc w:val="center"/>
        <w:rPr>
          <w:rFonts w:ascii="Cambria" w:hAnsi="Cambria" w:cs="Cambria"/>
          <w:noProof/>
          <w:sz w:val="18"/>
          <w:szCs w:val="18"/>
        </w:rPr>
      </w:pPr>
    </w:p>
    <w:p w:rsidR="007D4440" w:rsidRPr="002E1E74" w:rsidRDefault="007D4440" w:rsidP="0010306C">
      <w:pPr>
        <w:tabs>
          <w:tab w:val="center" w:pos="5400"/>
        </w:tabs>
        <w:suppressAutoHyphens/>
        <w:jc w:val="center"/>
        <w:rPr>
          <w:rFonts w:ascii="Cambria" w:hAnsi="Cambria" w:cs="Cambria"/>
          <w:noProof/>
          <w:sz w:val="18"/>
          <w:szCs w:val="18"/>
        </w:rPr>
      </w:pPr>
    </w:p>
    <w:p w:rsidR="007D4440" w:rsidRPr="002E1E74" w:rsidRDefault="007D4440" w:rsidP="0010306C">
      <w:pPr>
        <w:tabs>
          <w:tab w:val="center" w:pos="5400"/>
        </w:tabs>
        <w:suppressAutoHyphens/>
        <w:jc w:val="center"/>
        <w:rPr>
          <w:rFonts w:ascii="Cambria" w:hAnsi="Cambria" w:cs="Cambria"/>
          <w:noProof/>
          <w:sz w:val="18"/>
          <w:szCs w:val="18"/>
        </w:rPr>
      </w:pPr>
    </w:p>
    <w:p w:rsidR="007D4440" w:rsidRPr="002E1E74" w:rsidRDefault="007D4440" w:rsidP="0010306C">
      <w:pPr>
        <w:tabs>
          <w:tab w:val="center" w:pos="5400"/>
        </w:tabs>
        <w:suppressAutoHyphens/>
        <w:jc w:val="center"/>
        <w:rPr>
          <w:noProof/>
        </w:rPr>
      </w:pPr>
    </w:p>
    <w:p w:rsidR="007D4440" w:rsidRPr="002E1E74" w:rsidRDefault="007D4440" w:rsidP="0010306C">
      <w:pPr>
        <w:tabs>
          <w:tab w:val="center" w:pos="5400"/>
        </w:tabs>
        <w:suppressAutoHyphens/>
        <w:jc w:val="center"/>
        <w:rPr>
          <w:noProof/>
        </w:rPr>
      </w:pPr>
    </w:p>
    <w:p w:rsidR="007D4440" w:rsidRPr="002E1E74" w:rsidRDefault="00740DEF" w:rsidP="0010306C">
      <w:pPr>
        <w:tabs>
          <w:tab w:val="center" w:pos="5400"/>
        </w:tabs>
        <w:suppressAutoHyphens/>
        <w:jc w:val="center"/>
        <w:rPr>
          <w:noProof/>
        </w:rPr>
        <w:sectPr w:rsidR="007D4440" w:rsidRPr="002E1E74" w:rsidSect="00C054DF">
          <w:headerReference w:type="even" r:id="rId8"/>
          <w:headerReference w:type="default" r:id="rId9"/>
          <w:footerReference w:type="even" r:id="rId10"/>
          <w:footerReference w:type="default" r:id="rId11"/>
          <w:headerReference w:type="first" r:id="rId12"/>
          <w:footerReference w:type="first" r:id="rId13"/>
          <w:type w:val="oddPage"/>
          <w:pgSz w:w="12240" w:h="15840"/>
          <w:pgMar w:top="1440" w:right="1440" w:bottom="1440" w:left="1440" w:header="720" w:footer="720" w:gutter="0"/>
          <w:pgNumType w:start="0"/>
          <w:cols w:space="720"/>
          <w:titlePg/>
          <w:docGrid w:linePitch="326"/>
        </w:sectPr>
      </w:pPr>
      <w:r>
        <w:rPr>
          <w:noProof/>
        </w:rPr>
        <w:drawing>
          <wp:inline distT="0" distB="0" distL="0" distR="0">
            <wp:extent cx="1097280" cy="373380"/>
            <wp:effectExtent l="0" t="0" r="7620" b="762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7280" cy="373380"/>
                    </a:xfrm>
                    <a:prstGeom prst="rect">
                      <a:avLst/>
                    </a:prstGeom>
                    <a:noFill/>
                    <a:ln>
                      <a:noFill/>
                    </a:ln>
                  </pic:spPr>
                </pic:pic>
              </a:graphicData>
            </a:graphic>
          </wp:inline>
        </w:drawing>
      </w:r>
      <w:r w:rsidR="007D4440" w:rsidRPr="002E1E74">
        <w:rPr>
          <w:noProof/>
        </w:rPr>
        <w:tab/>
      </w:r>
    </w:p>
    <w:p w:rsidR="007D4440" w:rsidRPr="002E1E74" w:rsidRDefault="007D4440" w:rsidP="0010306C">
      <w:pPr>
        <w:spacing w:after="240"/>
        <w:ind w:firstLine="720"/>
        <w:jc w:val="both"/>
        <w:rPr>
          <w:rFonts w:ascii="Cambria" w:hAnsi="Cambria" w:cs="Cambria"/>
          <w:b/>
          <w:bCs/>
          <w:noProof/>
          <w:sz w:val="20"/>
          <w:szCs w:val="20"/>
        </w:rPr>
      </w:pPr>
      <w:r w:rsidRPr="002E1E74">
        <w:rPr>
          <w:rFonts w:ascii="Cambria" w:hAnsi="Cambria" w:cs="Cambria"/>
          <w:b/>
          <w:bCs/>
          <w:noProof/>
          <w:sz w:val="20"/>
          <w:szCs w:val="20"/>
        </w:rPr>
        <w:lastRenderedPageBreak/>
        <w:t>I.</w:t>
      </w:r>
      <w:r w:rsidRPr="002E1E74">
        <w:rPr>
          <w:rFonts w:ascii="Cambria" w:hAnsi="Cambria" w:cs="Cambria"/>
          <w:b/>
          <w:bCs/>
          <w:noProof/>
          <w:sz w:val="20"/>
          <w:szCs w:val="20"/>
        </w:rPr>
        <w:tab/>
        <w:t xml:space="preserve">INFORMATION ABOUT THE PETITION </w:t>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476"/>
        <w:gridCol w:w="5884"/>
      </w:tblGrid>
      <w:tr w:rsidR="007D4440" w:rsidRPr="00820FD1" w:rsidTr="00FB2BB9">
        <w:tc>
          <w:tcPr>
            <w:tcW w:w="3476" w:type="dxa"/>
            <w:tcBorders>
              <w:top w:val="single" w:sz="4" w:space="0" w:color="auto"/>
            </w:tcBorders>
            <w:shd w:val="clear" w:color="auto" w:fill="67AE3C"/>
            <w:vAlign w:val="center"/>
          </w:tcPr>
          <w:p w:rsidR="007D4440" w:rsidRPr="002E1E74" w:rsidRDefault="007D4440" w:rsidP="00ED3A6A">
            <w:pPr>
              <w:jc w:val="center"/>
              <w:rPr>
                <w:rFonts w:ascii="Cambria" w:hAnsi="Cambria" w:cs="Cambria"/>
                <w:b/>
                <w:bCs/>
                <w:noProof/>
                <w:color w:val="FFFFFF"/>
                <w:sz w:val="20"/>
                <w:szCs w:val="20"/>
              </w:rPr>
            </w:pPr>
            <w:r w:rsidRPr="002E1E74">
              <w:rPr>
                <w:rFonts w:ascii="Cambria" w:hAnsi="Cambria" w:cs="Cambria"/>
                <w:b/>
                <w:bCs/>
                <w:noProof/>
                <w:color w:val="FFFFFF"/>
                <w:sz w:val="20"/>
                <w:szCs w:val="20"/>
              </w:rPr>
              <w:t>Petitioner</w:t>
            </w:r>
            <w:r>
              <w:rPr>
                <w:rFonts w:ascii="Cambria" w:hAnsi="Cambria" w:cs="Cambria"/>
                <w:b/>
                <w:bCs/>
                <w:noProof/>
                <w:color w:val="FFFFFF"/>
                <w:sz w:val="20"/>
                <w:szCs w:val="20"/>
              </w:rPr>
              <w:t>s</w:t>
            </w:r>
            <w:r w:rsidRPr="002E1E74">
              <w:rPr>
                <w:rFonts w:ascii="Cambria" w:hAnsi="Cambria" w:cs="Cambria"/>
                <w:b/>
                <w:bCs/>
                <w:noProof/>
                <w:color w:val="FFFFFF"/>
                <w:sz w:val="20"/>
                <w:szCs w:val="20"/>
              </w:rPr>
              <w:t>:</w:t>
            </w:r>
          </w:p>
        </w:tc>
        <w:tc>
          <w:tcPr>
            <w:tcW w:w="5884" w:type="dxa"/>
            <w:tcBorders>
              <w:top w:val="single" w:sz="4" w:space="0" w:color="auto"/>
              <w:right w:val="single" w:sz="6" w:space="0" w:color="auto"/>
            </w:tcBorders>
            <w:vAlign w:val="center"/>
          </w:tcPr>
          <w:p w:rsidR="007D4440" w:rsidRPr="002E1E74" w:rsidRDefault="007D4440" w:rsidP="00ED3A6A">
            <w:pPr>
              <w:rPr>
                <w:rFonts w:ascii="Cambria" w:hAnsi="Cambria" w:cs="Cambria"/>
                <w:noProof/>
                <w:sz w:val="20"/>
                <w:szCs w:val="20"/>
                <w:lang w:val="es-ES"/>
              </w:rPr>
            </w:pPr>
            <w:r w:rsidRPr="002E1E74">
              <w:rPr>
                <w:rFonts w:ascii="Cambria" w:hAnsi="Cambria" w:cs="Cambria"/>
                <w:noProof/>
                <w:sz w:val="20"/>
                <w:szCs w:val="20"/>
                <w:lang w:val="es-ES"/>
              </w:rPr>
              <w:t>Libardo Preciado Camargo, Libardo Preciado Niño, and Mónica Bachué Peña Mantilla</w:t>
            </w:r>
          </w:p>
        </w:tc>
      </w:tr>
      <w:tr w:rsidR="007D4440" w:rsidRPr="00820FD1" w:rsidTr="00FB2BB9">
        <w:tc>
          <w:tcPr>
            <w:tcW w:w="3476" w:type="dxa"/>
            <w:shd w:val="clear" w:color="auto" w:fill="67AE3C"/>
            <w:vAlign w:val="center"/>
          </w:tcPr>
          <w:p w:rsidR="007D4440" w:rsidRPr="002E1E74" w:rsidRDefault="007D4440" w:rsidP="00ED3A6A">
            <w:pPr>
              <w:jc w:val="center"/>
              <w:rPr>
                <w:rFonts w:ascii="Cambria" w:hAnsi="Cambria" w:cs="Cambria"/>
                <w:b/>
                <w:bCs/>
                <w:noProof/>
                <w:color w:val="FFFFFF"/>
                <w:sz w:val="20"/>
                <w:szCs w:val="20"/>
              </w:rPr>
            </w:pPr>
            <w:r w:rsidRPr="002E1E74">
              <w:rPr>
                <w:rFonts w:ascii="Cambria" w:hAnsi="Cambria" w:cs="Cambria"/>
                <w:b/>
                <w:bCs/>
                <w:noProof/>
                <w:color w:val="FFFFFF"/>
                <w:sz w:val="20"/>
                <w:szCs w:val="20"/>
              </w:rPr>
              <w:t>Alleged victim</w:t>
            </w:r>
            <w:r>
              <w:rPr>
                <w:rFonts w:ascii="Cambria" w:hAnsi="Cambria" w:cs="Cambria"/>
                <w:b/>
                <w:bCs/>
                <w:noProof/>
                <w:color w:val="FFFFFF"/>
                <w:sz w:val="20"/>
                <w:szCs w:val="20"/>
              </w:rPr>
              <w:t>s</w:t>
            </w:r>
            <w:r w:rsidRPr="002E1E74">
              <w:rPr>
                <w:rFonts w:ascii="Cambria" w:hAnsi="Cambria" w:cs="Cambria"/>
                <w:b/>
                <w:bCs/>
                <w:noProof/>
                <w:color w:val="FFFFFF"/>
                <w:sz w:val="20"/>
                <w:szCs w:val="20"/>
              </w:rPr>
              <w:t>:</w:t>
            </w:r>
          </w:p>
        </w:tc>
        <w:tc>
          <w:tcPr>
            <w:tcW w:w="5884" w:type="dxa"/>
            <w:tcBorders>
              <w:right w:val="single" w:sz="6" w:space="0" w:color="auto"/>
            </w:tcBorders>
            <w:vAlign w:val="center"/>
          </w:tcPr>
          <w:p w:rsidR="007D4440" w:rsidRPr="001332CC" w:rsidRDefault="007D4440" w:rsidP="00ED3A6A">
            <w:pPr>
              <w:rPr>
                <w:rFonts w:ascii="Cambria" w:hAnsi="Cambria" w:cs="Cambria"/>
                <w:noProof/>
                <w:sz w:val="20"/>
                <w:szCs w:val="20"/>
                <w:lang w:val="pt-BR"/>
              </w:rPr>
            </w:pPr>
            <w:r w:rsidRPr="001332CC">
              <w:rPr>
                <w:rFonts w:ascii="Cambria" w:hAnsi="Cambria" w:cs="Cambria"/>
                <w:noProof/>
                <w:sz w:val="20"/>
                <w:szCs w:val="20"/>
                <w:lang w:val="pt-BR"/>
              </w:rPr>
              <w:t>José Ricardo Parra Hurtado, Félix Alberto Páez Suárez, and their families</w:t>
            </w:r>
          </w:p>
        </w:tc>
      </w:tr>
      <w:tr w:rsidR="007D4440" w:rsidRPr="002E1E74" w:rsidTr="00FB2BB9">
        <w:tc>
          <w:tcPr>
            <w:tcW w:w="3476" w:type="dxa"/>
            <w:shd w:val="clear" w:color="auto" w:fill="67AE3C"/>
            <w:vAlign w:val="center"/>
          </w:tcPr>
          <w:p w:rsidR="007D4440" w:rsidRPr="002E1E74" w:rsidRDefault="007D4440" w:rsidP="00ED3A6A">
            <w:pPr>
              <w:jc w:val="center"/>
              <w:rPr>
                <w:rFonts w:ascii="Cambria" w:hAnsi="Cambria" w:cs="Cambria"/>
                <w:b/>
                <w:bCs/>
                <w:noProof/>
                <w:color w:val="FFFFFF"/>
                <w:sz w:val="20"/>
                <w:szCs w:val="20"/>
              </w:rPr>
            </w:pPr>
            <w:r w:rsidRPr="002E1E74">
              <w:rPr>
                <w:rFonts w:ascii="Cambria" w:hAnsi="Cambria" w:cs="Cambria"/>
                <w:b/>
                <w:bCs/>
                <w:noProof/>
                <w:color w:val="FFFFFF"/>
                <w:sz w:val="20"/>
                <w:szCs w:val="20"/>
              </w:rPr>
              <w:t>Respondent State:</w:t>
            </w:r>
          </w:p>
        </w:tc>
        <w:tc>
          <w:tcPr>
            <w:tcW w:w="5884" w:type="dxa"/>
            <w:tcBorders>
              <w:right w:val="single" w:sz="6" w:space="0" w:color="auto"/>
            </w:tcBorders>
            <w:vAlign w:val="center"/>
          </w:tcPr>
          <w:p w:rsidR="007D4440" w:rsidRPr="002E1E74" w:rsidRDefault="007D4440" w:rsidP="00ED3A6A">
            <w:pPr>
              <w:rPr>
                <w:rFonts w:ascii="Cambria" w:hAnsi="Cambria" w:cs="Cambria"/>
                <w:noProof/>
                <w:sz w:val="20"/>
                <w:szCs w:val="20"/>
              </w:rPr>
            </w:pPr>
            <w:r w:rsidRPr="002E1E74">
              <w:rPr>
                <w:rFonts w:ascii="Cambria" w:hAnsi="Cambria" w:cs="Cambria"/>
                <w:noProof/>
                <w:sz w:val="20"/>
                <w:szCs w:val="20"/>
              </w:rPr>
              <w:t>Colombia</w:t>
            </w:r>
            <w:r w:rsidRPr="002E1E74">
              <w:rPr>
                <w:rFonts w:ascii="Cambria" w:hAnsi="Cambria" w:cs="Cambria"/>
                <w:noProof/>
                <w:sz w:val="20"/>
                <w:szCs w:val="20"/>
                <w:vertAlign w:val="superscript"/>
              </w:rPr>
              <w:footnoteReference w:id="1"/>
            </w:r>
          </w:p>
        </w:tc>
      </w:tr>
      <w:tr w:rsidR="007D4440" w:rsidRPr="002E1E74" w:rsidTr="00FB2BB9">
        <w:tc>
          <w:tcPr>
            <w:tcW w:w="3476" w:type="dxa"/>
            <w:tcBorders>
              <w:bottom w:val="single" w:sz="4" w:space="0" w:color="auto"/>
            </w:tcBorders>
            <w:shd w:val="clear" w:color="auto" w:fill="67AE3C"/>
            <w:vAlign w:val="center"/>
          </w:tcPr>
          <w:p w:rsidR="007D4440" w:rsidRPr="002E1E74" w:rsidRDefault="007D4440" w:rsidP="00ED3A6A">
            <w:pPr>
              <w:jc w:val="center"/>
              <w:rPr>
                <w:rFonts w:ascii="Cambria" w:hAnsi="Cambria" w:cs="Cambria"/>
                <w:b/>
                <w:bCs/>
                <w:noProof/>
                <w:color w:val="FFFFFF"/>
                <w:sz w:val="20"/>
                <w:szCs w:val="20"/>
              </w:rPr>
            </w:pPr>
            <w:r w:rsidRPr="002E1E74">
              <w:rPr>
                <w:rFonts w:ascii="Cambria" w:hAnsi="Cambria" w:cs="Cambria"/>
                <w:b/>
                <w:bCs/>
                <w:noProof/>
                <w:color w:val="FFFFFF"/>
                <w:sz w:val="20"/>
                <w:szCs w:val="20"/>
              </w:rPr>
              <w:t>Rights invoked:</w:t>
            </w:r>
          </w:p>
        </w:tc>
        <w:tc>
          <w:tcPr>
            <w:tcW w:w="5884" w:type="dxa"/>
            <w:tcBorders>
              <w:bottom w:val="single" w:sz="4" w:space="0" w:color="auto"/>
              <w:right w:val="single" w:sz="6" w:space="0" w:color="auto"/>
            </w:tcBorders>
            <w:vAlign w:val="center"/>
          </w:tcPr>
          <w:p w:rsidR="007D4440" w:rsidRPr="002E1E74" w:rsidRDefault="007D4440" w:rsidP="00ED3A6A">
            <w:pPr>
              <w:rPr>
                <w:rFonts w:ascii="Cambria" w:hAnsi="Cambria" w:cs="Cambria"/>
                <w:noProof/>
                <w:sz w:val="20"/>
                <w:szCs w:val="20"/>
              </w:rPr>
            </w:pPr>
            <w:r w:rsidRPr="002E1E74">
              <w:rPr>
                <w:rFonts w:ascii="Cambria" w:hAnsi="Cambria" w:cs="Cambria"/>
                <w:noProof/>
                <w:sz w:val="20"/>
                <w:szCs w:val="20"/>
              </w:rPr>
              <w:t>Articles 4 (life), 5 (humane treatment), 7 (personal liberty), 8 (right to a fair trial), and 25 (judicial protection) of the American Convention on Human Rights,</w:t>
            </w:r>
            <w:r w:rsidRPr="002E1E74">
              <w:rPr>
                <w:rFonts w:ascii="Cambria" w:hAnsi="Cambria" w:cs="Cambria"/>
                <w:noProof/>
                <w:sz w:val="20"/>
                <w:szCs w:val="20"/>
                <w:vertAlign w:val="superscript"/>
              </w:rPr>
              <w:footnoteReference w:id="2"/>
            </w:r>
            <w:r w:rsidRPr="002E1E74">
              <w:rPr>
                <w:rFonts w:ascii="Cambria" w:hAnsi="Cambria" w:cs="Cambria"/>
                <w:noProof/>
                <w:sz w:val="20"/>
                <w:szCs w:val="20"/>
                <w:vertAlign w:val="superscript"/>
              </w:rPr>
              <w:t xml:space="preserve"> </w:t>
            </w:r>
            <w:r w:rsidRPr="002E1E74">
              <w:rPr>
                <w:rFonts w:ascii="Cambria" w:hAnsi="Cambria" w:cs="Cambria"/>
                <w:noProof/>
                <w:sz w:val="20"/>
                <w:szCs w:val="20"/>
              </w:rPr>
              <w:t>and other international treaties</w:t>
            </w:r>
            <w:r w:rsidRPr="002E1E74">
              <w:rPr>
                <w:rFonts w:ascii="Cambria" w:hAnsi="Cambria" w:cs="Cambria"/>
                <w:noProof/>
                <w:sz w:val="20"/>
                <w:szCs w:val="20"/>
                <w:vertAlign w:val="superscript"/>
              </w:rPr>
              <w:footnoteReference w:id="3"/>
            </w:r>
          </w:p>
        </w:tc>
      </w:tr>
    </w:tbl>
    <w:p w:rsidR="007D4440" w:rsidRPr="002E1E74" w:rsidRDefault="007D4440" w:rsidP="0010306C">
      <w:pPr>
        <w:spacing w:before="240" w:after="240"/>
        <w:ind w:firstLine="720"/>
        <w:jc w:val="both"/>
        <w:rPr>
          <w:rFonts w:ascii="Cambria" w:hAnsi="Cambria" w:cs="Cambria"/>
          <w:b/>
          <w:bCs/>
          <w:noProof/>
          <w:sz w:val="20"/>
          <w:szCs w:val="20"/>
        </w:rPr>
      </w:pPr>
      <w:r w:rsidRPr="002E1E74">
        <w:rPr>
          <w:rFonts w:ascii="Cambria" w:hAnsi="Cambria" w:cs="Cambria"/>
          <w:b/>
          <w:bCs/>
          <w:noProof/>
          <w:sz w:val="20"/>
          <w:szCs w:val="20"/>
        </w:rPr>
        <w:t>II.</w:t>
      </w:r>
      <w:r w:rsidRPr="002E1E74">
        <w:rPr>
          <w:rFonts w:ascii="Cambria" w:hAnsi="Cambria" w:cs="Cambria"/>
          <w:b/>
          <w:bCs/>
          <w:noProof/>
          <w:sz w:val="20"/>
          <w:szCs w:val="20"/>
        </w:rPr>
        <w:tab/>
        <w:t>PROCEEDINGS BEFORE THE IACHR</w:t>
      </w:r>
      <w:r w:rsidRPr="002E1E74">
        <w:rPr>
          <w:rFonts w:ascii="Cambria" w:hAnsi="Cambria" w:cs="Cambria"/>
          <w:b/>
          <w:bCs/>
          <w:noProof/>
          <w:sz w:val="20"/>
          <w:szCs w:val="20"/>
          <w:vertAlign w:val="superscript"/>
        </w:rPr>
        <w:footnoteReference w:id="4"/>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476"/>
        <w:gridCol w:w="5884"/>
      </w:tblGrid>
      <w:tr w:rsidR="007D4440" w:rsidRPr="002E1E74" w:rsidTr="00FB2BB9">
        <w:tc>
          <w:tcPr>
            <w:tcW w:w="3476" w:type="dxa"/>
            <w:tcBorders>
              <w:top w:val="single" w:sz="4" w:space="0" w:color="auto"/>
            </w:tcBorders>
            <w:shd w:val="clear" w:color="auto" w:fill="67AE3C"/>
            <w:vAlign w:val="center"/>
          </w:tcPr>
          <w:p w:rsidR="007D4440" w:rsidRPr="002E1E74" w:rsidRDefault="007D4440" w:rsidP="00ED3A6A">
            <w:pPr>
              <w:jc w:val="center"/>
              <w:rPr>
                <w:rFonts w:ascii="Cambria" w:hAnsi="Cambria" w:cs="Cambria"/>
                <w:b/>
                <w:bCs/>
                <w:noProof/>
                <w:color w:val="FFFFFF"/>
                <w:sz w:val="20"/>
                <w:szCs w:val="20"/>
              </w:rPr>
            </w:pPr>
            <w:r w:rsidRPr="002E1E74">
              <w:rPr>
                <w:rFonts w:ascii="Cambria" w:hAnsi="Cambria" w:cs="Cambria"/>
                <w:b/>
                <w:bCs/>
                <w:noProof/>
                <w:color w:val="FFFFFF"/>
                <w:sz w:val="20"/>
                <w:szCs w:val="20"/>
              </w:rPr>
              <w:t>Filing of the petition:</w:t>
            </w:r>
          </w:p>
        </w:tc>
        <w:tc>
          <w:tcPr>
            <w:tcW w:w="5884" w:type="dxa"/>
            <w:tcBorders>
              <w:top w:val="single" w:sz="4" w:space="0" w:color="auto"/>
            </w:tcBorders>
            <w:vAlign w:val="center"/>
          </w:tcPr>
          <w:p w:rsidR="007D4440" w:rsidRPr="002E1E74" w:rsidRDefault="007D4440" w:rsidP="00ED3A6A">
            <w:pPr>
              <w:jc w:val="both"/>
              <w:rPr>
                <w:rFonts w:ascii="Cambria" w:hAnsi="Cambria" w:cs="Cambria"/>
                <w:noProof/>
                <w:sz w:val="20"/>
                <w:szCs w:val="20"/>
              </w:rPr>
            </w:pPr>
            <w:r w:rsidRPr="002E1E74">
              <w:rPr>
                <w:rFonts w:ascii="Cambria" w:hAnsi="Cambria" w:cs="Cambria"/>
                <w:noProof/>
                <w:sz w:val="20"/>
                <w:szCs w:val="20"/>
              </w:rPr>
              <w:t>February 22, 2007</w:t>
            </w:r>
          </w:p>
        </w:tc>
      </w:tr>
      <w:tr w:rsidR="007D4440" w:rsidRPr="002E1E74" w:rsidTr="00FB2BB9">
        <w:tc>
          <w:tcPr>
            <w:tcW w:w="3476" w:type="dxa"/>
            <w:shd w:val="clear" w:color="auto" w:fill="67AE3C"/>
            <w:vAlign w:val="center"/>
          </w:tcPr>
          <w:p w:rsidR="007D4440" w:rsidRPr="002E1E74" w:rsidRDefault="007D4440" w:rsidP="00ED3A6A">
            <w:pPr>
              <w:jc w:val="center"/>
              <w:rPr>
                <w:rFonts w:ascii="Cambria" w:hAnsi="Cambria" w:cs="Cambria"/>
                <w:b/>
                <w:bCs/>
                <w:noProof/>
                <w:color w:val="FFFFFF"/>
                <w:sz w:val="20"/>
                <w:szCs w:val="20"/>
              </w:rPr>
            </w:pPr>
            <w:r w:rsidRPr="002E1E74">
              <w:rPr>
                <w:rFonts w:ascii="Cambria" w:hAnsi="Cambria" w:cs="Cambria"/>
                <w:b/>
                <w:bCs/>
                <w:noProof/>
                <w:color w:val="FFFFFF"/>
                <w:sz w:val="20"/>
                <w:szCs w:val="20"/>
              </w:rPr>
              <w:t>Notification of the petition to the State:</w:t>
            </w:r>
          </w:p>
        </w:tc>
        <w:tc>
          <w:tcPr>
            <w:tcW w:w="5884" w:type="dxa"/>
            <w:vAlign w:val="center"/>
          </w:tcPr>
          <w:p w:rsidR="007D4440" w:rsidRPr="002E1E74" w:rsidRDefault="007D4440" w:rsidP="00ED3A6A">
            <w:pPr>
              <w:jc w:val="both"/>
              <w:rPr>
                <w:rFonts w:ascii="Cambria" w:hAnsi="Cambria" w:cs="Cambria"/>
                <w:noProof/>
                <w:sz w:val="20"/>
                <w:szCs w:val="20"/>
              </w:rPr>
            </w:pPr>
            <w:r w:rsidRPr="002E1E74">
              <w:rPr>
                <w:rFonts w:ascii="Cambria" w:hAnsi="Cambria" w:cs="Cambria"/>
                <w:noProof/>
                <w:sz w:val="20"/>
                <w:szCs w:val="20"/>
              </w:rPr>
              <w:t>August 11, 2011</w:t>
            </w:r>
          </w:p>
        </w:tc>
      </w:tr>
      <w:tr w:rsidR="007D4440" w:rsidRPr="002E1E74" w:rsidTr="00FB2BB9">
        <w:trPr>
          <w:trHeight w:val="264"/>
        </w:trPr>
        <w:tc>
          <w:tcPr>
            <w:tcW w:w="3476" w:type="dxa"/>
            <w:shd w:val="clear" w:color="auto" w:fill="67AE3C"/>
            <w:vAlign w:val="center"/>
          </w:tcPr>
          <w:p w:rsidR="007D4440" w:rsidRPr="002E1E74" w:rsidRDefault="007D4440" w:rsidP="00ED3A6A">
            <w:pPr>
              <w:jc w:val="center"/>
              <w:rPr>
                <w:rFonts w:ascii="Cambria" w:hAnsi="Cambria" w:cs="Cambria"/>
                <w:b/>
                <w:bCs/>
                <w:noProof/>
                <w:color w:val="FFFFFF"/>
                <w:sz w:val="20"/>
                <w:szCs w:val="20"/>
              </w:rPr>
            </w:pPr>
            <w:r w:rsidRPr="002E1E74">
              <w:rPr>
                <w:rFonts w:ascii="Cambria" w:hAnsi="Cambria" w:cs="Cambria"/>
                <w:b/>
                <w:bCs/>
                <w:noProof/>
                <w:color w:val="FFFFFF"/>
                <w:sz w:val="20"/>
                <w:szCs w:val="20"/>
              </w:rPr>
              <w:t>State</w:t>
            </w:r>
            <w:r>
              <w:rPr>
                <w:rFonts w:ascii="Cambria" w:hAnsi="Cambria" w:cs="Cambria"/>
                <w:b/>
                <w:bCs/>
                <w:noProof/>
                <w:color w:val="FFFFFF"/>
                <w:sz w:val="20"/>
                <w:szCs w:val="20"/>
              </w:rPr>
              <w:t>’</w:t>
            </w:r>
            <w:r w:rsidRPr="002E1E74">
              <w:rPr>
                <w:rFonts w:ascii="Cambria" w:hAnsi="Cambria" w:cs="Cambria"/>
                <w:b/>
                <w:bCs/>
                <w:noProof/>
                <w:color w:val="FFFFFF"/>
                <w:sz w:val="20"/>
                <w:szCs w:val="20"/>
              </w:rPr>
              <w:t>s first response:</w:t>
            </w:r>
          </w:p>
        </w:tc>
        <w:tc>
          <w:tcPr>
            <w:tcW w:w="5884" w:type="dxa"/>
            <w:vAlign w:val="center"/>
          </w:tcPr>
          <w:p w:rsidR="007D4440" w:rsidRPr="002E1E74" w:rsidRDefault="007D4440" w:rsidP="00ED3A6A">
            <w:pPr>
              <w:jc w:val="both"/>
              <w:rPr>
                <w:rFonts w:ascii="Cambria" w:hAnsi="Cambria" w:cs="Cambria"/>
                <w:noProof/>
                <w:sz w:val="20"/>
                <w:szCs w:val="20"/>
              </w:rPr>
            </w:pPr>
            <w:r w:rsidRPr="002E1E74">
              <w:rPr>
                <w:rFonts w:ascii="Cambria" w:hAnsi="Cambria" w:cs="Cambria"/>
                <w:noProof/>
                <w:sz w:val="20"/>
                <w:szCs w:val="20"/>
              </w:rPr>
              <w:t>November 15, 2011</w:t>
            </w:r>
          </w:p>
        </w:tc>
      </w:tr>
      <w:tr w:rsidR="007D4440" w:rsidRPr="002E1E74" w:rsidTr="00FB2BB9">
        <w:tc>
          <w:tcPr>
            <w:tcW w:w="3476" w:type="dxa"/>
            <w:shd w:val="clear" w:color="auto" w:fill="67AE3C"/>
            <w:vAlign w:val="center"/>
          </w:tcPr>
          <w:p w:rsidR="007D4440" w:rsidRPr="002E1E74" w:rsidRDefault="007D4440" w:rsidP="00ED3A6A">
            <w:pPr>
              <w:jc w:val="center"/>
              <w:rPr>
                <w:rFonts w:ascii="Cambria" w:hAnsi="Cambria" w:cs="Cambria"/>
                <w:b/>
                <w:bCs/>
                <w:noProof/>
                <w:color w:val="FFFFFF"/>
                <w:sz w:val="20"/>
                <w:szCs w:val="20"/>
              </w:rPr>
            </w:pPr>
            <w:r w:rsidRPr="002E1E74">
              <w:rPr>
                <w:rFonts w:ascii="Cambria" w:hAnsi="Cambria" w:cs="Cambria"/>
                <w:b/>
                <w:bCs/>
                <w:noProof/>
                <w:color w:val="FFFFFF"/>
                <w:sz w:val="20"/>
                <w:szCs w:val="20"/>
              </w:rPr>
              <w:t>Additional observations from the petitioner</w:t>
            </w:r>
            <w:r>
              <w:rPr>
                <w:rFonts w:ascii="Cambria" w:hAnsi="Cambria" w:cs="Cambria"/>
                <w:b/>
                <w:bCs/>
                <w:noProof/>
                <w:color w:val="FFFFFF"/>
                <w:sz w:val="20"/>
                <w:szCs w:val="20"/>
              </w:rPr>
              <w:t>s</w:t>
            </w:r>
            <w:r w:rsidRPr="002E1E74">
              <w:rPr>
                <w:rFonts w:ascii="Cambria" w:hAnsi="Cambria" w:cs="Cambria"/>
                <w:b/>
                <w:bCs/>
                <w:noProof/>
                <w:color w:val="FFFFFF"/>
                <w:sz w:val="20"/>
                <w:szCs w:val="20"/>
              </w:rPr>
              <w:t>:</w:t>
            </w:r>
          </w:p>
        </w:tc>
        <w:tc>
          <w:tcPr>
            <w:tcW w:w="5884" w:type="dxa"/>
            <w:vAlign w:val="center"/>
          </w:tcPr>
          <w:p w:rsidR="007D4440" w:rsidRPr="002E1E74" w:rsidRDefault="007D4440" w:rsidP="00ED3A6A">
            <w:pPr>
              <w:jc w:val="both"/>
              <w:rPr>
                <w:rFonts w:ascii="Cambria" w:hAnsi="Cambria" w:cs="Cambria"/>
                <w:noProof/>
                <w:sz w:val="20"/>
                <w:szCs w:val="20"/>
              </w:rPr>
            </w:pPr>
            <w:r w:rsidRPr="002E1E74">
              <w:rPr>
                <w:rFonts w:ascii="Cambria" w:hAnsi="Cambria" w:cs="Cambria"/>
                <w:noProof/>
                <w:sz w:val="20"/>
                <w:szCs w:val="20"/>
              </w:rPr>
              <w:t>December 16, 2011</w:t>
            </w:r>
          </w:p>
        </w:tc>
      </w:tr>
      <w:tr w:rsidR="007D4440" w:rsidRPr="002E1E74" w:rsidTr="00FB2BB9">
        <w:tc>
          <w:tcPr>
            <w:tcW w:w="3476" w:type="dxa"/>
            <w:tcBorders>
              <w:bottom w:val="single" w:sz="4" w:space="0" w:color="auto"/>
            </w:tcBorders>
            <w:shd w:val="clear" w:color="auto" w:fill="67AE3C"/>
            <w:vAlign w:val="center"/>
          </w:tcPr>
          <w:p w:rsidR="007D4440" w:rsidRPr="002E1E74" w:rsidRDefault="007D4440" w:rsidP="00ED3A6A">
            <w:pPr>
              <w:jc w:val="center"/>
              <w:rPr>
                <w:rFonts w:ascii="Cambria" w:hAnsi="Cambria" w:cs="Cambria"/>
                <w:b/>
                <w:bCs/>
                <w:noProof/>
                <w:color w:val="FFFFFF"/>
                <w:sz w:val="20"/>
                <w:szCs w:val="20"/>
              </w:rPr>
            </w:pPr>
            <w:r w:rsidRPr="002E1E74">
              <w:rPr>
                <w:rFonts w:ascii="Cambria" w:hAnsi="Cambria" w:cs="Cambria"/>
                <w:b/>
                <w:bCs/>
                <w:noProof/>
                <w:color w:val="FFFFFF"/>
                <w:sz w:val="20"/>
                <w:szCs w:val="20"/>
              </w:rPr>
              <w:t>Additional observations from the State:</w:t>
            </w:r>
          </w:p>
        </w:tc>
        <w:tc>
          <w:tcPr>
            <w:tcW w:w="5884" w:type="dxa"/>
            <w:tcBorders>
              <w:bottom w:val="single" w:sz="4" w:space="0" w:color="auto"/>
            </w:tcBorders>
            <w:vAlign w:val="center"/>
          </w:tcPr>
          <w:p w:rsidR="007D4440" w:rsidRPr="002E1E74" w:rsidRDefault="007D4440" w:rsidP="00ED3A6A">
            <w:pPr>
              <w:jc w:val="both"/>
              <w:rPr>
                <w:rFonts w:ascii="Cambria" w:hAnsi="Cambria" w:cs="Cambria"/>
                <w:noProof/>
                <w:sz w:val="20"/>
                <w:szCs w:val="20"/>
              </w:rPr>
            </w:pPr>
            <w:r w:rsidRPr="002E1E74">
              <w:rPr>
                <w:rFonts w:ascii="Cambria" w:hAnsi="Cambria" w:cs="Cambria"/>
                <w:noProof/>
                <w:sz w:val="20"/>
                <w:szCs w:val="20"/>
              </w:rPr>
              <w:t>July 13, 2012</w:t>
            </w:r>
          </w:p>
        </w:tc>
      </w:tr>
    </w:tbl>
    <w:p w:rsidR="007D4440" w:rsidRPr="002E1E74" w:rsidRDefault="007D4440" w:rsidP="0010306C">
      <w:pPr>
        <w:spacing w:before="240" w:after="240"/>
        <w:ind w:firstLine="720"/>
        <w:jc w:val="both"/>
        <w:rPr>
          <w:rFonts w:ascii="Cambria" w:hAnsi="Cambria" w:cs="Cambria"/>
          <w:b/>
          <w:bCs/>
          <w:noProof/>
          <w:sz w:val="20"/>
          <w:szCs w:val="20"/>
        </w:rPr>
      </w:pPr>
      <w:r w:rsidRPr="002E1E74">
        <w:rPr>
          <w:rFonts w:ascii="Cambria" w:hAnsi="Cambria" w:cs="Cambria"/>
          <w:b/>
          <w:bCs/>
          <w:noProof/>
          <w:sz w:val="20"/>
          <w:szCs w:val="20"/>
        </w:rPr>
        <w:t xml:space="preserve">III. </w:t>
      </w:r>
      <w:r w:rsidRPr="002E1E74">
        <w:rPr>
          <w:rFonts w:ascii="Cambria" w:hAnsi="Cambria" w:cs="Cambria"/>
          <w:b/>
          <w:bCs/>
          <w:noProof/>
          <w:sz w:val="20"/>
          <w:szCs w:val="20"/>
        </w:rPr>
        <w:tab/>
        <w:t xml:space="preserve">COMPETENCE </w:t>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476"/>
        <w:gridCol w:w="5884"/>
      </w:tblGrid>
      <w:tr w:rsidR="007D4440" w:rsidRPr="002E1E74" w:rsidTr="00FB2BB9">
        <w:trPr>
          <w:cantSplit/>
        </w:trPr>
        <w:tc>
          <w:tcPr>
            <w:tcW w:w="3476" w:type="dxa"/>
            <w:tcBorders>
              <w:top w:val="single" w:sz="4" w:space="0" w:color="auto"/>
            </w:tcBorders>
            <w:shd w:val="clear" w:color="auto" w:fill="67AE3C"/>
            <w:vAlign w:val="center"/>
          </w:tcPr>
          <w:p w:rsidR="007D4440" w:rsidRPr="002E1E74" w:rsidRDefault="007D4440" w:rsidP="00ED3A6A">
            <w:pPr>
              <w:jc w:val="center"/>
              <w:rPr>
                <w:rFonts w:ascii="Cambria" w:hAnsi="Cambria" w:cs="Cambria"/>
                <w:b/>
                <w:bCs/>
                <w:i/>
                <w:iCs/>
                <w:noProof/>
                <w:color w:val="FFFFFF"/>
                <w:sz w:val="20"/>
                <w:szCs w:val="20"/>
              </w:rPr>
            </w:pPr>
            <w:r w:rsidRPr="002E1E74">
              <w:rPr>
                <w:rFonts w:ascii="Cambria" w:hAnsi="Cambria" w:cs="Cambria"/>
                <w:b/>
                <w:bCs/>
                <w:noProof/>
                <w:color w:val="FFFFFF"/>
                <w:sz w:val="20"/>
                <w:szCs w:val="20"/>
              </w:rPr>
              <w:t xml:space="preserve">Competence </w:t>
            </w:r>
            <w:r w:rsidRPr="002E1E74">
              <w:rPr>
                <w:rFonts w:ascii="Cambria" w:hAnsi="Cambria" w:cs="Cambria"/>
                <w:b/>
                <w:bCs/>
                <w:i/>
                <w:iCs/>
                <w:noProof/>
                <w:color w:val="FFFFFF"/>
                <w:sz w:val="20"/>
                <w:szCs w:val="20"/>
              </w:rPr>
              <w:t>Ratione personae:</w:t>
            </w:r>
          </w:p>
        </w:tc>
        <w:tc>
          <w:tcPr>
            <w:tcW w:w="5884" w:type="dxa"/>
            <w:tcBorders>
              <w:top w:val="single" w:sz="4" w:space="0" w:color="auto"/>
              <w:right w:val="single" w:sz="6" w:space="0" w:color="auto"/>
            </w:tcBorders>
            <w:vAlign w:val="center"/>
          </w:tcPr>
          <w:p w:rsidR="007D4440" w:rsidRPr="002E1E74" w:rsidRDefault="007D4440" w:rsidP="00ED3A6A">
            <w:pPr>
              <w:rPr>
                <w:rFonts w:ascii="Cambria" w:hAnsi="Cambria" w:cs="Cambria"/>
                <w:noProof/>
                <w:sz w:val="20"/>
                <w:szCs w:val="20"/>
              </w:rPr>
            </w:pPr>
            <w:r w:rsidRPr="002E1E74">
              <w:rPr>
                <w:rFonts w:ascii="Cambria" w:hAnsi="Cambria" w:cs="Cambria"/>
                <w:noProof/>
                <w:sz w:val="20"/>
                <w:szCs w:val="20"/>
              </w:rPr>
              <w:t>Yes</w:t>
            </w:r>
          </w:p>
        </w:tc>
      </w:tr>
      <w:tr w:rsidR="007D4440" w:rsidRPr="002E1E74" w:rsidTr="00FB2BB9">
        <w:trPr>
          <w:cantSplit/>
        </w:trPr>
        <w:tc>
          <w:tcPr>
            <w:tcW w:w="3476" w:type="dxa"/>
            <w:shd w:val="clear" w:color="auto" w:fill="67AE3C"/>
            <w:vAlign w:val="center"/>
          </w:tcPr>
          <w:p w:rsidR="007D4440" w:rsidRPr="002E1E74" w:rsidRDefault="007D4440" w:rsidP="00ED3A6A">
            <w:pPr>
              <w:jc w:val="center"/>
              <w:rPr>
                <w:rFonts w:ascii="Cambria" w:hAnsi="Cambria" w:cs="Cambria"/>
                <w:b/>
                <w:bCs/>
                <w:noProof/>
                <w:color w:val="FFFFFF"/>
                <w:sz w:val="20"/>
                <w:szCs w:val="20"/>
              </w:rPr>
            </w:pPr>
            <w:r w:rsidRPr="002E1E74">
              <w:rPr>
                <w:rFonts w:ascii="Cambria" w:hAnsi="Cambria" w:cs="Cambria"/>
                <w:b/>
                <w:bCs/>
                <w:noProof/>
                <w:color w:val="FFFFFF"/>
                <w:sz w:val="20"/>
                <w:szCs w:val="20"/>
              </w:rPr>
              <w:t xml:space="preserve">Competence </w:t>
            </w:r>
            <w:r w:rsidRPr="002E1E74">
              <w:rPr>
                <w:rFonts w:ascii="Cambria" w:hAnsi="Cambria" w:cs="Cambria"/>
                <w:b/>
                <w:bCs/>
                <w:i/>
                <w:iCs/>
                <w:noProof/>
                <w:color w:val="FFFFFF"/>
                <w:sz w:val="20"/>
                <w:szCs w:val="20"/>
              </w:rPr>
              <w:t>Ratione loci</w:t>
            </w:r>
            <w:r w:rsidRPr="002E1E74">
              <w:rPr>
                <w:rFonts w:ascii="Cambria" w:hAnsi="Cambria" w:cs="Cambria"/>
                <w:b/>
                <w:bCs/>
                <w:noProof/>
                <w:color w:val="FFFFFF"/>
                <w:sz w:val="20"/>
                <w:szCs w:val="20"/>
              </w:rPr>
              <w:t>:</w:t>
            </w:r>
          </w:p>
        </w:tc>
        <w:tc>
          <w:tcPr>
            <w:tcW w:w="5884" w:type="dxa"/>
            <w:tcBorders>
              <w:right w:val="single" w:sz="6" w:space="0" w:color="auto"/>
            </w:tcBorders>
            <w:vAlign w:val="center"/>
          </w:tcPr>
          <w:p w:rsidR="007D4440" w:rsidRPr="002E1E74" w:rsidRDefault="007D4440" w:rsidP="00ED3A6A">
            <w:pPr>
              <w:rPr>
                <w:rFonts w:ascii="Cambria" w:hAnsi="Cambria" w:cs="Cambria"/>
                <w:noProof/>
                <w:sz w:val="20"/>
                <w:szCs w:val="20"/>
              </w:rPr>
            </w:pPr>
            <w:r w:rsidRPr="002E1E74">
              <w:rPr>
                <w:rFonts w:ascii="Cambria" w:hAnsi="Cambria" w:cs="Cambria"/>
                <w:noProof/>
                <w:sz w:val="20"/>
                <w:szCs w:val="20"/>
              </w:rPr>
              <w:t>Yes</w:t>
            </w:r>
          </w:p>
        </w:tc>
      </w:tr>
      <w:tr w:rsidR="007D4440" w:rsidRPr="002E1E74" w:rsidTr="00FB2BB9">
        <w:trPr>
          <w:cantSplit/>
        </w:trPr>
        <w:tc>
          <w:tcPr>
            <w:tcW w:w="3476" w:type="dxa"/>
            <w:shd w:val="clear" w:color="auto" w:fill="67AE3C"/>
            <w:vAlign w:val="center"/>
          </w:tcPr>
          <w:p w:rsidR="007D4440" w:rsidRPr="002E1E74" w:rsidRDefault="007D4440" w:rsidP="00ED3A6A">
            <w:pPr>
              <w:jc w:val="center"/>
              <w:rPr>
                <w:rFonts w:ascii="Cambria" w:hAnsi="Cambria" w:cs="Cambria"/>
                <w:b/>
                <w:bCs/>
                <w:noProof/>
                <w:color w:val="FFFFFF"/>
                <w:sz w:val="20"/>
                <w:szCs w:val="20"/>
              </w:rPr>
            </w:pPr>
            <w:r w:rsidRPr="002E1E74">
              <w:rPr>
                <w:rFonts w:ascii="Cambria" w:hAnsi="Cambria" w:cs="Cambria"/>
                <w:b/>
                <w:bCs/>
                <w:noProof/>
                <w:color w:val="FFFFFF"/>
                <w:sz w:val="20"/>
                <w:szCs w:val="20"/>
              </w:rPr>
              <w:t xml:space="preserve">Competence </w:t>
            </w:r>
            <w:r w:rsidRPr="002E1E74">
              <w:rPr>
                <w:rFonts w:ascii="Cambria" w:hAnsi="Cambria" w:cs="Cambria"/>
                <w:b/>
                <w:bCs/>
                <w:i/>
                <w:iCs/>
                <w:noProof/>
                <w:color w:val="FFFFFF"/>
                <w:sz w:val="20"/>
                <w:szCs w:val="20"/>
              </w:rPr>
              <w:t>Ratione temporis</w:t>
            </w:r>
            <w:r w:rsidRPr="002E1E74">
              <w:rPr>
                <w:rFonts w:ascii="Cambria" w:hAnsi="Cambria" w:cs="Cambria"/>
                <w:b/>
                <w:bCs/>
                <w:noProof/>
                <w:color w:val="FFFFFF"/>
                <w:sz w:val="20"/>
                <w:szCs w:val="20"/>
              </w:rPr>
              <w:t>:</w:t>
            </w:r>
          </w:p>
        </w:tc>
        <w:tc>
          <w:tcPr>
            <w:tcW w:w="5884" w:type="dxa"/>
            <w:tcBorders>
              <w:right w:val="single" w:sz="6" w:space="0" w:color="auto"/>
            </w:tcBorders>
            <w:vAlign w:val="center"/>
          </w:tcPr>
          <w:p w:rsidR="007D4440" w:rsidRPr="002E1E74" w:rsidRDefault="007D4440" w:rsidP="00ED3A6A">
            <w:pPr>
              <w:rPr>
                <w:noProof/>
                <w:sz w:val="20"/>
                <w:szCs w:val="20"/>
              </w:rPr>
            </w:pPr>
            <w:r w:rsidRPr="002E1E74">
              <w:rPr>
                <w:noProof/>
                <w:sz w:val="20"/>
                <w:szCs w:val="20"/>
              </w:rPr>
              <w:t>Yes</w:t>
            </w:r>
          </w:p>
        </w:tc>
      </w:tr>
      <w:tr w:rsidR="007D4440" w:rsidRPr="002E1E74" w:rsidTr="00FB2BB9">
        <w:trPr>
          <w:cantSplit/>
        </w:trPr>
        <w:tc>
          <w:tcPr>
            <w:tcW w:w="3476" w:type="dxa"/>
            <w:tcBorders>
              <w:bottom w:val="single" w:sz="4" w:space="0" w:color="auto"/>
            </w:tcBorders>
            <w:shd w:val="clear" w:color="auto" w:fill="67AE3C"/>
            <w:vAlign w:val="center"/>
          </w:tcPr>
          <w:p w:rsidR="007D4440" w:rsidRPr="002E1E74" w:rsidRDefault="007D4440" w:rsidP="00ED3A6A">
            <w:pPr>
              <w:jc w:val="center"/>
              <w:rPr>
                <w:rFonts w:ascii="Cambria" w:hAnsi="Cambria" w:cs="Cambria"/>
                <w:b/>
                <w:bCs/>
                <w:noProof/>
                <w:color w:val="FFFFFF"/>
                <w:sz w:val="20"/>
                <w:szCs w:val="20"/>
              </w:rPr>
            </w:pPr>
            <w:r w:rsidRPr="002E1E74">
              <w:rPr>
                <w:rFonts w:ascii="Cambria" w:hAnsi="Cambria" w:cs="Cambria"/>
                <w:b/>
                <w:bCs/>
                <w:noProof/>
                <w:color w:val="FFFFFF"/>
                <w:sz w:val="20"/>
                <w:szCs w:val="20"/>
              </w:rPr>
              <w:t xml:space="preserve">Competence </w:t>
            </w:r>
            <w:r w:rsidRPr="002E1E74">
              <w:rPr>
                <w:rFonts w:ascii="Cambria" w:hAnsi="Cambria" w:cs="Cambria"/>
                <w:b/>
                <w:bCs/>
                <w:i/>
                <w:iCs/>
                <w:noProof/>
                <w:color w:val="FFFFFF"/>
                <w:sz w:val="20"/>
                <w:szCs w:val="20"/>
              </w:rPr>
              <w:t>Ratione materiae</w:t>
            </w:r>
            <w:r w:rsidRPr="002E1E74">
              <w:rPr>
                <w:rFonts w:ascii="Cambria" w:hAnsi="Cambria" w:cs="Cambria"/>
                <w:b/>
                <w:bCs/>
                <w:noProof/>
                <w:color w:val="FFFFFF"/>
                <w:sz w:val="20"/>
                <w:szCs w:val="20"/>
              </w:rPr>
              <w:t>:</w:t>
            </w:r>
          </w:p>
        </w:tc>
        <w:tc>
          <w:tcPr>
            <w:tcW w:w="5884" w:type="dxa"/>
            <w:tcBorders>
              <w:bottom w:val="single" w:sz="4" w:space="0" w:color="auto"/>
              <w:right w:val="single" w:sz="6" w:space="0" w:color="auto"/>
            </w:tcBorders>
            <w:vAlign w:val="center"/>
          </w:tcPr>
          <w:p w:rsidR="007D4440" w:rsidRPr="002E1E74" w:rsidRDefault="001332CC" w:rsidP="001332CC">
            <w:pPr>
              <w:rPr>
                <w:rFonts w:ascii="Cambria" w:hAnsi="Cambria" w:cs="Cambria"/>
                <w:noProof/>
                <w:sz w:val="20"/>
                <w:szCs w:val="20"/>
              </w:rPr>
            </w:pPr>
            <w:r>
              <w:rPr>
                <w:rFonts w:ascii="Cambria" w:hAnsi="Cambria" w:cs="Cambria"/>
                <w:noProof/>
                <w:sz w:val="20"/>
                <w:szCs w:val="20"/>
              </w:rPr>
              <w:t xml:space="preserve">Yes, </w:t>
            </w:r>
            <w:r w:rsidR="007D4440" w:rsidRPr="002E1E74">
              <w:rPr>
                <w:rFonts w:ascii="Cambria" w:hAnsi="Cambria" w:cs="Cambria"/>
                <w:noProof/>
                <w:sz w:val="20"/>
                <w:szCs w:val="20"/>
              </w:rPr>
              <w:t>American Convention (instrument of ratification deposited on July 31, 1973) and Inter-American Convention to Prevent and Punish Torture (instrument of ratification deposited on January 19, 1999)</w:t>
            </w:r>
          </w:p>
        </w:tc>
      </w:tr>
    </w:tbl>
    <w:p w:rsidR="007D4440" w:rsidRPr="002E1E74" w:rsidRDefault="007D4440" w:rsidP="0010306C">
      <w:pPr>
        <w:spacing w:before="240" w:after="240"/>
        <w:ind w:firstLine="720"/>
        <w:jc w:val="both"/>
        <w:rPr>
          <w:rFonts w:ascii="Cambria" w:hAnsi="Cambria" w:cs="Cambria"/>
          <w:b/>
          <w:bCs/>
          <w:noProof/>
          <w:sz w:val="20"/>
          <w:szCs w:val="20"/>
        </w:rPr>
      </w:pPr>
      <w:r w:rsidRPr="002E1E74">
        <w:rPr>
          <w:rFonts w:ascii="Cambria" w:hAnsi="Cambria" w:cs="Cambria"/>
          <w:b/>
          <w:bCs/>
          <w:noProof/>
          <w:sz w:val="20"/>
          <w:szCs w:val="20"/>
        </w:rPr>
        <w:t xml:space="preserve">IV. </w:t>
      </w:r>
      <w:r w:rsidRPr="002E1E74">
        <w:rPr>
          <w:rFonts w:ascii="Cambria" w:hAnsi="Cambria" w:cs="Cambria"/>
          <w:b/>
          <w:bCs/>
          <w:noProof/>
          <w:sz w:val="20"/>
          <w:szCs w:val="20"/>
        </w:rPr>
        <w:tab/>
        <w:t xml:space="preserve">DUPLICATION OF PROCEDURES AND INTERNATIONAL </w:t>
      </w:r>
      <w:r w:rsidRPr="002E1E74">
        <w:rPr>
          <w:rFonts w:ascii="Cambria" w:hAnsi="Cambria" w:cs="Cambria"/>
          <w:b/>
          <w:bCs/>
          <w:i/>
          <w:iCs/>
          <w:noProof/>
          <w:sz w:val="20"/>
          <w:szCs w:val="20"/>
        </w:rPr>
        <w:t>RES JUDICATA</w:t>
      </w:r>
      <w:r w:rsidRPr="002E1E74">
        <w:rPr>
          <w:rFonts w:ascii="Cambria" w:hAnsi="Cambria" w:cs="Cambria"/>
          <w:b/>
          <w:bCs/>
          <w:noProof/>
          <w:sz w:val="20"/>
          <w:szCs w:val="20"/>
        </w:rPr>
        <w:t>, COLORABLE CLAIM, EXHAUSTION OF DOMESTIC REMEDIES AND TIMELINESS OF THE PETITION</w:t>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476"/>
        <w:gridCol w:w="5884"/>
      </w:tblGrid>
      <w:tr w:rsidR="007D4440" w:rsidRPr="002E1E74" w:rsidTr="00FB2BB9">
        <w:trPr>
          <w:cantSplit/>
        </w:trPr>
        <w:tc>
          <w:tcPr>
            <w:tcW w:w="3476" w:type="dxa"/>
            <w:tcBorders>
              <w:top w:val="single" w:sz="4" w:space="0" w:color="auto"/>
            </w:tcBorders>
            <w:shd w:val="clear" w:color="auto" w:fill="67AE3C"/>
            <w:vAlign w:val="center"/>
          </w:tcPr>
          <w:p w:rsidR="007D4440" w:rsidRPr="002E1E74" w:rsidRDefault="007D4440" w:rsidP="00ED3A6A">
            <w:pPr>
              <w:jc w:val="center"/>
              <w:rPr>
                <w:rFonts w:ascii="Cambria" w:hAnsi="Cambria" w:cs="Cambria"/>
                <w:b/>
                <w:bCs/>
                <w:noProof/>
                <w:color w:val="FFFFFF"/>
                <w:sz w:val="20"/>
                <w:szCs w:val="20"/>
              </w:rPr>
            </w:pPr>
            <w:r w:rsidRPr="002E1E74">
              <w:rPr>
                <w:rFonts w:ascii="Cambria" w:hAnsi="Cambria" w:cs="Cambria"/>
                <w:b/>
                <w:bCs/>
                <w:noProof/>
                <w:color w:val="FFFFFF"/>
                <w:sz w:val="20"/>
                <w:szCs w:val="20"/>
              </w:rPr>
              <w:t xml:space="preserve">Duplication of procedures and International </w:t>
            </w:r>
            <w:r w:rsidRPr="002E1E74">
              <w:rPr>
                <w:rFonts w:ascii="Cambria" w:hAnsi="Cambria" w:cs="Cambria"/>
                <w:b/>
                <w:bCs/>
                <w:i/>
                <w:iCs/>
                <w:noProof/>
                <w:color w:val="FFFFFF"/>
                <w:sz w:val="20"/>
                <w:szCs w:val="20"/>
              </w:rPr>
              <w:t>res judicata</w:t>
            </w:r>
            <w:r w:rsidRPr="002E1E74">
              <w:rPr>
                <w:rFonts w:ascii="Cambria" w:hAnsi="Cambria" w:cs="Cambria"/>
                <w:b/>
                <w:bCs/>
                <w:noProof/>
                <w:color w:val="FFFFFF"/>
                <w:sz w:val="20"/>
                <w:szCs w:val="20"/>
              </w:rPr>
              <w:t>:</w:t>
            </w:r>
          </w:p>
        </w:tc>
        <w:tc>
          <w:tcPr>
            <w:tcW w:w="5884" w:type="dxa"/>
            <w:tcBorders>
              <w:top w:val="single" w:sz="4" w:space="0" w:color="auto"/>
              <w:right w:val="single" w:sz="6" w:space="0" w:color="auto"/>
            </w:tcBorders>
            <w:vAlign w:val="center"/>
          </w:tcPr>
          <w:p w:rsidR="007D4440" w:rsidRPr="002E1E74" w:rsidRDefault="007D4440" w:rsidP="00ED3A6A">
            <w:pPr>
              <w:rPr>
                <w:rFonts w:ascii="Cambria" w:hAnsi="Cambria" w:cs="Cambria"/>
                <w:noProof/>
                <w:sz w:val="20"/>
                <w:szCs w:val="20"/>
              </w:rPr>
            </w:pPr>
            <w:r w:rsidRPr="002E1E74">
              <w:rPr>
                <w:rFonts w:ascii="Cambria" w:hAnsi="Cambria" w:cs="Cambria"/>
                <w:noProof/>
                <w:sz w:val="20"/>
                <w:szCs w:val="20"/>
              </w:rPr>
              <w:t>No</w:t>
            </w:r>
          </w:p>
        </w:tc>
      </w:tr>
      <w:tr w:rsidR="007D4440" w:rsidRPr="002E1E74" w:rsidTr="00FB2BB9">
        <w:trPr>
          <w:cantSplit/>
        </w:trPr>
        <w:tc>
          <w:tcPr>
            <w:tcW w:w="3476" w:type="dxa"/>
            <w:shd w:val="clear" w:color="auto" w:fill="67AE3C"/>
            <w:vAlign w:val="center"/>
          </w:tcPr>
          <w:p w:rsidR="007D4440" w:rsidRPr="002E1E74" w:rsidRDefault="007D4440" w:rsidP="00ED3A6A">
            <w:pPr>
              <w:jc w:val="center"/>
              <w:rPr>
                <w:rFonts w:ascii="Cambria" w:hAnsi="Cambria" w:cs="Cambria"/>
                <w:b/>
                <w:bCs/>
                <w:noProof/>
                <w:color w:val="FFFFFF"/>
                <w:sz w:val="20"/>
                <w:szCs w:val="20"/>
              </w:rPr>
            </w:pPr>
            <w:r w:rsidRPr="002E1E74">
              <w:rPr>
                <w:rFonts w:ascii="Cambria" w:hAnsi="Cambria" w:cs="Cambria"/>
                <w:b/>
                <w:bCs/>
                <w:noProof/>
                <w:color w:val="FFFFFF"/>
                <w:sz w:val="20"/>
                <w:szCs w:val="20"/>
              </w:rPr>
              <w:t>Rights declared admissible</w:t>
            </w:r>
          </w:p>
        </w:tc>
        <w:tc>
          <w:tcPr>
            <w:tcW w:w="5884" w:type="dxa"/>
            <w:tcBorders>
              <w:right w:val="single" w:sz="6" w:space="0" w:color="auto"/>
            </w:tcBorders>
            <w:vAlign w:val="center"/>
          </w:tcPr>
          <w:p w:rsidR="007D4440" w:rsidRPr="002E1E74" w:rsidRDefault="007D4440" w:rsidP="00ED3A6A">
            <w:pPr>
              <w:rPr>
                <w:rFonts w:ascii="Cambria" w:hAnsi="Cambria" w:cs="Cambria"/>
                <w:noProof/>
                <w:sz w:val="20"/>
                <w:szCs w:val="20"/>
              </w:rPr>
            </w:pPr>
            <w:r w:rsidRPr="002E1E74">
              <w:rPr>
                <w:rFonts w:ascii="Cambria" w:hAnsi="Cambria" w:cs="Cambria"/>
                <w:noProof/>
                <w:sz w:val="20"/>
                <w:szCs w:val="20"/>
              </w:rPr>
              <w:t>Articles 4 (life), 5 (humane treatment), 7 (personal liberty), 8 (right to a fair trial),</w:t>
            </w:r>
            <w:r>
              <w:rPr>
                <w:rFonts w:ascii="Cambria" w:hAnsi="Cambria" w:cs="Cambria"/>
                <w:noProof/>
                <w:sz w:val="20"/>
                <w:szCs w:val="20"/>
              </w:rPr>
              <w:t xml:space="preserve"> </w:t>
            </w:r>
            <w:r w:rsidRPr="002E1E74">
              <w:rPr>
                <w:rFonts w:ascii="Cambria" w:hAnsi="Cambria" w:cs="Cambria"/>
                <w:noProof/>
                <w:sz w:val="20"/>
                <w:szCs w:val="20"/>
              </w:rPr>
              <w:t>and 25 (judicial protection) of the American Convention, in conjunction with Article 1.1 thereof; and Articles 1, 6, and 8 of the Inter-American Convention to Prevent and Punish Torture</w:t>
            </w:r>
          </w:p>
        </w:tc>
      </w:tr>
      <w:tr w:rsidR="007D4440" w:rsidRPr="002E1E74" w:rsidTr="00FB2BB9">
        <w:trPr>
          <w:cantSplit/>
        </w:trPr>
        <w:tc>
          <w:tcPr>
            <w:tcW w:w="3476" w:type="dxa"/>
            <w:shd w:val="clear" w:color="auto" w:fill="67AE3C"/>
            <w:vAlign w:val="center"/>
          </w:tcPr>
          <w:p w:rsidR="007D4440" w:rsidRPr="002E1E74" w:rsidRDefault="007D4440" w:rsidP="00ED3A6A">
            <w:pPr>
              <w:jc w:val="center"/>
              <w:rPr>
                <w:rFonts w:ascii="Cambria" w:hAnsi="Cambria" w:cs="Cambria"/>
                <w:b/>
                <w:bCs/>
                <w:noProof/>
                <w:color w:val="FFFFFF"/>
                <w:sz w:val="20"/>
                <w:szCs w:val="20"/>
              </w:rPr>
            </w:pPr>
            <w:r w:rsidRPr="002E1E74">
              <w:rPr>
                <w:rFonts w:ascii="Cambria" w:hAnsi="Cambria" w:cs="Cambria"/>
                <w:b/>
                <w:bCs/>
                <w:noProof/>
                <w:color w:val="FFFFFF"/>
                <w:sz w:val="20"/>
                <w:szCs w:val="20"/>
              </w:rPr>
              <w:t>Exhaustion of domestic remedies or applicability of an exception to the rule:</w:t>
            </w:r>
          </w:p>
        </w:tc>
        <w:tc>
          <w:tcPr>
            <w:tcW w:w="5884" w:type="dxa"/>
            <w:tcBorders>
              <w:right w:val="single" w:sz="6" w:space="0" w:color="auto"/>
            </w:tcBorders>
            <w:vAlign w:val="center"/>
          </w:tcPr>
          <w:p w:rsidR="001332CC" w:rsidRPr="001332CC" w:rsidRDefault="001332CC" w:rsidP="001332CC">
            <w:pPr>
              <w:rPr>
                <w:rFonts w:ascii="Cambria" w:hAnsi="Cambria" w:cs="Cambria"/>
                <w:noProof/>
                <w:sz w:val="20"/>
                <w:szCs w:val="20"/>
              </w:rPr>
            </w:pPr>
            <w:r>
              <w:rPr>
                <w:rFonts w:ascii="Cambria" w:hAnsi="Cambria" w:cs="Cambria"/>
                <w:noProof/>
                <w:sz w:val="20"/>
                <w:szCs w:val="20"/>
              </w:rPr>
              <w:t xml:space="preserve">Yes, </w:t>
            </w:r>
            <w:r w:rsidRPr="001332CC">
              <w:rPr>
                <w:rFonts w:ascii="Cambria" w:hAnsi="Cambria" w:cs="Cambria"/>
                <w:noProof/>
                <w:sz w:val="20"/>
                <w:szCs w:val="20"/>
              </w:rPr>
              <w:t>exception provided for at Article 46</w:t>
            </w:r>
            <w:r>
              <w:rPr>
                <w:rFonts w:ascii="Cambria" w:hAnsi="Cambria" w:cs="Cambria"/>
                <w:noProof/>
                <w:sz w:val="20"/>
                <w:szCs w:val="20"/>
              </w:rPr>
              <w:t>.</w:t>
            </w:r>
            <w:r w:rsidRPr="001332CC">
              <w:rPr>
                <w:rFonts w:ascii="Cambria" w:hAnsi="Cambria" w:cs="Cambria"/>
                <w:noProof/>
                <w:sz w:val="20"/>
                <w:szCs w:val="20"/>
              </w:rPr>
              <w:t>2</w:t>
            </w:r>
            <w:r>
              <w:rPr>
                <w:rFonts w:ascii="Cambria" w:hAnsi="Cambria" w:cs="Cambria"/>
                <w:noProof/>
                <w:sz w:val="20"/>
                <w:szCs w:val="20"/>
              </w:rPr>
              <w:t>.</w:t>
            </w:r>
            <w:r w:rsidRPr="001332CC">
              <w:rPr>
                <w:rFonts w:ascii="Cambria" w:hAnsi="Cambria" w:cs="Cambria"/>
                <w:noProof/>
                <w:sz w:val="20"/>
                <w:szCs w:val="20"/>
              </w:rPr>
              <w:t>c of the</w:t>
            </w:r>
          </w:p>
          <w:p w:rsidR="007D4440" w:rsidRPr="002E1E74" w:rsidRDefault="001332CC" w:rsidP="001332CC">
            <w:pPr>
              <w:rPr>
                <w:rFonts w:ascii="Cambria" w:hAnsi="Cambria" w:cs="Cambria"/>
                <w:noProof/>
                <w:sz w:val="20"/>
                <w:szCs w:val="20"/>
              </w:rPr>
            </w:pPr>
            <w:r w:rsidRPr="001332CC">
              <w:rPr>
                <w:rFonts w:ascii="Cambria" w:hAnsi="Cambria" w:cs="Cambria"/>
                <w:noProof/>
                <w:sz w:val="20"/>
                <w:szCs w:val="20"/>
              </w:rPr>
              <w:t>American Convention</w:t>
            </w:r>
            <w:r w:rsidR="007D4440" w:rsidRPr="002E1E74">
              <w:rPr>
                <w:rFonts w:ascii="Cambria" w:hAnsi="Cambria" w:cs="Cambria"/>
                <w:noProof/>
                <w:sz w:val="20"/>
                <w:szCs w:val="20"/>
              </w:rPr>
              <w:t xml:space="preserve"> </w:t>
            </w:r>
          </w:p>
        </w:tc>
      </w:tr>
      <w:tr w:rsidR="007D4440" w:rsidRPr="002E1E74" w:rsidTr="00FB2BB9">
        <w:trPr>
          <w:cantSplit/>
        </w:trPr>
        <w:tc>
          <w:tcPr>
            <w:tcW w:w="3476" w:type="dxa"/>
            <w:tcBorders>
              <w:bottom w:val="single" w:sz="4" w:space="0" w:color="auto"/>
            </w:tcBorders>
            <w:shd w:val="clear" w:color="auto" w:fill="67AE3C"/>
            <w:vAlign w:val="center"/>
          </w:tcPr>
          <w:p w:rsidR="007D4440" w:rsidRPr="002E1E74" w:rsidRDefault="007D4440" w:rsidP="00ED3A6A">
            <w:pPr>
              <w:jc w:val="center"/>
              <w:rPr>
                <w:rFonts w:ascii="Cambria" w:hAnsi="Cambria" w:cs="Cambria"/>
                <w:b/>
                <w:bCs/>
                <w:noProof/>
                <w:color w:val="FFFFFF"/>
                <w:sz w:val="20"/>
                <w:szCs w:val="20"/>
              </w:rPr>
            </w:pPr>
            <w:r w:rsidRPr="002E1E74">
              <w:rPr>
                <w:rFonts w:ascii="Cambria" w:hAnsi="Cambria" w:cs="Cambria"/>
                <w:b/>
                <w:bCs/>
                <w:noProof/>
                <w:color w:val="FFFFFF"/>
                <w:sz w:val="20"/>
                <w:szCs w:val="20"/>
              </w:rPr>
              <w:lastRenderedPageBreak/>
              <w:t>Timeliness of the petition:</w:t>
            </w:r>
          </w:p>
        </w:tc>
        <w:tc>
          <w:tcPr>
            <w:tcW w:w="5884" w:type="dxa"/>
            <w:tcBorders>
              <w:bottom w:val="single" w:sz="4" w:space="0" w:color="auto"/>
              <w:right w:val="single" w:sz="6" w:space="0" w:color="auto"/>
            </w:tcBorders>
            <w:vAlign w:val="center"/>
          </w:tcPr>
          <w:p w:rsidR="007D4440" w:rsidRPr="002E1E74" w:rsidRDefault="007D4440" w:rsidP="001332CC">
            <w:pPr>
              <w:rPr>
                <w:rFonts w:ascii="Cambria" w:hAnsi="Cambria" w:cs="Cambria"/>
                <w:noProof/>
                <w:sz w:val="20"/>
                <w:szCs w:val="20"/>
              </w:rPr>
            </w:pPr>
            <w:r w:rsidRPr="002E1E74">
              <w:rPr>
                <w:rFonts w:ascii="Cambria" w:hAnsi="Cambria" w:cs="Cambria"/>
                <w:noProof/>
                <w:sz w:val="20"/>
                <w:szCs w:val="20"/>
              </w:rPr>
              <w:t xml:space="preserve">Yes, as </w:t>
            </w:r>
            <w:r w:rsidR="001332CC">
              <w:rPr>
                <w:rFonts w:ascii="Cambria" w:hAnsi="Cambria" w:cs="Cambria"/>
                <w:noProof/>
                <w:sz w:val="20"/>
                <w:szCs w:val="20"/>
              </w:rPr>
              <w:t>set</w:t>
            </w:r>
            <w:r w:rsidRPr="002E1E74">
              <w:rPr>
                <w:rFonts w:ascii="Cambria" w:hAnsi="Cambria" w:cs="Cambria"/>
                <w:noProof/>
                <w:sz w:val="20"/>
                <w:szCs w:val="20"/>
              </w:rPr>
              <w:t xml:space="preserve"> in section VI</w:t>
            </w:r>
          </w:p>
        </w:tc>
      </w:tr>
    </w:tbl>
    <w:p w:rsidR="007D4440" w:rsidRPr="002E1E74" w:rsidRDefault="007D4440" w:rsidP="0010306C">
      <w:pPr>
        <w:spacing w:before="240" w:after="240"/>
        <w:ind w:firstLine="720"/>
        <w:jc w:val="both"/>
        <w:rPr>
          <w:rFonts w:ascii="Cambria" w:hAnsi="Cambria" w:cs="Cambria"/>
          <w:b/>
          <w:bCs/>
          <w:noProof/>
          <w:sz w:val="20"/>
          <w:szCs w:val="20"/>
        </w:rPr>
      </w:pPr>
      <w:r w:rsidRPr="002E1E74">
        <w:rPr>
          <w:rFonts w:ascii="Cambria" w:hAnsi="Cambria" w:cs="Cambria"/>
          <w:b/>
          <w:bCs/>
          <w:noProof/>
          <w:sz w:val="20"/>
          <w:szCs w:val="20"/>
        </w:rPr>
        <w:t xml:space="preserve">V. </w:t>
      </w:r>
      <w:r w:rsidRPr="002E1E74">
        <w:rPr>
          <w:rFonts w:ascii="Cambria" w:hAnsi="Cambria" w:cs="Cambria"/>
          <w:b/>
          <w:bCs/>
          <w:noProof/>
          <w:sz w:val="20"/>
          <w:szCs w:val="20"/>
        </w:rPr>
        <w:tab/>
        <w:t>FACTS ALLEGED</w:t>
      </w:r>
      <w:r w:rsidRPr="002E1E74">
        <w:rPr>
          <w:rFonts w:ascii="Cambria" w:hAnsi="Cambria" w:cs="Cambria"/>
          <w:noProof/>
          <w:sz w:val="20"/>
          <w:szCs w:val="20"/>
        </w:rPr>
        <w:t xml:space="preserve"> </w:t>
      </w:r>
    </w:p>
    <w:p w:rsidR="007D4440" w:rsidRPr="002E1E74" w:rsidRDefault="007D4440" w:rsidP="0010306C">
      <w:pPr>
        <w:numPr>
          <w:ilvl w:val="0"/>
          <w:numId w:val="51"/>
        </w:numPr>
        <w:suppressAutoHyphens/>
        <w:spacing w:after="240"/>
        <w:jc w:val="both"/>
        <w:rPr>
          <w:rFonts w:ascii="Cambria" w:hAnsi="Cambria" w:cs="Cambria"/>
          <w:noProof/>
          <w:sz w:val="20"/>
          <w:szCs w:val="20"/>
        </w:rPr>
      </w:pPr>
      <w:r w:rsidRPr="002E1E74">
        <w:rPr>
          <w:rFonts w:ascii="Cambria" w:hAnsi="Cambria" w:cs="Cambria"/>
          <w:noProof/>
          <w:sz w:val="20"/>
          <w:szCs w:val="20"/>
        </w:rPr>
        <w:t xml:space="preserve">The petitioners state that José Ricardo Parra Hurtado and Félix Alberto Páez Suárez (hereinafter </w:t>
      </w:r>
      <w:r>
        <w:rPr>
          <w:rFonts w:ascii="Cambria" w:hAnsi="Cambria" w:cs="Cambria"/>
          <w:noProof/>
          <w:sz w:val="20"/>
          <w:szCs w:val="20"/>
        </w:rPr>
        <w:t>“</w:t>
      </w:r>
      <w:r w:rsidRPr="002E1E74">
        <w:rPr>
          <w:rFonts w:ascii="Cambria" w:hAnsi="Cambria" w:cs="Cambria"/>
          <w:noProof/>
          <w:sz w:val="20"/>
          <w:szCs w:val="20"/>
        </w:rPr>
        <w:t>the alleged victims</w:t>
      </w:r>
      <w:r>
        <w:rPr>
          <w:rFonts w:ascii="Cambria" w:hAnsi="Cambria" w:cs="Cambria"/>
          <w:noProof/>
          <w:sz w:val="20"/>
          <w:szCs w:val="20"/>
        </w:rPr>
        <w:t>”</w:t>
      </w:r>
      <w:r w:rsidRPr="002E1E74">
        <w:rPr>
          <w:rFonts w:ascii="Cambria" w:hAnsi="Cambria" w:cs="Cambria"/>
          <w:noProof/>
          <w:sz w:val="20"/>
          <w:szCs w:val="20"/>
        </w:rPr>
        <w:t xml:space="preserve">) planned a meeting to finalize the purchase of a number of boxes of dynamite they had been offered by a group of police officers. They claim that the alleged victims planned to sell the explosives to local mine workers. The meeting was to take place on the night of May 27, 1991, in the city of Chiquinquirá, department of Boyacá. According to witnesses, however, the presumed sellers failed to arrive and a number of unidentified persons forcibly took the alleged victims away to an unknown destination, in a red-and-white official police vehicle. They report that the following day, friends who had begun to search for them found their charred corpses alongside </w:t>
      </w:r>
      <w:r>
        <w:rPr>
          <w:rFonts w:ascii="Cambria" w:hAnsi="Cambria" w:cs="Cambria"/>
          <w:noProof/>
          <w:sz w:val="20"/>
          <w:szCs w:val="20"/>
        </w:rPr>
        <w:t xml:space="preserve">the </w:t>
      </w:r>
      <w:r w:rsidRPr="002E1E74">
        <w:rPr>
          <w:rFonts w:ascii="Cambria" w:hAnsi="Cambria" w:cs="Cambria"/>
          <w:noProof/>
          <w:sz w:val="20"/>
          <w:szCs w:val="20"/>
        </w:rPr>
        <w:t xml:space="preserve">highway </w:t>
      </w:r>
      <w:r>
        <w:rPr>
          <w:rFonts w:ascii="Cambria" w:hAnsi="Cambria" w:cs="Cambria"/>
          <w:noProof/>
          <w:sz w:val="20"/>
          <w:szCs w:val="20"/>
        </w:rPr>
        <w:t xml:space="preserve">leading to </w:t>
      </w:r>
      <w:r w:rsidRPr="002E1E74">
        <w:rPr>
          <w:rFonts w:ascii="Cambria" w:hAnsi="Cambria" w:cs="Cambria"/>
          <w:noProof/>
          <w:sz w:val="20"/>
          <w:szCs w:val="20"/>
        </w:rPr>
        <w:t>the city of Tunja. According to the medical examiner</w:t>
      </w:r>
      <w:r>
        <w:rPr>
          <w:rFonts w:ascii="Cambria" w:hAnsi="Cambria" w:cs="Cambria"/>
          <w:noProof/>
          <w:sz w:val="20"/>
          <w:szCs w:val="20"/>
        </w:rPr>
        <w:t>’</w:t>
      </w:r>
      <w:r w:rsidRPr="002E1E74">
        <w:rPr>
          <w:rFonts w:ascii="Cambria" w:hAnsi="Cambria" w:cs="Cambria"/>
          <w:noProof/>
          <w:sz w:val="20"/>
          <w:szCs w:val="20"/>
        </w:rPr>
        <w:t xml:space="preserve">s report, they had been shot and their bodies showed signs of torture. </w:t>
      </w:r>
    </w:p>
    <w:p w:rsidR="007D4440" w:rsidRPr="002E1E74" w:rsidRDefault="007D4440" w:rsidP="0010306C">
      <w:pPr>
        <w:numPr>
          <w:ilvl w:val="0"/>
          <w:numId w:val="51"/>
        </w:numPr>
        <w:suppressAutoHyphens/>
        <w:spacing w:after="240"/>
        <w:jc w:val="both"/>
        <w:rPr>
          <w:rFonts w:ascii="Cambria" w:hAnsi="Cambria" w:cs="Cambria"/>
          <w:noProof/>
          <w:sz w:val="20"/>
          <w:szCs w:val="20"/>
        </w:rPr>
      </w:pPr>
      <w:r w:rsidRPr="002E1E74">
        <w:rPr>
          <w:rFonts w:ascii="Cambria" w:hAnsi="Cambria" w:cs="Cambria"/>
          <w:noProof/>
          <w:sz w:val="20"/>
          <w:szCs w:val="20"/>
        </w:rPr>
        <w:t>The</w:t>
      </w:r>
      <w:r>
        <w:rPr>
          <w:rFonts w:ascii="Cambria" w:hAnsi="Cambria" w:cs="Cambria"/>
          <w:noProof/>
          <w:sz w:val="20"/>
          <w:szCs w:val="20"/>
        </w:rPr>
        <w:t xml:space="preserve"> petitioners</w:t>
      </w:r>
      <w:r w:rsidRPr="002E1E74">
        <w:rPr>
          <w:rFonts w:ascii="Cambria" w:hAnsi="Cambria" w:cs="Cambria"/>
          <w:noProof/>
          <w:sz w:val="20"/>
          <w:szCs w:val="20"/>
        </w:rPr>
        <w:t xml:space="preserve"> state that during the investigation, the prosecutor assigned to the case issued a</w:t>
      </w:r>
      <w:r>
        <w:rPr>
          <w:rFonts w:ascii="Cambria" w:hAnsi="Cambria" w:cs="Cambria"/>
          <w:noProof/>
          <w:sz w:val="20"/>
          <w:szCs w:val="20"/>
        </w:rPr>
        <w:t>ccusations against</w:t>
      </w:r>
      <w:r w:rsidRPr="002E1E74">
        <w:rPr>
          <w:rFonts w:ascii="Cambria" w:hAnsi="Cambria" w:cs="Cambria"/>
          <w:noProof/>
          <w:sz w:val="20"/>
          <w:szCs w:val="20"/>
        </w:rPr>
        <w:t xml:space="preserve"> two police officers from department F-2 in Tunja and one civilian. Nevertheless, in a </w:t>
      </w:r>
      <w:r>
        <w:rPr>
          <w:rFonts w:ascii="Cambria" w:hAnsi="Cambria" w:cs="Cambria"/>
          <w:noProof/>
          <w:sz w:val="20"/>
          <w:szCs w:val="20"/>
        </w:rPr>
        <w:t xml:space="preserve">court document </w:t>
      </w:r>
      <w:r w:rsidRPr="002E1E74">
        <w:rPr>
          <w:rFonts w:ascii="Cambria" w:hAnsi="Cambria" w:cs="Cambria"/>
          <w:noProof/>
          <w:sz w:val="20"/>
          <w:szCs w:val="20"/>
        </w:rPr>
        <w:t>dated March 3, 1992, the Twelfth Criminal Instruction Court in Tunja ordered the investigation to continue, claiming that there was insufficient evidence. The Public Prosecution Service filed an appeal against that decision, stating that several indications of false explanations, contradictions, and inconsistencies had been found point</w:t>
      </w:r>
      <w:r>
        <w:rPr>
          <w:rFonts w:ascii="Cambria" w:hAnsi="Cambria" w:cs="Cambria"/>
          <w:noProof/>
          <w:sz w:val="20"/>
          <w:szCs w:val="20"/>
        </w:rPr>
        <w:t xml:space="preserve">ing </w:t>
      </w:r>
      <w:r w:rsidRPr="002E1E74">
        <w:rPr>
          <w:rFonts w:ascii="Cambria" w:hAnsi="Cambria" w:cs="Cambria"/>
          <w:noProof/>
          <w:sz w:val="20"/>
          <w:szCs w:val="20"/>
        </w:rPr>
        <w:t xml:space="preserve">to the guilt of three individuals who had been accused. Accordingly, in a judgment of May 29, 1992, the Superior District Court of Tunja found that insufficient grounds existed to file charges against one of the police officers, and thus ratified the decision to continue the investigations with respect to him to better determine his participation in the facts. The petitioners note that to date, the investigation has not been reopened, </w:t>
      </w:r>
      <w:r>
        <w:rPr>
          <w:rFonts w:ascii="Cambria" w:hAnsi="Cambria" w:cs="Cambria"/>
          <w:noProof/>
          <w:sz w:val="20"/>
          <w:szCs w:val="20"/>
        </w:rPr>
        <w:t xml:space="preserve">which </w:t>
      </w:r>
      <w:r w:rsidRPr="002E1E74">
        <w:rPr>
          <w:rFonts w:ascii="Cambria" w:hAnsi="Cambria" w:cs="Cambria"/>
          <w:noProof/>
          <w:sz w:val="20"/>
          <w:szCs w:val="20"/>
        </w:rPr>
        <w:t>clear</w:t>
      </w:r>
      <w:r>
        <w:rPr>
          <w:rFonts w:ascii="Cambria" w:hAnsi="Cambria" w:cs="Cambria"/>
          <w:noProof/>
          <w:sz w:val="20"/>
          <w:szCs w:val="20"/>
        </w:rPr>
        <w:t>ly constitutes</w:t>
      </w:r>
      <w:r w:rsidRPr="002E1E74">
        <w:rPr>
          <w:rFonts w:ascii="Cambria" w:hAnsi="Cambria" w:cs="Cambria"/>
          <w:noProof/>
          <w:sz w:val="20"/>
          <w:szCs w:val="20"/>
        </w:rPr>
        <w:t xml:space="preserve"> impunity. In addition, the judgment found sufficient evidence regarding the other two accused</w:t>
      </w:r>
      <w:r>
        <w:rPr>
          <w:rFonts w:ascii="Cambria" w:hAnsi="Cambria" w:cs="Cambria"/>
          <w:noProof/>
          <w:sz w:val="20"/>
          <w:szCs w:val="20"/>
        </w:rPr>
        <w:t>—</w:t>
      </w:r>
      <w:r w:rsidRPr="002E1E74">
        <w:rPr>
          <w:rFonts w:ascii="Cambria" w:hAnsi="Cambria" w:cs="Cambria"/>
          <w:noProof/>
          <w:sz w:val="20"/>
          <w:szCs w:val="20"/>
        </w:rPr>
        <w:t xml:space="preserve">the civilian </w:t>
      </w:r>
      <w:r>
        <w:rPr>
          <w:rFonts w:ascii="Cambria" w:hAnsi="Cambria" w:cs="Cambria"/>
          <w:noProof/>
          <w:sz w:val="20"/>
          <w:szCs w:val="20"/>
        </w:rPr>
        <w:t>and the other police officer—</w:t>
      </w:r>
      <w:r w:rsidRPr="002E1E74">
        <w:rPr>
          <w:rFonts w:ascii="Cambria" w:hAnsi="Cambria" w:cs="Cambria"/>
          <w:noProof/>
          <w:sz w:val="20"/>
          <w:szCs w:val="20"/>
        </w:rPr>
        <w:t xml:space="preserve">and, consequently, </w:t>
      </w:r>
      <w:r>
        <w:rPr>
          <w:rFonts w:ascii="Cambria" w:hAnsi="Cambria" w:cs="Cambria"/>
          <w:noProof/>
          <w:sz w:val="20"/>
          <w:szCs w:val="20"/>
        </w:rPr>
        <w:t xml:space="preserve">formalized </w:t>
      </w:r>
      <w:r w:rsidRPr="002E1E74">
        <w:rPr>
          <w:rFonts w:ascii="Cambria" w:hAnsi="Cambria" w:cs="Cambria"/>
          <w:noProof/>
          <w:sz w:val="20"/>
          <w:szCs w:val="20"/>
        </w:rPr>
        <w:t>the corresponding charges and ordered their preventive custody. Nevertheless, the petitioners report that the police officer was never arrested and was ruled to be a fugitive from justice. Th</w:t>
      </w:r>
      <w:r>
        <w:rPr>
          <w:rFonts w:ascii="Cambria" w:hAnsi="Cambria" w:cs="Cambria"/>
          <w:noProof/>
          <w:sz w:val="20"/>
          <w:szCs w:val="20"/>
        </w:rPr>
        <w:t xml:space="preserve">e petitioners further </w:t>
      </w:r>
      <w:r w:rsidRPr="002E1E74">
        <w:rPr>
          <w:rFonts w:ascii="Cambria" w:hAnsi="Cambria" w:cs="Cambria"/>
          <w:noProof/>
          <w:sz w:val="20"/>
          <w:szCs w:val="20"/>
        </w:rPr>
        <w:t>report that in May 1992, the Boyacá Police Department, allegedly showing him undue favor, stated that since January of that year it had had no contact with him or information about him. However, police records obtained on a later date indicate that the officer remained on duty until February 23, 1992. They therefore contend that the police authorities hampered the investigations and unduly provided cover for the police officer in question.</w:t>
      </w:r>
    </w:p>
    <w:p w:rsidR="007D4440" w:rsidRPr="002E1E74" w:rsidRDefault="007D4440" w:rsidP="0010306C">
      <w:pPr>
        <w:numPr>
          <w:ilvl w:val="0"/>
          <w:numId w:val="51"/>
        </w:numPr>
        <w:suppressAutoHyphens/>
        <w:spacing w:after="240"/>
        <w:jc w:val="both"/>
        <w:rPr>
          <w:rFonts w:ascii="Cambria" w:hAnsi="Cambria" w:cs="Cambria"/>
          <w:noProof/>
          <w:sz w:val="20"/>
          <w:szCs w:val="20"/>
        </w:rPr>
      </w:pPr>
      <w:r w:rsidRPr="002E1E74">
        <w:rPr>
          <w:rFonts w:ascii="Cambria" w:hAnsi="Cambria" w:cs="Cambria"/>
          <w:noProof/>
          <w:sz w:val="20"/>
          <w:szCs w:val="20"/>
        </w:rPr>
        <w:t>On March 17, 1993, the First Circuit Criminal Court of Tunja found the accused criminally responsible for the crimes of aggravated homicide and qualified theft and sentenced them to prison terms of 25 years and to the payment of material and moral damages to the alleged victims</w:t>
      </w:r>
      <w:r>
        <w:rPr>
          <w:rFonts w:ascii="Cambria" w:hAnsi="Cambria" w:cs="Cambria"/>
          <w:noProof/>
          <w:sz w:val="20"/>
          <w:szCs w:val="20"/>
        </w:rPr>
        <w:t>’</w:t>
      </w:r>
      <w:r w:rsidRPr="002E1E74">
        <w:rPr>
          <w:rFonts w:ascii="Cambria" w:hAnsi="Cambria" w:cs="Cambria"/>
          <w:noProof/>
          <w:sz w:val="20"/>
          <w:szCs w:val="20"/>
        </w:rPr>
        <w:t xml:space="preserve"> families, to be made within four months after the finalization of the judgment. </w:t>
      </w:r>
    </w:p>
    <w:p w:rsidR="007D4440" w:rsidRPr="002E1E74" w:rsidRDefault="007D4440" w:rsidP="0010306C">
      <w:pPr>
        <w:numPr>
          <w:ilvl w:val="0"/>
          <w:numId w:val="51"/>
        </w:numPr>
        <w:suppressAutoHyphens/>
        <w:spacing w:after="240"/>
        <w:jc w:val="both"/>
        <w:rPr>
          <w:rFonts w:ascii="Cambria" w:hAnsi="Cambria" w:cs="Cambria"/>
          <w:noProof/>
          <w:sz w:val="20"/>
          <w:szCs w:val="20"/>
        </w:rPr>
      </w:pPr>
      <w:r w:rsidRPr="002E1E74">
        <w:rPr>
          <w:rFonts w:ascii="Cambria" w:hAnsi="Cambria" w:cs="Cambria"/>
          <w:noProof/>
          <w:sz w:val="20"/>
          <w:szCs w:val="20"/>
        </w:rPr>
        <w:t>The petitioners report that this decision was upheld by the Superior Court of the Tunja Judicial District on May 28, 1993, but that it was not fully implemented: although the civilian complied with the sentence, the convicted police officer did not. They argue that after they had made several requests, it was not until November 21, 2005, that the Second Judge for Sentence Execution and Security Measures in Tunja reiterated the order for the police officer</w:t>
      </w:r>
      <w:r>
        <w:rPr>
          <w:rFonts w:ascii="Cambria" w:hAnsi="Cambria" w:cs="Cambria"/>
          <w:noProof/>
          <w:sz w:val="20"/>
          <w:szCs w:val="20"/>
        </w:rPr>
        <w:t>’</w:t>
      </w:r>
      <w:r w:rsidRPr="002E1E74">
        <w:rPr>
          <w:rFonts w:ascii="Cambria" w:hAnsi="Cambria" w:cs="Cambria"/>
          <w:noProof/>
          <w:sz w:val="20"/>
          <w:szCs w:val="20"/>
        </w:rPr>
        <w:t>s arrest. On November 23, 2006, the arrest warrants were sent to the Administrative Security Department, the National Police, and the office of the Attorney General, but to date he has not been taken into custody. The petitioners contend that the State has failed to act diligently in locating th</w:t>
      </w:r>
      <w:r>
        <w:rPr>
          <w:rFonts w:ascii="Cambria" w:hAnsi="Cambria" w:cs="Cambria"/>
          <w:noProof/>
          <w:sz w:val="20"/>
          <w:szCs w:val="20"/>
        </w:rPr>
        <w:t>is</w:t>
      </w:r>
      <w:r w:rsidRPr="002E1E74">
        <w:rPr>
          <w:rFonts w:ascii="Cambria" w:hAnsi="Cambria" w:cs="Cambria"/>
          <w:noProof/>
          <w:sz w:val="20"/>
          <w:szCs w:val="20"/>
        </w:rPr>
        <w:t xml:space="preserve"> fugitive from justice. They further maintain that impunity still prevails since the only criminal judgment in the case was not fully observed: only the convicted civilian served the sentence, the convicted police officer is a fugitive from justice, and the responsibility of the second police officer was not determined. </w:t>
      </w:r>
    </w:p>
    <w:p w:rsidR="007D4440" w:rsidRPr="002E1E74" w:rsidRDefault="007D4440" w:rsidP="0010306C">
      <w:pPr>
        <w:numPr>
          <w:ilvl w:val="0"/>
          <w:numId w:val="51"/>
        </w:numPr>
        <w:suppressAutoHyphens/>
        <w:spacing w:after="240"/>
        <w:jc w:val="both"/>
        <w:rPr>
          <w:rFonts w:ascii="Cambria" w:hAnsi="Cambria" w:cs="Cambria"/>
          <w:noProof/>
          <w:sz w:val="20"/>
          <w:szCs w:val="20"/>
        </w:rPr>
      </w:pPr>
      <w:r w:rsidRPr="002E1E74">
        <w:rPr>
          <w:rFonts w:ascii="Cambria" w:hAnsi="Cambria" w:cs="Cambria"/>
          <w:noProof/>
          <w:sz w:val="20"/>
          <w:szCs w:val="20"/>
        </w:rPr>
        <w:t>In addition, the alleged victims</w:t>
      </w:r>
      <w:r>
        <w:rPr>
          <w:rFonts w:ascii="Cambria" w:hAnsi="Cambria" w:cs="Cambria"/>
          <w:noProof/>
          <w:sz w:val="20"/>
          <w:szCs w:val="20"/>
        </w:rPr>
        <w:t>’</w:t>
      </w:r>
      <w:r w:rsidRPr="002E1E74">
        <w:rPr>
          <w:rFonts w:ascii="Cambria" w:hAnsi="Cambria" w:cs="Cambria"/>
          <w:noProof/>
          <w:sz w:val="20"/>
          <w:szCs w:val="20"/>
        </w:rPr>
        <w:t xml:space="preserve"> families lodged an application for direct redress with the Administrative Tribunal of Boyacá against the Ministry of Defense and the National Police. The Tribunal, in a judgment of November 20, 1996, ordered a partial payment of damages, arguing that although the cause of the harm had a causal link with the police service, the clandestine purchasing of restricted explosives </w:t>
      </w:r>
      <w:r>
        <w:rPr>
          <w:rFonts w:ascii="Cambria" w:hAnsi="Cambria" w:cs="Cambria"/>
          <w:noProof/>
          <w:sz w:val="20"/>
          <w:szCs w:val="20"/>
        </w:rPr>
        <w:t xml:space="preserve">entailed a </w:t>
      </w:r>
      <w:r w:rsidRPr="002E1E74">
        <w:rPr>
          <w:rFonts w:ascii="Cambria" w:hAnsi="Cambria" w:cs="Cambria"/>
          <w:noProof/>
          <w:sz w:val="20"/>
          <w:szCs w:val="20"/>
        </w:rPr>
        <w:t xml:space="preserve">clear </w:t>
      </w:r>
      <w:r>
        <w:rPr>
          <w:rFonts w:ascii="Cambria" w:hAnsi="Cambria" w:cs="Cambria"/>
          <w:noProof/>
          <w:sz w:val="20"/>
          <w:szCs w:val="20"/>
        </w:rPr>
        <w:t xml:space="preserve">and inherent </w:t>
      </w:r>
      <w:r w:rsidRPr="002E1E74">
        <w:rPr>
          <w:rFonts w:ascii="Cambria" w:hAnsi="Cambria" w:cs="Cambria"/>
          <w:noProof/>
          <w:sz w:val="20"/>
          <w:szCs w:val="20"/>
        </w:rPr>
        <w:t xml:space="preserve">risk on account of the absence of legal protection for illicit business dealings. The parties </w:t>
      </w:r>
      <w:r>
        <w:rPr>
          <w:rFonts w:ascii="Cambria" w:hAnsi="Cambria" w:cs="Cambria"/>
          <w:noProof/>
          <w:sz w:val="20"/>
          <w:szCs w:val="20"/>
        </w:rPr>
        <w:t xml:space="preserve">lodged an </w:t>
      </w:r>
      <w:r w:rsidRPr="002E1E74">
        <w:rPr>
          <w:rFonts w:ascii="Cambria" w:hAnsi="Cambria" w:cs="Cambria"/>
          <w:noProof/>
          <w:sz w:val="20"/>
          <w:szCs w:val="20"/>
        </w:rPr>
        <w:t>appeal against that decision</w:t>
      </w:r>
      <w:r>
        <w:rPr>
          <w:rFonts w:ascii="Cambria" w:hAnsi="Cambria" w:cs="Cambria"/>
          <w:noProof/>
          <w:sz w:val="20"/>
          <w:szCs w:val="20"/>
        </w:rPr>
        <w:t>, which was dismissed</w:t>
      </w:r>
      <w:r w:rsidRPr="002E1E74">
        <w:rPr>
          <w:rFonts w:ascii="Cambria" w:hAnsi="Cambria" w:cs="Cambria"/>
          <w:noProof/>
          <w:sz w:val="20"/>
          <w:szCs w:val="20"/>
        </w:rPr>
        <w:t xml:space="preserve"> by the Third Section of the Council of State on </w:t>
      </w:r>
      <w:r w:rsidRPr="002E1E74">
        <w:rPr>
          <w:rFonts w:ascii="Cambria" w:hAnsi="Cambria" w:cs="Cambria"/>
          <w:noProof/>
          <w:sz w:val="20"/>
          <w:szCs w:val="20"/>
        </w:rPr>
        <w:lastRenderedPageBreak/>
        <w:t>September 13, 2001, reject</w:t>
      </w:r>
      <w:r>
        <w:rPr>
          <w:rFonts w:ascii="Cambria" w:hAnsi="Cambria" w:cs="Cambria"/>
          <w:noProof/>
          <w:sz w:val="20"/>
          <w:szCs w:val="20"/>
        </w:rPr>
        <w:t>ing</w:t>
      </w:r>
      <w:r w:rsidRPr="002E1E74">
        <w:rPr>
          <w:rFonts w:ascii="Cambria" w:hAnsi="Cambria" w:cs="Cambria"/>
          <w:noProof/>
          <w:sz w:val="20"/>
          <w:szCs w:val="20"/>
        </w:rPr>
        <w:t xml:space="preserve"> the families</w:t>
      </w:r>
      <w:r>
        <w:rPr>
          <w:rFonts w:ascii="Cambria" w:hAnsi="Cambria" w:cs="Cambria"/>
          <w:noProof/>
          <w:sz w:val="20"/>
          <w:szCs w:val="20"/>
        </w:rPr>
        <w:t>’</w:t>
      </w:r>
      <w:r w:rsidRPr="002E1E74">
        <w:rPr>
          <w:rFonts w:ascii="Cambria" w:hAnsi="Cambria" w:cs="Cambria"/>
          <w:noProof/>
          <w:sz w:val="20"/>
          <w:szCs w:val="20"/>
        </w:rPr>
        <w:t xml:space="preserve"> claims</w:t>
      </w:r>
      <w:r>
        <w:rPr>
          <w:rFonts w:ascii="Cambria" w:hAnsi="Cambria" w:cs="Cambria"/>
          <w:noProof/>
          <w:sz w:val="20"/>
          <w:szCs w:val="20"/>
        </w:rPr>
        <w:t>,</w:t>
      </w:r>
      <w:r w:rsidRPr="002E1E74">
        <w:rPr>
          <w:rFonts w:ascii="Cambria" w:hAnsi="Cambria" w:cs="Cambria"/>
          <w:noProof/>
          <w:sz w:val="20"/>
          <w:szCs w:val="20"/>
        </w:rPr>
        <w:t xml:space="preserve"> reliev</w:t>
      </w:r>
      <w:r>
        <w:rPr>
          <w:rFonts w:ascii="Cambria" w:hAnsi="Cambria" w:cs="Cambria"/>
          <w:noProof/>
          <w:sz w:val="20"/>
          <w:szCs w:val="20"/>
        </w:rPr>
        <w:t xml:space="preserve">ing </w:t>
      </w:r>
      <w:r w:rsidRPr="002E1E74">
        <w:rPr>
          <w:rFonts w:ascii="Cambria" w:hAnsi="Cambria" w:cs="Cambria"/>
          <w:noProof/>
          <w:sz w:val="20"/>
          <w:szCs w:val="20"/>
        </w:rPr>
        <w:t xml:space="preserve">the State of responsibility, </w:t>
      </w:r>
      <w:r>
        <w:rPr>
          <w:rFonts w:ascii="Cambria" w:hAnsi="Cambria" w:cs="Cambria"/>
          <w:noProof/>
          <w:sz w:val="20"/>
          <w:szCs w:val="20"/>
        </w:rPr>
        <w:t xml:space="preserve">and </w:t>
      </w:r>
      <w:r w:rsidRPr="002E1E74">
        <w:rPr>
          <w:rFonts w:ascii="Cambria" w:hAnsi="Cambria" w:cs="Cambria"/>
          <w:noProof/>
          <w:sz w:val="20"/>
          <w:szCs w:val="20"/>
        </w:rPr>
        <w:t xml:space="preserve">finding that it could </w:t>
      </w:r>
      <w:r>
        <w:rPr>
          <w:rFonts w:ascii="Cambria" w:hAnsi="Cambria" w:cs="Cambria"/>
          <w:noProof/>
          <w:sz w:val="20"/>
          <w:szCs w:val="20"/>
        </w:rPr>
        <w:t>not be established with certaint</w:t>
      </w:r>
      <w:r w:rsidRPr="002E1E74">
        <w:rPr>
          <w:rFonts w:ascii="Cambria" w:hAnsi="Cambria" w:cs="Cambria"/>
          <w:noProof/>
          <w:sz w:val="20"/>
          <w:szCs w:val="20"/>
        </w:rPr>
        <w:t xml:space="preserve">y that the murders had been committed by police officers while on service. </w:t>
      </w:r>
    </w:p>
    <w:p w:rsidR="007D4440" w:rsidRPr="002E1E74" w:rsidRDefault="007D4440" w:rsidP="0010306C">
      <w:pPr>
        <w:numPr>
          <w:ilvl w:val="0"/>
          <w:numId w:val="51"/>
        </w:numPr>
        <w:suppressAutoHyphens/>
        <w:spacing w:after="240"/>
        <w:jc w:val="both"/>
        <w:rPr>
          <w:rFonts w:ascii="Cambria" w:hAnsi="Cambria" w:cs="Cambria"/>
          <w:noProof/>
          <w:sz w:val="20"/>
          <w:szCs w:val="20"/>
        </w:rPr>
      </w:pPr>
      <w:r w:rsidRPr="002E1E74">
        <w:rPr>
          <w:rFonts w:ascii="Cambria" w:hAnsi="Cambria" w:cs="Cambria"/>
          <w:noProof/>
          <w:sz w:val="20"/>
          <w:szCs w:val="20"/>
        </w:rPr>
        <w:t xml:space="preserve">In response, the petitioners filed a special reconsideration remedy, which was rejected by the Council of State in a ruling dated July 25, 2002, on the grounds that they had failed to submit the special power of attorney of their representative within the specified deadline. They report that on July 22, 2002, a motion requesting that the proceedings be voided was presented to the Third Section of Council of State on the grounds that the attorney was unable to follow up on the case </w:t>
      </w:r>
      <w:r>
        <w:rPr>
          <w:rFonts w:ascii="Cambria" w:hAnsi="Cambria" w:cs="Cambria"/>
          <w:noProof/>
          <w:sz w:val="20"/>
          <w:szCs w:val="20"/>
        </w:rPr>
        <w:t>with</w:t>
      </w:r>
      <w:r w:rsidRPr="002E1E74">
        <w:rPr>
          <w:rFonts w:ascii="Cambria" w:hAnsi="Cambria" w:cs="Cambria"/>
          <w:noProof/>
          <w:sz w:val="20"/>
          <w:szCs w:val="20"/>
        </w:rPr>
        <w:t xml:space="preserve">in </w:t>
      </w:r>
      <w:r>
        <w:rPr>
          <w:rFonts w:ascii="Cambria" w:hAnsi="Cambria" w:cs="Cambria"/>
          <w:noProof/>
          <w:sz w:val="20"/>
          <w:szCs w:val="20"/>
        </w:rPr>
        <w:t xml:space="preserve">the set </w:t>
      </w:r>
      <w:r w:rsidRPr="002E1E74">
        <w:rPr>
          <w:rFonts w:ascii="Cambria" w:hAnsi="Cambria" w:cs="Cambria"/>
          <w:noProof/>
          <w:sz w:val="20"/>
          <w:szCs w:val="20"/>
        </w:rPr>
        <w:t>time because of a medical problem. That motion was dismissed on November 1, 2002. In response, they lodged an action for protection, claiming that due process and the right of defense were being violated in that their attorney enjoyed power of representation from the time the complaint was filed. On November 13, 2003, the Fourth Section of the Council of State dismissed the protection action, ruling that the remedy was not admissible against judicial rulings ordering the conclusion of proceedings; that the power of attorney granted for the initial formalities could not be extended to the presentation of special remedies and that a special power was required; that the medical excuse submitted suffered from inconsistencies; and that in addition, it did not indicate that the alleged illness prevented the plaintiff from presenting the powers of attorney required. The protection motion was later reviewed by the Constitutional Court which, in judgment T-563/2004 of June 3, 2004, upheld the dismissal of the motion and the arguments related to the special power</w:t>
      </w:r>
      <w:r>
        <w:rPr>
          <w:rFonts w:ascii="Cambria" w:hAnsi="Cambria" w:cs="Cambria"/>
          <w:noProof/>
          <w:sz w:val="20"/>
          <w:szCs w:val="20"/>
        </w:rPr>
        <w:t xml:space="preserve"> requirements</w:t>
      </w:r>
      <w:r w:rsidRPr="002E1E74">
        <w:rPr>
          <w:rFonts w:ascii="Cambria" w:hAnsi="Cambria" w:cs="Cambria"/>
          <w:noProof/>
          <w:sz w:val="20"/>
          <w:szCs w:val="20"/>
        </w:rPr>
        <w:t xml:space="preserve">. </w:t>
      </w:r>
    </w:p>
    <w:p w:rsidR="007D4440" w:rsidRPr="002E1E74" w:rsidRDefault="007D4440" w:rsidP="0010306C">
      <w:pPr>
        <w:numPr>
          <w:ilvl w:val="0"/>
          <w:numId w:val="51"/>
        </w:numPr>
        <w:suppressAutoHyphens/>
        <w:spacing w:after="240"/>
        <w:jc w:val="both"/>
        <w:rPr>
          <w:rFonts w:ascii="Cambria" w:hAnsi="Cambria" w:cs="Cambria"/>
          <w:noProof/>
          <w:sz w:val="20"/>
          <w:szCs w:val="20"/>
        </w:rPr>
      </w:pPr>
      <w:r w:rsidRPr="002E1E74">
        <w:rPr>
          <w:rFonts w:ascii="Cambria" w:hAnsi="Cambria" w:cs="Cambria"/>
          <w:noProof/>
          <w:sz w:val="20"/>
          <w:szCs w:val="20"/>
        </w:rPr>
        <w:t>Finally, the petitioners lodged a remedy for annulment with the Administrative Tribunal of Boyacá, enclosing their attorney</w:t>
      </w:r>
      <w:r>
        <w:rPr>
          <w:rFonts w:ascii="Cambria" w:hAnsi="Cambria" w:cs="Cambria"/>
          <w:noProof/>
          <w:sz w:val="20"/>
          <w:szCs w:val="20"/>
        </w:rPr>
        <w:t>’</w:t>
      </w:r>
      <w:r w:rsidRPr="002E1E74">
        <w:rPr>
          <w:rFonts w:ascii="Cambria" w:hAnsi="Cambria" w:cs="Cambria"/>
          <w:noProof/>
          <w:sz w:val="20"/>
          <w:szCs w:val="20"/>
        </w:rPr>
        <w:t>s medical history to prove that he was incapacitated at the time that the power of attorney was to be submitted. The Administrative Tribunal forwarded the proceedings to the Third Section of the Council of State which, on February 17, 2006, ruled that the remedy was inadmissible on the grounds that the case had already been sent to the archive. They contend that the judicial proceedings at the administrative venue curtailed the right of access to justice and guarantees of due process of the alleged victims</w:t>
      </w:r>
      <w:r>
        <w:rPr>
          <w:rFonts w:ascii="Cambria" w:hAnsi="Cambria" w:cs="Cambria"/>
          <w:noProof/>
          <w:sz w:val="20"/>
          <w:szCs w:val="20"/>
        </w:rPr>
        <w:t>’</w:t>
      </w:r>
      <w:r w:rsidRPr="002E1E74">
        <w:rPr>
          <w:rFonts w:ascii="Cambria" w:hAnsi="Cambria" w:cs="Cambria"/>
          <w:noProof/>
          <w:sz w:val="20"/>
          <w:szCs w:val="20"/>
        </w:rPr>
        <w:t xml:space="preserve"> families. </w:t>
      </w:r>
    </w:p>
    <w:p w:rsidR="007D4440" w:rsidRPr="002E1E74" w:rsidRDefault="007D4440" w:rsidP="0010306C">
      <w:pPr>
        <w:numPr>
          <w:ilvl w:val="0"/>
          <w:numId w:val="51"/>
        </w:numPr>
        <w:suppressAutoHyphens/>
        <w:spacing w:after="240"/>
        <w:jc w:val="both"/>
        <w:rPr>
          <w:rFonts w:ascii="Cambria" w:hAnsi="Cambria" w:cs="Cambria"/>
          <w:noProof/>
          <w:sz w:val="20"/>
          <w:szCs w:val="20"/>
        </w:rPr>
      </w:pPr>
      <w:r w:rsidRPr="002E1E74">
        <w:rPr>
          <w:rFonts w:ascii="Cambria" w:hAnsi="Cambria" w:cs="Cambria"/>
          <w:noProof/>
          <w:sz w:val="20"/>
          <w:szCs w:val="20"/>
        </w:rPr>
        <w:t xml:space="preserve">The State maintains that the facts in the petition do not tend to establish violations of human rights, since the crimes committed against the alleged victims were not caused by state actions. It holds that although one of the guilty was identified as an active member of the National Police, the actions he took were so </w:t>
      </w:r>
      <w:r>
        <w:rPr>
          <w:rFonts w:ascii="Cambria" w:hAnsi="Cambria" w:cs="Cambria"/>
          <w:noProof/>
          <w:sz w:val="20"/>
          <w:szCs w:val="20"/>
        </w:rPr>
        <w:t xml:space="preserve">unrelated to </w:t>
      </w:r>
      <w:r w:rsidRPr="002E1E74">
        <w:rPr>
          <w:rFonts w:ascii="Cambria" w:hAnsi="Cambria" w:cs="Cambria"/>
          <w:noProof/>
          <w:sz w:val="20"/>
          <w:szCs w:val="20"/>
        </w:rPr>
        <w:t xml:space="preserve">his official duties that they must be seen as belonging to the private sphere, </w:t>
      </w:r>
      <w:r>
        <w:rPr>
          <w:rFonts w:ascii="Cambria" w:hAnsi="Cambria" w:cs="Cambria"/>
          <w:noProof/>
          <w:sz w:val="20"/>
          <w:szCs w:val="20"/>
        </w:rPr>
        <w:t xml:space="preserve">with no connection </w:t>
      </w:r>
      <w:r w:rsidRPr="002E1E74">
        <w:rPr>
          <w:rFonts w:ascii="Cambria" w:hAnsi="Cambria" w:cs="Cambria"/>
          <w:noProof/>
          <w:sz w:val="20"/>
          <w:szCs w:val="20"/>
        </w:rPr>
        <w:t>to the State. It contends that the obligation of ensuring the alleged victims</w:t>
      </w:r>
      <w:r>
        <w:rPr>
          <w:rFonts w:ascii="Cambria" w:hAnsi="Cambria" w:cs="Cambria"/>
          <w:noProof/>
          <w:sz w:val="20"/>
          <w:szCs w:val="20"/>
        </w:rPr>
        <w:t>’</w:t>
      </w:r>
      <w:r w:rsidRPr="002E1E74">
        <w:rPr>
          <w:rFonts w:ascii="Cambria" w:hAnsi="Cambria" w:cs="Cambria"/>
          <w:noProof/>
          <w:sz w:val="20"/>
          <w:szCs w:val="20"/>
        </w:rPr>
        <w:t xml:space="preserve"> families access to justice was met, in that they were able to pursue judicial proceedings</w:t>
      </w:r>
      <w:r>
        <w:rPr>
          <w:rFonts w:ascii="Cambria" w:hAnsi="Cambria" w:cs="Cambria"/>
          <w:noProof/>
          <w:sz w:val="20"/>
          <w:szCs w:val="20"/>
        </w:rPr>
        <w:t>—</w:t>
      </w:r>
      <w:r w:rsidRPr="002E1E74">
        <w:rPr>
          <w:rFonts w:ascii="Cambria" w:hAnsi="Cambria" w:cs="Cambria"/>
          <w:noProof/>
          <w:sz w:val="20"/>
          <w:szCs w:val="20"/>
        </w:rPr>
        <w:t>both criminal and administrative</w:t>
      </w:r>
      <w:r>
        <w:rPr>
          <w:rFonts w:ascii="Cambria" w:hAnsi="Cambria" w:cs="Cambria"/>
          <w:noProof/>
          <w:sz w:val="20"/>
          <w:szCs w:val="20"/>
        </w:rPr>
        <w:t>—</w:t>
      </w:r>
      <w:r w:rsidRPr="002E1E74">
        <w:rPr>
          <w:rFonts w:ascii="Cambria" w:hAnsi="Cambria" w:cs="Cambria"/>
          <w:noProof/>
          <w:sz w:val="20"/>
          <w:szCs w:val="20"/>
        </w:rPr>
        <w:t xml:space="preserve">in accordance with the domestic legal framework and thus their rights were upheld. </w:t>
      </w:r>
    </w:p>
    <w:p w:rsidR="007D4440" w:rsidRPr="002E1E74" w:rsidRDefault="007D4440" w:rsidP="0010306C">
      <w:pPr>
        <w:numPr>
          <w:ilvl w:val="0"/>
          <w:numId w:val="51"/>
        </w:numPr>
        <w:suppressAutoHyphens/>
        <w:spacing w:after="240"/>
        <w:jc w:val="both"/>
        <w:rPr>
          <w:rFonts w:ascii="Cambria" w:hAnsi="Cambria" w:cs="Cambria"/>
          <w:noProof/>
          <w:sz w:val="20"/>
          <w:szCs w:val="20"/>
        </w:rPr>
      </w:pPr>
      <w:r>
        <w:rPr>
          <w:rFonts w:ascii="Cambria" w:hAnsi="Cambria" w:cs="Cambria"/>
          <w:noProof/>
          <w:sz w:val="20"/>
          <w:szCs w:val="20"/>
        </w:rPr>
        <w:t xml:space="preserve">Colombia </w:t>
      </w:r>
      <w:r w:rsidRPr="002E1E74">
        <w:rPr>
          <w:rFonts w:ascii="Cambria" w:hAnsi="Cambria" w:cs="Cambria"/>
          <w:noProof/>
          <w:sz w:val="20"/>
          <w:szCs w:val="20"/>
        </w:rPr>
        <w:t xml:space="preserve">further maintains that the petition is inadmissible in that it was lodged </w:t>
      </w:r>
      <w:r>
        <w:rPr>
          <w:rFonts w:ascii="Cambria" w:hAnsi="Cambria" w:cs="Cambria"/>
          <w:noProof/>
          <w:sz w:val="20"/>
          <w:szCs w:val="20"/>
        </w:rPr>
        <w:t xml:space="preserve">after </w:t>
      </w:r>
      <w:r w:rsidRPr="002E1E74">
        <w:rPr>
          <w:rFonts w:ascii="Cambria" w:hAnsi="Cambria" w:cs="Cambria"/>
          <w:noProof/>
          <w:sz w:val="20"/>
          <w:szCs w:val="20"/>
        </w:rPr>
        <w:t xml:space="preserve">the six-month deadline established by the Convention had expired. It notes that as regards the criminal case, the final decision was the ruling upholding the conviction adopted by the Superior Court of the Tunja Judicial District on March 17, 1993. Similarly, the administrative suit for redress concluded with the ruling of the Third Section of the Council of State </w:t>
      </w:r>
      <w:r>
        <w:rPr>
          <w:rFonts w:ascii="Cambria" w:hAnsi="Cambria" w:cs="Cambria"/>
          <w:noProof/>
          <w:sz w:val="20"/>
          <w:szCs w:val="20"/>
        </w:rPr>
        <w:t xml:space="preserve">on </w:t>
      </w:r>
      <w:r w:rsidRPr="002E1E74">
        <w:rPr>
          <w:rFonts w:ascii="Cambria" w:hAnsi="Cambria" w:cs="Cambria"/>
          <w:noProof/>
          <w:sz w:val="20"/>
          <w:szCs w:val="20"/>
        </w:rPr>
        <w:t xml:space="preserve">September 13, 2001. </w:t>
      </w:r>
    </w:p>
    <w:p w:rsidR="007D4440" w:rsidRPr="002E1E74" w:rsidRDefault="007D4440" w:rsidP="0010306C">
      <w:pPr>
        <w:numPr>
          <w:ilvl w:val="0"/>
          <w:numId w:val="51"/>
        </w:numPr>
        <w:suppressAutoHyphens/>
        <w:spacing w:after="240"/>
        <w:jc w:val="both"/>
        <w:rPr>
          <w:rFonts w:ascii="Cambria" w:hAnsi="Cambria" w:cs="Cambria"/>
          <w:noProof/>
          <w:sz w:val="20"/>
          <w:szCs w:val="20"/>
        </w:rPr>
      </w:pPr>
      <w:r w:rsidRPr="002E1E74">
        <w:rPr>
          <w:rFonts w:ascii="Cambria" w:hAnsi="Cambria" w:cs="Cambria"/>
          <w:noProof/>
          <w:sz w:val="20"/>
          <w:szCs w:val="20"/>
        </w:rPr>
        <w:t xml:space="preserve">Finally, </w:t>
      </w:r>
      <w:r>
        <w:rPr>
          <w:rFonts w:ascii="Cambria" w:hAnsi="Cambria" w:cs="Cambria"/>
          <w:noProof/>
          <w:sz w:val="20"/>
          <w:szCs w:val="20"/>
        </w:rPr>
        <w:t xml:space="preserve">the State </w:t>
      </w:r>
      <w:r w:rsidRPr="002E1E74">
        <w:rPr>
          <w:rFonts w:ascii="Cambria" w:hAnsi="Cambria" w:cs="Cambria"/>
          <w:noProof/>
          <w:sz w:val="20"/>
          <w:szCs w:val="20"/>
        </w:rPr>
        <w:t>contends that the petitioners are seeking to use the Commission as a fourth instance, in that they seek to challenge the decisions adopted by the domestic judicial authorities, a fact that also triggers the petition</w:t>
      </w:r>
      <w:r>
        <w:rPr>
          <w:rFonts w:ascii="Cambria" w:hAnsi="Cambria" w:cs="Cambria"/>
          <w:noProof/>
          <w:sz w:val="20"/>
          <w:szCs w:val="20"/>
        </w:rPr>
        <w:t>’</w:t>
      </w:r>
      <w:r w:rsidRPr="002E1E74">
        <w:rPr>
          <w:rFonts w:ascii="Cambria" w:hAnsi="Cambria" w:cs="Cambria"/>
          <w:noProof/>
          <w:sz w:val="20"/>
          <w:szCs w:val="20"/>
        </w:rPr>
        <w:t>s inadmissibility.</w:t>
      </w:r>
    </w:p>
    <w:p w:rsidR="007D4440" w:rsidRPr="002E1E74" w:rsidRDefault="007D4440" w:rsidP="0010306C">
      <w:pPr>
        <w:spacing w:before="240" w:after="240"/>
        <w:ind w:firstLine="720"/>
        <w:jc w:val="both"/>
        <w:rPr>
          <w:rFonts w:ascii="Cambria" w:hAnsi="Cambria" w:cs="Cambria"/>
          <w:noProof/>
          <w:sz w:val="20"/>
          <w:szCs w:val="20"/>
        </w:rPr>
      </w:pPr>
      <w:r w:rsidRPr="002E1E74">
        <w:rPr>
          <w:rFonts w:ascii="Cambria" w:hAnsi="Cambria" w:cs="Cambria"/>
          <w:b/>
          <w:bCs/>
          <w:noProof/>
          <w:color w:val="000000"/>
          <w:sz w:val="20"/>
          <w:szCs w:val="20"/>
          <w:u w:color="000000"/>
        </w:rPr>
        <w:t>VI.</w:t>
      </w:r>
      <w:r w:rsidRPr="002E1E74">
        <w:rPr>
          <w:rFonts w:ascii="Cambria" w:hAnsi="Cambria" w:cs="Cambria"/>
          <w:b/>
          <w:bCs/>
          <w:noProof/>
          <w:color w:val="000000"/>
          <w:sz w:val="20"/>
          <w:szCs w:val="20"/>
          <w:u w:color="000000"/>
        </w:rPr>
        <w:tab/>
        <w:t xml:space="preserve">ANALYSIS OF EXHAUSTION OF DOMESTIC REMEDIES AND TIMELINESS OF THE PETITION </w:t>
      </w:r>
    </w:p>
    <w:p w:rsidR="007D4440" w:rsidRPr="002E1E74" w:rsidRDefault="007D4440" w:rsidP="0010306C">
      <w:pPr>
        <w:numPr>
          <w:ilvl w:val="0"/>
          <w:numId w:val="51"/>
        </w:numPr>
        <w:suppressAutoHyphens/>
        <w:spacing w:after="240"/>
        <w:jc w:val="both"/>
        <w:rPr>
          <w:rFonts w:ascii="Cambria" w:hAnsi="Cambria" w:cs="Cambria"/>
          <w:noProof/>
          <w:sz w:val="20"/>
          <w:szCs w:val="20"/>
        </w:rPr>
      </w:pPr>
      <w:r w:rsidRPr="002E1E74">
        <w:rPr>
          <w:rFonts w:ascii="Cambria" w:hAnsi="Cambria" w:cs="Cambria"/>
          <w:noProof/>
          <w:sz w:val="20"/>
          <w:szCs w:val="20"/>
        </w:rPr>
        <w:t>The petitioners claim that the domestic criminal remedies were exhausted with the criminal proceedings that established the responsibility of only two of the alleged victims</w:t>
      </w:r>
      <w:r>
        <w:rPr>
          <w:rFonts w:ascii="Cambria" w:hAnsi="Cambria" w:cs="Cambria"/>
          <w:noProof/>
          <w:sz w:val="20"/>
          <w:szCs w:val="20"/>
        </w:rPr>
        <w:t>’</w:t>
      </w:r>
      <w:r w:rsidRPr="002E1E74">
        <w:rPr>
          <w:rFonts w:ascii="Cambria" w:hAnsi="Cambria" w:cs="Cambria"/>
          <w:noProof/>
          <w:sz w:val="20"/>
          <w:szCs w:val="20"/>
        </w:rPr>
        <w:t xml:space="preserve"> killers. Nevertheless, they note that to date, that judgment has not been enforced since one of the convicted persons is a fugitive from justice and the responsibility of a possible third killer was not determined. They </w:t>
      </w:r>
      <w:r>
        <w:rPr>
          <w:rFonts w:ascii="Cambria" w:hAnsi="Cambria" w:cs="Cambria"/>
          <w:noProof/>
          <w:sz w:val="20"/>
          <w:szCs w:val="20"/>
        </w:rPr>
        <w:t>indicate</w:t>
      </w:r>
      <w:r w:rsidRPr="002E1E74">
        <w:rPr>
          <w:rFonts w:ascii="Cambria" w:hAnsi="Cambria" w:cs="Cambria"/>
          <w:noProof/>
          <w:sz w:val="20"/>
          <w:szCs w:val="20"/>
        </w:rPr>
        <w:t xml:space="preserve"> that the final formality carried out by the Second Court for Sentence Execution and Security Measures in Tunja was the reiteration of the arrest warrant on November 21, 2006. Regarding the administrative proceedings, they stat</w:t>
      </w:r>
      <w:r>
        <w:rPr>
          <w:rFonts w:ascii="Cambria" w:hAnsi="Cambria" w:cs="Cambria"/>
          <w:noProof/>
          <w:sz w:val="20"/>
          <w:szCs w:val="20"/>
        </w:rPr>
        <w:t>e</w:t>
      </w:r>
      <w:r w:rsidRPr="002E1E74">
        <w:rPr>
          <w:rFonts w:ascii="Cambria" w:hAnsi="Cambria" w:cs="Cambria"/>
          <w:noProof/>
          <w:sz w:val="20"/>
          <w:szCs w:val="20"/>
        </w:rPr>
        <w:t xml:space="preserve"> that on August 23, 2006, they were notified of the Administrative Tribunal of Boyacá</w:t>
      </w:r>
      <w:r>
        <w:rPr>
          <w:rFonts w:ascii="Cambria" w:hAnsi="Cambria" w:cs="Cambria"/>
          <w:noProof/>
          <w:sz w:val="20"/>
          <w:szCs w:val="20"/>
        </w:rPr>
        <w:t>’</w:t>
      </w:r>
      <w:r w:rsidRPr="002E1E74">
        <w:rPr>
          <w:rFonts w:ascii="Cambria" w:hAnsi="Cambria" w:cs="Cambria"/>
          <w:noProof/>
          <w:sz w:val="20"/>
          <w:szCs w:val="20"/>
        </w:rPr>
        <w:t xml:space="preserve">s ruling of February 17, 2006, that ruled </w:t>
      </w:r>
      <w:r w:rsidRPr="002E1E74">
        <w:rPr>
          <w:rFonts w:ascii="Cambria" w:hAnsi="Cambria" w:cs="Cambria"/>
          <w:noProof/>
          <w:sz w:val="20"/>
          <w:szCs w:val="20"/>
        </w:rPr>
        <w:lastRenderedPageBreak/>
        <w:t xml:space="preserve">the remedy for annulment inadmissible, thereby exhausting the internal channels for obtaining redress. Finally, they contend that the domestic remedies were illusory, which would trigger the exception provided for in Article 46.2.b of the Convention. In response, the State maintains that the criminal and administrative remedies were exhausted, but that the petition was lodged after the filing deadline. </w:t>
      </w:r>
      <w:r>
        <w:rPr>
          <w:rFonts w:ascii="Cambria" w:hAnsi="Cambria" w:cs="Cambria"/>
          <w:noProof/>
          <w:sz w:val="20"/>
          <w:szCs w:val="20"/>
        </w:rPr>
        <w:t xml:space="preserve">Colombia further </w:t>
      </w:r>
      <w:r w:rsidRPr="002E1E74">
        <w:rPr>
          <w:rFonts w:ascii="Cambria" w:hAnsi="Cambria" w:cs="Cambria"/>
          <w:noProof/>
          <w:sz w:val="20"/>
          <w:szCs w:val="20"/>
        </w:rPr>
        <w:t xml:space="preserve">holds that the exception provided for in Article 46.2.b is not applicable in the instant case, in that it was not designed to release </w:t>
      </w:r>
      <w:r>
        <w:rPr>
          <w:rFonts w:ascii="Cambria" w:hAnsi="Cambria" w:cs="Cambria"/>
          <w:noProof/>
          <w:sz w:val="20"/>
          <w:szCs w:val="20"/>
        </w:rPr>
        <w:t xml:space="preserve">those invoking </w:t>
      </w:r>
      <w:r w:rsidRPr="002E1E74">
        <w:rPr>
          <w:rFonts w:ascii="Cambria" w:hAnsi="Cambria" w:cs="Cambria"/>
          <w:noProof/>
          <w:sz w:val="20"/>
          <w:szCs w:val="20"/>
        </w:rPr>
        <w:t xml:space="preserve">the Inter-American system from the obligation of filing their petitions within a period of six months; instead, it was devised for those who involve the IACHR prior to exhausting those remedies because they were denied access to them. </w:t>
      </w:r>
    </w:p>
    <w:p w:rsidR="007D4440" w:rsidRPr="002E1E74" w:rsidRDefault="007D4440" w:rsidP="0010306C">
      <w:pPr>
        <w:numPr>
          <w:ilvl w:val="0"/>
          <w:numId w:val="51"/>
        </w:numPr>
        <w:suppressAutoHyphens/>
        <w:spacing w:after="240"/>
        <w:jc w:val="both"/>
        <w:rPr>
          <w:rFonts w:ascii="Cambria" w:hAnsi="Cambria" w:cs="Cambria"/>
          <w:noProof/>
          <w:sz w:val="20"/>
          <w:szCs w:val="20"/>
        </w:rPr>
      </w:pPr>
      <w:r w:rsidRPr="002E1E74">
        <w:rPr>
          <w:rFonts w:ascii="Cambria" w:hAnsi="Cambria" w:cs="Cambria"/>
          <w:noProof/>
          <w:sz w:val="20"/>
          <w:szCs w:val="20"/>
        </w:rPr>
        <w:t>The Inter-American Commission has ruled that whenever a crime involving the alleged participation of state officials is committed, the State is obliged to bring and pursue criminal proceedings and that, in such cases, this is the best way to clear up the facts, determine any criminal responsibility, and set the corresponding criminal punishments, in addition to enabling other forms of monetary compensation to be established.</w:t>
      </w:r>
      <w:r w:rsidRPr="002E1E74">
        <w:rPr>
          <w:rStyle w:val="FootnoteReference"/>
          <w:rFonts w:ascii="Cambria" w:hAnsi="Cambria" w:cs="Cambria"/>
          <w:noProof/>
          <w:sz w:val="20"/>
          <w:szCs w:val="20"/>
        </w:rPr>
        <w:footnoteReference w:id="5"/>
      </w:r>
      <w:r w:rsidRPr="002E1E74">
        <w:rPr>
          <w:rFonts w:ascii="Cambria" w:hAnsi="Cambria" w:cs="Cambria"/>
          <w:noProof/>
          <w:sz w:val="20"/>
          <w:szCs w:val="20"/>
        </w:rPr>
        <w:t xml:space="preserve"> In the case at hand, the IACHR notes that according to the petitioners</w:t>
      </w:r>
      <w:r>
        <w:rPr>
          <w:rFonts w:ascii="Cambria" w:hAnsi="Cambria" w:cs="Cambria"/>
          <w:noProof/>
          <w:sz w:val="20"/>
          <w:szCs w:val="20"/>
        </w:rPr>
        <w:t>’</w:t>
      </w:r>
      <w:r w:rsidRPr="002E1E74">
        <w:rPr>
          <w:rFonts w:ascii="Cambria" w:hAnsi="Cambria" w:cs="Cambria"/>
          <w:noProof/>
          <w:sz w:val="20"/>
          <w:szCs w:val="20"/>
        </w:rPr>
        <w:t xml:space="preserve"> claims, three persons were involved in the alleged victims</w:t>
      </w:r>
      <w:r>
        <w:rPr>
          <w:rFonts w:ascii="Cambria" w:hAnsi="Cambria" w:cs="Cambria"/>
          <w:noProof/>
          <w:sz w:val="20"/>
          <w:szCs w:val="20"/>
        </w:rPr>
        <w:t>’</w:t>
      </w:r>
      <w:r w:rsidRPr="002E1E74">
        <w:rPr>
          <w:rFonts w:ascii="Cambria" w:hAnsi="Cambria" w:cs="Cambria"/>
          <w:noProof/>
          <w:sz w:val="20"/>
          <w:szCs w:val="20"/>
        </w:rPr>
        <w:t xml:space="preserve"> death and that two of them were police officers. Nevertheless, according to the available information, the Commission notes that the continued investigation into one of the police officers suspected of involvement, ordered on May 29, 1992, by the Superior District Court of Tunja, has not to date taken place. Regarding the other two perpetrators, the Commission sees that although they were convicted of the murder of the alleged victims on March 17, 1993, one of them</w:t>
      </w:r>
      <w:r>
        <w:rPr>
          <w:rFonts w:ascii="Cambria" w:hAnsi="Cambria" w:cs="Cambria"/>
          <w:noProof/>
          <w:sz w:val="20"/>
          <w:szCs w:val="20"/>
        </w:rPr>
        <w:t>—</w:t>
      </w:r>
      <w:r w:rsidRPr="002E1E74">
        <w:rPr>
          <w:rFonts w:ascii="Cambria" w:hAnsi="Cambria" w:cs="Cambria"/>
          <w:noProof/>
          <w:sz w:val="20"/>
          <w:szCs w:val="20"/>
        </w:rPr>
        <w:t>the police officer</w:t>
      </w:r>
      <w:r>
        <w:rPr>
          <w:rFonts w:ascii="Cambria" w:hAnsi="Cambria" w:cs="Cambria"/>
          <w:noProof/>
          <w:sz w:val="20"/>
          <w:szCs w:val="20"/>
        </w:rPr>
        <w:t>—</w:t>
      </w:r>
      <w:r w:rsidRPr="002E1E74">
        <w:rPr>
          <w:rFonts w:ascii="Cambria" w:hAnsi="Cambria" w:cs="Cambria"/>
          <w:noProof/>
          <w:sz w:val="20"/>
          <w:szCs w:val="20"/>
        </w:rPr>
        <w:t>has not served his sentence by reason of allegedly being a fugitive from justice for almost 24 years. According to the available information, in spite of the request made by the alleged victims</w:t>
      </w:r>
      <w:r>
        <w:rPr>
          <w:rFonts w:ascii="Cambria" w:hAnsi="Cambria" w:cs="Cambria"/>
          <w:noProof/>
          <w:sz w:val="20"/>
          <w:szCs w:val="20"/>
        </w:rPr>
        <w:t>’</w:t>
      </w:r>
      <w:r w:rsidRPr="002E1E74">
        <w:rPr>
          <w:rFonts w:ascii="Cambria" w:hAnsi="Cambria" w:cs="Cambria"/>
          <w:noProof/>
          <w:sz w:val="20"/>
          <w:szCs w:val="20"/>
        </w:rPr>
        <w:t xml:space="preserve"> families, it was not until November 21, 2006, that the Second Judge for Sentence Execution and Security Measures in Tunja again issued the warrant for the arrest of the convicted police officer, a formality that to date has produced no results. Consequently, the IACHR concludes that the exception to the exhaustion of domestic remedies rule is applicable, in keeping with the provisions of Article 46.2.c. of the Convention. </w:t>
      </w:r>
    </w:p>
    <w:p w:rsidR="007D4440" w:rsidRPr="002E1E74" w:rsidRDefault="007D4440" w:rsidP="0010306C">
      <w:pPr>
        <w:numPr>
          <w:ilvl w:val="0"/>
          <w:numId w:val="51"/>
        </w:numPr>
        <w:suppressAutoHyphens/>
        <w:spacing w:after="240"/>
        <w:jc w:val="both"/>
        <w:rPr>
          <w:rFonts w:ascii="Cambria" w:hAnsi="Cambria" w:cs="Cambria"/>
          <w:noProof/>
          <w:sz w:val="20"/>
          <w:szCs w:val="20"/>
        </w:rPr>
      </w:pPr>
      <w:r w:rsidRPr="002E1E74">
        <w:rPr>
          <w:rFonts w:ascii="Cambria" w:hAnsi="Cambria" w:cs="Cambria"/>
          <w:noProof/>
          <w:sz w:val="20"/>
          <w:szCs w:val="20"/>
        </w:rPr>
        <w:t>At the same time, in connection with the suit for direct redress filed by the petitioners with the administrative justice system, the Commission has repeatedly said that such venues are not a suitable remedy for analyzing the admissibility of claims such as those involved in the case at hand,</w:t>
      </w:r>
      <w:r w:rsidRPr="002E1E74">
        <w:rPr>
          <w:rStyle w:val="FootnoteReference"/>
          <w:rFonts w:ascii="Cambria" w:hAnsi="Cambria" w:cs="Cambria"/>
          <w:noProof/>
          <w:sz w:val="20"/>
          <w:szCs w:val="20"/>
        </w:rPr>
        <w:footnoteReference w:id="6"/>
      </w:r>
      <w:r w:rsidRPr="002E1E74">
        <w:rPr>
          <w:rFonts w:ascii="Cambria" w:hAnsi="Cambria" w:cs="Cambria"/>
          <w:noProof/>
          <w:sz w:val="20"/>
          <w:szCs w:val="20"/>
        </w:rPr>
        <w:t xml:space="preserve"> in that they are not appropriate for providing families with comprehensive redress and justice. Irrespective of that, the Commission notes that the petitioners in this case also allege specific violations in the direct redress proceedings. Accordingly, given the relationship that exists between the two processes, the IACHR notes that in the administrative proceedings, domestic remedies were exhausted with the decision rul</w:t>
      </w:r>
      <w:r>
        <w:rPr>
          <w:rFonts w:ascii="Cambria" w:hAnsi="Cambria" w:cs="Cambria"/>
          <w:noProof/>
          <w:sz w:val="20"/>
          <w:szCs w:val="20"/>
        </w:rPr>
        <w:t>ing</w:t>
      </w:r>
      <w:r w:rsidRPr="002E1E74">
        <w:rPr>
          <w:rFonts w:ascii="Cambria" w:hAnsi="Cambria" w:cs="Cambria"/>
          <w:noProof/>
          <w:sz w:val="20"/>
          <w:szCs w:val="20"/>
        </w:rPr>
        <w:t xml:space="preserve"> the remedy for annulment inadmissible </w:t>
      </w:r>
      <w:r>
        <w:rPr>
          <w:rFonts w:ascii="Cambria" w:hAnsi="Cambria" w:cs="Cambria"/>
          <w:noProof/>
          <w:sz w:val="20"/>
          <w:szCs w:val="20"/>
        </w:rPr>
        <w:t xml:space="preserve">that was adopted </w:t>
      </w:r>
      <w:r w:rsidRPr="002E1E74">
        <w:rPr>
          <w:rFonts w:ascii="Cambria" w:hAnsi="Cambria" w:cs="Cambria"/>
          <w:noProof/>
          <w:sz w:val="20"/>
          <w:szCs w:val="20"/>
        </w:rPr>
        <w:t xml:space="preserve">by the Administrative Tribunal of Boyacá on </w:t>
      </w:r>
      <w:r w:rsidR="00740DEF" w:rsidRPr="002E1E74">
        <w:rPr>
          <w:rFonts w:ascii="Cambria" w:hAnsi="Cambria" w:cs="Cambria"/>
          <w:noProof/>
          <w:sz w:val="20"/>
          <w:szCs w:val="20"/>
        </w:rPr>
        <w:t>February 17, 2006</w:t>
      </w:r>
      <w:r w:rsidRPr="002E1E74">
        <w:rPr>
          <w:rFonts w:ascii="Cambria" w:hAnsi="Cambria" w:cs="Cambria"/>
          <w:noProof/>
          <w:sz w:val="20"/>
          <w:szCs w:val="20"/>
        </w:rPr>
        <w:t>, and notified to them on</w:t>
      </w:r>
      <w:r w:rsidR="00740DEF" w:rsidRPr="00740DEF">
        <w:rPr>
          <w:rFonts w:ascii="Cambria" w:hAnsi="Cambria" w:cs="Cambria"/>
          <w:noProof/>
          <w:sz w:val="20"/>
          <w:szCs w:val="20"/>
        </w:rPr>
        <w:t xml:space="preserve"> </w:t>
      </w:r>
      <w:r w:rsidR="00740DEF" w:rsidRPr="002E1E74">
        <w:rPr>
          <w:rFonts w:ascii="Cambria" w:hAnsi="Cambria" w:cs="Cambria"/>
          <w:noProof/>
          <w:sz w:val="20"/>
          <w:szCs w:val="20"/>
        </w:rPr>
        <w:t>August 23, 2006</w:t>
      </w:r>
      <w:r w:rsidRPr="002E1E74">
        <w:rPr>
          <w:rFonts w:ascii="Cambria" w:hAnsi="Cambria" w:cs="Cambria"/>
          <w:noProof/>
          <w:sz w:val="20"/>
          <w:szCs w:val="20"/>
        </w:rPr>
        <w:t xml:space="preserve">. </w:t>
      </w:r>
    </w:p>
    <w:p w:rsidR="007D4440" w:rsidRPr="002E1E74" w:rsidRDefault="007D4440" w:rsidP="0010306C">
      <w:pPr>
        <w:numPr>
          <w:ilvl w:val="0"/>
          <w:numId w:val="51"/>
        </w:numPr>
        <w:suppressAutoHyphens/>
        <w:spacing w:after="240"/>
        <w:jc w:val="both"/>
        <w:rPr>
          <w:rFonts w:ascii="Cambria" w:hAnsi="Cambria" w:cs="Cambria"/>
          <w:noProof/>
          <w:sz w:val="20"/>
          <w:szCs w:val="20"/>
        </w:rPr>
      </w:pPr>
      <w:r w:rsidRPr="002E1E74">
        <w:rPr>
          <w:rFonts w:ascii="Cambria" w:hAnsi="Cambria" w:cs="Cambria"/>
          <w:noProof/>
          <w:sz w:val="20"/>
          <w:szCs w:val="20"/>
        </w:rPr>
        <w:t>Finally, the petition before the Commission was received on February 22, 2007</w:t>
      </w:r>
      <w:r>
        <w:rPr>
          <w:rFonts w:ascii="Cambria" w:hAnsi="Cambria" w:cs="Cambria"/>
          <w:noProof/>
          <w:sz w:val="20"/>
          <w:szCs w:val="20"/>
        </w:rPr>
        <w:t>;</w:t>
      </w:r>
      <w:r w:rsidRPr="002E1E74">
        <w:rPr>
          <w:rFonts w:ascii="Cambria" w:hAnsi="Cambria" w:cs="Cambria"/>
          <w:noProof/>
          <w:sz w:val="20"/>
          <w:szCs w:val="20"/>
        </w:rPr>
        <w:t xml:space="preserve"> the alleged facts described in the claim began on May 27, 1991</w:t>
      </w:r>
      <w:r>
        <w:rPr>
          <w:rFonts w:ascii="Cambria" w:hAnsi="Cambria" w:cs="Cambria"/>
          <w:noProof/>
          <w:sz w:val="20"/>
          <w:szCs w:val="20"/>
        </w:rPr>
        <w:t>;</w:t>
      </w:r>
      <w:r w:rsidRPr="002E1E74">
        <w:rPr>
          <w:rFonts w:ascii="Cambria" w:hAnsi="Cambria" w:cs="Cambria"/>
          <w:noProof/>
          <w:sz w:val="20"/>
          <w:szCs w:val="20"/>
        </w:rPr>
        <w:t xml:space="preserve"> the warrant for the arrest of the convicted police officer was reissued on November 21, 2006</w:t>
      </w:r>
      <w:r>
        <w:rPr>
          <w:rFonts w:ascii="Cambria" w:hAnsi="Cambria" w:cs="Cambria"/>
          <w:noProof/>
          <w:sz w:val="20"/>
          <w:szCs w:val="20"/>
        </w:rPr>
        <w:t>;</w:t>
      </w:r>
      <w:r w:rsidRPr="002E1E74">
        <w:rPr>
          <w:rFonts w:ascii="Cambria" w:hAnsi="Cambria" w:cs="Cambria"/>
          <w:noProof/>
          <w:sz w:val="20"/>
          <w:szCs w:val="20"/>
        </w:rPr>
        <w:t xml:space="preserve"> and the effects </w:t>
      </w:r>
      <w:r>
        <w:rPr>
          <w:rFonts w:ascii="Cambria" w:hAnsi="Cambria" w:cs="Cambria"/>
          <w:noProof/>
          <w:sz w:val="20"/>
          <w:szCs w:val="20"/>
        </w:rPr>
        <w:t xml:space="preserve">of the facts </w:t>
      </w:r>
      <w:r w:rsidRPr="002E1E74">
        <w:rPr>
          <w:rFonts w:ascii="Cambria" w:hAnsi="Cambria" w:cs="Cambria"/>
          <w:noProof/>
          <w:sz w:val="20"/>
          <w:szCs w:val="20"/>
        </w:rPr>
        <w:t>persist into the present. Consequently, considering the context and characteristics of this case, the Commission believes that the petition was lodged within a reasonable time and that the admissibility requirement regarding the timeliness of the petition must be deemed met.</w:t>
      </w:r>
    </w:p>
    <w:p w:rsidR="007D4440" w:rsidRPr="002E1E74" w:rsidRDefault="007D4440" w:rsidP="0010306C">
      <w:pPr>
        <w:pStyle w:val="ListParagraph"/>
        <w:spacing w:before="240" w:after="240"/>
        <w:jc w:val="both"/>
        <w:rPr>
          <w:b/>
          <w:bCs/>
          <w:noProof/>
          <w:sz w:val="20"/>
          <w:szCs w:val="20"/>
        </w:rPr>
      </w:pPr>
      <w:r w:rsidRPr="002E1E74">
        <w:rPr>
          <w:b/>
          <w:bCs/>
          <w:noProof/>
          <w:sz w:val="20"/>
          <w:szCs w:val="20"/>
        </w:rPr>
        <w:t>VII.</w:t>
      </w:r>
      <w:r w:rsidRPr="002E1E74">
        <w:rPr>
          <w:b/>
          <w:bCs/>
          <w:noProof/>
          <w:sz w:val="20"/>
          <w:szCs w:val="20"/>
        </w:rPr>
        <w:tab/>
        <w:t>ANALYSIS OF COLORABLE CLAIM</w:t>
      </w:r>
    </w:p>
    <w:p w:rsidR="007D4440" w:rsidRPr="002E1E74" w:rsidRDefault="007D4440" w:rsidP="0010306C">
      <w:pPr>
        <w:numPr>
          <w:ilvl w:val="0"/>
          <w:numId w:val="51"/>
        </w:numPr>
        <w:suppressAutoHyphens/>
        <w:spacing w:after="240"/>
        <w:jc w:val="both"/>
        <w:rPr>
          <w:rFonts w:ascii="Cambria" w:hAnsi="Cambria" w:cs="Cambria"/>
          <w:noProof/>
          <w:sz w:val="20"/>
          <w:szCs w:val="20"/>
        </w:rPr>
      </w:pPr>
      <w:r w:rsidRPr="002E1E74">
        <w:rPr>
          <w:rFonts w:ascii="Cambria" w:hAnsi="Cambria" w:cs="Cambria"/>
          <w:noProof/>
          <w:sz w:val="20"/>
          <w:szCs w:val="20"/>
        </w:rPr>
        <w:t xml:space="preserve">In light of the elements of fact and law set out by the parties and of the nature of the matter placed before it, the Commission believes that the purported torture and execution of the alleged victims by three persons, including two police officers, the partial impunity that still surrounds the case, and the lack of effective judicial protection could tend to establish possible violations of Articles 4 (life), 5 (humane treatment), 7 (personal liberty), 8 (right to a fair trial), and 25 (judicial protection) of the American Convention, in conjunction with Article 1.1 thereof; of Articles 1, 6, and 8 of the Inter-American Convention to Prevent and </w:t>
      </w:r>
      <w:r w:rsidRPr="002E1E74">
        <w:rPr>
          <w:rFonts w:ascii="Cambria" w:hAnsi="Cambria" w:cs="Cambria"/>
          <w:noProof/>
          <w:sz w:val="20"/>
          <w:szCs w:val="20"/>
        </w:rPr>
        <w:lastRenderedPageBreak/>
        <w:t xml:space="preserve">Punish Torture, due to the failure to conduct an investigation following the entry into force of that Convention, with respect to José Ricardo Parra Hurtado and Félix Alberto Páez Suárez; and of Articles 5 (humane treatment), 8 (right to a fair trial), and 25 (judicial protection) of the American Convention, in conjunction with Article 1.1 thereof, with respect to the members of their families. </w:t>
      </w:r>
    </w:p>
    <w:p w:rsidR="007D4440" w:rsidRPr="002E1E74" w:rsidRDefault="007D4440" w:rsidP="0010306C">
      <w:pPr>
        <w:numPr>
          <w:ilvl w:val="0"/>
          <w:numId w:val="51"/>
        </w:numPr>
        <w:suppressAutoHyphens/>
        <w:spacing w:after="240"/>
        <w:jc w:val="both"/>
        <w:rPr>
          <w:rFonts w:ascii="Cambria" w:hAnsi="Cambria" w:cs="Cambria"/>
          <w:noProof/>
          <w:sz w:val="20"/>
          <w:szCs w:val="20"/>
        </w:rPr>
      </w:pPr>
      <w:r w:rsidRPr="002E1E74">
        <w:rPr>
          <w:rFonts w:ascii="Cambria" w:hAnsi="Cambria" w:cs="Cambria"/>
          <w:noProof/>
          <w:sz w:val="20"/>
          <w:szCs w:val="20"/>
        </w:rPr>
        <w:t>Regarding the State</w:t>
      </w:r>
      <w:r>
        <w:rPr>
          <w:rFonts w:ascii="Cambria" w:hAnsi="Cambria" w:cs="Cambria"/>
          <w:noProof/>
          <w:sz w:val="20"/>
          <w:szCs w:val="20"/>
        </w:rPr>
        <w:t>’</w:t>
      </w:r>
      <w:r w:rsidRPr="002E1E74">
        <w:rPr>
          <w:rFonts w:ascii="Cambria" w:hAnsi="Cambria" w:cs="Cambria"/>
          <w:noProof/>
          <w:sz w:val="20"/>
          <w:szCs w:val="20"/>
        </w:rPr>
        <w:t>s claims relating to the fourth instance formula, the Commission acknowledges that it does not have the competence to review judgments handed down by domestic courts acting within the scope of the</w:t>
      </w:r>
      <w:r>
        <w:rPr>
          <w:rFonts w:ascii="Cambria" w:hAnsi="Cambria" w:cs="Cambria"/>
          <w:noProof/>
          <w:sz w:val="20"/>
          <w:szCs w:val="20"/>
        </w:rPr>
        <w:t>ir</w:t>
      </w:r>
      <w:r w:rsidRPr="002E1E74">
        <w:rPr>
          <w:rFonts w:ascii="Cambria" w:hAnsi="Cambria" w:cs="Cambria"/>
          <w:noProof/>
          <w:sz w:val="20"/>
          <w:szCs w:val="20"/>
        </w:rPr>
        <w:t xml:space="preserve"> competence </w:t>
      </w:r>
      <w:r>
        <w:rPr>
          <w:rFonts w:ascii="Cambria" w:hAnsi="Cambria" w:cs="Cambria"/>
          <w:noProof/>
          <w:sz w:val="20"/>
          <w:szCs w:val="20"/>
        </w:rPr>
        <w:t xml:space="preserve">and </w:t>
      </w:r>
      <w:r w:rsidRPr="002E1E74">
        <w:rPr>
          <w:rFonts w:ascii="Cambria" w:hAnsi="Cambria" w:cs="Cambria"/>
          <w:noProof/>
          <w:sz w:val="20"/>
          <w:szCs w:val="20"/>
        </w:rPr>
        <w:t>in accordance with due process and the right to a fair trial. Nevertheless, it reiterates that within the framework of its mandate it is competent to rule a petition admissible and to decide on its merits when it involves domestic proceedings that could entail violations of rights guaranteed by the American Convention.</w:t>
      </w:r>
    </w:p>
    <w:p w:rsidR="007D4440" w:rsidRPr="002E1E74" w:rsidRDefault="007D4440" w:rsidP="0010306C">
      <w:pPr>
        <w:pStyle w:val="ListParagraph"/>
        <w:spacing w:before="240" w:after="240"/>
        <w:jc w:val="both"/>
        <w:rPr>
          <w:b/>
          <w:bCs/>
          <w:noProof/>
          <w:sz w:val="20"/>
          <w:szCs w:val="20"/>
        </w:rPr>
      </w:pPr>
      <w:r w:rsidRPr="002E1E74">
        <w:rPr>
          <w:b/>
          <w:bCs/>
          <w:noProof/>
          <w:sz w:val="20"/>
          <w:szCs w:val="20"/>
        </w:rPr>
        <w:t xml:space="preserve">VIII. </w:t>
      </w:r>
      <w:r w:rsidRPr="002E1E74">
        <w:rPr>
          <w:b/>
          <w:bCs/>
          <w:noProof/>
          <w:sz w:val="20"/>
          <w:szCs w:val="20"/>
        </w:rPr>
        <w:tab/>
        <w:t>DECISION</w:t>
      </w:r>
    </w:p>
    <w:p w:rsidR="007D4440" w:rsidRPr="002E1E74" w:rsidRDefault="007D4440" w:rsidP="0010306C">
      <w:pPr>
        <w:numPr>
          <w:ilvl w:val="0"/>
          <w:numId w:val="52"/>
        </w:numPr>
        <w:suppressAutoHyphens/>
        <w:spacing w:after="240"/>
        <w:jc w:val="both"/>
        <w:rPr>
          <w:rFonts w:ascii="Cambria" w:hAnsi="Cambria" w:cs="Cambria"/>
          <w:noProof/>
          <w:sz w:val="20"/>
          <w:szCs w:val="20"/>
        </w:rPr>
      </w:pPr>
      <w:r w:rsidRPr="002E1E74">
        <w:rPr>
          <w:rFonts w:ascii="Cambria" w:hAnsi="Cambria" w:cs="Cambria"/>
          <w:noProof/>
          <w:sz w:val="20"/>
          <w:szCs w:val="20"/>
        </w:rPr>
        <w:t>To find the instant petition admissible in relation to Articles 4, 5, 7, 8, and 25 of the American Convention, in conjunction with Article 1.1 thereof; and in relation to Articles 1, 6, and 8 of the Inter-American Convention to Prevent and Punish Torture; and</w:t>
      </w:r>
    </w:p>
    <w:p w:rsidR="007D4440" w:rsidRDefault="007D4440" w:rsidP="0010306C">
      <w:pPr>
        <w:numPr>
          <w:ilvl w:val="0"/>
          <w:numId w:val="52"/>
        </w:numPr>
        <w:suppressAutoHyphens/>
        <w:spacing w:after="240"/>
        <w:jc w:val="both"/>
        <w:rPr>
          <w:rFonts w:ascii="Cambria" w:hAnsi="Cambria" w:cs="Cambria"/>
          <w:noProof/>
          <w:sz w:val="20"/>
          <w:szCs w:val="20"/>
        </w:rPr>
      </w:pPr>
      <w:r w:rsidRPr="002E1E74">
        <w:rPr>
          <w:rFonts w:ascii="Cambria" w:hAnsi="Cambria" w:cs="Cambria"/>
          <w:noProof/>
          <w:sz w:val="20"/>
          <w:szCs w:val="20"/>
        </w:rPr>
        <w:t>To notify the parties of this decision; to continue with the analysis on the merits; and to publish this decision and include it in its Annual Report to the General Assembly of the Organization of American States.</w:t>
      </w:r>
    </w:p>
    <w:p w:rsidR="0054738B" w:rsidRPr="00226772" w:rsidRDefault="0054738B" w:rsidP="00226772">
      <w:pPr>
        <w:ind w:firstLine="720"/>
        <w:jc w:val="both"/>
        <w:rPr>
          <w:rFonts w:asciiTheme="majorHAnsi" w:hAnsiTheme="majorHAnsi" w:cs="Calibri"/>
          <w:sz w:val="20"/>
          <w:szCs w:val="20"/>
        </w:rPr>
      </w:pPr>
      <w:r w:rsidRPr="00226772">
        <w:rPr>
          <w:rFonts w:asciiTheme="majorHAnsi" w:hAnsiTheme="majorHAnsi"/>
          <w:spacing w:val="-2"/>
          <w:sz w:val="20"/>
        </w:rPr>
        <w:t xml:space="preserve">Approved by the Inter-American Commission on Human Rights on the </w:t>
      </w:r>
      <w:r w:rsidR="00226772">
        <w:rPr>
          <w:rFonts w:asciiTheme="majorHAnsi" w:hAnsiTheme="majorHAnsi"/>
          <w:spacing w:val="-2"/>
          <w:sz w:val="20"/>
        </w:rPr>
        <w:t>4</w:t>
      </w:r>
      <w:r w:rsidRPr="00226772">
        <w:rPr>
          <w:rFonts w:asciiTheme="majorHAnsi" w:hAnsiTheme="majorHAnsi"/>
          <w:spacing w:val="-2"/>
          <w:sz w:val="20"/>
          <w:vertAlign w:val="superscript"/>
        </w:rPr>
        <w:t>th</w:t>
      </w:r>
      <w:r w:rsidRPr="00226772">
        <w:rPr>
          <w:rFonts w:asciiTheme="majorHAnsi" w:hAnsiTheme="majorHAnsi"/>
          <w:spacing w:val="-2"/>
          <w:sz w:val="20"/>
        </w:rPr>
        <w:t xml:space="preserve"> day of the month of </w:t>
      </w:r>
      <w:r w:rsidR="00226772">
        <w:rPr>
          <w:rFonts w:asciiTheme="majorHAnsi" w:hAnsiTheme="majorHAnsi"/>
          <w:spacing w:val="-2"/>
          <w:sz w:val="20"/>
        </w:rPr>
        <w:t xml:space="preserve">May+, </w:t>
      </w:r>
      <w:r w:rsidRPr="00226772">
        <w:rPr>
          <w:rFonts w:asciiTheme="majorHAnsi" w:hAnsiTheme="majorHAnsi"/>
          <w:spacing w:val="-2"/>
          <w:sz w:val="20"/>
        </w:rPr>
        <w:t xml:space="preserve">2018. (Signed):  </w:t>
      </w:r>
      <w:r w:rsidRPr="00226772">
        <w:rPr>
          <w:rFonts w:asciiTheme="majorHAnsi" w:hAnsiTheme="majorHAnsi"/>
          <w:sz w:val="20"/>
        </w:rPr>
        <w:t xml:space="preserve">Margarette May Macaulay, President; Esmeralda E. </w:t>
      </w:r>
      <w:proofErr w:type="spellStart"/>
      <w:r w:rsidRPr="00226772">
        <w:rPr>
          <w:rFonts w:asciiTheme="majorHAnsi" w:hAnsiTheme="majorHAnsi"/>
          <w:sz w:val="20"/>
        </w:rPr>
        <w:t>Arosemena</w:t>
      </w:r>
      <w:proofErr w:type="spellEnd"/>
      <w:r w:rsidRPr="00226772">
        <w:rPr>
          <w:rFonts w:asciiTheme="majorHAnsi" w:hAnsiTheme="majorHAnsi"/>
          <w:sz w:val="20"/>
        </w:rPr>
        <w:t xml:space="preserve"> Bernal de </w:t>
      </w:r>
      <w:proofErr w:type="spellStart"/>
      <w:r w:rsidRPr="00226772">
        <w:rPr>
          <w:rFonts w:asciiTheme="majorHAnsi" w:hAnsiTheme="majorHAnsi"/>
          <w:sz w:val="20"/>
        </w:rPr>
        <w:t>Troitiño</w:t>
      </w:r>
      <w:proofErr w:type="spellEnd"/>
      <w:r w:rsidRPr="00226772">
        <w:rPr>
          <w:rFonts w:asciiTheme="majorHAnsi" w:hAnsiTheme="majorHAnsi"/>
          <w:sz w:val="20"/>
        </w:rPr>
        <w:t xml:space="preserve">, First Vice President; Francisco José Eguiguren Praeli, Joel Hernández García, Antonia Urrejola, and </w:t>
      </w:r>
      <w:proofErr w:type="spellStart"/>
      <w:r w:rsidRPr="00226772">
        <w:rPr>
          <w:rFonts w:asciiTheme="majorHAnsi" w:hAnsiTheme="majorHAnsi"/>
          <w:sz w:val="20"/>
        </w:rPr>
        <w:t>Flávia</w:t>
      </w:r>
      <w:proofErr w:type="spellEnd"/>
      <w:r w:rsidRPr="00226772">
        <w:rPr>
          <w:rFonts w:asciiTheme="majorHAnsi" w:hAnsiTheme="majorHAnsi"/>
          <w:sz w:val="20"/>
        </w:rPr>
        <w:t xml:space="preserve"> </w:t>
      </w:r>
      <w:proofErr w:type="spellStart"/>
      <w:r w:rsidRPr="00226772">
        <w:rPr>
          <w:rFonts w:asciiTheme="majorHAnsi" w:hAnsiTheme="majorHAnsi"/>
          <w:sz w:val="20"/>
        </w:rPr>
        <w:t>Piovesan</w:t>
      </w:r>
      <w:proofErr w:type="spellEnd"/>
      <w:r w:rsidRPr="00226772">
        <w:rPr>
          <w:rFonts w:asciiTheme="majorHAnsi" w:hAnsiTheme="majorHAnsi"/>
          <w:sz w:val="20"/>
        </w:rPr>
        <w:t>,</w:t>
      </w:r>
      <w:r w:rsidRPr="00226772">
        <w:rPr>
          <w:rFonts w:asciiTheme="majorHAnsi" w:hAnsiTheme="majorHAnsi" w:cs="Arial"/>
          <w:noProof/>
          <w:spacing w:val="-2"/>
          <w:sz w:val="20"/>
        </w:rPr>
        <w:t xml:space="preserve">  </w:t>
      </w:r>
      <w:r w:rsidRPr="00226772">
        <w:rPr>
          <w:rFonts w:asciiTheme="majorHAnsi" w:hAnsiTheme="majorHAnsi"/>
          <w:spacing w:val="-2"/>
          <w:sz w:val="20"/>
        </w:rPr>
        <w:t>Commissioners.</w:t>
      </w:r>
    </w:p>
    <w:p w:rsidR="00820FD1" w:rsidRPr="0010306C" w:rsidRDefault="00820FD1" w:rsidP="00820FD1">
      <w:pPr>
        <w:suppressAutoHyphens/>
        <w:spacing w:after="240"/>
        <w:jc w:val="both"/>
        <w:rPr>
          <w:rFonts w:ascii="Cambria" w:hAnsi="Cambria" w:cs="Cambria"/>
          <w:noProof/>
          <w:sz w:val="20"/>
          <w:szCs w:val="20"/>
        </w:rPr>
      </w:pPr>
    </w:p>
    <w:sectPr w:rsidR="00820FD1" w:rsidRPr="0010306C" w:rsidSect="00934A2C">
      <w:headerReference w:type="default" r:id="rId15"/>
      <w:footerReference w:type="default" r:id="rId16"/>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1DE" w:rsidRDefault="003851DE" w:rsidP="004E721B">
      <w:r>
        <w:separator/>
      </w:r>
    </w:p>
  </w:endnote>
  <w:endnote w:type="continuationSeparator" w:id="0">
    <w:p w:rsidR="003851DE" w:rsidRDefault="003851DE" w:rsidP="004E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63E" w:rsidRDefault="005B56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440" w:rsidRPr="0010306C" w:rsidRDefault="007D4440">
    <w:pPr>
      <w:pStyle w:val="Footer"/>
      <w:jc w:val="center"/>
      <w:rPr>
        <w:noProof/>
        <w:sz w:val="16"/>
        <w:szCs w:val="16"/>
      </w:rPr>
    </w:pPr>
    <w:r w:rsidRPr="0010306C">
      <w:rPr>
        <w:noProof/>
        <w:sz w:val="16"/>
        <w:szCs w:val="16"/>
      </w:rPr>
      <w:fldChar w:fldCharType="begin"/>
    </w:r>
    <w:r w:rsidRPr="0010306C">
      <w:rPr>
        <w:noProof/>
        <w:sz w:val="16"/>
        <w:szCs w:val="16"/>
      </w:rPr>
      <w:instrText xml:space="preserve"> PAGE   \* MERGEFORMAT </w:instrText>
    </w:r>
    <w:r w:rsidRPr="0010306C">
      <w:rPr>
        <w:noProof/>
        <w:sz w:val="16"/>
        <w:szCs w:val="16"/>
      </w:rPr>
      <w:fldChar w:fldCharType="separate"/>
    </w:r>
    <w:r>
      <w:rPr>
        <w:noProof/>
        <w:sz w:val="16"/>
        <w:szCs w:val="16"/>
      </w:rPr>
      <w:t>1</w:t>
    </w:r>
    <w:r w:rsidRPr="0010306C">
      <w:rPr>
        <w:noProof/>
        <w:sz w:val="16"/>
        <w:szCs w:val="16"/>
      </w:rPr>
      <w:fldChar w:fldCharType="end"/>
    </w:r>
  </w:p>
  <w:p w:rsidR="007D4440" w:rsidRPr="0010306C" w:rsidRDefault="007D4440">
    <w:pPr>
      <w:pStyle w:val="Footer"/>
      <w:rPr>
        <w:noProo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440" w:rsidRPr="0010306C" w:rsidRDefault="007D4440">
    <w:pPr>
      <w:pStyle w:val="Footer"/>
      <w:jc w:val="center"/>
      <w:rPr>
        <w:noProof/>
        <w:sz w:val="16"/>
        <w:szCs w:val="16"/>
      </w:rPr>
    </w:pPr>
  </w:p>
  <w:p w:rsidR="007D4440" w:rsidRPr="0010306C" w:rsidRDefault="007D4440">
    <w:pPr>
      <w:pStyle w:val="Footer"/>
      <w:rPr>
        <w:noProof/>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440" w:rsidRPr="0010306C" w:rsidRDefault="007D4440">
    <w:pPr>
      <w:pStyle w:val="Footer"/>
      <w:jc w:val="center"/>
      <w:rPr>
        <w:noProof/>
        <w:sz w:val="16"/>
        <w:szCs w:val="16"/>
      </w:rPr>
    </w:pPr>
    <w:r w:rsidRPr="0010306C">
      <w:rPr>
        <w:noProof/>
        <w:sz w:val="16"/>
        <w:szCs w:val="16"/>
      </w:rPr>
      <w:fldChar w:fldCharType="begin"/>
    </w:r>
    <w:r w:rsidRPr="0010306C">
      <w:rPr>
        <w:noProof/>
        <w:sz w:val="16"/>
        <w:szCs w:val="16"/>
      </w:rPr>
      <w:instrText xml:space="preserve"> PAGE   \* MERGEFORMAT </w:instrText>
    </w:r>
    <w:r w:rsidRPr="0010306C">
      <w:rPr>
        <w:noProof/>
        <w:sz w:val="16"/>
        <w:szCs w:val="16"/>
      </w:rPr>
      <w:fldChar w:fldCharType="separate"/>
    </w:r>
    <w:r w:rsidR="005B563E">
      <w:rPr>
        <w:noProof/>
        <w:sz w:val="16"/>
        <w:szCs w:val="16"/>
      </w:rPr>
      <w:t>3</w:t>
    </w:r>
    <w:r w:rsidRPr="0010306C">
      <w:rPr>
        <w:noProof/>
        <w:sz w:val="16"/>
        <w:szCs w:val="16"/>
      </w:rPr>
      <w:fldChar w:fldCharType="end"/>
    </w:r>
  </w:p>
  <w:p w:rsidR="007D4440" w:rsidRPr="0010306C" w:rsidRDefault="007D4440">
    <w:pPr>
      <w:pStyle w:val="Footer"/>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1DE" w:rsidRPr="0010306C" w:rsidRDefault="003851DE">
      <w:pPr>
        <w:rPr>
          <w:rFonts w:ascii="Cambria" w:hAnsi="Cambria" w:cs="Cambria"/>
          <w:noProof/>
          <w:sz w:val="16"/>
          <w:szCs w:val="16"/>
        </w:rPr>
      </w:pPr>
      <w:r w:rsidRPr="0010306C">
        <w:rPr>
          <w:rFonts w:ascii="Cambria" w:hAnsi="Cambria" w:cs="Cambria"/>
          <w:noProof/>
          <w:sz w:val="16"/>
          <w:szCs w:val="16"/>
        </w:rPr>
        <w:separator/>
      </w:r>
    </w:p>
  </w:footnote>
  <w:footnote w:type="continuationSeparator" w:id="0">
    <w:p w:rsidR="003851DE" w:rsidRPr="0010306C" w:rsidRDefault="003851DE" w:rsidP="000F35ED">
      <w:pPr>
        <w:rPr>
          <w:rFonts w:ascii="Cambria" w:hAnsi="Cambria" w:cs="Cambria"/>
          <w:noProof/>
          <w:sz w:val="16"/>
          <w:szCs w:val="16"/>
        </w:rPr>
      </w:pPr>
      <w:r w:rsidRPr="0010306C">
        <w:rPr>
          <w:rFonts w:ascii="Cambria" w:hAnsi="Cambria" w:cs="Cambria"/>
          <w:noProof/>
          <w:sz w:val="16"/>
          <w:szCs w:val="16"/>
        </w:rPr>
        <w:separator/>
      </w:r>
    </w:p>
    <w:p w:rsidR="003851DE" w:rsidRPr="0010306C" w:rsidRDefault="003851DE" w:rsidP="000F35ED">
      <w:pPr>
        <w:pStyle w:val="Footer"/>
        <w:rPr>
          <w:noProof/>
          <w:sz w:val="16"/>
          <w:szCs w:val="16"/>
        </w:rPr>
      </w:pPr>
      <w:r w:rsidRPr="0010306C">
        <w:rPr>
          <w:noProof/>
          <w:sz w:val="16"/>
          <w:szCs w:val="16"/>
        </w:rPr>
        <w:t>[… continuación]</w:t>
      </w:r>
    </w:p>
  </w:footnote>
  <w:footnote w:id="1">
    <w:p w:rsidR="007D4440" w:rsidRDefault="007D4440" w:rsidP="0010306C">
      <w:pPr>
        <w:pStyle w:val="FootnoteText"/>
        <w:tabs>
          <w:tab w:val="left" w:pos="720"/>
        </w:tabs>
        <w:ind w:firstLine="360"/>
        <w:jc w:val="both"/>
      </w:pPr>
      <w:r w:rsidRPr="0021188F">
        <w:rPr>
          <w:rStyle w:val="FootnoteReference"/>
          <w:rFonts w:ascii="Cambria" w:hAnsi="Cambria" w:cs="Cambria"/>
          <w:sz w:val="16"/>
          <w:szCs w:val="16"/>
        </w:rPr>
        <w:footnoteRef/>
      </w:r>
      <w:r w:rsidRPr="0021188F">
        <w:rPr>
          <w:rFonts w:ascii="Cambria" w:hAnsi="Cambria" w:cs="Cambria"/>
          <w:sz w:val="16"/>
          <w:szCs w:val="16"/>
        </w:rPr>
        <w:t xml:space="preserve"> In compliance with the terms of Article 17.2.</w:t>
      </w:r>
      <w:proofErr w:type="spellStart"/>
      <w:r w:rsidRPr="0021188F">
        <w:rPr>
          <w:rFonts w:ascii="Cambria" w:hAnsi="Cambria" w:cs="Cambria"/>
          <w:sz w:val="16"/>
          <w:szCs w:val="16"/>
        </w:rPr>
        <w:t>a</w:t>
      </w:r>
      <w:proofErr w:type="spellEnd"/>
      <w:r w:rsidRPr="0021188F">
        <w:rPr>
          <w:rFonts w:ascii="Cambria" w:hAnsi="Cambria" w:cs="Cambria"/>
          <w:sz w:val="16"/>
          <w:szCs w:val="16"/>
        </w:rPr>
        <w:t xml:space="preserve"> of the Commission’s Rules of Procedure, Commissioner Luis Ernesto Vargas Silva, a Colombian national, did not participate in discussing or deciding this case.</w:t>
      </w:r>
    </w:p>
  </w:footnote>
  <w:footnote w:id="2">
    <w:p w:rsidR="007D4440" w:rsidRDefault="007D4440" w:rsidP="0010306C">
      <w:pPr>
        <w:pStyle w:val="FootnoteText"/>
        <w:tabs>
          <w:tab w:val="left" w:pos="720"/>
        </w:tabs>
        <w:ind w:firstLine="360"/>
        <w:jc w:val="both"/>
      </w:pPr>
      <w:r w:rsidRPr="0021188F">
        <w:rPr>
          <w:rStyle w:val="FootnoteReference"/>
          <w:rFonts w:ascii="Cambria" w:hAnsi="Cambria" w:cs="Cambria"/>
          <w:sz w:val="16"/>
          <w:szCs w:val="16"/>
        </w:rPr>
        <w:footnoteRef/>
      </w:r>
      <w:r w:rsidRPr="0021188F">
        <w:rPr>
          <w:rFonts w:ascii="Cambria" w:hAnsi="Cambria" w:cs="Cambria"/>
          <w:sz w:val="16"/>
          <w:szCs w:val="16"/>
        </w:rPr>
        <w:t xml:space="preserve"> Hereinafter “the Convention” or “the American Convention.”</w:t>
      </w:r>
    </w:p>
  </w:footnote>
  <w:footnote w:id="3">
    <w:p w:rsidR="007D4440" w:rsidRDefault="007D4440" w:rsidP="0010306C">
      <w:pPr>
        <w:pStyle w:val="FootnoteText"/>
        <w:tabs>
          <w:tab w:val="left" w:pos="720"/>
        </w:tabs>
        <w:ind w:firstLine="360"/>
        <w:jc w:val="both"/>
      </w:pPr>
      <w:r w:rsidRPr="0021188F">
        <w:rPr>
          <w:rStyle w:val="FootnoteReference"/>
          <w:rFonts w:ascii="Cambria" w:hAnsi="Cambria" w:cs="Cambria"/>
          <w:sz w:val="16"/>
          <w:szCs w:val="16"/>
        </w:rPr>
        <w:footnoteRef/>
      </w:r>
      <w:r w:rsidRPr="0021188F">
        <w:rPr>
          <w:rFonts w:ascii="Cambria" w:hAnsi="Cambria" w:cs="Cambria"/>
          <w:sz w:val="16"/>
          <w:szCs w:val="16"/>
        </w:rPr>
        <w:t xml:space="preserve"> Universal Declaration of Human Rights, American Declaration of the Rights and Duties of Man, International Covenant on Civil and Political Rights, Inter-American Convention to Prevent and Punish Torture, Inter-American Convention on Forced Disappearance of Persons, and other international instruments. </w:t>
      </w:r>
    </w:p>
  </w:footnote>
  <w:footnote w:id="4">
    <w:p w:rsidR="007D4440" w:rsidRDefault="007D4440" w:rsidP="0010306C">
      <w:pPr>
        <w:pStyle w:val="FootnoteText"/>
        <w:tabs>
          <w:tab w:val="left" w:pos="720"/>
        </w:tabs>
        <w:ind w:firstLine="360"/>
        <w:jc w:val="both"/>
      </w:pPr>
      <w:r w:rsidRPr="0021188F">
        <w:rPr>
          <w:rStyle w:val="FootnoteReference"/>
          <w:rFonts w:ascii="Cambria" w:hAnsi="Cambria" w:cs="Cambria"/>
          <w:sz w:val="16"/>
          <w:szCs w:val="16"/>
        </w:rPr>
        <w:footnoteRef/>
      </w:r>
      <w:r w:rsidRPr="0021188F">
        <w:rPr>
          <w:rFonts w:ascii="Cambria" w:hAnsi="Cambria" w:cs="Cambria"/>
          <w:sz w:val="16"/>
          <w:szCs w:val="16"/>
        </w:rPr>
        <w:t xml:space="preserve"> The observations submitted by each party were duly transmitted to the opposing party. Since their last substantive communication, the petitioners have communicated with the IACHR on several occasions requesting the adoption of a decision on admissibility. The most recent of those communications was dated August 8, 2017.</w:t>
      </w:r>
    </w:p>
  </w:footnote>
  <w:footnote w:id="5">
    <w:p w:rsidR="007D4440" w:rsidRDefault="007D4440" w:rsidP="0010306C">
      <w:pPr>
        <w:pStyle w:val="FootnoteText"/>
        <w:tabs>
          <w:tab w:val="left" w:pos="720"/>
        </w:tabs>
        <w:ind w:firstLine="360"/>
        <w:jc w:val="both"/>
      </w:pPr>
      <w:r w:rsidRPr="0021188F">
        <w:rPr>
          <w:rStyle w:val="FootnoteReference"/>
          <w:rFonts w:ascii="Cambria" w:hAnsi="Cambria" w:cs="Cambria"/>
          <w:sz w:val="16"/>
          <w:szCs w:val="16"/>
        </w:rPr>
        <w:footnoteRef/>
      </w:r>
      <w:r w:rsidRPr="0021188F">
        <w:rPr>
          <w:rFonts w:ascii="Cambria" w:hAnsi="Cambria" w:cs="Cambria"/>
          <w:sz w:val="16"/>
          <w:szCs w:val="16"/>
        </w:rPr>
        <w:t xml:space="preserve"> </w:t>
      </w:r>
      <w:r w:rsidRPr="0021188F">
        <w:rPr>
          <w:rFonts w:ascii="Cambria" w:hAnsi="Cambria" w:cs="Cambria"/>
          <w:sz w:val="16"/>
          <w:szCs w:val="16"/>
        </w:rPr>
        <w:tab/>
        <w:t xml:space="preserve">IACHR, Report No. 55/13. Petition 375-07. Admissibility. Spencer Friend </w:t>
      </w:r>
      <w:proofErr w:type="spellStart"/>
      <w:r w:rsidRPr="0021188F">
        <w:rPr>
          <w:rFonts w:ascii="Cambria" w:hAnsi="Cambria" w:cs="Cambria"/>
          <w:sz w:val="16"/>
          <w:szCs w:val="16"/>
        </w:rPr>
        <w:t>Montehermoso</w:t>
      </w:r>
      <w:proofErr w:type="spellEnd"/>
      <w:r w:rsidRPr="0021188F">
        <w:rPr>
          <w:rFonts w:ascii="Cambria" w:hAnsi="Cambria" w:cs="Cambria"/>
          <w:sz w:val="16"/>
          <w:szCs w:val="16"/>
        </w:rPr>
        <w:t xml:space="preserve"> and Others. Guatemala. July 16, 2013, para. 31.</w:t>
      </w:r>
    </w:p>
  </w:footnote>
  <w:footnote w:id="6">
    <w:p w:rsidR="007D4440" w:rsidRDefault="007D4440" w:rsidP="0010306C">
      <w:pPr>
        <w:pStyle w:val="FootnoteText"/>
        <w:tabs>
          <w:tab w:val="left" w:pos="720"/>
        </w:tabs>
        <w:ind w:firstLine="360"/>
        <w:jc w:val="both"/>
      </w:pPr>
      <w:r w:rsidRPr="0021188F">
        <w:rPr>
          <w:rStyle w:val="FootnoteReference"/>
          <w:rFonts w:ascii="Cambria" w:hAnsi="Cambria" w:cs="Cambria"/>
          <w:sz w:val="16"/>
          <w:szCs w:val="16"/>
        </w:rPr>
        <w:footnoteRef/>
      </w:r>
      <w:r w:rsidRPr="0021188F">
        <w:rPr>
          <w:rFonts w:ascii="Cambria" w:hAnsi="Cambria" w:cs="Cambria"/>
          <w:sz w:val="16"/>
          <w:szCs w:val="16"/>
        </w:rPr>
        <w:t xml:space="preserve"> </w:t>
      </w:r>
      <w:r w:rsidRPr="0021188F">
        <w:rPr>
          <w:rFonts w:ascii="Cambria" w:hAnsi="Cambria" w:cs="Cambria"/>
          <w:sz w:val="16"/>
          <w:szCs w:val="16"/>
        </w:rPr>
        <w:tab/>
        <w:t xml:space="preserve">IACHR, Report No. 72/16. Petition 694-06. Admissibility. </w:t>
      </w:r>
      <w:r w:rsidRPr="0004703C">
        <w:rPr>
          <w:rFonts w:ascii="Cambria" w:hAnsi="Cambria" w:cs="Cambria"/>
          <w:sz w:val="16"/>
          <w:szCs w:val="16"/>
          <w:lang w:val="es-ES"/>
        </w:rPr>
        <w:t xml:space="preserve">Onofre Antonio de La Hoz Montero and Family. </w:t>
      </w:r>
      <w:r w:rsidRPr="0021188F">
        <w:rPr>
          <w:rFonts w:ascii="Cambria" w:hAnsi="Cambria" w:cs="Cambria"/>
          <w:sz w:val="16"/>
          <w:szCs w:val="16"/>
        </w:rPr>
        <w:t>Colombia. December 6, 2016, para.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63E" w:rsidRDefault="005B56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440" w:rsidRPr="0010306C" w:rsidRDefault="00740DEF" w:rsidP="00A50FCF">
    <w:pPr>
      <w:pStyle w:val="Header"/>
      <w:tabs>
        <w:tab w:val="clear" w:pos="4320"/>
        <w:tab w:val="clear" w:pos="8640"/>
      </w:tabs>
      <w:jc w:val="center"/>
      <w:rPr>
        <w:rFonts w:cs="Times New Roman"/>
        <w:noProof/>
        <w:sz w:val="22"/>
        <w:szCs w:val="22"/>
      </w:rPr>
    </w:pPr>
    <w:r>
      <w:rPr>
        <w:rFonts w:cs="Times New Roman"/>
        <w:noProof/>
        <w:sz w:val="22"/>
        <w:szCs w:val="22"/>
      </w:rPr>
      <w:drawing>
        <wp:inline distT="0" distB="0" distL="0" distR="0">
          <wp:extent cx="2157730" cy="116840"/>
          <wp:effectExtent l="0" t="0" r="0" b="0"/>
          <wp:docPr id="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7730" cy="116840"/>
                  </a:xfrm>
                  <a:prstGeom prst="rect">
                    <a:avLst/>
                  </a:prstGeom>
                  <a:noFill/>
                  <a:ln>
                    <a:noFill/>
                  </a:ln>
                </pic:spPr>
              </pic:pic>
            </a:graphicData>
          </a:graphic>
        </wp:inline>
      </w:drawing>
    </w:r>
  </w:p>
  <w:p w:rsidR="007D4440" w:rsidRPr="0010306C" w:rsidRDefault="003851DE" w:rsidP="00A50FCF">
    <w:pPr>
      <w:pStyle w:val="Header"/>
      <w:tabs>
        <w:tab w:val="clear" w:pos="4320"/>
        <w:tab w:val="clear" w:pos="8640"/>
      </w:tabs>
      <w:jc w:val="center"/>
      <w:rPr>
        <w:rFonts w:cs="Times New Roman"/>
        <w:noProof/>
        <w:sz w:val="22"/>
        <w:szCs w:val="22"/>
      </w:rPr>
    </w:pPr>
    <w:r>
      <w:rPr>
        <w:rFonts w:cs="Times New Roman"/>
        <w:noProof/>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63E" w:rsidRDefault="005B563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440" w:rsidRPr="0010306C" w:rsidRDefault="00740DEF" w:rsidP="00A50FCF">
    <w:pPr>
      <w:pStyle w:val="Header"/>
      <w:tabs>
        <w:tab w:val="clear" w:pos="4320"/>
        <w:tab w:val="clear" w:pos="8640"/>
      </w:tabs>
      <w:jc w:val="center"/>
      <w:rPr>
        <w:rFonts w:cs="Times New Roman"/>
        <w:noProof/>
        <w:sz w:val="22"/>
        <w:szCs w:val="22"/>
      </w:rPr>
    </w:pPr>
    <w:r>
      <w:rPr>
        <w:rFonts w:cs="Times New Roman"/>
        <w:noProof/>
        <w:sz w:val="22"/>
        <w:szCs w:val="22"/>
      </w:rPr>
      <w:drawing>
        <wp:inline distT="0" distB="0" distL="0" distR="0">
          <wp:extent cx="2157730" cy="1168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7730" cy="116840"/>
                  </a:xfrm>
                  <a:prstGeom prst="rect">
                    <a:avLst/>
                  </a:prstGeom>
                  <a:noFill/>
                  <a:ln>
                    <a:noFill/>
                  </a:ln>
                </pic:spPr>
              </pic:pic>
            </a:graphicData>
          </a:graphic>
        </wp:inline>
      </w:drawing>
    </w:r>
  </w:p>
  <w:p w:rsidR="007D4440" w:rsidRPr="0010306C" w:rsidRDefault="003851DE" w:rsidP="00A50FCF">
    <w:pPr>
      <w:pStyle w:val="Header"/>
      <w:tabs>
        <w:tab w:val="clear" w:pos="4320"/>
        <w:tab w:val="clear" w:pos="8640"/>
      </w:tabs>
      <w:jc w:val="center"/>
      <w:rPr>
        <w:rFonts w:cs="Times New Roman"/>
        <w:noProof/>
        <w:sz w:val="22"/>
        <w:szCs w:val="22"/>
      </w:rPr>
    </w:pPr>
    <w:r>
      <w:rPr>
        <w:rFonts w:cs="Times New Roman"/>
        <w:noProof/>
        <w:sz w:val="22"/>
        <w:szCs w:val="22"/>
      </w:rPr>
      <w:pict>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Times New Roman" w:hAnsi="Calibri"/>
        <w:b/>
        <w:bCs/>
        <w:color w:val="000000"/>
        <w:position w:val="0"/>
        <w:sz w:val="22"/>
        <w:szCs w:val="22"/>
        <w:u w:val="single"/>
      </w:rPr>
    </w:lvl>
    <w:lvl w:ilvl="1">
      <w:start w:val="1"/>
      <w:numFmt w:val="decimal"/>
      <w:lvlText w:val="%1.%2."/>
      <w:lvlJc w:val="left"/>
      <w:pPr>
        <w:tabs>
          <w:tab w:val="num" w:pos="720"/>
        </w:tabs>
        <w:ind w:left="720" w:hanging="360"/>
      </w:pPr>
      <w:rPr>
        <w:rFonts w:ascii="Trebuchet MS" w:eastAsia="Times New Roman" w:hAnsi="Trebuchet MS"/>
        <w:b/>
        <w:bCs/>
        <w:color w:val="000000"/>
        <w:position w:val="0"/>
        <w:sz w:val="22"/>
        <w:szCs w:val="22"/>
        <w:u w:val="single"/>
      </w:rPr>
    </w:lvl>
    <w:lvl w:ilvl="2">
      <w:start w:val="1"/>
      <w:numFmt w:val="decimal"/>
      <w:lvlText w:val="%1.%2.%3."/>
      <w:lvlJc w:val="left"/>
      <w:pPr>
        <w:tabs>
          <w:tab w:val="num" w:pos="1020"/>
        </w:tabs>
        <w:ind w:left="1020" w:hanging="660"/>
      </w:pPr>
      <w:rPr>
        <w:rFonts w:ascii="Calibri" w:eastAsia="Times New Roman" w:hAnsi="Calibri"/>
        <w:b/>
        <w:bCs/>
        <w:color w:val="000000"/>
        <w:position w:val="0"/>
        <w:sz w:val="22"/>
        <w:szCs w:val="22"/>
        <w:u w:val="single"/>
      </w:rPr>
    </w:lvl>
    <w:lvl w:ilvl="3">
      <w:start w:val="1"/>
      <w:numFmt w:val="decimal"/>
      <w:lvlText w:val="%1.%2.%3.%4."/>
      <w:lvlJc w:val="left"/>
      <w:pPr>
        <w:tabs>
          <w:tab w:val="num" w:pos="1020"/>
        </w:tabs>
        <w:ind w:left="1020" w:hanging="660"/>
      </w:pPr>
      <w:rPr>
        <w:rFonts w:ascii="Calibri" w:eastAsia="Times New Roman" w:hAnsi="Calibri"/>
        <w:b/>
        <w:bCs/>
        <w:color w:val="000000"/>
        <w:position w:val="0"/>
        <w:sz w:val="22"/>
        <w:szCs w:val="22"/>
        <w:u w:val="single"/>
      </w:rPr>
    </w:lvl>
    <w:lvl w:ilvl="4">
      <w:start w:val="1"/>
      <w:numFmt w:val="decimal"/>
      <w:lvlText w:val="%1.%2.%3.%4.%5."/>
      <w:lvlJc w:val="left"/>
      <w:pPr>
        <w:tabs>
          <w:tab w:val="num" w:pos="1350"/>
        </w:tabs>
        <w:ind w:left="1350" w:hanging="990"/>
      </w:pPr>
      <w:rPr>
        <w:rFonts w:ascii="Calibri" w:eastAsia="Times New Roman" w:hAnsi="Calibri"/>
        <w:b/>
        <w:bCs/>
        <w:color w:val="000000"/>
        <w:position w:val="0"/>
        <w:sz w:val="22"/>
        <w:szCs w:val="22"/>
        <w:u w:val="single"/>
      </w:rPr>
    </w:lvl>
    <w:lvl w:ilvl="5">
      <w:start w:val="1"/>
      <w:numFmt w:val="decimal"/>
      <w:lvlText w:val="%1.%2.%3.%4.%5.%6."/>
      <w:lvlJc w:val="left"/>
      <w:pPr>
        <w:tabs>
          <w:tab w:val="num" w:pos="1350"/>
        </w:tabs>
        <w:ind w:left="1350" w:hanging="990"/>
      </w:pPr>
      <w:rPr>
        <w:rFonts w:ascii="Calibri" w:eastAsia="Times New Roman" w:hAnsi="Calibri"/>
        <w:b/>
        <w:bCs/>
        <w:color w:val="000000"/>
        <w:position w:val="0"/>
        <w:sz w:val="22"/>
        <w:szCs w:val="22"/>
        <w:u w:val="single"/>
      </w:rPr>
    </w:lvl>
    <w:lvl w:ilvl="6">
      <w:start w:val="1"/>
      <w:numFmt w:val="decimal"/>
      <w:lvlText w:val="%1.%2.%3.%4.%5.%6.%7."/>
      <w:lvlJc w:val="left"/>
      <w:pPr>
        <w:tabs>
          <w:tab w:val="num" w:pos="1680"/>
        </w:tabs>
        <w:ind w:left="1680" w:hanging="1320"/>
      </w:pPr>
      <w:rPr>
        <w:rFonts w:ascii="Calibri" w:eastAsia="Times New Roman" w:hAnsi="Calibri"/>
        <w:b/>
        <w:bCs/>
        <w:color w:val="000000"/>
        <w:position w:val="0"/>
        <w:sz w:val="22"/>
        <w:szCs w:val="22"/>
        <w:u w:val="single"/>
      </w:rPr>
    </w:lvl>
    <w:lvl w:ilvl="7">
      <w:start w:val="1"/>
      <w:numFmt w:val="decimal"/>
      <w:lvlText w:val="%1.%2.%3.%4.%5.%6.%7.%8."/>
      <w:lvlJc w:val="left"/>
      <w:pPr>
        <w:tabs>
          <w:tab w:val="num" w:pos="1680"/>
        </w:tabs>
        <w:ind w:left="1680" w:hanging="1320"/>
      </w:pPr>
      <w:rPr>
        <w:rFonts w:ascii="Calibri" w:eastAsia="Times New Roman" w:hAnsi="Calibri"/>
        <w:b/>
        <w:bCs/>
        <w:color w:val="000000"/>
        <w:position w:val="0"/>
        <w:sz w:val="22"/>
        <w:szCs w:val="22"/>
        <w:u w:val="single"/>
      </w:rPr>
    </w:lvl>
    <w:lvl w:ilvl="8">
      <w:start w:val="1"/>
      <w:numFmt w:val="decimal"/>
      <w:lvlText w:val="%1.%2.%3.%4.%5.%6.%7.%8.%9."/>
      <w:lvlJc w:val="left"/>
      <w:pPr>
        <w:tabs>
          <w:tab w:val="num" w:pos="2010"/>
        </w:tabs>
        <w:ind w:left="2010" w:hanging="1650"/>
      </w:pPr>
      <w:rPr>
        <w:rFonts w:ascii="Calibri" w:eastAsia="Times New Roman" w:hAnsi="Calibri"/>
        <w:b/>
        <w:bCs/>
        <w:color w:val="000000"/>
        <w:position w:val="0"/>
        <w:sz w:val="22"/>
        <w:szCs w:val="22"/>
        <w:u w:val="single"/>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imes New Roman" w:hAnsi="Trebuchet MS"/>
        <w:color w:val="000000"/>
        <w:position w:val="0"/>
        <w:sz w:val="24"/>
        <w:szCs w:val="24"/>
      </w:rPr>
    </w:lvl>
    <w:lvl w:ilvl="1">
      <w:start w:val="1"/>
      <w:numFmt w:val="bullet"/>
      <w:lvlText w:val="o"/>
      <w:lvlJc w:val="left"/>
      <w:pPr>
        <w:tabs>
          <w:tab w:val="num" w:pos="1410"/>
        </w:tabs>
        <w:ind w:left="1410" w:hanging="330"/>
      </w:pPr>
      <w:rPr>
        <w:rFonts w:ascii="Calibri" w:eastAsia="Times New Roman" w:hAnsi="Calibri"/>
        <w:color w:val="000000"/>
        <w:position w:val="0"/>
        <w:sz w:val="22"/>
        <w:szCs w:val="22"/>
      </w:rPr>
    </w:lvl>
    <w:lvl w:ilvl="2">
      <w:start w:val="1"/>
      <w:numFmt w:val="bullet"/>
      <w:lvlText w:val="▪"/>
      <w:lvlJc w:val="left"/>
      <w:pPr>
        <w:tabs>
          <w:tab w:val="num" w:pos="2130"/>
        </w:tabs>
        <w:ind w:left="2130" w:hanging="330"/>
      </w:pPr>
      <w:rPr>
        <w:rFonts w:ascii="Calibri" w:eastAsia="Times New Roman" w:hAnsi="Calibri"/>
        <w:color w:val="000000"/>
        <w:position w:val="0"/>
        <w:sz w:val="22"/>
        <w:szCs w:val="22"/>
      </w:rPr>
    </w:lvl>
    <w:lvl w:ilvl="3">
      <w:start w:val="1"/>
      <w:numFmt w:val="bullet"/>
      <w:lvlText w:val="•"/>
      <w:lvlJc w:val="left"/>
      <w:pPr>
        <w:tabs>
          <w:tab w:val="num" w:pos="2850"/>
        </w:tabs>
        <w:ind w:left="2850" w:hanging="330"/>
      </w:pPr>
      <w:rPr>
        <w:rFonts w:ascii="Calibri" w:eastAsia="Times New Roman" w:hAnsi="Calibri"/>
        <w:color w:val="000000"/>
        <w:position w:val="0"/>
        <w:sz w:val="22"/>
        <w:szCs w:val="22"/>
      </w:rPr>
    </w:lvl>
    <w:lvl w:ilvl="4">
      <w:start w:val="1"/>
      <w:numFmt w:val="bullet"/>
      <w:lvlText w:val="o"/>
      <w:lvlJc w:val="left"/>
      <w:pPr>
        <w:tabs>
          <w:tab w:val="num" w:pos="3570"/>
        </w:tabs>
        <w:ind w:left="3570" w:hanging="330"/>
      </w:pPr>
      <w:rPr>
        <w:rFonts w:ascii="Calibri" w:eastAsia="Times New Roman" w:hAnsi="Calibri"/>
        <w:color w:val="000000"/>
        <w:position w:val="0"/>
        <w:sz w:val="22"/>
        <w:szCs w:val="22"/>
      </w:rPr>
    </w:lvl>
    <w:lvl w:ilvl="5">
      <w:start w:val="1"/>
      <w:numFmt w:val="bullet"/>
      <w:lvlText w:val="▪"/>
      <w:lvlJc w:val="left"/>
      <w:pPr>
        <w:tabs>
          <w:tab w:val="num" w:pos="4290"/>
        </w:tabs>
        <w:ind w:left="4290" w:hanging="330"/>
      </w:pPr>
      <w:rPr>
        <w:rFonts w:ascii="Calibri" w:eastAsia="Times New Roman" w:hAnsi="Calibri"/>
        <w:color w:val="000000"/>
        <w:position w:val="0"/>
        <w:sz w:val="22"/>
        <w:szCs w:val="22"/>
      </w:rPr>
    </w:lvl>
    <w:lvl w:ilvl="6">
      <w:start w:val="1"/>
      <w:numFmt w:val="bullet"/>
      <w:lvlText w:val="•"/>
      <w:lvlJc w:val="left"/>
      <w:pPr>
        <w:tabs>
          <w:tab w:val="num" w:pos="5010"/>
        </w:tabs>
        <w:ind w:left="5010" w:hanging="330"/>
      </w:pPr>
      <w:rPr>
        <w:rFonts w:ascii="Calibri" w:eastAsia="Times New Roman" w:hAnsi="Calibri"/>
        <w:color w:val="000000"/>
        <w:position w:val="0"/>
        <w:sz w:val="22"/>
        <w:szCs w:val="22"/>
      </w:rPr>
    </w:lvl>
    <w:lvl w:ilvl="7">
      <w:start w:val="1"/>
      <w:numFmt w:val="bullet"/>
      <w:lvlText w:val="o"/>
      <w:lvlJc w:val="left"/>
      <w:pPr>
        <w:tabs>
          <w:tab w:val="num" w:pos="5730"/>
        </w:tabs>
        <w:ind w:left="5730" w:hanging="330"/>
      </w:pPr>
      <w:rPr>
        <w:rFonts w:ascii="Calibri" w:eastAsia="Times New Roman" w:hAnsi="Calibri"/>
        <w:color w:val="000000"/>
        <w:position w:val="0"/>
        <w:sz w:val="22"/>
        <w:szCs w:val="22"/>
      </w:rPr>
    </w:lvl>
    <w:lvl w:ilvl="8">
      <w:start w:val="1"/>
      <w:numFmt w:val="bullet"/>
      <w:lvlText w:val="▪"/>
      <w:lvlJc w:val="left"/>
      <w:pPr>
        <w:tabs>
          <w:tab w:val="num" w:pos="6450"/>
        </w:tabs>
        <w:ind w:left="6450" w:hanging="330"/>
      </w:pPr>
      <w:rPr>
        <w:rFonts w:ascii="Calibri" w:eastAsia="Times New Roman" w:hAnsi="Calibri"/>
        <w:color w:val="000000"/>
        <w:position w:val="0"/>
        <w:sz w:val="22"/>
        <w:szCs w:val="22"/>
      </w:rPr>
    </w:lvl>
  </w:abstractNum>
  <w:abstractNum w:abstractNumId="4" w15:restartNumberingAfterBreak="0">
    <w:nsid w:val="0E1D2261"/>
    <w:multiLevelType w:val="hybridMultilevel"/>
    <w:tmpl w:val="A89E31D6"/>
    <w:lvl w:ilvl="0" w:tplc="50BA4C68">
      <w:start w:val="1"/>
      <w:numFmt w:val="decimal"/>
      <w:lvlText w:val="%1."/>
      <w:lvlJc w:val="left"/>
      <w:pPr>
        <w:tabs>
          <w:tab w:val="num" w:pos="720"/>
        </w:tabs>
        <w:ind w:firstLine="720"/>
      </w:pPr>
      <w:rPr>
        <w:rFonts w:hint="default"/>
        <w:vanish w:val="0"/>
        <w:color w:val="auto"/>
      </w:rPr>
    </w:lvl>
    <w:lvl w:ilvl="1" w:tplc="519EABE0">
      <w:start w:val="1"/>
      <w:numFmt w:val="lowerLetter"/>
      <w:lvlText w:val="%2."/>
      <w:lvlJc w:val="left"/>
      <w:pPr>
        <w:tabs>
          <w:tab w:val="num" w:pos="1440"/>
        </w:tabs>
        <w:ind w:left="1440" w:hanging="360"/>
      </w:pPr>
    </w:lvl>
    <w:lvl w:ilvl="2" w:tplc="3A82DEA8">
      <w:start w:val="1"/>
      <w:numFmt w:val="lowerRoman"/>
      <w:lvlText w:val="%3."/>
      <w:lvlJc w:val="right"/>
      <w:pPr>
        <w:tabs>
          <w:tab w:val="num" w:pos="2160"/>
        </w:tabs>
        <w:ind w:left="2160" w:hanging="180"/>
      </w:pPr>
    </w:lvl>
    <w:lvl w:ilvl="3" w:tplc="649C1C84">
      <w:start w:val="1"/>
      <w:numFmt w:val="decimal"/>
      <w:lvlText w:val="%4."/>
      <w:lvlJc w:val="left"/>
      <w:pPr>
        <w:tabs>
          <w:tab w:val="num" w:pos="2880"/>
        </w:tabs>
        <w:ind w:left="2880" w:hanging="360"/>
      </w:pPr>
    </w:lvl>
    <w:lvl w:ilvl="4" w:tplc="556684A4">
      <w:start w:val="1"/>
      <w:numFmt w:val="lowerLetter"/>
      <w:lvlText w:val="%5."/>
      <w:lvlJc w:val="left"/>
      <w:pPr>
        <w:tabs>
          <w:tab w:val="num" w:pos="3600"/>
        </w:tabs>
        <w:ind w:left="3600" w:hanging="360"/>
      </w:pPr>
    </w:lvl>
    <w:lvl w:ilvl="5" w:tplc="FE80315A">
      <w:start w:val="1"/>
      <w:numFmt w:val="lowerRoman"/>
      <w:lvlText w:val="%6."/>
      <w:lvlJc w:val="right"/>
      <w:pPr>
        <w:tabs>
          <w:tab w:val="num" w:pos="4320"/>
        </w:tabs>
        <w:ind w:left="4320" w:hanging="180"/>
      </w:pPr>
    </w:lvl>
    <w:lvl w:ilvl="6" w:tplc="AF9EDBC4">
      <w:start w:val="1"/>
      <w:numFmt w:val="decimal"/>
      <w:lvlText w:val="%7."/>
      <w:lvlJc w:val="left"/>
      <w:pPr>
        <w:tabs>
          <w:tab w:val="num" w:pos="5040"/>
        </w:tabs>
        <w:ind w:left="5040" w:hanging="360"/>
      </w:pPr>
    </w:lvl>
    <w:lvl w:ilvl="7" w:tplc="ABE4D346">
      <w:start w:val="1"/>
      <w:numFmt w:val="lowerLetter"/>
      <w:lvlText w:val="%8."/>
      <w:lvlJc w:val="left"/>
      <w:pPr>
        <w:tabs>
          <w:tab w:val="num" w:pos="5760"/>
        </w:tabs>
        <w:ind w:left="5760" w:hanging="360"/>
      </w:pPr>
    </w:lvl>
    <w:lvl w:ilvl="8" w:tplc="AE1C0320">
      <w:start w:val="1"/>
      <w:numFmt w:val="lowerRoman"/>
      <w:lvlText w:val="%9."/>
      <w:lvlJc w:val="right"/>
      <w:pPr>
        <w:tabs>
          <w:tab w:val="num" w:pos="6480"/>
        </w:tabs>
        <w:ind w:left="6480" w:hanging="180"/>
      </w:p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Times New Roman" w:hAnsi="Calibri"/>
        <w:color w:val="000000"/>
        <w:position w:val="0"/>
        <w:sz w:val="22"/>
        <w:szCs w:val="22"/>
      </w:rPr>
    </w:lvl>
    <w:lvl w:ilvl="1">
      <w:start w:val="1"/>
      <w:numFmt w:val="lowerLetter"/>
      <w:lvlText w:val="%2."/>
      <w:lvlJc w:val="left"/>
      <w:pPr>
        <w:tabs>
          <w:tab w:val="num" w:pos="1440"/>
        </w:tabs>
        <w:ind w:left="1440" w:hanging="360"/>
      </w:pPr>
      <w:rPr>
        <w:rFonts w:ascii="Trebuchet MS" w:eastAsia="Times New Roman" w:hAnsi="Trebuchet M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690"/>
        </w:tabs>
        <w:ind w:left="69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decimal"/>
      <w:lvlText w:val="%1.%2."/>
      <w:lvlJc w:val="left"/>
      <w:pPr>
        <w:tabs>
          <w:tab w:val="num" w:pos="690"/>
        </w:tabs>
        <w:ind w:left="690" w:hanging="330"/>
      </w:pPr>
      <w:rPr>
        <w:rFonts w:ascii="Calibri" w:eastAsia="Times New Roman" w:hAnsi="Calibri"/>
        <w:b/>
        <w:bCs/>
        <w:color w:val="000000"/>
        <w:position w:val="0"/>
        <w:sz w:val="22"/>
        <w:szCs w:val="22"/>
      </w:rPr>
    </w:lvl>
    <w:lvl w:ilvl="2">
      <w:start w:val="1"/>
      <w:numFmt w:val="decimal"/>
      <w:lvlText w:val="%1.%2.%3."/>
      <w:lvlJc w:val="left"/>
      <w:pPr>
        <w:tabs>
          <w:tab w:val="num" w:pos="1020"/>
        </w:tabs>
        <w:ind w:left="1020" w:hanging="660"/>
      </w:pPr>
      <w:rPr>
        <w:rFonts w:ascii="Calibri" w:eastAsia="Times New Roman" w:hAnsi="Calibri"/>
        <w:b/>
        <w:bCs/>
        <w:color w:val="000000"/>
        <w:position w:val="0"/>
        <w:sz w:val="22"/>
        <w:szCs w:val="22"/>
      </w:rPr>
    </w:lvl>
    <w:lvl w:ilvl="3">
      <w:start w:val="1"/>
      <w:numFmt w:val="decimal"/>
      <w:lvlText w:val="%1.%2.%3.%4."/>
      <w:lvlJc w:val="left"/>
      <w:pPr>
        <w:tabs>
          <w:tab w:val="num" w:pos="1020"/>
        </w:tabs>
        <w:ind w:left="1020" w:hanging="660"/>
      </w:pPr>
      <w:rPr>
        <w:rFonts w:ascii="Calibri" w:eastAsia="Times New Roman" w:hAnsi="Calibri"/>
        <w:b/>
        <w:bCs/>
        <w:color w:val="000000"/>
        <w:position w:val="0"/>
        <w:sz w:val="22"/>
        <w:szCs w:val="22"/>
      </w:rPr>
    </w:lvl>
    <w:lvl w:ilvl="4">
      <w:start w:val="1"/>
      <w:numFmt w:val="decimal"/>
      <w:lvlText w:val="%1.%2.%3.%4.%5."/>
      <w:lvlJc w:val="left"/>
      <w:pPr>
        <w:tabs>
          <w:tab w:val="num" w:pos="1350"/>
        </w:tabs>
        <w:ind w:left="1350" w:hanging="990"/>
      </w:pPr>
      <w:rPr>
        <w:rFonts w:ascii="Calibri" w:eastAsia="Times New Roman" w:hAnsi="Calibri"/>
        <w:b/>
        <w:bCs/>
        <w:color w:val="000000"/>
        <w:position w:val="0"/>
        <w:sz w:val="22"/>
        <w:szCs w:val="22"/>
      </w:rPr>
    </w:lvl>
    <w:lvl w:ilvl="5">
      <w:start w:val="1"/>
      <w:numFmt w:val="decimal"/>
      <w:lvlText w:val="%1.%2.%3.%4.%5.%6."/>
      <w:lvlJc w:val="left"/>
      <w:pPr>
        <w:tabs>
          <w:tab w:val="num" w:pos="1350"/>
        </w:tabs>
        <w:ind w:left="1350" w:hanging="990"/>
      </w:pPr>
      <w:rPr>
        <w:rFonts w:ascii="Calibri" w:eastAsia="Times New Roman" w:hAnsi="Calibri"/>
        <w:b/>
        <w:bCs/>
        <w:color w:val="000000"/>
        <w:position w:val="0"/>
        <w:sz w:val="22"/>
        <w:szCs w:val="22"/>
      </w:rPr>
    </w:lvl>
    <w:lvl w:ilvl="6">
      <w:start w:val="1"/>
      <w:numFmt w:val="decimal"/>
      <w:lvlText w:val="%1.%2.%3.%4.%5.%6.%7."/>
      <w:lvlJc w:val="left"/>
      <w:pPr>
        <w:tabs>
          <w:tab w:val="num" w:pos="1680"/>
        </w:tabs>
        <w:ind w:left="1680" w:hanging="1320"/>
      </w:pPr>
      <w:rPr>
        <w:rFonts w:ascii="Calibri" w:eastAsia="Times New Roman" w:hAnsi="Calibri"/>
        <w:b/>
        <w:bCs/>
        <w:color w:val="000000"/>
        <w:position w:val="0"/>
        <w:sz w:val="22"/>
        <w:szCs w:val="22"/>
      </w:rPr>
    </w:lvl>
    <w:lvl w:ilvl="7">
      <w:start w:val="1"/>
      <w:numFmt w:val="decimal"/>
      <w:lvlText w:val="%1.%2.%3.%4.%5.%6.%7.%8."/>
      <w:lvlJc w:val="left"/>
      <w:pPr>
        <w:tabs>
          <w:tab w:val="num" w:pos="1680"/>
        </w:tabs>
        <w:ind w:left="1680" w:hanging="1320"/>
      </w:pPr>
      <w:rPr>
        <w:rFonts w:ascii="Calibri" w:eastAsia="Times New Roman" w:hAnsi="Calibri"/>
        <w:b/>
        <w:bCs/>
        <w:color w:val="000000"/>
        <w:position w:val="0"/>
        <w:sz w:val="22"/>
        <w:szCs w:val="22"/>
      </w:rPr>
    </w:lvl>
    <w:lvl w:ilvl="8">
      <w:start w:val="1"/>
      <w:numFmt w:val="decimal"/>
      <w:lvlText w:val="%1.%2.%3.%4.%5.%6.%7.%8.%9."/>
      <w:lvlJc w:val="left"/>
      <w:pPr>
        <w:tabs>
          <w:tab w:val="num" w:pos="2010"/>
        </w:tabs>
        <w:ind w:left="2010" w:hanging="1650"/>
      </w:pPr>
      <w:rPr>
        <w:rFonts w:ascii="Calibri" w:eastAsia="Times New Roman" w:hAnsi="Calibri"/>
        <w:b/>
        <w:bCs/>
        <w:color w:val="000000"/>
        <w:position w:val="0"/>
        <w:sz w:val="22"/>
        <w:szCs w:val="22"/>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8"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19"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0"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Times New Roman" w:hAnsi="Calibri"/>
        <w:color w:val="000000"/>
        <w:position w:val="0"/>
        <w:sz w:val="22"/>
        <w:szCs w:val="22"/>
      </w:rPr>
    </w:lvl>
    <w:lvl w:ilvl="1">
      <w:start w:val="1"/>
      <w:numFmt w:val="lowerLetter"/>
      <w:lvlText w:val="%2."/>
      <w:lvlJc w:val="left"/>
      <w:pPr>
        <w:tabs>
          <w:tab w:val="num" w:pos="1440"/>
        </w:tabs>
        <w:ind w:left="1440" w:hanging="360"/>
      </w:pPr>
      <w:rPr>
        <w:rFonts w:ascii="Trebuchet MS" w:eastAsia="Times New Roman" w:hAnsi="Trebuchet M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1"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2"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3"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imes New Roman" w:hAnsi="Trebuchet MS"/>
        <w:color w:val="000000"/>
        <w:position w:val="0"/>
        <w:sz w:val="24"/>
        <w:szCs w:val="24"/>
      </w:rPr>
    </w:lvl>
    <w:lvl w:ilvl="1">
      <w:start w:val="1"/>
      <w:numFmt w:val="bullet"/>
      <w:lvlText w:val="o"/>
      <w:lvlJc w:val="left"/>
      <w:pPr>
        <w:tabs>
          <w:tab w:val="num" w:pos="1410"/>
        </w:tabs>
        <w:ind w:left="1410" w:hanging="330"/>
      </w:pPr>
      <w:rPr>
        <w:rFonts w:ascii="Calibri" w:eastAsia="Times New Roman" w:hAnsi="Calibri"/>
        <w:color w:val="000000"/>
        <w:position w:val="0"/>
        <w:sz w:val="22"/>
        <w:szCs w:val="22"/>
      </w:rPr>
    </w:lvl>
    <w:lvl w:ilvl="2">
      <w:start w:val="1"/>
      <w:numFmt w:val="bullet"/>
      <w:lvlText w:val="▪"/>
      <w:lvlJc w:val="left"/>
      <w:pPr>
        <w:tabs>
          <w:tab w:val="num" w:pos="2130"/>
        </w:tabs>
        <w:ind w:left="2130" w:hanging="330"/>
      </w:pPr>
      <w:rPr>
        <w:rFonts w:ascii="Calibri" w:eastAsia="Times New Roman" w:hAnsi="Calibri"/>
        <w:color w:val="000000"/>
        <w:position w:val="0"/>
        <w:sz w:val="22"/>
        <w:szCs w:val="22"/>
      </w:rPr>
    </w:lvl>
    <w:lvl w:ilvl="3">
      <w:start w:val="1"/>
      <w:numFmt w:val="bullet"/>
      <w:lvlText w:val="•"/>
      <w:lvlJc w:val="left"/>
      <w:pPr>
        <w:tabs>
          <w:tab w:val="num" w:pos="2850"/>
        </w:tabs>
        <w:ind w:left="2850" w:hanging="330"/>
      </w:pPr>
      <w:rPr>
        <w:rFonts w:ascii="Calibri" w:eastAsia="Times New Roman" w:hAnsi="Calibri"/>
        <w:color w:val="000000"/>
        <w:position w:val="0"/>
        <w:sz w:val="22"/>
        <w:szCs w:val="22"/>
      </w:rPr>
    </w:lvl>
    <w:lvl w:ilvl="4">
      <w:start w:val="1"/>
      <w:numFmt w:val="bullet"/>
      <w:lvlText w:val="o"/>
      <w:lvlJc w:val="left"/>
      <w:pPr>
        <w:tabs>
          <w:tab w:val="num" w:pos="3570"/>
        </w:tabs>
        <w:ind w:left="3570" w:hanging="330"/>
      </w:pPr>
      <w:rPr>
        <w:rFonts w:ascii="Calibri" w:eastAsia="Times New Roman" w:hAnsi="Calibri"/>
        <w:color w:val="000000"/>
        <w:position w:val="0"/>
        <w:sz w:val="22"/>
        <w:szCs w:val="22"/>
      </w:rPr>
    </w:lvl>
    <w:lvl w:ilvl="5">
      <w:start w:val="1"/>
      <w:numFmt w:val="bullet"/>
      <w:lvlText w:val="▪"/>
      <w:lvlJc w:val="left"/>
      <w:pPr>
        <w:tabs>
          <w:tab w:val="num" w:pos="4290"/>
        </w:tabs>
        <w:ind w:left="4290" w:hanging="330"/>
      </w:pPr>
      <w:rPr>
        <w:rFonts w:ascii="Calibri" w:eastAsia="Times New Roman" w:hAnsi="Calibri"/>
        <w:color w:val="000000"/>
        <w:position w:val="0"/>
        <w:sz w:val="22"/>
        <w:szCs w:val="22"/>
      </w:rPr>
    </w:lvl>
    <w:lvl w:ilvl="6">
      <w:start w:val="1"/>
      <w:numFmt w:val="bullet"/>
      <w:lvlText w:val="•"/>
      <w:lvlJc w:val="left"/>
      <w:pPr>
        <w:tabs>
          <w:tab w:val="num" w:pos="5010"/>
        </w:tabs>
        <w:ind w:left="5010" w:hanging="330"/>
      </w:pPr>
      <w:rPr>
        <w:rFonts w:ascii="Calibri" w:eastAsia="Times New Roman" w:hAnsi="Calibri"/>
        <w:color w:val="000000"/>
        <w:position w:val="0"/>
        <w:sz w:val="22"/>
        <w:szCs w:val="22"/>
      </w:rPr>
    </w:lvl>
    <w:lvl w:ilvl="7">
      <w:start w:val="1"/>
      <w:numFmt w:val="bullet"/>
      <w:lvlText w:val="o"/>
      <w:lvlJc w:val="left"/>
      <w:pPr>
        <w:tabs>
          <w:tab w:val="num" w:pos="5730"/>
        </w:tabs>
        <w:ind w:left="5730" w:hanging="330"/>
      </w:pPr>
      <w:rPr>
        <w:rFonts w:ascii="Calibri" w:eastAsia="Times New Roman" w:hAnsi="Calibri"/>
        <w:color w:val="000000"/>
        <w:position w:val="0"/>
        <w:sz w:val="22"/>
        <w:szCs w:val="22"/>
      </w:rPr>
    </w:lvl>
    <w:lvl w:ilvl="8">
      <w:start w:val="1"/>
      <w:numFmt w:val="bullet"/>
      <w:lvlText w:val="▪"/>
      <w:lvlJc w:val="left"/>
      <w:pPr>
        <w:tabs>
          <w:tab w:val="num" w:pos="6450"/>
        </w:tabs>
        <w:ind w:left="6450" w:hanging="330"/>
      </w:pPr>
      <w:rPr>
        <w:rFonts w:ascii="Calibri" w:eastAsia="Times New Roman" w:hAnsi="Calibri"/>
        <w:color w:val="000000"/>
        <w:position w:val="0"/>
        <w:sz w:val="22"/>
        <w:szCs w:val="22"/>
      </w:rPr>
    </w:lvl>
  </w:abstractNum>
  <w:abstractNum w:abstractNumId="24"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25"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6"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7"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bullet"/>
      <w:lvlText w:val="•"/>
      <w:lvlJc w:val="left"/>
      <w:pPr>
        <w:tabs>
          <w:tab w:val="num" w:pos="1740"/>
        </w:tabs>
        <w:ind w:left="1740" w:hanging="66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u w:val="single"/>
      </w:rPr>
    </w:lvl>
    <w:lvl w:ilvl="1">
      <w:start w:val="1"/>
      <w:numFmt w:val="lowerLetter"/>
      <w:lvlText w:val="%2."/>
      <w:lvlJc w:val="left"/>
      <w:pPr>
        <w:tabs>
          <w:tab w:val="num" w:pos="1770"/>
        </w:tabs>
        <w:ind w:left="1770" w:hanging="330"/>
      </w:pPr>
      <w:rPr>
        <w:rFonts w:ascii="Calibri" w:eastAsia="Times New Roman" w:hAnsi="Calibri"/>
        <w:b/>
        <w:bCs/>
        <w:color w:val="000000"/>
        <w:position w:val="0"/>
        <w:sz w:val="22"/>
        <w:szCs w:val="22"/>
        <w:u w:val="single"/>
      </w:rPr>
    </w:lvl>
    <w:lvl w:ilvl="2">
      <w:start w:val="1"/>
      <w:numFmt w:val="lowerRoman"/>
      <w:lvlText w:val="%3."/>
      <w:lvlJc w:val="left"/>
      <w:pPr>
        <w:tabs>
          <w:tab w:val="num" w:pos="2495"/>
        </w:tabs>
        <w:ind w:left="2495" w:hanging="271"/>
      </w:pPr>
      <w:rPr>
        <w:rFonts w:ascii="Calibri" w:eastAsia="Times New Roman" w:hAnsi="Calibri"/>
        <w:b/>
        <w:bCs/>
        <w:color w:val="000000"/>
        <w:position w:val="0"/>
        <w:sz w:val="22"/>
        <w:szCs w:val="22"/>
        <w:u w:val="single"/>
      </w:rPr>
    </w:lvl>
    <w:lvl w:ilvl="3">
      <w:start w:val="1"/>
      <w:numFmt w:val="decimal"/>
      <w:lvlText w:val="%4."/>
      <w:lvlJc w:val="left"/>
      <w:pPr>
        <w:tabs>
          <w:tab w:val="num" w:pos="3210"/>
        </w:tabs>
        <w:ind w:left="3210" w:hanging="330"/>
      </w:pPr>
      <w:rPr>
        <w:rFonts w:ascii="Calibri" w:eastAsia="Times New Roman" w:hAnsi="Calibri"/>
        <w:b/>
        <w:bCs/>
        <w:color w:val="000000"/>
        <w:position w:val="0"/>
        <w:sz w:val="22"/>
        <w:szCs w:val="22"/>
        <w:u w:val="single"/>
      </w:rPr>
    </w:lvl>
    <w:lvl w:ilvl="4">
      <w:start w:val="1"/>
      <w:numFmt w:val="lowerLetter"/>
      <w:lvlText w:val="%5."/>
      <w:lvlJc w:val="left"/>
      <w:pPr>
        <w:tabs>
          <w:tab w:val="num" w:pos="3930"/>
        </w:tabs>
        <w:ind w:left="3930" w:hanging="330"/>
      </w:pPr>
      <w:rPr>
        <w:rFonts w:ascii="Calibri" w:eastAsia="Times New Roman" w:hAnsi="Calibri"/>
        <w:b/>
        <w:bCs/>
        <w:color w:val="000000"/>
        <w:position w:val="0"/>
        <w:sz w:val="22"/>
        <w:szCs w:val="22"/>
        <w:u w:val="single"/>
      </w:rPr>
    </w:lvl>
    <w:lvl w:ilvl="5">
      <w:start w:val="1"/>
      <w:numFmt w:val="lowerRoman"/>
      <w:lvlText w:val="%6."/>
      <w:lvlJc w:val="left"/>
      <w:pPr>
        <w:tabs>
          <w:tab w:val="num" w:pos="4655"/>
        </w:tabs>
        <w:ind w:left="4655" w:hanging="271"/>
      </w:pPr>
      <w:rPr>
        <w:rFonts w:ascii="Calibri" w:eastAsia="Times New Roman" w:hAnsi="Calibri"/>
        <w:b/>
        <w:bCs/>
        <w:color w:val="000000"/>
        <w:position w:val="0"/>
        <w:sz w:val="22"/>
        <w:szCs w:val="22"/>
        <w:u w:val="single"/>
      </w:rPr>
    </w:lvl>
    <w:lvl w:ilvl="6">
      <w:start w:val="1"/>
      <w:numFmt w:val="decimal"/>
      <w:lvlText w:val="%7."/>
      <w:lvlJc w:val="left"/>
      <w:pPr>
        <w:tabs>
          <w:tab w:val="num" w:pos="5370"/>
        </w:tabs>
        <w:ind w:left="5370" w:hanging="330"/>
      </w:pPr>
      <w:rPr>
        <w:rFonts w:ascii="Calibri" w:eastAsia="Times New Roman" w:hAnsi="Calibri"/>
        <w:b/>
        <w:bCs/>
        <w:color w:val="000000"/>
        <w:position w:val="0"/>
        <w:sz w:val="22"/>
        <w:szCs w:val="22"/>
        <w:u w:val="single"/>
      </w:rPr>
    </w:lvl>
    <w:lvl w:ilvl="7">
      <w:start w:val="1"/>
      <w:numFmt w:val="lowerLetter"/>
      <w:lvlText w:val="%8."/>
      <w:lvlJc w:val="left"/>
      <w:pPr>
        <w:tabs>
          <w:tab w:val="num" w:pos="6090"/>
        </w:tabs>
        <w:ind w:left="6090" w:hanging="330"/>
      </w:pPr>
      <w:rPr>
        <w:rFonts w:ascii="Calibri" w:eastAsia="Times New Roman" w:hAnsi="Calibri"/>
        <w:b/>
        <w:bCs/>
        <w:color w:val="000000"/>
        <w:position w:val="0"/>
        <w:sz w:val="22"/>
        <w:szCs w:val="22"/>
        <w:u w:val="single"/>
      </w:rPr>
    </w:lvl>
    <w:lvl w:ilvl="8">
      <w:start w:val="1"/>
      <w:numFmt w:val="lowerRoman"/>
      <w:lvlText w:val="%9."/>
      <w:lvlJc w:val="left"/>
      <w:pPr>
        <w:tabs>
          <w:tab w:val="num" w:pos="6815"/>
        </w:tabs>
        <w:ind w:left="6815" w:hanging="271"/>
      </w:pPr>
      <w:rPr>
        <w:rFonts w:ascii="Calibri" w:eastAsia="Times New Roman" w:hAnsi="Calibri"/>
        <w:b/>
        <w:bCs/>
        <w:color w:val="000000"/>
        <w:position w:val="0"/>
        <w:sz w:val="22"/>
        <w:szCs w:val="22"/>
        <w:u w:val="single"/>
      </w:rPr>
    </w:lvl>
  </w:abstractNum>
  <w:abstractNum w:abstractNumId="3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Times New Roman" w:hAnsi="Calibri"/>
        <w:b/>
        <w:bCs/>
        <w:color w:val="000000"/>
        <w:position w:val="0"/>
        <w:sz w:val="22"/>
        <w:szCs w:val="22"/>
        <w:u w:val="single"/>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u w:val="single"/>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u w:val="single"/>
      </w:rPr>
    </w:lvl>
    <w:lvl w:ilvl="3">
      <w:start w:val="1"/>
      <w:numFmt w:val="decimal"/>
      <w:lvlText w:val="%4."/>
      <w:lvlJc w:val="left"/>
      <w:pPr>
        <w:tabs>
          <w:tab w:val="num" w:pos="720"/>
        </w:tabs>
        <w:ind w:left="720" w:hanging="360"/>
      </w:pPr>
      <w:rPr>
        <w:rFonts w:ascii="Trebuchet MS" w:eastAsia="Times New Roman" w:hAnsi="Trebuchet MS"/>
        <w:b/>
        <w:bCs/>
        <w:color w:val="000000"/>
        <w:position w:val="0"/>
        <w:sz w:val="22"/>
        <w:szCs w:val="22"/>
        <w:u w:val="single"/>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u w:val="single"/>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u w:val="single"/>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u w:val="single"/>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u w:val="single"/>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u w:val="single"/>
      </w:rPr>
    </w:lvl>
  </w:abstractNum>
  <w:abstractNum w:abstractNumId="3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3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36" w15:restartNumberingAfterBreak="0">
    <w:nsid w:val="560E281B"/>
    <w:multiLevelType w:val="hybridMultilevel"/>
    <w:tmpl w:val="DF14959C"/>
    <w:lvl w:ilvl="0" w:tplc="1A021D04">
      <w:start w:val="1"/>
      <w:numFmt w:val="decimal"/>
      <w:lvlText w:val="%1."/>
      <w:lvlJc w:val="left"/>
      <w:pPr>
        <w:tabs>
          <w:tab w:val="num" w:pos="720"/>
        </w:tabs>
        <w:ind w:firstLine="720"/>
      </w:pPr>
      <w:rPr>
        <w:rFonts w:hint="default"/>
        <w:i w:val="0"/>
        <w:iCs w:val="0"/>
        <w:vanish w:val="0"/>
        <w:color w:val="auto"/>
      </w:rPr>
    </w:lvl>
    <w:lvl w:ilvl="1" w:tplc="AEA22066">
      <w:start w:val="1"/>
      <w:numFmt w:val="lowerLetter"/>
      <w:lvlText w:val="%2."/>
      <w:lvlJc w:val="left"/>
      <w:pPr>
        <w:tabs>
          <w:tab w:val="num" w:pos="1440"/>
        </w:tabs>
        <w:ind w:left="1440" w:hanging="360"/>
      </w:pPr>
    </w:lvl>
    <w:lvl w:ilvl="2" w:tplc="5B740076">
      <w:start w:val="1"/>
      <w:numFmt w:val="lowerRoman"/>
      <w:lvlText w:val="%3."/>
      <w:lvlJc w:val="right"/>
      <w:pPr>
        <w:tabs>
          <w:tab w:val="num" w:pos="2160"/>
        </w:tabs>
        <w:ind w:left="2160" w:hanging="180"/>
      </w:pPr>
    </w:lvl>
    <w:lvl w:ilvl="3" w:tplc="28047368">
      <w:start w:val="1"/>
      <w:numFmt w:val="decimal"/>
      <w:lvlText w:val="%4."/>
      <w:lvlJc w:val="left"/>
      <w:pPr>
        <w:tabs>
          <w:tab w:val="num" w:pos="2880"/>
        </w:tabs>
        <w:ind w:left="2880" w:hanging="360"/>
      </w:pPr>
    </w:lvl>
    <w:lvl w:ilvl="4" w:tplc="CBFE58AE">
      <w:start w:val="1"/>
      <w:numFmt w:val="lowerLetter"/>
      <w:lvlText w:val="%5."/>
      <w:lvlJc w:val="left"/>
      <w:pPr>
        <w:tabs>
          <w:tab w:val="num" w:pos="3600"/>
        </w:tabs>
        <w:ind w:left="3600" w:hanging="360"/>
      </w:pPr>
    </w:lvl>
    <w:lvl w:ilvl="5" w:tplc="8D988B60">
      <w:start w:val="1"/>
      <w:numFmt w:val="lowerRoman"/>
      <w:lvlText w:val="%6."/>
      <w:lvlJc w:val="right"/>
      <w:pPr>
        <w:tabs>
          <w:tab w:val="num" w:pos="4320"/>
        </w:tabs>
        <w:ind w:left="4320" w:hanging="180"/>
      </w:pPr>
    </w:lvl>
    <w:lvl w:ilvl="6" w:tplc="74821818">
      <w:start w:val="1"/>
      <w:numFmt w:val="decimal"/>
      <w:lvlText w:val="%7."/>
      <w:lvlJc w:val="left"/>
      <w:pPr>
        <w:tabs>
          <w:tab w:val="num" w:pos="5040"/>
        </w:tabs>
        <w:ind w:left="5040" w:hanging="360"/>
      </w:pPr>
    </w:lvl>
    <w:lvl w:ilvl="7" w:tplc="9DA2BF00">
      <w:start w:val="1"/>
      <w:numFmt w:val="lowerLetter"/>
      <w:lvlText w:val="%8."/>
      <w:lvlJc w:val="left"/>
      <w:pPr>
        <w:tabs>
          <w:tab w:val="num" w:pos="5760"/>
        </w:tabs>
        <w:ind w:left="5760" w:hanging="360"/>
      </w:pPr>
    </w:lvl>
    <w:lvl w:ilvl="8" w:tplc="E982BCD6">
      <w:start w:val="1"/>
      <w:numFmt w:val="lowerRoman"/>
      <w:lvlText w:val="%9."/>
      <w:lvlJc w:val="right"/>
      <w:pPr>
        <w:tabs>
          <w:tab w:val="num" w:pos="6480"/>
        </w:tabs>
        <w:ind w:left="6480" w:hanging="180"/>
      </w:pPr>
    </w:lvl>
  </w:abstractNum>
  <w:abstractNum w:abstractNumId="3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u w:val="single"/>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u w:val="single"/>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u w:val="single"/>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u w:val="single"/>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u w:val="single"/>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u w:val="single"/>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u w:val="single"/>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u w:val="single"/>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u w:val="single"/>
      </w:rPr>
    </w:lvl>
  </w:abstractNum>
  <w:abstractNum w:abstractNumId="3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3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4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Times New Roman" w:hAnsi="Calibri"/>
        <w:b/>
        <w:bCs/>
        <w:color w:val="000000"/>
        <w:position w:val="0"/>
        <w:sz w:val="22"/>
        <w:szCs w:val="22"/>
        <w:u w:val="single"/>
      </w:rPr>
    </w:lvl>
    <w:lvl w:ilvl="1">
      <w:start w:val="2"/>
      <w:numFmt w:val="decimal"/>
      <w:lvlText w:val="%1.%2."/>
      <w:lvlJc w:val="left"/>
      <w:pPr>
        <w:tabs>
          <w:tab w:val="num" w:pos="720"/>
        </w:tabs>
        <w:ind w:left="720" w:hanging="360"/>
      </w:pPr>
      <w:rPr>
        <w:rFonts w:ascii="Trebuchet MS" w:eastAsia="Times New Roman" w:hAnsi="Trebuchet MS"/>
        <w:b/>
        <w:bCs/>
        <w:color w:val="000000"/>
        <w:position w:val="0"/>
        <w:sz w:val="22"/>
        <w:szCs w:val="22"/>
        <w:u w:val="single"/>
      </w:rPr>
    </w:lvl>
    <w:lvl w:ilvl="2">
      <w:start w:val="1"/>
      <w:numFmt w:val="decimal"/>
      <w:lvlText w:val="%1.%2.%3."/>
      <w:lvlJc w:val="left"/>
      <w:pPr>
        <w:tabs>
          <w:tab w:val="num" w:pos="1020"/>
        </w:tabs>
        <w:ind w:left="1020" w:hanging="660"/>
      </w:pPr>
      <w:rPr>
        <w:rFonts w:ascii="Calibri" w:eastAsia="Times New Roman" w:hAnsi="Calibri"/>
        <w:b/>
        <w:bCs/>
        <w:color w:val="000000"/>
        <w:position w:val="0"/>
        <w:sz w:val="22"/>
        <w:szCs w:val="22"/>
        <w:u w:val="single"/>
      </w:rPr>
    </w:lvl>
    <w:lvl w:ilvl="3">
      <w:start w:val="1"/>
      <w:numFmt w:val="decimal"/>
      <w:lvlText w:val="%1.%2.%3.%4."/>
      <w:lvlJc w:val="left"/>
      <w:pPr>
        <w:tabs>
          <w:tab w:val="num" w:pos="1020"/>
        </w:tabs>
        <w:ind w:left="1020" w:hanging="660"/>
      </w:pPr>
      <w:rPr>
        <w:rFonts w:ascii="Calibri" w:eastAsia="Times New Roman" w:hAnsi="Calibri"/>
        <w:b/>
        <w:bCs/>
        <w:color w:val="000000"/>
        <w:position w:val="0"/>
        <w:sz w:val="22"/>
        <w:szCs w:val="22"/>
        <w:u w:val="single"/>
      </w:rPr>
    </w:lvl>
    <w:lvl w:ilvl="4">
      <w:start w:val="1"/>
      <w:numFmt w:val="decimal"/>
      <w:lvlText w:val="%1.%2.%3.%4.%5."/>
      <w:lvlJc w:val="left"/>
      <w:pPr>
        <w:tabs>
          <w:tab w:val="num" w:pos="1350"/>
        </w:tabs>
        <w:ind w:left="1350" w:hanging="990"/>
      </w:pPr>
      <w:rPr>
        <w:rFonts w:ascii="Calibri" w:eastAsia="Times New Roman" w:hAnsi="Calibri"/>
        <w:b/>
        <w:bCs/>
        <w:color w:val="000000"/>
        <w:position w:val="0"/>
        <w:sz w:val="22"/>
        <w:szCs w:val="22"/>
        <w:u w:val="single"/>
      </w:rPr>
    </w:lvl>
    <w:lvl w:ilvl="5">
      <w:start w:val="1"/>
      <w:numFmt w:val="decimal"/>
      <w:lvlText w:val="%1.%2.%3.%4.%5.%6."/>
      <w:lvlJc w:val="left"/>
      <w:pPr>
        <w:tabs>
          <w:tab w:val="num" w:pos="1350"/>
        </w:tabs>
        <w:ind w:left="1350" w:hanging="990"/>
      </w:pPr>
      <w:rPr>
        <w:rFonts w:ascii="Calibri" w:eastAsia="Times New Roman" w:hAnsi="Calibri"/>
        <w:b/>
        <w:bCs/>
        <w:color w:val="000000"/>
        <w:position w:val="0"/>
        <w:sz w:val="22"/>
        <w:szCs w:val="22"/>
        <w:u w:val="single"/>
      </w:rPr>
    </w:lvl>
    <w:lvl w:ilvl="6">
      <w:start w:val="1"/>
      <w:numFmt w:val="decimal"/>
      <w:lvlText w:val="%1.%2.%3.%4.%5.%6.%7."/>
      <w:lvlJc w:val="left"/>
      <w:pPr>
        <w:tabs>
          <w:tab w:val="num" w:pos="1680"/>
        </w:tabs>
        <w:ind w:left="1680" w:hanging="1320"/>
      </w:pPr>
      <w:rPr>
        <w:rFonts w:ascii="Calibri" w:eastAsia="Times New Roman" w:hAnsi="Calibri"/>
        <w:b/>
        <w:bCs/>
        <w:color w:val="000000"/>
        <w:position w:val="0"/>
        <w:sz w:val="22"/>
        <w:szCs w:val="22"/>
        <w:u w:val="single"/>
      </w:rPr>
    </w:lvl>
    <w:lvl w:ilvl="7">
      <w:start w:val="1"/>
      <w:numFmt w:val="decimal"/>
      <w:lvlText w:val="%1.%2.%3.%4.%5.%6.%7.%8."/>
      <w:lvlJc w:val="left"/>
      <w:pPr>
        <w:tabs>
          <w:tab w:val="num" w:pos="1680"/>
        </w:tabs>
        <w:ind w:left="1680" w:hanging="1320"/>
      </w:pPr>
      <w:rPr>
        <w:rFonts w:ascii="Calibri" w:eastAsia="Times New Roman" w:hAnsi="Calibri"/>
        <w:b/>
        <w:bCs/>
        <w:color w:val="000000"/>
        <w:position w:val="0"/>
        <w:sz w:val="22"/>
        <w:szCs w:val="22"/>
        <w:u w:val="single"/>
      </w:rPr>
    </w:lvl>
    <w:lvl w:ilvl="8">
      <w:start w:val="1"/>
      <w:numFmt w:val="decimal"/>
      <w:lvlText w:val="%1.%2.%3.%4.%5.%6.%7.%8.%9."/>
      <w:lvlJc w:val="left"/>
      <w:pPr>
        <w:tabs>
          <w:tab w:val="num" w:pos="2010"/>
        </w:tabs>
        <w:ind w:left="2010" w:hanging="1650"/>
      </w:pPr>
      <w:rPr>
        <w:rFonts w:ascii="Calibri" w:eastAsia="Times New Roman" w:hAnsi="Calibri"/>
        <w:b/>
        <w:bCs/>
        <w:color w:val="000000"/>
        <w:position w:val="0"/>
        <w:sz w:val="22"/>
        <w:szCs w:val="22"/>
        <w:u w:val="single"/>
      </w:rPr>
    </w:lvl>
  </w:abstractNum>
  <w:abstractNum w:abstractNumId="4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690"/>
        </w:tabs>
        <w:ind w:left="69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3" w15:restartNumberingAfterBreak="0">
    <w:nsid w:val="70786ED7"/>
    <w:multiLevelType w:val="hybridMultilevel"/>
    <w:tmpl w:val="0004DB54"/>
    <w:lvl w:ilvl="0" w:tplc="CC7651E6">
      <w:start w:val="1"/>
      <w:numFmt w:val="upperRoman"/>
      <w:pStyle w:val="Heading1"/>
      <w:lvlText w:val="%1."/>
      <w:lvlJc w:val="left"/>
      <w:pPr>
        <w:ind w:left="720" w:hanging="360"/>
      </w:pPr>
      <w:rPr>
        <w:rFonts w:hint="default"/>
      </w:rPr>
    </w:lvl>
    <w:lvl w:ilvl="1" w:tplc="4156F258">
      <w:start w:val="1"/>
      <w:numFmt w:val="lowerLetter"/>
      <w:lvlText w:val="%2."/>
      <w:lvlJc w:val="left"/>
      <w:pPr>
        <w:ind w:left="1440" w:hanging="360"/>
      </w:pPr>
    </w:lvl>
    <w:lvl w:ilvl="2" w:tplc="CB983462">
      <w:start w:val="1"/>
      <w:numFmt w:val="lowerRoman"/>
      <w:lvlText w:val="%3."/>
      <w:lvlJc w:val="right"/>
      <w:pPr>
        <w:ind w:left="2160" w:hanging="180"/>
      </w:pPr>
    </w:lvl>
    <w:lvl w:ilvl="3" w:tplc="FF6C6CB4">
      <w:start w:val="1"/>
      <w:numFmt w:val="decimal"/>
      <w:lvlText w:val="%4."/>
      <w:lvlJc w:val="left"/>
      <w:pPr>
        <w:ind w:left="2880" w:hanging="360"/>
      </w:pPr>
    </w:lvl>
    <w:lvl w:ilvl="4" w:tplc="BAFAC258">
      <w:start w:val="1"/>
      <w:numFmt w:val="lowerLetter"/>
      <w:lvlText w:val="%5."/>
      <w:lvlJc w:val="left"/>
      <w:pPr>
        <w:ind w:left="3600" w:hanging="360"/>
      </w:pPr>
    </w:lvl>
    <w:lvl w:ilvl="5" w:tplc="5D1EC94C">
      <w:start w:val="1"/>
      <w:numFmt w:val="lowerRoman"/>
      <w:lvlText w:val="%6."/>
      <w:lvlJc w:val="right"/>
      <w:pPr>
        <w:ind w:left="4320" w:hanging="180"/>
      </w:pPr>
    </w:lvl>
    <w:lvl w:ilvl="6" w:tplc="1C5E8CD4">
      <w:start w:val="1"/>
      <w:numFmt w:val="decimal"/>
      <w:lvlText w:val="%7."/>
      <w:lvlJc w:val="left"/>
      <w:pPr>
        <w:ind w:left="5040" w:hanging="360"/>
      </w:pPr>
    </w:lvl>
    <w:lvl w:ilvl="7" w:tplc="232838C8">
      <w:start w:val="1"/>
      <w:numFmt w:val="lowerLetter"/>
      <w:lvlText w:val="%8."/>
      <w:lvlJc w:val="left"/>
      <w:pPr>
        <w:ind w:left="5760" w:hanging="360"/>
      </w:pPr>
    </w:lvl>
    <w:lvl w:ilvl="8" w:tplc="9B14D6FA">
      <w:start w:val="1"/>
      <w:numFmt w:val="lowerRoman"/>
      <w:lvlText w:val="%9."/>
      <w:lvlJc w:val="right"/>
      <w:pPr>
        <w:ind w:left="6480" w:hanging="180"/>
      </w:pPr>
    </w:lvl>
  </w:abstractNum>
  <w:abstractNum w:abstractNumId="44" w15:restartNumberingAfterBreak="0">
    <w:nsid w:val="745A711E"/>
    <w:multiLevelType w:val="multilevel"/>
    <w:tmpl w:val="ED88159C"/>
    <w:styleLink w:val="List41"/>
    <w:lvl w:ilvl="0">
      <w:start w:val="1"/>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5" w15:restartNumberingAfterBreak="0">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imes New Roman" w:hAnsi="Trebuchet MS"/>
        <w:b/>
        <w:bCs/>
        <w:color w:val="000000"/>
        <w:position w:val="0"/>
        <w:sz w:val="24"/>
        <w:szCs w:val="24"/>
      </w:rPr>
    </w:lvl>
    <w:lvl w:ilvl="1">
      <w:start w:val="1"/>
      <w:numFmt w:val="bullet"/>
      <w:lvlText w:val="o"/>
      <w:lvlJc w:val="left"/>
      <w:pPr>
        <w:tabs>
          <w:tab w:val="num" w:pos="1410"/>
        </w:tabs>
        <w:ind w:left="1410" w:hanging="330"/>
      </w:pPr>
      <w:rPr>
        <w:rFonts w:ascii="Calibri" w:eastAsia="Times New Roman" w:hAnsi="Calibri"/>
        <w:b/>
        <w:bCs/>
        <w:color w:val="000000"/>
        <w:position w:val="0"/>
        <w:sz w:val="22"/>
        <w:szCs w:val="22"/>
      </w:rPr>
    </w:lvl>
    <w:lvl w:ilvl="2">
      <w:start w:val="1"/>
      <w:numFmt w:val="bullet"/>
      <w:lvlText w:val="▪"/>
      <w:lvlJc w:val="left"/>
      <w:pPr>
        <w:tabs>
          <w:tab w:val="num" w:pos="2130"/>
        </w:tabs>
        <w:ind w:left="2130" w:hanging="330"/>
      </w:pPr>
      <w:rPr>
        <w:rFonts w:ascii="Calibri" w:eastAsia="Times New Roman" w:hAnsi="Calibri"/>
        <w:b/>
        <w:bCs/>
        <w:color w:val="000000"/>
        <w:position w:val="0"/>
        <w:sz w:val="22"/>
        <w:szCs w:val="22"/>
      </w:rPr>
    </w:lvl>
    <w:lvl w:ilvl="3">
      <w:start w:val="1"/>
      <w:numFmt w:val="bullet"/>
      <w:lvlText w:val="•"/>
      <w:lvlJc w:val="left"/>
      <w:pPr>
        <w:tabs>
          <w:tab w:val="num" w:pos="2850"/>
        </w:tabs>
        <w:ind w:left="2850" w:hanging="330"/>
      </w:pPr>
      <w:rPr>
        <w:rFonts w:ascii="Calibri" w:eastAsia="Times New Roman" w:hAnsi="Calibri"/>
        <w:b/>
        <w:bCs/>
        <w:color w:val="000000"/>
        <w:position w:val="0"/>
        <w:sz w:val="22"/>
        <w:szCs w:val="22"/>
      </w:rPr>
    </w:lvl>
    <w:lvl w:ilvl="4">
      <w:start w:val="1"/>
      <w:numFmt w:val="bullet"/>
      <w:lvlText w:val="o"/>
      <w:lvlJc w:val="left"/>
      <w:pPr>
        <w:tabs>
          <w:tab w:val="num" w:pos="3570"/>
        </w:tabs>
        <w:ind w:left="3570" w:hanging="330"/>
      </w:pPr>
      <w:rPr>
        <w:rFonts w:ascii="Calibri" w:eastAsia="Times New Roman" w:hAnsi="Calibri"/>
        <w:b/>
        <w:bCs/>
        <w:color w:val="000000"/>
        <w:position w:val="0"/>
        <w:sz w:val="22"/>
        <w:szCs w:val="22"/>
      </w:rPr>
    </w:lvl>
    <w:lvl w:ilvl="5">
      <w:start w:val="1"/>
      <w:numFmt w:val="bullet"/>
      <w:lvlText w:val="▪"/>
      <w:lvlJc w:val="left"/>
      <w:pPr>
        <w:tabs>
          <w:tab w:val="num" w:pos="4290"/>
        </w:tabs>
        <w:ind w:left="4290" w:hanging="330"/>
      </w:pPr>
      <w:rPr>
        <w:rFonts w:ascii="Calibri" w:eastAsia="Times New Roman" w:hAnsi="Calibri"/>
        <w:b/>
        <w:bCs/>
        <w:color w:val="000000"/>
        <w:position w:val="0"/>
        <w:sz w:val="22"/>
        <w:szCs w:val="22"/>
      </w:rPr>
    </w:lvl>
    <w:lvl w:ilvl="6">
      <w:start w:val="1"/>
      <w:numFmt w:val="bullet"/>
      <w:lvlText w:val="•"/>
      <w:lvlJc w:val="left"/>
      <w:pPr>
        <w:tabs>
          <w:tab w:val="num" w:pos="5010"/>
        </w:tabs>
        <w:ind w:left="5010" w:hanging="330"/>
      </w:pPr>
      <w:rPr>
        <w:rFonts w:ascii="Calibri" w:eastAsia="Times New Roman" w:hAnsi="Calibri"/>
        <w:b/>
        <w:bCs/>
        <w:color w:val="000000"/>
        <w:position w:val="0"/>
        <w:sz w:val="22"/>
        <w:szCs w:val="22"/>
      </w:rPr>
    </w:lvl>
    <w:lvl w:ilvl="7">
      <w:start w:val="1"/>
      <w:numFmt w:val="bullet"/>
      <w:lvlText w:val="o"/>
      <w:lvlJc w:val="left"/>
      <w:pPr>
        <w:tabs>
          <w:tab w:val="num" w:pos="5730"/>
        </w:tabs>
        <w:ind w:left="5730" w:hanging="330"/>
      </w:pPr>
      <w:rPr>
        <w:rFonts w:ascii="Calibri" w:eastAsia="Times New Roman" w:hAnsi="Calibri"/>
        <w:b/>
        <w:bCs/>
        <w:color w:val="000000"/>
        <w:position w:val="0"/>
        <w:sz w:val="22"/>
        <w:szCs w:val="22"/>
      </w:rPr>
    </w:lvl>
    <w:lvl w:ilvl="8">
      <w:start w:val="1"/>
      <w:numFmt w:val="bullet"/>
      <w:lvlText w:val="▪"/>
      <w:lvlJc w:val="left"/>
      <w:pPr>
        <w:tabs>
          <w:tab w:val="num" w:pos="6450"/>
        </w:tabs>
        <w:ind w:left="6450" w:hanging="330"/>
      </w:pPr>
      <w:rPr>
        <w:rFonts w:ascii="Calibri" w:eastAsia="Times New Roman" w:hAnsi="Calibri"/>
        <w:b/>
        <w:bCs/>
        <w:color w:val="000000"/>
        <w:position w:val="0"/>
        <w:sz w:val="22"/>
        <w:szCs w:val="22"/>
      </w:rPr>
    </w:lvl>
  </w:abstractNum>
  <w:abstractNum w:abstractNumId="4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5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5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u w:val="single"/>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u w:val="single"/>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u w:val="single"/>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u w:val="single"/>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u w:val="single"/>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u w:val="single"/>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u w:val="single"/>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u w:val="single"/>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u w:val="single"/>
      </w:rPr>
    </w:lvl>
  </w:abstractNum>
  <w:num w:numId="1">
    <w:abstractNumId w:val="3"/>
  </w:num>
  <w:num w:numId="2">
    <w:abstractNumId w:val="46"/>
  </w:num>
  <w:num w:numId="3">
    <w:abstractNumId w:val="18"/>
  </w:num>
  <w:num w:numId="4">
    <w:abstractNumId w:val="40"/>
  </w:num>
  <w:num w:numId="5">
    <w:abstractNumId w:val="23"/>
  </w:num>
  <w:num w:numId="6">
    <w:abstractNumId w:val="5"/>
  </w:num>
  <w:num w:numId="7">
    <w:abstractNumId w:val="15"/>
  </w:num>
  <w:num w:numId="8">
    <w:abstractNumId w:val="35"/>
  </w:num>
  <w:num w:numId="9">
    <w:abstractNumId w:val="0"/>
  </w:num>
  <w:num w:numId="10">
    <w:abstractNumId w:val="30"/>
  </w:num>
  <w:num w:numId="11">
    <w:abstractNumId w:val="31"/>
  </w:num>
  <w:num w:numId="12">
    <w:abstractNumId w:val="37"/>
  </w:num>
  <w:num w:numId="13">
    <w:abstractNumId w:val="1"/>
  </w:num>
  <w:num w:numId="14">
    <w:abstractNumId w:val="2"/>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6"/>
  </w:num>
  <w:num w:numId="25">
    <w:abstractNumId w:val="17"/>
  </w:num>
  <w:num w:numId="26">
    <w:abstractNumId w:val="19"/>
  </w:num>
  <w:num w:numId="27">
    <w:abstractNumId w:val="20"/>
  </w:num>
  <w:num w:numId="28">
    <w:abstractNumId w:val="21"/>
  </w:num>
  <w:num w:numId="29">
    <w:abstractNumId w:val="22"/>
  </w:num>
  <w:num w:numId="30">
    <w:abstractNumId w:val="24"/>
  </w:num>
  <w:num w:numId="31">
    <w:abstractNumId w:val="25"/>
  </w:num>
  <w:num w:numId="32">
    <w:abstractNumId w:val="26"/>
  </w:num>
  <w:num w:numId="33">
    <w:abstractNumId w:val="27"/>
  </w:num>
  <w:num w:numId="34">
    <w:abstractNumId w:val="28"/>
  </w:num>
  <w:num w:numId="35">
    <w:abstractNumId w:val="29"/>
  </w:num>
  <w:num w:numId="36">
    <w:abstractNumId w:val="32"/>
  </w:num>
  <w:num w:numId="37">
    <w:abstractNumId w:val="33"/>
  </w:num>
  <w:num w:numId="38">
    <w:abstractNumId w:val="39"/>
  </w:num>
  <w:num w:numId="39">
    <w:abstractNumId w:val="41"/>
  </w:num>
  <w:num w:numId="40">
    <w:abstractNumId w:val="42"/>
  </w:num>
  <w:num w:numId="41">
    <w:abstractNumId w:val="44"/>
  </w:num>
  <w:num w:numId="42">
    <w:abstractNumId w:val="45"/>
  </w:num>
  <w:num w:numId="43">
    <w:abstractNumId w:val="47"/>
  </w:num>
  <w:num w:numId="44">
    <w:abstractNumId w:val="48"/>
  </w:num>
  <w:num w:numId="45">
    <w:abstractNumId w:val="49"/>
  </w:num>
  <w:num w:numId="46">
    <w:abstractNumId w:val="50"/>
  </w:num>
  <w:num w:numId="47">
    <w:abstractNumId w:val="51"/>
  </w:num>
  <w:num w:numId="48">
    <w:abstractNumId w:val="34"/>
  </w:num>
  <w:num w:numId="49">
    <w:abstractNumId w:val="43"/>
  </w:num>
  <w:num w:numId="50">
    <w:abstractNumId w:val="38"/>
  </w:num>
  <w:num w:numId="51">
    <w:abstractNumId w:val="4"/>
  </w:num>
  <w:num w:numId="52">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proofState w:spelling="clean" w:grammar="clean"/>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21B"/>
    <w:rsid w:val="0004703C"/>
    <w:rsid w:val="000E6DA1"/>
    <w:rsid w:val="000F35ED"/>
    <w:rsid w:val="0010306C"/>
    <w:rsid w:val="001332CC"/>
    <w:rsid w:val="0021188F"/>
    <w:rsid w:val="00226772"/>
    <w:rsid w:val="002C4539"/>
    <w:rsid w:val="002C59BB"/>
    <w:rsid w:val="002E1E74"/>
    <w:rsid w:val="00303AC4"/>
    <w:rsid w:val="00356086"/>
    <w:rsid w:val="003851DE"/>
    <w:rsid w:val="00397AD8"/>
    <w:rsid w:val="003B6085"/>
    <w:rsid w:val="004E721B"/>
    <w:rsid w:val="00533789"/>
    <w:rsid w:val="0054738B"/>
    <w:rsid w:val="005B563E"/>
    <w:rsid w:val="005D0E47"/>
    <w:rsid w:val="005E3723"/>
    <w:rsid w:val="00740DEF"/>
    <w:rsid w:val="00756974"/>
    <w:rsid w:val="007D4440"/>
    <w:rsid w:val="00820FD1"/>
    <w:rsid w:val="008906A8"/>
    <w:rsid w:val="00913E2D"/>
    <w:rsid w:val="00934A2C"/>
    <w:rsid w:val="00963ECA"/>
    <w:rsid w:val="00975A35"/>
    <w:rsid w:val="00A50FCF"/>
    <w:rsid w:val="00A62131"/>
    <w:rsid w:val="00A822C7"/>
    <w:rsid w:val="00AB2A81"/>
    <w:rsid w:val="00AF0855"/>
    <w:rsid w:val="00B52F4E"/>
    <w:rsid w:val="00BB2E0C"/>
    <w:rsid w:val="00BE520A"/>
    <w:rsid w:val="00C054DF"/>
    <w:rsid w:val="00C34E6E"/>
    <w:rsid w:val="00CD0CD4"/>
    <w:rsid w:val="00CE2B34"/>
    <w:rsid w:val="00D66A75"/>
    <w:rsid w:val="00DC2FDB"/>
    <w:rsid w:val="00DE0BF0"/>
    <w:rsid w:val="00E06468"/>
    <w:rsid w:val="00E64E99"/>
    <w:rsid w:val="00ED3A6A"/>
    <w:rsid w:val="00F97C2C"/>
    <w:rsid w:val="00FB2BB9"/>
    <w:rsid w:val="00FD1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E0C"/>
    <w:rPr>
      <w:sz w:val="24"/>
      <w:szCs w:val="24"/>
    </w:rPr>
  </w:style>
  <w:style w:type="paragraph" w:styleId="Heading1">
    <w:name w:val="heading 1"/>
    <w:basedOn w:val="Normal"/>
    <w:next w:val="Normal"/>
    <w:link w:val="Heading1Char"/>
    <w:uiPriority w:val="99"/>
    <w:qFormat/>
    <w:rsid w:val="00BB2E0C"/>
    <w:pPr>
      <w:keepNext/>
      <w:keepLines/>
      <w:numPr>
        <w:numId w:val="49"/>
      </w:numPr>
      <w:spacing w:before="480"/>
      <w:outlineLvl w:val="0"/>
    </w:pPr>
    <w:rPr>
      <w:rFonts w:ascii="Cambria" w:eastAsia="MS Gothic" w:hAnsi="Cambria" w:cs="Cambria"/>
      <w:b/>
      <w:bCs/>
      <w:color w:val="365F91"/>
      <w:sz w:val="28"/>
      <w:szCs w:val="28"/>
    </w:rPr>
  </w:style>
  <w:style w:type="paragraph" w:styleId="Heading2">
    <w:name w:val="heading 2"/>
    <w:basedOn w:val="Normal"/>
    <w:next w:val="Normal"/>
    <w:link w:val="Heading2Char"/>
    <w:uiPriority w:val="99"/>
    <w:qFormat/>
    <w:rsid w:val="00BB2E0C"/>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BB2E0C"/>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B2E0C"/>
    <w:rPr>
      <w:rFonts w:ascii="Cambria" w:eastAsia="MS Gothic" w:hAnsi="Cambria" w:cs="Cambria"/>
      <w:b/>
      <w:bCs/>
      <w:color w:val="365F91"/>
      <w:sz w:val="28"/>
      <w:szCs w:val="28"/>
      <w:lang w:val="en-US" w:eastAsia="en-US"/>
    </w:rPr>
  </w:style>
  <w:style w:type="character" w:customStyle="1" w:styleId="Heading2Char">
    <w:name w:val="Heading 2 Char"/>
    <w:basedOn w:val="DefaultParagraphFont"/>
    <w:link w:val="Heading2"/>
    <w:uiPriority w:val="99"/>
    <w:locked/>
    <w:rsid w:val="00BB2E0C"/>
    <w:rPr>
      <w:rFonts w:ascii="Arial" w:hAnsi="Arial" w:cs="Arial"/>
      <w:b/>
      <w:bCs/>
      <w:i/>
      <w:iCs/>
      <w:sz w:val="28"/>
      <w:szCs w:val="28"/>
      <w:lang w:val="en-US" w:eastAsia="en-US"/>
    </w:rPr>
  </w:style>
  <w:style w:type="character" w:customStyle="1" w:styleId="Heading3Char">
    <w:name w:val="Heading 3 Char"/>
    <w:basedOn w:val="DefaultParagraphFont"/>
    <w:link w:val="Heading3"/>
    <w:uiPriority w:val="99"/>
    <w:locked/>
    <w:rsid w:val="00BB2E0C"/>
    <w:rPr>
      <w:rFonts w:ascii="Arial" w:hAnsi="Arial" w:cs="Arial"/>
      <w:b/>
      <w:bCs/>
      <w:sz w:val="26"/>
      <w:szCs w:val="26"/>
      <w:lang w:val="en-US" w:eastAsia="en-US"/>
    </w:rPr>
  </w:style>
  <w:style w:type="character" w:styleId="Hyperlink">
    <w:name w:val="Hyperlink"/>
    <w:basedOn w:val="DefaultParagraphFont"/>
    <w:uiPriority w:val="99"/>
    <w:rsid w:val="00BB2E0C"/>
    <w:rPr>
      <w:u w:val="single"/>
    </w:rPr>
  </w:style>
  <w:style w:type="paragraph" w:customStyle="1" w:styleId="Cabeceraypie">
    <w:name w:val="Cabecera y pie"/>
    <w:uiPriority w:val="99"/>
    <w:rsid w:val="00BB2E0C"/>
    <w:pPr>
      <w:tabs>
        <w:tab w:val="right" w:pos="9020"/>
      </w:tabs>
    </w:pPr>
    <w:rPr>
      <w:rFonts w:ascii="Helvetica" w:eastAsia="Times New Roman" w:hAnsi="Arial Unicode MS" w:cs="Helvetica"/>
      <w:color w:val="000000"/>
      <w:sz w:val="24"/>
      <w:szCs w:val="24"/>
      <w:lang w:val="es-ES" w:eastAsia="es-ES"/>
    </w:rPr>
  </w:style>
  <w:style w:type="paragraph" w:styleId="Footer">
    <w:name w:val="footer"/>
    <w:basedOn w:val="Normal"/>
    <w:link w:val="FooterChar"/>
    <w:uiPriority w:val="99"/>
    <w:rsid w:val="00BB2E0C"/>
    <w:pPr>
      <w:tabs>
        <w:tab w:val="center" w:pos="4513"/>
        <w:tab w:val="right" w:pos="9026"/>
      </w:tabs>
    </w:pPr>
    <w:rPr>
      <w:rFonts w:ascii="Cambria" w:hAnsi="Cambria" w:cs="Cambria"/>
      <w:color w:val="000000"/>
      <w:u w:color="000000"/>
      <w:lang w:eastAsia="es-ES"/>
    </w:rPr>
  </w:style>
  <w:style w:type="character" w:customStyle="1" w:styleId="FooterChar">
    <w:name w:val="Footer Char"/>
    <w:basedOn w:val="DefaultParagraphFont"/>
    <w:link w:val="Footer"/>
    <w:uiPriority w:val="99"/>
    <w:locked/>
    <w:rsid w:val="00BB2E0C"/>
    <w:rPr>
      <w:rFonts w:ascii="Cambria" w:hAnsi="Cambria" w:cs="Cambria"/>
      <w:color w:val="000000"/>
      <w:sz w:val="24"/>
      <w:szCs w:val="24"/>
      <w:u w:color="000000"/>
      <w:lang w:val="en-US" w:eastAsia="es-ES"/>
    </w:rPr>
  </w:style>
  <w:style w:type="paragraph" w:customStyle="1" w:styleId="Cuerpo">
    <w:name w:val="Cuerpo"/>
    <w:uiPriority w:val="99"/>
    <w:rsid w:val="00BB2E0C"/>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BB2E0C"/>
    <w:pPr>
      <w:ind w:left="2160" w:hanging="720"/>
    </w:pPr>
    <w:rPr>
      <w:rFonts w:eastAsia="Times New Roman"/>
      <w:color w:val="000000"/>
      <w:u w:color="000000"/>
      <w:lang w:val="es-ES_tradnl" w:eastAsia="es-ES"/>
    </w:rPr>
  </w:style>
  <w:style w:type="character" w:customStyle="1" w:styleId="BodyTextIndentChar">
    <w:name w:val="Body Text Indent Char"/>
    <w:basedOn w:val="DefaultParagraphFont"/>
    <w:link w:val="BodyTextIndent"/>
    <w:uiPriority w:val="99"/>
    <w:semiHidden/>
    <w:locked/>
    <w:rsid w:val="004E721B"/>
    <w:rPr>
      <w:sz w:val="24"/>
      <w:szCs w:val="24"/>
    </w:rPr>
  </w:style>
  <w:style w:type="paragraph" w:styleId="ListParagraph">
    <w:name w:val="List Paragraph"/>
    <w:basedOn w:val="Normal"/>
    <w:uiPriority w:val="99"/>
    <w:qFormat/>
    <w:rsid w:val="00BB2E0C"/>
    <w:pPr>
      <w:ind w:left="720"/>
    </w:pPr>
    <w:rPr>
      <w:rFonts w:ascii="Cambria" w:hAnsi="Cambria" w:cs="Cambria"/>
      <w:color w:val="000000"/>
      <w:u w:color="000000"/>
      <w:lang w:eastAsia="es-ES"/>
    </w:rPr>
  </w:style>
  <w:style w:type="paragraph" w:styleId="FootnoteText">
    <w:name w:val="footnote text"/>
    <w:aliases w:val="Ca,FA Fu,FA Fußnotentext,FA Fuﬂnotentext,Footnote Text Cha,Footnote Text Char Char,Footnote Text Char Char Char,Footnote Text Char Char Char Char,Footnote Text Char Char Char Char Char,Footnote reference,Texto nota pie Car"/>
    <w:basedOn w:val="Normal"/>
    <w:link w:val="FootnoteTextChar1"/>
    <w:uiPriority w:val="99"/>
    <w:semiHidden/>
    <w:rsid w:val="00BB2E0C"/>
    <w:rPr>
      <w:rFonts w:ascii="Calibri" w:hAnsi="Calibri" w:cs="Calibri"/>
      <w:color w:val="000000"/>
      <w:sz w:val="20"/>
      <w:szCs w:val="20"/>
      <w:u w:color="000000"/>
    </w:rPr>
  </w:style>
  <w:style w:type="character" w:customStyle="1" w:styleId="FootnoteTextChar">
    <w:name w:val="Footnote Text Char"/>
    <w:aliases w:val="Ca Char,FA Fu Char,FA Fußnotentext Char,FA Fuﬂnotentext Char,Footnote Text Cha Char,Footnote Text Char Char Char1,Footnote Text Char Char Char Char1,Footnote Text Char Char Char Char Char1,Footnote Text Char Char Char Char Char Char"/>
    <w:basedOn w:val="DefaultParagraphFont"/>
    <w:uiPriority w:val="99"/>
    <w:semiHidden/>
    <w:locked/>
    <w:rsid w:val="00913E2D"/>
    <w:rPr>
      <w:sz w:val="20"/>
      <w:szCs w:val="20"/>
    </w:rPr>
  </w:style>
  <w:style w:type="character" w:customStyle="1" w:styleId="FootnoteTextChar2">
    <w:name w:val="Footnote Text Char2"/>
    <w:aliases w:val="Ca Char2,FA Fu Char2,FA Fußnotentext Char2,FA Fuﬂnotentext Char2,Footnote Text Cha Char2,Footnote Text Char Char Char Char Char Char1,Footnote Text Char Char Char Char Char11,Footnote Text Char Char Char Char11"/>
    <w:basedOn w:val="DefaultParagraphFont"/>
    <w:uiPriority w:val="99"/>
    <w:semiHidden/>
    <w:locked/>
    <w:rsid w:val="004E721B"/>
    <w:rPr>
      <w:sz w:val="20"/>
      <w:szCs w:val="20"/>
    </w:rPr>
  </w:style>
  <w:style w:type="paragraph" w:styleId="BalloonText">
    <w:name w:val="Balloon Text"/>
    <w:basedOn w:val="Normal"/>
    <w:link w:val="BalloonTextChar"/>
    <w:uiPriority w:val="99"/>
    <w:semiHidden/>
    <w:rsid w:val="00BB2E0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2E0C"/>
    <w:rPr>
      <w:rFonts w:ascii="Tahoma" w:hAnsi="Tahoma" w:cs="Tahoma"/>
      <w:sz w:val="16"/>
      <w:szCs w:val="16"/>
      <w:lang w:val="en-US" w:eastAsia="en-US"/>
    </w:rPr>
  </w:style>
  <w:style w:type="paragraph" w:styleId="Header">
    <w:name w:val="header"/>
    <w:aliases w:val="encabezado"/>
    <w:basedOn w:val="Normal"/>
    <w:link w:val="HeaderChar"/>
    <w:uiPriority w:val="99"/>
    <w:rsid w:val="00BB2E0C"/>
    <w:pPr>
      <w:widowControl w:val="0"/>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uiPriority w:val="99"/>
    <w:locked/>
    <w:rsid w:val="00BB2E0C"/>
    <w:rPr>
      <w:rFonts w:ascii="Univers" w:hAnsi="Univers" w:cs="Univers"/>
      <w:sz w:val="24"/>
      <w:szCs w:val="24"/>
      <w:lang w:val="en-US" w:eastAsia="en-US"/>
    </w:rPr>
  </w:style>
  <w:style w:type="table" w:styleId="MediumShading1-Accent1">
    <w:name w:val="Medium Shading 1 Accent 1"/>
    <w:basedOn w:val="TableNormal"/>
    <w:uiPriority w:val="99"/>
    <w:rsid w:val="00BB2E0C"/>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99"/>
    <w:semiHidden/>
    <w:rsid w:val="00BB2E0C"/>
    <w:pPr>
      <w:tabs>
        <w:tab w:val="left" w:pos="1440"/>
        <w:tab w:val="right" w:leader="dot" w:pos="9350"/>
      </w:tabs>
      <w:spacing w:after="100"/>
      <w:ind w:left="1440" w:hanging="720"/>
    </w:pPr>
  </w:style>
  <w:style w:type="paragraph" w:styleId="TOC1">
    <w:name w:val="toc 1"/>
    <w:basedOn w:val="Normal"/>
    <w:next w:val="Normal"/>
    <w:autoRedefine/>
    <w:uiPriority w:val="99"/>
    <w:semiHidden/>
    <w:rsid w:val="00BB2E0C"/>
    <w:pPr>
      <w:spacing w:after="100"/>
    </w:pPr>
    <w:rPr>
      <w:rFonts w:ascii="Calibri" w:hAnsi="Calibri" w:cs="Calibri"/>
      <w:sz w:val="22"/>
      <w:szCs w:val="22"/>
    </w:rPr>
  </w:style>
  <w:style w:type="paragraph" w:styleId="TOC3">
    <w:name w:val="toc 3"/>
    <w:basedOn w:val="Normal"/>
    <w:next w:val="Normal"/>
    <w:autoRedefine/>
    <w:uiPriority w:val="99"/>
    <w:semiHidden/>
    <w:rsid w:val="00BB2E0C"/>
    <w:pPr>
      <w:tabs>
        <w:tab w:val="left" w:pos="880"/>
        <w:tab w:val="right" w:leader="dot" w:pos="9350"/>
      </w:tabs>
      <w:spacing w:after="100"/>
      <w:ind w:left="2160" w:hanging="720"/>
    </w:pPr>
  </w:style>
  <w:style w:type="paragraph" w:styleId="TOC4">
    <w:name w:val="toc 4"/>
    <w:basedOn w:val="Normal"/>
    <w:next w:val="Normal"/>
    <w:autoRedefine/>
    <w:uiPriority w:val="99"/>
    <w:semiHidden/>
    <w:rsid w:val="00BB2E0C"/>
    <w:pPr>
      <w:spacing w:after="100"/>
      <w:ind w:left="720"/>
    </w:pPr>
  </w:style>
  <w:style w:type="character" w:styleId="PageNumber">
    <w:name w:val="page number"/>
    <w:basedOn w:val="DefaultParagraphFont"/>
    <w:uiPriority w:val="99"/>
    <w:rsid w:val="00BB2E0C"/>
  </w:style>
  <w:style w:type="character" w:styleId="FootnoteReference">
    <w:name w:val="footnote reference"/>
    <w:aliases w:val="16 Point,4_G,Appel note de bas de page,BVI fnr,Footnote,Footnote number,Footnote symbol,Footnotes refss,Ref,Ref. de nota al pie.,Superscript 6 Point,Texto de nota al pie,Texto nota al pie,de nota al pie,f,norma,referencia nota al pie"/>
    <w:basedOn w:val="DefaultParagraphFont"/>
    <w:uiPriority w:val="99"/>
    <w:semiHidden/>
    <w:rsid w:val="00BB2E0C"/>
    <w:rPr>
      <w:vertAlign w:val="superscript"/>
    </w:rPr>
  </w:style>
  <w:style w:type="paragraph" w:styleId="BodyTextIndent2">
    <w:name w:val="Body Text Indent 2"/>
    <w:basedOn w:val="Normal"/>
    <w:link w:val="BodyTextIndent2Char"/>
    <w:uiPriority w:val="99"/>
    <w:semiHidden/>
    <w:rsid w:val="00BB2E0C"/>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B2E0C"/>
    <w:rPr>
      <w:sz w:val="24"/>
      <w:szCs w:val="24"/>
      <w:lang w:val="en-US" w:eastAsia="en-US"/>
    </w:rPr>
  </w:style>
  <w:style w:type="paragraph" w:styleId="BodyText">
    <w:name w:val="Body Text"/>
    <w:basedOn w:val="Normal"/>
    <w:link w:val="BodyTextChar"/>
    <w:uiPriority w:val="99"/>
    <w:semiHidden/>
    <w:rsid w:val="00BB2E0C"/>
    <w:pPr>
      <w:spacing w:after="120"/>
    </w:pPr>
  </w:style>
  <w:style w:type="character" w:customStyle="1" w:styleId="BodyTextChar">
    <w:name w:val="Body Text Char"/>
    <w:basedOn w:val="DefaultParagraphFont"/>
    <w:link w:val="BodyText"/>
    <w:uiPriority w:val="99"/>
    <w:semiHidden/>
    <w:locked/>
    <w:rsid w:val="00BB2E0C"/>
    <w:rPr>
      <w:sz w:val="24"/>
      <w:szCs w:val="24"/>
      <w:lang w:val="en-US" w:eastAsia="en-US"/>
    </w:rPr>
  </w:style>
  <w:style w:type="character" w:customStyle="1" w:styleId="FootnoteTextChar1">
    <w:name w:val="Footnote Text Char1"/>
    <w:aliases w:val="Ca Char1,FA Fu Char1,FA Fußnotentext Char1,FA Fuﬂnotentext Char1,Footnote Text Cha Char1,Footnote Text Char Char Char2,Footnote Text Char Char Char Char2,Footnote Text Char Char Char Char Char2,Footnote reference Char"/>
    <w:link w:val="FootnoteText"/>
    <w:uiPriority w:val="99"/>
    <w:locked/>
    <w:rsid w:val="00BB2E0C"/>
    <w:rPr>
      <w:rFonts w:ascii="Calibri" w:hAnsi="Calibri" w:cs="Calibri"/>
      <w:color w:val="000000"/>
      <w:u w:color="000000"/>
      <w:lang w:val="en-US"/>
    </w:rPr>
  </w:style>
  <w:style w:type="paragraph" w:customStyle="1" w:styleId="Default">
    <w:name w:val="Default"/>
    <w:link w:val="DefaultChar"/>
    <w:uiPriority w:val="99"/>
    <w:rsid w:val="00BB2E0C"/>
    <w:pPr>
      <w:autoSpaceDE w:val="0"/>
      <w:autoSpaceDN w:val="0"/>
      <w:adjustRightInd w:val="0"/>
    </w:pPr>
    <w:rPr>
      <w:rFonts w:eastAsia="Times New Roman"/>
      <w:color w:val="000000"/>
      <w:sz w:val="24"/>
      <w:szCs w:val="24"/>
    </w:rPr>
  </w:style>
  <w:style w:type="paragraph" w:styleId="EndnoteText">
    <w:name w:val="endnote text"/>
    <w:basedOn w:val="Normal"/>
    <w:link w:val="EndnoteTextChar"/>
    <w:uiPriority w:val="99"/>
    <w:semiHidden/>
    <w:rsid w:val="00BB2E0C"/>
    <w:pPr>
      <w:spacing w:before="100" w:beforeAutospacing="1" w:after="100" w:afterAutospacing="1"/>
    </w:pPr>
    <w:rPr>
      <w:rFonts w:eastAsia="Times New Roman"/>
    </w:rPr>
  </w:style>
  <w:style w:type="character" w:customStyle="1" w:styleId="EndnoteTextChar">
    <w:name w:val="Endnote Text Char"/>
    <w:basedOn w:val="DefaultParagraphFont"/>
    <w:link w:val="EndnoteText"/>
    <w:uiPriority w:val="99"/>
    <w:locked/>
    <w:rsid w:val="00BB2E0C"/>
    <w:rPr>
      <w:rFonts w:eastAsia="Times New Roman"/>
      <w:sz w:val="24"/>
      <w:szCs w:val="24"/>
      <w:lang w:val="en-US" w:eastAsia="en-US"/>
    </w:rPr>
  </w:style>
  <w:style w:type="character" w:customStyle="1" w:styleId="DefaultChar">
    <w:name w:val="Default Char"/>
    <w:link w:val="Default"/>
    <w:uiPriority w:val="99"/>
    <w:locked/>
    <w:rsid w:val="00BB2E0C"/>
    <w:rPr>
      <w:rFonts w:eastAsia="Times New Roman"/>
      <w:color w:val="000000"/>
      <w:sz w:val="22"/>
      <w:szCs w:val="22"/>
      <w:lang w:val="en-US" w:eastAsia="en-US"/>
    </w:rPr>
  </w:style>
  <w:style w:type="table" w:styleId="TableGrid">
    <w:name w:val="Table Grid"/>
    <w:basedOn w:val="TableNormal"/>
    <w:uiPriority w:val="99"/>
    <w:rsid w:val="00BB2E0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BB2E0C"/>
    <w:rPr>
      <w:sz w:val="16"/>
      <w:szCs w:val="16"/>
    </w:rPr>
  </w:style>
  <w:style w:type="paragraph" w:styleId="CommentText">
    <w:name w:val="annotation text"/>
    <w:basedOn w:val="Normal"/>
    <w:link w:val="CommentTextChar"/>
    <w:uiPriority w:val="99"/>
    <w:semiHidden/>
    <w:rsid w:val="00BB2E0C"/>
    <w:rPr>
      <w:sz w:val="20"/>
      <w:szCs w:val="20"/>
    </w:rPr>
  </w:style>
  <w:style w:type="character" w:customStyle="1" w:styleId="CommentTextChar">
    <w:name w:val="Comment Text Char"/>
    <w:basedOn w:val="DefaultParagraphFont"/>
    <w:link w:val="CommentText"/>
    <w:uiPriority w:val="99"/>
    <w:semiHidden/>
    <w:locked/>
    <w:rsid w:val="00BB2E0C"/>
    <w:rPr>
      <w:lang w:val="en-US" w:eastAsia="en-US"/>
    </w:rPr>
  </w:style>
  <w:style w:type="paragraph" w:styleId="CommentSubject">
    <w:name w:val="annotation subject"/>
    <w:basedOn w:val="CommentText"/>
    <w:next w:val="CommentText"/>
    <w:link w:val="CommentSubjectChar"/>
    <w:uiPriority w:val="99"/>
    <w:semiHidden/>
    <w:rsid w:val="00BB2E0C"/>
    <w:rPr>
      <w:b/>
      <w:bCs/>
    </w:rPr>
  </w:style>
  <w:style w:type="character" w:customStyle="1" w:styleId="CommentSubjectChar">
    <w:name w:val="Comment Subject Char"/>
    <w:basedOn w:val="CommentTextChar"/>
    <w:link w:val="CommentSubject"/>
    <w:uiPriority w:val="99"/>
    <w:semiHidden/>
    <w:locked/>
    <w:rsid w:val="00BB2E0C"/>
    <w:rPr>
      <w:b/>
      <w:bCs/>
      <w:lang w:val="en-US" w:eastAsia="en-US"/>
    </w:rPr>
  </w:style>
  <w:style w:type="numbering" w:customStyle="1" w:styleId="List16">
    <w:name w:val="List 16"/>
    <w:rsid w:val="00610B76"/>
    <w:pPr>
      <w:numPr>
        <w:numId w:val="9"/>
      </w:numPr>
    </w:pPr>
  </w:style>
  <w:style w:type="numbering" w:customStyle="1" w:styleId="List36">
    <w:name w:val="List 36"/>
    <w:rsid w:val="00610B76"/>
    <w:pPr>
      <w:numPr>
        <w:numId w:val="13"/>
      </w:numPr>
    </w:pPr>
  </w:style>
  <w:style w:type="numbering" w:customStyle="1" w:styleId="List25">
    <w:name w:val="List 25"/>
    <w:rsid w:val="00610B76"/>
    <w:pPr>
      <w:numPr>
        <w:numId w:val="14"/>
      </w:numPr>
    </w:pPr>
  </w:style>
  <w:style w:type="numbering" w:customStyle="1" w:styleId="List1">
    <w:name w:val="List 1"/>
    <w:rsid w:val="00610B76"/>
    <w:pPr>
      <w:numPr>
        <w:numId w:val="1"/>
      </w:numPr>
    </w:pPr>
  </w:style>
  <w:style w:type="numbering" w:customStyle="1" w:styleId="List11">
    <w:name w:val="List 11"/>
    <w:rsid w:val="00610B76"/>
    <w:pPr>
      <w:numPr>
        <w:numId w:val="6"/>
      </w:numPr>
    </w:pPr>
  </w:style>
  <w:style w:type="numbering" w:customStyle="1" w:styleId="List15">
    <w:name w:val="List 15"/>
    <w:rsid w:val="00610B76"/>
    <w:pPr>
      <w:numPr>
        <w:numId w:val="15"/>
      </w:numPr>
    </w:pPr>
  </w:style>
  <w:style w:type="numbering" w:customStyle="1" w:styleId="List14">
    <w:name w:val="List 14"/>
    <w:rsid w:val="00610B76"/>
    <w:pPr>
      <w:numPr>
        <w:numId w:val="16"/>
      </w:numPr>
    </w:pPr>
  </w:style>
  <w:style w:type="numbering" w:customStyle="1" w:styleId="List23">
    <w:name w:val="List 23"/>
    <w:rsid w:val="00610B76"/>
    <w:pPr>
      <w:numPr>
        <w:numId w:val="17"/>
      </w:numPr>
    </w:pPr>
  </w:style>
  <w:style w:type="numbering" w:customStyle="1" w:styleId="List19">
    <w:name w:val="List 19"/>
    <w:rsid w:val="00610B76"/>
    <w:pPr>
      <w:numPr>
        <w:numId w:val="18"/>
      </w:numPr>
    </w:pPr>
  </w:style>
  <w:style w:type="numbering" w:customStyle="1" w:styleId="List45">
    <w:name w:val="List 45"/>
    <w:rsid w:val="00610B76"/>
    <w:pPr>
      <w:numPr>
        <w:numId w:val="19"/>
      </w:numPr>
    </w:pPr>
  </w:style>
  <w:style w:type="numbering" w:customStyle="1" w:styleId="List40">
    <w:name w:val="List 40"/>
    <w:rsid w:val="00610B76"/>
    <w:pPr>
      <w:numPr>
        <w:numId w:val="20"/>
      </w:numPr>
    </w:pPr>
  </w:style>
  <w:style w:type="numbering" w:customStyle="1" w:styleId="List9">
    <w:name w:val="List 9"/>
    <w:rsid w:val="00610B76"/>
    <w:pPr>
      <w:numPr>
        <w:numId w:val="21"/>
      </w:numPr>
    </w:pPr>
  </w:style>
  <w:style w:type="numbering" w:customStyle="1" w:styleId="List43">
    <w:name w:val="List 43"/>
    <w:rsid w:val="00610B76"/>
    <w:pPr>
      <w:numPr>
        <w:numId w:val="22"/>
      </w:numPr>
    </w:pPr>
  </w:style>
  <w:style w:type="numbering" w:customStyle="1" w:styleId="List46">
    <w:name w:val="List 46"/>
    <w:rsid w:val="00610B76"/>
    <w:pPr>
      <w:numPr>
        <w:numId w:val="23"/>
      </w:numPr>
    </w:pPr>
  </w:style>
  <w:style w:type="numbering" w:customStyle="1" w:styleId="List35">
    <w:name w:val="List 35"/>
    <w:rsid w:val="00610B76"/>
    <w:pPr>
      <w:numPr>
        <w:numId w:val="7"/>
      </w:numPr>
    </w:pPr>
  </w:style>
  <w:style w:type="numbering" w:customStyle="1" w:styleId="List17">
    <w:name w:val="List 17"/>
    <w:rsid w:val="00610B76"/>
    <w:pPr>
      <w:numPr>
        <w:numId w:val="24"/>
      </w:numPr>
    </w:pPr>
  </w:style>
  <w:style w:type="numbering" w:customStyle="1" w:styleId="List33">
    <w:name w:val="List 33"/>
    <w:rsid w:val="00610B76"/>
    <w:pPr>
      <w:numPr>
        <w:numId w:val="25"/>
      </w:numPr>
    </w:pPr>
  </w:style>
  <w:style w:type="numbering" w:customStyle="1" w:styleId="List7">
    <w:name w:val="List 7"/>
    <w:rsid w:val="00610B76"/>
    <w:pPr>
      <w:numPr>
        <w:numId w:val="3"/>
      </w:numPr>
    </w:pPr>
  </w:style>
  <w:style w:type="numbering" w:customStyle="1" w:styleId="List18">
    <w:name w:val="List 18"/>
    <w:rsid w:val="00610B76"/>
    <w:pPr>
      <w:numPr>
        <w:numId w:val="26"/>
      </w:numPr>
    </w:pPr>
  </w:style>
  <w:style w:type="numbering" w:customStyle="1" w:styleId="List22">
    <w:name w:val="List 22"/>
    <w:rsid w:val="00610B76"/>
    <w:pPr>
      <w:numPr>
        <w:numId w:val="27"/>
      </w:numPr>
    </w:pPr>
  </w:style>
  <w:style w:type="numbering" w:customStyle="1" w:styleId="List47">
    <w:name w:val="List 47"/>
    <w:rsid w:val="00610B76"/>
    <w:pPr>
      <w:numPr>
        <w:numId w:val="28"/>
      </w:numPr>
    </w:pPr>
  </w:style>
  <w:style w:type="numbering" w:customStyle="1" w:styleId="List28">
    <w:name w:val="List 28"/>
    <w:rsid w:val="00610B76"/>
    <w:pPr>
      <w:numPr>
        <w:numId w:val="29"/>
      </w:numPr>
    </w:pPr>
  </w:style>
  <w:style w:type="numbering" w:customStyle="1" w:styleId="List10">
    <w:name w:val="List 10"/>
    <w:rsid w:val="00610B76"/>
    <w:pPr>
      <w:numPr>
        <w:numId w:val="5"/>
      </w:numPr>
    </w:pPr>
  </w:style>
  <w:style w:type="numbering" w:customStyle="1" w:styleId="List0">
    <w:name w:val="List 0"/>
    <w:rsid w:val="00610B76"/>
    <w:pPr>
      <w:numPr>
        <w:numId w:val="30"/>
      </w:numPr>
    </w:pPr>
  </w:style>
  <w:style w:type="numbering" w:customStyle="1" w:styleId="List30">
    <w:name w:val="List 30"/>
    <w:rsid w:val="00610B76"/>
    <w:pPr>
      <w:numPr>
        <w:numId w:val="31"/>
      </w:numPr>
    </w:pPr>
  </w:style>
  <w:style w:type="numbering" w:customStyle="1" w:styleId="List29">
    <w:name w:val="List 29"/>
    <w:rsid w:val="00610B76"/>
    <w:pPr>
      <w:numPr>
        <w:numId w:val="32"/>
      </w:numPr>
    </w:pPr>
  </w:style>
  <w:style w:type="numbering" w:customStyle="1" w:styleId="List38">
    <w:name w:val="List 38"/>
    <w:rsid w:val="00610B76"/>
    <w:pPr>
      <w:numPr>
        <w:numId w:val="33"/>
      </w:numPr>
    </w:pPr>
  </w:style>
  <w:style w:type="numbering" w:customStyle="1" w:styleId="List12">
    <w:name w:val="List 12"/>
    <w:rsid w:val="00610B76"/>
    <w:pPr>
      <w:numPr>
        <w:numId w:val="34"/>
      </w:numPr>
    </w:pPr>
  </w:style>
  <w:style w:type="numbering" w:customStyle="1" w:styleId="List50">
    <w:name w:val="List 50"/>
    <w:rsid w:val="00610B76"/>
    <w:pPr>
      <w:numPr>
        <w:numId w:val="35"/>
      </w:numPr>
    </w:pPr>
  </w:style>
  <w:style w:type="numbering" w:customStyle="1" w:styleId="List34">
    <w:name w:val="List 34"/>
    <w:rsid w:val="00610B76"/>
    <w:pPr>
      <w:numPr>
        <w:numId w:val="10"/>
      </w:numPr>
    </w:pPr>
  </w:style>
  <w:style w:type="numbering" w:customStyle="1" w:styleId="List42">
    <w:name w:val="List 42"/>
    <w:rsid w:val="00610B76"/>
    <w:pPr>
      <w:numPr>
        <w:numId w:val="11"/>
      </w:numPr>
    </w:pPr>
  </w:style>
  <w:style w:type="numbering" w:customStyle="1" w:styleId="List49">
    <w:name w:val="List 49"/>
    <w:rsid w:val="00610B76"/>
    <w:pPr>
      <w:numPr>
        <w:numId w:val="36"/>
      </w:numPr>
    </w:pPr>
  </w:style>
  <w:style w:type="numbering" w:customStyle="1" w:styleId="List44">
    <w:name w:val="List 44"/>
    <w:rsid w:val="00610B76"/>
    <w:pPr>
      <w:numPr>
        <w:numId w:val="37"/>
      </w:numPr>
    </w:pPr>
  </w:style>
  <w:style w:type="numbering" w:customStyle="1" w:styleId="List21">
    <w:name w:val="List 21"/>
    <w:rsid w:val="00610B76"/>
    <w:pPr>
      <w:numPr>
        <w:numId w:val="48"/>
      </w:numPr>
    </w:pPr>
  </w:style>
  <w:style w:type="numbering" w:customStyle="1" w:styleId="List52">
    <w:name w:val="List 52"/>
    <w:rsid w:val="00610B76"/>
    <w:pPr>
      <w:numPr>
        <w:numId w:val="8"/>
      </w:numPr>
    </w:pPr>
  </w:style>
  <w:style w:type="numbering" w:customStyle="1" w:styleId="List24">
    <w:name w:val="List 24"/>
    <w:rsid w:val="00610B76"/>
    <w:pPr>
      <w:numPr>
        <w:numId w:val="12"/>
      </w:numPr>
    </w:pPr>
  </w:style>
  <w:style w:type="numbering" w:customStyle="1" w:styleId="List51">
    <w:name w:val="List 51"/>
    <w:rsid w:val="00610B76"/>
    <w:pPr>
      <w:numPr>
        <w:numId w:val="50"/>
      </w:numPr>
    </w:pPr>
  </w:style>
  <w:style w:type="numbering" w:customStyle="1" w:styleId="List27">
    <w:name w:val="List 27"/>
    <w:rsid w:val="00610B76"/>
    <w:pPr>
      <w:numPr>
        <w:numId w:val="38"/>
      </w:numPr>
    </w:pPr>
  </w:style>
  <w:style w:type="numbering" w:customStyle="1" w:styleId="List8">
    <w:name w:val="List 8"/>
    <w:rsid w:val="00610B76"/>
    <w:pPr>
      <w:numPr>
        <w:numId w:val="4"/>
      </w:numPr>
    </w:pPr>
  </w:style>
  <w:style w:type="numbering" w:customStyle="1" w:styleId="List13">
    <w:name w:val="List 13"/>
    <w:rsid w:val="00610B76"/>
    <w:pPr>
      <w:numPr>
        <w:numId w:val="39"/>
      </w:numPr>
    </w:pPr>
  </w:style>
  <w:style w:type="numbering" w:customStyle="1" w:styleId="List20">
    <w:name w:val="List 20"/>
    <w:rsid w:val="00610B76"/>
    <w:pPr>
      <w:numPr>
        <w:numId w:val="40"/>
      </w:numPr>
    </w:pPr>
  </w:style>
  <w:style w:type="numbering" w:customStyle="1" w:styleId="List41">
    <w:name w:val="List 41"/>
    <w:rsid w:val="00610B76"/>
    <w:pPr>
      <w:numPr>
        <w:numId w:val="41"/>
      </w:numPr>
    </w:pPr>
  </w:style>
  <w:style w:type="numbering" w:customStyle="1" w:styleId="List31">
    <w:name w:val="List 31"/>
    <w:rsid w:val="00610B76"/>
    <w:pPr>
      <w:numPr>
        <w:numId w:val="42"/>
      </w:numPr>
    </w:pPr>
  </w:style>
  <w:style w:type="numbering" w:customStyle="1" w:styleId="List6">
    <w:name w:val="List 6"/>
    <w:rsid w:val="00610B76"/>
    <w:pPr>
      <w:numPr>
        <w:numId w:val="2"/>
      </w:numPr>
    </w:pPr>
  </w:style>
  <w:style w:type="numbering" w:customStyle="1" w:styleId="List39">
    <w:name w:val="List 39"/>
    <w:rsid w:val="00610B76"/>
    <w:pPr>
      <w:numPr>
        <w:numId w:val="43"/>
      </w:numPr>
    </w:pPr>
  </w:style>
  <w:style w:type="numbering" w:customStyle="1" w:styleId="List37">
    <w:name w:val="List 37"/>
    <w:rsid w:val="00610B76"/>
    <w:pPr>
      <w:numPr>
        <w:numId w:val="44"/>
      </w:numPr>
    </w:pPr>
  </w:style>
  <w:style w:type="numbering" w:customStyle="1" w:styleId="List32">
    <w:name w:val="List 32"/>
    <w:rsid w:val="00610B76"/>
    <w:pPr>
      <w:numPr>
        <w:numId w:val="45"/>
      </w:numPr>
    </w:pPr>
  </w:style>
  <w:style w:type="numbering" w:customStyle="1" w:styleId="List26">
    <w:name w:val="List 26"/>
    <w:rsid w:val="00610B76"/>
    <w:pPr>
      <w:numPr>
        <w:numId w:val="46"/>
      </w:numPr>
    </w:pPr>
  </w:style>
  <w:style w:type="numbering" w:customStyle="1" w:styleId="List48">
    <w:name w:val="List 48"/>
    <w:rsid w:val="00610B76"/>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2669</Words>
  <Characters>15217</Characters>
  <Application>Microsoft Office Word</Application>
  <DocSecurity>0</DocSecurity>
  <Lines>126</Lines>
  <Paragraphs>35</Paragraphs>
  <ScaleCrop>false</ScaleCrop>
  <Company/>
  <LinksUpToDate>false</LinksUpToDate>
  <CharactersWithSpaces>17851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39/18</dc:title>
  <dc:creator/>
  <cp:lastModifiedBy/>
  <cp:revision>1</cp:revision>
  <dcterms:created xsi:type="dcterms:W3CDTF">2020-12-02T19:29:00Z</dcterms:created>
  <dcterms:modified xsi:type="dcterms:W3CDTF">2020-12-02T19:30:00Z</dcterms:modified>
</cp:coreProperties>
</file>