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1D" w:rsidRPr="00B949EB" w:rsidRDefault="00693F6E" w:rsidP="00344528">
      <w:pPr>
        <w:jc w:val="both"/>
        <w:rPr>
          <w:rFonts w:ascii="Cambria" w:hAnsi="Cambria" w:cs="Cambria"/>
          <w:b/>
          <w:bCs/>
          <w:sz w:val="22"/>
          <w:szCs w:val="22"/>
        </w:rPr>
      </w:pPr>
      <w:bookmarkStart w:id="0" w:name="_GoBack"/>
      <w:bookmarkEnd w:id="0"/>
      <w:r>
        <w:rPr>
          <w:noProof/>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-439420</wp:posOffset>
                </wp:positionV>
                <wp:extent cx="1543050" cy="9096375"/>
                <wp:effectExtent l="12700" t="17780" r="15875" b="2032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w="25400">
                          <a:solidFill>
                            <a:srgbClr val="67AE3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6464D1" id="Rectangle 1" o:spid="_x0000_s1026" style="position:absolute;margin-left:-32.75pt;margin-top:-34.6pt;width:121.5pt;height:71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" fillcolor="#67ae3c" strokecolor="#67ae3c" strokeweight="2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1282065</wp:posOffset>
                </wp:positionH>
                <wp:positionV relativeFrom="paragraph">
                  <wp:posOffset>-424180</wp:posOffset>
                </wp:positionV>
                <wp:extent cx="5248275" cy="902335"/>
                <wp:effectExtent l="0" t="4445"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1C1D" w:rsidRPr="00344528" w:rsidRDefault="00881C1D" w:rsidP="00344528">
                            <w:pPr>
                              <w:jc w:val="both"/>
                              <w:rPr>
                                <w:noProof/>
                              </w:rPr>
                            </w:pPr>
                            <w:r w:rsidRPr="00344528">
                              <w:rPr>
                                <w:noProof/>
                              </w:rPr>
                              <w:tab/>
                              <w:t xml:space="preserve"> </w:t>
                            </w:r>
                            <w:r w:rsidR="00693F6E">
                              <w:rPr>
                                <w:noProof/>
                              </w:rPr>
                              <w:drawing>
                                <wp:inline distT="0" distB="0" distL="0" distR="0">
                                  <wp:extent cx="251777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775" cy="469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" filled="f" stroked="f" strokeweight=".5pt">
                <v:textbox>
                  <w:txbxContent>
                    <w:p w:rsidR="00881C1D" w:rsidRPr="00344528" w:rsidRDefault="00881C1D" w:rsidP="00344528">
                      <w:pPr>
                        <w:jc w:val="both"/>
                        <w:rPr>
                          <w:noProof/>
                        </w:rPr>
                      </w:pPr>
                      <w:r w:rsidRPr="00344528">
                        <w:rPr>
                          <w:noProof/>
                        </w:rPr>
                        <w:tab/>
                        <w:t xml:space="preserve"> </w:t>
                      </w:r>
                      <w:r w:rsidR="00693F6E">
                        <w:rPr>
                          <w:noProof/>
                        </w:rPr>
                        <w:drawing>
                          <wp:inline distT="0" distB="0" distL="0" distR="0">
                            <wp:extent cx="251777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775" cy="469265"/>
                                    </a:xfrm>
                                    <a:prstGeom prst="rect">
                                      <a:avLst/>
                                    </a:prstGeom>
                                    <a:noFill/>
                                    <a:ln>
                                      <a:noFill/>
                                    </a:ln>
                                  </pic:spPr>
                                </pic:pic>
                              </a:graphicData>
                            </a:graphic>
                          </wp:inline>
                        </w:drawing>
                      </w:r>
                    </w:p>
                  </w:txbxContent>
                </v:textbox>
              </v:shape>
            </w:pict>
          </mc:Fallback>
        </mc:AlternateContent>
      </w:r>
    </w:p>
    <w:p w:rsidR="00881C1D" w:rsidRPr="00B949EB" w:rsidRDefault="00881C1D" w:rsidP="00344528">
      <w:pPr>
        <w:tabs>
          <w:tab w:val="center" w:pos="5400"/>
        </w:tabs>
        <w:suppressAutoHyphens/>
        <w:jc w:val="both"/>
        <w:rPr>
          <w:rFonts w:ascii="Cambria" w:hAnsi="Cambria" w:cs="Cambria"/>
          <w:sz w:val="22"/>
          <w:szCs w:val="22"/>
        </w:rPr>
      </w:pPr>
    </w:p>
    <w:p w:rsidR="00881C1D" w:rsidRPr="00B949EB" w:rsidRDefault="00881C1D" w:rsidP="00344528">
      <w:pPr>
        <w:tabs>
          <w:tab w:val="center" w:pos="5400"/>
        </w:tabs>
        <w:suppressAutoHyphens/>
        <w:jc w:val="both"/>
        <w:rPr>
          <w:rFonts w:ascii="Cambria" w:hAnsi="Cambria" w:cs="Cambria"/>
          <w:sz w:val="22"/>
          <w:szCs w:val="22"/>
        </w:rPr>
      </w:pPr>
    </w:p>
    <w:p w:rsidR="00881C1D" w:rsidRPr="00B949EB" w:rsidRDefault="00881C1D" w:rsidP="00344528">
      <w:pPr>
        <w:tabs>
          <w:tab w:val="center" w:pos="5400"/>
        </w:tabs>
        <w:suppressAutoHyphens/>
        <w:rPr>
          <w:rFonts w:ascii="Cambria" w:hAnsi="Cambria" w:cs="Cambria"/>
          <w:sz w:val="22"/>
          <w:szCs w:val="22"/>
        </w:rPr>
      </w:pPr>
    </w:p>
    <w:p w:rsidR="00881C1D" w:rsidRPr="00B949EB" w:rsidRDefault="00881C1D" w:rsidP="00344528">
      <w:pPr>
        <w:tabs>
          <w:tab w:val="center" w:pos="5400"/>
        </w:tabs>
        <w:suppressAutoHyphens/>
        <w:rPr>
          <w:rFonts w:ascii="Cambria" w:hAnsi="Cambria" w:cs="Cambria"/>
          <w:sz w:val="22"/>
          <w:szCs w:val="22"/>
        </w:rPr>
      </w:pPr>
    </w:p>
    <w:p w:rsidR="00881C1D" w:rsidRPr="00B949EB" w:rsidRDefault="00881C1D" w:rsidP="00344528">
      <w:pPr>
        <w:tabs>
          <w:tab w:val="center" w:pos="5400"/>
        </w:tabs>
        <w:suppressAutoHyphens/>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693F6E" w:rsidP="00344528">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1352550</wp:posOffset>
                </wp:positionH>
                <wp:positionV relativeFrom="paragraph">
                  <wp:posOffset>107315</wp:posOffset>
                </wp:positionV>
                <wp:extent cx="4441190" cy="2181225"/>
                <wp:effectExtent l="0" t="254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1C1D" w:rsidRPr="00F25DC8" w:rsidRDefault="00881C1D" w:rsidP="00344528">
                            <w:pPr>
                              <w:spacing w:line="276" w:lineRule="auto"/>
                              <w:rPr>
                                <w:rFonts w:ascii="Cambria" w:hAnsi="Cambria" w:cs="Cambria"/>
                                <w:b/>
                                <w:bCs/>
                                <w:color w:val="0D0D0D"/>
                                <w:sz w:val="36"/>
                                <w:szCs w:val="36"/>
                              </w:rPr>
                            </w:pPr>
                            <w:r w:rsidRPr="00F25DC8">
                              <w:rPr>
                                <w:rFonts w:ascii="Cambria" w:hAnsi="Cambria" w:cs="Cambria"/>
                                <w:b/>
                                <w:bCs/>
                                <w:color w:val="0D0D0D"/>
                                <w:sz w:val="36"/>
                                <w:szCs w:val="36"/>
                              </w:rPr>
                              <w:t xml:space="preserve">REPORT No. </w:t>
                            </w:r>
                            <w:r w:rsidR="00706FBC">
                              <w:rPr>
                                <w:rFonts w:ascii="Cambria" w:hAnsi="Cambria" w:cs="Cambria"/>
                                <w:b/>
                                <w:bCs/>
                                <w:color w:val="0D0D0D"/>
                                <w:sz w:val="36"/>
                                <w:szCs w:val="36"/>
                              </w:rPr>
                              <w:t>104</w:t>
                            </w:r>
                            <w:r w:rsidRPr="00F25DC8">
                              <w:rPr>
                                <w:rFonts w:ascii="Cambria" w:hAnsi="Cambria" w:cs="Cambria"/>
                                <w:b/>
                                <w:bCs/>
                                <w:color w:val="0D0D0D"/>
                                <w:sz w:val="36"/>
                                <w:szCs w:val="36"/>
                              </w:rPr>
                              <w:t>/18</w:t>
                            </w:r>
                          </w:p>
                          <w:p w:rsidR="00881C1D" w:rsidRPr="00F25DC8" w:rsidRDefault="00881C1D" w:rsidP="00344528">
                            <w:pPr>
                              <w:spacing w:line="276" w:lineRule="auto"/>
                              <w:rPr>
                                <w:rFonts w:ascii="Cambria" w:hAnsi="Cambria" w:cs="Cambria"/>
                                <w:b/>
                                <w:bCs/>
                                <w:color w:val="0D0D0D"/>
                                <w:sz w:val="36"/>
                                <w:szCs w:val="36"/>
                              </w:rPr>
                            </w:pPr>
                            <w:r w:rsidRPr="00F25DC8">
                              <w:rPr>
                                <w:rFonts w:ascii="Cambria" w:hAnsi="Cambria" w:cs="Cambria"/>
                                <w:b/>
                                <w:bCs/>
                                <w:color w:val="0D0D0D"/>
                                <w:sz w:val="36"/>
                                <w:szCs w:val="36"/>
                              </w:rPr>
                              <w:t xml:space="preserve">PETITION 221-08 </w:t>
                            </w:r>
                          </w:p>
                          <w:p w:rsidR="00881C1D" w:rsidRPr="00F25DC8" w:rsidRDefault="00881D9E" w:rsidP="00344528">
                            <w:pPr>
                              <w:spacing w:line="276" w:lineRule="auto"/>
                              <w:rPr>
                                <w:rFonts w:ascii="Cambria" w:hAnsi="Cambria" w:cs="Cambria"/>
                                <w:color w:val="0D0D0D"/>
                              </w:rPr>
                            </w:pPr>
                            <w:r>
                              <w:rPr>
                                <w:rFonts w:ascii="Cambria" w:hAnsi="Cambria" w:cs="Cambria"/>
                                <w:color w:val="0D0D0D"/>
                              </w:rPr>
                              <w:t>REPORT ON ADMISSIBILITY</w:t>
                            </w:r>
                          </w:p>
                          <w:p w:rsidR="00881C1D" w:rsidRPr="00F25DC8" w:rsidRDefault="00881C1D" w:rsidP="00344528">
                            <w:pPr>
                              <w:spacing w:line="276" w:lineRule="auto"/>
                              <w:rPr>
                                <w:rFonts w:ascii="Cambria" w:hAnsi="Cambria" w:cs="Cambria"/>
                                <w:color w:val="0D0D0D"/>
                              </w:rPr>
                            </w:pPr>
                            <w:bookmarkStart w:id="1" w:name="_ftnref1"/>
                          </w:p>
                          <w:p w:rsidR="00881C1D" w:rsidRPr="00F25DC8" w:rsidRDefault="00881C1D" w:rsidP="00344528">
                            <w:pPr>
                              <w:spacing w:line="276" w:lineRule="auto"/>
                              <w:rPr>
                                <w:rFonts w:ascii="Cambria" w:hAnsi="Cambria" w:cs="Cambria"/>
                                <w:color w:val="0D0D0D"/>
                              </w:rPr>
                            </w:pPr>
                            <w:r w:rsidRPr="000158FE">
                              <w:rPr>
                                <w:rFonts w:ascii="Cambria" w:hAnsi="Cambria" w:cs="Cambria"/>
                                <w:color w:val="0D0D0D"/>
                                <w:lang w:val="es-ES"/>
                              </w:rPr>
                              <w:t xml:space="preserve">DELIS PALACIO HERRÓN </w:t>
                            </w:r>
                            <w:r w:rsidR="000158FE" w:rsidRPr="000158FE">
                              <w:rPr>
                                <w:rFonts w:ascii="Cambria" w:hAnsi="Cambria" w:cs="Cambria"/>
                                <w:i/>
                                <w:color w:val="0D0D0D"/>
                                <w:lang w:val="es-ES"/>
                              </w:rPr>
                              <w:t>ET AL.</w:t>
                            </w:r>
                            <w:r w:rsidRPr="000158FE">
                              <w:rPr>
                                <w:rFonts w:ascii="Cambria" w:hAnsi="Cambria" w:cs="Cambria"/>
                                <w:color w:val="0D0D0D"/>
                                <w:lang w:val="es-ES"/>
                              </w:rPr>
                              <w:t xml:space="preserve"> </w:t>
                            </w:r>
                            <w:r w:rsidRPr="00F25DC8">
                              <w:rPr>
                                <w:rFonts w:ascii="Cambria" w:hAnsi="Cambria" w:cs="Cambria"/>
                                <w:color w:val="0D0D0D"/>
                              </w:rPr>
                              <w:t xml:space="preserve">(BOJAYÁ MASSACRE) </w:t>
                            </w:r>
                          </w:p>
                          <w:bookmarkEnd w:id="1"/>
                          <w:p w:rsidR="00881C1D" w:rsidRPr="00F25DC8" w:rsidRDefault="00881C1D" w:rsidP="00344528">
                            <w:pPr>
                              <w:spacing w:line="276" w:lineRule="auto"/>
                              <w:rPr>
                                <w:rFonts w:ascii="Cambria" w:hAnsi="Cambria" w:cs="Cambria"/>
                                <w:color w:val="0D0D0D"/>
                              </w:rPr>
                            </w:pPr>
                            <w:r w:rsidRPr="00F25DC8">
                              <w:rPr>
                                <w:rFonts w:ascii="Cambria" w:hAnsi="Cambria" w:cs="Cambria"/>
                                <w:color w:val="0D0D0D"/>
                              </w:rPr>
                              <w:t>COLOMBIA</w:t>
                            </w:r>
                          </w:p>
                          <w:p w:rsidR="00881C1D" w:rsidRPr="00F25DC8" w:rsidRDefault="00881C1D" w:rsidP="00344528">
                            <w:pP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yUuQIAAMI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DCX&#10;vJS5AgAAwgUAAA4AAAAAAAAAAAAAAAAALgIAAGRycy9lMm9Eb2MueG1sUEsBAi0AFAAGAAgAAAAh&#10;AICKHzfiAAAACgEAAA8AAAAAAAAAAAAAAAAAEwUAAGRycy9kb3ducmV2LnhtbFBLBQYAAAAABAAE&#10;APMAAAAiBgAAAAA=&#10;" filled="f" stroked="f" strokeweight=".5pt">
                <v:textbox>
                  <w:txbxContent>
                    <w:p w:rsidR="00881C1D" w:rsidRPr="00F25DC8" w:rsidRDefault="00881C1D" w:rsidP="00344528">
                      <w:pPr>
                        <w:spacing w:line="276" w:lineRule="auto"/>
                        <w:rPr>
                          <w:rFonts w:ascii="Cambria" w:hAnsi="Cambria" w:cs="Cambria"/>
                          <w:b/>
                          <w:bCs/>
                          <w:color w:val="0D0D0D"/>
                          <w:sz w:val="36"/>
                          <w:szCs w:val="36"/>
                        </w:rPr>
                      </w:pPr>
                      <w:r w:rsidRPr="00F25DC8">
                        <w:rPr>
                          <w:rFonts w:ascii="Cambria" w:hAnsi="Cambria" w:cs="Cambria"/>
                          <w:b/>
                          <w:bCs/>
                          <w:color w:val="0D0D0D"/>
                          <w:sz w:val="36"/>
                          <w:szCs w:val="36"/>
                        </w:rPr>
                        <w:t xml:space="preserve">REPORT No. </w:t>
                      </w:r>
                      <w:r w:rsidR="00706FBC">
                        <w:rPr>
                          <w:rFonts w:ascii="Cambria" w:hAnsi="Cambria" w:cs="Cambria"/>
                          <w:b/>
                          <w:bCs/>
                          <w:color w:val="0D0D0D"/>
                          <w:sz w:val="36"/>
                          <w:szCs w:val="36"/>
                        </w:rPr>
                        <w:t>104</w:t>
                      </w:r>
                      <w:r w:rsidRPr="00F25DC8">
                        <w:rPr>
                          <w:rFonts w:ascii="Cambria" w:hAnsi="Cambria" w:cs="Cambria"/>
                          <w:b/>
                          <w:bCs/>
                          <w:color w:val="0D0D0D"/>
                          <w:sz w:val="36"/>
                          <w:szCs w:val="36"/>
                        </w:rPr>
                        <w:t>/18</w:t>
                      </w:r>
                    </w:p>
                    <w:p w:rsidR="00881C1D" w:rsidRPr="00F25DC8" w:rsidRDefault="00881C1D" w:rsidP="00344528">
                      <w:pPr>
                        <w:spacing w:line="276" w:lineRule="auto"/>
                        <w:rPr>
                          <w:rFonts w:ascii="Cambria" w:hAnsi="Cambria" w:cs="Cambria"/>
                          <w:b/>
                          <w:bCs/>
                          <w:color w:val="0D0D0D"/>
                          <w:sz w:val="36"/>
                          <w:szCs w:val="36"/>
                        </w:rPr>
                      </w:pPr>
                      <w:r w:rsidRPr="00F25DC8">
                        <w:rPr>
                          <w:rFonts w:ascii="Cambria" w:hAnsi="Cambria" w:cs="Cambria"/>
                          <w:b/>
                          <w:bCs/>
                          <w:color w:val="0D0D0D"/>
                          <w:sz w:val="36"/>
                          <w:szCs w:val="36"/>
                        </w:rPr>
                        <w:t xml:space="preserve">PETITION 221-08 </w:t>
                      </w:r>
                    </w:p>
                    <w:p w:rsidR="00881C1D" w:rsidRPr="00F25DC8" w:rsidRDefault="00881D9E" w:rsidP="00344528">
                      <w:pPr>
                        <w:spacing w:line="276" w:lineRule="auto"/>
                        <w:rPr>
                          <w:rFonts w:ascii="Cambria" w:hAnsi="Cambria" w:cs="Cambria"/>
                          <w:color w:val="0D0D0D"/>
                        </w:rPr>
                      </w:pPr>
                      <w:r>
                        <w:rPr>
                          <w:rFonts w:ascii="Cambria" w:hAnsi="Cambria" w:cs="Cambria"/>
                          <w:color w:val="0D0D0D"/>
                        </w:rPr>
                        <w:t>REPORT ON ADMISSIBILITY</w:t>
                      </w:r>
                    </w:p>
                    <w:p w:rsidR="00881C1D" w:rsidRPr="00F25DC8" w:rsidRDefault="00881C1D" w:rsidP="00344528">
                      <w:pPr>
                        <w:spacing w:line="276" w:lineRule="auto"/>
                        <w:rPr>
                          <w:rFonts w:ascii="Cambria" w:hAnsi="Cambria" w:cs="Cambria"/>
                          <w:color w:val="0D0D0D"/>
                        </w:rPr>
                      </w:pPr>
                      <w:bookmarkStart w:id="2" w:name="_ftnref1"/>
                    </w:p>
                    <w:p w:rsidR="00881C1D" w:rsidRPr="00F25DC8" w:rsidRDefault="00881C1D" w:rsidP="00344528">
                      <w:pPr>
                        <w:spacing w:line="276" w:lineRule="auto"/>
                        <w:rPr>
                          <w:rFonts w:ascii="Cambria" w:hAnsi="Cambria" w:cs="Cambria"/>
                          <w:color w:val="0D0D0D"/>
                        </w:rPr>
                      </w:pPr>
                      <w:r w:rsidRPr="000158FE">
                        <w:rPr>
                          <w:rFonts w:ascii="Cambria" w:hAnsi="Cambria" w:cs="Cambria"/>
                          <w:color w:val="0D0D0D"/>
                          <w:lang w:val="es-ES"/>
                        </w:rPr>
                        <w:t xml:space="preserve">DELIS PALACIO HERRÓN </w:t>
                      </w:r>
                      <w:r w:rsidR="000158FE" w:rsidRPr="000158FE">
                        <w:rPr>
                          <w:rFonts w:ascii="Cambria" w:hAnsi="Cambria" w:cs="Cambria"/>
                          <w:i/>
                          <w:color w:val="0D0D0D"/>
                          <w:lang w:val="es-ES"/>
                        </w:rPr>
                        <w:t>ET AL.</w:t>
                      </w:r>
                      <w:r w:rsidRPr="000158FE">
                        <w:rPr>
                          <w:rFonts w:ascii="Cambria" w:hAnsi="Cambria" w:cs="Cambria"/>
                          <w:color w:val="0D0D0D"/>
                          <w:lang w:val="es-ES"/>
                        </w:rPr>
                        <w:t xml:space="preserve"> </w:t>
                      </w:r>
                      <w:r w:rsidRPr="00F25DC8">
                        <w:rPr>
                          <w:rFonts w:ascii="Cambria" w:hAnsi="Cambria" w:cs="Cambria"/>
                          <w:color w:val="0D0D0D"/>
                        </w:rPr>
                        <w:t xml:space="preserve">(BOJAYÁ MASSACRE) </w:t>
                      </w:r>
                    </w:p>
                    <w:bookmarkEnd w:id="2"/>
                    <w:p w:rsidR="00881C1D" w:rsidRPr="00F25DC8" w:rsidRDefault="00881C1D" w:rsidP="00344528">
                      <w:pPr>
                        <w:spacing w:line="276" w:lineRule="auto"/>
                        <w:rPr>
                          <w:rFonts w:ascii="Cambria" w:hAnsi="Cambria" w:cs="Cambria"/>
                          <w:color w:val="0D0D0D"/>
                        </w:rPr>
                      </w:pPr>
                      <w:r w:rsidRPr="00F25DC8">
                        <w:rPr>
                          <w:rFonts w:ascii="Cambria" w:hAnsi="Cambria" w:cs="Cambria"/>
                          <w:color w:val="0D0D0D"/>
                        </w:rPr>
                        <w:t>COLOMBIA</w:t>
                      </w:r>
                    </w:p>
                    <w:p w:rsidR="00881C1D" w:rsidRPr="00F25DC8" w:rsidRDefault="00881C1D" w:rsidP="00344528">
                      <w:pPr>
                        <w:rPr>
                          <w:color w:val="0D0D0D"/>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164465</wp:posOffset>
                </wp:positionV>
                <wp:extent cx="1390650" cy="1377315"/>
                <wp:effectExtent l="0" t="2540" r="0" b="12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1C1D" w:rsidRPr="00F64590" w:rsidRDefault="00881C1D" w:rsidP="00344528">
                            <w:pPr>
                              <w:spacing w:line="276" w:lineRule="auto"/>
                              <w:jc w:val="right"/>
                              <w:rPr>
                                <w:rFonts w:ascii="Calibri" w:hAnsi="Calibri" w:cs="Calibri"/>
                                <w:color w:val="FFFFFF"/>
                                <w:sz w:val="22"/>
                                <w:szCs w:val="22"/>
                                <w:lang w:val="pt-BR"/>
                              </w:rPr>
                            </w:pPr>
                            <w:r w:rsidRPr="00F64590">
                              <w:rPr>
                                <w:rFonts w:ascii="Calibri" w:hAnsi="Calibri" w:cs="Calibri"/>
                                <w:color w:val="FFFFFF"/>
                                <w:sz w:val="22"/>
                                <w:szCs w:val="22"/>
                                <w:lang w:val="pt-BR"/>
                              </w:rPr>
                              <w:t>OEA/Ser.L/V/II.</w:t>
                            </w:r>
                          </w:p>
                          <w:p w:rsidR="00881C1D" w:rsidRPr="00706FBC" w:rsidRDefault="00881C1D" w:rsidP="00344528">
                            <w:pPr>
                              <w:spacing w:line="276" w:lineRule="auto"/>
                              <w:jc w:val="right"/>
                              <w:rPr>
                                <w:rFonts w:ascii="Calibri" w:hAnsi="Calibri" w:cs="Calibri"/>
                                <w:color w:val="FFFFFF"/>
                                <w:sz w:val="22"/>
                                <w:szCs w:val="22"/>
                              </w:rPr>
                            </w:pPr>
                            <w:r w:rsidRPr="00706FBC">
                              <w:rPr>
                                <w:rFonts w:ascii="Calibri" w:hAnsi="Calibri" w:cs="Calibri"/>
                                <w:color w:val="FFFFFF"/>
                                <w:sz w:val="22"/>
                                <w:szCs w:val="22"/>
                              </w:rPr>
                              <w:t xml:space="preserve">Doc. </w:t>
                            </w:r>
                            <w:r w:rsidR="00706FBC">
                              <w:rPr>
                                <w:rFonts w:ascii="Calibri" w:hAnsi="Calibri" w:cs="Calibri"/>
                                <w:color w:val="FFFFFF"/>
                                <w:sz w:val="22"/>
                                <w:szCs w:val="22"/>
                              </w:rPr>
                              <w:t>117</w:t>
                            </w:r>
                          </w:p>
                          <w:p w:rsidR="00881C1D" w:rsidRPr="00F25DC8" w:rsidRDefault="00913BEF" w:rsidP="00344528">
                            <w:pPr>
                              <w:spacing w:line="276" w:lineRule="auto"/>
                              <w:jc w:val="right"/>
                              <w:rPr>
                                <w:rFonts w:ascii="Calibri" w:hAnsi="Calibri" w:cs="Calibri"/>
                                <w:color w:val="FFFFFF"/>
                                <w:sz w:val="22"/>
                                <w:szCs w:val="22"/>
                              </w:rPr>
                            </w:pPr>
                            <w:r>
                              <w:rPr>
                                <w:rFonts w:ascii="Calibri" w:hAnsi="Calibri" w:cs="Calibri"/>
                                <w:color w:val="FFFFFF"/>
                                <w:sz w:val="22"/>
                                <w:szCs w:val="22"/>
                              </w:rPr>
                              <w:t xml:space="preserve">20 </w:t>
                            </w:r>
                            <w:r w:rsidR="00706FBC">
                              <w:rPr>
                                <w:rFonts w:ascii="Calibri" w:hAnsi="Calibri" w:cs="Calibri"/>
                                <w:color w:val="FFFFFF"/>
                                <w:sz w:val="22"/>
                                <w:szCs w:val="22"/>
                              </w:rPr>
                              <w:t>September</w:t>
                            </w:r>
                            <w:r>
                              <w:rPr>
                                <w:rFonts w:ascii="Calibri" w:hAnsi="Calibri" w:cs="Calibri"/>
                                <w:color w:val="FFFFFF"/>
                                <w:sz w:val="22"/>
                                <w:szCs w:val="22"/>
                              </w:rPr>
                              <w:t xml:space="preserve"> </w:t>
                            </w:r>
                            <w:r w:rsidR="00881C1D" w:rsidRPr="00F25DC8">
                              <w:rPr>
                                <w:rFonts w:ascii="Calibri" w:hAnsi="Calibri" w:cs="Calibri"/>
                                <w:color w:val="FFFFFF"/>
                                <w:sz w:val="22"/>
                                <w:szCs w:val="22"/>
                              </w:rPr>
                              <w:t>2018</w:t>
                            </w:r>
                          </w:p>
                          <w:p w:rsidR="00881C1D" w:rsidRPr="00F25DC8" w:rsidRDefault="00881C1D" w:rsidP="00344528">
                            <w:pPr>
                              <w:spacing w:line="276" w:lineRule="auto"/>
                              <w:jc w:val="right"/>
                              <w:rPr>
                                <w:rFonts w:ascii="Calibri" w:hAnsi="Calibri" w:cs="Calibri"/>
                                <w:color w:val="FFFFFF"/>
                                <w:sz w:val="22"/>
                                <w:szCs w:val="22"/>
                              </w:rPr>
                            </w:pPr>
                            <w:r w:rsidRPr="00F25DC8">
                              <w:rPr>
                                <w:rFonts w:ascii="Calibri" w:hAnsi="Calibri" w:cs="Calibri"/>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AJuA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DnDuAJ&#10;uAIAAMEFAAAOAAAAAAAAAAAAAAAAAC4CAABkcnMvZTJvRG9jLnhtbFBLAQItABQABgAIAAAAIQCp&#10;T6R34QAAAAoBAAAPAAAAAAAAAAAAAAAAABIFAABkcnMvZG93bnJldi54bWxQSwUGAAAAAAQABADz&#10;AAAAIAYAAAAA&#10;" filled="f" stroked="f" strokeweight=".5pt">
                <v:textbox>
                  <w:txbxContent>
                    <w:p w:rsidR="00881C1D" w:rsidRPr="00F64590" w:rsidRDefault="00881C1D" w:rsidP="00344528">
                      <w:pPr>
                        <w:spacing w:line="276" w:lineRule="auto"/>
                        <w:jc w:val="right"/>
                        <w:rPr>
                          <w:rFonts w:ascii="Calibri" w:hAnsi="Calibri" w:cs="Calibri"/>
                          <w:color w:val="FFFFFF"/>
                          <w:sz w:val="22"/>
                          <w:szCs w:val="22"/>
                          <w:lang w:val="pt-BR"/>
                        </w:rPr>
                      </w:pPr>
                      <w:r w:rsidRPr="00F64590">
                        <w:rPr>
                          <w:rFonts w:ascii="Calibri" w:hAnsi="Calibri" w:cs="Calibri"/>
                          <w:color w:val="FFFFFF"/>
                          <w:sz w:val="22"/>
                          <w:szCs w:val="22"/>
                          <w:lang w:val="pt-BR"/>
                        </w:rPr>
                        <w:t>OEA/Ser.L/V/II.</w:t>
                      </w:r>
                    </w:p>
                    <w:p w:rsidR="00881C1D" w:rsidRPr="00706FBC" w:rsidRDefault="00881C1D" w:rsidP="00344528">
                      <w:pPr>
                        <w:spacing w:line="276" w:lineRule="auto"/>
                        <w:jc w:val="right"/>
                        <w:rPr>
                          <w:rFonts w:ascii="Calibri" w:hAnsi="Calibri" w:cs="Calibri"/>
                          <w:color w:val="FFFFFF"/>
                          <w:sz w:val="22"/>
                          <w:szCs w:val="22"/>
                        </w:rPr>
                      </w:pPr>
                      <w:r w:rsidRPr="00706FBC">
                        <w:rPr>
                          <w:rFonts w:ascii="Calibri" w:hAnsi="Calibri" w:cs="Calibri"/>
                          <w:color w:val="FFFFFF"/>
                          <w:sz w:val="22"/>
                          <w:szCs w:val="22"/>
                        </w:rPr>
                        <w:t xml:space="preserve">Doc. </w:t>
                      </w:r>
                      <w:r w:rsidR="00706FBC">
                        <w:rPr>
                          <w:rFonts w:ascii="Calibri" w:hAnsi="Calibri" w:cs="Calibri"/>
                          <w:color w:val="FFFFFF"/>
                          <w:sz w:val="22"/>
                          <w:szCs w:val="22"/>
                        </w:rPr>
                        <w:t>117</w:t>
                      </w:r>
                    </w:p>
                    <w:p w:rsidR="00881C1D" w:rsidRPr="00F25DC8" w:rsidRDefault="00913BEF" w:rsidP="00344528">
                      <w:pPr>
                        <w:spacing w:line="276" w:lineRule="auto"/>
                        <w:jc w:val="right"/>
                        <w:rPr>
                          <w:rFonts w:ascii="Calibri" w:hAnsi="Calibri" w:cs="Calibri"/>
                          <w:color w:val="FFFFFF"/>
                          <w:sz w:val="22"/>
                          <w:szCs w:val="22"/>
                        </w:rPr>
                      </w:pPr>
                      <w:r>
                        <w:rPr>
                          <w:rFonts w:ascii="Calibri" w:hAnsi="Calibri" w:cs="Calibri"/>
                          <w:color w:val="FFFFFF"/>
                          <w:sz w:val="22"/>
                          <w:szCs w:val="22"/>
                        </w:rPr>
                        <w:t xml:space="preserve">20 </w:t>
                      </w:r>
                      <w:r w:rsidR="00706FBC">
                        <w:rPr>
                          <w:rFonts w:ascii="Calibri" w:hAnsi="Calibri" w:cs="Calibri"/>
                          <w:color w:val="FFFFFF"/>
                          <w:sz w:val="22"/>
                          <w:szCs w:val="22"/>
                        </w:rPr>
                        <w:t>September</w:t>
                      </w:r>
                      <w:r>
                        <w:rPr>
                          <w:rFonts w:ascii="Calibri" w:hAnsi="Calibri" w:cs="Calibri"/>
                          <w:color w:val="FFFFFF"/>
                          <w:sz w:val="22"/>
                          <w:szCs w:val="22"/>
                        </w:rPr>
                        <w:t xml:space="preserve"> </w:t>
                      </w:r>
                      <w:r w:rsidR="00881C1D" w:rsidRPr="00F25DC8">
                        <w:rPr>
                          <w:rFonts w:ascii="Calibri" w:hAnsi="Calibri" w:cs="Calibri"/>
                          <w:color w:val="FFFFFF"/>
                          <w:sz w:val="22"/>
                          <w:szCs w:val="22"/>
                        </w:rPr>
                        <w:t>2018</w:t>
                      </w:r>
                    </w:p>
                    <w:p w:rsidR="00881C1D" w:rsidRPr="00F25DC8" w:rsidRDefault="00881C1D" w:rsidP="00344528">
                      <w:pPr>
                        <w:spacing w:line="276" w:lineRule="auto"/>
                        <w:jc w:val="right"/>
                        <w:rPr>
                          <w:rFonts w:ascii="Calibri" w:hAnsi="Calibri" w:cs="Calibri"/>
                          <w:color w:val="FFFFFF"/>
                          <w:sz w:val="22"/>
                          <w:szCs w:val="22"/>
                        </w:rPr>
                      </w:pPr>
                      <w:r w:rsidRPr="00F25DC8">
                        <w:rPr>
                          <w:rFonts w:ascii="Calibri" w:hAnsi="Calibri" w:cs="Calibri"/>
                          <w:color w:val="FFFFFF"/>
                          <w:sz w:val="22"/>
                          <w:szCs w:val="22"/>
                        </w:rPr>
                        <w:t>Original: Spanish</w:t>
                      </w:r>
                    </w:p>
                  </w:txbxContent>
                </v:textbox>
              </v:shape>
            </w:pict>
          </mc:Fallback>
        </mc:AlternateContent>
      </w: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22"/>
          <w:szCs w:val="22"/>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693F6E" w:rsidP="00344528">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1341755</wp:posOffset>
                </wp:positionH>
                <wp:positionV relativeFrom="paragraph">
                  <wp:posOffset>22860</wp:posOffset>
                </wp:positionV>
                <wp:extent cx="4933950" cy="664845"/>
                <wp:effectExtent l="0" t="3810" r="127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1C1D" w:rsidRPr="00F25DC8" w:rsidRDefault="00881C1D" w:rsidP="00344528">
                            <w:pPr>
                              <w:tabs>
                                <w:tab w:val="center" w:pos="5400"/>
                              </w:tabs>
                              <w:suppressAutoHyphens/>
                              <w:spacing w:before="60"/>
                              <w:rPr>
                                <w:rFonts w:ascii="Cambria" w:hAnsi="Cambria" w:cs="Cambria"/>
                                <w:color w:val="0D0D0D"/>
                                <w:sz w:val="18"/>
                                <w:szCs w:val="18"/>
                              </w:rPr>
                            </w:pPr>
                            <w:r w:rsidRPr="00F25DC8">
                              <w:rPr>
                                <w:rFonts w:ascii="Cambria" w:hAnsi="Cambria" w:cs="Cambria"/>
                                <w:color w:val="0D0D0D"/>
                                <w:sz w:val="18"/>
                                <w:szCs w:val="18"/>
                              </w:rPr>
                              <w:t xml:space="preserve">Approved </w:t>
                            </w:r>
                            <w:r w:rsidR="00706FBC">
                              <w:rPr>
                                <w:rFonts w:ascii="Cambria" w:hAnsi="Cambria" w:cs="Cambria"/>
                                <w:color w:val="0D0D0D"/>
                                <w:sz w:val="18"/>
                                <w:szCs w:val="18"/>
                              </w:rPr>
                              <w:t xml:space="preserve">electronically </w:t>
                            </w:r>
                            <w:r w:rsidRPr="00F25DC8">
                              <w:rPr>
                                <w:rFonts w:ascii="Cambria" w:hAnsi="Cambria" w:cs="Cambria"/>
                                <w:color w:val="0D0D0D"/>
                                <w:sz w:val="18"/>
                                <w:szCs w:val="18"/>
                              </w:rPr>
                              <w:t xml:space="preserve">by the Commission </w:t>
                            </w:r>
                            <w:r w:rsidR="00881D9E">
                              <w:rPr>
                                <w:rFonts w:ascii="Cambria" w:hAnsi="Cambria" w:cs="Cambria"/>
                                <w:color w:val="0D0D0D"/>
                                <w:sz w:val="18"/>
                                <w:szCs w:val="18"/>
                              </w:rPr>
                              <w:t xml:space="preserve">on </w:t>
                            </w:r>
                            <w:r w:rsidR="00706FBC">
                              <w:rPr>
                                <w:rFonts w:ascii="Cambria" w:hAnsi="Cambria" w:cs="Cambria"/>
                                <w:color w:val="0D0D0D"/>
                                <w:sz w:val="18"/>
                                <w:szCs w:val="18"/>
                              </w:rPr>
                              <w:t>September 20</w:t>
                            </w:r>
                            <w:r w:rsidR="00881D9E">
                              <w:rPr>
                                <w:rFonts w:ascii="Cambria" w:hAnsi="Cambria" w:cs="Cambria"/>
                                <w:color w:val="0D0D0D"/>
                                <w:sz w:val="18"/>
                                <w:szCs w:val="18"/>
                              </w:rPr>
                              <w:t>, 2018</w:t>
                            </w:r>
                            <w:r w:rsidR="00A64746">
                              <w:rPr>
                                <w:rFonts w:ascii="Cambria" w:hAnsi="Cambria" w:cs="Cambria"/>
                                <w:color w:val="0D0D0D"/>
                                <w:sz w:val="18"/>
                                <w:szCs w:val="18"/>
                              </w:rPr>
                              <w:t>.</w:t>
                            </w:r>
                            <w:r w:rsidR="00881D9E">
                              <w:rPr>
                                <w:rFonts w:ascii="Cambria" w:hAnsi="Cambria" w:cs="Cambria"/>
                                <w:color w:val="0D0D0D"/>
                                <w:sz w:val="18"/>
                                <w:szCs w:val="18"/>
                              </w:rPr>
                              <w:br/>
                            </w:r>
                          </w:p>
                          <w:p w:rsidR="00881C1D" w:rsidRPr="00344528" w:rsidRDefault="00881C1D" w:rsidP="00344528">
                            <w:pPr>
                              <w:tabs>
                                <w:tab w:val="center" w:pos="5400"/>
                              </w:tabs>
                              <w:suppressAutoHyphens/>
                              <w:spacing w:before="60"/>
                              <w:rPr>
                                <w:rFonts w:ascii="Calibri" w:hAnsi="Calibri" w:cs="Calibri"/>
                                <w:noProof/>
                                <w:color w:val="0D0D0D"/>
                                <w:sz w:val="20"/>
                                <w:szCs w:val="20"/>
                              </w:rPr>
                            </w:pPr>
                          </w:p>
                          <w:p w:rsidR="00881C1D" w:rsidRPr="00344528" w:rsidRDefault="00881C1D" w:rsidP="00344528">
                            <w:pPr>
                              <w:tabs>
                                <w:tab w:val="center" w:pos="5400"/>
                              </w:tabs>
                              <w:suppressAutoHyphens/>
                              <w:spacing w:before="60"/>
                              <w:rPr>
                                <w:rFonts w:ascii="Calibri" w:hAnsi="Calibri" w:cs="Calibri"/>
                                <w:noProof/>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xlNcq2AgAA&#10;wAUAAA4AAAAAAAAAAAAAAAAALgIAAGRycy9lMm9Eb2MueG1sUEsBAi0AFAAGAAgAAAAhADRfRQzf&#10;AAAACQEAAA8AAAAAAAAAAAAAAAAAEAUAAGRycy9kb3ducmV2LnhtbFBLBQYAAAAABAAEAPMAAAAc&#10;BgAAAAA=&#10;" filled="f" stroked="f" strokeweight=".5pt">
                <v:textbox>
                  <w:txbxContent>
                    <w:p w:rsidR="00881C1D" w:rsidRPr="00F25DC8" w:rsidRDefault="00881C1D" w:rsidP="00344528">
                      <w:pPr>
                        <w:tabs>
                          <w:tab w:val="center" w:pos="5400"/>
                        </w:tabs>
                        <w:suppressAutoHyphens/>
                        <w:spacing w:before="60"/>
                        <w:rPr>
                          <w:rFonts w:ascii="Cambria" w:hAnsi="Cambria" w:cs="Cambria"/>
                          <w:color w:val="0D0D0D"/>
                          <w:sz w:val="18"/>
                          <w:szCs w:val="18"/>
                        </w:rPr>
                      </w:pPr>
                      <w:r w:rsidRPr="00F25DC8">
                        <w:rPr>
                          <w:rFonts w:ascii="Cambria" w:hAnsi="Cambria" w:cs="Cambria"/>
                          <w:color w:val="0D0D0D"/>
                          <w:sz w:val="18"/>
                          <w:szCs w:val="18"/>
                        </w:rPr>
                        <w:t xml:space="preserve">Approved </w:t>
                      </w:r>
                      <w:r w:rsidR="00706FBC">
                        <w:rPr>
                          <w:rFonts w:ascii="Cambria" w:hAnsi="Cambria" w:cs="Cambria"/>
                          <w:color w:val="0D0D0D"/>
                          <w:sz w:val="18"/>
                          <w:szCs w:val="18"/>
                        </w:rPr>
                        <w:t xml:space="preserve">electronically </w:t>
                      </w:r>
                      <w:r w:rsidRPr="00F25DC8">
                        <w:rPr>
                          <w:rFonts w:ascii="Cambria" w:hAnsi="Cambria" w:cs="Cambria"/>
                          <w:color w:val="0D0D0D"/>
                          <w:sz w:val="18"/>
                          <w:szCs w:val="18"/>
                        </w:rPr>
                        <w:t xml:space="preserve">by the Commission </w:t>
                      </w:r>
                      <w:r w:rsidR="00881D9E">
                        <w:rPr>
                          <w:rFonts w:ascii="Cambria" w:hAnsi="Cambria" w:cs="Cambria"/>
                          <w:color w:val="0D0D0D"/>
                          <w:sz w:val="18"/>
                          <w:szCs w:val="18"/>
                        </w:rPr>
                        <w:t xml:space="preserve">on </w:t>
                      </w:r>
                      <w:r w:rsidR="00706FBC">
                        <w:rPr>
                          <w:rFonts w:ascii="Cambria" w:hAnsi="Cambria" w:cs="Cambria"/>
                          <w:color w:val="0D0D0D"/>
                          <w:sz w:val="18"/>
                          <w:szCs w:val="18"/>
                        </w:rPr>
                        <w:t>September 20</w:t>
                      </w:r>
                      <w:r w:rsidR="00881D9E">
                        <w:rPr>
                          <w:rFonts w:ascii="Cambria" w:hAnsi="Cambria" w:cs="Cambria"/>
                          <w:color w:val="0D0D0D"/>
                          <w:sz w:val="18"/>
                          <w:szCs w:val="18"/>
                        </w:rPr>
                        <w:t>, 2018</w:t>
                      </w:r>
                      <w:r w:rsidR="00A64746">
                        <w:rPr>
                          <w:rFonts w:ascii="Cambria" w:hAnsi="Cambria" w:cs="Cambria"/>
                          <w:color w:val="0D0D0D"/>
                          <w:sz w:val="18"/>
                          <w:szCs w:val="18"/>
                        </w:rPr>
                        <w:t>.</w:t>
                      </w:r>
                      <w:r w:rsidR="00881D9E">
                        <w:rPr>
                          <w:rFonts w:ascii="Cambria" w:hAnsi="Cambria" w:cs="Cambria"/>
                          <w:color w:val="0D0D0D"/>
                          <w:sz w:val="18"/>
                          <w:szCs w:val="18"/>
                        </w:rPr>
                        <w:br/>
                      </w:r>
                    </w:p>
                    <w:p w:rsidR="00881C1D" w:rsidRPr="00344528" w:rsidRDefault="00881C1D" w:rsidP="00344528">
                      <w:pPr>
                        <w:tabs>
                          <w:tab w:val="center" w:pos="5400"/>
                        </w:tabs>
                        <w:suppressAutoHyphens/>
                        <w:spacing w:before="60"/>
                        <w:rPr>
                          <w:rFonts w:ascii="Calibri" w:hAnsi="Calibri" w:cs="Calibri"/>
                          <w:noProof/>
                          <w:color w:val="0D0D0D"/>
                          <w:sz w:val="20"/>
                          <w:szCs w:val="20"/>
                        </w:rPr>
                      </w:pPr>
                    </w:p>
                    <w:p w:rsidR="00881C1D" w:rsidRPr="00344528" w:rsidRDefault="00881C1D" w:rsidP="00344528">
                      <w:pPr>
                        <w:tabs>
                          <w:tab w:val="center" w:pos="5400"/>
                        </w:tabs>
                        <w:suppressAutoHyphens/>
                        <w:spacing w:before="60"/>
                        <w:rPr>
                          <w:rFonts w:ascii="Calibri" w:hAnsi="Calibri" w:cs="Calibri"/>
                          <w:noProof/>
                          <w:color w:val="FFFFFF"/>
                          <w:sz w:val="16"/>
                          <w:szCs w:val="16"/>
                        </w:rPr>
                      </w:pPr>
                    </w:p>
                  </w:txbxContent>
                </v:textbox>
              </v:shape>
            </w:pict>
          </mc:Fallback>
        </mc:AlternateContent>
      </w: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693F6E" w:rsidP="00344528">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1333500</wp:posOffset>
                </wp:positionH>
                <wp:positionV relativeFrom="paragraph">
                  <wp:posOffset>5715</wp:posOffset>
                </wp:positionV>
                <wp:extent cx="4943475" cy="657225"/>
                <wp:effectExtent l="0" t="0" r="0" b="381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1C1D" w:rsidRPr="00F25DC8" w:rsidRDefault="00881C1D" w:rsidP="00344528">
                            <w:pPr>
                              <w:spacing w:line="276" w:lineRule="auto"/>
                              <w:rPr>
                                <w:rFonts w:ascii="Cambria" w:hAnsi="Cambria" w:cs="Cambria"/>
                                <w:color w:val="595959"/>
                                <w:sz w:val="18"/>
                                <w:szCs w:val="18"/>
                              </w:rPr>
                            </w:pPr>
                            <w:r w:rsidRPr="00F25DC8">
                              <w:rPr>
                                <w:rFonts w:ascii="Cambria" w:hAnsi="Cambria" w:cs="Cambria"/>
                                <w:b/>
                                <w:bCs/>
                                <w:color w:val="595959"/>
                                <w:sz w:val="18"/>
                                <w:szCs w:val="18"/>
                              </w:rPr>
                              <w:t xml:space="preserve">Cite as: </w:t>
                            </w:r>
                            <w:r>
                              <w:rPr>
                                <w:rFonts w:ascii="Cambria" w:hAnsi="Cambria" w:cs="Cambria"/>
                                <w:color w:val="595959"/>
                                <w:sz w:val="18"/>
                                <w:szCs w:val="18"/>
                              </w:rPr>
                              <w:t xml:space="preserve">IACHR, Report No. </w:t>
                            </w:r>
                            <w:r w:rsidR="00706FBC">
                              <w:rPr>
                                <w:rFonts w:ascii="Cambria" w:hAnsi="Cambria" w:cs="Cambria"/>
                                <w:color w:val="595959"/>
                                <w:sz w:val="18"/>
                                <w:szCs w:val="18"/>
                              </w:rPr>
                              <w:t>104</w:t>
                            </w:r>
                            <w:r>
                              <w:rPr>
                                <w:rFonts w:ascii="Cambria" w:hAnsi="Cambria" w:cs="Cambria"/>
                                <w:color w:val="595959"/>
                                <w:sz w:val="18"/>
                                <w:szCs w:val="18"/>
                              </w:rPr>
                              <w:t>/18</w:t>
                            </w:r>
                            <w:r w:rsidRPr="00F25DC8">
                              <w:rPr>
                                <w:rFonts w:ascii="Cambria" w:hAnsi="Cambria" w:cs="Cambria"/>
                                <w:color w:val="595959"/>
                                <w:sz w:val="18"/>
                                <w:szCs w:val="18"/>
                              </w:rPr>
                              <w:t>, Petition 221-08. Admissibi</w:t>
                            </w:r>
                            <w:r>
                              <w:rPr>
                                <w:rFonts w:ascii="Cambria" w:hAnsi="Cambria" w:cs="Cambria"/>
                                <w:color w:val="595959"/>
                                <w:sz w:val="18"/>
                                <w:szCs w:val="18"/>
                              </w:rPr>
                              <w:t xml:space="preserve">lity. Delis Palacio </w:t>
                            </w:r>
                            <w:proofErr w:type="spellStart"/>
                            <w:r>
                              <w:rPr>
                                <w:rFonts w:ascii="Cambria" w:hAnsi="Cambria" w:cs="Cambria"/>
                                <w:color w:val="595959"/>
                                <w:sz w:val="18"/>
                                <w:szCs w:val="18"/>
                              </w:rPr>
                              <w:t>Herrón</w:t>
                            </w:r>
                            <w:proofErr w:type="spellEnd"/>
                            <w:r>
                              <w:rPr>
                                <w:rFonts w:ascii="Cambria" w:hAnsi="Cambria" w:cs="Cambria"/>
                                <w:color w:val="595959"/>
                                <w:sz w:val="18"/>
                                <w:szCs w:val="18"/>
                              </w:rPr>
                              <w:t xml:space="preserve"> and O</w:t>
                            </w:r>
                            <w:r w:rsidRPr="00F25DC8">
                              <w:rPr>
                                <w:rFonts w:ascii="Cambria" w:hAnsi="Cambria" w:cs="Cambria"/>
                                <w:color w:val="595959"/>
                                <w:sz w:val="18"/>
                                <w:szCs w:val="18"/>
                              </w:rPr>
                              <w:t>thers (</w:t>
                            </w:r>
                            <w:proofErr w:type="spellStart"/>
                            <w:r w:rsidRPr="00F25DC8">
                              <w:rPr>
                                <w:rFonts w:ascii="Cambria" w:hAnsi="Cambria" w:cs="Cambria"/>
                                <w:color w:val="595959"/>
                                <w:sz w:val="18"/>
                                <w:szCs w:val="18"/>
                              </w:rPr>
                              <w:t>Bojayá</w:t>
                            </w:r>
                            <w:proofErr w:type="spellEnd"/>
                            <w:r w:rsidRPr="00F25DC8">
                              <w:rPr>
                                <w:rFonts w:ascii="Cambria" w:hAnsi="Cambria" w:cs="Cambria"/>
                                <w:color w:val="595959"/>
                                <w:sz w:val="18"/>
                                <w:szCs w:val="18"/>
                              </w:rPr>
                              <w:t xml:space="preserve"> Massacre). Colombia. </w:t>
                            </w:r>
                            <w:r w:rsidR="00706FBC" w:rsidRPr="00706FBC">
                              <w:rPr>
                                <w:rFonts w:ascii="Cambria" w:hAnsi="Cambria" w:cs="Cambria"/>
                                <w:color w:val="595959"/>
                                <w:sz w:val="18"/>
                                <w:szCs w:val="18"/>
                              </w:rPr>
                              <w:t>September 20, 2018</w:t>
                            </w:r>
                            <w:r w:rsidRPr="00F25DC8">
                              <w:rPr>
                                <w:rFonts w:ascii="Cambria" w:hAnsi="Cambria" w:cs="Cambria"/>
                                <w:color w:val="595959"/>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2LuA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" filled="f" stroked="f" strokeweight=".5pt">
                <v:textbox>
                  <w:txbxContent>
                    <w:p w:rsidR="00881C1D" w:rsidRPr="00F25DC8" w:rsidRDefault="00881C1D" w:rsidP="00344528">
                      <w:pPr>
                        <w:spacing w:line="276" w:lineRule="auto"/>
                        <w:rPr>
                          <w:rFonts w:ascii="Cambria" w:hAnsi="Cambria" w:cs="Cambria"/>
                          <w:color w:val="595959"/>
                          <w:sz w:val="18"/>
                          <w:szCs w:val="18"/>
                        </w:rPr>
                      </w:pPr>
                      <w:r w:rsidRPr="00F25DC8">
                        <w:rPr>
                          <w:rFonts w:ascii="Cambria" w:hAnsi="Cambria" w:cs="Cambria"/>
                          <w:b/>
                          <w:bCs/>
                          <w:color w:val="595959"/>
                          <w:sz w:val="18"/>
                          <w:szCs w:val="18"/>
                        </w:rPr>
                        <w:t xml:space="preserve">Cite as: </w:t>
                      </w:r>
                      <w:r>
                        <w:rPr>
                          <w:rFonts w:ascii="Cambria" w:hAnsi="Cambria" w:cs="Cambria"/>
                          <w:color w:val="595959"/>
                          <w:sz w:val="18"/>
                          <w:szCs w:val="18"/>
                        </w:rPr>
                        <w:t xml:space="preserve">IACHR, Report No. </w:t>
                      </w:r>
                      <w:r w:rsidR="00706FBC">
                        <w:rPr>
                          <w:rFonts w:ascii="Cambria" w:hAnsi="Cambria" w:cs="Cambria"/>
                          <w:color w:val="595959"/>
                          <w:sz w:val="18"/>
                          <w:szCs w:val="18"/>
                        </w:rPr>
                        <w:t>104</w:t>
                      </w:r>
                      <w:r>
                        <w:rPr>
                          <w:rFonts w:ascii="Cambria" w:hAnsi="Cambria" w:cs="Cambria"/>
                          <w:color w:val="595959"/>
                          <w:sz w:val="18"/>
                          <w:szCs w:val="18"/>
                        </w:rPr>
                        <w:t>/18</w:t>
                      </w:r>
                      <w:r w:rsidRPr="00F25DC8">
                        <w:rPr>
                          <w:rFonts w:ascii="Cambria" w:hAnsi="Cambria" w:cs="Cambria"/>
                          <w:color w:val="595959"/>
                          <w:sz w:val="18"/>
                          <w:szCs w:val="18"/>
                        </w:rPr>
                        <w:t>, Petition 221-08. Admissibi</w:t>
                      </w:r>
                      <w:r>
                        <w:rPr>
                          <w:rFonts w:ascii="Cambria" w:hAnsi="Cambria" w:cs="Cambria"/>
                          <w:color w:val="595959"/>
                          <w:sz w:val="18"/>
                          <w:szCs w:val="18"/>
                        </w:rPr>
                        <w:t xml:space="preserve">lity. Delis Palacio </w:t>
                      </w:r>
                      <w:proofErr w:type="spellStart"/>
                      <w:r>
                        <w:rPr>
                          <w:rFonts w:ascii="Cambria" w:hAnsi="Cambria" w:cs="Cambria"/>
                          <w:color w:val="595959"/>
                          <w:sz w:val="18"/>
                          <w:szCs w:val="18"/>
                        </w:rPr>
                        <w:t>Herrón</w:t>
                      </w:r>
                      <w:proofErr w:type="spellEnd"/>
                      <w:r>
                        <w:rPr>
                          <w:rFonts w:ascii="Cambria" w:hAnsi="Cambria" w:cs="Cambria"/>
                          <w:color w:val="595959"/>
                          <w:sz w:val="18"/>
                          <w:szCs w:val="18"/>
                        </w:rPr>
                        <w:t xml:space="preserve"> and O</w:t>
                      </w:r>
                      <w:r w:rsidRPr="00F25DC8">
                        <w:rPr>
                          <w:rFonts w:ascii="Cambria" w:hAnsi="Cambria" w:cs="Cambria"/>
                          <w:color w:val="595959"/>
                          <w:sz w:val="18"/>
                          <w:szCs w:val="18"/>
                        </w:rPr>
                        <w:t>thers (</w:t>
                      </w:r>
                      <w:proofErr w:type="spellStart"/>
                      <w:r w:rsidRPr="00F25DC8">
                        <w:rPr>
                          <w:rFonts w:ascii="Cambria" w:hAnsi="Cambria" w:cs="Cambria"/>
                          <w:color w:val="595959"/>
                          <w:sz w:val="18"/>
                          <w:szCs w:val="18"/>
                        </w:rPr>
                        <w:t>Bojayá</w:t>
                      </w:r>
                      <w:proofErr w:type="spellEnd"/>
                      <w:r w:rsidRPr="00F25DC8">
                        <w:rPr>
                          <w:rFonts w:ascii="Cambria" w:hAnsi="Cambria" w:cs="Cambria"/>
                          <w:color w:val="595959"/>
                          <w:sz w:val="18"/>
                          <w:szCs w:val="18"/>
                        </w:rPr>
                        <w:t xml:space="preserve"> Massacre). Colombia. </w:t>
                      </w:r>
                      <w:r w:rsidR="00706FBC" w:rsidRPr="00706FBC">
                        <w:rPr>
                          <w:rFonts w:ascii="Cambria" w:hAnsi="Cambria" w:cs="Cambria"/>
                          <w:color w:val="595959"/>
                          <w:sz w:val="18"/>
                          <w:szCs w:val="18"/>
                        </w:rPr>
                        <w:t>September 20, 2018</w:t>
                      </w:r>
                      <w:r w:rsidRPr="00F25DC8">
                        <w:rPr>
                          <w:rFonts w:ascii="Cambria" w:hAnsi="Cambria" w:cs="Cambria"/>
                          <w:color w:val="595959"/>
                          <w:sz w:val="18"/>
                          <w:szCs w:val="18"/>
                        </w:rPr>
                        <w:t>.</w:t>
                      </w:r>
                    </w:p>
                  </w:txbxContent>
                </v:textbox>
              </v:shape>
            </w:pict>
          </mc:Fallback>
        </mc:AlternateContent>
      </w:r>
    </w:p>
    <w:p w:rsidR="00881C1D" w:rsidRPr="00B949EB" w:rsidRDefault="00881C1D" w:rsidP="00344528">
      <w:pPr>
        <w:tabs>
          <w:tab w:val="center" w:pos="5400"/>
        </w:tabs>
        <w:suppressAutoHyphens/>
        <w:jc w:val="center"/>
        <w:rPr>
          <w:rFonts w:ascii="Cambria" w:hAnsi="Cambria" w:cs="Cambria"/>
          <w:sz w:val="18"/>
          <w:szCs w:val="18"/>
        </w:rPr>
      </w:pPr>
    </w:p>
    <w:p w:rsidR="00881C1D" w:rsidRPr="00B949EB" w:rsidRDefault="00693F6E" w:rsidP="00344528">
      <w:pPr>
        <w:tabs>
          <w:tab w:val="center" w:pos="5400"/>
        </w:tabs>
        <w:suppressAutoHyphens/>
        <w:jc w:val="center"/>
        <w:rPr>
          <w:rFonts w:ascii="Cambria" w:hAnsi="Cambria" w:cs="Cambria"/>
          <w:b/>
          <w:bCs/>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915035</wp:posOffset>
                </wp:positionV>
                <wp:extent cx="1181100" cy="332740"/>
                <wp:effectExtent l="381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1C1D" w:rsidRPr="00344528" w:rsidRDefault="00881C1D" w:rsidP="00344528">
                            <w:pPr>
                              <w:jc w:val="center"/>
                              <w:rPr>
                                <w:rFonts w:ascii="Calibri" w:hAnsi="Calibri" w:cs="Calibri"/>
                                <w:b/>
                                <w:bCs/>
                                <w:noProof/>
                                <w:color w:val="FFFFFF"/>
                              </w:rPr>
                            </w:pPr>
                            <w:r w:rsidRPr="00344528">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Ia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" filled="f" stroked="f" strokeweight=".5pt">
                <v:textbox>
                  <w:txbxContent>
                    <w:p w:rsidR="00881C1D" w:rsidRPr="00344528" w:rsidRDefault="00881C1D" w:rsidP="00344528">
                      <w:pPr>
                        <w:jc w:val="center"/>
                        <w:rPr>
                          <w:rFonts w:ascii="Calibri" w:hAnsi="Calibri" w:cs="Calibri"/>
                          <w:b/>
                          <w:bCs/>
                          <w:noProof/>
                          <w:color w:val="FFFFFF"/>
                        </w:rPr>
                      </w:pPr>
                      <w:r w:rsidRPr="00344528">
                        <w:rPr>
                          <w:rFonts w:ascii="Calibri" w:hAnsi="Calibri" w:cs="Calibri"/>
                          <w:b/>
                          <w:bCs/>
                          <w:noProof/>
                          <w:color w:val="FFFFFF"/>
                        </w:rPr>
                        <w:t>www.cidh.org</w:t>
                      </w:r>
                    </w:p>
                  </w:txbxContent>
                </v:textbox>
              </v:shape>
            </w:pict>
          </mc:Fallback>
        </mc:AlternateContent>
      </w:r>
    </w:p>
    <w:p w:rsidR="00881C1D" w:rsidRPr="00B949EB" w:rsidRDefault="00881C1D" w:rsidP="00344528">
      <w:pPr>
        <w:tabs>
          <w:tab w:val="center" w:pos="5400"/>
        </w:tabs>
        <w:suppressAutoHyphens/>
        <w:jc w:val="center"/>
        <w:rPr>
          <w:rFonts w:ascii="Cambria" w:hAnsi="Cambria" w:cs="Cambria"/>
          <w:b/>
          <w:bCs/>
          <w:sz w:val="20"/>
          <w:szCs w:val="20"/>
        </w:rPr>
      </w:pPr>
    </w:p>
    <w:p w:rsidR="00881C1D" w:rsidRPr="00B949EB" w:rsidRDefault="00693F6E" w:rsidP="00344528">
      <w:pPr>
        <w:tabs>
          <w:tab w:val="center" w:pos="5400"/>
        </w:tabs>
        <w:suppressAutoHyphens/>
        <w:jc w:val="center"/>
        <w:rPr>
          <w:rFonts w:ascii="Cambria" w:hAnsi="Cambria" w:cs="Cambria"/>
          <w:b/>
          <w:bCs/>
          <w:sz w:val="20"/>
          <w:szCs w:val="20"/>
        </w:rPr>
        <w:sectPr w:rsidR="00881C1D" w:rsidRPr="00B949EB" w:rsidSect="00881D9E">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0"/>
          <w:cols w:space="720"/>
          <w:titlePg/>
          <w:docGrid w:linePitch="326"/>
        </w:sectPr>
      </w:pPr>
      <w:r>
        <w:rPr>
          <w:noProof/>
          <w:color w:val="FFFFFF"/>
        </w:rPr>
        <w:drawing>
          <wp:inline distT="0" distB="0" distL="0" distR="0">
            <wp:extent cx="1323975" cy="350520"/>
            <wp:effectExtent l="0" t="0" r="9525"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350520"/>
                    </a:xfrm>
                    <a:prstGeom prst="rect">
                      <a:avLst/>
                    </a:prstGeom>
                    <a:noFill/>
                    <a:ln>
                      <a:noFill/>
                    </a:ln>
                  </pic:spPr>
                </pic:pic>
              </a:graphicData>
            </a:graphic>
          </wp:inline>
        </w:drawing>
      </w:r>
      <w:r w:rsidR="00881C1D" w:rsidRPr="00B949EB">
        <w:rPr>
          <w:rFonts w:ascii="Cambria" w:hAnsi="Cambria" w:cs="Cambria"/>
          <w:b/>
          <w:bCs/>
          <w:sz w:val="20"/>
          <w:szCs w:val="20"/>
        </w:rPr>
        <w:tab/>
      </w:r>
    </w:p>
    <w:p w:rsidR="00881C1D" w:rsidRPr="00B949EB" w:rsidRDefault="00881C1D" w:rsidP="00344528">
      <w:pPr>
        <w:spacing w:after="240"/>
        <w:ind w:firstLine="720"/>
        <w:jc w:val="both"/>
        <w:rPr>
          <w:rFonts w:ascii="Cambria" w:hAnsi="Cambria" w:cs="Cambria"/>
          <w:b/>
          <w:bCs/>
          <w:sz w:val="20"/>
          <w:szCs w:val="20"/>
        </w:rPr>
      </w:pPr>
      <w:r w:rsidRPr="00B949EB">
        <w:rPr>
          <w:rFonts w:ascii="Cambria" w:hAnsi="Cambria" w:cs="Cambria"/>
          <w:b/>
          <w:bCs/>
          <w:sz w:val="20"/>
          <w:szCs w:val="20"/>
        </w:rPr>
        <w:lastRenderedPageBreak/>
        <w:t>I.</w:t>
      </w:r>
      <w:r w:rsidR="00881D9E">
        <w:rPr>
          <w:rFonts w:ascii="Cambria" w:hAnsi="Cambria" w:cs="Cambria"/>
          <w:b/>
          <w:bCs/>
          <w:sz w:val="20"/>
          <w:szCs w:val="20"/>
        </w:rPr>
        <w:tab/>
        <w:t>INFORMATION ABOUT THE PETITION</w:t>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881C1D" w:rsidRPr="00DA6196">
        <w:tc>
          <w:tcPr>
            <w:tcW w:w="3690" w:type="dxa"/>
            <w:tcBorders>
              <w:top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Petitioner:</w:t>
            </w:r>
          </w:p>
        </w:tc>
        <w:tc>
          <w:tcPr>
            <w:tcW w:w="5670" w:type="dxa"/>
            <w:tcBorders>
              <w:top w:val="single" w:sz="4" w:space="0" w:color="auto"/>
            </w:tcBorders>
            <w:vAlign w:val="center"/>
          </w:tcPr>
          <w:p w:rsidR="00881C1D" w:rsidRPr="00706FBC" w:rsidRDefault="00881C1D" w:rsidP="00F25DC8">
            <w:pPr>
              <w:rPr>
                <w:rFonts w:ascii="Cambria" w:hAnsi="Cambria" w:cs="Cambria"/>
                <w:sz w:val="20"/>
                <w:szCs w:val="20"/>
                <w:lang w:val="pt-BR"/>
              </w:rPr>
            </w:pPr>
            <w:r w:rsidRPr="00706FBC">
              <w:rPr>
                <w:rFonts w:ascii="Cambria" w:hAnsi="Cambria" w:cs="Cambria"/>
                <w:sz w:val="20"/>
                <w:szCs w:val="20"/>
                <w:lang w:val="pt-BR"/>
              </w:rPr>
              <w:t>Legal Center for Human Rights of Antioquia (</w:t>
            </w:r>
            <w:r w:rsidRPr="00706FBC">
              <w:rPr>
                <w:rFonts w:ascii="Cambria" w:hAnsi="Cambria" w:cs="Cambria"/>
                <w:i/>
                <w:iCs/>
                <w:sz w:val="20"/>
                <w:szCs w:val="20"/>
                <w:lang w:val="pt-BR"/>
              </w:rPr>
              <w:t>Centro Jurídico de Derechos Humanos de Antioquia</w:t>
            </w:r>
            <w:r w:rsidRPr="00706FBC">
              <w:rPr>
                <w:rFonts w:ascii="Cambria" w:hAnsi="Cambria" w:cs="Cambria"/>
                <w:sz w:val="20"/>
                <w:szCs w:val="20"/>
                <w:lang w:val="pt-BR"/>
              </w:rPr>
              <w:t>)</w:t>
            </w:r>
          </w:p>
        </w:tc>
      </w:tr>
      <w:tr w:rsidR="00881C1D" w:rsidRPr="00DA6196">
        <w:tc>
          <w:tcPr>
            <w:tcW w:w="3690"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Alleged victim:</w:t>
            </w:r>
          </w:p>
        </w:tc>
        <w:tc>
          <w:tcPr>
            <w:tcW w:w="5670" w:type="dxa"/>
            <w:vAlign w:val="center"/>
          </w:tcPr>
          <w:p w:rsidR="00881C1D" w:rsidRPr="000158FE" w:rsidRDefault="00881C1D" w:rsidP="000158FE">
            <w:pPr>
              <w:rPr>
                <w:rFonts w:ascii="Cambria" w:hAnsi="Cambria" w:cs="Cambria"/>
                <w:sz w:val="20"/>
                <w:szCs w:val="20"/>
                <w:lang w:val="es-ES"/>
              </w:rPr>
            </w:pPr>
            <w:r w:rsidRPr="000158FE">
              <w:rPr>
                <w:rFonts w:ascii="Cambria" w:hAnsi="Cambria" w:cs="Cambria"/>
                <w:sz w:val="20"/>
                <w:szCs w:val="20"/>
                <w:lang w:val="es-ES"/>
              </w:rPr>
              <w:t xml:space="preserve">Delis Palacio Herrón </w:t>
            </w:r>
            <w:r w:rsidR="000158FE" w:rsidRPr="000158FE">
              <w:rPr>
                <w:rFonts w:ascii="Cambria" w:hAnsi="Cambria" w:cs="Cambria"/>
                <w:i/>
                <w:sz w:val="20"/>
                <w:szCs w:val="20"/>
                <w:lang w:val="es-ES"/>
              </w:rPr>
              <w:t>et al.</w:t>
            </w:r>
            <w:r w:rsidRPr="00B949EB">
              <w:rPr>
                <w:rStyle w:val="FootnoteReference"/>
                <w:rFonts w:ascii="Cambria" w:hAnsi="Cambria" w:cs="Cambria"/>
                <w:sz w:val="20"/>
                <w:szCs w:val="20"/>
              </w:rPr>
              <w:footnoteReference w:id="1"/>
            </w:r>
          </w:p>
        </w:tc>
      </w:tr>
      <w:tr w:rsidR="00881C1D" w:rsidRPr="00B949EB">
        <w:tc>
          <w:tcPr>
            <w:tcW w:w="3690"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Respondent State:</w:t>
            </w:r>
          </w:p>
        </w:tc>
        <w:tc>
          <w:tcPr>
            <w:tcW w:w="5670" w:type="dxa"/>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Colombia</w:t>
            </w:r>
            <w:r w:rsidRPr="00B949EB">
              <w:rPr>
                <w:rStyle w:val="FootnoteReference"/>
                <w:rFonts w:ascii="Cambria" w:hAnsi="Cambria" w:cs="Cambria"/>
                <w:sz w:val="20"/>
                <w:szCs w:val="20"/>
              </w:rPr>
              <w:footnoteReference w:id="2"/>
            </w:r>
          </w:p>
        </w:tc>
      </w:tr>
      <w:tr w:rsidR="00881C1D" w:rsidRPr="00B949EB">
        <w:tc>
          <w:tcPr>
            <w:tcW w:w="3690" w:type="dxa"/>
            <w:tcBorders>
              <w:bottom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Rights invoked:</w:t>
            </w:r>
          </w:p>
        </w:tc>
        <w:tc>
          <w:tcPr>
            <w:tcW w:w="5670" w:type="dxa"/>
            <w:tcBorders>
              <w:bottom w:val="single" w:sz="4" w:space="0" w:color="auto"/>
            </w:tcBorders>
            <w:vAlign w:val="center"/>
          </w:tcPr>
          <w:p w:rsidR="00881C1D" w:rsidRPr="00B949EB" w:rsidRDefault="00881C1D" w:rsidP="00693F6E">
            <w:pPr>
              <w:jc w:val="both"/>
              <w:rPr>
                <w:rFonts w:ascii="Cambria" w:hAnsi="Cambria" w:cs="Cambria"/>
                <w:sz w:val="20"/>
                <w:szCs w:val="20"/>
              </w:rPr>
            </w:pPr>
            <w:r w:rsidRPr="00B949EB">
              <w:rPr>
                <w:rFonts w:ascii="Cambria" w:hAnsi="Cambria" w:cs="Cambria"/>
                <w:sz w:val="20"/>
                <w:szCs w:val="20"/>
              </w:rPr>
              <w:t>Articles 4 (life), 8 (right to a fair trial), and 25 (judicial protection) of the American Convention on Human Rights,</w:t>
            </w:r>
            <w:r w:rsidRPr="00B949EB">
              <w:rPr>
                <w:rFonts w:ascii="Cambria" w:hAnsi="Cambria" w:cs="Cambria"/>
                <w:sz w:val="20"/>
                <w:szCs w:val="20"/>
                <w:vertAlign w:val="superscript"/>
              </w:rPr>
              <w:footnoteReference w:id="3"/>
            </w:r>
            <w:r w:rsidRPr="00B949EB">
              <w:rPr>
                <w:rFonts w:ascii="Cambria" w:hAnsi="Cambria" w:cs="Cambria"/>
                <w:sz w:val="20"/>
                <w:szCs w:val="20"/>
              </w:rPr>
              <w:t xml:space="preserve"> in conjunction with Article 1.1 thereof</w:t>
            </w:r>
            <w:r w:rsidR="00693F6E">
              <w:rPr>
                <w:rFonts w:ascii="Cambria" w:hAnsi="Cambria" w:cs="Cambria"/>
                <w:sz w:val="20"/>
                <w:szCs w:val="20"/>
              </w:rPr>
              <w:t xml:space="preserve"> (obligation to respect rights)</w:t>
            </w:r>
          </w:p>
        </w:tc>
      </w:tr>
    </w:tbl>
    <w:p w:rsidR="00881C1D" w:rsidRPr="00B949EB" w:rsidRDefault="00881C1D" w:rsidP="00344528">
      <w:pPr>
        <w:spacing w:before="240" w:after="240"/>
        <w:ind w:firstLine="720"/>
        <w:jc w:val="both"/>
        <w:rPr>
          <w:rFonts w:ascii="Cambria" w:hAnsi="Cambria" w:cs="Cambria"/>
          <w:b/>
          <w:bCs/>
          <w:sz w:val="20"/>
          <w:szCs w:val="20"/>
        </w:rPr>
      </w:pPr>
      <w:r w:rsidRPr="00B949EB">
        <w:rPr>
          <w:rFonts w:ascii="Cambria" w:hAnsi="Cambria" w:cs="Cambria"/>
          <w:b/>
          <w:bCs/>
          <w:sz w:val="20"/>
          <w:szCs w:val="20"/>
        </w:rPr>
        <w:t>II.</w:t>
      </w:r>
      <w:r w:rsidRPr="00B949EB">
        <w:rPr>
          <w:rFonts w:ascii="Cambria" w:hAnsi="Cambria" w:cs="Cambria"/>
          <w:b/>
          <w:bCs/>
          <w:sz w:val="20"/>
          <w:szCs w:val="20"/>
        </w:rPr>
        <w:tab/>
        <w:t>PROCEEDINGS BEFORE THE IACHR</w:t>
      </w:r>
      <w:r w:rsidRPr="00B949EB">
        <w:rPr>
          <w:rFonts w:ascii="Cambria" w:hAnsi="Cambria" w:cs="Cambria"/>
          <w:b/>
          <w:bCs/>
          <w:sz w:val="20"/>
          <w:szCs w:val="20"/>
          <w:vertAlign w:val="superscript"/>
        </w:rPr>
        <w:footnoteReference w:id="4"/>
      </w:r>
    </w:p>
    <w:tbl>
      <w:tblPr>
        <w:tblW w:w="9394"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94"/>
      </w:tblGrid>
      <w:tr w:rsidR="00881C1D" w:rsidRPr="00B949EB" w:rsidTr="00881D9E">
        <w:tc>
          <w:tcPr>
            <w:tcW w:w="3600" w:type="dxa"/>
            <w:tcBorders>
              <w:top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Filing of the petition:</w:t>
            </w:r>
          </w:p>
        </w:tc>
        <w:tc>
          <w:tcPr>
            <w:tcW w:w="5794" w:type="dxa"/>
            <w:tcBorders>
              <w:top w:val="single" w:sz="4" w:space="0" w:color="auto"/>
            </w:tcBorders>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February 25, 2008</w:t>
            </w:r>
          </w:p>
        </w:tc>
      </w:tr>
      <w:tr w:rsidR="00881C1D" w:rsidRPr="00B949EB" w:rsidTr="00881D9E">
        <w:tc>
          <w:tcPr>
            <w:tcW w:w="3600"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Notification of the petition to the State:</w:t>
            </w:r>
          </w:p>
        </w:tc>
        <w:tc>
          <w:tcPr>
            <w:tcW w:w="5794" w:type="dxa"/>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March 7, 2014</w:t>
            </w:r>
          </w:p>
        </w:tc>
      </w:tr>
      <w:tr w:rsidR="00881C1D" w:rsidRPr="00B949EB" w:rsidTr="00881D9E">
        <w:tc>
          <w:tcPr>
            <w:tcW w:w="3600"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State’s first response:</w:t>
            </w:r>
          </w:p>
        </w:tc>
        <w:tc>
          <w:tcPr>
            <w:tcW w:w="5794" w:type="dxa"/>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December 24, 2014</w:t>
            </w:r>
          </w:p>
        </w:tc>
      </w:tr>
      <w:tr w:rsidR="00881C1D" w:rsidRPr="00B949EB" w:rsidTr="00881D9E">
        <w:tc>
          <w:tcPr>
            <w:tcW w:w="3600" w:type="dxa"/>
            <w:tcBorders>
              <w:bottom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Additional observations from the petitioner:</w:t>
            </w:r>
          </w:p>
        </w:tc>
        <w:tc>
          <w:tcPr>
            <w:tcW w:w="5794" w:type="dxa"/>
            <w:tcBorders>
              <w:bottom w:val="single" w:sz="4" w:space="0" w:color="auto"/>
            </w:tcBorders>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June 15, 2016</w:t>
            </w:r>
          </w:p>
        </w:tc>
      </w:tr>
    </w:tbl>
    <w:p w:rsidR="00881C1D" w:rsidRPr="00B949EB" w:rsidRDefault="00881D9E" w:rsidP="00344528">
      <w:pPr>
        <w:spacing w:before="240" w:after="240"/>
        <w:ind w:firstLine="720"/>
        <w:jc w:val="both"/>
        <w:rPr>
          <w:rFonts w:ascii="Cambria" w:hAnsi="Cambria" w:cs="Cambria"/>
          <w:b/>
          <w:bCs/>
          <w:sz w:val="20"/>
          <w:szCs w:val="20"/>
        </w:rPr>
      </w:pPr>
      <w:r>
        <w:rPr>
          <w:rFonts w:ascii="Cambria" w:hAnsi="Cambria" w:cs="Cambria"/>
          <w:b/>
          <w:bCs/>
          <w:sz w:val="20"/>
          <w:szCs w:val="20"/>
        </w:rPr>
        <w:t>III.</w:t>
      </w:r>
      <w:r w:rsidR="00881C1D" w:rsidRPr="00B949EB">
        <w:rPr>
          <w:rFonts w:ascii="Cambria" w:hAnsi="Cambria" w:cs="Cambria"/>
          <w:b/>
          <w:bCs/>
          <w:sz w:val="20"/>
          <w:szCs w:val="20"/>
        </w:rPr>
        <w:tab/>
        <w:t xml:space="preserve">COMPETENCE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26"/>
        <w:gridCol w:w="5868"/>
      </w:tblGrid>
      <w:tr w:rsidR="00881C1D" w:rsidRPr="00B949EB" w:rsidTr="00881D9E">
        <w:trPr>
          <w:cantSplit/>
        </w:trPr>
        <w:tc>
          <w:tcPr>
            <w:tcW w:w="3526" w:type="dxa"/>
            <w:tcBorders>
              <w:top w:val="single" w:sz="4" w:space="0" w:color="auto"/>
            </w:tcBorders>
            <w:shd w:val="clear" w:color="auto" w:fill="67AE3C"/>
            <w:vAlign w:val="center"/>
          </w:tcPr>
          <w:p w:rsidR="00881C1D" w:rsidRPr="00B949EB" w:rsidRDefault="00881C1D" w:rsidP="00FE084A">
            <w:pPr>
              <w:jc w:val="center"/>
              <w:rPr>
                <w:rFonts w:ascii="Cambria" w:hAnsi="Cambria" w:cs="Cambria"/>
                <w:b/>
                <w:bCs/>
                <w:i/>
                <w:iCs/>
                <w:color w:val="FFFFFF"/>
                <w:sz w:val="20"/>
                <w:szCs w:val="20"/>
              </w:rPr>
            </w:pPr>
            <w:r w:rsidRPr="00B949EB">
              <w:rPr>
                <w:rFonts w:ascii="Cambria" w:hAnsi="Cambria" w:cs="Cambria"/>
                <w:b/>
                <w:bCs/>
                <w:color w:val="FFFFFF"/>
                <w:sz w:val="20"/>
                <w:szCs w:val="20"/>
              </w:rPr>
              <w:t xml:space="preserve">Competence </w:t>
            </w:r>
            <w:proofErr w:type="spellStart"/>
            <w:r w:rsidRPr="00B949EB">
              <w:rPr>
                <w:rFonts w:ascii="Cambria" w:hAnsi="Cambria" w:cs="Cambria"/>
                <w:b/>
                <w:bCs/>
                <w:i/>
                <w:iCs/>
                <w:color w:val="FFFFFF"/>
                <w:sz w:val="20"/>
                <w:szCs w:val="20"/>
              </w:rPr>
              <w:t>Ratione</w:t>
            </w:r>
            <w:proofErr w:type="spellEnd"/>
            <w:r w:rsidRPr="00B949EB">
              <w:rPr>
                <w:rFonts w:ascii="Cambria" w:hAnsi="Cambria" w:cs="Cambria"/>
                <w:b/>
                <w:bCs/>
                <w:i/>
                <w:iCs/>
                <w:color w:val="FFFFFF"/>
                <w:sz w:val="20"/>
                <w:szCs w:val="20"/>
              </w:rPr>
              <w:t xml:space="preserve"> personae:</w:t>
            </w:r>
          </w:p>
        </w:tc>
        <w:tc>
          <w:tcPr>
            <w:tcW w:w="5868" w:type="dxa"/>
            <w:tcBorders>
              <w:top w:val="single" w:sz="4" w:space="0" w:color="auto"/>
            </w:tcBorders>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 xml:space="preserve">Yes </w:t>
            </w:r>
          </w:p>
        </w:tc>
      </w:tr>
      <w:tr w:rsidR="00881C1D" w:rsidRPr="00B949EB" w:rsidTr="00881D9E">
        <w:trPr>
          <w:cantSplit/>
        </w:trPr>
        <w:tc>
          <w:tcPr>
            <w:tcW w:w="3526"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 xml:space="preserve">Competence </w:t>
            </w:r>
            <w:proofErr w:type="spellStart"/>
            <w:r w:rsidRPr="00B949EB">
              <w:rPr>
                <w:rFonts w:ascii="Cambria" w:hAnsi="Cambria" w:cs="Cambria"/>
                <w:b/>
                <w:bCs/>
                <w:i/>
                <w:iCs/>
                <w:color w:val="FFFFFF"/>
                <w:sz w:val="20"/>
                <w:szCs w:val="20"/>
              </w:rPr>
              <w:t>Ratione</w:t>
            </w:r>
            <w:proofErr w:type="spellEnd"/>
            <w:r w:rsidRPr="00B949EB">
              <w:rPr>
                <w:rFonts w:ascii="Cambria" w:hAnsi="Cambria" w:cs="Cambria"/>
                <w:b/>
                <w:bCs/>
                <w:i/>
                <w:iCs/>
                <w:color w:val="FFFFFF"/>
                <w:sz w:val="20"/>
                <w:szCs w:val="20"/>
              </w:rPr>
              <w:t xml:space="preserve"> loci</w:t>
            </w:r>
            <w:r w:rsidRPr="00B949EB">
              <w:rPr>
                <w:rFonts w:ascii="Cambria" w:hAnsi="Cambria" w:cs="Cambria"/>
                <w:b/>
                <w:bCs/>
                <w:color w:val="FFFFFF"/>
                <w:sz w:val="20"/>
                <w:szCs w:val="20"/>
              </w:rPr>
              <w:t>:</w:t>
            </w:r>
          </w:p>
        </w:tc>
        <w:tc>
          <w:tcPr>
            <w:tcW w:w="5868" w:type="dxa"/>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Yes</w:t>
            </w:r>
          </w:p>
        </w:tc>
      </w:tr>
      <w:tr w:rsidR="00881C1D" w:rsidRPr="00B949EB" w:rsidTr="00881D9E">
        <w:trPr>
          <w:cantSplit/>
        </w:trPr>
        <w:tc>
          <w:tcPr>
            <w:tcW w:w="3526"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 xml:space="preserve">Competence </w:t>
            </w:r>
            <w:proofErr w:type="spellStart"/>
            <w:r w:rsidRPr="00B949EB">
              <w:rPr>
                <w:rFonts w:ascii="Cambria" w:hAnsi="Cambria" w:cs="Cambria"/>
                <w:b/>
                <w:bCs/>
                <w:i/>
                <w:iCs/>
                <w:color w:val="FFFFFF"/>
                <w:sz w:val="20"/>
                <w:szCs w:val="20"/>
              </w:rPr>
              <w:t>Ratione</w:t>
            </w:r>
            <w:proofErr w:type="spellEnd"/>
            <w:r w:rsidRPr="00B949EB">
              <w:rPr>
                <w:rFonts w:ascii="Cambria" w:hAnsi="Cambria" w:cs="Cambria"/>
                <w:b/>
                <w:bCs/>
                <w:i/>
                <w:iCs/>
                <w:color w:val="FFFFFF"/>
                <w:sz w:val="20"/>
                <w:szCs w:val="20"/>
              </w:rPr>
              <w:t xml:space="preserve"> </w:t>
            </w:r>
            <w:proofErr w:type="spellStart"/>
            <w:r w:rsidRPr="00B949EB">
              <w:rPr>
                <w:rFonts w:ascii="Cambria" w:hAnsi="Cambria" w:cs="Cambria"/>
                <w:b/>
                <w:bCs/>
                <w:i/>
                <w:iCs/>
                <w:color w:val="FFFFFF"/>
                <w:sz w:val="20"/>
                <w:szCs w:val="20"/>
              </w:rPr>
              <w:t>temporis</w:t>
            </w:r>
            <w:proofErr w:type="spellEnd"/>
            <w:r w:rsidRPr="00B949EB">
              <w:rPr>
                <w:rFonts w:ascii="Cambria" w:hAnsi="Cambria" w:cs="Cambria"/>
                <w:b/>
                <w:bCs/>
                <w:color w:val="FFFFFF"/>
                <w:sz w:val="20"/>
                <w:szCs w:val="20"/>
              </w:rPr>
              <w:t>:</w:t>
            </w:r>
          </w:p>
        </w:tc>
        <w:tc>
          <w:tcPr>
            <w:tcW w:w="5868" w:type="dxa"/>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Yes</w:t>
            </w:r>
          </w:p>
        </w:tc>
      </w:tr>
      <w:tr w:rsidR="00881C1D" w:rsidRPr="00B949EB" w:rsidTr="00881D9E">
        <w:trPr>
          <w:cantSplit/>
        </w:trPr>
        <w:tc>
          <w:tcPr>
            <w:tcW w:w="3526" w:type="dxa"/>
            <w:tcBorders>
              <w:bottom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 xml:space="preserve">Competence </w:t>
            </w:r>
            <w:proofErr w:type="spellStart"/>
            <w:r w:rsidRPr="00B949EB">
              <w:rPr>
                <w:rFonts w:ascii="Cambria" w:hAnsi="Cambria" w:cs="Cambria"/>
                <w:b/>
                <w:bCs/>
                <w:i/>
                <w:iCs/>
                <w:color w:val="FFFFFF"/>
                <w:sz w:val="20"/>
                <w:szCs w:val="20"/>
              </w:rPr>
              <w:t>Ratione</w:t>
            </w:r>
            <w:proofErr w:type="spellEnd"/>
            <w:r w:rsidRPr="00B949EB">
              <w:rPr>
                <w:rFonts w:ascii="Cambria" w:hAnsi="Cambria" w:cs="Cambria"/>
                <w:b/>
                <w:bCs/>
                <w:i/>
                <w:iCs/>
                <w:color w:val="FFFFFF"/>
                <w:sz w:val="20"/>
                <w:szCs w:val="20"/>
              </w:rPr>
              <w:t xml:space="preserve"> </w:t>
            </w:r>
            <w:proofErr w:type="spellStart"/>
            <w:r w:rsidRPr="00B949EB">
              <w:rPr>
                <w:rFonts w:ascii="Cambria" w:hAnsi="Cambria" w:cs="Cambria"/>
                <w:b/>
                <w:bCs/>
                <w:i/>
                <w:iCs/>
                <w:color w:val="FFFFFF"/>
                <w:sz w:val="20"/>
                <w:szCs w:val="20"/>
              </w:rPr>
              <w:t>materiae</w:t>
            </w:r>
            <w:proofErr w:type="spellEnd"/>
            <w:r w:rsidRPr="00B949EB">
              <w:rPr>
                <w:rFonts w:ascii="Cambria" w:hAnsi="Cambria" w:cs="Cambria"/>
                <w:b/>
                <w:bCs/>
                <w:color w:val="FFFFFF"/>
                <w:sz w:val="20"/>
                <w:szCs w:val="20"/>
              </w:rPr>
              <w:t>:</w:t>
            </w:r>
          </w:p>
        </w:tc>
        <w:tc>
          <w:tcPr>
            <w:tcW w:w="5868" w:type="dxa"/>
            <w:tcBorders>
              <w:bottom w:val="single" w:sz="4" w:space="0" w:color="auto"/>
            </w:tcBorders>
            <w:vAlign w:val="center"/>
          </w:tcPr>
          <w:p w:rsidR="00881C1D" w:rsidRPr="00B949EB" w:rsidRDefault="00693F6E" w:rsidP="00F25DC8">
            <w:pPr>
              <w:widowControl w:val="0"/>
              <w:autoSpaceDE w:val="0"/>
              <w:autoSpaceDN w:val="0"/>
              <w:adjustRightInd w:val="0"/>
              <w:rPr>
                <w:rFonts w:ascii="Cambria" w:hAnsi="Cambria" w:cs="Cambria"/>
                <w:color w:val="000000"/>
                <w:sz w:val="20"/>
                <w:szCs w:val="20"/>
                <w:lang w:eastAsia="es-ES"/>
              </w:rPr>
            </w:pPr>
            <w:r>
              <w:rPr>
                <w:rFonts w:ascii="Cambria" w:hAnsi="Cambria" w:cs="Cambria"/>
                <w:color w:val="000000"/>
                <w:sz w:val="20"/>
                <w:szCs w:val="20"/>
                <w:lang w:eastAsia="es-ES"/>
              </w:rPr>
              <w:t>Yes.</w:t>
            </w:r>
            <w:r w:rsidR="00881C1D" w:rsidRPr="00B949EB">
              <w:rPr>
                <w:rFonts w:ascii="Cambria" w:hAnsi="Cambria" w:cs="Cambria"/>
                <w:color w:val="000000"/>
                <w:sz w:val="20"/>
                <w:szCs w:val="20"/>
                <w:lang w:eastAsia="es-ES"/>
              </w:rPr>
              <w:t xml:space="preserve"> American Convention (instrument of ratificati</w:t>
            </w:r>
            <w:r>
              <w:rPr>
                <w:rFonts w:ascii="Cambria" w:hAnsi="Cambria" w:cs="Cambria"/>
                <w:color w:val="000000"/>
                <w:sz w:val="20"/>
                <w:szCs w:val="20"/>
                <w:lang w:eastAsia="es-ES"/>
              </w:rPr>
              <w:t>on deposited on July 31, 1973)</w:t>
            </w:r>
          </w:p>
        </w:tc>
      </w:tr>
    </w:tbl>
    <w:p w:rsidR="00881C1D" w:rsidRPr="00B949EB" w:rsidRDefault="00881C1D" w:rsidP="00881D9E">
      <w:pPr>
        <w:spacing w:before="240" w:after="240"/>
        <w:ind w:left="1440" w:hanging="720"/>
        <w:jc w:val="both"/>
        <w:rPr>
          <w:rFonts w:ascii="Cambria" w:hAnsi="Cambria" w:cs="Cambria"/>
          <w:b/>
          <w:bCs/>
          <w:sz w:val="20"/>
          <w:szCs w:val="20"/>
        </w:rPr>
      </w:pPr>
      <w:r w:rsidRPr="00B949EB">
        <w:rPr>
          <w:rFonts w:ascii="Cambria" w:hAnsi="Cambria" w:cs="Cambria"/>
          <w:b/>
          <w:bCs/>
          <w:sz w:val="20"/>
          <w:szCs w:val="20"/>
        </w:rPr>
        <w:t xml:space="preserve">IV. </w:t>
      </w:r>
      <w:r w:rsidRPr="00B949EB">
        <w:rPr>
          <w:rFonts w:ascii="Cambria" w:hAnsi="Cambria" w:cs="Cambria"/>
          <w:b/>
          <w:bCs/>
          <w:sz w:val="20"/>
          <w:szCs w:val="20"/>
        </w:rPr>
        <w:tab/>
        <w:t xml:space="preserve">DUPLICATION OF PROCEDURES AND INTERNATIONAL </w:t>
      </w:r>
      <w:r w:rsidRPr="00B949EB">
        <w:rPr>
          <w:rFonts w:ascii="Cambria" w:hAnsi="Cambria" w:cs="Cambria"/>
          <w:b/>
          <w:bCs/>
          <w:i/>
          <w:iCs/>
          <w:sz w:val="20"/>
          <w:szCs w:val="20"/>
        </w:rPr>
        <w:t>RES JUDICATA</w:t>
      </w:r>
      <w:r w:rsidRPr="00B949EB">
        <w:rPr>
          <w:rFonts w:ascii="Cambria" w:hAnsi="Cambria" w:cs="Cambria"/>
          <w:b/>
          <w:bCs/>
          <w:sz w:val="20"/>
          <w:szCs w:val="20"/>
        </w:rPr>
        <w:t>, COLORABLE CLAIM, EXHAUSTION OF DOMESTIC REMEDIES, AND TIMELINESS OF THE PETITION</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31"/>
        <w:gridCol w:w="5863"/>
      </w:tblGrid>
      <w:tr w:rsidR="00881C1D" w:rsidRPr="00B949EB" w:rsidTr="00881D9E">
        <w:trPr>
          <w:cantSplit/>
        </w:trPr>
        <w:tc>
          <w:tcPr>
            <w:tcW w:w="3531" w:type="dxa"/>
            <w:tcBorders>
              <w:top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 xml:space="preserve">Duplication of procedures and international </w:t>
            </w:r>
            <w:r w:rsidRPr="00B949EB">
              <w:rPr>
                <w:rFonts w:ascii="Cambria" w:hAnsi="Cambria" w:cs="Cambria"/>
                <w:b/>
                <w:bCs/>
                <w:i/>
                <w:iCs/>
                <w:color w:val="FFFFFF"/>
                <w:sz w:val="20"/>
                <w:szCs w:val="20"/>
              </w:rPr>
              <w:t>res judicata</w:t>
            </w:r>
            <w:r w:rsidRPr="00B949EB">
              <w:rPr>
                <w:rFonts w:ascii="Cambria" w:hAnsi="Cambria" w:cs="Cambria"/>
                <w:b/>
                <w:bCs/>
                <w:color w:val="FFFFFF"/>
                <w:sz w:val="20"/>
                <w:szCs w:val="20"/>
              </w:rPr>
              <w:t>:</w:t>
            </w:r>
          </w:p>
        </w:tc>
        <w:tc>
          <w:tcPr>
            <w:tcW w:w="5863" w:type="dxa"/>
            <w:tcBorders>
              <w:top w:val="single" w:sz="4" w:space="0" w:color="auto"/>
            </w:tcBorders>
            <w:vAlign w:val="center"/>
          </w:tcPr>
          <w:p w:rsidR="00881C1D" w:rsidRPr="00B949EB" w:rsidRDefault="00881C1D" w:rsidP="00F25DC8">
            <w:pPr>
              <w:rPr>
                <w:rFonts w:ascii="Cambria" w:hAnsi="Cambria" w:cs="Cambria"/>
                <w:sz w:val="20"/>
                <w:szCs w:val="20"/>
              </w:rPr>
            </w:pPr>
            <w:r w:rsidRPr="00B949EB">
              <w:rPr>
                <w:rFonts w:ascii="Cambria" w:hAnsi="Cambria" w:cs="Cambria"/>
                <w:sz w:val="20"/>
                <w:szCs w:val="20"/>
              </w:rPr>
              <w:t>No</w:t>
            </w:r>
          </w:p>
        </w:tc>
      </w:tr>
      <w:tr w:rsidR="00881C1D" w:rsidRPr="00B949EB" w:rsidTr="00881D9E">
        <w:trPr>
          <w:cantSplit/>
        </w:trPr>
        <w:tc>
          <w:tcPr>
            <w:tcW w:w="3531" w:type="dxa"/>
            <w:tcBorders>
              <w:top w:val="single" w:sz="4" w:space="0" w:color="auto"/>
            </w:tcBorders>
            <w:shd w:val="clear" w:color="auto" w:fill="67AE3C"/>
            <w:vAlign w:val="center"/>
          </w:tcPr>
          <w:p w:rsidR="00881C1D" w:rsidRPr="00B949EB" w:rsidRDefault="00881C1D" w:rsidP="00FE084A">
            <w:pPr>
              <w:jc w:val="center"/>
              <w:rPr>
                <w:rFonts w:ascii="Cambria" w:hAnsi="Cambria" w:cs="Cambria"/>
                <w:b/>
                <w:bCs/>
                <w:i/>
                <w:iCs/>
                <w:color w:val="FFFFFF"/>
                <w:sz w:val="20"/>
                <w:szCs w:val="20"/>
              </w:rPr>
            </w:pPr>
            <w:r w:rsidRPr="00B949EB">
              <w:rPr>
                <w:rFonts w:ascii="Cambria" w:hAnsi="Cambria" w:cs="Cambria"/>
                <w:b/>
                <w:bCs/>
                <w:color w:val="FFFFFF"/>
                <w:sz w:val="20"/>
                <w:szCs w:val="20"/>
              </w:rPr>
              <w:t xml:space="preserve">Rights declared admissible: </w:t>
            </w:r>
          </w:p>
        </w:tc>
        <w:tc>
          <w:tcPr>
            <w:tcW w:w="5863" w:type="dxa"/>
            <w:vAlign w:val="center"/>
          </w:tcPr>
          <w:p w:rsidR="00881C1D" w:rsidRPr="00B949EB" w:rsidRDefault="00881C1D" w:rsidP="00693F6E">
            <w:pPr>
              <w:jc w:val="both"/>
              <w:rPr>
                <w:rFonts w:ascii="Cambria" w:hAnsi="Cambria" w:cs="Cambria"/>
                <w:sz w:val="20"/>
                <w:szCs w:val="20"/>
              </w:rPr>
            </w:pPr>
            <w:r w:rsidRPr="00B949EB">
              <w:rPr>
                <w:rFonts w:ascii="Cambria" w:hAnsi="Cambria" w:cs="Cambria"/>
                <w:sz w:val="20"/>
                <w:szCs w:val="20"/>
              </w:rPr>
              <w:t>Articles 4 (life), 5 (humane treatment), 8 (right to a fair trial), 19 (rights of the child), 22 (freedom of movement and residence), 24 (equality before the law), and 25 (judicial protection) of the American Convention, in conjunction with Articles 1.1 (obligation to respect rights) and 2 (domestic legal effects) thereof.</w:t>
            </w:r>
          </w:p>
        </w:tc>
      </w:tr>
      <w:tr w:rsidR="00881C1D" w:rsidRPr="00B949EB" w:rsidTr="00881D9E">
        <w:trPr>
          <w:cantSplit/>
        </w:trPr>
        <w:tc>
          <w:tcPr>
            <w:tcW w:w="3531" w:type="dxa"/>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 xml:space="preserve">Exhaustion of domestic remedies or applicability of an exception to the rule: </w:t>
            </w:r>
          </w:p>
        </w:tc>
        <w:tc>
          <w:tcPr>
            <w:tcW w:w="5863" w:type="dxa"/>
            <w:vAlign w:val="center"/>
          </w:tcPr>
          <w:p w:rsidR="00881C1D" w:rsidRPr="00B949EB" w:rsidRDefault="00693F6E" w:rsidP="00F25DC8">
            <w:pPr>
              <w:widowControl w:val="0"/>
              <w:autoSpaceDE w:val="0"/>
              <w:autoSpaceDN w:val="0"/>
              <w:adjustRightInd w:val="0"/>
              <w:rPr>
                <w:rFonts w:ascii="Cambria" w:hAnsi="Cambria" w:cs="Cambria"/>
                <w:color w:val="000000"/>
                <w:sz w:val="20"/>
                <w:szCs w:val="20"/>
                <w:lang w:eastAsia="es-ES"/>
              </w:rPr>
            </w:pPr>
            <w:r>
              <w:rPr>
                <w:rFonts w:ascii="Cambria" w:hAnsi="Cambria" w:cs="Cambria"/>
                <w:color w:val="000000"/>
                <w:sz w:val="20"/>
                <w:szCs w:val="20"/>
                <w:lang w:eastAsia="es-ES"/>
              </w:rPr>
              <w:t>Yes, as indicated in section VI</w:t>
            </w:r>
            <w:r w:rsidR="00881C1D" w:rsidRPr="00B949EB">
              <w:rPr>
                <w:rFonts w:ascii="Cambria" w:hAnsi="Cambria" w:cs="Cambria"/>
                <w:color w:val="000000"/>
                <w:sz w:val="20"/>
                <w:szCs w:val="20"/>
                <w:lang w:eastAsia="es-ES"/>
              </w:rPr>
              <w:t xml:space="preserve"> </w:t>
            </w:r>
          </w:p>
        </w:tc>
      </w:tr>
      <w:tr w:rsidR="00881C1D" w:rsidRPr="00B949EB" w:rsidTr="00881D9E">
        <w:trPr>
          <w:cantSplit/>
        </w:trPr>
        <w:tc>
          <w:tcPr>
            <w:tcW w:w="3531" w:type="dxa"/>
            <w:tcBorders>
              <w:bottom w:val="single" w:sz="4" w:space="0" w:color="auto"/>
            </w:tcBorders>
            <w:shd w:val="clear" w:color="auto" w:fill="67AE3C"/>
            <w:vAlign w:val="center"/>
          </w:tcPr>
          <w:p w:rsidR="00881C1D" w:rsidRPr="00B949EB" w:rsidRDefault="00881C1D" w:rsidP="00FE084A">
            <w:pPr>
              <w:jc w:val="center"/>
              <w:rPr>
                <w:rFonts w:ascii="Cambria" w:hAnsi="Cambria" w:cs="Cambria"/>
                <w:b/>
                <w:bCs/>
                <w:color w:val="FFFFFF"/>
                <w:sz w:val="20"/>
                <w:szCs w:val="20"/>
              </w:rPr>
            </w:pPr>
            <w:r w:rsidRPr="00B949EB">
              <w:rPr>
                <w:rFonts w:ascii="Cambria" w:hAnsi="Cambria" w:cs="Cambria"/>
                <w:b/>
                <w:bCs/>
                <w:color w:val="FFFFFF"/>
                <w:sz w:val="20"/>
                <w:szCs w:val="20"/>
              </w:rPr>
              <w:t>Timeliness of the petition:</w:t>
            </w:r>
          </w:p>
        </w:tc>
        <w:tc>
          <w:tcPr>
            <w:tcW w:w="5863" w:type="dxa"/>
            <w:tcBorders>
              <w:bottom w:val="single" w:sz="4" w:space="0" w:color="auto"/>
            </w:tcBorders>
            <w:vAlign w:val="center"/>
          </w:tcPr>
          <w:p w:rsidR="00881C1D" w:rsidRPr="00B949EB" w:rsidRDefault="00881C1D" w:rsidP="00F25DC8">
            <w:pPr>
              <w:widowControl w:val="0"/>
              <w:autoSpaceDE w:val="0"/>
              <w:autoSpaceDN w:val="0"/>
              <w:adjustRightInd w:val="0"/>
              <w:rPr>
                <w:rFonts w:ascii="Cambria" w:hAnsi="Cambria" w:cs="Cambria"/>
                <w:color w:val="000000"/>
                <w:sz w:val="20"/>
                <w:szCs w:val="20"/>
                <w:lang w:eastAsia="es-ES"/>
              </w:rPr>
            </w:pPr>
            <w:r w:rsidRPr="00B949EB">
              <w:rPr>
                <w:rFonts w:ascii="Cambria" w:hAnsi="Cambria" w:cs="Cambria"/>
                <w:color w:val="000000"/>
                <w:sz w:val="20"/>
                <w:szCs w:val="20"/>
                <w:lang w:eastAsia="es-ES"/>
              </w:rPr>
              <w:t>Y</w:t>
            </w:r>
            <w:r w:rsidR="00693F6E">
              <w:rPr>
                <w:rFonts w:ascii="Cambria" w:hAnsi="Cambria" w:cs="Cambria"/>
                <w:color w:val="000000"/>
                <w:sz w:val="20"/>
                <w:szCs w:val="20"/>
                <w:lang w:eastAsia="es-ES"/>
              </w:rPr>
              <w:t>es, as indicated in section VI</w:t>
            </w:r>
          </w:p>
        </w:tc>
      </w:tr>
    </w:tbl>
    <w:p w:rsidR="00881C1D" w:rsidRPr="00B949EB" w:rsidRDefault="00881C1D" w:rsidP="00344528">
      <w:pPr>
        <w:spacing w:before="240" w:after="240"/>
        <w:ind w:firstLine="720"/>
        <w:jc w:val="both"/>
        <w:rPr>
          <w:rFonts w:ascii="Cambria" w:hAnsi="Cambria" w:cs="Cambria"/>
          <w:b/>
          <w:bCs/>
          <w:sz w:val="20"/>
          <w:szCs w:val="20"/>
        </w:rPr>
      </w:pPr>
    </w:p>
    <w:p w:rsidR="00881C1D" w:rsidRPr="00B949EB" w:rsidRDefault="00881C1D" w:rsidP="00344528">
      <w:pPr>
        <w:rPr>
          <w:rFonts w:ascii="Cambria" w:hAnsi="Cambria" w:cs="Cambria"/>
          <w:b/>
          <w:bCs/>
          <w:sz w:val="20"/>
          <w:szCs w:val="20"/>
        </w:rPr>
      </w:pPr>
      <w:r w:rsidRPr="00B949EB">
        <w:rPr>
          <w:rFonts w:ascii="Cambria" w:hAnsi="Cambria" w:cs="Cambria"/>
          <w:b/>
          <w:bCs/>
          <w:sz w:val="20"/>
          <w:szCs w:val="20"/>
        </w:rPr>
        <w:br w:type="page"/>
      </w:r>
    </w:p>
    <w:p w:rsidR="00881C1D" w:rsidRPr="00B949EB" w:rsidRDefault="00881D9E" w:rsidP="00344528">
      <w:pPr>
        <w:spacing w:before="240" w:after="240"/>
        <w:ind w:firstLine="720"/>
        <w:jc w:val="both"/>
        <w:rPr>
          <w:rFonts w:ascii="Cambria" w:hAnsi="Cambria" w:cs="Cambria"/>
          <w:b/>
          <w:bCs/>
          <w:sz w:val="20"/>
          <w:szCs w:val="20"/>
        </w:rPr>
      </w:pPr>
      <w:r>
        <w:rPr>
          <w:rFonts w:ascii="Cambria" w:hAnsi="Cambria" w:cs="Cambria"/>
          <w:b/>
          <w:bCs/>
          <w:sz w:val="20"/>
          <w:szCs w:val="20"/>
        </w:rPr>
        <w:lastRenderedPageBreak/>
        <w:t xml:space="preserve">V. </w:t>
      </w:r>
      <w:r>
        <w:rPr>
          <w:rFonts w:ascii="Cambria" w:hAnsi="Cambria" w:cs="Cambria"/>
          <w:b/>
          <w:bCs/>
          <w:sz w:val="20"/>
          <w:szCs w:val="20"/>
        </w:rPr>
        <w:tab/>
        <w:t>ALLEGED</w:t>
      </w:r>
      <w:r w:rsidR="00693F6E" w:rsidRPr="00693F6E">
        <w:t xml:space="preserve"> </w:t>
      </w:r>
      <w:r w:rsidR="00693F6E" w:rsidRPr="00693F6E">
        <w:rPr>
          <w:rFonts w:ascii="Cambria" w:hAnsi="Cambria" w:cs="Cambria"/>
          <w:b/>
          <w:bCs/>
          <w:sz w:val="20"/>
          <w:szCs w:val="20"/>
        </w:rPr>
        <w:t>FACTS</w:t>
      </w:r>
    </w:p>
    <w:p w:rsidR="00881C1D" w:rsidRPr="00B949EB" w:rsidRDefault="00881C1D" w:rsidP="00344528">
      <w:pPr>
        <w:pStyle w:val="ListParagraph"/>
        <w:numPr>
          <w:ilvl w:val="0"/>
          <w:numId w:val="51"/>
        </w:numPr>
        <w:ind w:left="0"/>
        <w:jc w:val="both"/>
        <w:rPr>
          <w:color w:val="auto"/>
          <w:sz w:val="20"/>
          <w:szCs w:val="20"/>
        </w:rPr>
      </w:pPr>
      <w:r w:rsidRPr="00B949EB">
        <w:rPr>
          <w:color w:val="auto"/>
          <w:sz w:val="20"/>
          <w:szCs w:val="20"/>
        </w:rPr>
        <w:t xml:space="preserve">This petition addresses the massacre that took place on May 2, 2002, in the town center of </w:t>
      </w:r>
      <w:proofErr w:type="spellStart"/>
      <w:r w:rsidRPr="00B949EB">
        <w:rPr>
          <w:color w:val="auto"/>
          <w:sz w:val="20"/>
          <w:szCs w:val="20"/>
        </w:rPr>
        <w:t>Cañolindo</w:t>
      </w:r>
      <w:proofErr w:type="spellEnd"/>
      <w:r w:rsidRPr="00B949EB">
        <w:rPr>
          <w:color w:val="auto"/>
          <w:sz w:val="20"/>
          <w:szCs w:val="20"/>
        </w:rPr>
        <w:t xml:space="preserve">, located in </w:t>
      </w:r>
      <w:proofErr w:type="spellStart"/>
      <w:r w:rsidRPr="00B949EB">
        <w:rPr>
          <w:color w:val="auto"/>
          <w:sz w:val="20"/>
          <w:szCs w:val="20"/>
        </w:rPr>
        <w:t>Bellavista</w:t>
      </w:r>
      <w:proofErr w:type="spellEnd"/>
      <w:r w:rsidRPr="00B949EB">
        <w:rPr>
          <w:color w:val="auto"/>
          <w:sz w:val="20"/>
          <w:szCs w:val="20"/>
        </w:rPr>
        <w:t xml:space="preserve">, the municipal seat of </w:t>
      </w:r>
      <w:proofErr w:type="spellStart"/>
      <w:r w:rsidRPr="00B949EB">
        <w:rPr>
          <w:color w:val="auto"/>
          <w:sz w:val="20"/>
          <w:szCs w:val="20"/>
        </w:rPr>
        <w:t>Bojayá</w:t>
      </w:r>
      <w:proofErr w:type="spellEnd"/>
      <w:r w:rsidRPr="00B949EB">
        <w:rPr>
          <w:color w:val="auto"/>
          <w:sz w:val="20"/>
          <w:szCs w:val="20"/>
        </w:rPr>
        <w:t xml:space="preserve">, in the </w:t>
      </w:r>
      <w:proofErr w:type="spellStart"/>
      <w:r w:rsidRPr="00B949EB">
        <w:rPr>
          <w:color w:val="auto"/>
          <w:sz w:val="20"/>
          <w:szCs w:val="20"/>
        </w:rPr>
        <w:t>Atrato</w:t>
      </w:r>
      <w:proofErr w:type="spellEnd"/>
      <w:r w:rsidRPr="00B949EB">
        <w:rPr>
          <w:color w:val="auto"/>
          <w:sz w:val="20"/>
          <w:szCs w:val="20"/>
        </w:rPr>
        <w:t xml:space="preserve"> Medio area of the department of Chocó. The region is one of the country’s most underprivileged and its population is predominantly Afro-Colombian. The petitioner contends that the authorities, in spite of being aware of an imminent massacre and its possible consequences, </w:t>
      </w:r>
      <w:r w:rsidR="00E4650B">
        <w:rPr>
          <w:color w:val="auto"/>
          <w:sz w:val="20"/>
          <w:szCs w:val="20"/>
        </w:rPr>
        <w:t xml:space="preserve">omitted </w:t>
      </w:r>
      <w:r w:rsidRPr="00B949EB">
        <w:rPr>
          <w:color w:val="auto"/>
          <w:sz w:val="20"/>
          <w:szCs w:val="20"/>
        </w:rPr>
        <w:t xml:space="preserve"> to carry out actions to prevent numerous clashes between members of the Revolutionary Armed Forces of Colombia – People’s Army (FARC-EP) and the United Self-Defense Forces of Colombia (the Self-Defense Forces or AUC). It states that starting in 1996, the </w:t>
      </w:r>
      <w:proofErr w:type="spellStart"/>
      <w:r w:rsidRPr="00B949EB">
        <w:rPr>
          <w:color w:val="auto"/>
          <w:sz w:val="20"/>
          <w:szCs w:val="20"/>
        </w:rPr>
        <w:t>Bojayá</w:t>
      </w:r>
      <w:proofErr w:type="spellEnd"/>
      <w:r w:rsidRPr="00B949EB">
        <w:rPr>
          <w:color w:val="auto"/>
          <w:sz w:val="20"/>
          <w:szCs w:val="20"/>
        </w:rPr>
        <w:t xml:space="preserve"> area was the site of constant fighting, in spite of which in 2000 the State ordered the withdrawal of all its police officers from the community of Bellavista and other neighboring areas, leaving the population unprotected and in a state of extreme vulnerability. It claims that more than 79 people were killed in the massacre, 40 of whom were children, and that many others were seriously injured, and that it additionally led to the mass displacement of the affected population. </w:t>
      </w:r>
    </w:p>
    <w:p w:rsidR="00881C1D" w:rsidRPr="00881D9E" w:rsidRDefault="00881C1D" w:rsidP="00344528">
      <w:pPr>
        <w:rPr>
          <w:rFonts w:ascii="Cambria" w:hAnsi="Cambria" w:cs="Cambria"/>
          <w:sz w:val="20"/>
          <w:szCs w:val="20"/>
        </w:rPr>
      </w:pPr>
    </w:p>
    <w:p w:rsidR="00881C1D" w:rsidRPr="00B949EB" w:rsidRDefault="00881C1D" w:rsidP="00344528">
      <w:pPr>
        <w:pStyle w:val="ListParagraph"/>
        <w:numPr>
          <w:ilvl w:val="0"/>
          <w:numId w:val="51"/>
        </w:numPr>
        <w:ind w:left="0"/>
        <w:jc w:val="both"/>
        <w:rPr>
          <w:color w:val="auto"/>
          <w:sz w:val="20"/>
          <w:szCs w:val="20"/>
        </w:rPr>
      </w:pPr>
      <w:r w:rsidRPr="00B949EB">
        <w:rPr>
          <w:color w:val="auto"/>
          <w:sz w:val="20"/>
          <w:szCs w:val="20"/>
        </w:rPr>
        <w:t xml:space="preserve">The petitioner states that in the morning of May 1, 2002, large-scale fighting began between the Self-Defense Forces and the FARC-EP in </w:t>
      </w:r>
      <w:proofErr w:type="spellStart"/>
      <w:r w:rsidRPr="00B949EB">
        <w:rPr>
          <w:color w:val="auto"/>
          <w:sz w:val="20"/>
          <w:szCs w:val="20"/>
        </w:rPr>
        <w:t>Vigía</w:t>
      </w:r>
      <w:proofErr w:type="spellEnd"/>
      <w:r w:rsidRPr="00B949EB">
        <w:rPr>
          <w:color w:val="auto"/>
          <w:sz w:val="20"/>
          <w:szCs w:val="20"/>
        </w:rPr>
        <w:t xml:space="preserve"> del </w:t>
      </w:r>
      <w:proofErr w:type="spellStart"/>
      <w:r w:rsidRPr="00B949EB">
        <w:rPr>
          <w:color w:val="auto"/>
          <w:sz w:val="20"/>
          <w:szCs w:val="20"/>
        </w:rPr>
        <w:t>Fuerte</w:t>
      </w:r>
      <w:proofErr w:type="spellEnd"/>
      <w:r w:rsidRPr="00B949EB">
        <w:rPr>
          <w:color w:val="auto"/>
          <w:sz w:val="20"/>
          <w:szCs w:val="20"/>
        </w:rPr>
        <w:t xml:space="preserve">, Antioquia, and </w:t>
      </w:r>
      <w:proofErr w:type="spellStart"/>
      <w:r w:rsidRPr="00B949EB">
        <w:rPr>
          <w:color w:val="auto"/>
          <w:sz w:val="20"/>
          <w:szCs w:val="20"/>
        </w:rPr>
        <w:t>Bojayá</w:t>
      </w:r>
      <w:proofErr w:type="spellEnd"/>
      <w:r w:rsidRPr="00B949EB">
        <w:rPr>
          <w:color w:val="auto"/>
          <w:sz w:val="20"/>
          <w:szCs w:val="20"/>
        </w:rPr>
        <w:t xml:space="preserve">, Chocó. It reports that the clashes intensified over the course of the next day, as a result of which the civilian population sought refuge in the </w:t>
      </w:r>
      <w:proofErr w:type="spellStart"/>
      <w:r w:rsidRPr="00B949EB">
        <w:rPr>
          <w:color w:val="auto"/>
          <w:sz w:val="20"/>
          <w:szCs w:val="20"/>
        </w:rPr>
        <w:t>Cañolindo</w:t>
      </w:r>
      <w:proofErr w:type="spellEnd"/>
      <w:r w:rsidRPr="00B949EB">
        <w:rPr>
          <w:color w:val="auto"/>
          <w:sz w:val="20"/>
          <w:szCs w:val="20"/>
        </w:rPr>
        <w:t xml:space="preserve"> town center church and the members of the AUC took up positions behind it. In that context, the petitioner indicates that at 10:45 a.m. on May 2, the FARC-EP threw a gas tank (cylinder bomb) at the AUC, which directly struck the church and killed more than 70 civilians and seriously injured numerous survivors. It adds that in the aftermath of these serious incidents, as certified by the records of the Social Solidarity Network, between May 3 and 12, 2002, more than 1,971 local inhabitants were displaced, 49.8% of whom were women and 54% were aged </w:t>
      </w:r>
      <w:r w:rsidR="004E358D" w:rsidRPr="00B949EB">
        <w:rPr>
          <w:color w:val="auto"/>
          <w:sz w:val="20"/>
          <w:szCs w:val="20"/>
        </w:rPr>
        <w:t>fewer than</w:t>
      </w:r>
      <w:r w:rsidRPr="00B949EB">
        <w:rPr>
          <w:color w:val="auto"/>
          <w:sz w:val="20"/>
          <w:szCs w:val="20"/>
        </w:rPr>
        <w:t xml:space="preserve"> 18. </w:t>
      </w:r>
    </w:p>
    <w:p w:rsidR="00881C1D" w:rsidRPr="00B949EB" w:rsidRDefault="00881C1D" w:rsidP="00344528">
      <w:pPr>
        <w:jc w:val="both"/>
        <w:rPr>
          <w:sz w:val="20"/>
          <w:szCs w:val="20"/>
        </w:rPr>
      </w:pPr>
    </w:p>
    <w:p w:rsidR="00881C1D" w:rsidRPr="00B949EB" w:rsidRDefault="00881C1D" w:rsidP="00344528">
      <w:pPr>
        <w:pStyle w:val="ListParagraph"/>
        <w:numPr>
          <w:ilvl w:val="0"/>
          <w:numId w:val="51"/>
        </w:numPr>
        <w:ind w:left="0"/>
        <w:jc w:val="both"/>
        <w:rPr>
          <w:color w:val="auto"/>
          <w:sz w:val="20"/>
          <w:szCs w:val="20"/>
        </w:rPr>
      </w:pPr>
      <w:r w:rsidRPr="00B949EB">
        <w:rPr>
          <w:color w:val="auto"/>
          <w:sz w:val="20"/>
          <w:szCs w:val="20"/>
        </w:rPr>
        <w:t xml:space="preserve">The petitioner contends that over the course of the previous days the State’s authorities were aware of the possibility of a massacre, but that they took no steps to protect the communities. It reports that on April 20, 2002, the mayor of Darién municipality informed the Intelligence Group of the Administrative Security Department (DAS) that members of the Self-Defense Forces had killed at least five people and ransacked local businesses prior to conducting an armed incursion into the municipalities of </w:t>
      </w:r>
      <w:proofErr w:type="spellStart"/>
      <w:r w:rsidRPr="00B949EB">
        <w:rPr>
          <w:color w:val="auto"/>
          <w:sz w:val="20"/>
          <w:szCs w:val="20"/>
        </w:rPr>
        <w:t>Vigía</w:t>
      </w:r>
      <w:proofErr w:type="spellEnd"/>
      <w:r w:rsidRPr="00B949EB">
        <w:rPr>
          <w:color w:val="auto"/>
          <w:sz w:val="20"/>
          <w:szCs w:val="20"/>
        </w:rPr>
        <w:t xml:space="preserve"> del </w:t>
      </w:r>
      <w:proofErr w:type="spellStart"/>
      <w:r w:rsidRPr="00B949EB">
        <w:rPr>
          <w:color w:val="auto"/>
          <w:sz w:val="20"/>
          <w:szCs w:val="20"/>
        </w:rPr>
        <w:t>Fuerte</w:t>
      </w:r>
      <w:proofErr w:type="spellEnd"/>
      <w:r w:rsidRPr="00B949EB">
        <w:rPr>
          <w:color w:val="auto"/>
          <w:sz w:val="20"/>
          <w:szCs w:val="20"/>
        </w:rPr>
        <w:t xml:space="preserve"> and </w:t>
      </w:r>
      <w:proofErr w:type="spellStart"/>
      <w:r w:rsidRPr="00B949EB">
        <w:rPr>
          <w:color w:val="auto"/>
          <w:sz w:val="20"/>
          <w:szCs w:val="20"/>
        </w:rPr>
        <w:t>Bojayá</w:t>
      </w:r>
      <w:proofErr w:type="spellEnd"/>
      <w:r w:rsidRPr="00B949EB">
        <w:rPr>
          <w:color w:val="auto"/>
          <w:sz w:val="20"/>
          <w:szCs w:val="20"/>
        </w:rPr>
        <w:t xml:space="preserve">. Thus, the petitioner alleges acquiescence in that on April 21, 2002, the armed forces allowed a river-borne incursion by more than 11 vessels carrying around two hundred heavily armed paramilitaries from Punta de Turbo, Antioquia, to </w:t>
      </w:r>
      <w:proofErr w:type="spellStart"/>
      <w:r w:rsidRPr="00B949EB">
        <w:rPr>
          <w:color w:val="auto"/>
          <w:sz w:val="20"/>
          <w:szCs w:val="20"/>
        </w:rPr>
        <w:t>Bojayá</w:t>
      </w:r>
      <w:proofErr w:type="spellEnd"/>
      <w:r w:rsidRPr="00B949EB">
        <w:rPr>
          <w:color w:val="auto"/>
          <w:sz w:val="20"/>
          <w:szCs w:val="20"/>
        </w:rPr>
        <w:t xml:space="preserve">. It contends that the permanent checkpoints of the police and armed forces failed to conduct the obligatory controls of persons traveling through the area. </w:t>
      </w:r>
    </w:p>
    <w:p w:rsidR="00881C1D" w:rsidRPr="00B949EB" w:rsidRDefault="00881C1D" w:rsidP="009F644A">
      <w:pPr>
        <w:pStyle w:val="ListParagraph"/>
        <w:ind w:left="0"/>
        <w:jc w:val="both"/>
        <w:rPr>
          <w:color w:val="auto"/>
          <w:sz w:val="20"/>
          <w:szCs w:val="20"/>
        </w:rPr>
      </w:pPr>
    </w:p>
    <w:p w:rsidR="00881C1D" w:rsidRPr="00B949EB" w:rsidRDefault="00881C1D" w:rsidP="00344528">
      <w:pPr>
        <w:pStyle w:val="ListParagraph"/>
        <w:numPr>
          <w:ilvl w:val="0"/>
          <w:numId w:val="51"/>
        </w:numPr>
        <w:ind w:left="0"/>
        <w:jc w:val="both"/>
        <w:rPr>
          <w:sz w:val="20"/>
          <w:szCs w:val="20"/>
        </w:rPr>
      </w:pPr>
      <w:r w:rsidRPr="00B949EB">
        <w:rPr>
          <w:color w:val="auto"/>
          <w:sz w:val="20"/>
          <w:szCs w:val="20"/>
        </w:rPr>
        <w:t xml:space="preserve">The petitioner also indicates that the facts were conveyed to various government authorities by the Office of the United Nations High Commissioner for Human Rights in Colombia, in reports and communications sent on April 21, 22, and 23, </w:t>
      </w:r>
      <w:r w:rsidR="00C964F0" w:rsidRPr="00B949EB">
        <w:rPr>
          <w:color w:val="auto"/>
          <w:sz w:val="20"/>
          <w:szCs w:val="20"/>
        </w:rPr>
        <w:t>2002 that</w:t>
      </w:r>
      <w:r w:rsidRPr="00B949EB">
        <w:rPr>
          <w:color w:val="auto"/>
          <w:sz w:val="20"/>
          <w:szCs w:val="20"/>
        </w:rPr>
        <w:t xml:space="preserve"> expressly requested the urgent adoption of preventive measures to protect the population from the actions of armed groups in Bellavista. It adds that on April 24, 2002, the Office of the People’s Defender issued a first-level early warning regarding the serious and imminent danger facing the population of </w:t>
      </w:r>
      <w:proofErr w:type="spellStart"/>
      <w:r w:rsidRPr="00B949EB">
        <w:rPr>
          <w:color w:val="auto"/>
          <w:sz w:val="20"/>
          <w:szCs w:val="20"/>
        </w:rPr>
        <w:t>Bojayá</w:t>
      </w:r>
      <w:proofErr w:type="spellEnd"/>
      <w:r w:rsidRPr="00B949EB">
        <w:rPr>
          <w:color w:val="auto"/>
          <w:sz w:val="20"/>
          <w:szCs w:val="20"/>
        </w:rPr>
        <w:t xml:space="preserve"> on account of some 300 members of the AUC who were advancing in order to dispute control over the territory with the FARC. That alert described, among the potential risks, the possibility of a massacre of the civilian population, their forced displacement, and a shortage of supplies. The petitioner therefore maintains that on account of its geographical and material dimensions, the risk should have been clearly foreseeable by the military, police, and government authorities, including the Armed Forces Command, the Command of the First Division of the Army, the General Directorate of Police, the Antioquia Departmental Police Command, the Chocó and Antioquia departmental governments, the Chocó departmental Inspector General, the DAS, the </w:t>
      </w:r>
      <w:r w:rsidR="00C964F0">
        <w:rPr>
          <w:color w:val="auto"/>
          <w:sz w:val="20"/>
          <w:szCs w:val="20"/>
        </w:rPr>
        <w:t>I</w:t>
      </w:r>
      <w:r w:rsidRPr="00B949EB">
        <w:rPr>
          <w:color w:val="auto"/>
          <w:sz w:val="20"/>
          <w:szCs w:val="20"/>
        </w:rPr>
        <w:t xml:space="preserve">nterior and </w:t>
      </w:r>
      <w:r w:rsidR="00C964F0">
        <w:rPr>
          <w:color w:val="auto"/>
          <w:sz w:val="20"/>
          <w:szCs w:val="20"/>
        </w:rPr>
        <w:t>D</w:t>
      </w:r>
      <w:r w:rsidRPr="00B949EB">
        <w:rPr>
          <w:color w:val="auto"/>
          <w:sz w:val="20"/>
          <w:szCs w:val="20"/>
        </w:rPr>
        <w:t xml:space="preserve">efense ministers, the Social Solidarity Network, and the Vice President of the Republic. </w:t>
      </w:r>
    </w:p>
    <w:p w:rsidR="00881C1D" w:rsidRPr="00B949EB" w:rsidRDefault="00881C1D" w:rsidP="00344528">
      <w:pPr>
        <w:jc w:val="both"/>
        <w:rPr>
          <w:sz w:val="20"/>
          <w:szCs w:val="20"/>
        </w:rPr>
      </w:pP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Furthermore, the petitioner contends that the facts that led to the massacre and subsequent displacements remain unpunished. The petitioner narrates that following the massacre, the Attorney General of the Nation opened a criminal investigation brought by the Thirty-seventh Specialized Prosecutor of Medellín who, on March 2, 2005, formalized accusations against several members of the FARC Secretariat for masterminding a number of crimes, including those committed against the people of </w:t>
      </w:r>
      <w:proofErr w:type="spellStart"/>
      <w:r w:rsidRPr="00B949EB">
        <w:rPr>
          <w:sz w:val="20"/>
          <w:szCs w:val="20"/>
        </w:rPr>
        <w:t>Bojayá</w:t>
      </w:r>
      <w:proofErr w:type="spellEnd"/>
      <w:r w:rsidRPr="00B949EB">
        <w:rPr>
          <w:sz w:val="20"/>
          <w:szCs w:val="20"/>
        </w:rPr>
        <w:t xml:space="preserve">. The information </w:t>
      </w:r>
      <w:r w:rsidRPr="00B949EB">
        <w:rPr>
          <w:sz w:val="20"/>
          <w:szCs w:val="20"/>
        </w:rPr>
        <w:lastRenderedPageBreak/>
        <w:t xml:space="preserve">provided indicates that on August 20, 2009, the Superior Court of </w:t>
      </w:r>
      <w:proofErr w:type="spellStart"/>
      <w:r w:rsidRPr="00B949EB">
        <w:rPr>
          <w:sz w:val="20"/>
          <w:szCs w:val="20"/>
        </w:rPr>
        <w:t>Quibdó</w:t>
      </w:r>
      <w:proofErr w:type="spellEnd"/>
      <w:r w:rsidRPr="00B949EB">
        <w:rPr>
          <w:sz w:val="20"/>
          <w:szCs w:val="20"/>
        </w:rPr>
        <w:t xml:space="preserve"> upheld the prison term of 36 and a half years handed down to one of the accused for a series of crimes including rebellion, murder, and criminal wounding. However, the petitioner maintains that the charges brought against the FARC leaders and the punishment of one of the material participants points to the existence of a fragmented and inefficient investigation that ensured impunity for the perpetrators of the massacre and the masterminds behind it, and particularly for the members of the State’s institutions that allowed the massacre to take place. </w:t>
      </w:r>
    </w:p>
    <w:p w:rsidR="00881C1D" w:rsidRPr="00B949EB" w:rsidRDefault="00881C1D" w:rsidP="009F644A">
      <w:pPr>
        <w:pStyle w:val="ListParagraph"/>
        <w:ind w:left="0"/>
        <w:jc w:val="both"/>
        <w:rPr>
          <w:sz w:val="20"/>
          <w:szCs w:val="20"/>
        </w:rPr>
      </w:pP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The petitioner also reports that several lawsuits were brought before disciplinary and administrative venues. Regarding the former, it states that on July 8, 2003, the Office of the Inspector General of the Nation (PGN) issued a series of charges against a number of military authorities from Infantry Battalion No. 12 for disciplinary offenses in failing to take steps to protect the population. It claims, however, that none of them were effectively investigated or punished. Regarding efforts to secure reparations, the petitioner indicates that in April 2004, relatives of more than 30 of the victims killed in the massacre lodged a suit for direct redress, which was resolved in their favor at the first instance by the Fifth Administrative Relief Circuit Court of </w:t>
      </w:r>
      <w:proofErr w:type="spellStart"/>
      <w:r w:rsidRPr="00B949EB">
        <w:rPr>
          <w:sz w:val="20"/>
          <w:szCs w:val="20"/>
        </w:rPr>
        <w:t>Quibdó</w:t>
      </w:r>
      <w:proofErr w:type="spellEnd"/>
      <w:r w:rsidRPr="00B949EB">
        <w:rPr>
          <w:sz w:val="20"/>
          <w:szCs w:val="20"/>
        </w:rPr>
        <w:t xml:space="preserve"> on July 30, 2013. That judgment was upheld by the Administrative Tribunal of Chocó on March 5, 2015, which found the State, the Ministry of Defense, the Navy, the Army, and the National Police responsible for failing to meet their obligation of protecting, overseeing, and ensuring the security of the population of </w:t>
      </w:r>
      <w:proofErr w:type="spellStart"/>
      <w:r w:rsidRPr="00B949EB">
        <w:rPr>
          <w:sz w:val="20"/>
          <w:szCs w:val="20"/>
        </w:rPr>
        <w:t>Bojayá</w:t>
      </w:r>
      <w:proofErr w:type="spellEnd"/>
      <w:r w:rsidRPr="00B949EB">
        <w:rPr>
          <w:sz w:val="20"/>
          <w:szCs w:val="20"/>
        </w:rPr>
        <w:t>. The judgment ordered the payment of compensation after establishing a massive and systematic violation of human rights and further ordered the reopening of the criminal investigation into the FARC-EP and AUC, and into military and state authorities, in order to determine the extent of their responsibility. The petitioner reports that the judgment has not yet been made final, because the Ministry of Defense lodged a protection action against the reparation measures ordered.</w:t>
      </w:r>
    </w:p>
    <w:p w:rsidR="00881C1D" w:rsidRPr="00B949EB" w:rsidRDefault="00881C1D" w:rsidP="00344528">
      <w:pPr>
        <w:rPr>
          <w:sz w:val="20"/>
          <w:szCs w:val="20"/>
        </w:rPr>
      </w:pP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In contrast, the State maintains that the facts do not tend to establish human rights violations, in that it cannot be assigned responsibility for the massacre since it was carried out by the FARC. It further maintains there is no evidence of a situation of state tolerance or acquiescence and that, on the contrary, public policies have been pursued for the demobilization and dismantling of the illegal armed groups operating in Colombia. It contends that it fulfilled its obligation of protecting the population and ensuring their rights by verifying the information contained in the early-warning information bulletin and by carrying out, in less than 24 hours, the operation that ordered the deployment of troops to the area of the massacre. </w:t>
      </w:r>
    </w:p>
    <w:p w:rsidR="00881C1D" w:rsidRPr="00B949EB" w:rsidRDefault="00881C1D" w:rsidP="009F644A">
      <w:pPr>
        <w:pStyle w:val="ListParagraph"/>
        <w:ind w:left="0"/>
        <w:rPr>
          <w:sz w:val="20"/>
          <w:szCs w:val="20"/>
        </w:rPr>
      </w:pP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It also notes that the responsibility of state agents was the subject of a timely investigation and that no such participation was identified. It reports that following the incident, the 101st Military Criminal Investigating Court opened an investigation into the possible crime of “failing to provide special support,” in which it was decided that no criminal proceedings would be pursued. It adds that the Navy conducted a disciplinary investigation, which was shelved on March 3, 2003. It further states that the Office of the Inspector General of the Nation opened a preliminary investigation into several members of Infantry Battalion No. 12, with an acquittal handed down on November 16, 2004. The State contends that those proceedings have been resolved and constitute </w:t>
      </w:r>
      <w:r w:rsidRPr="00B949EB">
        <w:rPr>
          <w:i/>
          <w:iCs/>
          <w:sz w:val="20"/>
          <w:szCs w:val="20"/>
        </w:rPr>
        <w:t>res judicata</w:t>
      </w:r>
      <w:r w:rsidRPr="00B949EB">
        <w:rPr>
          <w:sz w:val="20"/>
          <w:szCs w:val="20"/>
        </w:rPr>
        <w:t xml:space="preserve">. </w:t>
      </w:r>
    </w:p>
    <w:p w:rsidR="00881C1D" w:rsidRPr="00B949EB" w:rsidRDefault="00881C1D" w:rsidP="009F644A">
      <w:pPr>
        <w:pStyle w:val="ListParagraph"/>
        <w:ind w:left="0"/>
        <w:rPr>
          <w:sz w:val="20"/>
          <w:szCs w:val="20"/>
        </w:rPr>
      </w:pP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Moreover, the State maintains that the remedies available under domestic jurisdiction have not been exhausted. Regarding the actions for direct redress, Colombia states that numerous actions have been simultaneously brought in connection with the incident and the alleged victims, and that many of these have not yet been resolved. Regarding the criminal investigation, it indicates that the Thirty-seventh Specialized Prosecutor’s Office of the Directorate of Human Rights and International Humanitarian Law is pursuing investigation No. 1215. It contends that although it is still at the preliminary stage, judgments have been handed down in the criminal proceedings and 18 FARC members have been convicted. Colombia notes that the investigation has produced no evidence to incriminate members of the Self-Defense Forces. </w:t>
      </w:r>
    </w:p>
    <w:p w:rsidR="00881C1D" w:rsidRPr="00B949EB" w:rsidRDefault="00881C1D" w:rsidP="009F644A">
      <w:pPr>
        <w:pStyle w:val="ListParagraph"/>
        <w:ind w:left="0"/>
        <w:rPr>
          <w:sz w:val="20"/>
          <w:szCs w:val="20"/>
        </w:rPr>
      </w:pP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In conclusion, the State contends that it has a legal system that ensures access to investigation, prosecution, punishment, and comprehensive redress, and that as a result, suits for direct redress and criminal proceedings are ideal mechanisms that the alleged victims have still not exhausted. It holds that the duration of these proceedings cannot be used to justify an exemption to the exhaustion rule, on </w:t>
      </w:r>
      <w:r w:rsidRPr="00B949EB">
        <w:rPr>
          <w:sz w:val="20"/>
          <w:szCs w:val="20"/>
        </w:rPr>
        <w:lastRenderedPageBreak/>
        <w:t xml:space="preserve">account of the specific characteristics of the context, the complexity of the crimes committed, and the continuing progress underway in the investigations. </w:t>
      </w:r>
    </w:p>
    <w:p w:rsidR="00881C1D" w:rsidRPr="00B949EB" w:rsidRDefault="00881C1D" w:rsidP="00CF2B5E">
      <w:pPr>
        <w:spacing w:before="240" w:after="240"/>
        <w:ind w:firstLine="720"/>
        <w:jc w:val="both"/>
        <w:rPr>
          <w:rFonts w:ascii="Cambria" w:hAnsi="Cambria" w:cs="Cambria"/>
          <w:b/>
          <w:bCs/>
          <w:sz w:val="20"/>
          <w:szCs w:val="20"/>
        </w:rPr>
      </w:pPr>
      <w:r w:rsidRPr="00B949EB">
        <w:rPr>
          <w:rFonts w:ascii="Cambria" w:hAnsi="Cambria" w:cs="Cambria"/>
          <w:b/>
          <w:bCs/>
          <w:color w:val="000000"/>
          <w:sz w:val="20"/>
          <w:szCs w:val="20"/>
          <w:u w:color="000000"/>
          <w:lang w:eastAsia="es-ES"/>
        </w:rPr>
        <w:t>VI.</w:t>
      </w:r>
      <w:r w:rsidRPr="00B949EB">
        <w:rPr>
          <w:rFonts w:ascii="Cambria" w:hAnsi="Cambria" w:cs="Cambria"/>
          <w:b/>
          <w:bCs/>
          <w:color w:val="000000"/>
          <w:sz w:val="20"/>
          <w:szCs w:val="20"/>
          <w:u w:color="000000"/>
          <w:lang w:eastAsia="es-ES"/>
        </w:rPr>
        <w:tab/>
        <w:t xml:space="preserve">ANALYSIS OF EXHAUSTION OF DOMESTIC REMEDIES AND TIMELINESS OF THEPETITION </w:t>
      </w:r>
      <w:r w:rsidR="00922125">
        <w:rPr>
          <w:rFonts w:ascii="Cambria" w:hAnsi="Cambria" w:cs="Cambria"/>
          <w:b/>
          <w:bCs/>
          <w:color w:val="000000"/>
          <w:sz w:val="20"/>
          <w:szCs w:val="20"/>
          <w:u w:color="000000"/>
          <w:lang w:eastAsia="es-ES"/>
        </w:rPr>
        <w:t xml:space="preserve"> </w:t>
      </w:r>
    </w:p>
    <w:p w:rsidR="00881C1D" w:rsidRPr="00B949EB" w:rsidRDefault="00881C1D" w:rsidP="00344528">
      <w:pPr>
        <w:pStyle w:val="ListParagraph"/>
        <w:numPr>
          <w:ilvl w:val="0"/>
          <w:numId w:val="51"/>
        </w:numPr>
        <w:ind w:left="0"/>
        <w:jc w:val="both"/>
        <w:rPr>
          <w:sz w:val="20"/>
          <w:szCs w:val="20"/>
        </w:rPr>
      </w:pPr>
      <w:r w:rsidRPr="00B949EB">
        <w:rPr>
          <w:sz w:val="20"/>
          <w:szCs w:val="20"/>
        </w:rPr>
        <w:t xml:space="preserve">The petitioner contends that more than a decade after the massacre in </w:t>
      </w:r>
      <w:proofErr w:type="spellStart"/>
      <w:r w:rsidRPr="00B949EB">
        <w:rPr>
          <w:sz w:val="20"/>
          <w:szCs w:val="20"/>
        </w:rPr>
        <w:t>Bojayá</w:t>
      </w:r>
      <w:proofErr w:type="spellEnd"/>
      <w:r w:rsidRPr="00B949EB">
        <w:rPr>
          <w:sz w:val="20"/>
          <w:szCs w:val="20"/>
        </w:rPr>
        <w:t>, the criminal proceedings remain at the preliminary stage and the authorities have not yet cleared up the facts or identified the persons responsible for the deaths, injuries, and internal displacements. It claims that the judicial inaction and delays on the part of the authorities have guaranteed impunity for the perpetrators. In turn, the State maintains that the domestic remedies have not been exhausted in that the criminal investigations opened by the prosecution service remain ongoing and that, on account of the complexity of the matter, the exceptions set out in Article 46.2 of the Convention are not applicable.</w:t>
      </w:r>
    </w:p>
    <w:p w:rsidR="00881C1D" w:rsidRPr="00B949EB" w:rsidRDefault="00881C1D" w:rsidP="00344528">
      <w:pPr>
        <w:pStyle w:val="ListParagraph"/>
        <w:numPr>
          <w:ilvl w:val="0"/>
          <w:numId w:val="51"/>
        </w:numPr>
        <w:spacing w:before="240" w:after="240"/>
        <w:ind w:left="0"/>
        <w:jc w:val="both"/>
        <w:rPr>
          <w:color w:val="auto"/>
          <w:sz w:val="20"/>
          <w:szCs w:val="20"/>
        </w:rPr>
      </w:pPr>
      <w:r w:rsidRPr="00B949EB">
        <w:rPr>
          <w:color w:val="auto"/>
          <w:sz w:val="20"/>
          <w:szCs w:val="20"/>
        </w:rPr>
        <w:t>The precedents set by the IACHR maintain that whenever a publicly actionable offense is allegedly committed, the State is obliged to institute and pursue criminal proceedings and that this is the suitable channel to clarify the facts, prosecute the responsible parties, establish appropriate criminal penalties, and make possible other means of financial reparation. In addition, as a general rule, the Commission has established that a criminal investigation must be carried out promptly to protect the interests of the victims, to preserve the evidence, and also to safeguard the rights of all persons deemed suspects in the investigation.</w:t>
      </w:r>
      <w:r w:rsidRPr="00B949EB">
        <w:rPr>
          <w:rStyle w:val="FootnoteReference"/>
          <w:color w:val="auto"/>
          <w:sz w:val="20"/>
          <w:szCs w:val="20"/>
        </w:rPr>
        <w:footnoteReference w:id="5"/>
      </w:r>
      <w:r w:rsidRPr="00B949EB">
        <w:rPr>
          <w:color w:val="auto"/>
          <w:sz w:val="20"/>
          <w:szCs w:val="20"/>
        </w:rPr>
        <w:t xml:space="preserve"> From the information furnished by the parties, although some members of the FARC have reportedly been convicted, it appears that the investigation intended to clear up the incident remains at a preliminary stage and that the identities of all those responsible have not been determined. Consequently, in light of the characteristics of the petition and the time that has passed since the incidents described in the claim, the Commission concludes that there has been a delay in the criminal investigation and that, consequently, the exception to the exhaustion of domestic remedies rule provided for in Article 46.2.c of the Convention is applicable.</w:t>
      </w:r>
    </w:p>
    <w:p w:rsidR="00881C1D" w:rsidRPr="00B949EB" w:rsidRDefault="00881C1D" w:rsidP="00344528">
      <w:pPr>
        <w:pStyle w:val="ListParagraph"/>
        <w:numPr>
          <w:ilvl w:val="0"/>
          <w:numId w:val="51"/>
        </w:numPr>
        <w:spacing w:before="240" w:after="240"/>
        <w:ind w:left="0"/>
        <w:jc w:val="both"/>
        <w:rPr>
          <w:color w:val="auto"/>
          <w:sz w:val="20"/>
          <w:szCs w:val="20"/>
          <w:lang w:eastAsia="en-US"/>
        </w:rPr>
      </w:pPr>
      <w:r w:rsidRPr="00B949EB">
        <w:rPr>
          <w:color w:val="auto"/>
          <w:sz w:val="20"/>
          <w:szCs w:val="20"/>
          <w:lang w:eastAsia="en-US"/>
        </w:rPr>
        <w:t>Regarding the timeliness of the petition, the Commission notes that the filing was received on February 25, 2008, the alleged facts began on May 2, 2002, and their effects in terms of the lack of judicial results extend into the present. Consequently, considering the context and characteristics of this petition, the Commission believes that it was lodged within a reasonable time and that the admissibility requirement regarding the timeliness of the petition must be deemed met.</w:t>
      </w:r>
    </w:p>
    <w:p w:rsidR="00881C1D" w:rsidRPr="00B949EB" w:rsidRDefault="00881C1D" w:rsidP="00344528">
      <w:pPr>
        <w:pStyle w:val="ListParagraph"/>
        <w:spacing w:before="240" w:after="240"/>
        <w:jc w:val="both"/>
        <w:rPr>
          <w:b/>
          <w:bCs/>
          <w:sz w:val="20"/>
          <w:szCs w:val="20"/>
        </w:rPr>
      </w:pPr>
      <w:r w:rsidRPr="00B949EB">
        <w:rPr>
          <w:b/>
          <w:bCs/>
          <w:sz w:val="20"/>
          <w:szCs w:val="20"/>
        </w:rPr>
        <w:t>VII.</w:t>
      </w:r>
      <w:r w:rsidRPr="00B949EB">
        <w:rPr>
          <w:b/>
          <w:bCs/>
          <w:sz w:val="20"/>
          <w:szCs w:val="20"/>
        </w:rPr>
        <w:tab/>
        <w:t>ANALYSIS OF COLORABLE CLAIM</w:t>
      </w:r>
    </w:p>
    <w:p w:rsidR="00881C1D" w:rsidRPr="00706FBC" w:rsidRDefault="00881C1D" w:rsidP="00344528">
      <w:pPr>
        <w:pStyle w:val="ListParagraph"/>
        <w:numPr>
          <w:ilvl w:val="0"/>
          <w:numId w:val="51"/>
        </w:numPr>
        <w:spacing w:before="240" w:after="240"/>
        <w:ind w:left="0"/>
        <w:jc w:val="both"/>
        <w:rPr>
          <w:b/>
          <w:bCs/>
          <w:sz w:val="20"/>
          <w:szCs w:val="20"/>
        </w:rPr>
      </w:pPr>
      <w:r w:rsidRPr="00B949EB">
        <w:rPr>
          <w:sz w:val="20"/>
          <w:szCs w:val="20"/>
        </w:rPr>
        <w:t xml:space="preserve">In light of the elements of fact and law set out by the parties and considering the nature of the matter placed before it, the Commission believes that the alleged failure to prevent the massacre that occurred in </w:t>
      </w:r>
      <w:proofErr w:type="spellStart"/>
      <w:r w:rsidRPr="00B949EB">
        <w:rPr>
          <w:sz w:val="20"/>
          <w:szCs w:val="20"/>
        </w:rPr>
        <w:t>Bojayá</w:t>
      </w:r>
      <w:proofErr w:type="spellEnd"/>
      <w:r w:rsidRPr="00B949EB">
        <w:rPr>
          <w:sz w:val="20"/>
          <w:szCs w:val="20"/>
        </w:rPr>
        <w:t>—an area with a predominantly Afro-Colombian population—and the subsequent displacement of the alleged victims, including children, as the result of the actions of illegal armed groups with the acquiescence of the State, together with the absence of an effective criminal investigation into all the possible perpetrators of the massacre and the masterminds behind it, could tend to establish possible violations of the rights protected in Articles 4 (life), 5 (humane treatment), 8 (right to a fair trial), 19 (rights of the child), 22 (freedom of movement and residence), 24 (equality before the law), and 25 (judicial protection) of the American Convention, in conjunction with Articles 1.1 and 2 thereof, with respect to the alleged victims and their families.</w:t>
      </w:r>
    </w:p>
    <w:p w:rsidR="00706FBC" w:rsidRDefault="00706FBC" w:rsidP="00706FBC">
      <w:pPr>
        <w:pStyle w:val="ListParagraph"/>
        <w:spacing w:before="240" w:after="240"/>
        <w:jc w:val="both"/>
        <w:rPr>
          <w:b/>
          <w:bCs/>
          <w:sz w:val="20"/>
          <w:szCs w:val="20"/>
        </w:rPr>
      </w:pPr>
    </w:p>
    <w:p w:rsidR="00706FBC" w:rsidRDefault="00706FBC" w:rsidP="00706FBC">
      <w:pPr>
        <w:pStyle w:val="ListParagraph"/>
        <w:spacing w:before="240" w:after="240"/>
        <w:jc w:val="both"/>
        <w:rPr>
          <w:b/>
          <w:bCs/>
          <w:sz w:val="20"/>
          <w:szCs w:val="20"/>
        </w:rPr>
      </w:pPr>
    </w:p>
    <w:p w:rsidR="00706FBC" w:rsidRPr="00B949EB" w:rsidRDefault="00706FBC" w:rsidP="00706FBC">
      <w:pPr>
        <w:pStyle w:val="ListParagraph"/>
        <w:spacing w:before="240" w:after="240"/>
        <w:jc w:val="both"/>
        <w:rPr>
          <w:b/>
          <w:bCs/>
          <w:sz w:val="20"/>
          <w:szCs w:val="20"/>
        </w:rPr>
      </w:pPr>
    </w:p>
    <w:p w:rsidR="00881C1D" w:rsidRPr="00B949EB" w:rsidRDefault="00881C1D" w:rsidP="00344528">
      <w:pPr>
        <w:pStyle w:val="ListParagraph"/>
        <w:spacing w:before="240" w:after="240"/>
        <w:jc w:val="both"/>
        <w:rPr>
          <w:b/>
          <w:bCs/>
          <w:sz w:val="20"/>
          <w:szCs w:val="20"/>
        </w:rPr>
      </w:pPr>
      <w:r w:rsidRPr="00B949EB">
        <w:rPr>
          <w:b/>
          <w:bCs/>
          <w:sz w:val="20"/>
          <w:szCs w:val="20"/>
        </w:rPr>
        <w:lastRenderedPageBreak/>
        <w:t xml:space="preserve">VIII. </w:t>
      </w:r>
      <w:r w:rsidRPr="00B949EB">
        <w:rPr>
          <w:b/>
          <w:bCs/>
          <w:sz w:val="20"/>
          <w:szCs w:val="20"/>
        </w:rPr>
        <w:tab/>
        <w:t>DECISION</w:t>
      </w:r>
    </w:p>
    <w:p w:rsidR="00881C1D" w:rsidRPr="00B949EB" w:rsidRDefault="00881C1D" w:rsidP="00344528">
      <w:pPr>
        <w:numPr>
          <w:ilvl w:val="0"/>
          <w:numId w:val="52"/>
        </w:numPr>
        <w:suppressAutoHyphens/>
        <w:spacing w:after="240"/>
        <w:jc w:val="both"/>
        <w:rPr>
          <w:rFonts w:ascii="Cambria" w:hAnsi="Cambria" w:cs="Cambria"/>
          <w:sz w:val="20"/>
          <w:szCs w:val="20"/>
        </w:rPr>
      </w:pPr>
      <w:r w:rsidRPr="00B949EB">
        <w:rPr>
          <w:rFonts w:ascii="Cambria" w:hAnsi="Cambria" w:cs="Cambria"/>
          <w:sz w:val="20"/>
          <w:szCs w:val="20"/>
        </w:rPr>
        <w:t>To find the instant petition admissible in relation to Articles 4, 5, 8, 19, 22, 24, and 25 of the American Convention, in conjunction with Articles 1.1 and 2 thereof; and,</w:t>
      </w:r>
    </w:p>
    <w:p w:rsidR="00881C1D" w:rsidRDefault="00881C1D" w:rsidP="00344528">
      <w:pPr>
        <w:numPr>
          <w:ilvl w:val="0"/>
          <w:numId w:val="52"/>
        </w:numPr>
        <w:suppressAutoHyphens/>
        <w:spacing w:after="240"/>
        <w:jc w:val="both"/>
        <w:rPr>
          <w:rFonts w:ascii="Cambria" w:hAnsi="Cambria" w:cs="Cambria"/>
          <w:sz w:val="20"/>
          <w:szCs w:val="20"/>
        </w:rPr>
      </w:pPr>
      <w:r w:rsidRPr="00B949EB">
        <w:rPr>
          <w:rFonts w:ascii="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rsidR="00706FBC" w:rsidRPr="00365F2F" w:rsidRDefault="00706FBC" w:rsidP="00706FBC">
      <w:pPr>
        <w:suppressAutoHyphens/>
        <w:ind w:firstLine="720"/>
        <w:jc w:val="both"/>
        <w:rPr>
          <w:rFonts w:ascii="Cambria" w:hAnsi="Cambria"/>
          <w:spacing w:val="-2"/>
          <w:sz w:val="20"/>
        </w:rPr>
      </w:pPr>
      <w:r>
        <w:rPr>
          <w:rFonts w:ascii="Cambria" w:hAnsi="Cambria"/>
          <w:spacing w:val="-2"/>
          <w:sz w:val="20"/>
        </w:rPr>
        <w:t>Approved by the Inter-American Commission on Human Rights on the 20</w:t>
      </w:r>
      <w:r w:rsidR="00C86745">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September</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w:t>
      </w:r>
      <w:proofErr w:type="spellStart"/>
      <w:r w:rsidRPr="00F368A7">
        <w:rPr>
          <w:rFonts w:ascii="Cambria" w:hAnsi="Cambria"/>
          <w:sz w:val="20"/>
        </w:rPr>
        <w:t>Arosemena</w:t>
      </w:r>
      <w:proofErr w:type="spellEnd"/>
      <w:r w:rsidRPr="00F368A7">
        <w:rPr>
          <w:rFonts w:ascii="Cambria" w:hAnsi="Cambria"/>
          <w:sz w:val="20"/>
        </w:rPr>
        <w:t xml:space="preserve"> Bernal de </w:t>
      </w:r>
      <w:proofErr w:type="spellStart"/>
      <w:r w:rsidRPr="00F368A7">
        <w:rPr>
          <w:rFonts w:ascii="Cambria" w:hAnsi="Cambria"/>
          <w:sz w:val="20"/>
        </w:rPr>
        <w:t>Troitiño</w:t>
      </w:r>
      <w:proofErr w:type="spellEnd"/>
      <w:r w:rsidRPr="00F368A7">
        <w:rPr>
          <w:rFonts w:ascii="Cambria" w:hAnsi="Cambria"/>
          <w:sz w:val="20"/>
        </w:rPr>
        <w:t xml:space="preserve">, </w:t>
      </w:r>
      <w:r>
        <w:rPr>
          <w:rFonts w:ascii="Cambria" w:hAnsi="Cambria"/>
          <w:sz w:val="20"/>
        </w:rPr>
        <w:t>First Vice President</w:t>
      </w:r>
      <w:r w:rsidRPr="00F368A7">
        <w:rPr>
          <w:rFonts w:ascii="Cambria" w:hAnsi="Cambria"/>
          <w:sz w:val="20"/>
        </w:rPr>
        <w:t>; Francisco José Eguiguren Praeli, Joel Herná</w:t>
      </w:r>
      <w:r>
        <w:rPr>
          <w:rFonts w:ascii="Cambria" w:hAnsi="Cambria"/>
          <w:sz w:val="20"/>
        </w:rPr>
        <w:t xml:space="preserve">ndez García, Antonia Urrejola, and Flavia </w:t>
      </w:r>
      <w:proofErr w:type="spellStart"/>
      <w:r>
        <w:rPr>
          <w:rFonts w:ascii="Cambria" w:hAnsi="Cambria"/>
          <w:sz w:val="20"/>
        </w:rPr>
        <w:t>Piovesan</w:t>
      </w:r>
      <w:proofErr w:type="spellEnd"/>
      <w:r>
        <w:rPr>
          <w:rFonts w:ascii="Cambria" w:hAnsi="Cambria"/>
          <w:sz w:val="20"/>
        </w:rPr>
        <w:t xml:space="preserve">, </w:t>
      </w:r>
      <w:r w:rsidRPr="00365F2F">
        <w:rPr>
          <w:rFonts w:ascii="Cambria" w:hAnsi="Cambria"/>
          <w:spacing w:val="-2"/>
          <w:sz w:val="20"/>
        </w:rPr>
        <w:t>Commissioners.</w:t>
      </w:r>
    </w:p>
    <w:p w:rsidR="00706FBC" w:rsidRDefault="00706FBC">
      <w:pPr>
        <w:rPr>
          <w:rFonts w:ascii="Cambria" w:hAnsi="Cambria" w:cs="Cambria"/>
          <w:b/>
          <w:bCs/>
          <w:sz w:val="20"/>
          <w:szCs w:val="20"/>
        </w:rPr>
      </w:pPr>
      <w:r>
        <w:rPr>
          <w:rFonts w:ascii="Cambria" w:hAnsi="Cambria" w:cs="Cambria"/>
          <w:b/>
          <w:bCs/>
          <w:sz w:val="20"/>
          <w:szCs w:val="20"/>
        </w:rPr>
        <w:br w:type="page"/>
      </w:r>
    </w:p>
    <w:p w:rsidR="00881C1D" w:rsidRPr="00B949EB" w:rsidRDefault="00881C1D" w:rsidP="00344528">
      <w:pPr>
        <w:rPr>
          <w:rFonts w:ascii="Cambria" w:hAnsi="Cambria" w:cs="Cambria"/>
          <w:b/>
          <w:bCs/>
          <w:sz w:val="20"/>
          <w:szCs w:val="20"/>
        </w:rPr>
      </w:pPr>
    </w:p>
    <w:p w:rsidR="00881C1D" w:rsidRPr="00B949EB" w:rsidRDefault="00881C1D" w:rsidP="00344528">
      <w:pPr>
        <w:jc w:val="center"/>
        <w:rPr>
          <w:rFonts w:ascii="Cambria" w:hAnsi="Cambria" w:cs="Cambria"/>
          <w:b/>
          <w:bCs/>
          <w:sz w:val="20"/>
          <w:szCs w:val="20"/>
        </w:rPr>
      </w:pPr>
      <w:r w:rsidRPr="00B949EB">
        <w:rPr>
          <w:rFonts w:ascii="Cambria" w:hAnsi="Cambria" w:cs="Cambria"/>
          <w:b/>
          <w:bCs/>
          <w:sz w:val="20"/>
          <w:szCs w:val="20"/>
        </w:rPr>
        <w:t>Annex</w:t>
      </w:r>
    </w:p>
    <w:p w:rsidR="00881C1D" w:rsidRPr="00B949EB" w:rsidRDefault="00881C1D" w:rsidP="00344528">
      <w:pPr>
        <w:jc w:val="center"/>
        <w:rPr>
          <w:rFonts w:ascii="Cambria" w:hAnsi="Cambria" w:cs="Cambria"/>
          <w:b/>
          <w:bCs/>
          <w:sz w:val="20"/>
          <w:szCs w:val="20"/>
        </w:rPr>
      </w:pPr>
      <w:r w:rsidRPr="00B949EB">
        <w:rPr>
          <w:rFonts w:ascii="Cambria" w:hAnsi="Cambria" w:cs="Cambria"/>
          <w:b/>
          <w:bCs/>
          <w:sz w:val="20"/>
          <w:szCs w:val="20"/>
        </w:rPr>
        <w:t xml:space="preserve">LIST OF ALLEGED VICTIMS AND </w:t>
      </w:r>
      <w:r w:rsidR="00922125">
        <w:rPr>
          <w:rFonts w:ascii="Cambria" w:hAnsi="Cambria" w:cs="Cambria"/>
          <w:b/>
          <w:bCs/>
          <w:sz w:val="20"/>
          <w:szCs w:val="20"/>
        </w:rPr>
        <w:t xml:space="preserve">THEIR </w:t>
      </w:r>
      <w:r w:rsidR="00922125" w:rsidRPr="00922125">
        <w:rPr>
          <w:rFonts w:ascii="Cambria" w:hAnsi="Cambria" w:cs="Cambria"/>
          <w:b/>
          <w:bCs/>
          <w:sz w:val="20"/>
          <w:szCs w:val="20"/>
        </w:rPr>
        <w:t xml:space="preserve">RELATIVES </w:t>
      </w:r>
    </w:p>
    <w:p w:rsidR="00881C1D" w:rsidRPr="00B949EB" w:rsidRDefault="00881C1D" w:rsidP="00344528">
      <w:pPr>
        <w:rPr>
          <w:rFonts w:ascii="Cambria" w:hAnsi="Cambria" w:cs="Cambria"/>
          <w:b/>
          <w:bCs/>
          <w:sz w:val="20"/>
          <w:szCs w:val="20"/>
        </w:rPr>
      </w:pPr>
    </w:p>
    <w:p w:rsidR="00881C1D" w:rsidRPr="00B949EB" w:rsidRDefault="00881C1D" w:rsidP="00344528">
      <w:pPr>
        <w:pStyle w:val="ListParagraph"/>
        <w:numPr>
          <w:ilvl w:val="0"/>
          <w:numId w:val="54"/>
        </w:numPr>
        <w:rPr>
          <w:b/>
          <w:bCs/>
          <w:sz w:val="20"/>
          <w:szCs w:val="20"/>
        </w:rPr>
      </w:pPr>
      <w:r w:rsidRPr="00B949EB">
        <w:rPr>
          <w:b/>
          <w:bCs/>
          <w:sz w:val="20"/>
          <w:szCs w:val="20"/>
        </w:rPr>
        <w:t xml:space="preserve">Delis Palacio </w:t>
      </w:r>
      <w:proofErr w:type="spellStart"/>
      <w:r w:rsidRPr="00B949EB">
        <w:rPr>
          <w:b/>
          <w:bCs/>
          <w:sz w:val="20"/>
          <w:szCs w:val="20"/>
        </w:rPr>
        <w:t>Herrón</w:t>
      </w:r>
      <w:proofErr w:type="spellEnd"/>
      <w:r w:rsidRPr="00B949EB">
        <w:rPr>
          <w:b/>
          <w:bCs/>
          <w:sz w:val="20"/>
          <w:szCs w:val="20"/>
        </w:rPr>
        <w:t xml:space="preserve"> (injured) </w:t>
      </w:r>
    </w:p>
    <w:p w:rsidR="00881C1D" w:rsidRPr="00B949EB" w:rsidRDefault="00881C1D" w:rsidP="00344528">
      <w:pPr>
        <w:rPr>
          <w:rFonts w:ascii="Cambria" w:hAnsi="Cambria" w:cs="Cambria"/>
          <w:color w:val="000000"/>
          <w:sz w:val="20"/>
          <w:szCs w:val="20"/>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Relatives</w:t>
      </w:r>
      <w:r w:rsidR="00881C1D" w:rsidRPr="00B949EB">
        <w:rPr>
          <w:rFonts w:ascii="Cambria" w:hAnsi="Cambria" w:cs="Cambria"/>
          <w:color w:val="000000"/>
          <w:sz w:val="20"/>
          <w:szCs w:val="20"/>
        </w:rPr>
        <w:t>:</w:t>
      </w:r>
    </w:p>
    <w:p w:rsidR="00881C1D" w:rsidRPr="00706FBC" w:rsidRDefault="00881C1D" w:rsidP="00344528">
      <w:pPr>
        <w:pStyle w:val="ListParagraph"/>
        <w:numPr>
          <w:ilvl w:val="0"/>
          <w:numId w:val="53"/>
        </w:numPr>
        <w:rPr>
          <w:sz w:val="20"/>
          <w:szCs w:val="20"/>
          <w:lang w:val="pt-BR"/>
        </w:rPr>
      </w:pPr>
      <w:r w:rsidRPr="00706FBC">
        <w:rPr>
          <w:sz w:val="20"/>
          <w:szCs w:val="20"/>
          <w:lang w:val="pt-BR"/>
        </w:rPr>
        <w:t>Manuel Ciriaco Lescano Correa (life partner)</w:t>
      </w:r>
    </w:p>
    <w:p w:rsidR="00881C1D" w:rsidRPr="00F64590" w:rsidRDefault="00881C1D" w:rsidP="00344528">
      <w:pPr>
        <w:pStyle w:val="ListParagraph"/>
        <w:numPr>
          <w:ilvl w:val="0"/>
          <w:numId w:val="53"/>
        </w:numPr>
        <w:rPr>
          <w:sz w:val="20"/>
          <w:szCs w:val="20"/>
          <w:lang w:val="es-ES"/>
        </w:rPr>
      </w:pPr>
      <w:r w:rsidRPr="00F64590">
        <w:rPr>
          <w:sz w:val="20"/>
          <w:szCs w:val="20"/>
          <w:lang w:val="es-ES"/>
        </w:rPr>
        <w:t>Luis Hernán Palacios Asprilla (</w:t>
      </w:r>
      <w:proofErr w:type="spellStart"/>
      <w:r w:rsidRPr="00F64590">
        <w:rPr>
          <w:sz w:val="20"/>
          <w:szCs w:val="20"/>
          <w:lang w:val="es-ES"/>
        </w:rPr>
        <w:t>father</w:t>
      </w:r>
      <w:proofErr w:type="spellEnd"/>
      <w:r w:rsidRPr="00F64590">
        <w:rPr>
          <w:sz w:val="20"/>
          <w:szCs w:val="20"/>
          <w:lang w:val="es-ES"/>
        </w:rPr>
        <w:t>)</w:t>
      </w:r>
    </w:p>
    <w:p w:rsidR="00881C1D" w:rsidRPr="00B949EB" w:rsidRDefault="00881C1D" w:rsidP="00344528">
      <w:pPr>
        <w:pStyle w:val="ListParagraph"/>
        <w:numPr>
          <w:ilvl w:val="0"/>
          <w:numId w:val="53"/>
        </w:numPr>
        <w:rPr>
          <w:sz w:val="20"/>
          <w:szCs w:val="20"/>
        </w:rPr>
      </w:pPr>
      <w:r w:rsidRPr="00B949EB">
        <w:rPr>
          <w:sz w:val="20"/>
          <w:szCs w:val="20"/>
        </w:rPr>
        <w:t xml:space="preserve">Elvia Tulia </w:t>
      </w:r>
      <w:proofErr w:type="spellStart"/>
      <w:r w:rsidRPr="00B949EB">
        <w:rPr>
          <w:sz w:val="20"/>
          <w:szCs w:val="20"/>
        </w:rPr>
        <w:t>Herrón</w:t>
      </w:r>
      <w:proofErr w:type="spellEnd"/>
      <w:r w:rsidRPr="00B949EB">
        <w:rPr>
          <w:sz w:val="20"/>
          <w:szCs w:val="20"/>
        </w:rPr>
        <w:t xml:space="preserve"> (mother)</w:t>
      </w:r>
    </w:p>
    <w:p w:rsidR="00881C1D" w:rsidRPr="00B949EB" w:rsidRDefault="00881C1D" w:rsidP="00344528">
      <w:pPr>
        <w:pStyle w:val="ListParagraph"/>
        <w:numPr>
          <w:ilvl w:val="0"/>
          <w:numId w:val="53"/>
        </w:numPr>
        <w:rPr>
          <w:sz w:val="20"/>
          <w:szCs w:val="20"/>
        </w:rPr>
      </w:pPr>
      <w:r w:rsidRPr="00B949EB">
        <w:rPr>
          <w:sz w:val="20"/>
          <w:szCs w:val="20"/>
        </w:rPr>
        <w:t xml:space="preserve">Erna Palacios </w:t>
      </w:r>
      <w:proofErr w:type="spellStart"/>
      <w:r w:rsidRPr="00B949EB">
        <w:rPr>
          <w:sz w:val="20"/>
          <w:szCs w:val="20"/>
        </w:rPr>
        <w:t>Herrón</w:t>
      </w:r>
      <w:proofErr w:type="spellEnd"/>
      <w:r w:rsidRPr="00B949EB">
        <w:rPr>
          <w:sz w:val="20"/>
          <w:szCs w:val="20"/>
        </w:rPr>
        <w:t xml:space="preserve"> (sister)</w:t>
      </w:r>
    </w:p>
    <w:p w:rsidR="00881C1D" w:rsidRPr="00B949EB" w:rsidRDefault="00881C1D" w:rsidP="00344528">
      <w:pPr>
        <w:pStyle w:val="ListParagraph"/>
        <w:numPr>
          <w:ilvl w:val="0"/>
          <w:numId w:val="53"/>
        </w:numPr>
        <w:rPr>
          <w:sz w:val="20"/>
          <w:szCs w:val="20"/>
        </w:rPr>
      </w:pPr>
      <w:proofErr w:type="spellStart"/>
      <w:r w:rsidRPr="00B949EB">
        <w:rPr>
          <w:sz w:val="20"/>
          <w:szCs w:val="20"/>
        </w:rPr>
        <w:t>Jhojary</w:t>
      </w:r>
      <w:proofErr w:type="spellEnd"/>
      <w:r w:rsidRPr="00B949EB">
        <w:rPr>
          <w:sz w:val="20"/>
          <w:szCs w:val="20"/>
        </w:rPr>
        <w:t xml:space="preserve"> Palacios </w:t>
      </w:r>
      <w:proofErr w:type="spellStart"/>
      <w:r w:rsidRPr="00B949EB">
        <w:rPr>
          <w:sz w:val="20"/>
          <w:szCs w:val="20"/>
        </w:rPr>
        <w:t>Herrón</w:t>
      </w:r>
      <w:proofErr w:type="spellEnd"/>
      <w:r w:rsidRPr="00B949EB">
        <w:rPr>
          <w:sz w:val="20"/>
          <w:szCs w:val="20"/>
        </w:rPr>
        <w:t xml:space="preserve"> (brother)</w:t>
      </w:r>
    </w:p>
    <w:p w:rsidR="00881C1D" w:rsidRPr="00B949EB" w:rsidRDefault="00881C1D" w:rsidP="00344528">
      <w:pPr>
        <w:pStyle w:val="ListParagraph"/>
        <w:numPr>
          <w:ilvl w:val="0"/>
          <w:numId w:val="53"/>
        </w:numPr>
        <w:rPr>
          <w:sz w:val="20"/>
          <w:szCs w:val="20"/>
        </w:rPr>
      </w:pPr>
      <w:proofErr w:type="spellStart"/>
      <w:r w:rsidRPr="00B949EB">
        <w:rPr>
          <w:sz w:val="20"/>
          <w:szCs w:val="20"/>
        </w:rPr>
        <w:t>Jhonnier</w:t>
      </w:r>
      <w:proofErr w:type="spellEnd"/>
      <w:r w:rsidRPr="00B949EB">
        <w:rPr>
          <w:sz w:val="20"/>
          <w:szCs w:val="20"/>
        </w:rPr>
        <w:t xml:space="preserve"> Palacios </w:t>
      </w:r>
      <w:proofErr w:type="spellStart"/>
      <w:r w:rsidRPr="00B949EB">
        <w:rPr>
          <w:sz w:val="20"/>
          <w:szCs w:val="20"/>
        </w:rPr>
        <w:t>Herrón</w:t>
      </w:r>
      <w:proofErr w:type="spellEnd"/>
      <w:r w:rsidRPr="00B949EB">
        <w:rPr>
          <w:sz w:val="20"/>
          <w:szCs w:val="20"/>
        </w:rPr>
        <w:t xml:space="preserve"> (brother)</w:t>
      </w:r>
    </w:p>
    <w:p w:rsidR="00881C1D" w:rsidRPr="00B949EB" w:rsidRDefault="00881C1D" w:rsidP="00344528">
      <w:pPr>
        <w:pStyle w:val="ListParagraph"/>
        <w:numPr>
          <w:ilvl w:val="0"/>
          <w:numId w:val="53"/>
        </w:numPr>
        <w:rPr>
          <w:sz w:val="20"/>
          <w:szCs w:val="20"/>
        </w:rPr>
      </w:pPr>
      <w:r w:rsidRPr="00B949EB">
        <w:rPr>
          <w:sz w:val="20"/>
          <w:szCs w:val="20"/>
        </w:rPr>
        <w:t xml:space="preserve">Giovanni Palacios </w:t>
      </w:r>
      <w:proofErr w:type="spellStart"/>
      <w:r w:rsidRPr="00B949EB">
        <w:rPr>
          <w:sz w:val="20"/>
          <w:szCs w:val="20"/>
        </w:rPr>
        <w:t>Herrón</w:t>
      </w:r>
      <w:proofErr w:type="spellEnd"/>
      <w:r w:rsidRPr="00B949EB">
        <w:rPr>
          <w:sz w:val="20"/>
          <w:szCs w:val="20"/>
        </w:rPr>
        <w:t xml:space="preserve"> (brother)</w:t>
      </w:r>
    </w:p>
    <w:p w:rsidR="00881C1D" w:rsidRPr="00B949EB" w:rsidRDefault="00881C1D" w:rsidP="00344528">
      <w:pPr>
        <w:pStyle w:val="ListParagraph"/>
        <w:numPr>
          <w:ilvl w:val="0"/>
          <w:numId w:val="53"/>
        </w:numPr>
        <w:rPr>
          <w:sz w:val="20"/>
          <w:szCs w:val="20"/>
        </w:rPr>
      </w:pPr>
      <w:proofErr w:type="spellStart"/>
      <w:r w:rsidRPr="00B949EB">
        <w:rPr>
          <w:sz w:val="20"/>
          <w:szCs w:val="20"/>
        </w:rPr>
        <w:t>Yanelvis</w:t>
      </w:r>
      <w:proofErr w:type="spellEnd"/>
      <w:r w:rsidRPr="00B949EB">
        <w:rPr>
          <w:sz w:val="20"/>
          <w:szCs w:val="20"/>
        </w:rPr>
        <w:t xml:space="preserve"> Palacios </w:t>
      </w:r>
      <w:proofErr w:type="spellStart"/>
      <w:r w:rsidRPr="00B949EB">
        <w:rPr>
          <w:sz w:val="20"/>
          <w:szCs w:val="20"/>
        </w:rPr>
        <w:t>Mosquera</w:t>
      </w:r>
      <w:proofErr w:type="spellEnd"/>
      <w:r w:rsidRPr="00B949EB">
        <w:rPr>
          <w:sz w:val="20"/>
          <w:szCs w:val="20"/>
        </w:rPr>
        <w:t xml:space="preserve"> (sister)</w:t>
      </w:r>
    </w:p>
    <w:p w:rsidR="00881C1D" w:rsidRPr="00B949EB" w:rsidRDefault="00881C1D" w:rsidP="00344528">
      <w:pPr>
        <w:pStyle w:val="ListParagraph"/>
        <w:numPr>
          <w:ilvl w:val="0"/>
          <w:numId w:val="53"/>
        </w:numPr>
        <w:rPr>
          <w:sz w:val="20"/>
          <w:szCs w:val="20"/>
        </w:rPr>
      </w:pPr>
      <w:proofErr w:type="spellStart"/>
      <w:r w:rsidRPr="00B949EB">
        <w:rPr>
          <w:sz w:val="20"/>
          <w:szCs w:val="20"/>
        </w:rPr>
        <w:t>Yadiancy</w:t>
      </w:r>
      <w:proofErr w:type="spellEnd"/>
      <w:r w:rsidRPr="00B949EB">
        <w:rPr>
          <w:sz w:val="20"/>
          <w:szCs w:val="20"/>
        </w:rPr>
        <w:t xml:space="preserve"> Palacios </w:t>
      </w:r>
      <w:proofErr w:type="spellStart"/>
      <w:r w:rsidRPr="00B949EB">
        <w:rPr>
          <w:sz w:val="20"/>
          <w:szCs w:val="20"/>
        </w:rPr>
        <w:t>Mosquera</w:t>
      </w:r>
      <w:proofErr w:type="spellEnd"/>
      <w:r w:rsidRPr="00B949EB">
        <w:rPr>
          <w:sz w:val="20"/>
          <w:szCs w:val="20"/>
        </w:rPr>
        <w:t xml:space="preserve"> (sister)</w:t>
      </w:r>
    </w:p>
    <w:p w:rsidR="00881C1D" w:rsidRPr="00B949EB" w:rsidRDefault="00881C1D" w:rsidP="00344528">
      <w:pPr>
        <w:pStyle w:val="ListParagraph"/>
        <w:numPr>
          <w:ilvl w:val="0"/>
          <w:numId w:val="53"/>
        </w:numPr>
        <w:rPr>
          <w:sz w:val="20"/>
          <w:szCs w:val="20"/>
        </w:rPr>
      </w:pPr>
      <w:proofErr w:type="spellStart"/>
      <w:r w:rsidRPr="00B949EB">
        <w:rPr>
          <w:sz w:val="20"/>
          <w:szCs w:val="20"/>
        </w:rPr>
        <w:t>Verni</w:t>
      </w:r>
      <w:proofErr w:type="spellEnd"/>
      <w:r w:rsidRPr="00B949EB">
        <w:rPr>
          <w:sz w:val="20"/>
          <w:szCs w:val="20"/>
        </w:rPr>
        <w:t xml:space="preserve"> Palacios </w:t>
      </w:r>
      <w:proofErr w:type="spellStart"/>
      <w:r w:rsidRPr="00B949EB">
        <w:rPr>
          <w:sz w:val="20"/>
          <w:szCs w:val="20"/>
        </w:rPr>
        <w:t>Herrón</w:t>
      </w:r>
      <w:proofErr w:type="spellEnd"/>
      <w:r w:rsidRPr="00B949EB">
        <w:rPr>
          <w:sz w:val="20"/>
          <w:szCs w:val="20"/>
        </w:rPr>
        <w:t xml:space="preserve"> (sister)</w:t>
      </w:r>
    </w:p>
    <w:p w:rsidR="00881C1D" w:rsidRPr="00B949EB" w:rsidRDefault="00881C1D" w:rsidP="00344528">
      <w:pPr>
        <w:pStyle w:val="ListParagraph"/>
        <w:numPr>
          <w:ilvl w:val="0"/>
          <w:numId w:val="53"/>
        </w:numPr>
        <w:rPr>
          <w:sz w:val="20"/>
          <w:szCs w:val="20"/>
        </w:rPr>
      </w:pPr>
      <w:proofErr w:type="spellStart"/>
      <w:r w:rsidRPr="00B949EB">
        <w:rPr>
          <w:sz w:val="20"/>
          <w:szCs w:val="20"/>
        </w:rPr>
        <w:t>Yasnice</w:t>
      </w:r>
      <w:proofErr w:type="spellEnd"/>
      <w:r w:rsidRPr="00B949EB">
        <w:rPr>
          <w:sz w:val="20"/>
          <w:szCs w:val="20"/>
        </w:rPr>
        <w:t xml:space="preserve"> Palacios </w:t>
      </w:r>
      <w:proofErr w:type="spellStart"/>
      <w:r w:rsidRPr="00B949EB">
        <w:rPr>
          <w:sz w:val="20"/>
          <w:szCs w:val="20"/>
        </w:rPr>
        <w:t>Herrón</w:t>
      </w:r>
      <w:proofErr w:type="spellEnd"/>
      <w:r w:rsidRPr="00B949EB">
        <w:rPr>
          <w:sz w:val="20"/>
          <w:szCs w:val="20"/>
        </w:rPr>
        <w:t xml:space="preserve"> (sister)</w:t>
      </w:r>
    </w:p>
    <w:p w:rsidR="00881C1D" w:rsidRPr="00F64590" w:rsidRDefault="00881C1D" w:rsidP="00344528">
      <w:pPr>
        <w:pStyle w:val="ListParagraph"/>
        <w:numPr>
          <w:ilvl w:val="0"/>
          <w:numId w:val="53"/>
        </w:numPr>
        <w:rPr>
          <w:sz w:val="20"/>
          <w:szCs w:val="20"/>
          <w:lang w:val="es-ES"/>
        </w:rPr>
      </w:pPr>
      <w:r w:rsidRPr="00F64590">
        <w:rPr>
          <w:sz w:val="20"/>
          <w:szCs w:val="20"/>
          <w:lang w:val="es-ES"/>
        </w:rPr>
        <w:t>Luz Nelly Palacios Herrón (</w:t>
      </w:r>
      <w:proofErr w:type="spellStart"/>
      <w:r w:rsidRPr="00F64590">
        <w:rPr>
          <w:sz w:val="20"/>
          <w:szCs w:val="20"/>
          <w:lang w:val="es-ES"/>
        </w:rPr>
        <w:t>sister</w:t>
      </w:r>
      <w:proofErr w:type="spellEnd"/>
      <w:r w:rsidRPr="00F64590">
        <w:rPr>
          <w:sz w:val="20"/>
          <w:szCs w:val="20"/>
          <w:lang w:val="es-ES"/>
        </w:rPr>
        <w:t>)</w:t>
      </w:r>
    </w:p>
    <w:p w:rsidR="00881C1D" w:rsidRPr="00706FBC" w:rsidRDefault="00881C1D" w:rsidP="00344528">
      <w:pPr>
        <w:pStyle w:val="ListParagraph"/>
        <w:numPr>
          <w:ilvl w:val="0"/>
          <w:numId w:val="53"/>
        </w:numPr>
        <w:rPr>
          <w:sz w:val="20"/>
          <w:szCs w:val="20"/>
          <w:lang w:val="pt-BR"/>
        </w:rPr>
      </w:pPr>
      <w:r w:rsidRPr="00706FBC">
        <w:rPr>
          <w:sz w:val="20"/>
          <w:szCs w:val="20"/>
          <w:lang w:val="pt-BR"/>
        </w:rPr>
        <w:t>Yanny Maria Palacios Mosquera (sister)</w:t>
      </w:r>
    </w:p>
    <w:p w:rsidR="00881C1D" w:rsidRPr="00B949EB" w:rsidRDefault="00881C1D" w:rsidP="00344528">
      <w:pPr>
        <w:pStyle w:val="ListParagraph"/>
        <w:numPr>
          <w:ilvl w:val="0"/>
          <w:numId w:val="53"/>
        </w:numPr>
        <w:rPr>
          <w:sz w:val="20"/>
          <w:szCs w:val="20"/>
        </w:rPr>
      </w:pPr>
      <w:proofErr w:type="spellStart"/>
      <w:r w:rsidRPr="00B949EB">
        <w:rPr>
          <w:sz w:val="20"/>
          <w:szCs w:val="20"/>
        </w:rPr>
        <w:t>Yaminson</w:t>
      </w:r>
      <w:proofErr w:type="spellEnd"/>
      <w:r w:rsidRPr="00B949EB">
        <w:rPr>
          <w:sz w:val="20"/>
          <w:szCs w:val="20"/>
        </w:rPr>
        <w:t xml:space="preserve"> Palacios </w:t>
      </w:r>
      <w:proofErr w:type="spellStart"/>
      <w:r w:rsidRPr="00B949EB">
        <w:rPr>
          <w:sz w:val="20"/>
          <w:szCs w:val="20"/>
        </w:rPr>
        <w:t>Mosquera</w:t>
      </w:r>
      <w:proofErr w:type="spellEnd"/>
      <w:r w:rsidRPr="00B949EB">
        <w:rPr>
          <w:sz w:val="20"/>
          <w:szCs w:val="20"/>
        </w:rPr>
        <w:t xml:space="preserve"> (brother)</w:t>
      </w:r>
    </w:p>
    <w:p w:rsidR="00881C1D" w:rsidRPr="00B949EB" w:rsidRDefault="00881C1D" w:rsidP="00344528">
      <w:pPr>
        <w:pStyle w:val="ListParagraph"/>
        <w:numPr>
          <w:ilvl w:val="0"/>
          <w:numId w:val="53"/>
        </w:numPr>
        <w:rPr>
          <w:sz w:val="20"/>
          <w:szCs w:val="20"/>
        </w:rPr>
      </w:pPr>
      <w:r w:rsidRPr="00B949EB">
        <w:rPr>
          <w:sz w:val="20"/>
          <w:szCs w:val="20"/>
        </w:rPr>
        <w:t xml:space="preserve">Paulo Palacios </w:t>
      </w:r>
      <w:proofErr w:type="spellStart"/>
      <w:r w:rsidRPr="00B949EB">
        <w:rPr>
          <w:sz w:val="20"/>
          <w:szCs w:val="20"/>
        </w:rPr>
        <w:t>Orejuela</w:t>
      </w:r>
      <w:proofErr w:type="spellEnd"/>
      <w:r w:rsidRPr="00B949EB">
        <w:rPr>
          <w:sz w:val="20"/>
          <w:szCs w:val="20"/>
        </w:rPr>
        <w:t xml:space="preserve"> (brother)</w:t>
      </w:r>
    </w:p>
    <w:p w:rsidR="00881C1D" w:rsidRPr="00B949EB" w:rsidRDefault="00881C1D" w:rsidP="00344528">
      <w:pPr>
        <w:pStyle w:val="ListParagraph"/>
        <w:numPr>
          <w:ilvl w:val="0"/>
          <w:numId w:val="53"/>
        </w:numPr>
        <w:rPr>
          <w:sz w:val="20"/>
          <w:szCs w:val="20"/>
        </w:rPr>
      </w:pPr>
      <w:proofErr w:type="spellStart"/>
      <w:r w:rsidRPr="00B949EB">
        <w:rPr>
          <w:sz w:val="20"/>
          <w:szCs w:val="20"/>
        </w:rPr>
        <w:t>Eulogio</w:t>
      </w:r>
      <w:proofErr w:type="spellEnd"/>
      <w:r w:rsidRPr="00B949EB">
        <w:rPr>
          <w:sz w:val="20"/>
          <w:szCs w:val="20"/>
        </w:rPr>
        <w:t xml:space="preserve"> Palacios </w:t>
      </w:r>
      <w:proofErr w:type="spellStart"/>
      <w:r w:rsidRPr="00B949EB">
        <w:rPr>
          <w:sz w:val="20"/>
          <w:szCs w:val="20"/>
        </w:rPr>
        <w:t>Orejuela</w:t>
      </w:r>
      <w:proofErr w:type="spellEnd"/>
      <w:r w:rsidRPr="00B949EB">
        <w:rPr>
          <w:sz w:val="20"/>
          <w:szCs w:val="20"/>
        </w:rPr>
        <w:t xml:space="preserve"> (brother)</w:t>
      </w:r>
    </w:p>
    <w:p w:rsidR="00881C1D" w:rsidRPr="00B949EB" w:rsidRDefault="00881C1D" w:rsidP="00344528">
      <w:pPr>
        <w:rPr>
          <w:rFonts w:ascii="Cambria" w:hAnsi="Cambria" w:cs="Cambria"/>
          <w:b/>
          <w:bCs/>
          <w:sz w:val="20"/>
          <w:szCs w:val="20"/>
        </w:rPr>
      </w:pPr>
    </w:p>
    <w:p w:rsidR="00881C1D" w:rsidRPr="00B949EB" w:rsidRDefault="00881C1D" w:rsidP="00344528">
      <w:pPr>
        <w:pStyle w:val="ListParagraph"/>
        <w:numPr>
          <w:ilvl w:val="0"/>
          <w:numId w:val="54"/>
        </w:numPr>
        <w:rPr>
          <w:b/>
          <w:bCs/>
          <w:sz w:val="20"/>
          <w:szCs w:val="20"/>
        </w:rPr>
      </w:pPr>
      <w:proofErr w:type="spellStart"/>
      <w:r w:rsidRPr="00B949EB">
        <w:rPr>
          <w:b/>
          <w:bCs/>
          <w:sz w:val="20"/>
          <w:szCs w:val="20"/>
        </w:rPr>
        <w:t>Yudelys</w:t>
      </w:r>
      <w:proofErr w:type="spellEnd"/>
      <w:r w:rsidRPr="00B949EB">
        <w:rPr>
          <w:b/>
          <w:bCs/>
          <w:sz w:val="20"/>
          <w:szCs w:val="20"/>
        </w:rPr>
        <w:t xml:space="preserve"> </w:t>
      </w:r>
      <w:proofErr w:type="spellStart"/>
      <w:r w:rsidRPr="00B949EB">
        <w:rPr>
          <w:b/>
          <w:bCs/>
          <w:sz w:val="20"/>
          <w:szCs w:val="20"/>
        </w:rPr>
        <w:t>Lescano</w:t>
      </w:r>
      <w:proofErr w:type="spellEnd"/>
      <w:r w:rsidRPr="00B949EB">
        <w:rPr>
          <w:b/>
          <w:bCs/>
          <w:sz w:val="20"/>
          <w:szCs w:val="20"/>
        </w:rPr>
        <w:t xml:space="preserve"> Palacios (injured)</w:t>
      </w:r>
    </w:p>
    <w:p w:rsidR="00881C1D" w:rsidRPr="00B949EB" w:rsidRDefault="00881C1D" w:rsidP="00344528">
      <w:pPr>
        <w:pStyle w:val="ListParagraph"/>
        <w:rPr>
          <w:b/>
          <w:bCs/>
          <w:sz w:val="20"/>
          <w:szCs w:val="20"/>
        </w:rPr>
      </w:pPr>
    </w:p>
    <w:p w:rsidR="00881C1D" w:rsidRPr="00F64590" w:rsidRDefault="00881C1D" w:rsidP="00344528">
      <w:pPr>
        <w:pStyle w:val="ListParagraph"/>
        <w:numPr>
          <w:ilvl w:val="0"/>
          <w:numId w:val="54"/>
        </w:numPr>
        <w:rPr>
          <w:b/>
          <w:bCs/>
          <w:sz w:val="20"/>
          <w:szCs w:val="20"/>
          <w:lang w:val="es-ES"/>
        </w:rPr>
      </w:pPr>
      <w:r w:rsidRPr="00F64590">
        <w:rPr>
          <w:b/>
          <w:bCs/>
          <w:sz w:val="20"/>
          <w:szCs w:val="20"/>
          <w:lang w:val="es-ES"/>
        </w:rPr>
        <w:t>Benjamín Antonio Palacios Zúñiga (</w:t>
      </w:r>
      <w:proofErr w:type="spellStart"/>
      <w:r w:rsidRPr="00F64590">
        <w:rPr>
          <w:b/>
          <w:bCs/>
          <w:sz w:val="20"/>
          <w:szCs w:val="20"/>
          <w:lang w:val="es-ES"/>
        </w:rPr>
        <w:t>killed</w:t>
      </w:r>
      <w:proofErr w:type="spellEnd"/>
      <w:r w:rsidRPr="00F64590">
        <w:rPr>
          <w:b/>
          <w:bCs/>
          <w:sz w:val="20"/>
          <w:szCs w:val="20"/>
          <w:lang w:val="es-ES"/>
        </w:rPr>
        <w:t>)</w:t>
      </w:r>
    </w:p>
    <w:p w:rsidR="00881C1D" w:rsidRPr="00F64590" w:rsidRDefault="00881C1D" w:rsidP="00344528">
      <w:pPr>
        <w:rPr>
          <w:rFonts w:ascii="Cambria" w:hAnsi="Cambria" w:cs="Cambria"/>
          <w:color w:val="000000"/>
          <w:sz w:val="20"/>
          <w:szCs w:val="20"/>
          <w:lang w:val="es-ES"/>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Relatives</w:t>
      </w:r>
      <w:r w:rsidR="00881C1D" w:rsidRPr="00B949EB">
        <w:rPr>
          <w:rFonts w:ascii="Cambria" w:hAnsi="Cambria" w:cs="Cambria"/>
          <w:color w:val="000000"/>
          <w:sz w:val="20"/>
          <w:szCs w:val="20"/>
        </w:rPr>
        <w:t>:</w:t>
      </w:r>
    </w:p>
    <w:p w:rsidR="00881C1D" w:rsidRPr="00F64590" w:rsidRDefault="00881C1D" w:rsidP="00344528">
      <w:pPr>
        <w:numPr>
          <w:ilvl w:val="0"/>
          <w:numId w:val="53"/>
        </w:numPr>
        <w:rPr>
          <w:rFonts w:ascii="Cambria" w:hAnsi="Cambria" w:cs="Cambria"/>
          <w:color w:val="000000"/>
          <w:sz w:val="20"/>
          <w:szCs w:val="20"/>
          <w:lang w:val="es-ES"/>
        </w:rPr>
      </w:pPr>
      <w:r w:rsidRPr="00F64590">
        <w:rPr>
          <w:rFonts w:ascii="Cambria" w:hAnsi="Cambria" w:cs="Cambria"/>
          <w:color w:val="000000"/>
          <w:sz w:val="20"/>
          <w:szCs w:val="20"/>
          <w:lang w:val="es-ES"/>
        </w:rPr>
        <w:t xml:space="preserve">Elvia Tulia </w:t>
      </w:r>
      <w:proofErr w:type="spellStart"/>
      <w:r w:rsidRPr="00F64590">
        <w:rPr>
          <w:rFonts w:ascii="Cambria" w:hAnsi="Cambria" w:cs="Cambria"/>
          <w:color w:val="000000"/>
          <w:sz w:val="20"/>
          <w:szCs w:val="20"/>
          <w:lang w:val="es-ES"/>
        </w:rPr>
        <w:t>Errón</w:t>
      </w:r>
      <w:proofErr w:type="spellEnd"/>
      <w:r w:rsidRPr="00F64590">
        <w:rPr>
          <w:rFonts w:ascii="Cambria" w:hAnsi="Cambria" w:cs="Cambria"/>
          <w:color w:val="000000"/>
          <w:sz w:val="20"/>
          <w:szCs w:val="20"/>
          <w:lang w:val="es-ES"/>
        </w:rPr>
        <w:t xml:space="preserve"> Zúñiga (</w:t>
      </w:r>
      <w:proofErr w:type="spellStart"/>
      <w:r w:rsidRPr="00F64590">
        <w:rPr>
          <w:rFonts w:ascii="Cambria" w:hAnsi="Cambria" w:cs="Cambria"/>
          <w:color w:val="000000"/>
          <w:sz w:val="20"/>
          <w:szCs w:val="20"/>
          <w:lang w:val="es-ES"/>
        </w:rPr>
        <w:t>sister</w:t>
      </w:r>
      <w:proofErr w:type="spellEnd"/>
      <w:r w:rsidRPr="00F64590">
        <w:rPr>
          <w:rFonts w:ascii="Cambria" w:hAnsi="Cambria" w:cs="Cambria"/>
          <w:color w:val="000000"/>
          <w:sz w:val="20"/>
          <w:szCs w:val="20"/>
          <w:lang w:val="es-ES"/>
        </w:rPr>
        <w:t>)</w:t>
      </w:r>
    </w:p>
    <w:p w:rsidR="00881C1D" w:rsidRPr="00F64590" w:rsidRDefault="00881C1D" w:rsidP="00344528">
      <w:pPr>
        <w:rPr>
          <w:rFonts w:ascii="Cambria" w:hAnsi="Cambria" w:cs="Cambria"/>
          <w:b/>
          <w:bCs/>
          <w:sz w:val="20"/>
          <w:szCs w:val="20"/>
          <w:lang w:val="es-ES"/>
        </w:rPr>
      </w:pPr>
    </w:p>
    <w:p w:rsidR="00881C1D" w:rsidRPr="00B949EB" w:rsidRDefault="00881C1D" w:rsidP="00344528">
      <w:pPr>
        <w:pStyle w:val="ListParagraph"/>
        <w:numPr>
          <w:ilvl w:val="0"/>
          <w:numId w:val="54"/>
        </w:numPr>
        <w:rPr>
          <w:b/>
          <w:bCs/>
          <w:sz w:val="20"/>
          <w:szCs w:val="20"/>
        </w:rPr>
      </w:pPr>
      <w:r w:rsidRPr="00B949EB">
        <w:rPr>
          <w:b/>
          <w:bCs/>
          <w:sz w:val="20"/>
          <w:szCs w:val="20"/>
        </w:rPr>
        <w:t>Eladio Moreno Torres (killed)</w:t>
      </w:r>
    </w:p>
    <w:p w:rsidR="00881C1D" w:rsidRPr="00B949EB" w:rsidRDefault="00881C1D" w:rsidP="00344528">
      <w:pPr>
        <w:rPr>
          <w:rFonts w:ascii="Cambria" w:hAnsi="Cambria" w:cs="Cambria"/>
          <w:color w:val="000000"/>
          <w:sz w:val="20"/>
          <w:szCs w:val="20"/>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Relatives</w:t>
      </w:r>
      <w:r w:rsidR="00881C1D" w:rsidRPr="00B949EB">
        <w:rPr>
          <w:rFonts w:ascii="Cambria" w:hAnsi="Cambria" w:cs="Cambria"/>
          <w:color w:val="000000"/>
          <w:sz w:val="20"/>
          <w:szCs w:val="20"/>
        </w:rPr>
        <w:t>:</w:t>
      </w:r>
    </w:p>
    <w:p w:rsidR="00881C1D" w:rsidRPr="00706FBC" w:rsidRDefault="00881C1D" w:rsidP="00344528">
      <w:pPr>
        <w:numPr>
          <w:ilvl w:val="0"/>
          <w:numId w:val="53"/>
        </w:numPr>
        <w:rPr>
          <w:rFonts w:ascii="Cambria" w:hAnsi="Cambria" w:cs="Cambria"/>
          <w:color w:val="000000"/>
          <w:sz w:val="20"/>
          <w:szCs w:val="20"/>
          <w:lang w:val="pt-BR"/>
        </w:rPr>
      </w:pPr>
      <w:r w:rsidRPr="00706FBC">
        <w:rPr>
          <w:rFonts w:ascii="Cambria" w:hAnsi="Cambria" w:cs="Cambria"/>
          <w:color w:val="000000"/>
          <w:sz w:val="20"/>
          <w:szCs w:val="20"/>
          <w:lang w:val="pt-BR"/>
        </w:rPr>
        <w:t>Dora Maria Palacios Blandon (wife)</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Dorila</w:t>
      </w:r>
      <w:proofErr w:type="spellEnd"/>
      <w:r w:rsidRPr="00B949EB">
        <w:rPr>
          <w:rFonts w:ascii="Cambria" w:hAnsi="Cambria" w:cs="Cambria"/>
          <w:color w:val="000000"/>
          <w:sz w:val="20"/>
          <w:szCs w:val="20"/>
        </w:rPr>
        <w:t xml:space="preserve"> Moreno Palacios (daughter)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Daniel Moreno Palacios (son)</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Josue Moreno Palacios (son)</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Hosnay</w:t>
      </w:r>
      <w:proofErr w:type="spellEnd"/>
      <w:r w:rsidRPr="00B949EB">
        <w:rPr>
          <w:rFonts w:ascii="Cambria" w:hAnsi="Cambria" w:cs="Cambria"/>
          <w:color w:val="000000"/>
          <w:sz w:val="20"/>
          <w:szCs w:val="20"/>
        </w:rPr>
        <w:t xml:space="preserve"> Moreno Palacios (son)</w:t>
      </w:r>
    </w:p>
    <w:p w:rsidR="00881C1D" w:rsidRPr="00F64590" w:rsidRDefault="00881C1D" w:rsidP="00344528">
      <w:pPr>
        <w:numPr>
          <w:ilvl w:val="0"/>
          <w:numId w:val="53"/>
        </w:numPr>
        <w:rPr>
          <w:rFonts w:ascii="Cambria" w:hAnsi="Cambria" w:cs="Cambria"/>
          <w:color w:val="000000"/>
          <w:sz w:val="20"/>
          <w:szCs w:val="20"/>
          <w:lang w:val="es-ES"/>
        </w:rPr>
      </w:pPr>
      <w:r w:rsidRPr="00F64590">
        <w:rPr>
          <w:rFonts w:ascii="Cambria" w:hAnsi="Cambria" w:cs="Cambria"/>
          <w:color w:val="000000"/>
          <w:sz w:val="20"/>
          <w:szCs w:val="20"/>
          <w:lang w:val="es-ES"/>
        </w:rPr>
        <w:t>Edgar Antonio Moreno Palacios (son)</w:t>
      </w:r>
    </w:p>
    <w:p w:rsidR="00881C1D" w:rsidRPr="00B949EB" w:rsidRDefault="00881C1D" w:rsidP="00344528">
      <w:pPr>
        <w:numPr>
          <w:ilvl w:val="0"/>
          <w:numId w:val="53"/>
        </w:numPr>
        <w:rPr>
          <w:rFonts w:ascii="Cambria" w:hAnsi="Cambria" w:cs="Cambria"/>
          <w:b/>
          <w:bCs/>
          <w:sz w:val="20"/>
          <w:szCs w:val="20"/>
        </w:rPr>
      </w:pPr>
      <w:proofErr w:type="spellStart"/>
      <w:r w:rsidRPr="00B949EB">
        <w:rPr>
          <w:rFonts w:ascii="Cambria" w:hAnsi="Cambria" w:cs="Cambria"/>
          <w:sz w:val="20"/>
          <w:szCs w:val="20"/>
        </w:rPr>
        <w:t>Carlina</w:t>
      </w:r>
      <w:proofErr w:type="spellEnd"/>
      <w:r w:rsidRPr="00B949EB">
        <w:rPr>
          <w:rFonts w:ascii="Cambria" w:hAnsi="Cambria" w:cs="Cambria"/>
          <w:sz w:val="20"/>
          <w:szCs w:val="20"/>
        </w:rPr>
        <w:t xml:space="preserve"> Moreno Palacios (daughter)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Regino</w:t>
      </w:r>
      <w:proofErr w:type="spellEnd"/>
      <w:r w:rsidRPr="00B949EB">
        <w:rPr>
          <w:rFonts w:ascii="Cambria" w:hAnsi="Cambria" w:cs="Cambria"/>
          <w:color w:val="000000"/>
          <w:sz w:val="20"/>
          <w:szCs w:val="20"/>
        </w:rPr>
        <w:t xml:space="preserve"> Moreno </w:t>
      </w:r>
      <w:proofErr w:type="spellStart"/>
      <w:r w:rsidRPr="00B949EB">
        <w:rPr>
          <w:rFonts w:ascii="Cambria" w:hAnsi="Cambria" w:cs="Cambria"/>
          <w:color w:val="000000"/>
          <w:sz w:val="20"/>
          <w:szCs w:val="20"/>
        </w:rPr>
        <w:t>Mosquera</w:t>
      </w:r>
      <w:proofErr w:type="spellEnd"/>
      <w:r w:rsidRPr="00B949EB">
        <w:rPr>
          <w:rFonts w:ascii="Cambria" w:hAnsi="Cambria" w:cs="Cambria"/>
          <w:color w:val="000000"/>
          <w:sz w:val="20"/>
          <w:szCs w:val="20"/>
        </w:rPr>
        <w:t xml:space="preserve"> (father)</w:t>
      </w:r>
    </w:p>
    <w:p w:rsidR="00881C1D" w:rsidRPr="00706FBC" w:rsidRDefault="00881C1D" w:rsidP="00344528">
      <w:pPr>
        <w:numPr>
          <w:ilvl w:val="0"/>
          <w:numId w:val="53"/>
        </w:numPr>
        <w:rPr>
          <w:rFonts w:ascii="Cambria" w:hAnsi="Cambria" w:cs="Cambria"/>
          <w:color w:val="000000"/>
          <w:sz w:val="20"/>
          <w:szCs w:val="20"/>
          <w:lang w:val="pt-BR"/>
        </w:rPr>
      </w:pPr>
      <w:r w:rsidRPr="00706FBC">
        <w:rPr>
          <w:rFonts w:ascii="Cambria" w:hAnsi="Cambria" w:cs="Cambria"/>
          <w:color w:val="000000"/>
          <w:sz w:val="20"/>
          <w:szCs w:val="20"/>
          <w:lang w:val="pt-BR"/>
        </w:rPr>
        <w:t>Luis Anges Palacios Torres (brother)</w:t>
      </w:r>
    </w:p>
    <w:p w:rsidR="00881C1D" w:rsidRPr="00706FBC" w:rsidRDefault="00881C1D" w:rsidP="00344528">
      <w:pPr>
        <w:numPr>
          <w:ilvl w:val="0"/>
          <w:numId w:val="53"/>
        </w:numPr>
        <w:rPr>
          <w:rFonts w:ascii="Cambria" w:hAnsi="Cambria" w:cs="Cambria"/>
          <w:color w:val="000000"/>
          <w:sz w:val="20"/>
          <w:szCs w:val="20"/>
          <w:lang w:val="pt-BR"/>
        </w:rPr>
      </w:pPr>
      <w:r w:rsidRPr="00706FBC">
        <w:rPr>
          <w:rFonts w:ascii="Cambria" w:hAnsi="Cambria" w:cs="Cambria"/>
          <w:color w:val="000000"/>
          <w:sz w:val="20"/>
          <w:szCs w:val="20"/>
          <w:lang w:val="pt-BR"/>
        </w:rPr>
        <w:t>Clara Inés Palacios Torres (sister)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Carlina</w:t>
      </w:r>
      <w:proofErr w:type="spellEnd"/>
      <w:r w:rsidRPr="00B949EB">
        <w:rPr>
          <w:rFonts w:ascii="Cambria" w:hAnsi="Cambria" w:cs="Cambria"/>
          <w:color w:val="000000"/>
          <w:sz w:val="20"/>
          <w:szCs w:val="20"/>
        </w:rPr>
        <w:t xml:space="preserve"> Torres </w:t>
      </w:r>
      <w:proofErr w:type="spellStart"/>
      <w:r w:rsidRPr="00B949EB">
        <w:rPr>
          <w:rFonts w:ascii="Cambria" w:hAnsi="Cambria" w:cs="Cambria"/>
          <w:color w:val="000000"/>
          <w:sz w:val="20"/>
          <w:szCs w:val="20"/>
        </w:rPr>
        <w:t>Mosquera</w:t>
      </w:r>
      <w:proofErr w:type="spellEnd"/>
      <w:r w:rsidRPr="00B949EB">
        <w:rPr>
          <w:rFonts w:ascii="Cambria" w:hAnsi="Cambria" w:cs="Cambria"/>
          <w:color w:val="000000"/>
          <w:sz w:val="20"/>
          <w:szCs w:val="20"/>
        </w:rPr>
        <w:t xml:space="preserve"> (sister)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Modesto Palacios Torres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Julio </w:t>
      </w:r>
      <w:proofErr w:type="spellStart"/>
      <w:r w:rsidRPr="00B949EB">
        <w:rPr>
          <w:rFonts w:ascii="Cambria" w:hAnsi="Cambria" w:cs="Cambria"/>
          <w:color w:val="000000"/>
          <w:sz w:val="20"/>
          <w:szCs w:val="20"/>
        </w:rPr>
        <w:t>Arboleda</w:t>
      </w:r>
      <w:proofErr w:type="spellEnd"/>
      <w:r w:rsidRPr="00B949EB">
        <w:rPr>
          <w:rFonts w:ascii="Cambria" w:hAnsi="Cambria" w:cs="Cambria"/>
          <w:color w:val="000000"/>
          <w:sz w:val="20"/>
          <w:szCs w:val="20"/>
        </w:rPr>
        <w:t xml:space="preserve"> Torres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Tarsilo</w:t>
      </w:r>
      <w:proofErr w:type="spellEnd"/>
      <w:r w:rsidRPr="00B949EB">
        <w:rPr>
          <w:rFonts w:ascii="Cambria" w:hAnsi="Cambria" w:cs="Cambria"/>
          <w:color w:val="000000"/>
          <w:sz w:val="20"/>
          <w:szCs w:val="20"/>
        </w:rPr>
        <w:t xml:space="preserve"> Moreno Ríos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Matias Moreno Ríos (brother)</w:t>
      </w:r>
    </w:p>
    <w:p w:rsidR="00881C1D" w:rsidRPr="00B949EB" w:rsidRDefault="00881C1D" w:rsidP="00344528">
      <w:pPr>
        <w:rPr>
          <w:rFonts w:ascii="Cambria" w:hAnsi="Cambria" w:cs="Cambria"/>
          <w:b/>
          <w:bCs/>
          <w:sz w:val="20"/>
          <w:szCs w:val="20"/>
        </w:rPr>
      </w:pPr>
    </w:p>
    <w:p w:rsidR="00881C1D" w:rsidRPr="00F64590" w:rsidRDefault="00881C1D" w:rsidP="00344528">
      <w:pPr>
        <w:pStyle w:val="ListParagraph"/>
        <w:numPr>
          <w:ilvl w:val="0"/>
          <w:numId w:val="54"/>
        </w:numPr>
        <w:rPr>
          <w:b/>
          <w:bCs/>
          <w:sz w:val="20"/>
          <w:szCs w:val="20"/>
          <w:lang w:val="pt-BR"/>
        </w:rPr>
      </w:pPr>
      <w:r w:rsidRPr="00F64590">
        <w:rPr>
          <w:b/>
          <w:bCs/>
          <w:sz w:val="20"/>
          <w:szCs w:val="20"/>
          <w:lang w:val="pt-BR"/>
        </w:rPr>
        <w:t>Maria Rosa Mosquera Cordoba (killed)</w:t>
      </w:r>
    </w:p>
    <w:p w:rsidR="00881C1D" w:rsidRPr="00F64590" w:rsidRDefault="00881C1D" w:rsidP="009F644A">
      <w:pPr>
        <w:pStyle w:val="ListParagraph"/>
        <w:ind w:left="0"/>
        <w:rPr>
          <w:b/>
          <w:bCs/>
          <w:sz w:val="20"/>
          <w:szCs w:val="20"/>
          <w:lang w:val="pt-BR"/>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Relatives</w:t>
      </w:r>
      <w:r w:rsidR="00881C1D" w:rsidRPr="00B949EB">
        <w:rPr>
          <w:rFonts w:ascii="Cambria" w:hAnsi="Cambria" w:cs="Cambria"/>
          <w:color w:val="000000"/>
          <w:sz w:val="20"/>
          <w:szCs w:val="20"/>
        </w:rPr>
        <w:t>:</w:t>
      </w:r>
    </w:p>
    <w:p w:rsidR="00881C1D" w:rsidRPr="00B949EB" w:rsidRDefault="00881C1D" w:rsidP="00344528">
      <w:pPr>
        <w:numPr>
          <w:ilvl w:val="0"/>
          <w:numId w:val="53"/>
        </w:numPr>
        <w:rPr>
          <w:rFonts w:ascii="Cambria" w:hAnsi="Cambria" w:cs="Cambria"/>
          <w:b/>
          <w:bCs/>
          <w:sz w:val="20"/>
          <w:szCs w:val="20"/>
        </w:rPr>
      </w:pPr>
      <w:r w:rsidRPr="00B949EB">
        <w:rPr>
          <w:rFonts w:ascii="Cambria" w:hAnsi="Cambria" w:cs="Cambria"/>
          <w:sz w:val="20"/>
          <w:szCs w:val="20"/>
        </w:rPr>
        <w:t>Amalia Murillo Mosquera (mother)</w:t>
      </w:r>
    </w:p>
    <w:p w:rsidR="00881C1D" w:rsidRPr="00706FBC" w:rsidRDefault="00881C1D" w:rsidP="00344528">
      <w:pPr>
        <w:numPr>
          <w:ilvl w:val="0"/>
          <w:numId w:val="53"/>
        </w:numPr>
        <w:rPr>
          <w:rFonts w:ascii="Cambria" w:hAnsi="Cambria" w:cs="Cambria"/>
          <w:b/>
          <w:bCs/>
          <w:sz w:val="20"/>
          <w:szCs w:val="20"/>
          <w:lang w:val="pt-BR"/>
        </w:rPr>
      </w:pPr>
      <w:r w:rsidRPr="00706FBC">
        <w:rPr>
          <w:rFonts w:ascii="Cambria" w:hAnsi="Cambria" w:cs="Cambria"/>
          <w:sz w:val="20"/>
          <w:szCs w:val="20"/>
          <w:lang w:val="pt-BR"/>
        </w:rPr>
        <w:t>Walter Enrique Valencia Murillo (brother)</w:t>
      </w:r>
    </w:p>
    <w:p w:rsidR="00881C1D" w:rsidRPr="00F64590" w:rsidRDefault="00881C1D" w:rsidP="00344528">
      <w:pPr>
        <w:numPr>
          <w:ilvl w:val="0"/>
          <w:numId w:val="53"/>
        </w:numPr>
        <w:rPr>
          <w:rFonts w:ascii="Cambria" w:hAnsi="Cambria" w:cs="Cambria"/>
          <w:b/>
          <w:bCs/>
          <w:sz w:val="20"/>
          <w:szCs w:val="20"/>
          <w:lang w:val="es-ES"/>
        </w:rPr>
      </w:pPr>
      <w:r w:rsidRPr="00F64590">
        <w:rPr>
          <w:rFonts w:ascii="Cambria" w:hAnsi="Cambria" w:cs="Cambria"/>
          <w:sz w:val="20"/>
          <w:szCs w:val="20"/>
          <w:lang w:val="es-ES"/>
        </w:rPr>
        <w:lastRenderedPageBreak/>
        <w:t>Luis Manuel Yanes Murillo (</w:t>
      </w:r>
      <w:proofErr w:type="spellStart"/>
      <w:r w:rsidRPr="00F64590">
        <w:rPr>
          <w:rFonts w:ascii="Cambria" w:hAnsi="Cambria" w:cs="Cambria"/>
          <w:sz w:val="20"/>
          <w:szCs w:val="20"/>
          <w:lang w:val="es-ES"/>
        </w:rPr>
        <w:t>brother</w:t>
      </w:r>
      <w:proofErr w:type="spellEnd"/>
      <w:r w:rsidRPr="00F64590">
        <w:rPr>
          <w:rFonts w:ascii="Cambria" w:hAnsi="Cambria" w:cs="Cambria"/>
          <w:sz w:val="20"/>
          <w:szCs w:val="20"/>
          <w:lang w:val="es-ES"/>
        </w:rPr>
        <w:t>)</w:t>
      </w:r>
    </w:p>
    <w:p w:rsidR="00881C1D" w:rsidRPr="00F64590" w:rsidRDefault="00881C1D" w:rsidP="00344528">
      <w:pPr>
        <w:numPr>
          <w:ilvl w:val="0"/>
          <w:numId w:val="53"/>
        </w:numPr>
        <w:rPr>
          <w:rFonts w:ascii="Cambria" w:hAnsi="Cambria" w:cs="Cambria"/>
          <w:b/>
          <w:bCs/>
          <w:sz w:val="20"/>
          <w:szCs w:val="20"/>
          <w:lang w:val="es-ES"/>
        </w:rPr>
      </w:pPr>
      <w:r w:rsidRPr="00F64590">
        <w:rPr>
          <w:rFonts w:ascii="Cambria" w:hAnsi="Cambria" w:cs="Cambria"/>
          <w:sz w:val="20"/>
          <w:szCs w:val="20"/>
          <w:lang w:val="es-ES"/>
        </w:rPr>
        <w:t>Rafael Antonio Yanes Murillo (</w:t>
      </w:r>
      <w:proofErr w:type="spellStart"/>
      <w:r w:rsidRPr="00F64590">
        <w:rPr>
          <w:rFonts w:ascii="Cambria" w:hAnsi="Cambria" w:cs="Cambria"/>
          <w:sz w:val="20"/>
          <w:szCs w:val="20"/>
          <w:lang w:val="es-ES"/>
        </w:rPr>
        <w:t>brother</w:t>
      </w:r>
      <w:proofErr w:type="spellEnd"/>
      <w:r w:rsidRPr="00F64590">
        <w:rPr>
          <w:rFonts w:ascii="Cambria" w:hAnsi="Cambria" w:cs="Cambria"/>
          <w:sz w:val="20"/>
          <w:szCs w:val="20"/>
          <w:lang w:val="es-ES"/>
        </w:rPr>
        <w:t>)</w:t>
      </w:r>
    </w:p>
    <w:p w:rsidR="00881C1D" w:rsidRPr="00F64590" w:rsidRDefault="00881C1D" w:rsidP="00344528">
      <w:pPr>
        <w:numPr>
          <w:ilvl w:val="0"/>
          <w:numId w:val="53"/>
        </w:numPr>
        <w:rPr>
          <w:rFonts w:ascii="Cambria" w:hAnsi="Cambria" w:cs="Cambria"/>
          <w:b/>
          <w:bCs/>
          <w:sz w:val="20"/>
          <w:szCs w:val="20"/>
          <w:lang w:val="es-ES"/>
        </w:rPr>
      </w:pPr>
      <w:r w:rsidRPr="00F64590">
        <w:rPr>
          <w:rFonts w:ascii="Cambria" w:hAnsi="Cambria" w:cs="Cambria"/>
          <w:sz w:val="20"/>
          <w:szCs w:val="20"/>
          <w:lang w:val="es-ES"/>
        </w:rPr>
        <w:t>Martha Cecilia Yanes Murillo (</w:t>
      </w:r>
      <w:proofErr w:type="spellStart"/>
      <w:r w:rsidRPr="00F64590">
        <w:rPr>
          <w:rFonts w:ascii="Cambria" w:hAnsi="Cambria" w:cs="Cambria"/>
          <w:sz w:val="20"/>
          <w:szCs w:val="20"/>
          <w:lang w:val="es-ES"/>
        </w:rPr>
        <w:t>sister</w:t>
      </w:r>
      <w:proofErr w:type="spellEnd"/>
      <w:r w:rsidRPr="00F64590">
        <w:rPr>
          <w:rFonts w:ascii="Cambria" w:hAnsi="Cambria" w:cs="Cambria"/>
          <w:sz w:val="20"/>
          <w:szCs w:val="20"/>
          <w:lang w:val="es-ES"/>
        </w:rPr>
        <w:t>)</w:t>
      </w:r>
    </w:p>
    <w:p w:rsidR="00881C1D" w:rsidRPr="00F64590" w:rsidRDefault="00881C1D" w:rsidP="00344528">
      <w:pPr>
        <w:numPr>
          <w:ilvl w:val="0"/>
          <w:numId w:val="53"/>
        </w:numPr>
        <w:rPr>
          <w:rFonts w:ascii="Cambria" w:hAnsi="Cambria" w:cs="Cambria"/>
          <w:b/>
          <w:bCs/>
          <w:sz w:val="20"/>
          <w:szCs w:val="20"/>
          <w:lang w:val="es-ES"/>
        </w:rPr>
      </w:pPr>
      <w:r w:rsidRPr="00F64590">
        <w:rPr>
          <w:rFonts w:ascii="Cambria" w:hAnsi="Cambria" w:cs="Cambria"/>
          <w:sz w:val="20"/>
          <w:szCs w:val="20"/>
          <w:lang w:val="es-ES"/>
        </w:rPr>
        <w:t>Piedad del Carmen Yanes Murillo (</w:t>
      </w:r>
      <w:proofErr w:type="spellStart"/>
      <w:r w:rsidRPr="00F64590">
        <w:rPr>
          <w:rFonts w:ascii="Cambria" w:hAnsi="Cambria" w:cs="Cambria"/>
          <w:sz w:val="20"/>
          <w:szCs w:val="20"/>
          <w:lang w:val="es-ES"/>
        </w:rPr>
        <w:t>sister</w:t>
      </w:r>
      <w:proofErr w:type="spellEnd"/>
      <w:r w:rsidRPr="00F64590">
        <w:rPr>
          <w:rFonts w:ascii="Cambria" w:hAnsi="Cambria" w:cs="Cambria"/>
          <w:sz w:val="20"/>
          <w:szCs w:val="20"/>
          <w:lang w:val="es-ES"/>
        </w:rPr>
        <w:t>)</w:t>
      </w:r>
    </w:p>
    <w:p w:rsidR="00881C1D" w:rsidRPr="00F64590" w:rsidRDefault="00881C1D" w:rsidP="00344528">
      <w:pPr>
        <w:numPr>
          <w:ilvl w:val="0"/>
          <w:numId w:val="53"/>
        </w:numPr>
        <w:rPr>
          <w:rFonts w:ascii="Cambria" w:hAnsi="Cambria" w:cs="Cambria"/>
          <w:b/>
          <w:bCs/>
          <w:sz w:val="20"/>
          <w:szCs w:val="20"/>
          <w:lang w:val="pt-BR"/>
        </w:rPr>
      </w:pPr>
      <w:r w:rsidRPr="00F64590">
        <w:rPr>
          <w:rFonts w:ascii="Cambria" w:hAnsi="Cambria" w:cs="Cambria"/>
          <w:sz w:val="20"/>
          <w:szCs w:val="20"/>
          <w:lang w:val="pt-BR"/>
        </w:rPr>
        <w:t>Maria Nuris Palacios Largacha (sister)</w:t>
      </w:r>
    </w:p>
    <w:p w:rsidR="00881C1D" w:rsidRPr="00B949EB" w:rsidRDefault="00881C1D" w:rsidP="00344528">
      <w:pPr>
        <w:numPr>
          <w:ilvl w:val="0"/>
          <w:numId w:val="53"/>
        </w:numPr>
        <w:rPr>
          <w:rFonts w:ascii="Cambria" w:hAnsi="Cambria" w:cs="Cambria"/>
          <w:b/>
          <w:bCs/>
          <w:sz w:val="20"/>
          <w:szCs w:val="20"/>
        </w:rPr>
      </w:pPr>
      <w:proofErr w:type="spellStart"/>
      <w:r w:rsidRPr="00B949EB">
        <w:rPr>
          <w:rFonts w:ascii="Cambria" w:hAnsi="Cambria" w:cs="Cambria"/>
          <w:sz w:val="20"/>
          <w:szCs w:val="20"/>
        </w:rPr>
        <w:t>Pelegrina</w:t>
      </w:r>
      <w:proofErr w:type="spellEnd"/>
      <w:r w:rsidRPr="00B949EB">
        <w:rPr>
          <w:rFonts w:ascii="Cambria" w:hAnsi="Cambria" w:cs="Cambria"/>
          <w:sz w:val="20"/>
          <w:szCs w:val="20"/>
        </w:rPr>
        <w:t xml:space="preserve"> </w:t>
      </w:r>
      <w:proofErr w:type="spellStart"/>
      <w:r w:rsidRPr="00B949EB">
        <w:rPr>
          <w:rFonts w:ascii="Cambria" w:hAnsi="Cambria" w:cs="Cambria"/>
          <w:sz w:val="20"/>
          <w:szCs w:val="20"/>
        </w:rPr>
        <w:t>Zuñiga</w:t>
      </w:r>
      <w:proofErr w:type="spellEnd"/>
      <w:r w:rsidRPr="00B949EB">
        <w:rPr>
          <w:rFonts w:ascii="Cambria" w:hAnsi="Cambria" w:cs="Cambria"/>
          <w:sz w:val="20"/>
          <w:szCs w:val="20"/>
        </w:rPr>
        <w:t xml:space="preserve"> Murillo (sister)</w:t>
      </w:r>
    </w:p>
    <w:p w:rsidR="00881C1D" w:rsidRPr="00B949EB" w:rsidRDefault="00881C1D" w:rsidP="009F644A">
      <w:pPr>
        <w:pStyle w:val="ListParagraph"/>
        <w:ind w:left="360"/>
        <w:rPr>
          <w:b/>
          <w:bCs/>
          <w:sz w:val="20"/>
          <w:szCs w:val="20"/>
        </w:rPr>
      </w:pPr>
    </w:p>
    <w:p w:rsidR="00881C1D" w:rsidRPr="00F64590" w:rsidRDefault="00881C1D" w:rsidP="00344528">
      <w:pPr>
        <w:pStyle w:val="ListParagraph"/>
        <w:numPr>
          <w:ilvl w:val="0"/>
          <w:numId w:val="54"/>
        </w:numPr>
        <w:rPr>
          <w:b/>
          <w:bCs/>
          <w:sz w:val="20"/>
          <w:szCs w:val="20"/>
          <w:lang w:val="es-ES"/>
        </w:rPr>
      </w:pPr>
      <w:r w:rsidRPr="00F64590">
        <w:rPr>
          <w:b/>
          <w:bCs/>
          <w:sz w:val="20"/>
          <w:szCs w:val="20"/>
          <w:lang w:val="es-ES"/>
        </w:rPr>
        <w:t>Diana Milena Mena Mosquera (</w:t>
      </w:r>
      <w:proofErr w:type="spellStart"/>
      <w:r w:rsidRPr="00F64590">
        <w:rPr>
          <w:b/>
          <w:bCs/>
          <w:sz w:val="20"/>
          <w:szCs w:val="20"/>
          <w:lang w:val="es-ES"/>
        </w:rPr>
        <w:t>killed</w:t>
      </w:r>
      <w:proofErr w:type="spellEnd"/>
      <w:r w:rsidRPr="00F64590">
        <w:rPr>
          <w:b/>
          <w:bCs/>
          <w:sz w:val="20"/>
          <w:szCs w:val="20"/>
          <w:lang w:val="es-ES"/>
        </w:rPr>
        <w:t>)</w:t>
      </w:r>
    </w:p>
    <w:p w:rsidR="00881C1D" w:rsidRPr="00F64590" w:rsidRDefault="00881C1D" w:rsidP="009F644A">
      <w:pPr>
        <w:pStyle w:val="ListParagraph"/>
        <w:ind w:left="0"/>
        <w:rPr>
          <w:b/>
          <w:bCs/>
          <w:sz w:val="22"/>
          <w:szCs w:val="22"/>
          <w:lang w:val="es-ES"/>
        </w:rPr>
      </w:pPr>
    </w:p>
    <w:p w:rsidR="00881C1D" w:rsidRPr="00706FBC" w:rsidRDefault="00881C1D" w:rsidP="00344528">
      <w:pPr>
        <w:pStyle w:val="ListParagraph"/>
        <w:numPr>
          <w:ilvl w:val="0"/>
          <w:numId w:val="54"/>
        </w:numPr>
        <w:rPr>
          <w:b/>
          <w:bCs/>
          <w:sz w:val="20"/>
          <w:szCs w:val="20"/>
          <w:lang w:val="pt-BR"/>
        </w:rPr>
      </w:pPr>
      <w:r w:rsidRPr="00706FBC">
        <w:rPr>
          <w:b/>
          <w:bCs/>
          <w:sz w:val="20"/>
          <w:szCs w:val="20"/>
          <w:lang w:val="pt-BR"/>
        </w:rPr>
        <w:t>Ana Cecilia Mena Mosquera (killed)</w:t>
      </w:r>
    </w:p>
    <w:p w:rsidR="00881C1D" w:rsidRPr="00706FBC" w:rsidRDefault="00881C1D" w:rsidP="009F644A">
      <w:pPr>
        <w:pStyle w:val="ListParagraph"/>
        <w:ind w:left="0"/>
        <w:rPr>
          <w:b/>
          <w:bCs/>
          <w:sz w:val="20"/>
          <w:szCs w:val="20"/>
          <w:lang w:val="pt-BR"/>
        </w:rPr>
      </w:pPr>
    </w:p>
    <w:p w:rsidR="00881C1D" w:rsidRPr="00B949EB" w:rsidRDefault="00881C1D" w:rsidP="00344528">
      <w:pPr>
        <w:pStyle w:val="ListParagraph"/>
        <w:numPr>
          <w:ilvl w:val="0"/>
          <w:numId w:val="54"/>
        </w:numPr>
        <w:rPr>
          <w:b/>
          <w:bCs/>
          <w:sz w:val="20"/>
          <w:szCs w:val="20"/>
        </w:rPr>
      </w:pPr>
      <w:r w:rsidRPr="00B949EB">
        <w:rPr>
          <w:b/>
          <w:bCs/>
          <w:sz w:val="20"/>
          <w:szCs w:val="20"/>
        </w:rPr>
        <w:t>Walter Mena Mosquera (killed)</w:t>
      </w:r>
    </w:p>
    <w:p w:rsidR="00881C1D" w:rsidRPr="00B949EB" w:rsidRDefault="00881C1D" w:rsidP="00344528">
      <w:pPr>
        <w:rPr>
          <w:rFonts w:ascii="Cambria" w:hAnsi="Cambria" w:cs="Cambria"/>
          <w:color w:val="000000"/>
          <w:sz w:val="20"/>
          <w:szCs w:val="20"/>
        </w:rPr>
      </w:pPr>
    </w:p>
    <w:p w:rsidR="00881C1D" w:rsidRPr="00B949EB" w:rsidRDefault="00881C1D" w:rsidP="00344528">
      <w:pPr>
        <w:pStyle w:val="ListParagraph"/>
        <w:numPr>
          <w:ilvl w:val="0"/>
          <w:numId w:val="54"/>
        </w:numPr>
        <w:rPr>
          <w:b/>
          <w:bCs/>
          <w:sz w:val="20"/>
          <w:szCs w:val="20"/>
        </w:rPr>
      </w:pPr>
      <w:r w:rsidRPr="00B949EB">
        <w:rPr>
          <w:b/>
          <w:bCs/>
          <w:sz w:val="20"/>
          <w:szCs w:val="20"/>
        </w:rPr>
        <w:t xml:space="preserve">Jenny </w:t>
      </w:r>
      <w:proofErr w:type="spellStart"/>
      <w:r w:rsidRPr="00B949EB">
        <w:rPr>
          <w:b/>
          <w:bCs/>
          <w:sz w:val="20"/>
          <w:szCs w:val="20"/>
        </w:rPr>
        <w:t>Perea</w:t>
      </w:r>
      <w:proofErr w:type="spellEnd"/>
      <w:r w:rsidRPr="00B949EB">
        <w:rPr>
          <w:b/>
          <w:bCs/>
          <w:sz w:val="20"/>
          <w:szCs w:val="20"/>
        </w:rPr>
        <w:t xml:space="preserve"> </w:t>
      </w:r>
      <w:proofErr w:type="spellStart"/>
      <w:r w:rsidRPr="00B949EB">
        <w:rPr>
          <w:b/>
          <w:bCs/>
          <w:sz w:val="20"/>
          <w:szCs w:val="20"/>
        </w:rPr>
        <w:t>Izquierda</w:t>
      </w:r>
      <w:proofErr w:type="spellEnd"/>
      <w:r w:rsidRPr="00B949EB">
        <w:rPr>
          <w:b/>
          <w:bCs/>
          <w:sz w:val="20"/>
          <w:szCs w:val="20"/>
        </w:rPr>
        <w:t xml:space="preserve"> (killed)</w:t>
      </w:r>
    </w:p>
    <w:p w:rsidR="00881C1D" w:rsidRPr="00B949EB" w:rsidRDefault="00881C1D" w:rsidP="00344528">
      <w:pPr>
        <w:rPr>
          <w:rFonts w:ascii="Cambria" w:hAnsi="Cambria" w:cs="Cambria"/>
          <w:b/>
          <w:bCs/>
          <w:sz w:val="20"/>
          <w:szCs w:val="20"/>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Relatives</w:t>
      </w:r>
      <w:r w:rsidR="00881C1D" w:rsidRPr="00B949EB">
        <w:rPr>
          <w:rFonts w:ascii="Cambria" w:hAnsi="Cambria" w:cs="Cambria"/>
          <w:color w:val="000000"/>
          <w:sz w:val="20"/>
          <w:szCs w:val="20"/>
        </w:rPr>
        <w:t>:</w:t>
      </w:r>
    </w:p>
    <w:p w:rsidR="00881C1D" w:rsidRPr="00B949EB" w:rsidRDefault="00881C1D" w:rsidP="00344528">
      <w:pPr>
        <w:numPr>
          <w:ilvl w:val="0"/>
          <w:numId w:val="53"/>
        </w:numPr>
        <w:rPr>
          <w:rFonts w:ascii="Cambria" w:hAnsi="Cambria" w:cs="Cambria"/>
          <w:sz w:val="20"/>
          <w:szCs w:val="20"/>
        </w:rPr>
      </w:pPr>
      <w:proofErr w:type="spellStart"/>
      <w:r w:rsidRPr="00B949EB">
        <w:rPr>
          <w:rFonts w:ascii="Cambria" w:hAnsi="Cambria" w:cs="Cambria"/>
          <w:sz w:val="20"/>
          <w:szCs w:val="20"/>
        </w:rPr>
        <w:t>Abrahan</w:t>
      </w:r>
      <w:proofErr w:type="spellEnd"/>
      <w:r w:rsidRPr="00B949EB">
        <w:rPr>
          <w:rFonts w:ascii="Cambria" w:hAnsi="Cambria" w:cs="Cambria"/>
          <w:sz w:val="20"/>
          <w:szCs w:val="20"/>
        </w:rPr>
        <w:t xml:space="preserve"> </w:t>
      </w:r>
      <w:proofErr w:type="spellStart"/>
      <w:r w:rsidRPr="00B949EB">
        <w:rPr>
          <w:rFonts w:ascii="Cambria" w:hAnsi="Cambria" w:cs="Cambria"/>
          <w:sz w:val="20"/>
          <w:szCs w:val="20"/>
        </w:rPr>
        <w:t>Perea</w:t>
      </w:r>
      <w:proofErr w:type="spellEnd"/>
      <w:r w:rsidRPr="00B949EB">
        <w:rPr>
          <w:rFonts w:ascii="Cambria" w:hAnsi="Cambria" w:cs="Cambria"/>
          <w:sz w:val="20"/>
          <w:szCs w:val="20"/>
        </w:rPr>
        <w:t xml:space="preserve"> Murillo (father)</w:t>
      </w:r>
    </w:p>
    <w:p w:rsidR="00881C1D" w:rsidRPr="00B949EB" w:rsidRDefault="00881C1D" w:rsidP="00344528">
      <w:pPr>
        <w:numPr>
          <w:ilvl w:val="0"/>
          <w:numId w:val="53"/>
        </w:numPr>
        <w:rPr>
          <w:rFonts w:ascii="Cambria" w:hAnsi="Cambria" w:cs="Cambria"/>
          <w:sz w:val="20"/>
          <w:szCs w:val="20"/>
        </w:rPr>
      </w:pPr>
      <w:r w:rsidRPr="00B949EB">
        <w:rPr>
          <w:rFonts w:ascii="Cambria" w:hAnsi="Cambria" w:cs="Cambria"/>
          <w:sz w:val="20"/>
          <w:szCs w:val="20"/>
        </w:rPr>
        <w:t xml:space="preserve">Juan David </w:t>
      </w:r>
      <w:proofErr w:type="spellStart"/>
      <w:r w:rsidRPr="00B949EB">
        <w:rPr>
          <w:rFonts w:ascii="Cambria" w:hAnsi="Cambria" w:cs="Cambria"/>
          <w:sz w:val="20"/>
          <w:szCs w:val="20"/>
        </w:rPr>
        <w:t>Perea</w:t>
      </w:r>
      <w:proofErr w:type="spellEnd"/>
      <w:r w:rsidRPr="00B949EB">
        <w:rPr>
          <w:rFonts w:ascii="Cambria" w:hAnsi="Cambria" w:cs="Cambria"/>
          <w:sz w:val="20"/>
          <w:szCs w:val="20"/>
        </w:rPr>
        <w:t xml:space="preserve"> </w:t>
      </w:r>
      <w:proofErr w:type="spellStart"/>
      <w:r w:rsidRPr="00B949EB">
        <w:rPr>
          <w:rFonts w:ascii="Cambria" w:hAnsi="Cambria" w:cs="Cambria"/>
          <w:sz w:val="20"/>
          <w:szCs w:val="20"/>
        </w:rPr>
        <w:t>Hinostroza</w:t>
      </w:r>
      <w:proofErr w:type="spellEnd"/>
      <w:r w:rsidRPr="00B949EB">
        <w:rPr>
          <w:rFonts w:ascii="Cambria" w:hAnsi="Cambria" w:cs="Cambria"/>
          <w:sz w:val="20"/>
          <w:szCs w:val="20"/>
        </w:rPr>
        <w:t xml:space="preserve"> (brother)</w:t>
      </w:r>
    </w:p>
    <w:p w:rsidR="00881C1D" w:rsidRPr="00B949EB" w:rsidRDefault="00881C1D" w:rsidP="00344528">
      <w:pPr>
        <w:numPr>
          <w:ilvl w:val="0"/>
          <w:numId w:val="53"/>
        </w:numPr>
        <w:rPr>
          <w:rFonts w:ascii="Cambria" w:hAnsi="Cambria" w:cs="Cambria"/>
          <w:sz w:val="20"/>
          <w:szCs w:val="20"/>
        </w:rPr>
      </w:pPr>
      <w:r w:rsidRPr="00B949EB">
        <w:rPr>
          <w:rFonts w:ascii="Cambria" w:hAnsi="Cambria" w:cs="Cambria"/>
          <w:sz w:val="20"/>
          <w:szCs w:val="20"/>
        </w:rPr>
        <w:t xml:space="preserve">Mauricio </w:t>
      </w:r>
      <w:proofErr w:type="spellStart"/>
      <w:r w:rsidRPr="00B949EB">
        <w:rPr>
          <w:rFonts w:ascii="Cambria" w:hAnsi="Cambria" w:cs="Cambria"/>
          <w:sz w:val="20"/>
          <w:szCs w:val="20"/>
        </w:rPr>
        <w:t>Perea</w:t>
      </w:r>
      <w:proofErr w:type="spellEnd"/>
      <w:r w:rsidRPr="00B949EB">
        <w:rPr>
          <w:rFonts w:ascii="Cambria" w:hAnsi="Cambria" w:cs="Cambria"/>
          <w:sz w:val="20"/>
          <w:szCs w:val="20"/>
        </w:rPr>
        <w:t xml:space="preserve"> </w:t>
      </w:r>
      <w:proofErr w:type="spellStart"/>
      <w:r w:rsidRPr="00B949EB">
        <w:rPr>
          <w:rFonts w:ascii="Cambria" w:hAnsi="Cambria" w:cs="Cambria"/>
          <w:sz w:val="20"/>
          <w:szCs w:val="20"/>
        </w:rPr>
        <w:t>Hinostroza</w:t>
      </w:r>
      <w:proofErr w:type="spellEnd"/>
      <w:r w:rsidRPr="00B949EB">
        <w:rPr>
          <w:rFonts w:ascii="Cambria" w:hAnsi="Cambria" w:cs="Cambria"/>
          <w:sz w:val="20"/>
          <w:szCs w:val="20"/>
        </w:rPr>
        <w:t xml:space="preserve"> (brother)</w:t>
      </w:r>
    </w:p>
    <w:p w:rsidR="00881C1D" w:rsidRPr="00B949EB" w:rsidRDefault="00881C1D" w:rsidP="00344528">
      <w:pPr>
        <w:numPr>
          <w:ilvl w:val="0"/>
          <w:numId w:val="53"/>
        </w:numPr>
        <w:rPr>
          <w:rFonts w:ascii="Cambria" w:hAnsi="Cambria" w:cs="Cambria"/>
          <w:sz w:val="20"/>
          <w:szCs w:val="20"/>
        </w:rPr>
      </w:pPr>
      <w:proofErr w:type="spellStart"/>
      <w:r w:rsidRPr="00B949EB">
        <w:rPr>
          <w:rFonts w:ascii="Cambria" w:hAnsi="Cambria" w:cs="Cambria"/>
          <w:sz w:val="20"/>
          <w:szCs w:val="20"/>
        </w:rPr>
        <w:t>Seleny</w:t>
      </w:r>
      <w:proofErr w:type="spellEnd"/>
      <w:r w:rsidRPr="00B949EB">
        <w:rPr>
          <w:rFonts w:ascii="Cambria" w:hAnsi="Cambria" w:cs="Cambria"/>
          <w:sz w:val="20"/>
          <w:szCs w:val="20"/>
        </w:rPr>
        <w:t xml:space="preserve"> </w:t>
      </w:r>
      <w:proofErr w:type="spellStart"/>
      <w:r w:rsidRPr="00B949EB">
        <w:rPr>
          <w:rFonts w:ascii="Cambria" w:hAnsi="Cambria" w:cs="Cambria"/>
          <w:sz w:val="20"/>
          <w:szCs w:val="20"/>
        </w:rPr>
        <w:t>Perea</w:t>
      </w:r>
      <w:proofErr w:type="spellEnd"/>
      <w:r w:rsidRPr="00B949EB">
        <w:rPr>
          <w:rFonts w:ascii="Cambria" w:hAnsi="Cambria" w:cs="Cambria"/>
          <w:sz w:val="20"/>
          <w:szCs w:val="20"/>
        </w:rPr>
        <w:t xml:space="preserve"> </w:t>
      </w:r>
      <w:proofErr w:type="spellStart"/>
      <w:r w:rsidRPr="00B949EB">
        <w:rPr>
          <w:rFonts w:ascii="Cambria" w:hAnsi="Cambria" w:cs="Cambria"/>
          <w:sz w:val="20"/>
          <w:szCs w:val="20"/>
        </w:rPr>
        <w:t>Izquierda</w:t>
      </w:r>
      <w:proofErr w:type="spellEnd"/>
      <w:r w:rsidRPr="00B949EB">
        <w:rPr>
          <w:rFonts w:ascii="Cambria" w:hAnsi="Cambria" w:cs="Cambria"/>
          <w:sz w:val="20"/>
          <w:szCs w:val="20"/>
        </w:rPr>
        <w:t xml:space="preserve"> (sister)</w:t>
      </w:r>
    </w:p>
    <w:p w:rsidR="00881C1D" w:rsidRPr="00B949EB" w:rsidRDefault="00881C1D" w:rsidP="00344528">
      <w:pPr>
        <w:rPr>
          <w:rFonts w:ascii="Cambria" w:hAnsi="Cambria" w:cs="Cambria"/>
          <w:b/>
          <w:bCs/>
          <w:sz w:val="20"/>
          <w:szCs w:val="20"/>
        </w:rPr>
      </w:pPr>
    </w:p>
    <w:p w:rsidR="00881C1D" w:rsidRPr="00B949EB" w:rsidRDefault="00881C1D" w:rsidP="00344528">
      <w:pPr>
        <w:pStyle w:val="ListParagraph"/>
        <w:numPr>
          <w:ilvl w:val="0"/>
          <w:numId w:val="54"/>
        </w:numPr>
        <w:rPr>
          <w:b/>
          <w:bCs/>
          <w:sz w:val="20"/>
          <w:szCs w:val="20"/>
        </w:rPr>
      </w:pPr>
      <w:r w:rsidRPr="00B949EB">
        <w:rPr>
          <w:b/>
          <w:bCs/>
          <w:sz w:val="20"/>
          <w:szCs w:val="20"/>
        </w:rPr>
        <w:t xml:space="preserve">Isabel </w:t>
      </w:r>
      <w:proofErr w:type="spellStart"/>
      <w:r w:rsidRPr="00B949EB">
        <w:rPr>
          <w:b/>
          <w:bCs/>
          <w:sz w:val="20"/>
          <w:szCs w:val="20"/>
        </w:rPr>
        <w:t>Martínez</w:t>
      </w:r>
      <w:proofErr w:type="spellEnd"/>
      <w:r w:rsidRPr="00B949EB">
        <w:rPr>
          <w:b/>
          <w:bCs/>
          <w:sz w:val="20"/>
          <w:szCs w:val="20"/>
        </w:rPr>
        <w:t xml:space="preserve"> </w:t>
      </w:r>
      <w:proofErr w:type="spellStart"/>
      <w:r w:rsidRPr="00B949EB">
        <w:rPr>
          <w:b/>
          <w:bCs/>
          <w:sz w:val="20"/>
          <w:szCs w:val="20"/>
        </w:rPr>
        <w:t>Izquierda</w:t>
      </w:r>
      <w:proofErr w:type="spellEnd"/>
      <w:r w:rsidRPr="00B949EB">
        <w:rPr>
          <w:b/>
          <w:bCs/>
          <w:sz w:val="20"/>
          <w:szCs w:val="20"/>
        </w:rPr>
        <w:t xml:space="preserve"> (killed)</w:t>
      </w:r>
    </w:p>
    <w:p w:rsidR="00881C1D" w:rsidRPr="00B949EB" w:rsidRDefault="00881C1D" w:rsidP="00344528">
      <w:pPr>
        <w:rPr>
          <w:rFonts w:ascii="Cambria" w:hAnsi="Cambria" w:cs="Cambria"/>
          <w:sz w:val="20"/>
          <w:szCs w:val="20"/>
        </w:rPr>
      </w:pPr>
    </w:p>
    <w:p w:rsidR="00881C1D" w:rsidRPr="00B949EB" w:rsidRDefault="00881C1D" w:rsidP="00344528">
      <w:pPr>
        <w:pStyle w:val="ListParagraph"/>
        <w:numPr>
          <w:ilvl w:val="0"/>
          <w:numId w:val="54"/>
        </w:numPr>
        <w:rPr>
          <w:b/>
          <w:bCs/>
          <w:sz w:val="20"/>
          <w:szCs w:val="20"/>
        </w:rPr>
      </w:pPr>
      <w:r w:rsidRPr="00B949EB">
        <w:rPr>
          <w:b/>
          <w:bCs/>
          <w:sz w:val="20"/>
          <w:szCs w:val="20"/>
        </w:rPr>
        <w:t>Willington Mosquera Palacios (killed)</w:t>
      </w:r>
    </w:p>
    <w:p w:rsidR="00881C1D" w:rsidRPr="00B949EB" w:rsidRDefault="00881C1D" w:rsidP="00344528">
      <w:pPr>
        <w:rPr>
          <w:rFonts w:ascii="Cambria" w:hAnsi="Cambria" w:cs="Cambria"/>
          <w:color w:val="000000"/>
          <w:sz w:val="20"/>
          <w:szCs w:val="20"/>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 xml:space="preserve">Relatives </w:t>
      </w:r>
      <w:r w:rsidR="00881C1D" w:rsidRPr="00B949EB">
        <w:rPr>
          <w:rFonts w:ascii="Cambria" w:hAnsi="Cambria" w:cs="Cambria"/>
          <w:color w:val="000000"/>
          <w:sz w:val="20"/>
          <w:szCs w:val="20"/>
        </w:rPr>
        <w:t>:</w:t>
      </w:r>
    </w:p>
    <w:p w:rsidR="00881C1D" w:rsidRPr="00706FBC" w:rsidRDefault="00881C1D" w:rsidP="00344528">
      <w:pPr>
        <w:numPr>
          <w:ilvl w:val="0"/>
          <w:numId w:val="53"/>
        </w:numPr>
        <w:rPr>
          <w:rFonts w:ascii="Cambria" w:hAnsi="Cambria" w:cs="Cambria"/>
          <w:sz w:val="20"/>
          <w:szCs w:val="20"/>
          <w:lang w:val="pt-BR"/>
        </w:rPr>
      </w:pPr>
      <w:r w:rsidRPr="00706FBC">
        <w:rPr>
          <w:rFonts w:ascii="Cambria" w:hAnsi="Cambria" w:cs="Cambria"/>
          <w:sz w:val="20"/>
          <w:szCs w:val="20"/>
          <w:lang w:val="pt-BR"/>
        </w:rPr>
        <w:t>Yon Jairo Mosquera Palacios (brother)</w:t>
      </w:r>
    </w:p>
    <w:p w:rsidR="00881C1D" w:rsidRPr="00706FBC" w:rsidRDefault="00881C1D" w:rsidP="00344528">
      <w:pPr>
        <w:rPr>
          <w:rFonts w:ascii="Cambria" w:hAnsi="Cambria" w:cs="Cambria"/>
          <w:b/>
          <w:bCs/>
          <w:sz w:val="20"/>
          <w:szCs w:val="20"/>
          <w:lang w:val="pt-BR"/>
        </w:rPr>
      </w:pPr>
    </w:p>
    <w:p w:rsidR="00881C1D" w:rsidRPr="00B949EB" w:rsidRDefault="00881C1D" w:rsidP="00344528">
      <w:pPr>
        <w:pStyle w:val="ListParagraph"/>
        <w:numPr>
          <w:ilvl w:val="0"/>
          <w:numId w:val="54"/>
        </w:numPr>
        <w:rPr>
          <w:b/>
          <w:bCs/>
          <w:sz w:val="20"/>
          <w:szCs w:val="20"/>
        </w:rPr>
      </w:pPr>
      <w:proofErr w:type="spellStart"/>
      <w:r w:rsidRPr="00B949EB">
        <w:rPr>
          <w:b/>
          <w:bCs/>
          <w:sz w:val="20"/>
          <w:szCs w:val="20"/>
        </w:rPr>
        <w:t>Deyner</w:t>
      </w:r>
      <w:proofErr w:type="spellEnd"/>
      <w:r w:rsidRPr="00B949EB">
        <w:rPr>
          <w:b/>
          <w:bCs/>
          <w:sz w:val="20"/>
          <w:szCs w:val="20"/>
        </w:rPr>
        <w:t xml:space="preserve"> </w:t>
      </w:r>
      <w:proofErr w:type="spellStart"/>
      <w:r w:rsidRPr="00B949EB">
        <w:rPr>
          <w:b/>
          <w:bCs/>
          <w:sz w:val="20"/>
          <w:szCs w:val="20"/>
        </w:rPr>
        <w:t>Urrutia</w:t>
      </w:r>
      <w:proofErr w:type="spellEnd"/>
      <w:r w:rsidRPr="00B949EB">
        <w:rPr>
          <w:b/>
          <w:bCs/>
          <w:sz w:val="20"/>
          <w:szCs w:val="20"/>
        </w:rPr>
        <w:t xml:space="preserve"> </w:t>
      </w:r>
      <w:proofErr w:type="spellStart"/>
      <w:r w:rsidRPr="00B949EB">
        <w:rPr>
          <w:b/>
          <w:bCs/>
          <w:sz w:val="20"/>
          <w:szCs w:val="20"/>
        </w:rPr>
        <w:t>Mosquera</w:t>
      </w:r>
      <w:proofErr w:type="spellEnd"/>
      <w:r w:rsidRPr="00B949EB">
        <w:rPr>
          <w:b/>
          <w:bCs/>
          <w:sz w:val="20"/>
          <w:szCs w:val="20"/>
        </w:rPr>
        <w:t xml:space="preserve"> (injured)</w:t>
      </w:r>
    </w:p>
    <w:p w:rsidR="00881C1D" w:rsidRPr="00B949EB" w:rsidRDefault="00881C1D" w:rsidP="00344528">
      <w:pPr>
        <w:rPr>
          <w:rFonts w:ascii="Cambria" w:hAnsi="Cambria" w:cs="Cambria"/>
          <w:color w:val="000000"/>
          <w:sz w:val="20"/>
          <w:szCs w:val="20"/>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t xml:space="preserve">Relatives </w:t>
      </w:r>
      <w:r w:rsidR="00881C1D" w:rsidRPr="00B949EB">
        <w:rPr>
          <w:rFonts w:ascii="Cambria" w:hAnsi="Cambria" w:cs="Cambria"/>
          <w:color w:val="000000"/>
          <w:sz w:val="20"/>
          <w:szCs w:val="20"/>
        </w:rPr>
        <w:t>:</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Jose </w:t>
      </w:r>
      <w:proofErr w:type="spellStart"/>
      <w:r w:rsidRPr="00B949EB">
        <w:rPr>
          <w:rFonts w:ascii="Cambria" w:hAnsi="Cambria" w:cs="Cambria"/>
          <w:color w:val="000000"/>
          <w:sz w:val="20"/>
          <w:szCs w:val="20"/>
        </w:rPr>
        <w:t>Dioselino</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Reyes (father)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Nelia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Mosquera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Mosquera</w:t>
      </w:r>
      <w:proofErr w:type="spellEnd"/>
      <w:r w:rsidRPr="00B949EB">
        <w:rPr>
          <w:rFonts w:ascii="Cambria" w:hAnsi="Cambria" w:cs="Cambria"/>
          <w:color w:val="000000"/>
          <w:sz w:val="20"/>
          <w:szCs w:val="20"/>
        </w:rPr>
        <w:t xml:space="preserve"> (stepmother)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Joegelino</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Diocelina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Rosney</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Yasledi</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Kevin Andres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Rafael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Merlin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F64590" w:rsidRDefault="00881C1D" w:rsidP="00344528">
      <w:pPr>
        <w:numPr>
          <w:ilvl w:val="0"/>
          <w:numId w:val="53"/>
        </w:numPr>
        <w:rPr>
          <w:rFonts w:ascii="Cambria" w:hAnsi="Cambria" w:cs="Cambria"/>
          <w:color w:val="000000"/>
          <w:sz w:val="20"/>
          <w:szCs w:val="20"/>
          <w:lang w:val="pt-BR"/>
        </w:rPr>
      </w:pPr>
      <w:r w:rsidRPr="00F64590">
        <w:rPr>
          <w:rFonts w:ascii="Cambria" w:hAnsi="Cambria" w:cs="Cambria"/>
          <w:color w:val="000000"/>
          <w:sz w:val="20"/>
          <w:szCs w:val="20"/>
          <w:lang w:val="pt-BR"/>
        </w:rPr>
        <w:t>Martha Lucia Urrutia Moquera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Yamile</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Heiler</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Melkin</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Efren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r w:rsidRPr="00B949EB">
        <w:rPr>
          <w:rFonts w:ascii="Cambria" w:hAnsi="Cambria" w:cs="Cambria"/>
          <w:color w:val="000000"/>
          <w:sz w:val="20"/>
          <w:szCs w:val="20"/>
        </w:rPr>
        <w:t xml:space="preserve">Hector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Yeison</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Rosmira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Enith</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Moquera</w:t>
      </w:r>
      <w:proofErr w:type="spellEnd"/>
      <w:r w:rsidRPr="00B949EB">
        <w:rPr>
          <w:rFonts w:ascii="Cambria" w:hAnsi="Cambria" w:cs="Cambria"/>
          <w:color w:val="000000"/>
          <w:sz w:val="20"/>
          <w:szCs w:val="20"/>
        </w:rPr>
        <w:t xml:space="preserve"> (brother)</w:t>
      </w:r>
    </w:p>
    <w:p w:rsidR="00881C1D" w:rsidRPr="00B949EB" w:rsidRDefault="00881C1D" w:rsidP="00344528">
      <w:pPr>
        <w:numPr>
          <w:ilvl w:val="0"/>
          <w:numId w:val="53"/>
        </w:numPr>
        <w:rPr>
          <w:rFonts w:ascii="Cambria" w:hAnsi="Cambria" w:cs="Cambria"/>
          <w:color w:val="000000"/>
          <w:sz w:val="20"/>
          <w:szCs w:val="20"/>
        </w:rPr>
      </w:pPr>
      <w:proofErr w:type="spellStart"/>
      <w:r w:rsidRPr="00B949EB">
        <w:rPr>
          <w:rFonts w:ascii="Cambria" w:hAnsi="Cambria" w:cs="Cambria"/>
          <w:color w:val="000000"/>
          <w:sz w:val="20"/>
          <w:szCs w:val="20"/>
        </w:rPr>
        <w:t>Hernestina</w:t>
      </w:r>
      <w:proofErr w:type="spellEnd"/>
      <w:r w:rsidRPr="00B949EB">
        <w:rPr>
          <w:rFonts w:ascii="Cambria" w:hAnsi="Cambria" w:cs="Cambria"/>
          <w:color w:val="000000"/>
          <w:sz w:val="20"/>
          <w:szCs w:val="20"/>
        </w:rPr>
        <w:t xml:space="preserve"> </w:t>
      </w:r>
      <w:proofErr w:type="spellStart"/>
      <w:r w:rsidRPr="00B949EB">
        <w:rPr>
          <w:rFonts w:ascii="Cambria" w:hAnsi="Cambria" w:cs="Cambria"/>
          <w:color w:val="000000"/>
          <w:sz w:val="20"/>
          <w:szCs w:val="20"/>
        </w:rPr>
        <w:t>Urrutia</w:t>
      </w:r>
      <w:proofErr w:type="spellEnd"/>
      <w:r w:rsidRPr="00B949EB">
        <w:rPr>
          <w:rFonts w:ascii="Cambria" w:hAnsi="Cambria" w:cs="Cambria"/>
          <w:color w:val="000000"/>
          <w:sz w:val="20"/>
          <w:szCs w:val="20"/>
        </w:rPr>
        <w:t xml:space="preserve"> Cordoba (brother)</w:t>
      </w:r>
    </w:p>
    <w:p w:rsidR="00881C1D" w:rsidRPr="00B949EB" w:rsidRDefault="00881C1D" w:rsidP="00344528">
      <w:pPr>
        <w:rPr>
          <w:rFonts w:ascii="Cambria" w:hAnsi="Cambria" w:cs="Cambria"/>
          <w:b/>
          <w:bCs/>
          <w:sz w:val="20"/>
          <w:szCs w:val="20"/>
        </w:rPr>
      </w:pPr>
    </w:p>
    <w:p w:rsidR="00881C1D" w:rsidRPr="00B949EB" w:rsidRDefault="00881C1D" w:rsidP="00344528">
      <w:pPr>
        <w:pStyle w:val="ListParagraph"/>
        <w:numPr>
          <w:ilvl w:val="0"/>
          <w:numId w:val="54"/>
        </w:numPr>
        <w:rPr>
          <w:b/>
          <w:bCs/>
          <w:sz w:val="20"/>
          <w:szCs w:val="20"/>
        </w:rPr>
      </w:pPr>
      <w:proofErr w:type="spellStart"/>
      <w:r w:rsidRPr="00B949EB">
        <w:rPr>
          <w:b/>
          <w:bCs/>
          <w:sz w:val="20"/>
          <w:szCs w:val="20"/>
        </w:rPr>
        <w:t>Estibinson</w:t>
      </w:r>
      <w:proofErr w:type="spellEnd"/>
      <w:r w:rsidRPr="00B949EB">
        <w:rPr>
          <w:b/>
          <w:bCs/>
          <w:sz w:val="20"/>
          <w:szCs w:val="20"/>
        </w:rPr>
        <w:t xml:space="preserve"> Palacios </w:t>
      </w:r>
      <w:proofErr w:type="spellStart"/>
      <w:r w:rsidRPr="00B949EB">
        <w:rPr>
          <w:b/>
          <w:bCs/>
          <w:sz w:val="20"/>
          <w:szCs w:val="20"/>
        </w:rPr>
        <w:t>Caicedo</w:t>
      </w:r>
      <w:proofErr w:type="spellEnd"/>
      <w:r w:rsidRPr="00B949EB">
        <w:rPr>
          <w:b/>
          <w:bCs/>
          <w:sz w:val="20"/>
          <w:szCs w:val="20"/>
        </w:rPr>
        <w:t xml:space="preserve"> (killed) </w:t>
      </w:r>
    </w:p>
    <w:p w:rsidR="00881C1D" w:rsidRPr="00B949EB" w:rsidRDefault="00881C1D" w:rsidP="00344528">
      <w:pPr>
        <w:rPr>
          <w:rFonts w:ascii="Cambria" w:hAnsi="Cambria" w:cs="Cambria"/>
          <w:b/>
          <w:bCs/>
          <w:sz w:val="20"/>
          <w:szCs w:val="20"/>
          <w:u w:color="000000"/>
        </w:rPr>
      </w:pPr>
    </w:p>
    <w:p w:rsidR="00881C1D" w:rsidRPr="00706FBC" w:rsidRDefault="00881C1D" w:rsidP="00344528">
      <w:pPr>
        <w:pStyle w:val="ListParagraph"/>
        <w:numPr>
          <w:ilvl w:val="0"/>
          <w:numId w:val="54"/>
        </w:numPr>
        <w:rPr>
          <w:b/>
          <w:bCs/>
          <w:sz w:val="20"/>
          <w:szCs w:val="20"/>
          <w:lang w:val="pt-BR"/>
        </w:rPr>
      </w:pPr>
      <w:r w:rsidRPr="00706FBC">
        <w:rPr>
          <w:b/>
          <w:bCs/>
          <w:sz w:val="20"/>
          <w:szCs w:val="20"/>
          <w:lang w:val="pt-BR"/>
        </w:rPr>
        <w:t>Flora Yolita Palacios Caicedo (injured)</w:t>
      </w:r>
    </w:p>
    <w:p w:rsidR="00881C1D" w:rsidRPr="00706FBC" w:rsidRDefault="00881C1D" w:rsidP="00344528">
      <w:pPr>
        <w:rPr>
          <w:rFonts w:ascii="Cambria" w:hAnsi="Cambria" w:cs="Cambria"/>
          <w:color w:val="000000"/>
          <w:sz w:val="20"/>
          <w:szCs w:val="20"/>
          <w:lang w:val="pt-BR"/>
        </w:rPr>
      </w:pPr>
    </w:p>
    <w:p w:rsidR="00881C1D" w:rsidRPr="00B949EB" w:rsidRDefault="00922125" w:rsidP="00344528">
      <w:pPr>
        <w:ind w:firstLine="360"/>
        <w:rPr>
          <w:rFonts w:ascii="Cambria" w:hAnsi="Cambria" w:cs="Cambria"/>
          <w:color w:val="000000"/>
          <w:sz w:val="20"/>
          <w:szCs w:val="20"/>
        </w:rPr>
      </w:pPr>
      <w:r w:rsidRPr="00922125">
        <w:rPr>
          <w:rFonts w:ascii="Cambria" w:hAnsi="Cambria" w:cs="Cambria"/>
          <w:color w:val="000000"/>
          <w:sz w:val="20"/>
          <w:szCs w:val="20"/>
        </w:rPr>
        <w:lastRenderedPageBreak/>
        <w:t>Relatives</w:t>
      </w:r>
      <w:r w:rsidR="00881C1D" w:rsidRPr="00B949EB">
        <w:rPr>
          <w:rFonts w:ascii="Cambria" w:hAnsi="Cambria" w:cs="Cambria"/>
          <w:color w:val="000000"/>
          <w:sz w:val="20"/>
          <w:szCs w:val="20"/>
        </w:rPr>
        <w:t>:</w:t>
      </w:r>
    </w:p>
    <w:p w:rsidR="00881C1D" w:rsidRPr="00706FBC" w:rsidRDefault="00881C1D" w:rsidP="00344528">
      <w:pPr>
        <w:numPr>
          <w:ilvl w:val="0"/>
          <w:numId w:val="53"/>
        </w:numPr>
        <w:rPr>
          <w:rFonts w:ascii="Cambria" w:hAnsi="Cambria" w:cs="Cambria"/>
          <w:color w:val="000000"/>
          <w:sz w:val="20"/>
          <w:szCs w:val="20"/>
          <w:lang w:val="pt-BR"/>
        </w:rPr>
      </w:pPr>
      <w:r w:rsidRPr="00706FBC">
        <w:rPr>
          <w:rFonts w:ascii="Cambria" w:hAnsi="Cambria" w:cs="Cambria"/>
          <w:color w:val="000000"/>
          <w:sz w:val="20"/>
          <w:szCs w:val="20"/>
          <w:lang w:val="pt-BR"/>
        </w:rPr>
        <w:t>Ana Beatriz Caicedo Cuesta (mother)</w:t>
      </w:r>
    </w:p>
    <w:p w:rsidR="00881C1D" w:rsidRPr="00706FBC" w:rsidRDefault="00881C1D" w:rsidP="00344528">
      <w:pPr>
        <w:numPr>
          <w:ilvl w:val="0"/>
          <w:numId w:val="53"/>
        </w:numPr>
        <w:rPr>
          <w:rFonts w:ascii="Cambria" w:hAnsi="Cambria" w:cs="Cambria"/>
          <w:color w:val="000000"/>
          <w:sz w:val="20"/>
          <w:szCs w:val="20"/>
          <w:lang w:val="pt-BR"/>
        </w:rPr>
      </w:pPr>
      <w:r w:rsidRPr="00706FBC">
        <w:rPr>
          <w:rFonts w:ascii="Cambria" w:hAnsi="Cambria" w:cs="Cambria"/>
          <w:color w:val="000000"/>
          <w:sz w:val="20"/>
          <w:szCs w:val="20"/>
          <w:lang w:val="pt-BR"/>
        </w:rPr>
        <w:t>Ana Lucia Palacios Caicedo (sister)</w:t>
      </w:r>
    </w:p>
    <w:p w:rsidR="00881C1D" w:rsidRPr="00F64590" w:rsidRDefault="00881C1D" w:rsidP="00344528">
      <w:pPr>
        <w:numPr>
          <w:ilvl w:val="0"/>
          <w:numId w:val="53"/>
        </w:numPr>
        <w:rPr>
          <w:rFonts w:ascii="Cambria" w:hAnsi="Cambria" w:cs="Cambria"/>
          <w:color w:val="000000"/>
          <w:sz w:val="20"/>
          <w:szCs w:val="20"/>
          <w:lang w:val="pt-BR"/>
        </w:rPr>
      </w:pPr>
      <w:r w:rsidRPr="00F64590">
        <w:rPr>
          <w:rFonts w:ascii="Cambria" w:hAnsi="Cambria" w:cs="Cambria"/>
          <w:color w:val="000000"/>
          <w:sz w:val="20"/>
          <w:szCs w:val="20"/>
          <w:lang w:val="pt-BR"/>
        </w:rPr>
        <w:t>Vilma Cecilia Palacios Caicedo (sister)</w:t>
      </w:r>
    </w:p>
    <w:p w:rsidR="00881C1D" w:rsidRPr="00F64590" w:rsidRDefault="00881C1D" w:rsidP="00344528">
      <w:pPr>
        <w:rPr>
          <w:rFonts w:ascii="Cambria" w:hAnsi="Cambria" w:cs="Cambria"/>
          <w:b/>
          <w:bCs/>
          <w:sz w:val="20"/>
          <w:szCs w:val="20"/>
          <w:lang w:val="pt-BR"/>
        </w:rPr>
      </w:pPr>
    </w:p>
    <w:p w:rsidR="00881C1D" w:rsidRPr="00F64590" w:rsidRDefault="00693F6E" w:rsidP="00344528">
      <w:pPr>
        <w:rPr>
          <w:rFonts w:ascii="Cambria" w:hAnsi="Cambria" w:cs="Cambria"/>
          <w:b/>
          <w:bCs/>
          <w:sz w:val="20"/>
          <w:szCs w:val="20"/>
          <w:lang w:val="pt-BR"/>
        </w:rPr>
      </w:pPr>
      <w:r>
        <w:rPr>
          <w:rFonts w:ascii="Cambria" w:hAnsi="Cambria" w:cs="Cambria"/>
          <w:b/>
          <w:bCs/>
          <w:noProof/>
          <w:sz w:val="20"/>
          <w:szCs w:val="20"/>
        </w:rPr>
        <mc:AlternateContent>
          <mc:Choice Requires="wps">
            <w:drawing>
              <wp:anchor distT="0" distB="0" distL="114300" distR="114300" simplePos="0" relativeHeight="251661824" behindDoc="0" locked="1" layoutInCell="1" allowOverlap="1">
                <wp:simplePos x="0" y="0"/>
                <wp:positionH relativeFrom="column">
                  <wp:posOffset>-91440</wp:posOffset>
                </wp:positionH>
                <wp:positionV relativeFrom="page">
                  <wp:posOffset>9144000</wp:posOffset>
                </wp:positionV>
                <wp:extent cx="3383280" cy="228600"/>
                <wp:effectExtent l="3810" t="0" r="381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44A" w:rsidRPr="009F644A" w:rsidRDefault="009F644A">
                            <w:pPr>
                              <w:rPr>
                                <w:sz w:val="18"/>
                              </w:rPr>
                            </w:pPr>
                            <w:r>
                              <w:rPr>
                                <w:sz w:val="18"/>
                              </w:rPr>
                              <w:fldChar w:fldCharType="begin"/>
                            </w:r>
                            <w:r>
                              <w:rPr>
                                <w:sz w:val="18"/>
                              </w:rPr>
                              <w:instrText xml:space="preserve"> FILENAME  \* MERGEFORMAT </w:instrText>
                            </w:r>
                            <w:r>
                              <w:rPr>
                                <w:sz w:val="18"/>
                              </w:rPr>
                              <w:fldChar w:fldCharType="separate"/>
                            </w:r>
                            <w:r>
                              <w:rPr>
                                <w:noProof/>
                                <w:sz w:val="18"/>
                              </w:rPr>
                              <w:t>CIDH06337E04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7.2pt;margin-top:10in;width:266.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J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" filled="f" stroked="f">
                <v:textbox>
                  <w:txbxContent>
                    <w:p w:rsidR="009F644A" w:rsidRPr="009F644A" w:rsidRDefault="009F644A">
                      <w:pPr>
                        <w:rPr>
                          <w:sz w:val="18"/>
                        </w:rPr>
                      </w:pPr>
                      <w:r>
                        <w:rPr>
                          <w:sz w:val="18"/>
                        </w:rPr>
                        <w:fldChar w:fldCharType="begin"/>
                      </w:r>
                      <w:r>
                        <w:rPr>
                          <w:sz w:val="18"/>
                        </w:rPr>
                        <w:instrText xml:space="preserve"> FILENAME  \* MERGEFORMAT </w:instrText>
                      </w:r>
                      <w:r>
                        <w:rPr>
                          <w:sz w:val="18"/>
                        </w:rPr>
                        <w:fldChar w:fldCharType="separate"/>
                      </w:r>
                      <w:r>
                        <w:rPr>
                          <w:noProof/>
                          <w:sz w:val="18"/>
                        </w:rPr>
                        <w:t>CIDH06337E04</w:t>
                      </w:r>
                      <w:r>
                        <w:rPr>
                          <w:sz w:val="18"/>
                        </w:rPr>
                        <w:fldChar w:fldCharType="end"/>
                      </w:r>
                    </w:p>
                  </w:txbxContent>
                </v:textbox>
                <w10:wrap anchory="page"/>
                <w10:anchorlock/>
              </v:shape>
            </w:pict>
          </mc:Fallback>
        </mc:AlternateContent>
      </w:r>
    </w:p>
    <w:sectPr w:rsidR="00881C1D" w:rsidRPr="00F64590" w:rsidSect="00881D9E">
      <w:headerReference w:type="default" r:id="rId15"/>
      <w:footerReference w:type="default" r:id="rId16"/>
      <w:type w:val="oddPage"/>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369" w:rsidRDefault="00420369" w:rsidP="00034C3D">
      <w:r>
        <w:separator/>
      </w:r>
    </w:p>
  </w:endnote>
  <w:endnote w:type="continuationSeparator" w:id="0">
    <w:p w:rsidR="00420369" w:rsidRDefault="00420369" w:rsidP="0003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96" w:rsidRDefault="00DA6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1D" w:rsidRPr="00344528" w:rsidRDefault="00881C1D">
    <w:pPr>
      <w:pStyle w:val="Footer"/>
      <w:jc w:val="center"/>
      <w:rPr>
        <w:noProof/>
        <w:sz w:val="16"/>
        <w:szCs w:val="16"/>
      </w:rPr>
    </w:pPr>
    <w:r w:rsidRPr="00344528">
      <w:rPr>
        <w:noProof/>
        <w:sz w:val="16"/>
        <w:szCs w:val="16"/>
      </w:rPr>
      <w:fldChar w:fldCharType="begin"/>
    </w:r>
    <w:r w:rsidRPr="00344528">
      <w:rPr>
        <w:noProof/>
        <w:sz w:val="16"/>
        <w:szCs w:val="16"/>
      </w:rPr>
      <w:instrText xml:space="preserve"> PAGE   \* MERGEFORMAT </w:instrText>
    </w:r>
    <w:r w:rsidRPr="00344528">
      <w:rPr>
        <w:noProof/>
        <w:sz w:val="16"/>
        <w:szCs w:val="16"/>
      </w:rPr>
      <w:fldChar w:fldCharType="separate"/>
    </w:r>
    <w:r>
      <w:rPr>
        <w:noProof/>
        <w:sz w:val="16"/>
        <w:szCs w:val="16"/>
      </w:rPr>
      <w:t>2</w:t>
    </w:r>
    <w:r w:rsidRPr="00344528">
      <w:rPr>
        <w:noProof/>
        <w:sz w:val="16"/>
        <w:szCs w:val="16"/>
      </w:rPr>
      <w:fldChar w:fldCharType="end"/>
    </w:r>
  </w:p>
  <w:p w:rsidR="00881C1D" w:rsidRPr="00344528" w:rsidRDefault="00881C1D">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1D" w:rsidRPr="00344528" w:rsidRDefault="00881C1D">
    <w:pPr>
      <w:pStyle w:val="Footer"/>
      <w:jc w:val="center"/>
      <w:rPr>
        <w:noProof/>
        <w:sz w:val="16"/>
        <w:szCs w:val="16"/>
      </w:rPr>
    </w:pPr>
  </w:p>
  <w:p w:rsidR="00881C1D" w:rsidRPr="00344528" w:rsidRDefault="00881C1D">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1D" w:rsidRPr="00344528" w:rsidRDefault="00881C1D">
    <w:pPr>
      <w:pStyle w:val="Footer"/>
      <w:jc w:val="center"/>
      <w:rPr>
        <w:noProof/>
        <w:sz w:val="16"/>
        <w:szCs w:val="16"/>
      </w:rPr>
    </w:pPr>
    <w:r w:rsidRPr="00344528">
      <w:rPr>
        <w:noProof/>
        <w:sz w:val="16"/>
        <w:szCs w:val="16"/>
      </w:rPr>
      <w:fldChar w:fldCharType="begin"/>
    </w:r>
    <w:r w:rsidRPr="00344528">
      <w:rPr>
        <w:noProof/>
        <w:sz w:val="16"/>
        <w:szCs w:val="16"/>
      </w:rPr>
      <w:instrText xml:space="preserve"> PAGE   \* MERGEFORMAT </w:instrText>
    </w:r>
    <w:r w:rsidRPr="00344528">
      <w:rPr>
        <w:noProof/>
        <w:sz w:val="16"/>
        <w:szCs w:val="16"/>
      </w:rPr>
      <w:fldChar w:fldCharType="separate"/>
    </w:r>
    <w:r w:rsidR="00DA6196">
      <w:rPr>
        <w:noProof/>
        <w:sz w:val="16"/>
        <w:szCs w:val="16"/>
      </w:rPr>
      <w:t>3</w:t>
    </w:r>
    <w:r w:rsidRPr="00344528">
      <w:rPr>
        <w:noProof/>
        <w:sz w:val="16"/>
        <w:szCs w:val="16"/>
      </w:rPr>
      <w:fldChar w:fldCharType="end"/>
    </w:r>
  </w:p>
  <w:p w:rsidR="00881C1D" w:rsidRPr="00344528" w:rsidRDefault="00881C1D">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369" w:rsidRPr="00344528" w:rsidRDefault="00420369">
      <w:pPr>
        <w:rPr>
          <w:rFonts w:ascii="Cambria" w:hAnsi="Cambria" w:cs="Cambria"/>
          <w:noProof/>
          <w:sz w:val="16"/>
          <w:szCs w:val="16"/>
        </w:rPr>
      </w:pPr>
      <w:r w:rsidRPr="00344528">
        <w:rPr>
          <w:rFonts w:ascii="Cambria" w:hAnsi="Cambria" w:cs="Cambria"/>
          <w:noProof/>
          <w:sz w:val="16"/>
          <w:szCs w:val="16"/>
        </w:rPr>
        <w:separator/>
      </w:r>
    </w:p>
  </w:footnote>
  <w:footnote w:type="continuationSeparator" w:id="0">
    <w:p w:rsidR="00420369" w:rsidRPr="00344528" w:rsidRDefault="00420369" w:rsidP="000F35ED">
      <w:pPr>
        <w:rPr>
          <w:rFonts w:ascii="Cambria" w:hAnsi="Cambria" w:cs="Cambria"/>
          <w:noProof/>
          <w:sz w:val="16"/>
          <w:szCs w:val="16"/>
        </w:rPr>
      </w:pPr>
      <w:r w:rsidRPr="00344528">
        <w:rPr>
          <w:rFonts w:ascii="Cambria" w:hAnsi="Cambria" w:cs="Cambria"/>
          <w:noProof/>
          <w:sz w:val="16"/>
          <w:szCs w:val="16"/>
        </w:rPr>
        <w:separator/>
      </w:r>
    </w:p>
    <w:p w:rsidR="00420369" w:rsidRPr="00344528" w:rsidRDefault="00420369" w:rsidP="000F35ED">
      <w:pPr>
        <w:pStyle w:val="Footer"/>
        <w:rPr>
          <w:noProof/>
          <w:sz w:val="16"/>
          <w:szCs w:val="16"/>
        </w:rPr>
      </w:pPr>
      <w:r w:rsidRPr="00344528">
        <w:rPr>
          <w:noProof/>
          <w:sz w:val="16"/>
          <w:szCs w:val="16"/>
        </w:rPr>
        <w:t>[… continuación]</w:t>
      </w:r>
    </w:p>
  </w:footnote>
  <w:footnote w:id="1">
    <w:p w:rsidR="00881C1D" w:rsidRDefault="00881C1D" w:rsidP="00344528">
      <w:pPr>
        <w:pStyle w:val="FootnoteText"/>
        <w:tabs>
          <w:tab w:val="left" w:pos="720"/>
        </w:tabs>
        <w:ind w:firstLine="360"/>
        <w:jc w:val="both"/>
      </w:pPr>
      <w:r w:rsidRPr="00F25DC8">
        <w:rPr>
          <w:rStyle w:val="FootnoteReference"/>
          <w:rFonts w:ascii="Cambria" w:hAnsi="Cambria" w:cs="Cambria"/>
          <w:sz w:val="16"/>
          <w:szCs w:val="16"/>
        </w:rPr>
        <w:footnoteRef/>
      </w:r>
      <w:r w:rsidRPr="00F25DC8">
        <w:rPr>
          <w:rFonts w:ascii="Cambria" w:hAnsi="Cambria" w:cs="Cambria"/>
        </w:rPr>
        <w:t xml:space="preserve"> </w:t>
      </w:r>
      <w:r w:rsidRPr="00F25DC8">
        <w:rPr>
          <w:rFonts w:ascii="Cambria" w:hAnsi="Cambria" w:cs="Cambria"/>
        </w:rPr>
        <w:tab/>
      </w:r>
      <w:r w:rsidRPr="00F25DC8">
        <w:rPr>
          <w:rFonts w:ascii="Cambria" w:hAnsi="Cambria" w:cs="Cambria"/>
          <w:sz w:val="16"/>
          <w:szCs w:val="16"/>
        </w:rPr>
        <w:t xml:space="preserve">The petition involves 10 deceased persons, 4 injured persons, and 67 members of the alleged victims’ families, as identified in the annex. </w:t>
      </w:r>
    </w:p>
  </w:footnote>
  <w:footnote w:id="2">
    <w:p w:rsidR="00881C1D" w:rsidRDefault="00881C1D" w:rsidP="00344528">
      <w:pPr>
        <w:pStyle w:val="FootnoteText"/>
        <w:tabs>
          <w:tab w:val="left" w:pos="720"/>
        </w:tabs>
        <w:ind w:firstLine="360"/>
        <w:jc w:val="both"/>
      </w:pPr>
      <w:r w:rsidRPr="00F25DC8">
        <w:rPr>
          <w:rStyle w:val="FootnoteReference"/>
          <w:rFonts w:ascii="Cambria" w:hAnsi="Cambria" w:cs="Cambria"/>
          <w:sz w:val="16"/>
          <w:szCs w:val="16"/>
        </w:rPr>
        <w:footnoteRef/>
      </w:r>
      <w:r w:rsidRPr="00F25DC8">
        <w:rPr>
          <w:rFonts w:ascii="Cambria" w:hAnsi="Cambria" w:cs="Cambria"/>
          <w:sz w:val="16"/>
          <w:szCs w:val="16"/>
        </w:rPr>
        <w:t xml:space="preserve"> </w:t>
      </w:r>
      <w:r w:rsidRPr="00F25DC8">
        <w:rPr>
          <w:rFonts w:ascii="Cambria" w:hAnsi="Cambria" w:cs="Cambria"/>
          <w:sz w:val="16"/>
          <w:szCs w:val="16"/>
        </w:rPr>
        <w:tab/>
        <w:t>In compliance with the terms of Article 17.2.a of the Commission’s Rules of Procedure, Commissioner Luis Ernesto Vargas, a Colombian national, did not participate in discussing or deciding this case.</w:t>
      </w:r>
    </w:p>
  </w:footnote>
  <w:footnote w:id="3">
    <w:p w:rsidR="00881C1D" w:rsidRDefault="00881C1D" w:rsidP="00344528">
      <w:pPr>
        <w:pStyle w:val="FootnoteText"/>
        <w:tabs>
          <w:tab w:val="left" w:pos="720"/>
        </w:tabs>
        <w:ind w:firstLine="360"/>
        <w:jc w:val="both"/>
      </w:pPr>
      <w:r w:rsidRPr="00F25DC8">
        <w:rPr>
          <w:rStyle w:val="FootnoteReference"/>
          <w:rFonts w:ascii="Cambria" w:hAnsi="Cambria" w:cs="Cambria"/>
          <w:sz w:val="16"/>
          <w:szCs w:val="16"/>
        </w:rPr>
        <w:footnoteRef/>
      </w:r>
      <w:r w:rsidRPr="00F25DC8">
        <w:rPr>
          <w:rFonts w:ascii="Cambria" w:hAnsi="Cambria" w:cs="Cambria"/>
          <w:sz w:val="16"/>
          <w:szCs w:val="16"/>
        </w:rPr>
        <w:t xml:space="preserve"> </w:t>
      </w:r>
      <w:r w:rsidRPr="00F25DC8">
        <w:rPr>
          <w:rFonts w:ascii="Cambria" w:hAnsi="Cambria" w:cs="Cambria"/>
          <w:sz w:val="16"/>
          <w:szCs w:val="16"/>
        </w:rPr>
        <w:tab/>
        <w:t>Hereinafter “the Convention” or “the American Convention.”</w:t>
      </w:r>
    </w:p>
  </w:footnote>
  <w:footnote w:id="4">
    <w:p w:rsidR="00881C1D" w:rsidRDefault="00881C1D" w:rsidP="00344528">
      <w:pPr>
        <w:pStyle w:val="FootnoteText"/>
        <w:tabs>
          <w:tab w:val="left" w:pos="720"/>
        </w:tabs>
        <w:spacing w:after="120"/>
        <w:ind w:firstLine="360"/>
        <w:jc w:val="both"/>
      </w:pPr>
      <w:r w:rsidRPr="00F25DC8">
        <w:rPr>
          <w:rStyle w:val="FootnoteReference"/>
          <w:rFonts w:ascii="Cambria" w:hAnsi="Cambria" w:cs="Cambria"/>
          <w:sz w:val="16"/>
          <w:szCs w:val="16"/>
        </w:rPr>
        <w:footnoteRef/>
      </w:r>
      <w:r w:rsidRPr="00F25DC8">
        <w:rPr>
          <w:rFonts w:ascii="Cambria" w:hAnsi="Cambria" w:cs="Cambria"/>
          <w:sz w:val="16"/>
          <w:szCs w:val="16"/>
        </w:rPr>
        <w:t xml:space="preserve"> </w:t>
      </w:r>
      <w:r w:rsidRPr="00F25DC8">
        <w:rPr>
          <w:rFonts w:ascii="Cambria" w:hAnsi="Cambria" w:cs="Cambria"/>
          <w:sz w:val="16"/>
          <w:szCs w:val="16"/>
        </w:rPr>
        <w:tab/>
        <w:t>The observations submitted by each party were duly transmitted to the opposing party.</w:t>
      </w:r>
    </w:p>
  </w:footnote>
  <w:footnote w:id="5">
    <w:p w:rsidR="00881C1D" w:rsidRDefault="00881C1D" w:rsidP="00344528">
      <w:pPr>
        <w:pStyle w:val="FootnoteText"/>
        <w:tabs>
          <w:tab w:val="left" w:pos="720"/>
        </w:tabs>
        <w:ind w:firstLine="360"/>
        <w:jc w:val="both"/>
      </w:pPr>
      <w:r w:rsidRPr="00F25DC8">
        <w:rPr>
          <w:rStyle w:val="FootnoteReference"/>
          <w:rFonts w:ascii="Cambria" w:hAnsi="Cambria" w:cs="Cambria"/>
          <w:sz w:val="16"/>
          <w:szCs w:val="16"/>
        </w:rPr>
        <w:footnoteRef/>
      </w:r>
      <w:r w:rsidRPr="00F25DC8">
        <w:rPr>
          <w:rFonts w:ascii="Cambria" w:hAnsi="Cambria" w:cs="Cambria"/>
          <w:sz w:val="16"/>
          <w:szCs w:val="16"/>
        </w:rPr>
        <w:t xml:space="preserve"> </w:t>
      </w:r>
      <w:r w:rsidRPr="00F25DC8">
        <w:rPr>
          <w:rFonts w:ascii="Cambria" w:hAnsi="Cambria" w:cs="Cambria"/>
          <w:sz w:val="16"/>
          <w:szCs w:val="16"/>
        </w:rPr>
        <w:tab/>
        <w:t>IACHR, Report No. 113/17, Petition 1141-07, Admissibility, Alfredo Manuel Martínez Meza and others. Colombia. September 7, 2017, para.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96" w:rsidRDefault="00DA6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1D" w:rsidRPr="00344528" w:rsidRDefault="00693F6E"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61540" cy="113030"/>
          <wp:effectExtent l="0" t="0" r="0" b="127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113030"/>
                  </a:xfrm>
                  <a:prstGeom prst="rect">
                    <a:avLst/>
                  </a:prstGeom>
                  <a:noFill/>
                  <a:ln>
                    <a:noFill/>
                  </a:ln>
                </pic:spPr>
              </pic:pic>
            </a:graphicData>
          </a:graphic>
        </wp:inline>
      </w:drawing>
    </w:r>
  </w:p>
  <w:p w:rsidR="00881C1D" w:rsidRPr="00344528" w:rsidRDefault="00420369"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96" w:rsidRDefault="00DA61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1D" w:rsidRPr="00344528" w:rsidRDefault="00693F6E"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61540" cy="1130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113030"/>
                  </a:xfrm>
                  <a:prstGeom prst="rect">
                    <a:avLst/>
                  </a:prstGeom>
                  <a:noFill/>
                  <a:ln>
                    <a:noFill/>
                  </a:ln>
                </pic:spPr>
              </pic:pic>
            </a:graphicData>
          </a:graphic>
        </wp:inline>
      </w:drawing>
    </w:r>
  </w:p>
  <w:p w:rsidR="00881C1D" w:rsidRPr="00344528" w:rsidRDefault="00420369"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0E1D2261"/>
    <w:multiLevelType w:val="hybridMultilevel"/>
    <w:tmpl w:val="5A781610"/>
    <w:lvl w:ilvl="0" w:tplc="D47409E0">
      <w:start w:val="1"/>
      <w:numFmt w:val="decimal"/>
      <w:lvlText w:val="%1."/>
      <w:lvlJc w:val="left"/>
      <w:pPr>
        <w:tabs>
          <w:tab w:val="num" w:pos="720"/>
        </w:tabs>
        <w:ind w:firstLine="720"/>
      </w:pPr>
      <w:rPr>
        <w:rFonts w:hint="default"/>
        <w:b w:val="0"/>
        <w:bCs w:val="0"/>
        <w:vanish w:val="0"/>
        <w:color w:val="auto"/>
      </w:rPr>
    </w:lvl>
    <w:lvl w:ilvl="1" w:tplc="AA60C5C0">
      <w:start w:val="1"/>
      <w:numFmt w:val="lowerLetter"/>
      <w:lvlText w:val="%2."/>
      <w:lvlJc w:val="left"/>
      <w:pPr>
        <w:tabs>
          <w:tab w:val="num" w:pos="1440"/>
        </w:tabs>
        <w:ind w:left="1440" w:hanging="360"/>
      </w:pPr>
    </w:lvl>
    <w:lvl w:ilvl="2" w:tplc="D2EC4FA6">
      <w:start w:val="1"/>
      <w:numFmt w:val="lowerRoman"/>
      <w:lvlText w:val="%3."/>
      <w:lvlJc w:val="right"/>
      <w:pPr>
        <w:tabs>
          <w:tab w:val="num" w:pos="2160"/>
        </w:tabs>
        <w:ind w:left="2160" w:hanging="180"/>
      </w:pPr>
    </w:lvl>
    <w:lvl w:ilvl="3" w:tplc="E44CC0CC">
      <w:start w:val="1"/>
      <w:numFmt w:val="decimal"/>
      <w:lvlText w:val="%4."/>
      <w:lvlJc w:val="left"/>
      <w:pPr>
        <w:tabs>
          <w:tab w:val="num" w:pos="2880"/>
        </w:tabs>
        <w:ind w:left="2880" w:hanging="360"/>
      </w:pPr>
    </w:lvl>
    <w:lvl w:ilvl="4" w:tplc="F12494F0">
      <w:start w:val="1"/>
      <w:numFmt w:val="lowerLetter"/>
      <w:lvlText w:val="%5."/>
      <w:lvlJc w:val="left"/>
      <w:pPr>
        <w:tabs>
          <w:tab w:val="num" w:pos="3600"/>
        </w:tabs>
        <w:ind w:left="3600" w:hanging="360"/>
      </w:pPr>
    </w:lvl>
    <w:lvl w:ilvl="5" w:tplc="56CC22EA">
      <w:start w:val="1"/>
      <w:numFmt w:val="lowerRoman"/>
      <w:lvlText w:val="%6."/>
      <w:lvlJc w:val="right"/>
      <w:pPr>
        <w:tabs>
          <w:tab w:val="num" w:pos="4320"/>
        </w:tabs>
        <w:ind w:left="4320" w:hanging="180"/>
      </w:pPr>
    </w:lvl>
    <w:lvl w:ilvl="6" w:tplc="CFE64A68">
      <w:start w:val="1"/>
      <w:numFmt w:val="decimal"/>
      <w:lvlText w:val="%7."/>
      <w:lvlJc w:val="left"/>
      <w:pPr>
        <w:tabs>
          <w:tab w:val="num" w:pos="5040"/>
        </w:tabs>
        <w:ind w:left="5040" w:hanging="360"/>
      </w:pPr>
    </w:lvl>
    <w:lvl w:ilvl="7" w:tplc="D414B0BA">
      <w:start w:val="1"/>
      <w:numFmt w:val="lowerLetter"/>
      <w:lvlText w:val="%8."/>
      <w:lvlJc w:val="left"/>
      <w:pPr>
        <w:tabs>
          <w:tab w:val="num" w:pos="5760"/>
        </w:tabs>
        <w:ind w:left="5760" w:hanging="360"/>
      </w:pPr>
    </w:lvl>
    <w:lvl w:ilvl="8" w:tplc="7B8E6C52">
      <w:start w:val="1"/>
      <w:numFmt w:val="lowerRoman"/>
      <w:lvlText w:val="%9."/>
      <w:lvlJc w:val="right"/>
      <w:pPr>
        <w:tabs>
          <w:tab w:val="num" w:pos="6480"/>
        </w:tabs>
        <w:ind w:left="6480" w:hanging="180"/>
      </w:pPr>
    </w:lvl>
  </w:abstractNum>
  <w:abstractNum w:abstractNumId="5" w15:restartNumberingAfterBreak="0">
    <w:nsid w:val="1B345416"/>
    <w:multiLevelType w:val="hybridMultilevel"/>
    <w:tmpl w:val="E06AF878"/>
    <w:lvl w:ilvl="0" w:tplc="99F0F594">
      <w:start w:val="1"/>
      <w:numFmt w:val="decimal"/>
      <w:lvlText w:val="%1)"/>
      <w:lvlJc w:val="left"/>
      <w:pPr>
        <w:ind w:left="720" w:hanging="360"/>
      </w:pPr>
      <w:rPr>
        <w:b w:val="0"/>
        <w:bCs w:val="0"/>
        <w:vanish w:val="0"/>
      </w:rPr>
    </w:lvl>
    <w:lvl w:ilvl="1" w:tplc="110EB0EE">
      <w:start w:val="1"/>
      <w:numFmt w:val="lowerLetter"/>
      <w:lvlText w:val="%2."/>
      <w:lvlJc w:val="left"/>
      <w:pPr>
        <w:ind w:left="1440" w:hanging="360"/>
      </w:pPr>
    </w:lvl>
    <w:lvl w:ilvl="2" w:tplc="0BD0AA5A">
      <w:start w:val="1"/>
      <w:numFmt w:val="lowerRoman"/>
      <w:lvlText w:val="%3."/>
      <w:lvlJc w:val="right"/>
      <w:pPr>
        <w:ind w:left="2160" w:hanging="180"/>
      </w:pPr>
    </w:lvl>
    <w:lvl w:ilvl="3" w:tplc="C206DC4C">
      <w:start w:val="1"/>
      <w:numFmt w:val="decimal"/>
      <w:lvlText w:val="%4."/>
      <w:lvlJc w:val="left"/>
      <w:pPr>
        <w:ind w:left="2880" w:hanging="360"/>
      </w:pPr>
    </w:lvl>
    <w:lvl w:ilvl="4" w:tplc="EB48C582">
      <w:start w:val="1"/>
      <w:numFmt w:val="lowerLetter"/>
      <w:lvlText w:val="%5."/>
      <w:lvlJc w:val="left"/>
      <w:pPr>
        <w:ind w:left="3600" w:hanging="360"/>
      </w:pPr>
    </w:lvl>
    <w:lvl w:ilvl="5" w:tplc="9A621580">
      <w:start w:val="1"/>
      <w:numFmt w:val="lowerRoman"/>
      <w:lvlText w:val="%6."/>
      <w:lvlJc w:val="right"/>
      <w:pPr>
        <w:ind w:left="4320" w:hanging="180"/>
      </w:pPr>
    </w:lvl>
    <w:lvl w:ilvl="6" w:tplc="549401D2">
      <w:start w:val="1"/>
      <w:numFmt w:val="decimal"/>
      <w:lvlText w:val="%7."/>
      <w:lvlJc w:val="left"/>
      <w:pPr>
        <w:ind w:left="5040" w:hanging="360"/>
      </w:pPr>
    </w:lvl>
    <w:lvl w:ilvl="7" w:tplc="1A26788C">
      <w:start w:val="1"/>
      <w:numFmt w:val="lowerLetter"/>
      <w:lvlText w:val="%8."/>
      <w:lvlJc w:val="left"/>
      <w:pPr>
        <w:ind w:left="5760" w:hanging="360"/>
      </w:pPr>
    </w:lvl>
    <w:lvl w:ilvl="8" w:tplc="F0BA9508">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15:restartNumberingAfterBreak="0">
    <w:nsid w:val="4B7F0EA2"/>
    <w:multiLevelType w:val="hybridMultilevel"/>
    <w:tmpl w:val="EBFCEB7A"/>
    <w:lvl w:ilvl="0" w:tplc="44B677D6">
      <w:start w:val="1"/>
      <w:numFmt w:val="decimal"/>
      <w:lvlText w:val="%1."/>
      <w:lvlJc w:val="left"/>
      <w:pPr>
        <w:ind w:left="720" w:hanging="360"/>
      </w:pPr>
      <w:rPr>
        <w:rFonts w:eastAsia="Times New Roman" w:hint="default"/>
        <w:vanish w:val="0"/>
      </w:rPr>
    </w:lvl>
    <w:lvl w:ilvl="1" w:tplc="33465940">
      <w:start w:val="1"/>
      <w:numFmt w:val="lowerLetter"/>
      <w:lvlText w:val="%2."/>
      <w:lvlJc w:val="left"/>
      <w:pPr>
        <w:ind w:left="1440" w:hanging="360"/>
      </w:pPr>
    </w:lvl>
    <w:lvl w:ilvl="2" w:tplc="6FCA16F6">
      <w:start w:val="1"/>
      <w:numFmt w:val="lowerRoman"/>
      <w:lvlText w:val="%3."/>
      <w:lvlJc w:val="right"/>
      <w:pPr>
        <w:ind w:left="2160" w:hanging="180"/>
      </w:pPr>
    </w:lvl>
    <w:lvl w:ilvl="3" w:tplc="363E5198">
      <w:start w:val="1"/>
      <w:numFmt w:val="decimal"/>
      <w:lvlText w:val="%4."/>
      <w:lvlJc w:val="left"/>
      <w:pPr>
        <w:ind w:left="2880" w:hanging="360"/>
      </w:pPr>
    </w:lvl>
    <w:lvl w:ilvl="4" w:tplc="96EAFC0C">
      <w:start w:val="1"/>
      <w:numFmt w:val="lowerLetter"/>
      <w:lvlText w:val="%5."/>
      <w:lvlJc w:val="left"/>
      <w:pPr>
        <w:ind w:left="3600" w:hanging="360"/>
      </w:pPr>
    </w:lvl>
    <w:lvl w:ilvl="5" w:tplc="03201BC0">
      <w:start w:val="1"/>
      <w:numFmt w:val="lowerRoman"/>
      <w:lvlText w:val="%6."/>
      <w:lvlJc w:val="right"/>
      <w:pPr>
        <w:ind w:left="4320" w:hanging="180"/>
      </w:pPr>
    </w:lvl>
    <w:lvl w:ilvl="6" w:tplc="D4F43816">
      <w:start w:val="1"/>
      <w:numFmt w:val="decimal"/>
      <w:lvlText w:val="%7."/>
      <w:lvlJc w:val="left"/>
      <w:pPr>
        <w:ind w:left="5040" w:hanging="360"/>
      </w:pPr>
    </w:lvl>
    <w:lvl w:ilvl="7" w:tplc="2F541770">
      <w:start w:val="1"/>
      <w:numFmt w:val="lowerLetter"/>
      <w:lvlText w:val="%8."/>
      <w:lvlJc w:val="left"/>
      <w:pPr>
        <w:ind w:left="5760" w:hanging="360"/>
      </w:pPr>
    </w:lvl>
    <w:lvl w:ilvl="8" w:tplc="8998261E">
      <w:start w:val="1"/>
      <w:numFmt w:val="lowerRoman"/>
      <w:lvlText w:val="%9."/>
      <w:lvlJc w:val="right"/>
      <w:pPr>
        <w:ind w:left="6480" w:hanging="180"/>
      </w:pPr>
    </w:lvl>
  </w:abstractNum>
  <w:abstractNum w:abstractNumId="3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8" w15:restartNumberingAfterBreak="0">
    <w:nsid w:val="560E281B"/>
    <w:multiLevelType w:val="hybridMultilevel"/>
    <w:tmpl w:val="D89A33F0"/>
    <w:lvl w:ilvl="0" w:tplc="D4E85070">
      <w:start w:val="1"/>
      <w:numFmt w:val="decimal"/>
      <w:lvlText w:val="%1."/>
      <w:lvlJc w:val="left"/>
      <w:pPr>
        <w:tabs>
          <w:tab w:val="num" w:pos="720"/>
        </w:tabs>
        <w:ind w:firstLine="720"/>
      </w:pPr>
      <w:rPr>
        <w:rFonts w:hint="default"/>
        <w:i w:val="0"/>
        <w:iCs w:val="0"/>
        <w:vanish w:val="0"/>
        <w:color w:val="auto"/>
      </w:rPr>
    </w:lvl>
    <w:lvl w:ilvl="1" w:tplc="975C4700">
      <w:start w:val="1"/>
      <w:numFmt w:val="lowerLetter"/>
      <w:lvlText w:val="%2."/>
      <w:lvlJc w:val="left"/>
      <w:pPr>
        <w:tabs>
          <w:tab w:val="num" w:pos="1440"/>
        </w:tabs>
        <w:ind w:left="1440" w:hanging="360"/>
      </w:pPr>
    </w:lvl>
    <w:lvl w:ilvl="2" w:tplc="16AC4222">
      <w:start w:val="1"/>
      <w:numFmt w:val="lowerRoman"/>
      <w:lvlText w:val="%3."/>
      <w:lvlJc w:val="right"/>
      <w:pPr>
        <w:tabs>
          <w:tab w:val="num" w:pos="2160"/>
        </w:tabs>
        <w:ind w:left="2160" w:hanging="180"/>
      </w:pPr>
    </w:lvl>
    <w:lvl w:ilvl="3" w:tplc="678AAF00">
      <w:start w:val="1"/>
      <w:numFmt w:val="decimal"/>
      <w:lvlText w:val="%4."/>
      <w:lvlJc w:val="left"/>
      <w:pPr>
        <w:tabs>
          <w:tab w:val="num" w:pos="2880"/>
        </w:tabs>
        <w:ind w:left="2880" w:hanging="360"/>
      </w:pPr>
    </w:lvl>
    <w:lvl w:ilvl="4" w:tplc="3086F70C">
      <w:start w:val="1"/>
      <w:numFmt w:val="lowerLetter"/>
      <w:lvlText w:val="%5."/>
      <w:lvlJc w:val="left"/>
      <w:pPr>
        <w:tabs>
          <w:tab w:val="num" w:pos="3600"/>
        </w:tabs>
        <w:ind w:left="3600" w:hanging="360"/>
      </w:pPr>
    </w:lvl>
    <w:lvl w:ilvl="5" w:tplc="4FB06F0C">
      <w:start w:val="1"/>
      <w:numFmt w:val="lowerRoman"/>
      <w:lvlText w:val="%6."/>
      <w:lvlJc w:val="right"/>
      <w:pPr>
        <w:tabs>
          <w:tab w:val="num" w:pos="4320"/>
        </w:tabs>
        <w:ind w:left="4320" w:hanging="180"/>
      </w:pPr>
    </w:lvl>
    <w:lvl w:ilvl="6" w:tplc="C316B394">
      <w:start w:val="1"/>
      <w:numFmt w:val="decimal"/>
      <w:lvlText w:val="%7."/>
      <w:lvlJc w:val="left"/>
      <w:pPr>
        <w:tabs>
          <w:tab w:val="num" w:pos="5040"/>
        </w:tabs>
        <w:ind w:left="5040" w:hanging="360"/>
      </w:pPr>
    </w:lvl>
    <w:lvl w:ilvl="7" w:tplc="BA584C3E">
      <w:start w:val="1"/>
      <w:numFmt w:val="lowerLetter"/>
      <w:lvlText w:val="%8."/>
      <w:lvlJc w:val="left"/>
      <w:pPr>
        <w:tabs>
          <w:tab w:val="num" w:pos="5760"/>
        </w:tabs>
        <w:ind w:left="5760" w:hanging="360"/>
      </w:pPr>
    </w:lvl>
    <w:lvl w:ilvl="8" w:tplc="465C8492">
      <w:start w:val="1"/>
      <w:numFmt w:val="lowerRoman"/>
      <w:lvlText w:val="%9."/>
      <w:lvlJc w:val="right"/>
      <w:pPr>
        <w:tabs>
          <w:tab w:val="num" w:pos="6480"/>
        </w:tabs>
        <w:ind w:left="6480" w:hanging="180"/>
      </w:p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4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0786ED7"/>
    <w:multiLevelType w:val="hybridMultilevel"/>
    <w:tmpl w:val="0004DB54"/>
    <w:lvl w:ilvl="0" w:tplc="5434ADE2">
      <w:start w:val="1"/>
      <w:numFmt w:val="upperRoman"/>
      <w:pStyle w:val="Heading1"/>
      <w:lvlText w:val="%1."/>
      <w:lvlJc w:val="left"/>
      <w:pPr>
        <w:ind w:left="720" w:hanging="360"/>
      </w:pPr>
      <w:rPr>
        <w:rFonts w:hint="default"/>
      </w:rPr>
    </w:lvl>
    <w:lvl w:ilvl="1" w:tplc="3E803186">
      <w:start w:val="1"/>
      <w:numFmt w:val="lowerLetter"/>
      <w:lvlText w:val="%2."/>
      <w:lvlJc w:val="left"/>
      <w:pPr>
        <w:ind w:left="1440" w:hanging="360"/>
      </w:pPr>
    </w:lvl>
    <w:lvl w:ilvl="2" w:tplc="5F84DA52">
      <w:start w:val="1"/>
      <w:numFmt w:val="lowerRoman"/>
      <w:lvlText w:val="%3."/>
      <w:lvlJc w:val="right"/>
      <w:pPr>
        <w:ind w:left="2160" w:hanging="180"/>
      </w:pPr>
    </w:lvl>
    <w:lvl w:ilvl="3" w:tplc="F6386042">
      <w:start w:val="1"/>
      <w:numFmt w:val="decimal"/>
      <w:lvlText w:val="%4."/>
      <w:lvlJc w:val="left"/>
      <w:pPr>
        <w:ind w:left="2880" w:hanging="360"/>
      </w:pPr>
    </w:lvl>
    <w:lvl w:ilvl="4" w:tplc="3B2213AC">
      <w:start w:val="1"/>
      <w:numFmt w:val="lowerLetter"/>
      <w:lvlText w:val="%5."/>
      <w:lvlJc w:val="left"/>
      <w:pPr>
        <w:ind w:left="3600" w:hanging="360"/>
      </w:pPr>
    </w:lvl>
    <w:lvl w:ilvl="5" w:tplc="21C00C6C">
      <w:start w:val="1"/>
      <w:numFmt w:val="lowerRoman"/>
      <w:lvlText w:val="%6."/>
      <w:lvlJc w:val="right"/>
      <w:pPr>
        <w:ind w:left="4320" w:hanging="180"/>
      </w:pPr>
    </w:lvl>
    <w:lvl w:ilvl="6" w:tplc="F5545006">
      <w:start w:val="1"/>
      <w:numFmt w:val="decimal"/>
      <w:lvlText w:val="%7."/>
      <w:lvlJc w:val="left"/>
      <w:pPr>
        <w:ind w:left="5040" w:hanging="360"/>
      </w:pPr>
    </w:lvl>
    <w:lvl w:ilvl="7" w:tplc="86D639EE">
      <w:start w:val="1"/>
      <w:numFmt w:val="lowerLetter"/>
      <w:lvlText w:val="%8."/>
      <w:lvlJc w:val="left"/>
      <w:pPr>
        <w:ind w:left="5760" w:hanging="360"/>
      </w:pPr>
    </w:lvl>
    <w:lvl w:ilvl="8" w:tplc="C13E2080">
      <w:start w:val="1"/>
      <w:numFmt w:val="lowerRoman"/>
      <w:lvlText w:val="%9."/>
      <w:lvlJc w:val="right"/>
      <w:pPr>
        <w:ind w:left="6480" w:hanging="180"/>
      </w:pPr>
    </w:lvl>
  </w:abstractNum>
  <w:abstractNum w:abstractNumId="46"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7"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8"/>
  </w:num>
  <w:num w:numId="3">
    <w:abstractNumId w:val="19"/>
  </w:num>
  <w:num w:numId="4">
    <w:abstractNumId w:val="42"/>
  </w:num>
  <w:num w:numId="5">
    <w:abstractNumId w:val="24"/>
  </w:num>
  <w:num w:numId="6">
    <w:abstractNumId w:val="6"/>
  </w:num>
  <w:num w:numId="7">
    <w:abstractNumId w:val="16"/>
  </w:num>
  <w:num w:numId="8">
    <w:abstractNumId w:val="37"/>
  </w:num>
  <w:num w:numId="9">
    <w:abstractNumId w:val="0"/>
  </w:num>
  <w:num w:numId="10">
    <w:abstractNumId w:val="32"/>
  </w:num>
  <w:num w:numId="11">
    <w:abstractNumId w:val="33"/>
  </w:num>
  <w:num w:numId="12">
    <w:abstractNumId w:val="39"/>
  </w:num>
  <w:num w:numId="13">
    <w:abstractNumId w:val="1"/>
  </w:num>
  <w:num w:numId="14">
    <w:abstractNumId w:val="2"/>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8"/>
  </w:num>
  <w:num w:numId="26">
    <w:abstractNumId w:val="20"/>
  </w:num>
  <w:num w:numId="27">
    <w:abstractNumId w:val="21"/>
  </w:num>
  <w:num w:numId="28">
    <w:abstractNumId w:val="22"/>
  </w:num>
  <w:num w:numId="29">
    <w:abstractNumId w:val="23"/>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4"/>
  </w:num>
  <w:num w:numId="37">
    <w:abstractNumId w:val="35"/>
  </w:num>
  <w:num w:numId="38">
    <w:abstractNumId w:val="41"/>
  </w:num>
  <w:num w:numId="39">
    <w:abstractNumId w:val="43"/>
  </w:num>
  <w:num w:numId="40">
    <w:abstractNumId w:val="44"/>
  </w:num>
  <w:num w:numId="41">
    <w:abstractNumId w:val="46"/>
  </w:num>
  <w:num w:numId="42">
    <w:abstractNumId w:val="47"/>
  </w:num>
  <w:num w:numId="43">
    <w:abstractNumId w:val="49"/>
  </w:num>
  <w:num w:numId="44">
    <w:abstractNumId w:val="50"/>
  </w:num>
  <w:num w:numId="45">
    <w:abstractNumId w:val="51"/>
  </w:num>
  <w:num w:numId="46">
    <w:abstractNumId w:val="52"/>
  </w:num>
  <w:num w:numId="47">
    <w:abstractNumId w:val="53"/>
  </w:num>
  <w:num w:numId="48">
    <w:abstractNumId w:val="36"/>
  </w:num>
  <w:num w:numId="49">
    <w:abstractNumId w:val="45"/>
  </w:num>
  <w:num w:numId="50">
    <w:abstractNumId w:val="40"/>
  </w:num>
  <w:num w:numId="51">
    <w:abstractNumId w:val="4"/>
  </w:num>
  <w:num w:numId="52">
    <w:abstractNumId w:val="38"/>
  </w:num>
  <w:num w:numId="53">
    <w:abstractNumId w:val="5"/>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3D"/>
    <w:rsid w:val="000158FE"/>
    <w:rsid w:val="00034C3D"/>
    <w:rsid w:val="000C1AD6"/>
    <w:rsid w:val="000F35ED"/>
    <w:rsid w:val="00134107"/>
    <w:rsid w:val="00151377"/>
    <w:rsid w:val="001E1004"/>
    <w:rsid w:val="002C0330"/>
    <w:rsid w:val="00344528"/>
    <w:rsid w:val="00370A9A"/>
    <w:rsid w:val="00393DD6"/>
    <w:rsid w:val="00420369"/>
    <w:rsid w:val="004C1C55"/>
    <w:rsid w:val="004E358D"/>
    <w:rsid w:val="00530B47"/>
    <w:rsid w:val="005357B8"/>
    <w:rsid w:val="0053775E"/>
    <w:rsid w:val="005919FA"/>
    <w:rsid w:val="00597C7D"/>
    <w:rsid w:val="005A4B7D"/>
    <w:rsid w:val="00612B9B"/>
    <w:rsid w:val="00687324"/>
    <w:rsid w:val="00693F6E"/>
    <w:rsid w:val="00706FBC"/>
    <w:rsid w:val="00716558"/>
    <w:rsid w:val="00881C1D"/>
    <w:rsid w:val="00881D9E"/>
    <w:rsid w:val="0088250F"/>
    <w:rsid w:val="008920DA"/>
    <w:rsid w:val="008A0B88"/>
    <w:rsid w:val="00913BEF"/>
    <w:rsid w:val="009174B7"/>
    <w:rsid w:val="00922125"/>
    <w:rsid w:val="00985CBB"/>
    <w:rsid w:val="009B1077"/>
    <w:rsid w:val="009F644A"/>
    <w:rsid w:val="00A50FCF"/>
    <w:rsid w:val="00A64746"/>
    <w:rsid w:val="00A827DB"/>
    <w:rsid w:val="00A856D0"/>
    <w:rsid w:val="00AC4F94"/>
    <w:rsid w:val="00B949EB"/>
    <w:rsid w:val="00C054DF"/>
    <w:rsid w:val="00C27D9E"/>
    <w:rsid w:val="00C5265A"/>
    <w:rsid w:val="00C74287"/>
    <w:rsid w:val="00C86745"/>
    <w:rsid w:val="00C964F0"/>
    <w:rsid w:val="00CF2B5E"/>
    <w:rsid w:val="00D5013D"/>
    <w:rsid w:val="00D625E2"/>
    <w:rsid w:val="00D6616B"/>
    <w:rsid w:val="00DA6196"/>
    <w:rsid w:val="00DC31AB"/>
    <w:rsid w:val="00E40D6E"/>
    <w:rsid w:val="00E4650B"/>
    <w:rsid w:val="00ED2F41"/>
    <w:rsid w:val="00EE0494"/>
    <w:rsid w:val="00EE38D7"/>
    <w:rsid w:val="00EF44D9"/>
    <w:rsid w:val="00EF5580"/>
    <w:rsid w:val="00F25DC8"/>
    <w:rsid w:val="00F64590"/>
    <w:rsid w:val="00FE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D7"/>
    <w:rPr>
      <w:sz w:val="24"/>
      <w:szCs w:val="24"/>
    </w:rPr>
  </w:style>
  <w:style w:type="paragraph" w:styleId="Heading1">
    <w:name w:val="heading 1"/>
    <w:basedOn w:val="Normal"/>
    <w:next w:val="Normal"/>
    <w:link w:val="Heading1Char"/>
    <w:uiPriority w:val="99"/>
    <w:qFormat/>
    <w:rsid w:val="00EE38D7"/>
    <w:pPr>
      <w:keepNext/>
      <w:keepLines/>
      <w:numPr>
        <w:numId w:val="49"/>
      </w:numPr>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EE38D7"/>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EE38D7"/>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8D7"/>
    <w:rPr>
      <w:rFonts w:ascii="Cambria" w:eastAsia="MS Gothic"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EE38D7"/>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EE38D7"/>
    <w:rPr>
      <w:rFonts w:ascii="Arial" w:hAnsi="Arial" w:cs="Arial"/>
      <w:b/>
      <w:bCs/>
      <w:sz w:val="26"/>
      <w:szCs w:val="26"/>
      <w:lang w:val="en-US" w:eastAsia="en-US"/>
    </w:rPr>
  </w:style>
  <w:style w:type="character" w:styleId="Hyperlink">
    <w:name w:val="Hyperlink"/>
    <w:basedOn w:val="DefaultParagraphFont"/>
    <w:uiPriority w:val="99"/>
    <w:rsid w:val="00EE38D7"/>
    <w:rPr>
      <w:u w:val="single"/>
    </w:rPr>
  </w:style>
  <w:style w:type="paragraph" w:customStyle="1" w:styleId="Cabeceraypie">
    <w:name w:val="Cabecera y pie"/>
    <w:uiPriority w:val="99"/>
    <w:rsid w:val="00EE38D7"/>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EE38D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EE38D7"/>
    <w:rPr>
      <w:rFonts w:ascii="Cambria" w:hAnsi="Cambria" w:cs="Cambria"/>
      <w:color w:val="000000"/>
      <w:sz w:val="24"/>
      <w:szCs w:val="24"/>
      <w:u w:color="000000"/>
      <w:lang w:val="en-US" w:eastAsia="es-ES"/>
    </w:rPr>
  </w:style>
  <w:style w:type="paragraph" w:customStyle="1" w:styleId="Cuerpo">
    <w:name w:val="Cuerpo"/>
    <w:uiPriority w:val="99"/>
    <w:rsid w:val="00EE38D7"/>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EE38D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EE38D7"/>
    <w:rPr>
      <w:sz w:val="24"/>
      <w:szCs w:val="24"/>
    </w:rPr>
  </w:style>
  <w:style w:type="paragraph" w:styleId="ListParagraph">
    <w:name w:val="List Paragraph"/>
    <w:basedOn w:val="Normal"/>
    <w:uiPriority w:val="99"/>
    <w:qFormat/>
    <w:rsid w:val="00EE38D7"/>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EE38D7"/>
    <w:rPr>
      <w:rFonts w:ascii="Calibri" w:hAnsi="Calibri" w:cs="Calibri"/>
      <w:color w:val="00000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687324"/>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EE38D7"/>
    <w:rPr>
      <w:sz w:val="20"/>
      <w:szCs w:val="20"/>
    </w:rPr>
  </w:style>
  <w:style w:type="paragraph" w:styleId="BalloonText">
    <w:name w:val="Balloon Text"/>
    <w:basedOn w:val="Normal"/>
    <w:link w:val="BalloonTextChar"/>
    <w:uiPriority w:val="99"/>
    <w:semiHidden/>
    <w:rsid w:val="00EE38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38D7"/>
    <w:rPr>
      <w:rFonts w:ascii="Tahoma" w:hAnsi="Tahoma" w:cs="Tahoma"/>
      <w:sz w:val="16"/>
      <w:szCs w:val="16"/>
      <w:lang w:val="en-US" w:eastAsia="en-US"/>
    </w:rPr>
  </w:style>
  <w:style w:type="paragraph" w:styleId="Header">
    <w:name w:val="header"/>
    <w:aliases w:val="encabezado"/>
    <w:basedOn w:val="Normal"/>
    <w:link w:val="HeaderChar"/>
    <w:uiPriority w:val="99"/>
    <w:rsid w:val="00EE38D7"/>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EE38D7"/>
    <w:rPr>
      <w:rFonts w:ascii="Univers" w:hAnsi="Univers" w:cs="Univers"/>
      <w:sz w:val="24"/>
      <w:szCs w:val="24"/>
      <w:lang w:val="en-US" w:eastAsia="en-US"/>
    </w:rPr>
  </w:style>
  <w:style w:type="table" w:styleId="MediumShading1-Accent1">
    <w:name w:val="Medium Shading 1 Accent 1"/>
    <w:basedOn w:val="TableNormal"/>
    <w:uiPriority w:val="99"/>
    <w:rsid w:val="00EE38D7"/>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EE38D7"/>
    <w:pPr>
      <w:tabs>
        <w:tab w:val="left" w:pos="1440"/>
        <w:tab w:val="right" w:leader="dot" w:pos="9350"/>
      </w:tabs>
      <w:spacing w:after="100"/>
      <w:ind w:left="1440" w:hanging="720"/>
    </w:pPr>
  </w:style>
  <w:style w:type="paragraph" w:styleId="TOC1">
    <w:name w:val="toc 1"/>
    <w:basedOn w:val="Normal"/>
    <w:next w:val="Normal"/>
    <w:autoRedefine/>
    <w:uiPriority w:val="99"/>
    <w:semiHidden/>
    <w:rsid w:val="00EE38D7"/>
    <w:pPr>
      <w:spacing w:after="100"/>
    </w:pPr>
    <w:rPr>
      <w:rFonts w:ascii="Calibri" w:hAnsi="Calibri" w:cs="Calibri"/>
      <w:sz w:val="22"/>
      <w:szCs w:val="22"/>
    </w:rPr>
  </w:style>
  <w:style w:type="paragraph" w:styleId="TOC3">
    <w:name w:val="toc 3"/>
    <w:basedOn w:val="Normal"/>
    <w:next w:val="Normal"/>
    <w:autoRedefine/>
    <w:uiPriority w:val="99"/>
    <w:semiHidden/>
    <w:rsid w:val="00EE38D7"/>
    <w:pPr>
      <w:tabs>
        <w:tab w:val="left" w:pos="880"/>
        <w:tab w:val="right" w:leader="dot" w:pos="9350"/>
      </w:tabs>
      <w:spacing w:after="100"/>
      <w:ind w:left="2160" w:hanging="720"/>
    </w:pPr>
  </w:style>
  <w:style w:type="paragraph" w:styleId="TOC4">
    <w:name w:val="toc 4"/>
    <w:basedOn w:val="Normal"/>
    <w:next w:val="Normal"/>
    <w:autoRedefine/>
    <w:uiPriority w:val="99"/>
    <w:semiHidden/>
    <w:rsid w:val="00EE38D7"/>
    <w:pPr>
      <w:spacing w:after="100"/>
      <w:ind w:left="720"/>
    </w:pPr>
  </w:style>
  <w:style w:type="character" w:styleId="PageNumber">
    <w:name w:val="page number"/>
    <w:basedOn w:val="DefaultParagraphFont"/>
    <w:uiPriority w:val="99"/>
    <w:rsid w:val="00EE38D7"/>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uiPriority w:val="99"/>
    <w:semiHidden/>
    <w:rsid w:val="00EE38D7"/>
    <w:rPr>
      <w:vertAlign w:val="superscript"/>
    </w:rPr>
  </w:style>
  <w:style w:type="paragraph" w:styleId="BodyTextIndent2">
    <w:name w:val="Body Text Indent 2"/>
    <w:basedOn w:val="Normal"/>
    <w:link w:val="BodyTextIndent2Char"/>
    <w:uiPriority w:val="99"/>
    <w:semiHidden/>
    <w:rsid w:val="00EE38D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E38D7"/>
    <w:rPr>
      <w:sz w:val="24"/>
      <w:szCs w:val="24"/>
      <w:lang w:val="en-US" w:eastAsia="en-US"/>
    </w:rPr>
  </w:style>
  <w:style w:type="paragraph" w:styleId="BodyText">
    <w:name w:val="Body Text"/>
    <w:basedOn w:val="Normal"/>
    <w:link w:val="BodyTextChar"/>
    <w:uiPriority w:val="99"/>
    <w:semiHidden/>
    <w:rsid w:val="00EE38D7"/>
    <w:pPr>
      <w:spacing w:after="120"/>
    </w:pPr>
  </w:style>
  <w:style w:type="character" w:customStyle="1" w:styleId="BodyTextChar">
    <w:name w:val="Body Text Char"/>
    <w:basedOn w:val="DefaultParagraphFont"/>
    <w:link w:val="BodyText"/>
    <w:uiPriority w:val="99"/>
    <w:semiHidden/>
    <w:locked/>
    <w:rsid w:val="00EE38D7"/>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EE38D7"/>
    <w:rPr>
      <w:rFonts w:ascii="Calibri" w:hAnsi="Calibri" w:cs="Calibri"/>
      <w:color w:val="000000"/>
      <w:sz w:val="24"/>
      <w:szCs w:val="24"/>
      <w:u w:color="000000"/>
      <w:lang w:val="en-US"/>
    </w:rPr>
  </w:style>
  <w:style w:type="paragraph" w:customStyle="1" w:styleId="Default">
    <w:name w:val="Default"/>
    <w:link w:val="DefaultChar"/>
    <w:uiPriority w:val="99"/>
    <w:rsid w:val="00EE38D7"/>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EE38D7"/>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EE38D7"/>
    <w:rPr>
      <w:rFonts w:eastAsia="Times New Roman"/>
      <w:sz w:val="24"/>
      <w:szCs w:val="24"/>
      <w:lang w:val="en-US" w:eastAsia="en-US"/>
    </w:rPr>
  </w:style>
  <w:style w:type="character" w:customStyle="1" w:styleId="DefaultChar">
    <w:name w:val="Default Char"/>
    <w:link w:val="Default"/>
    <w:uiPriority w:val="99"/>
    <w:locked/>
    <w:rsid w:val="00EE38D7"/>
    <w:rPr>
      <w:rFonts w:eastAsia="Times New Roman"/>
      <w:color w:val="000000"/>
      <w:sz w:val="22"/>
      <w:szCs w:val="22"/>
      <w:lang w:val="en-US" w:eastAsia="en-US"/>
    </w:rPr>
  </w:style>
  <w:style w:type="table" w:styleId="TableGrid">
    <w:name w:val="Table Grid"/>
    <w:basedOn w:val="TableNormal"/>
    <w:uiPriority w:val="99"/>
    <w:rsid w:val="00EE38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E38D7"/>
    <w:rPr>
      <w:sz w:val="16"/>
      <w:szCs w:val="16"/>
    </w:rPr>
  </w:style>
  <w:style w:type="paragraph" w:styleId="CommentText">
    <w:name w:val="annotation text"/>
    <w:basedOn w:val="Normal"/>
    <w:link w:val="CommentTextChar"/>
    <w:uiPriority w:val="99"/>
    <w:semiHidden/>
    <w:rsid w:val="00EE38D7"/>
    <w:rPr>
      <w:sz w:val="20"/>
      <w:szCs w:val="20"/>
    </w:rPr>
  </w:style>
  <w:style w:type="character" w:customStyle="1" w:styleId="CommentTextChar">
    <w:name w:val="Comment Text Char"/>
    <w:basedOn w:val="DefaultParagraphFont"/>
    <w:link w:val="CommentText"/>
    <w:uiPriority w:val="99"/>
    <w:semiHidden/>
    <w:locked/>
    <w:rsid w:val="00EE38D7"/>
    <w:rPr>
      <w:lang w:val="en-US" w:eastAsia="en-US"/>
    </w:rPr>
  </w:style>
  <w:style w:type="paragraph" w:styleId="CommentSubject">
    <w:name w:val="annotation subject"/>
    <w:basedOn w:val="CommentText"/>
    <w:next w:val="CommentText"/>
    <w:link w:val="CommentSubjectChar"/>
    <w:uiPriority w:val="99"/>
    <w:semiHidden/>
    <w:rsid w:val="00EE38D7"/>
    <w:rPr>
      <w:b/>
      <w:bCs/>
    </w:rPr>
  </w:style>
  <w:style w:type="character" w:customStyle="1" w:styleId="CommentSubjectChar">
    <w:name w:val="Comment Subject Char"/>
    <w:basedOn w:val="CommentTextChar"/>
    <w:link w:val="CommentSubject"/>
    <w:uiPriority w:val="99"/>
    <w:semiHidden/>
    <w:locked/>
    <w:rsid w:val="00EE38D7"/>
    <w:rPr>
      <w:b/>
      <w:bCs/>
      <w:lang w:val="en-US" w:eastAsia="en-US"/>
    </w:rPr>
  </w:style>
  <w:style w:type="paragraph" w:styleId="Revision">
    <w:name w:val="Revision"/>
    <w:hidden/>
    <w:uiPriority w:val="99"/>
    <w:semiHidden/>
    <w:rsid w:val="00EE38D7"/>
    <w:rPr>
      <w:sz w:val="24"/>
      <w:szCs w:val="24"/>
    </w:rPr>
  </w:style>
  <w:style w:type="numbering" w:customStyle="1" w:styleId="List16">
    <w:name w:val="List 16"/>
    <w:rsid w:val="00A5114C"/>
    <w:pPr>
      <w:numPr>
        <w:numId w:val="9"/>
      </w:numPr>
    </w:pPr>
  </w:style>
  <w:style w:type="numbering" w:customStyle="1" w:styleId="List36">
    <w:name w:val="List 36"/>
    <w:rsid w:val="00A5114C"/>
    <w:pPr>
      <w:numPr>
        <w:numId w:val="13"/>
      </w:numPr>
    </w:pPr>
  </w:style>
  <w:style w:type="numbering" w:customStyle="1" w:styleId="List25">
    <w:name w:val="List 25"/>
    <w:rsid w:val="00A5114C"/>
    <w:pPr>
      <w:numPr>
        <w:numId w:val="14"/>
      </w:numPr>
    </w:pPr>
  </w:style>
  <w:style w:type="numbering" w:customStyle="1" w:styleId="List1">
    <w:name w:val="List 1"/>
    <w:rsid w:val="00A5114C"/>
    <w:pPr>
      <w:numPr>
        <w:numId w:val="1"/>
      </w:numPr>
    </w:pPr>
  </w:style>
  <w:style w:type="numbering" w:customStyle="1" w:styleId="List11">
    <w:name w:val="List 11"/>
    <w:rsid w:val="00A5114C"/>
    <w:pPr>
      <w:numPr>
        <w:numId w:val="6"/>
      </w:numPr>
    </w:pPr>
  </w:style>
  <w:style w:type="numbering" w:customStyle="1" w:styleId="List15">
    <w:name w:val="List 15"/>
    <w:rsid w:val="00A5114C"/>
    <w:pPr>
      <w:numPr>
        <w:numId w:val="15"/>
      </w:numPr>
    </w:pPr>
  </w:style>
  <w:style w:type="numbering" w:customStyle="1" w:styleId="List14">
    <w:name w:val="List 14"/>
    <w:rsid w:val="00A5114C"/>
    <w:pPr>
      <w:numPr>
        <w:numId w:val="16"/>
      </w:numPr>
    </w:pPr>
  </w:style>
  <w:style w:type="numbering" w:customStyle="1" w:styleId="List23">
    <w:name w:val="List 23"/>
    <w:rsid w:val="00A5114C"/>
    <w:pPr>
      <w:numPr>
        <w:numId w:val="17"/>
      </w:numPr>
    </w:pPr>
  </w:style>
  <w:style w:type="numbering" w:customStyle="1" w:styleId="List19">
    <w:name w:val="List 19"/>
    <w:rsid w:val="00A5114C"/>
    <w:pPr>
      <w:numPr>
        <w:numId w:val="18"/>
      </w:numPr>
    </w:pPr>
  </w:style>
  <w:style w:type="numbering" w:customStyle="1" w:styleId="List45">
    <w:name w:val="List 45"/>
    <w:rsid w:val="00A5114C"/>
    <w:pPr>
      <w:numPr>
        <w:numId w:val="19"/>
      </w:numPr>
    </w:pPr>
  </w:style>
  <w:style w:type="numbering" w:customStyle="1" w:styleId="List40">
    <w:name w:val="List 40"/>
    <w:rsid w:val="00A5114C"/>
    <w:pPr>
      <w:numPr>
        <w:numId w:val="20"/>
      </w:numPr>
    </w:pPr>
  </w:style>
  <w:style w:type="numbering" w:customStyle="1" w:styleId="List9">
    <w:name w:val="List 9"/>
    <w:rsid w:val="00A5114C"/>
    <w:pPr>
      <w:numPr>
        <w:numId w:val="21"/>
      </w:numPr>
    </w:pPr>
  </w:style>
  <w:style w:type="numbering" w:customStyle="1" w:styleId="List43">
    <w:name w:val="List 43"/>
    <w:rsid w:val="00A5114C"/>
    <w:pPr>
      <w:numPr>
        <w:numId w:val="22"/>
      </w:numPr>
    </w:pPr>
  </w:style>
  <w:style w:type="numbering" w:customStyle="1" w:styleId="List46">
    <w:name w:val="List 46"/>
    <w:rsid w:val="00A5114C"/>
    <w:pPr>
      <w:numPr>
        <w:numId w:val="23"/>
      </w:numPr>
    </w:pPr>
  </w:style>
  <w:style w:type="numbering" w:customStyle="1" w:styleId="List35">
    <w:name w:val="List 35"/>
    <w:rsid w:val="00A5114C"/>
    <w:pPr>
      <w:numPr>
        <w:numId w:val="7"/>
      </w:numPr>
    </w:pPr>
  </w:style>
  <w:style w:type="numbering" w:customStyle="1" w:styleId="List17">
    <w:name w:val="List 17"/>
    <w:rsid w:val="00A5114C"/>
    <w:pPr>
      <w:numPr>
        <w:numId w:val="24"/>
      </w:numPr>
    </w:pPr>
  </w:style>
  <w:style w:type="numbering" w:customStyle="1" w:styleId="List33">
    <w:name w:val="List 33"/>
    <w:rsid w:val="00A5114C"/>
    <w:pPr>
      <w:numPr>
        <w:numId w:val="25"/>
      </w:numPr>
    </w:pPr>
  </w:style>
  <w:style w:type="numbering" w:customStyle="1" w:styleId="List7">
    <w:name w:val="List 7"/>
    <w:rsid w:val="00A5114C"/>
    <w:pPr>
      <w:numPr>
        <w:numId w:val="3"/>
      </w:numPr>
    </w:pPr>
  </w:style>
  <w:style w:type="numbering" w:customStyle="1" w:styleId="List18">
    <w:name w:val="List 18"/>
    <w:rsid w:val="00A5114C"/>
    <w:pPr>
      <w:numPr>
        <w:numId w:val="26"/>
      </w:numPr>
    </w:pPr>
  </w:style>
  <w:style w:type="numbering" w:customStyle="1" w:styleId="List22">
    <w:name w:val="List 22"/>
    <w:rsid w:val="00A5114C"/>
    <w:pPr>
      <w:numPr>
        <w:numId w:val="27"/>
      </w:numPr>
    </w:pPr>
  </w:style>
  <w:style w:type="numbering" w:customStyle="1" w:styleId="List47">
    <w:name w:val="List 47"/>
    <w:rsid w:val="00A5114C"/>
    <w:pPr>
      <w:numPr>
        <w:numId w:val="28"/>
      </w:numPr>
    </w:pPr>
  </w:style>
  <w:style w:type="numbering" w:customStyle="1" w:styleId="List28">
    <w:name w:val="List 28"/>
    <w:rsid w:val="00A5114C"/>
    <w:pPr>
      <w:numPr>
        <w:numId w:val="29"/>
      </w:numPr>
    </w:pPr>
  </w:style>
  <w:style w:type="numbering" w:customStyle="1" w:styleId="List10">
    <w:name w:val="List 10"/>
    <w:rsid w:val="00A5114C"/>
    <w:pPr>
      <w:numPr>
        <w:numId w:val="5"/>
      </w:numPr>
    </w:pPr>
  </w:style>
  <w:style w:type="numbering" w:customStyle="1" w:styleId="List0">
    <w:name w:val="List 0"/>
    <w:rsid w:val="00A5114C"/>
    <w:pPr>
      <w:numPr>
        <w:numId w:val="30"/>
      </w:numPr>
    </w:pPr>
  </w:style>
  <w:style w:type="numbering" w:customStyle="1" w:styleId="List30">
    <w:name w:val="List 30"/>
    <w:rsid w:val="00A5114C"/>
    <w:pPr>
      <w:numPr>
        <w:numId w:val="31"/>
      </w:numPr>
    </w:pPr>
  </w:style>
  <w:style w:type="numbering" w:customStyle="1" w:styleId="List29">
    <w:name w:val="List 29"/>
    <w:rsid w:val="00A5114C"/>
    <w:pPr>
      <w:numPr>
        <w:numId w:val="32"/>
      </w:numPr>
    </w:pPr>
  </w:style>
  <w:style w:type="numbering" w:customStyle="1" w:styleId="List38">
    <w:name w:val="List 38"/>
    <w:rsid w:val="00A5114C"/>
    <w:pPr>
      <w:numPr>
        <w:numId w:val="33"/>
      </w:numPr>
    </w:pPr>
  </w:style>
  <w:style w:type="numbering" w:customStyle="1" w:styleId="List12">
    <w:name w:val="List 12"/>
    <w:rsid w:val="00A5114C"/>
    <w:pPr>
      <w:numPr>
        <w:numId w:val="34"/>
      </w:numPr>
    </w:pPr>
  </w:style>
  <w:style w:type="numbering" w:customStyle="1" w:styleId="List50">
    <w:name w:val="List 50"/>
    <w:rsid w:val="00A5114C"/>
    <w:pPr>
      <w:numPr>
        <w:numId w:val="35"/>
      </w:numPr>
    </w:pPr>
  </w:style>
  <w:style w:type="numbering" w:customStyle="1" w:styleId="List34">
    <w:name w:val="List 34"/>
    <w:rsid w:val="00A5114C"/>
    <w:pPr>
      <w:numPr>
        <w:numId w:val="10"/>
      </w:numPr>
    </w:pPr>
  </w:style>
  <w:style w:type="numbering" w:customStyle="1" w:styleId="List42">
    <w:name w:val="List 42"/>
    <w:rsid w:val="00A5114C"/>
    <w:pPr>
      <w:numPr>
        <w:numId w:val="11"/>
      </w:numPr>
    </w:pPr>
  </w:style>
  <w:style w:type="numbering" w:customStyle="1" w:styleId="List49">
    <w:name w:val="List 49"/>
    <w:rsid w:val="00A5114C"/>
    <w:pPr>
      <w:numPr>
        <w:numId w:val="36"/>
      </w:numPr>
    </w:pPr>
  </w:style>
  <w:style w:type="numbering" w:customStyle="1" w:styleId="List44">
    <w:name w:val="List 44"/>
    <w:rsid w:val="00A5114C"/>
    <w:pPr>
      <w:numPr>
        <w:numId w:val="37"/>
      </w:numPr>
    </w:pPr>
  </w:style>
  <w:style w:type="numbering" w:customStyle="1" w:styleId="List21">
    <w:name w:val="List 21"/>
    <w:rsid w:val="00A5114C"/>
    <w:pPr>
      <w:numPr>
        <w:numId w:val="48"/>
      </w:numPr>
    </w:pPr>
  </w:style>
  <w:style w:type="numbering" w:customStyle="1" w:styleId="List52">
    <w:name w:val="List 52"/>
    <w:rsid w:val="00A5114C"/>
    <w:pPr>
      <w:numPr>
        <w:numId w:val="8"/>
      </w:numPr>
    </w:pPr>
  </w:style>
  <w:style w:type="numbering" w:customStyle="1" w:styleId="List24">
    <w:name w:val="List 24"/>
    <w:rsid w:val="00A5114C"/>
    <w:pPr>
      <w:numPr>
        <w:numId w:val="12"/>
      </w:numPr>
    </w:pPr>
  </w:style>
  <w:style w:type="numbering" w:customStyle="1" w:styleId="List51">
    <w:name w:val="List 51"/>
    <w:rsid w:val="00A5114C"/>
    <w:pPr>
      <w:numPr>
        <w:numId w:val="50"/>
      </w:numPr>
    </w:pPr>
  </w:style>
  <w:style w:type="numbering" w:customStyle="1" w:styleId="List27">
    <w:name w:val="List 27"/>
    <w:rsid w:val="00A5114C"/>
    <w:pPr>
      <w:numPr>
        <w:numId w:val="38"/>
      </w:numPr>
    </w:pPr>
  </w:style>
  <w:style w:type="numbering" w:customStyle="1" w:styleId="List8">
    <w:name w:val="List 8"/>
    <w:rsid w:val="00A5114C"/>
    <w:pPr>
      <w:numPr>
        <w:numId w:val="4"/>
      </w:numPr>
    </w:pPr>
  </w:style>
  <w:style w:type="numbering" w:customStyle="1" w:styleId="List13">
    <w:name w:val="List 13"/>
    <w:rsid w:val="00A5114C"/>
    <w:pPr>
      <w:numPr>
        <w:numId w:val="39"/>
      </w:numPr>
    </w:pPr>
  </w:style>
  <w:style w:type="numbering" w:customStyle="1" w:styleId="List20">
    <w:name w:val="List 20"/>
    <w:rsid w:val="00A5114C"/>
    <w:pPr>
      <w:numPr>
        <w:numId w:val="40"/>
      </w:numPr>
    </w:pPr>
  </w:style>
  <w:style w:type="numbering" w:customStyle="1" w:styleId="List41">
    <w:name w:val="List 41"/>
    <w:rsid w:val="00A5114C"/>
    <w:pPr>
      <w:numPr>
        <w:numId w:val="41"/>
      </w:numPr>
    </w:pPr>
  </w:style>
  <w:style w:type="numbering" w:customStyle="1" w:styleId="List31">
    <w:name w:val="List 31"/>
    <w:rsid w:val="00A5114C"/>
    <w:pPr>
      <w:numPr>
        <w:numId w:val="42"/>
      </w:numPr>
    </w:pPr>
  </w:style>
  <w:style w:type="numbering" w:customStyle="1" w:styleId="List6">
    <w:name w:val="List 6"/>
    <w:rsid w:val="00A5114C"/>
    <w:pPr>
      <w:numPr>
        <w:numId w:val="2"/>
      </w:numPr>
    </w:pPr>
  </w:style>
  <w:style w:type="numbering" w:customStyle="1" w:styleId="List39">
    <w:name w:val="List 39"/>
    <w:rsid w:val="00A5114C"/>
    <w:pPr>
      <w:numPr>
        <w:numId w:val="43"/>
      </w:numPr>
    </w:pPr>
  </w:style>
  <w:style w:type="numbering" w:customStyle="1" w:styleId="List37">
    <w:name w:val="List 37"/>
    <w:rsid w:val="00A5114C"/>
    <w:pPr>
      <w:numPr>
        <w:numId w:val="44"/>
      </w:numPr>
    </w:pPr>
  </w:style>
  <w:style w:type="numbering" w:customStyle="1" w:styleId="List32">
    <w:name w:val="List 32"/>
    <w:rsid w:val="00A5114C"/>
    <w:pPr>
      <w:numPr>
        <w:numId w:val="45"/>
      </w:numPr>
    </w:pPr>
  </w:style>
  <w:style w:type="numbering" w:customStyle="1" w:styleId="List26">
    <w:name w:val="List 26"/>
    <w:rsid w:val="00A5114C"/>
    <w:pPr>
      <w:numPr>
        <w:numId w:val="46"/>
      </w:numPr>
    </w:pPr>
  </w:style>
  <w:style w:type="numbering" w:customStyle="1" w:styleId="List48">
    <w:name w:val="List 48"/>
    <w:rsid w:val="00A5114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16263</Characters>
  <Application>Microsoft Office Word</Application>
  <DocSecurity>0</DocSecurity>
  <Lines>135</Lines>
  <Paragraphs>38</Paragraphs>
  <ScaleCrop>false</ScaleCrop>
  <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104/18</dc:title>
  <dc:creator/>
  <cp:lastModifiedBy/>
  <cp:revision>1</cp:revision>
  <dcterms:created xsi:type="dcterms:W3CDTF">2019-03-12T20:28:00Z</dcterms:created>
  <dcterms:modified xsi:type="dcterms:W3CDTF">2019-03-12T20:28:00Z</dcterms:modified>
</cp:coreProperties>
</file>