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067A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65DC" w:rsidRDefault="006532A2" w:rsidP="00AE5488">
                            <w:r>
                              <w:rPr>
                                <w:noProof/>
                              </w:rPr>
                              <w:drawing>
                                <wp:inline distT="0" distB="0" distL="0" distR="0" wp14:anchorId="64ED5556" wp14:editId="7FEFBD8C">
                                  <wp:extent cx="2522763" cy="485775"/>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1F65DC">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1F65DC" w:rsidRDefault="006532A2" w:rsidP="00AE5488">
                      <w:r>
                        <w:rPr>
                          <w:noProof/>
                        </w:rPr>
                        <w:drawing>
                          <wp:inline distT="0" distB="0" distL="0" distR="0" wp14:anchorId="64ED5556" wp14:editId="7FEFBD8C">
                            <wp:extent cx="2522763" cy="485775"/>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1F65DC">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65DC" w:rsidRPr="004E2649" w:rsidRDefault="001F65DC" w:rsidP="00997BC5">
                            <w:pPr>
                              <w:spacing w:line="276" w:lineRule="auto"/>
                              <w:rPr>
                                <w:rFonts w:asciiTheme="majorHAnsi" w:hAnsiTheme="majorHAnsi" w:cs="Arial"/>
                                <w:b/>
                                <w:bCs/>
                                <w:color w:val="0D0D0D" w:themeColor="text1" w:themeTint="F2"/>
                                <w:sz w:val="36"/>
                                <w:szCs w:val="22"/>
                              </w:rPr>
                            </w:pPr>
                            <w:r>
                              <w:rPr>
                                <w:rFonts w:asciiTheme="majorHAnsi" w:hAnsiTheme="majorHAnsi"/>
                                <w:b/>
                                <w:bCs/>
                                <w:color w:val="0D0D0D" w:themeColor="text1" w:themeTint="F2"/>
                                <w:sz w:val="36"/>
                              </w:rPr>
                              <w:t xml:space="preserve">REPORT No. </w:t>
                            </w:r>
                            <w:r w:rsidR="00473FE3">
                              <w:rPr>
                                <w:rFonts w:asciiTheme="majorHAnsi" w:hAnsiTheme="majorHAnsi"/>
                                <w:b/>
                                <w:bCs/>
                                <w:color w:val="0D0D0D" w:themeColor="text1" w:themeTint="F2"/>
                                <w:sz w:val="36"/>
                              </w:rPr>
                              <w:t>169</w:t>
                            </w:r>
                            <w:r>
                              <w:rPr>
                                <w:rFonts w:asciiTheme="majorHAnsi" w:hAnsiTheme="majorHAnsi"/>
                                <w:b/>
                                <w:bCs/>
                                <w:color w:val="0D0D0D" w:themeColor="text1" w:themeTint="F2"/>
                                <w:sz w:val="36"/>
                              </w:rPr>
                              <w:t>/18</w:t>
                            </w:r>
                          </w:p>
                          <w:p w:rsidR="001F65DC" w:rsidRDefault="006532A2"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szCs w:val="22"/>
                              </w:rPr>
                              <w:t>PETITION 1044-07</w:t>
                            </w:r>
                          </w:p>
                          <w:p w:rsidR="001F65DC" w:rsidRPr="0010736F" w:rsidRDefault="001F65D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REPORT ON ADMISSIBILITY </w:t>
                            </w:r>
                          </w:p>
                          <w:p w:rsidR="001F65DC" w:rsidRPr="0010736F" w:rsidRDefault="001F65DC" w:rsidP="00997BC5">
                            <w:pPr>
                              <w:spacing w:line="276" w:lineRule="auto"/>
                              <w:rPr>
                                <w:rFonts w:asciiTheme="majorHAnsi" w:hAnsiTheme="majorHAnsi" w:cs="Arial"/>
                                <w:color w:val="0D0D0D" w:themeColor="text1" w:themeTint="F2"/>
                                <w:szCs w:val="22"/>
                              </w:rPr>
                            </w:pPr>
                            <w:bookmarkStart w:id="0" w:name="_ftnref1"/>
                          </w:p>
                          <w:p w:rsidR="001F65DC" w:rsidRPr="0010736F" w:rsidRDefault="001F65D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TOMASA CHUCHON CASTILLO AND OTHERS</w:t>
                            </w:r>
                          </w:p>
                          <w:bookmarkEnd w:id="0"/>
                          <w:p w:rsidR="001F65DC" w:rsidRPr="0010736F" w:rsidRDefault="001F65D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PERU</w:t>
                            </w:r>
                          </w:p>
                          <w:p w:rsidR="001F65DC" w:rsidRPr="00AE5488" w:rsidRDefault="001F65DC"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1F65DC" w:rsidRPr="004E2649" w:rsidRDefault="001F65DC" w:rsidP="00997BC5">
                      <w:pPr>
                        <w:spacing w:line="276" w:lineRule="auto"/>
                        <w:rPr>
                          <w:rFonts w:asciiTheme="majorHAnsi" w:hAnsiTheme="majorHAnsi" w:cs="Arial"/>
                          <w:b/>
                          <w:bCs/>
                          <w:color w:val="0D0D0D" w:themeColor="text1" w:themeTint="F2"/>
                          <w:sz w:val="36"/>
                          <w:szCs w:val="22"/>
                        </w:rPr>
                      </w:pPr>
                      <w:r>
                        <w:rPr>
                          <w:rFonts w:asciiTheme="majorHAnsi" w:hAnsiTheme="majorHAnsi"/>
                          <w:b/>
                          <w:bCs/>
                          <w:color w:val="0D0D0D" w:themeColor="text1" w:themeTint="F2"/>
                          <w:sz w:val="36"/>
                        </w:rPr>
                        <w:t xml:space="preserve">REPORT No. </w:t>
                      </w:r>
                      <w:r w:rsidR="00473FE3">
                        <w:rPr>
                          <w:rFonts w:asciiTheme="majorHAnsi" w:hAnsiTheme="majorHAnsi"/>
                          <w:b/>
                          <w:bCs/>
                          <w:color w:val="0D0D0D" w:themeColor="text1" w:themeTint="F2"/>
                          <w:sz w:val="36"/>
                        </w:rPr>
                        <w:t>169</w:t>
                      </w:r>
                      <w:r>
                        <w:rPr>
                          <w:rFonts w:asciiTheme="majorHAnsi" w:hAnsiTheme="majorHAnsi"/>
                          <w:b/>
                          <w:bCs/>
                          <w:color w:val="0D0D0D" w:themeColor="text1" w:themeTint="F2"/>
                          <w:sz w:val="36"/>
                        </w:rPr>
                        <w:t>/18</w:t>
                      </w:r>
                    </w:p>
                    <w:p w:rsidR="001F65DC" w:rsidRDefault="006532A2"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szCs w:val="22"/>
                        </w:rPr>
                        <w:t>PETITION 1044-07</w:t>
                      </w:r>
                    </w:p>
                    <w:p w:rsidR="001F65DC" w:rsidRPr="0010736F" w:rsidRDefault="001F65D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REPORT ON ADMISSIBILITY </w:t>
                      </w:r>
                    </w:p>
                    <w:p w:rsidR="001F65DC" w:rsidRPr="0010736F" w:rsidRDefault="001F65DC" w:rsidP="00997BC5">
                      <w:pPr>
                        <w:spacing w:line="276" w:lineRule="auto"/>
                        <w:rPr>
                          <w:rFonts w:asciiTheme="majorHAnsi" w:hAnsiTheme="majorHAnsi" w:cs="Arial"/>
                          <w:color w:val="0D0D0D" w:themeColor="text1" w:themeTint="F2"/>
                          <w:szCs w:val="22"/>
                        </w:rPr>
                      </w:pPr>
                      <w:bookmarkStart w:id="1" w:name="_ftnref1"/>
                    </w:p>
                    <w:p w:rsidR="001F65DC" w:rsidRPr="0010736F" w:rsidRDefault="001F65D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TOMASA CHUCHON CASTILLO AND OTHERS</w:t>
                      </w:r>
                    </w:p>
                    <w:bookmarkEnd w:id="1"/>
                    <w:p w:rsidR="001F65DC" w:rsidRPr="0010736F" w:rsidRDefault="001F65D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PERU</w:t>
                      </w:r>
                    </w:p>
                    <w:p w:rsidR="001F65DC" w:rsidRPr="00AE5488" w:rsidRDefault="001F65DC" w:rsidP="007A5817">
                      <w:pPr>
                        <w:rPr>
                          <w:color w:val="0D0D0D" w:themeColor="text1" w:themeTint="F2"/>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65DC" w:rsidRPr="00473FE3" w:rsidRDefault="001F65DC" w:rsidP="007A5817">
                            <w:pPr>
                              <w:spacing w:line="276" w:lineRule="auto"/>
                              <w:jc w:val="right"/>
                              <w:rPr>
                                <w:rFonts w:asciiTheme="minorHAnsi" w:hAnsiTheme="minorHAnsi"/>
                                <w:color w:val="FFFFFF" w:themeColor="background1"/>
                                <w:sz w:val="22"/>
                                <w:lang w:val="pt-BR"/>
                              </w:rPr>
                            </w:pPr>
                            <w:r w:rsidRPr="00473FE3">
                              <w:rPr>
                                <w:rFonts w:asciiTheme="minorHAnsi" w:hAnsiTheme="minorHAnsi"/>
                                <w:color w:val="FFFFFF" w:themeColor="background1"/>
                                <w:sz w:val="22"/>
                                <w:lang w:val="pt-BR"/>
                              </w:rPr>
                              <w:t>OEA/Ser.L/V/II.</w:t>
                            </w:r>
                          </w:p>
                          <w:p w:rsidR="001F65DC" w:rsidRPr="004E2649" w:rsidRDefault="001F65D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Doc. </w:t>
                            </w:r>
                            <w:r w:rsidR="00473FE3">
                              <w:rPr>
                                <w:rFonts w:asciiTheme="minorHAnsi" w:hAnsiTheme="minorHAnsi"/>
                                <w:color w:val="FFFFFF" w:themeColor="background1"/>
                                <w:sz w:val="22"/>
                              </w:rPr>
                              <w:t>194</w:t>
                            </w:r>
                          </w:p>
                          <w:p w:rsidR="001F65DC" w:rsidRPr="00AE74AB" w:rsidRDefault="00473FE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21 December</w:t>
                            </w:r>
                            <w:r w:rsidR="001F65DC">
                              <w:rPr>
                                <w:rFonts w:asciiTheme="minorHAnsi" w:hAnsiTheme="minorHAnsi"/>
                                <w:color w:val="FFFFFF" w:themeColor="background1"/>
                                <w:sz w:val="22"/>
                              </w:rPr>
                              <w:t xml:space="preserve"> 2018</w:t>
                            </w:r>
                          </w:p>
                          <w:p w:rsidR="001F65DC" w:rsidRPr="00AE74AB" w:rsidRDefault="001F65D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1F65DC" w:rsidRPr="00473FE3" w:rsidRDefault="001F65DC" w:rsidP="007A5817">
                      <w:pPr>
                        <w:spacing w:line="276" w:lineRule="auto"/>
                        <w:jc w:val="right"/>
                        <w:rPr>
                          <w:rFonts w:asciiTheme="minorHAnsi" w:hAnsiTheme="minorHAnsi"/>
                          <w:color w:val="FFFFFF" w:themeColor="background1"/>
                          <w:sz w:val="22"/>
                          <w:lang w:val="pt-BR"/>
                        </w:rPr>
                      </w:pPr>
                      <w:r w:rsidRPr="00473FE3">
                        <w:rPr>
                          <w:rFonts w:asciiTheme="minorHAnsi" w:hAnsiTheme="minorHAnsi"/>
                          <w:color w:val="FFFFFF" w:themeColor="background1"/>
                          <w:sz w:val="22"/>
                          <w:lang w:val="pt-BR"/>
                        </w:rPr>
                        <w:t>OEA/Ser.L/V/II.</w:t>
                      </w:r>
                    </w:p>
                    <w:p w:rsidR="001F65DC" w:rsidRPr="004E2649" w:rsidRDefault="001F65D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Doc. </w:t>
                      </w:r>
                      <w:r w:rsidR="00473FE3">
                        <w:rPr>
                          <w:rFonts w:asciiTheme="minorHAnsi" w:hAnsiTheme="minorHAnsi"/>
                          <w:color w:val="FFFFFF" w:themeColor="background1"/>
                          <w:sz w:val="22"/>
                        </w:rPr>
                        <w:t>194</w:t>
                      </w:r>
                    </w:p>
                    <w:p w:rsidR="001F65DC" w:rsidRPr="00AE74AB" w:rsidRDefault="00473FE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21 December</w:t>
                      </w:r>
                      <w:r w:rsidR="001F65DC">
                        <w:rPr>
                          <w:rFonts w:asciiTheme="minorHAnsi" w:hAnsiTheme="minorHAnsi"/>
                          <w:color w:val="FFFFFF" w:themeColor="background1"/>
                          <w:sz w:val="22"/>
                        </w:rPr>
                        <w:t xml:space="preserve"> 2018</w:t>
                      </w:r>
                    </w:p>
                    <w:p w:rsidR="001F65DC" w:rsidRPr="00AE74AB" w:rsidRDefault="001F65D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bookmarkStart w:id="2" w:name="_GoBack"/>
      <w:bookmarkEnd w:id="2"/>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65DC" w:rsidRPr="00890650" w:rsidRDefault="001F65DC"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Electronically approved by the Commission on </w:t>
                            </w:r>
                            <w:r w:rsidR="00473FE3">
                              <w:rPr>
                                <w:rFonts w:asciiTheme="majorHAnsi" w:hAnsiTheme="majorHAnsi"/>
                                <w:color w:val="0D0D0D" w:themeColor="text1" w:themeTint="F2"/>
                                <w:sz w:val="18"/>
                                <w:szCs w:val="22"/>
                              </w:rPr>
                              <w:t>December 21</w:t>
                            </w:r>
                            <w:r>
                              <w:rPr>
                                <w:rFonts w:asciiTheme="majorHAnsi" w:hAnsiTheme="majorHAnsi"/>
                                <w:color w:val="0D0D0D" w:themeColor="text1" w:themeTint="F2"/>
                                <w:sz w:val="18"/>
                                <w:szCs w:val="22"/>
                              </w:rPr>
                              <w:t>, 2018</w:t>
                            </w:r>
                            <w:r w:rsidR="00D26D5C">
                              <w:rPr>
                                <w:rFonts w:asciiTheme="majorHAnsi" w:hAnsiTheme="majorHAnsi"/>
                                <w:color w:val="0D0D0D" w:themeColor="text1" w:themeTint="F2"/>
                                <w:sz w:val="18"/>
                                <w:szCs w:val="22"/>
                              </w:rPr>
                              <w:t>.</w:t>
                            </w:r>
                          </w:p>
                          <w:p w:rsidR="001F65DC" w:rsidRPr="007A5817" w:rsidRDefault="001F65DC" w:rsidP="00247403">
                            <w:pPr>
                              <w:tabs>
                                <w:tab w:val="center" w:pos="5400"/>
                              </w:tabs>
                              <w:suppressAutoHyphens/>
                              <w:rPr>
                                <w:rFonts w:asciiTheme="minorHAnsi" w:hAnsiTheme="minorHAnsi" w:cs="Univers"/>
                                <w:color w:val="0D0D0D" w:themeColor="text1" w:themeTint="F2"/>
                                <w:sz w:val="20"/>
                                <w:szCs w:val="20"/>
                              </w:rPr>
                            </w:pPr>
                          </w:p>
                          <w:p w:rsidR="001F65DC" w:rsidRPr="00167A34" w:rsidRDefault="001F65DC" w:rsidP="0059191A">
                            <w:pPr>
                              <w:tabs>
                                <w:tab w:val="center" w:pos="5400"/>
                              </w:tabs>
                              <w:suppressAutoHyphens/>
                              <w:rPr>
                                <w:rFonts w:ascii="Calibri" w:hAnsi="Calibri"/>
                                <w:color w:val="FFFFFF" w:themeColor="background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1F65DC" w:rsidRPr="00890650" w:rsidRDefault="001F65DC"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Electronically approved by the Commission on </w:t>
                      </w:r>
                      <w:r w:rsidR="00473FE3">
                        <w:rPr>
                          <w:rFonts w:asciiTheme="majorHAnsi" w:hAnsiTheme="majorHAnsi"/>
                          <w:color w:val="0D0D0D" w:themeColor="text1" w:themeTint="F2"/>
                          <w:sz w:val="18"/>
                          <w:szCs w:val="22"/>
                        </w:rPr>
                        <w:t>December 21</w:t>
                      </w:r>
                      <w:r>
                        <w:rPr>
                          <w:rFonts w:asciiTheme="majorHAnsi" w:hAnsiTheme="majorHAnsi"/>
                          <w:color w:val="0D0D0D" w:themeColor="text1" w:themeTint="F2"/>
                          <w:sz w:val="18"/>
                          <w:szCs w:val="22"/>
                        </w:rPr>
                        <w:t>, 2018</w:t>
                      </w:r>
                      <w:r w:rsidR="00D26D5C">
                        <w:rPr>
                          <w:rFonts w:asciiTheme="majorHAnsi" w:hAnsiTheme="majorHAnsi"/>
                          <w:color w:val="0D0D0D" w:themeColor="text1" w:themeTint="F2"/>
                          <w:sz w:val="18"/>
                          <w:szCs w:val="22"/>
                        </w:rPr>
                        <w:t>.</w:t>
                      </w:r>
                    </w:p>
                    <w:p w:rsidR="001F65DC" w:rsidRPr="007A5817" w:rsidRDefault="001F65DC" w:rsidP="00247403">
                      <w:pPr>
                        <w:tabs>
                          <w:tab w:val="center" w:pos="5400"/>
                        </w:tabs>
                        <w:suppressAutoHyphens/>
                        <w:rPr>
                          <w:rFonts w:asciiTheme="minorHAnsi" w:hAnsiTheme="minorHAnsi" w:cs="Univers"/>
                          <w:color w:val="0D0D0D" w:themeColor="text1" w:themeTint="F2"/>
                          <w:sz w:val="20"/>
                          <w:szCs w:val="20"/>
                        </w:rPr>
                      </w:pPr>
                    </w:p>
                    <w:p w:rsidR="001F65DC" w:rsidRPr="00167A34" w:rsidRDefault="001F65DC" w:rsidP="0059191A">
                      <w:pPr>
                        <w:tabs>
                          <w:tab w:val="center" w:pos="5400"/>
                        </w:tabs>
                        <w:suppressAutoHyphens/>
                        <w:rPr>
                          <w:rFonts w:ascii="Calibri" w:hAnsi="Calibri"/>
                          <w:color w:val="FFFFFF" w:themeColor="background1"/>
                          <w:sz w:val="16"/>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65DC" w:rsidRPr="007B05C4" w:rsidRDefault="001F65DC"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Pr>
                                <w:rFonts w:asciiTheme="majorHAnsi" w:hAnsiTheme="majorHAnsi"/>
                                <w:color w:val="595959" w:themeColor="text1" w:themeTint="A6"/>
                                <w:sz w:val="18"/>
                                <w:szCs w:val="18"/>
                              </w:rPr>
                              <w:t xml:space="preserve"> IACHR, Report No. </w:t>
                            </w:r>
                            <w:r w:rsidR="00473FE3">
                              <w:rPr>
                                <w:rFonts w:asciiTheme="majorHAnsi" w:hAnsiTheme="majorHAnsi"/>
                                <w:color w:val="595959" w:themeColor="text1" w:themeTint="A6"/>
                                <w:sz w:val="18"/>
                                <w:szCs w:val="18"/>
                              </w:rPr>
                              <w:t>169/18</w:t>
                            </w:r>
                            <w:r>
                              <w:rPr>
                                <w:rFonts w:asciiTheme="majorHAnsi" w:hAnsiTheme="majorHAnsi"/>
                                <w:color w:val="595959" w:themeColor="text1" w:themeTint="A6"/>
                                <w:sz w:val="18"/>
                                <w:szCs w:val="18"/>
                              </w:rPr>
                              <w:t>. Admissibility.</w:t>
                            </w:r>
                            <w:r w:rsidR="00473FE3">
                              <w:rPr>
                                <w:rFonts w:asciiTheme="majorHAnsi" w:hAnsiTheme="majorHAnsi"/>
                                <w:color w:val="595959" w:themeColor="text1" w:themeTint="A6"/>
                                <w:sz w:val="18"/>
                                <w:szCs w:val="18"/>
                              </w:rPr>
                              <w:t xml:space="preserve"> Petition 1044-07.</w:t>
                            </w:r>
                            <w:r>
                              <w:rPr>
                                <w:rFonts w:asciiTheme="majorHAnsi" w:hAnsiTheme="majorHAnsi"/>
                                <w:color w:val="595959" w:themeColor="text1" w:themeTint="A6"/>
                                <w:sz w:val="18"/>
                                <w:szCs w:val="18"/>
                              </w:rPr>
                              <w:t xml:space="preserve"> Tomasa Chuchon and others. Peru. </w:t>
                            </w:r>
                            <w:r w:rsidR="00473FE3">
                              <w:rPr>
                                <w:rFonts w:asciiTheme="majorHAnsi" w:hAnsiTheme="majorHAnsi"/>
                                <w:color w:val="595959" w:themeColor="text1" w:themeTint="A6"/>
                                <w:sz w:val="18"/>
                                <w:szCs w:val="18"/>
                              </w:rPr>
                              <w:t>December 21, 2018</w:t>
                            </w:r>
                            <w:r w:rsidR="00D26D5C">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F65DC" w:rsidRPr="007B05C4" w:rsidRDefault="001F65DC"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Pr>
                          <w:rFonts w:asciiTheme="majorHAnsi" w:hAnsiTheme="majorHAnsi"/>
                          <w:color w:val="595959" w:themeColor="text1" w:themeTint="A6"/>
                          <w:sz w:val="18"/>
                          <w:szCs w:val="18"/>
                        </w:rPr>
                        <w:t xml:space="preserve"> IACHR, Report No. </w:t>
                      </w:r>
                      <w:r w:rsidR="00473FE3">
                        <w:rPr>
                          <w:rFonts w:asciiTheme="majorHAnsi" w:hAnsiTheme="majorHAnsi"/>
                          <w:color w:val="595959" w:themeColor="text1" w:themeTint="A6"/>
                          <w:sz w:val="18"/>
                          <w:szCs w:val="18"/>
                        </w:rPr>
                        <w:t>169/18</w:t>
                      </w:r>
                      <w:r>
                        <w:rPr>
                          <w:rFonts w:asciiTheme="majorHAnsi" w:hAnsiTheme="majorHAnsi"/>
                          <w:color w:val="595959" w:themeColor="text1" w:themeTint="A6"/>
                          <w:sz w:val="18"/>
                          <w:szCs w:val="18"/>
                        </w:rPr>
                        <w:t>. Admissibility.</w:t>
                      </w:r>
                      <w:r w:rsidR="00473FE3">
                        <w:rPr>
                          <w:rFonts w:asciiTheme="majorHAnsi" w:hAnsiTheme="majorHAnsi"/>
                          <w:color w:val="595959" w:themeColor="text1" w:themeTint="A6"/>
                          <w:sz w:val="18"/>
                          <w:szCs w:val="18"/>
                        </w:rPr>
                        <w:t xml:space="preserve"> Petition 1044-07.</w:t>
                      </w:r>
                      <w:r>
                        <w:rPr>
                          <w:rFonts w:asciiTheme="majorHAnsi" w:hAnsiTheme="majorHAnsi"/>
                          <w:color w:val="595959" w:themeColor="text1" w:themeTint="A6"/>
                          <w:sz w:val="18"/>
                          <w:szCs w:val="18"/>
                        </w:rPr>
                        <w:t xml:space="preserve"> Tomasa Chuchon and others. Peru. </w:t>
                      </w:r>
                      <w:r w:rsidR="00473FE3">
                        <w:rPr>
                          <w:rFonts w:asciiTheme="majorHAnsi" w:hAnsiTheme="majorHAnsi"/>
                          <w:color w:val="595959" w:themeColor="text1" w:themeTint="A6"/>
                          <w:sz w:val="18"/>
                          <w:szCs w:val="18"/>
                        </w:rPr>
                        <w:t>December 21, 2018</w:t>
                      </w:r>
                      <w:r w:rsidR="00D26D5C">
                        <w:rPr>
                          <w:rFonts w:asciiTheme="majorHAnsi" w:hAnsiTheme="majorHAnsi"/>
                          <w:color w:val="595959" w:themeColor="text1" w:themeTint="A6"/>
                          <w:sz w:val="18"/>
                          <w:szCs w:val="18"/>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65DC" w:rsidRPr="00D72DC6" w:rsidRDefault="006532A2" w:rsidP="00F02AD1">
                            <w:pPr>
                              <w:rPr>
                                <w:color w:val="FFFFFF" w:themeColor="background1"/>
                                <w14:textFill>
                                  <w14:noFill/>
                                </w14:textFill>
                              </w:rPr>
                            </w:pPr>
                            <w:r>
                              <w:rPr>
                                <w:noProof/>
                              </w:rPr>
                              <w:drawing>
                                <wp:inline distT="0" distB="0" distL="0" distR="0" wp14:anchorId="579853D5" wp14:editId="09D4EAB9">
                                  <wp:extent cx="1181100" cy="397657"/>
                                  <wp:effectExtent l="0" t="0" r="0" b="2540"/>
                                  <wp:docPr id="3"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3976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1F65DC" w:rsidRPr="00D72DC6" w:rsidRDefault="006532A2" w:rsidP="00F02AD1">
                      <w:pPr>
                        <w:rPr>
                          <w:color w:val="FFFFFF" w:themeColor="background1"/>
                          <w14:textFill>
                            <w14:noFill/>
                          </w14:textFill>
                        </w:rPr>
                      </w:pPr>
                      <w:r>
                        <w:rPr>
                          <w:noProof/>
                        </w:rPr>
                        <w:drawing>
                          <wp:inline distT="0" distB="0" distL="0" distR="0" wp14:anchorId="579853D5" wp14:editId="09D4EAB9">
                            <wp:extent cx="1181100" cy="397657"/>
                            <wp:effectExtent l="0" t="0" r="0" b="2540"/>
                            <wp:docPr id="3"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397657"/>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65DC" w:rsidRPr="004B7EB6" w:rsidRDefault="001F65DC"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1F65DC" w:rsidRPr="004B7EB6" w:rsidRDefault="001F65DC"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rPr>
        <w:tab/>
      </w:r>
    </w:p>
    <w:p w:rsidR="003239B8" w:rsidRPr="006315E1" w:rsidRDefault="003239B8" w:rsidP="004A6A54">
      <w:pPr>
        <w:spacing w:after="240"/>
        <w:ind w:firstLine="720"/>
        <w:jc w:val="both"/>
        <w:rPr>
          <w:rFonts w:asciiTheme="majorHAnsi" w:hAnsiTheme="majorHAnsi"/>
          <w:b/>
          <w:bCs/>
          <w:sz w:val="19"/>
          <w:szCs w:val="19"/>
        </w:rPr>
      </w:pPr>
      <w:r>
        <w:rPr>
          <w:rFonts w:asciiTheme="majorHAnsi" w:hAnsiTheme="majorHAnsi"/>
          <w:b/>
          <w:bCs/>
          <w:sz w:val="19"/>
          <w:szCs w:val="19"/>
        </w:rPr>
        <w:lastRenderedPageBreak/>
        <w:t>I.</w:t>
      </w:r>
      <w:r>
        <w:rPr>
          <w:rFonts w:asciiTheme="majorHAnsi" w:hAnsiTheme="majorHAnsi"/>
          <w:b/>
          <w:bCs/>
          <w:sz w:val="19"/>
          <w:szCs w:val="19"/>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D0AE3" w:rsidTr="006532A2">
        <w:tc>
          <w:tcPr>
            <w:tcW w:w="3600" w:type="dxa"/>
            <w:tcBorders>
              <w:top w:val="single" w:sz="4" w:space="0" w:color="auto"/>
              <w:bottom w:val="single" w:sz="6" w:space="0" w:color="auto"/>
            </w:tcBorders>
            <w:shd w:val="clear" w:color="auto" w:fill="67AE3C"/>
            <w:vAlign w:val="center"/>
          </w:tcPr>
          <w:p w:rsidR="003239B8" w:rsidRPr="006315E1" w:rsidRDefault="003239B8" w:rsidP="008C658B">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Petitioner:</w:t>
            </w:r>
          </w:p>
        </w:tc>
        <w:tc>
          <w:tcPr>
            <w:tcW w:w="5760" w:type="dxa"/>
            <w:vAlign w:val="center"/>
          </w:tcPr>
          <w:p w:rsidR="003239B8" w:rsidRPr="00473FE3" w:rsidRDefault="00B42A9C" w:rsidP="008C658B">
            <w:pPr>
              <w:jc w:val="both"/>
              <w:rPr>
                <w:rFonts w:asciiTheme="majorHAnsi" w:hAnsiTheme="majorHAnsi"/>
                <w:bCs/>
                <w:sz w:val="19"/>
                <w:szCs w:val="19"/>
                <w:lang w:val="pt-BR"/>
              </w:rPr>
            </w:pPr>
            <w:r w:rsidRPr="00473FE3">
              <w:rPr>
                <w:rFonts w:asciiTheme="majorHAnsi" w:hAnsiTheme="majorHAnsi"/>
                <w:bCs/>
                <w:sz w:val="19"/>
                <w:szCs w:val="19"/>
                <w:lang w:val="pt-BR"/>
              </w:rPr>
              <w:t>Asociación Pro Derechos Humanos (APRODEH)</w:t>
            </w:r>
            <w:r w:rsidR="001D389D" w:rsidRPr="006315E1">
              <w:rPr>
                <w:rStyle w:val="FootnoteReference"/>
                <w:rFonts w:asciiTheme="majorHAnsi" w:hAnsiTheme="majorHAnsi"/>
                <w:bCs/>
                <w:sz w:val="19"/>
                <w:szCs w:val="19"/>
                <w:lang w:val="es-CO"/>
              </w:rPr>
              <w:footnoteReference w:id="2"/>
            </w:r>
          </w:p>
        </w:tc>
      </w:tr>
      <w:tr w:rsidR="003239B8" w:rsidRPr="00AE74AB" w:rsidTr="006532A2">
        <w:tc>
          <w:tcPr>
            <w:tcW w:w="3600" w:type="dxa"/>
            <w:tcBorders>
              <w:top w:val="single" w:sz="6" w:space="0" w:color="auto"/>
              <w:bottom w:val="single" w:sz="6" w:space="0" w:color="auto"/>
            </w:tcBorders>
            <w:shd w:val="clear" w:color="auto" w:fill="67AE3C"/>
            <w:vAlign w:val="center"/>
          </w:tcPr>
          <w:p w:rsidR="003239B8" w:rsidRPr="006315E1" w:rsidRDefault="00A93620" w:rsidP="008C658B">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AB3A88">
                  <w:rPr>
                    <w:rFonts w:asciiTheme="majorHAnsi" w:hAnsiTheme="majorHAnsi"/>
                    <w:b/>
                    <w:bCs/>
                    <w:color w:val="FFFFFF" w:themeColor="background1"/>
                    <w:sz w:val="19"/>
                    <w:szCs w:val="19"/>
                  </w:rPr>
                  <w:t>Alleged victim</w:t>
                </w:r>
              </w:sdtContent>
            </w:sdt>
            <w:r w:rsidR="00AB3A88">
              <w:rPr>
                <w:rFonts w:asciiTheme="majorHAnsi" w:hAnsiTheme="majorHAnsi"/>
                <w:b/>
                <w:bCs/>
                <w:color w:val="FFFFFF" w:themeColor="background1"/>
                <w:sz w:val="19"/>
                <w:szCs w:val="19"/>
              </w:rPr>
              <w:t>:</w:t>
            </w:r>
          </w:p>
        </w:tc>
        <w:tc>
          <w:tcPr>
            <w:tcW w:w="5760" w:type="dxa"/>
            <w:vAlign w:val="center"/>
          </w:tcPr>
          <w:p w:rsidR="003239B8" w:rsidRPr="006315E1" w:rsidRDefault="00C13E65" w:rsidP="008C658B">
            <w:pPr>
              <w:jc w:val="both"/>
              <w:rPr>
                <w:rFonts w:asciiTheme="majorHAnsi" w:hAnsiTheme="majorHAnsi"/>
                <w:bCs/>
                <w:sz w:val="19"/>
                <w:szCs w:val="19"/>
              </w:rPr>
            </w:pPr>
            <w:r>
              <w:rPr>
                <w:rFonts w:asciiTheme="majorHAnsi" w:hAnsiTheme="majorHAnsi"/>
                <w:bCs/>
                <w:sz w:val="19"/>
                <w:szCs w:val="19"/>
              </w:rPr>
              <w:t>Tomasa Chuchon Castillo and others</w:t>
            </w:r>
            <w:r w:rsidR="009F58BF" w:rsidRPr="006315E1">
              <w:rPr>
                <w:rStyle w:val="FootnoteReference"/>
                <w:rFonts w:asciiTheme="majorHAnsi" w:hAnsiTheme="majorHAnsi"/>
                <w:bCs/>
                <w:sz w:val="19"/>
                <w:szCs w:val="19"/>
                <w:lang w:val="es-ES"/>
              </w:rPr>
              <w:footnoteReference w:id="3"/>
            </w:r>
          </w:p>
        </w:tc>
      </w:tr>
      <w:tr w:rsidR="003239B8" w:rsidRPr="006315E1" w:rsidTr="006532A2">
        <w:tc>
          <w:tcPr>
            <w:tcW w:w="3600" w:type="dxa"/>
            <w:tcBorders>
              <w:top w:val="single" w:sz="6" w:space="0" w:color="auto"/>
              <w:bottom w:val="single" w:sz="6" w:space="0" w:color="auto"/>
            </w:tcBorders>
            <w:shd w:val="clear" w:color="auto" w:fill="67AE3C"/>
            <w:vAlign w:val="center"/>
          </w:tcPr>
          <w:p w:rsidR="003239B8" w:rsidRPr="006315E1" w:rsidRDefault="003239B8" w:rsidP="008C658B">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Respondent State:</w:t>
            </w:r>
          </w:p>
        </w:tc>
        <w:tc>
          <w:tcPr>
            <w:tcW w:w="5760" w:type="dxa"/>
            <w:vAlign w:val="center"/>
          </w:tcPr>
          <w:p w:rsidR="003239B8" w:rsidRPr="006315E1" w:rsidRDefault="00C13E65" w:rsidP="008C658B">
            <w:pPr>
              <w:jc w:val="both"/>
              <w:rPr>
                <w:rFonts w:asciiTheme="majorHAnsi" w:hAnsiTheme="majorHAnsi"/>
                <w:bCs/>
                <w:sz w:val="19"/>
                <w:szCs w:val="19"/>
              </w:rPr>
            </w:pPr>
            <w:r>
              <w:rPr>
                <w:rFonts w:asciiTheme="majorHAnsi" w:hAnsiTheme="majorHAnsi"/>
                <w:bCs/>
                <w:sz w:val="19"/>
                <w:szCs w:val="19"/>
              </w:rPr>
              <w:t>Peru</w:t>
            </w:r>
            <w:r w:rsidR="004A6A54" w:rsidRPr="006315E1">
              <w:rPr>
                <w:rStyle w:val="FootnoteReference"/>
                <w:rFonts w:asciiTheme="majorHAnsi" w:hAnsiTheme="majorHAnsi"/>
                <w:bCs/>
                <w:sz w:val="19"/>
                <w:szCs w:val="19"/>
              </w:rPr>
              <w:footnoteReference w:id="4"/>
            </w:r>
          </w:p>
        </w:tc>
      </w:tr>
      <w:tr w:rsidR="00223A29" w:rsidRPr="00AE74AB" w:rsidTr="006532A2">
        <w:tc>
          <w:tcPr>
            <w:tcW w:w="3600" w:type="dxa"/>
            <w:tcBorders>
              <w:top w:val="single" w:sz="6" w:space="0" w:color="auto"/>
              <w:bottom w:val="single" w:sz="6" w:space="0" w:color="auto"/>
            </w:tcBorders>
            <w:shd w:val="clear" w:color="auto" w:fill="67AE3C"/>
            <w:vAlign w:val="center"/>
          </w:tcPr>
          <w:p w:rsidR="00223A29" w:rsidRPr="006315E1" w:rsidRDefault="001B3A00" w:rsidP="00E4118C">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Rights invoked:</w:t>
            </w:r>
          </w:p>
        </w:tc>
        <w:tc>
          <w:tcPr>
            <w:tcW w:w="5760" w:type="dxa"/>
            <w:vAlign w:val="center"/>
          </w:tcPr>
          <w:p w:rsidR="00836F78" w:rsidRPr="006315E1" w:rsidRDefault="000654FA" w:rsidP="00234A19">
            <w:pPr>
              <w:jc w:val="both"/>
              <w:rPr>
                <w:rFonts w:asciiTheme="majorHAnsi" w:hAnsiTheme="majorHAnsi"/>
                <w:bCs/>
                <w:sz w:val="19"/>
                <w:szCs w:val="19"/>
              </w:rPr>
            </w:pPr>
            <w:r>
              <w:rPr>
                <w:rFonts w:asciiTheme="majorHAnsi" w:hAnsiTheme="majorHAnsi"/>
                <w:bCs/>
                <w:sz w:val="19"/>
                <w:szCs w:val="19"/>
              </w:rPr>
              <w:t>Articles 4 (life), 5 (personal integrity), 7 (personal liberty), 8 (judicial guarantees), and 25 (judicial protection) of the American Convention on Human Rights,</w:t>
            </w:r>
            <w:r w:rsidR="00316216" w:rsidRPr="006315E1">
              <w:rPr>
                <w:rStyle w:val="FootnoteReference"/>
                <w:rFonts w:asciiTheme="majorHAnsi" w:hAnsiTheme="majorHAnsi"/>
                <w:bCs/>
                <w:sz w:val="19"/>
                <w:szCs w:val="19"/>
                <w:lang w:val="es-CO"/>
              </w:rPr>
              <w:footnoteReference w:id="5"/>
            </w:r>
            <w:r>
              <w:rPr>
                <w:rFonts w:asciiTheme="majorHAnsi" w:hAnsiTheme="majorHAnsi"/>
                <w:bCs/>
                <w:sz w:val="19"/>
                <w:szCs w:val="19"/>
              </w:rPr>
              <w:t xml:space="preserve"> in relation to its Articles 1 and 2. As well as Article 1 of the Inter-American Convention on Forced Disappearance of Persons,</w:t>
            </w:r>
            <w:r w:rsidR="00463EF9" w:rsidRPr="006315E1">
              <w:rPr>
                <w:rStyle w:val="FootnoteReference"/>
                <w:rFonts w:asciiTheme="majorHAnsi" w:hAnsiTheme="majorHAnsi"/>
                <w:bCs/>
                <w:sz w:val="19"/>
                <w:szCs w:val="19"/>
                <w:lang w:val="es-CO"/>
              </w:rPr>
              <w:footnoteReference w:id="6"/>
            </w:r>
            <w:r>
              <w:rPr>
                <w:rFonts w:asciiTheme="majorHAnsi" w:hAnsiTheme="majorHAnsi"/>
                <w:bCs/>
                <w:sz w:val="19"/>
                <w:szCs w:val="19"/>
              </w:rPr>
              <w:t xml:space="preserve"> Article 1 of the Inter-American Convention to Prevent and Punish Torture,</w:t>
            </w:r>
            <w:r w:rsidR="00630C5A" w:rsidRPr="006315E1">
              <w:rPr>
                <w:rStyle w:val="FootnoteReference"/>
                <w:rFonts w:asciiTheme="majorHAnsi" w:hAnsiTheme="majorHAnsi"/>
                <w:bCs/>
                <w:sz w:val="19"/>
                <w:szCs w:val="19"/>
                <w:lang w:val="es-CO"/>
              </w:rPr>
              <w:footnoteReference w:id="7"/>
            </w:r>
            <w:r>
              <w:rPr>
                <w:rFonts w:asciiTheme="majorHAnsi" w:hAnsiTheme="majorHAnsi"/>
                <w:bCs/>
                <w:sz w:val="19"/>
                <w:szCs w:val="19"/>
              </w:rPr>
              <w:t xml:space="preserve"> and other international treaties</w:t>
            </w:r>
            <w:r w:rsidR="00A57E78" w:rsidRPr="006315E1">
              <w:rPr>
                <w:rStyle w:val="FootnoteReference"/>
                <w:rFonts w:asciiTheme="majorHAnsi" w:hAnsiTheme="majorHAnsi"/>
                <w:bCs/>
                <w:sz w:val="19"/>
                <w:szCs w:val="19"/>
                <w:lang w:val="es-CO"/>
              </w:rPr>
              <w:footnoteReference w:id="8"/>
            </w:r>
          </w:p>
        </w:tc>
      </w:tr>
    </w:tbl>
    <w:p w:rsidR="003239B8" w:rsidRPr="006315E1" w:rsidRDefault="003239B8" w:rsidP="003239B8">
      <w:pPr>
        <w:spacing w:before="240" w:after="240"/>
        <w:ind w:firstLine="720"/>
        <w:jc w:val="both"/>
        <w:rPr>
          <w:rFonts w:asciiTheme="majorHAnsi" w:hAnsiTheme="majorHAnsi"/>
          <w:b/>
          <w:bCs/>
          <w:sz w:val="19"/>
          <w:szCs w:val="19"/>
        </w:rPr>
      </w:pPr>
      <w:r>
        <w:rPr>
          <w:rFonts w:asciiTheme="majorHAnsi" w:hAnsiTheme="majorHAnsi"/>
          <w:b/>
          <w:bCs/>
          <w:sz w:val="19"/>
          <w:szCs w:val="19"/>
        </w:rPr>
        <w:t>II.</w:t>
      </w:r>
      <w:r>
        <w:rPr>
          <w:rFonts w:asciiTheme="majorHAnsi" w:hAnsiTheme="majorHAnsi"/>
          <w:b/>
          <w:bCs/>
          <w:sz w:val="19"/>
          <w:szCs w:val="19"/>
        </w:rPr>
        <w:tab/>
      </w:r>
      <w:r>
        <w:rPr>
          <w:rFonts w:asciiTheme="majorHAnsi" w:hAnsiTheme="majorHAnsi"/>
          <w:b/>
          <w:sz w:val="19"/>
          <w:szCs w:val="19"/>
        </w:rPr>
        <w:t>PROCEDURE BEFORE THE IACHR</w:t>
      </w:r>
      <w:r w:rsidR="008E3BFE" w:rsidRPr="006315E1">
        <w:rPr>
          <w:rStyle w:val="FootnoteReference"/>
          <w:rFonts w:asciiTheme="majorHAnsi" w:hAnsiTheme="majorHAnsi"/>
          <w:b/>
          <w:sz w:val="19"/>
          <w:szCs w:val="19"/>
        </w:rPr>
        <w:footnoteReference w:id="9"/>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315E1" w:rsidTr="006532A2">
        <w:tc>
          <w:tcPr>
            <w:tcW w:w="3600" w:type="dxa"/>
            <w:tcBorders>
              <w:top w:val="single" w:sz="6" w:space="0" w:color="auto"/>
              <w:bottom w:val="single" w:sz="6" w:space="0" w:color="auto"/>
            </w:tcBorders>
            <w:shd w:val="clear" w:color="auto" w:fill="67AE3C"/>
            <w:vAlign w:val="center"/>
          </w:tcPr>
          <w:p w:rsidR="004C2312" w:rsidRPr="006315E1" w:rsidRDefault="004A6A54" w:rsidP="004A6A54">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Filing of the petition:</w:t>
            </w:r>
          </w:p>
        </w:tc>
        <w:tc>
          <w:tcPr>
            <w:tcW w:w="5760" w:type="dxa"/>
            <w:vAlign w:val="center"/>
          </w:tcPr>
          <w:p w:rsidR="004C2312" w:rsidRPr="006315E1" w:rsidRDefault="00937BC1" w:rsidP="008C658B">
            <w:pPr>
              <w:jc w:val="both"/>
              <w:rPr>
                <w:rFonts w:asciiTheme="majorHAnsi" w:hAnsiTheme="majorHAnsi"/>
                <w:bCs/>
                <w:sz w:val="19"/>
                <w:szCs w:val="19"/>
              </w:rPr>
            </w:pPr>
            <w:r>
              <w:rPr>
                <w:rFonts w:asciiTheme="majorHAnsi" w:hAnsiTheme="majorHAnsi"/>
                <w:bCs/>
                <w:sz w:val="19"/>
                <w:szCs w:val="19"/>
              </w:rPr>
              <w:t>August 8, 2007</w:t>
            </w:r>
          </w:p>
        </w:tc>
      </w:tr>
      <w:tr w:rsidR="001E49E7" w:rsidRPr="006315E1" w:rsidTr="006532A2">
        <w:tc>
          <w:tcPr>
            <w:tcW w:w="3600" w:type="dxa"/>
            <w:tcBorders>
              <w:top w:val="single" w:sz="6" w:space="0" w:color="auto"/>
              <w:bottom w:val="single" w:sz="6" w:space="0" w:color="auto"/>
            </w:tcBorders>
            <w:shd w:val="clear" w:color="auto" w:fill="67AE3C"/>
            <w:vAlign w:val="center"/>
          </w:tcPr>
          <w:p w:rsidR="001E49E7" w:rsidRPr="006315E1" w:rsidRDefault="001E49E7" w:rsidP="001E49E7">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Additional information received at the stage of initial review:</w:t>
            </w:r>
            <w:r w:rsidR="00557FB1" w:rsidRPr="006315E1">
              <w:rPr>
                <w:rStyle w:val="FootnoteReference"/>
                <w:rFonts w:asciiTheme="majorHAnsi" w:hAnsiTheme="majorHAnsi"/>
                <w:bCs/>
                <w:color w:val="FFFFFF" w:themeColor="background1"/>
                <w:sz w:val="19"/>
                <w:szCs w:val="19"/>
                <w:lang w:val="es-AR"/>
              </w:rPr>
              <w:footnoteReference w:id="10"/>
            </w:r>
          </w:p>
        </w:tc>
        <w:tc>
          <w:tcPr>
            <w:tcW w:w="5760" w:type="dxa"/>
            <w:vAlign w:val="center"/>
          </w:tcPr>
          <w:p w:rsidR="001E49E7" w:rsidRPr="006315E1" w:rsidRDefault="000C5518" w:rsidP="00557FB1">
            <w:pPr>
              <w:rPr>
                <w:rFonts w:asciiTheme="majorHAnsi" w:hAnsiTheme="majorHAnsi"/>
                <w:bCs/>
                <w:color w:val="FFFFFF" w:themeColor="background1"/>
                <w:sz w:val="19"/>
                <w:szCs w:val="19"/>
              </w:rPr>
            </w:pPr>
            <w:r>
              <w:rPr>
                <w:rFonts w:asciiTheme="majorHAnsi" w:hAnsiTheme="majorHAnsi"/>
                <w:bCs/>
                <w:sz w:val="19"/>
                <w:szCs w:val="19"/>
              </w:rPr>
              <w:t xml:space="preserve">October 9, 2007 </w:t>
            </w:r>
          </w:p>
        </w:tc>
      </w:tr>
      <w:tr w:rsidR="004C2312" w:rsidRPr="006315E1" w:rsidTr="006532A2">
        <w:tc>
          <w:tcPr>
            <w:tcW w:w="3600" w:type="dxa"/>
            <w:tcBorders>
              <w:top w:val="single" w:sz="6" w:space="0" w:color="auto"/>
              <w:bottom w:val="single" w:sz="6" w:space="0" w:color="auto"/>
            </w:tcBorders>
            <w:shd w:val="clear" w:color="auto" w:fill="67AE3C"/>
            <w:vAlign w:val="center"/>
          </w:tcPr>
          <w:p w:rsidR="004C2312" w:rsidRPr="006315E1" w:rsidRDefault="004A6A54" w:rsidP="004A6A54">
            <w:pPr>
              <w:jc w:val="center"/>
              <w:rPr>
                <w:rFonts w:asciiTheme="majorHAnsi" w:hAnsiTheme="majorHAnsi"/>
                <w:b/>
                <w:bCs/>
                <w:color w:val="FFFFFF" w:themeColor="background1"/>
                <w:sz w:val="19"/>
                <w:szCs w:val="19"/>
              </w:rPr>
            </w:pPr>
            <w:r>
              <w:rPr>
                <w:rFonts w:asciiTheme="majorHAnsi" w:hAnsiTheme="majorHAnsi"/>
                <w:b/>
                <w:color w:val="FFFFFF" w:themeColor="background1"/>
                <w:sz w:val="19"/>
                <w:szCs w:val="19"/>
              </w:rPr>
              <w:t>Notification of the petition to the State:</w:t>
            </w:r>
          </w:p>
        </w:tc>
        <w:tc>
          <w:tcPr>
            <w:tcW w:w="5760" w:type="dxa"/>
            <w:vAlign w:val="center"/>
          </w:tcPr>
          <w:p w:rsidR="004C2312" w:rsidRPr="006315E1" w:rsidRDefault="00A95946" w:rsidP="008C658B">
            <w:pPr>
              <w:jc w:val="both"/>
              <w:rPr>
                <w:rFonts w:asciiTheme="majorHAnsi" w:hAnsiTheme="majorHAnsi"/>
                <w:bCs/>
                <w:sz w:val="19"/>
                <w:szCs w:val="19"/>
              </w:rPr>
            </w:pPr>
            <w:r>
              <w:rPr>
                <w:rFonts w:asciiTheme="majorHAnsi" w:hAnsiTheme="majorHAnsi"/>
                <w:bCs/>
                <w:sz w:val="19"/>
                <w:szCs w:val="19"/>
              </w:rPr>
              <w:t>October 14, 2011,</w:t>
            </w:r>
          </w:p>
        </w:tc>
      </w:tr>
      <w:tr w:rsidR="004C2312" w:rsidRPr="006315E1" w:rsidTr="006532A2">
        <w:trPr>
          <w:trHeight w:val="309"/>
        </w:trPr>
        <w:tc>
          <w:tcPr>
            <w:tcW w:w="3600" w:type="dxa"/>
            <w:tcBorders>
              <w:top w:val="single" w:sz="6" w:space="0" w:color="auto"/>
              <w:bottom w:val="single" w:sz="6" w:space="0" w:color="auto"/>
            </w:tcBorders>
            <w:shd w:val="clear" w:color="auto" w:fill="67AE3C"/>
            <w:vAlign w:val="center"/>
          </w:tcPr>
          <w:p w:rsidR="004C2312" w:rsidRPr="006315E1" w:rsidRDefault="004A6A54" w:rsidP="004A6A54">
            <w:pPr>
              <w:jc w:val="center"/>
              <w:rPr>
                <w:rFonts w:asciiTheme="majorHAnsi" w:hAnsiTheme="majorHAnsi"/>
                <w:b/>
                <w:bCs/>
                <w:color w:val="FFFFFF" w:themeColor="background1"/>
                <w:sz w:val="19"/>
                <w:szCs w:val="19"/>
              </w:rPr>
            </w:pPr>
            <w:r>
              <w:rPr>
                <w:rFonts w:asciiTheme="majorHAnsi" w:hAnsiTheme="majorHAnsi"/>
                <w:b/>
                <w:color w:val="FFFFFF" w:themeColor="background1"/>
                <w:sz w:val="19"/>
                <w:szCs w:val="19"/>
              </w:rPr>
              <w:t>State’s first response:</w:t>
            </w:r>
          </w:p>
        </w:tc>
        <w:tc>
          <w:tcPr>
            <w:tcW w:w="5760" w:type="dxa"/>
            <w:vAlign w:val="center"/>
          </w:tcPr>
          <w:p w:rsidR="004C2312" w:rsidRPr="006315E1" w:rsidRDefault="00CF5787" w:rsidP="00F90B1C">
            <w:pPr>
              <w:rPr>
                <w:rFonts w:asciiTheme="majorHAnsi" w:hAnsiTheme="majorHAnsi"/>
                <w:bCs/>
                <w:sz w:val="19"/>
                <w:szCs w:val="19"/>
              </w:rPr>
            </w:pPr>
            <w:r>
              <w:rPr>
                <w:rFonts w:asciiTheme="majorHAnsi" w:hAnsiTheme="majorHAnsi"/>
                <w:bCs/>
                <w:sz w:val="19"/>
                <w:szCs w:val="19"/>
              </w:rPr>
              <w:t>November 8, 2013</w:t>
            </w:r>
          </w:p>
        </w:tc>
      </w:tr>
    </w:tbl>
    <w:p w:rsidR="003239B8" w:rsidRPr="006315E1" w:rsidRDefault="003239B8" w:rsidP="003239B8">
      <w:pPr>
        <w:spacing w:before="240" w:after="240"/>
        <w:ind w:firstLine="720"/>
        <w:jc w:val="both"/>
        <w:rPr>
          <w:rFonts w:asciiTheme="majorHAnsi" w:hAnsiTheme="majorHAnsi"/>
          <w:b/>
          <w:bCs/>
          <w:sz w:val="19"/>
          <w:szCs w:val="19"/>
        </w:rPr>
      </w:pPr>
      <w:r>
        <w:rPr>
          <w:rFonts w:asciiTheme="majorHAnsi" w:hAnsiTheme="majorHAnsi"/>
          <w:b/>
          <w:bCs/>
          <w:sz w:val="19"/>
          <w:szCs w:val="19"/>
        </w:rPr>
        <w:t xml:space="preserve">III. </w:t>
      </w:r>
      <w:r>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315E1" w:rsidTr="006532A2">
        <w:trPr>
          <w:cantSplit/>
        </w:trPr>
        <w:tc>
          <w:tcPr>
            <w:tcW w:w="3600" w:type="dxa"/>
            <w:tcBorders>
              <w:top w:val="single" w:sz="4" w:space="0" w:color="auto"/>
              <w:bottom w:val="single" w:sz="6" w:space="0" w:color="auto"/>
            </w:tcBorders>
            <w:shd w:val="clear" w:color="auto" w:fill="67AE3C"/>
            <w:vAlign w:val="center"/>
          </w:tcPr>
          <w:p w:rsidR="003239B8" w:rsidRPr="006315E1" w:rsidRDefault="003239B8" w:rsidP="008C658B">
            <w:pPr>
              <w:jc w:val="center"/>
              <w:rPr>
                <w:rFonts w:asciiTheme="majorHAnsi" w:hAnsiTheme="majorHAnsi"/>
                <w:b/>
                <w:bCs/>
                <w:i/>
                <w:color w:val="FFFFFF" w:themeColor="background1"/>
                <w:sz w:val="19"/>
                <w:szCs w:val="19"/>
              </w:rPr>
            </w:pPr>
            <w:r>
              <w:rPr>
                <w:rFonts w:asciiTheme="majorHAnsi" w:hAnsiTheme="majorHAnsi"/>
                <w:b/>
                <w:bCs/>
                <w:color w:val="FFFFFF" w:themeColor="background1"/>
                <w:sz w:val="19"/>
                <w:szCs w:val="19"/>
              </w:rPr>
              <w:t xml:space="preserve">Competence </w:t>
            </w:r>
            <w:r>
              <w:rPr>
                <w:rFonts w:asciiTheme="majorHAnsi" w:hAnsiTheme="majorHAnsi"/>
                <w:b/>
                <w:bCs/>
                <w:i/>
                <w:color w:val="FFFFFF" w:themeColor="background1"/>
                <w:sz w:val="19"/>
                <w:szCs w:val="19"/>
              </w:rPr>
              <w:t>Ratione personae</w:t>
            </w:r>
            <w:r>
              <w:rPr>
                <w:rFonts w:asciiTheme="majorHAnsi" w:hAnsiTheme="majorHAnsi"/>
                <w:b/>
                <w:bCs/>
                <w:color w:val="FFFFFF" w:themeColor="background1"/>
                <w:sz w:val="19"/>
                <w:szCs w:val="19"/>
              </w:rPr>
              <w:t>:</w:t>
            </w:r>
          </w:p>
        </w:tc>
        <w:tc>
          <w:tcPr>
            <w:tcW w:w="5760" w:type="dxa"/>
            <w:vAlign w:val="center"/>
          </w:tcPr>
          <w:p w:rsidR="003239B8" w:rsidRPr="006315E1" w:rsidRDefault="00F90B1C" w:rsidP="008C658B">
            <w:pPr>
              <w:rPr>
                <w:rFonts w:asciiTheme="majorHAnsi" w:hAnsiTheme="majorHAnsi"/>
                <w:bCs/>
                <w:sz w:val="19"/>
                <w:szCs w:val="19"/>
              </w:rPr>
            </w:pPr>
            <w:r>
              <w:rPr>
                <w:rFonts w:asciiTheme="majorHAnsi" w:hAnsiTheme="majorHAnsi"/>
                <w:bCs/>
                <w:sz w:val="19"/>
                <w:szCs w:val="19"/>
              </w:rPr>
              <w:t>Yes</w:t>
            </w:r>
          </w:p>
        </w:tc>
      </w:tr>
      <w:tr w:rsidR="003239B8" w:rsidRPr="006315E1" w:rsidTr="006532A2">
        <w:trPr>
          <w:cantSplit/>
        </w:trPr>
        <w:tc>
          <w:tcPr>
            <w:tcW w:w="3600" w:type="dxa"/>
            <w:tcBorders>
              <w:top w:val="single" w:sz="6" w:space="0" w:color="auto"/>
              <w:bottom w:val="single" w:sz="6" w:space="0" w:color="auto"/>
            </w:tcBorders>
            <w:shd w:val="clear" w:color="auto" w:fill="67AE3C"/>
            <w:vAlign w:val="center"/>
          </w:tcPr>
          <w:p w:rsidR="003239B8" w:rsidRPr="006315E1" w:rsidRDefault="003239B8" w:rsidP="008C658B">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Competence</w:t>
            </w:r>
            <w:r>
              <w:rPr>
                <w:rFonts w:asciiTheme="majorHAnsi" w:hAnsiTheme="majorHAnsi"/>
                <w:b/>
                <w:bCs/>
                <w:i/>
                <w:color w:val="FFFFFF" w:themeColor="background1"/>
                <w:sz w:val="19"/>
                <w:szCs w:val="19"/>
              </w:rPr>
              <w:t xml:space="preserve"> Ratione loci</w:t>
            </w:r>
            <w:r>
              <w:rPr>
                <w:rFonts w:asciiTheme="majorHAnsi" w:hAnsiTheme="majorHAnsi"/>
                <w:b/>
                <w:bCs/>
                <w:color w:val="FFFFFF" w:themeColor="background1"/>
                <w:sz w:val="19"/>
                <w:szCs w:val="19"/>
              </w:rPr>
              <w:t>:</w:t>
            </w:r>
          </w:p>
        </w:tc>
        <w:tc>
          <w:tcPr>
            <w:tcW w:w="5760" w:type="dxa"/>
            <w:vAlign w:val="center"/>
          </w:tcPr>
          <w:p w:rsidR="003239B8" w:rsidRPr="006315E1" w:rsidRDefault="00F90B1C" w:rsidP="008C658B">
            <w:pPr>
              <w:rPr>
                <w:rFonts w:asciiTheme="majorHAnsi" w:hAnsiTheme="majorHAnsi"/>
                <w:bCs/>
                <w:sz w:val="19"/>
                <w:szCs w:val="19"/>
              </w:rPr>
            </w:pPr>
            <w:r>
              <w:rPr>
                <w:rFonts w:asciiTheme="majorHAnsi" w:hAnsiTheme="majorHAnsi"/>
                <w:bCs/>
                <w:sz w:val="19"/>
                <w:szCs w:val="19"/>
              </w:rPr>
              <w:t>Yes</w:t>
            </w:r>
          </w:p>
        </w:tc>
      </w:tr>
      <w:tr w:rsidR="003239B8" w:rsidRPr="006315E1" w:rsidTr="006532A2">
        <w:trPr>
          <w:cantSplit/>
        </w:trPr>
        <w:tc>
          <w:tcPr>
            <w:tcW w:w="3600" w:type="dxa"/>
            <w:tcBorders>
              <w:top w:val="single" w:sz="6" w:space="0" w:color="auto"/>
              <w:bottom w:val="single" w:sz="6" w:space="0" w:color="auto"/>
            </w:tcBorders>
            <w:shd w:val="clear" w:color="auto" w:fill="67AE3C"/>
            <w:vAlign w:val="center"/>
          </w:tcPr>
          <w:p w:rsidR="003239B8" w:rsidRPr="006315E1" w:rsidRDefault="003239B8" w:rsidP="008C658B">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Competence</w:t>
            </w:r>
            <w:r>
              <w:rPr>
                <w:rFonts w:asciiTheme="majorHAnsi" w:hAnsiTheme="majorHAnsi"/>
                <w:b/>
                <w:bCs/>
                <w:i/>
                <w:color w:val="FFFFFF" w:themeColor="background1"/>
                <w:sz w:val="19"/>
                <w:szCs w:val="19"/>
              </w:rPr>
              <w:t xml:space="preserve"> Ratione temporis</w:t>
            </w:r>
            <w:r>
              <w:rPr>
                <w:rFonts w:asciiTheme="majorHAnsi" w:hAnsiTheme="majorHAnsi"/>
                <w:b/>
                <w:bCs/>
                <w:color w:val="FFFFFF" w:themeColor="background1"/>
                <w:sz w:val="19"/>
                <w:szCs w:val="19"/>
              </w:rPr>
              <w:t>:</w:t>
            </w:r>
          </w:p>
        </w:tc>
        <w:tc>
          <w:tcPr>
            <w:tcW w:w="5760" w:type="dxa"/>
            <w:vAlign w:val="center"/>
          </w:tcPr>
          <w:p w:rsidR="003239B8" w:rsidRPr="006315E1" w:rsidRDefault="00F90B1C" w:rsidP="008C658B">
            <w:pPr>
              <w:rPr>
                <w:rFonts w:asciiTheme="majorHAnsi" w:hAnsiTheme="majorHAnsi"/>
                <w:bCs/>
                <w:sz w:val="19"/>
                <w:szCs w:val="19"/>
              </w:rPr>
            </w:pPr>
            <w:r>
              <w:rPr>
                <w:rFonts w:asciiTheme="majorHAnsi" w:hAnsiTheme="majorHAnsi"/>
                <w:bCs/>
                <w:sz w:val="19"/>
                <w:szCs w:val="19"/>
              </w:rPr>
              <w:t>Yes</w:t>
            </w:r>
          </w:p>
        </w:tc>
      </w:tr>
      <w:tr w:rsidR="003239B8" w:rsidRPr="00AE74AB" w:rsidTr="006532A2">
        <w:trPr>
          <w:cantSplit/>
        </w:trPr>
        <w:tc>
          <w:tcPr>
            <w:tcW w:w="3600" w:type="dxa"/>
            <w:tcBorders>
              <w:top w:val="single" w:sz="6" w:space="0" w:color="auto"/>
              <w:bottom w:val="single" w:sz="6" w:space="0" w:color="auto"/>
            </w:tcBorders>
            <w:shd w:val="clear" w:color="auto" w:fill="67AE3C"/>
            <w:vAlign w:val="center"/>
          </w:tcPr>
          <w:p w:rsidR="003239B8" w:rsidRPr="006315E1" w:rsidRDefault="003239B8" w:rsidP="008C658B">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Competence</w:t>
            </w:r>
            <w:r>
              <w:rPr>
                <w:rFonts w:asciiTheme="majorHAnsi" w:hAnsiTheme="majorHAnsi"/>
                <w:b/>
                <w:bCs/>
                <w:i/>
                <w:color w:val="FFFFFF" w:themeColor="background1"/>
                <w:sz w:val="19"/>
                <w:szCs w:val="19"/>
              </w:rPr>
              <w:t xml:space="preserve"> Ratione materiae</w:t>
            </w:r>
            <w:r>
              <w:rPr>
                <w:rFonts w:asciiTheme="majorHAnsi" w:hAnsiTheme="majorHAnsi"/>
                <w:b/>
                <w:bCs/>
                <w:color w:val="FFFFFF" w:themeColor="background1"/>
                <w:sz w:val="19"/>
                <w:szCs w:val="19"/>
              </w:rPr>
              <w:t>:</w:t>
            </w:r>
          </w:p>
        </w:tc>
        <w:tc>
          <w:tcPr>
            <w:tcW w:w="5760" w:type="dxa"/>
            <w:vAlign w:val="center"/>
          </w:tcPr>
          <w:p w:rsidR="003239B8" w:rsidRPr="006315E1" w:rsidRDefault="00F90B1C" w:rsidP="001D389D">
            <w:pPr>
              <w:jc w:val="both"/>
              <w:rPr>
                <w:rFonts w:asciiTheme="majorHAnsi" w:hAnsiTheme="majorHAnsi"/>
                <w:bCs/>
                <w:sz w:val="19"/>
                <w:szCs w:val="19"/>
              </w:rPr>
            </w:pPr>
            <w:r>
              <w:rPr>
                <w:rFonts w:asciiTheme="majorHAnsi" w:hAnsiTheme="majorHAnsi"/>
                <w:bCs/>
                <w:sz w:val="19"/>
                <w:szCs w:val="19"/>
              </w:rPr>
              <w:t>Yes, American Convention (deposit of instrument made on July 28, 1978), CIDFP (deposit of instrument made on February 13, 2002), CIPST (deposit of instrument made on March 28, 1991), and Inter-American Convention on the Prevention, Punishment and Eradication of Violence against Women</w:t>
            </w:r>
            <w:r w:rsidR="00C641D7" w:rsidRPr="006315E1">
              <w:rPr>
                <w:rStyle w:val="FootnoteReference"/>
                <w:rFonts w:asciiTheme="majorHAnsi" w:hAnsiTheme="majorHAnsi"/>
                <w:bCs/>
                <w:sz w:val="19"/>
                <w:szCs w:val="19"/>
                <w:lang w:val="es-ES"/>
              </w:rPr>
              <w:footnoteReference w:id="11"/>
            </w:r>
            <w:r>
              <w:rPr>
                <w:rFonts w:asciiTheme="majorHAnsi" w:hAnsiTheme="majorHAnsi"/>
                <w:bCs/>
                <w:sz w:val="19"/>
                <w:szCs w:val="19"/>
              </w:rPr>
              <w:t xml:space="preserve"> (deposit of instrument made on June 4, 1996).</w:t>
            </w:r>
          </w:p>
        </w:tc>
      </w:tr>
    </w:tbl>
    <w:p w:rsidR="003239B8" w:rsidRPr="006315E1" w:rsidRDefault="003239B8" w:rsidP="003239B8">
      <w:pPr>
        <w:spacing w:before="240" w:after="240"/>
        <w:ind w:firstLine="720"/>
        <w:jc w:val="both"/>
        <w:rPr>
          <w:rFonts w:asciiTheme="majorHAnsi" w:hAnsiTheme="majorHAnsi"/>
          <w:b/>
          <w:bCs/>
          <w:sz w:val="19"/>
          <w:szCs w:val="19"/>
        </w:rPr>
      </w:pPr>
      <w:r>
        <w:rPr>
          <w:rFonts w:asciiTheme="majorHAnsi" w:hAnsiTheme="majorHAnsi"/>
          <w:b/>
          <w:bCs/>
          <w:sz w:val="19"/>
          <w:szCs w:val="19"/>
        </w:rPr>
        <w:lastRenderedPageBreak/>
        <w:t xml:space="preserve">IV. </w:t>
      </w:r>
      <w:r>
        <w:rPr>
          <w:rFonts w:asciiTheme="majorHAnsi" w:hAnsiTheme="majorHAnsi"/>
          <w:b/>
          <w:bCs/>
          <w:sz w:val="19"/>
          <w:szCs w:val="19"/>
        </w:rPr>
        <w:tab/>
      </w:r>
      <w:r>
        <w:rPr>
          <w:rFonts w:asciiTheme="majorHAnsi" w:hAnsiTheme="majorHAnsi"/>
          <w:b/>
          <w:sz w:val="19"/>
          <w:szCs w:val="19"/>
        </w:rPr>
        <w:t>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315E1" w:rsidTr="006532A2">
        <w:trPr>
          <w:cantSplit/>
        </w:trPr>
        <w:tc>
          <w:tcPr>
            <w:tcW w:w="3600" w:type="dxa"/>
            <w:tcBorders>
              <w:top w:val="single" w:sz="4" w:space="0" w:color="auto"/>
              <w:bottom w:val="single" w:sz="6" w:space="0" w:color="auto"/>
            </w:tcBorders>
            <w:shd w:val="clear" w:color="auto" w:fill="67AE3C"/>
            <w:vAlign w:val="center"/>
          </w:tcPr>
          <w:p w:rsidR="00EE00E9" w:rsidRPr="006315E1" w:rsidRDefault="00EE00E9" w:rsidP="008C658B">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 xml:space="preserve">Duplication of procedures and International </w:t>
            </w:r>
            <w:r>
              <w:rPr>
                <w:rFonts w:asciiTheme="majorHAnsi" w:hAnsiTheme="majorHAnsi"/>
                <w:b/>
                <w:bCs/>
                <w:i/>
                <w:color w:val="FFFFFF" w:themeColor="background1"/>
                <w:sz w:val="19"/>
                <w:szCs w:val="19"/>
              </w:rPr>
              <w:t>res judicata</w:t>
            </w:r>
            <w:r>
              <w:rPr>
                <w:rFonts w:asciiTheme="majorHAnsi" w:hAnsiTheme="majorHAnsi"/>
                <w:b/>
                <w:bCs/>
                <w:color w:val="FFFFFF" w:themeColor="background1"/>
                <w:sz w:val="19"/>
                <w:szCs w:val="19"/>
              </w:rPr>
              <w:t>:</w:t>
            </w:r>
          </w:p>
        </w:tc>
        <w:tc>
          <w:tcPr>
            <w:tcW w:w="5760" w:type="dxa"/>
            <w:vAlign w:val="center"/>
          </w:tcPr>
          <w:p w:rsidR="00EE00E9" w:rsidRPr="006315E1" w:rsidRDefault="007A4FDD" w:rsidP="008C658B">
            <w:pPr>
              <w:jc w:val="both"/>
              <w:rPr>
                <w:rFonts w:asciiTheme="majorHAnsi" w:hAnsiTheme="majorHAnsi"/>
                <w:bCs/>
                <w:sz w:val="19"/>
                <w:szCs w:val="19"/>
              </w:rPr>
            </w:pPr>
            <w:r>
              <w:rPr>
                <w:rFonts w:asciiTheme="majorHAnsi" w:hAnsiTheme="majorHAnsi"/>
                <w:bCs/>
                <w:sz w:val="19"/>
                <w:szCs w:val="19"/>
              </w:rPr>
              <w:t>No</w:t>
            </w:r>
          </w:p>
        </w:tc>
      </w:tr>
      <w:tr w:rsidR="003239B8" w:rsidRPr="00AE74AB" w:rsidTr="006532A2">
        <w:trPr>
          <w:cantSplit/>
          <w:trHeight w:val="885"/>
        </w:trPr>
        <w:tc>
          <w:tcPr>
            <w:tcW w:w="3600" w:type="dxa"/>
            <w:tcBorders>
              <w:top w:val="single" w:sz="4" w:space="0" w:color="auto"/>
              <w:bottom w:val="single" w:sz="6" w:space="0" w:color="auto"/>
            </w:tcBorders>
            <w:shd w:val="clear" w:color="auto" w:fill="67AE3C"/>
            <w:vAlign w:val="center"/>
          </w:tcPr>
          <w:p w:rsidR="003239B8" w:rsidRPr="006315E1" w:rsidRDefault="003239B8" w:rsidP="008C658B">
            <w:pPr>
              <w:jc w:val="center"/>
              <w:rPr>
                <w:rFonts w:asciiTheme="majorHAnsi" w:hAnsiTheme="majorHAnsi"/>
                <w:b/>
                <w:bCs/>
                <w:i/>
                <w:color w:val="FFFFFF" w:themeColor="background1"/>
                <w:sz w:val="19"/>
                <w:szCs w:val="19"/>
              </w:rPr>
            </w:pPr>
            <w:r>
              <w:rPr>
                <w:rFonts w:asciiTheme="majorHAnsi" w:hAnsiTheme="majorHAnsi"/>
                <w:b/>
                <w:bCs/>
                <w:color w:val="FFFFFF" w:themeColor="background1"/>
                <w:sz w:val="19"/>
                <w:szCs w:val="19"/>
              </w:rPr>
              <w:t>Rights declared admissible:</w:t>
            </w:r>
          </w:p>
        </w:tc>
        <w:tc>
          <w:tcPr>
            <w:tcW w:w="5760" w:type="dxa"/>
            <w:vAlign w:val="center"/>
          </w:tcPr>
          <w:p w:rsidR="003239B8" w:rsidRPr="006315E1" w:rsidRDefault="00795BBD" w:rsidP="00630C5A">
            <w:pPr>
              <w:jc w:val="both"/>
              <w:rPr>
                <w:rFonts w:asciiTheme="majorHAnsi" w:hAnsiTheme="majorHAnsi"/>
                <w:bCs/>
                <w:sz w:val="19"/>
                <w:szCs w:val="19"/>
                <w:highlight w:val="green"/>
              </w:rPr>
            </w:pPr>
            <w:r>
              <w:rPr>
                <w:rFonts w:asciiTheme="majorHAnsi" w:hAnsiTheme="majorHAnsi"/>
                <w:bCs/>
                <w:sz w:val="19"/>
                <w:szCs w:val="19"/>
              </w:rPr>
              <w:t xml:space="preserve">Articles 4 (life), 5 (personal integrity), 7 (personal liberty), 8 (judicial guarantees), 11 (honor and dignity), 19 (rights of the child), 21 (private property), 24 (equality), and 25 (judicial protection) of the Convention, in relation to its Articles 1 and 2. As well as Articles I and IX of CIDFP, Articles 1, 6, and 8 of CIPST and Article 7 of Convención Belem do Pará </w:t>
            </w:r>
          </w:p>
        </w:tc>
      </w:tr>
      <w:tr w:rsidR="003239B8" w:rsidRPr="00AE74AB" w:rsidTr="006532A2">
        <w:trPr>
          <w:cantSplit/>
        </w:trPr>
        <w:tc>
          <w:tcPr>
            <w:tcW w:w="3600" w:type="dxa"/>
            <w:tcBorders>
              <w:top w:val="single" w:sz="6" w:space="0" w:color="auto"/>
              <w:bottom w:val="single" w:sz="6" w:space="0" w:color="auto"/>
            </w:tcBorders>
            <w:shd w:val="clear" w:color="auto" w:fill="67AE3C"/>
            <w:vAlign w:val="center"/>
          </w:tcPr>
          <w:p w:rsidR="003239B8" w:rsidRPr="006315E1" w:rsidRDefault="003239B8" w:rsidP="008C658B">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Exhaustion of domestic remedies or applicability of an exception to the rule:</w:t>
            </w:r>
          </w:p>
        </w:tc>
        <w:tc>
          <w:tcPr>
            <w:tcW w:w="5760" w:type="dxa"/>
            <w:vAlign w:val="center"/>
          </w:tcPr>
          <w:p w:rsidR="00C732C1" w:rsidRPr="006315E1" w:rsidRDefault="00C732C1" w:rsidP="00295593">
            <w:pPr>
              <w:pStyle w:val="Default"/>
              <w:rPr>
                <w:rFonts w:asciiTheme="majorHAnsi" w:hAnsiTheme="majorHAnsi"/>
                <w:color w:val="000000" w:themeColor="text1"/>
                <w:sz w:val="19"/>
                <w:szCs w:val="19"/>
              </w:rPr>
            </w:pPr>
            <w:r>
              <w:rPr>
                <w:rFonts w:asciiTheme="majorHAnsi" w:hAnsiTheme="majorHAnsi"/>
                <w:color w:val="000000" w:themeColor="text1"/>
                <w:sz w:val="19"/>
                <w:szCs w:val="19"/>
              </w:rPr>
              <w:t>Yes, exceptions under Articles 46.2.b) and c) of the Convention apply.</w:t>
            </w:r>
          </w:p>
          <w:p w:rsidR="003239B8" w:rsidRPr="007D0AE3" w:rsidRDefault="003239B8" w:rsidP="008C658B">
            <w:pPr>
              <w:rPr>
                <w:rFonts w:asciiTheme="majorHAnsi" w:hAnsiTheme="majorHAnsi"/>
                <w:bCs/>
                <w:color w:val="000000" w:themeColor="text1"/>
                <w:sz w:val="19"/>
                <w:szCs w:val="19"/>
                <w:highlight w:val="green"/>
              </w:rPr>
            </w:pPr>
          </w:p>
        </w:tc>
      </w:tr>
      <w:tr w:rsidR="003239B8" w:rsidRPr="00AE74AB" w:rsidTr="006532A2">
        <w:trPr>
          <w:cantSplit/>
          <w:trHeight w:val="327"/>
        </w:trPr>
        <w:tc>
          <w:tcPr>
            <w:tcW w:w="3600" w:type="dxa"/>
            <w:tcBorders>
              <w:top w:val="single" w:sz="6" w:space="0" w:color="auto"/>
              <w:bottom w:val="single" w:sz="6" w:space="0" w:color="auto"/>
            </w:tcBorders>
            <w:shd w:val="clear" w:color="auto" w:fill="67AE3C"/>
            <w:vAlign w:val="center"/>
          </w:tcPr>
          <w:p w:rsidR="003239B8" w:rsidRPr="006315E1" w:rsidRDefault="003239B8" w:rsidP="008C658B">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Timeliness of submission:</w:t>
            </w:r>
          </w:p>
        </w:tc>
        <w:tc>
          <w:tcPr>
            <w:tcW w:w="5760" w:type="dxa"/>
            <w:vAlign w:val="center"/>
          </w:tcPr>
          <w:p w:rsidR="00C732C1" w:rsidRPr="006315E1" w:rsidRDefault="00C732C1" w:rsidP="00295593">
            <w:pPr>
              <w:pStyle w:val="Default"/>
              <w:rPr>
                <w:rFonts w:asciiTheme="majorHAnsi" w:hAnsiTheme="majorHAnsi"/>
                <w:color w:val="000000" w:themeColor="text1"/>
                <w:sz w:val="19"/>
                <w:szCs w:val="19"/>
              </w:rPr>
            </w:pPr>
            <w:r>
              <w:rPr>
                <w:rFonts w:asciiTheme="majorHAnsi" w:hAnsiTheme="majorHAnsi"/>
                <w:color w:val="000000" w:themeColor="text1"/>
                <w:sz w:val="19"/>
                <w:szCs w:val="19"/>
              </w:rPr>
              <w:t>Yes, under the terms of Section VI.</w:t>
            </w:r>
          </w:p>
          <w:p w:rsidR="003239B8" w:rsidRPr="007D0AE3" w:rsidRDefault="003239B8" w:rsidP="00A50BBE">
            <w:pPr>
              <w:rPr>
                <w:rFonts w:asciiTheme="majorHAnsi" w:hAnsiTheme="majorHAnsi"/>
                <w:bCs/>
                <w:color w:val="000000" w:themeColor="text1"/>
                <w:sz w:val="19"/>
                <w:szCs w:val="19"/>
                <w:highlight w:val="green"/>
              </w:rPr>
            </w:pPr>
          </w:p>
        </w:tc>
      </w:tr>
    </w:tbl>
    <w:p w:rsidR="003239B8" w:rsidRDefault="00223A29" w:rsidP="003239B8">
      <w:pPr>
        <w:spacing w:before="240" w:after="240"/>
        <w:ind w:firstLine="720"/>
        <w:jc w:val="both"/>
        <w:rPr>
          <w:rFonts w:asciiTheme="majorHAnsi" w:hAnsiTheme="majorHAnsi"/>
          <w:b/>
          <w:sz w:val="20"/>
          <w:szCs w:val="20"/>
        </w:rPr>
      </w:pPr>
      <w:r>
        <w:rPr>
          <w:rFonts w:asciiTheme="majorHAnsi" w:hAnsiTheme="majorHAnsi"/>
          <w:b/>
          <w:sz w:val="20"/>
          <w:szCs w:val="20"/>
        </w:rPr>
        <w:t xml:space="preserve">V. </w:t>
      </w:r>
      <w:r>
        <w:rPr>
          <w:rFonts w:asciiTheme="majorHAnsi" w:hAnsiTheme="majorHAnsi"/>
          <w:b/>
          <w:sz w:val="20"/>
          <w:szCs w:val="20"/>
        </w:rPr>
        <w:tab/>
        <w:t xml:space="preserve">FACTS ALLEGED </w:t>
      </w:r>
    </w:p>
    <w:p w:rsidR="00E01F47" w:rsidRPr="00FE4EEB" w:rsidRDefault="002D1408" w:rsidP="004C0F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indicates that 70 people (hereinafter “the alleged victims”) were extra-judicially executed by members of the Peruvian Army on August 14, 1985 in Accomarca district, Ayacucho department. The petitioner party says that on that day, four military patrols penetrated the region aiming at carrying out operation “Quebrada de Huancayocc,” which ordered the capture and/or removal of alleged Sendero Luminoso’s members. It states that army troops locked the men of the town up in a house, where they were beaten up and </w:t>
      </w:r>
      <w:r w:rsidR="006532A2">
        <w:rPr>
          <w:rFonts w:ascii="Cambria" w:hAnsi="Cambria"/>
          <w:sz w:val="20"/>
          <w:szCs w:val="20"/>
        </w:rPr>
        <w:t>tortured</w:t>
      </w:r>
      <w:r>
        <w:rPr>
          <w:rFonts w:ascii="Cambria" w:hAnsi="Cambria"/>
          <w:sz w:val="20"/>
          <w:szCs w:val="20"/>
        </w:rPr>
        <w:t xml:space="preserve"> and that they sexually assaulted the women and later locked them up in another house together with 29 children. Moreover, it says that at the houses, the victims were accused of being terrorists and were shot. The petitioner indicates that the military soldiers threw grenades and set the houses on fire so as to burn the alleged victims’ bodies an</w:t>
      </w:r>
      <w:r w:rsidR="00083D6C">
        <w:rPr>
          <w:rFonts w:ascii="Cambria" w:hAnsi="Cambria"/>
          <w:sz w:val="20"/>
          <w:szCs w:val="20"/>
        </w:rPr>
        <w:t xml:space="preserve">d impede their identification. </w:t>
      </w:r>
      <w:r>
        <w:rPr>
          <w:rFonts w:ascii="Cambria" w:hAnsi="Cambria"/>
          <w:sz w:val="20"/>
          <w:szCs w:val="20"/>
        </w:rPr>
        <w:t>The alleged victims were buried in a mass grave by their families and some inhabitants.</w:t>
      </w:r>
    </w:p>
    <w:p w:rsidR="00AE17C0" w:rsidRPr="00EB570B" w:rsidRDefault="00FE4EEB" w:rsidP="00BC67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families and survivors reported the events to the media. As a consequence, the Senate of the Republic summoned the army to inform about what had happened. It says that, with the aim of hiding the facts, the military soldiers “cleansed the area” and that between September 8 and 10, 1985, seven more peo</w:t>
      </w:r>
      <w:r w:rsidR="00083D6C">
        <w:rPr>
          <w:rFonts w:ascii="Cambria" w:hAnsi="Cambria"/>
          <w:sz w:val="20"/>
          <w:szCs w:val="20"/>
        </w:rPr>
        <w:t xml:space="preserve">ple were killed in the region. </w:t>
      </w:r>
      <w:r>
        <w:rPr>
          <w:rFonts w:ascii="Cambria" w:hAnsi="Cambria"/>
          <w:sz w:val="20"/>
          <w:szCs w:val="20"/>
        </w:rPr>
        <w:t>It indicates that on October 12, 1985, the Senate’s Investigatory Commission concluded that the facts took place within the counter-insurgency policy, that the perpetrators were just another part of the problem, and that the inst</w:t>
      </w:r>
      <w:r w:rsidR="00083D6C">
        <w:rPr>
          <w:rFonts w:ascii="Cambria" w:hAnsi="Cambria"/>
          <w:sz w:val="20"/>
          <w:szCs w:val="20"/>
        </w:rPr>
        <w:t xml:space="preserve">igators shall be investigated. </w:t>
      </w:r>
      <w:r>
        <w:rPr>
          <w:rFonts w:ascii="Cambria" w:hAnsi="Cambria"/>
          <w:sz w:val="20"/>
          <w:szCs w:val="20"/>
        </w:rPr>
        <w:t xml:space="preserve">She adds that, in the framework of the investigations, and after a competence dispute, the Supreme Court of Justice referred the case to the military jurisdiction on March 11, 1986. </w:t>
      </w:r>
    </w:p>
    <w:p w:rsidR="001428EA" w:rsidRPr="00EB570B" w:rsidRDefault="00EB570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Pr>
          <w:rFonts w:ascii="Cambria" w:hAnsi="Cambria"/>
          <w:sz w:val="20"/>
          <w:szCs w:val="20"/>
        </w:rPr>
        <w:t>On October 15, 1987, the Permanent Court Martial at the Second Judicial Zone passed a judgment absolving the members of the army fo</w:t>
      </w:r>
      <w:r w:rsidR="00083D6C">
        <w:rPr>
          <w:rFonts w:ascii="Cambria" w:hAnsi="Cambria"/>
          <w:sz w:val="20"/>
          <w:szCs w:val="20"/>
        </w:rPr>
        <w:t xml:space="preserve">r homicide and abuse of power. </w:t>
      </w:r>
      <w:r>
        <w:rPr>
          <w:rFonts w:ascii="Cambria" w:hAnsi="Cambria"/>
          <w:sz w:val="20"/>
          <w:szCs w:val="20"/>
        </w:rPr>
        <w:t xml:space="preserve">On January 2, 1988, the Supreme Council of Military Justice ordered that the case be brought to the status of the pre-trial, so that clarifying procedures are carried out regarding the facts. On February 28, 1992, the Council of War removed the subordinated troop’s responsibility and absolved Second Lieutenant THH for the crimes of aggravated homicide, negligence, and disobedience, and condemned him for abuse of power, with the aggravation of misrepresentation, to six years in prison and to pay a five-hundred </w:t>
      </w:r>
      <w:r>
        <w:rPr>
          <w:rFonts w:ascii="Cambria" w:hAnsi="Cambria"/>
          <w:i/>
          <w:sz w:val="20"/>
          <w:szCs w:val="20"/>
        </w:rPr>
        <w:t>nuevos soles</w:t>
      </w:r>
      <w:r w:rsidR="00083D6C">
        <w:rPr>
          <w:rFonts w:ascii="Cambria" w:hAnsi="Cambria"/>
          <w:sz w:val="20"/>
          <w:szCs w:val="20"/>
        </w:rPr>
        <w:t xml:space="preserve"> (Peruvian currency) fine. </w:t>
      </w:r>
      <w:r>
        <w:rPr>
          <w:rFonts w:ascii="Cambria" w:hAnsi="Cambria"/>
          <w:sz w:val="20"/>
          <w:szCs w:val="20"/>
        </w:rPr>
        <w:t>The judgment was confirmed on Februa</w:t>
      </w:r>
      <w:r w:rsidR="00083D6C">
        <w:rPr>
          <w:rFonts w:ascii="Cambria" w:hAnsi="Cambria"/>
          <w:sz w:val="20"/>
          <w:szCs w:val="20"/>
        </w:rPr>
        <w:t xml:space="preserve">ry 24, 1994. </w:t>
      </w:r>
      <w:r>
        <w:rPr>
          <w:rFonts w:ascii="Cambria" w:hAnsi="Cambria"/>
          <w:sz w:val="20"/>
          <w:szCs w:val="20"/>
        </w:rPr>
        <w:t xml:space="preserve">However, on June 19, 1995, Second Lieutenant THH had the benefit of amnesty approved by Act No. 26479, and was later promoted to Major. </w:t>
      </w:r>
    </w:p>
    <w:p w:rsidR="00FC7B30" w:rsidRPr="00295593" w:rsidRDefault="00FA51D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Furthermore, she says that once the Truth and Reconciliation Commission was constituted, the investigations were re-conducted and the case was referred to Ayacucho’s Human Rights Public Prosecutor's Office, which regularized the criminal complaint of genocide, aggravated homicide, and forced disappearance. Among the reported authorities, there were the then-President, Head of the Armed Forces’ Joint Command, War Minister, and Political Military Commander, among other officers</w:t>
      </w:r>
      <w:r w:rsidR="00083D6C">
        <w:rPr>
          <w:rFonts w:ascii="Cambria" w:hAnsi="Cambria"/>
          <w:sz w:val="20"/>
          <w:szCs w:val="20"/>
        </w:rPr>
        <w:t xml:space="preserve"> and noncommissioned officers. </w:t>
      </w:r>
      <w:r>
        <w:rPr>
          <w:rFonts w:ascii="Cambria" w:hAnsi="Cambria"/>
          <w:sz w:val="20"/>
          <w:szCs w:val="20"/>
        </w:rPr>
        <w:t xml:space="preserve">On May 31, 2005, the Third Criminal Court provided the files of the criminal proceeding regarding </w:t>
      </w:r>
      <w:r>
        <w:rPr>
          <w:rFonts w:ascii="Cambria" w:hAnsi="Cambria"/>
          <w:sz w:val="20"/>
          <w:szCs w:val="20"/>
        </w:rPr>
        <w:lastRenderedPageBreak/>
        <w:t>high-ranking officers and its continuation against 29 officers of the Peruvian Army. The said resolution was appealed to and the National Criminal Court confirmed the decision on September 8, 2005.</w:t>
      </w:r>
    </w:p>
    <w:p w:rsidR="00573065" w:rsidRDefault="0057306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says that from the moment the criminal proceeding was established on May 31, 2005, the investigation has been insufficient and that, at the time of the petition’s submission, the judicial periods of investigation had already ended, and the procedures ordered by the Criminal Court for the identification and recovery of the alleged victims’ corpses had not been finished yet, which prolonged the suffering of their families and violated their right to access justice and the right to truth within a reasonable period of time.</w:t>
      </w:r>
    </w:p>
    <w:p w:rsidR="0090472D" w:rsidRPr="00295593" w:rsidRDefault="006632F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Additionally, it indicates that members of the “Aprista Peruvian Party” filed a complaint against Ayacucho’s Human Rights Prosecutor who was in charge of the investigation, allegedly for having links with Sendero Luminoso and for malfeasance of office before the Domestic Monitoring of the National Public Prosecutor’s Office. In such sense, it says that the President of the Families’ Association of Accomarca has been the victim of death threats since February 2005, which increased during the beginning of </w:t>
      </w:r>
      <w:r>
        <w:rPr>
          <w:rFonts w:ascii="Cambria" w:hAnsi="Cambria"/>
          <w:sz w:val="20"/>
          <w:szCs w:val="20"/>
        </w:rPr>
        <w:tab/>
        <w:t>the extradition procedures of THH and other reported noncommissioned officers (Telmo Hurtado and Juan Manuel Elías Rondón). It alleges that its representatives were intimidated and threatened with death, which was brought to the attention of the corresponding authorities and was also investigated without obtaining any results.</w:t>
      </w:r>
    </w:p>
    <w:p w:rsidR="005E0FA6" w:rsidRPr="00295593" w:rsidRDefault="00DB51B2" w:rsidP="00BC67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Pr>
          <w:rFonts w:ascii="Cambria" w:hAnsi="Cambria"/>
          <w:color w:val="000000" w:themeColor="text1"/>
          <w:sz w:val="20"/>
          <w:szCs w:val="20"/>
        </w:rPr>
        <w:t>Furthermore, the State deduces the exceptions of incompetence of time regarding the Inter-American Convention on Forced Disappearance of Persons, the Inter-American Convention to Prevent and Punish Torture, and the Inter-American Convention on the Prevention, Punishment and Eradication of Violence against Women, indicating that these instruments were ratified by the Peruvian State after the facts happened and which are the object of this petition. Additionally, it indicates that the Commission has no jurisdiction over potential violations of the International Convention on Civil and Political Rights and the Convention against Torture and Other Cruel, Inhuman or Degrading Treatment or Punishment, which are part of the UN protection system.</w:t>
      </w:r>
    </w:p>
    <w:p w:rsidR="005724B6" w:rsidRDefault="00D6574E" w:rsidP="005724B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Pr>
          <w:rFonts w:ascii="Cambria" w:hAnsi="Cambria"/>
          <w:color w:val="000000" w:themeColor="text1"/>
          <w:sz w:val="20"/>
          <w:szCs w:val="20"/>
        </w:rPr>
        <w:t xml:space="preserve">It adds that the last decision recorded in the proceeding’s files of criminal military jurisdiction was issued on June 19, 1995 and the petition was untimely submitted after more than twelve years. It also indicates that the petitioners did not appeal to or justify the exceptions to the fulfillment of the requirements included in Article 46.1 of the Convention. </w:t>
      </w:r>
    </w:p>
    <w:p w:rsidR="00BC6745" w:rsidRPr="00295593" w:rsidRDefault="005724B6" w:rsidP="00BE53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Pr>
          <w:rFonts w:ascii="Cambria" w:hAnsi="Cambria"/>
          <w:color w:val="000000" w:themeColor="text1"/>
          <w:sz w:val="20"/>
          <w:szCs w:val="20"/>
        </w:rPr>
        <w:t xml:space="preserve">Moreover, on its own motion and according to its conventional duties, it agreed to re-conduct the facts’ investigations in ordinary jurisdiction, which are currently known in the criminal proceeding conducted by the National Criminal Court, complying with all the procedural safeguards. In addition, it says that due to the subsidiarity principle, the international protection of the Inter-American System is supplementary to the one offered by domestic law. </w:t>
      </w:r>
    </w:p>
    <w:p w:rsidR="003239B8" w:rsidRPr="00354070" w:rsidRDefault="003239B8" w:rsidP="003239B8">
      <w:pPr>
        <w:spacing w:before="240" w:after="240"/>
        <w:ind w:firstLine="720"/>
        <w:jc w:val="both"/>
        <w:rPr>
          <w:rFonts w:ascii="Cambria" w:hAnsi="Cambria"/>
          <w:sz w:val="20"/>
          <w:szCs w:val="20"/>
        </w:rPr>
      </w:pPr>
      <w:r>
        <w:rPr>
          <w:rFonts w:asciiTheme="majorHAnsi" w:hAnsiTheme="majorHAnsi"/>
          <w:b/>
          <w:bCs/>
          <w:color w:val="000000"/>
          <w:sz w:val="20"/>
          <w:szCs w:val="20"/>
          <w:u w:color="000000"/>
        </w:rPr>
        <w:t>VI.</w:t>
      </w:r>
      <w:r>
        <w:rPr>
          <w:rFonts w:asciiTheme="majorHAnsi" w:hAnsiTheme="majorHAnsi"/>
          <w:b/>
          <w:bCs/>
          <w:color w:val="000000"/>
          <w:sz w:val="20"/>
          <w:szCs w:val="20"/>
          <w:u w:color="000000"/>
        </w:rPr>
        <w:tab/>
      </w:r>
      <w:r>
        <w:rPr>
          <w:rFonts w:asciiTheme="majorHAnsi" w:hAnsiTheme="majorHAnsi"/>
          <w:b/>
          <w:sz w:val="20"/>
          <w:szCs w:val="20"/>
        </w:rPr>
        <w:t>ANALYSIS OF EXHAUSTION OF DOMESTIC REMEDIES AND TIMELINESS OF THE PETITION</w:t>
      </w:r>
      <w:r>
        <w:rPr>
          <w:rFonts w:asciiTheme="majorHAnsi" w:hAnsiTheme="majorHAnsi"/>
          <w:b/>
          <w:bCs/>
          <w:color w:val="000000"/>
          <w:sz w:val="20"/>
          <w:szCs w:val="20"/>
          <w:u w:color="000000"/>
        </w:rPr>
        <w:t xml:space="preserve"> </w:t>
      </w:r>
    </w:p>
    <w:p w:rsidR="00F42C0F" w:rsidRPr="00F42C0F" w:rsidRDefault="00511F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In relation to the alleged extra-judicial executions committed in Accomarca region, the Commission has repeatedly indicated that the special jurisdictions (military or police) do not constitute an appropriate forum, so they are not an adequate resource to investigate, judge, and punish human rights violations included in the American Convention allegedly committed by members of the Public Force or with their contribution or acquiescence.</w:t>
      </w:r>
      <w:r w:rsidR="008B37FE" w:rsidRPr="00295593">
        <w:rPr>
          <w:rStyle w:val="FootnoteReference"/>
          <w:rFonts w:asciiTheme="majorHAnsi" w:hAnsiTheme="majorHAnsi" w:cs="Calibri"/>
          <w:sz w:val="20"/>
          <w:szCs w:val="20"/>
          <w:lang w:val="es-ES_tradnl"/>
        </w:rPr>
        <w:footnoteReference w:id="12"/>
      </w:r>
      <w:r>
        <w:rPr>
          <w:rFonts w:asciiTheme="majorHAnsi" w:hAnsiTheme="majorHAnsi"/>
          <w:sz w:val="20"/>
          <w:szCs w:val="20"/>
        </w:rPr>
        <w:t xml:space="preserve"> The Commission observes that this case was initially developed in the military criminal jurisdiction, which is why the exception established in Article 46.2.b) applies. Furthermore, it takes into consideration that there is no definitive decision on the criminal proceeding yet, in spite of the </w:t>
      </w:r>
      <w:r>
        <w:rPr>
          <w:rFonts w:asciiTheme="majorHAnsi" w:hAnsiTheme="majorHAnsi"/>
          <w:sz w:val="20"/>
          <w:szCs w:val="20"/>
        </w:rPr>
        <w:lastRenderedPageBreak/>
        <w:t xml:space="preserve">re-conduction of investigations in ordinary jurisdiction, established as a consequence of the Report of the Peruvian Truth Commission of 2003, according to the information provided by both parties. In this sense, the Commission considers that the exception of exhaustion of domestic remedies under Article 46.2.c) of the American Convention applies. </w:t>
      </w:r>
    </w:p>
    <w:p w:rsidR="003239B8" w:rsidRPr="00F42C0F" w:rsidRDefault="00F42C0F" w:rsidP="00F42C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Furthermore, regarding the characteristics of this case, the Commission indicates that the petition was submitted within a reasonable period of time and that the admissibility requirement shall be deemed as complied with regarding timeliness. </w:t>
      </w:r>
    </w:p>
    <w:p w:rsidR="003239B8" w:rsidRPr="00E719B9" w:rsidRDefault="003239B8" w:rsidP="003239B8">
      <w:pPr>
        <w:pStyle w:val="ListParagraph"/>
        <w:spacing w:before="240" w:after="240"/>
        <w:jc w:val="both"/>
        <w:rPr>
          <w:rFonts w:asciiTheme="majorHAnsi" w:hAnsiTheme="majorHAnsi"/>
          <w:b/>
          <w:sz w:val="20"/>
          <w:szCs w:val="20"/>
        </w:rPr>
      </w:pPr>
      <w:r>
        <w:rPr>
          <w:rFonts w:asciiTheme="majorHAnsi" w:hAnsiTheme="majorHAnsi"/>
          <w:b/>
          <w:bCs/>
          <w:sz w:val="20"/>
          <w:szCs w:val="20"/>
        </w:rPr>
        <w:t>VII.</w:t>
      </w:r>
      <w:r>
        <w:rPr>
          <w:rFonts w:asciiTheme="majorHAnsi" w:hAnsiTheme="majorHAnsi"/>
          <w:b/>
          <w:bCs/>
          <w:sz w:val="20"/>
          <w:szCs w:val="20"/>
        </w:rPr>
        <w:tab/>
        <w:t>ANALYSIS OF COLORABLE CLAIM</w:t>
      </w:r>
    </w:p>
    <w:p w:rsidR="00C35A46" w:rsidRPr="005D0991" w:rsidRDefault="000E75AA" w:rsidP="005D09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rPr>
      </w:pPr>
      <w:r>
        <w:rPr>
          <w:rFonts w:ascii="Cambria" w:hAnsi="Cambria"/>
          <w:color w:val="000000" w:themeColor="text1"/>
          <w:sz w:val="20"/>
          <w:szCs w:val="20"/>
        </w:rPr>
        <w:t xml:space="preserve">In view of the elements of fact and law presented by the parties and the nature of the matter brought to its attention, the Commission considers that the alleged extra-judicial acts of torture and executions of the 70 victims, including women and children, the alleged sexual violations committed against the women by military soldiers, the alleged lack of identification of the remains, the destruction of the Accomarca’s citizens’ houses, and the lack of effective judicial protection on these events might characterize potential violations of Articles 4 (life), 5 (personal integrity), 7 (personal liberty), 8 (judicial guarantees), 11 (honor), 21 (private property), 24 (equality), and 25 (judicial protection) of the Convention, in relation to its Articles 1 and 2; to the detriment of the alleged victims and their families, as well as Articles I and IX of the Inter-American Convention on Forced Disappearance of Persons due to the </w:t>
      </w:r>
      <w:r w:rsidR="006532A2">
        <w:rPr>
          <w:rFonts w:ascii="Cambria" w:hAnsi="Cambria"/>
          <w:color w:val="000000" w:themeColor="text1"/>
          <w:sz w:val="20"/>
          <w:szCs w:val="20"/>
        </w:rPr>
        <w:t>continuous</w:t>
      </w:r>
      <w:r>
        <w:rPr>
          <w:rFonts w:ascii="Cambria" w:hAnsi="Cambria"/>
          <w:color w:val="000000" w:themeColor="text1"/>
          <w:sz w:val="20"/>
          <w:szCs w:val="20"/>
        </w:rPr>
        <w:t xml:space="preserve"> nature of the crime of forced </w:t>
      </w:r>
      <w:r w:rsidR="006532A2">
        <w:rPr>
          <w:rFonts w:ascii="Cambria" w:hAnsi="Cambria"/>
          <w:color w:val="000000" w:themeColor="text1"/>
          <w:sz w:val="20"/>
          <w:szCs w:val="20"/>
        </w:rPr>
        <w:t>disappearance</w:t>
      </w:r>
      <w:r>
        <w:rPr>
          <w:rFonts w:ascii="Cambria" w:hAnsi="Cambria"/>
          <w:color w:val="000000" w:themeColor="text1"/>
          <w:sz w:val="20"/>
          <w:szCs w:val="20"/>
        </w:rPr>
        <w:t xml:space="preserve"> and its alleged lack of investigation; Articles 1, 6, and 8 of the Inter-American Convention to Prevent and Punish Torture, and Article 7 of the Convención de Belén do Pará, the latest treaties regarding the lack of investigation of the alleged facts, after the alleged ratifications’ and deposits’ dates. Likewise, and considering the alleged extra-judicial execution of 29 children, the aforementioned might constitute a potential violation of Article 19 (rights of the child) of the American Convention.</w:t>
      </w:r>
    </w:p>
    <w:p w:rsidR="00C35A46" w:rsidRPr="00295593" w:rsidRDefault="006B7ACE" w:rsidP="00BC3D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rPr>
      </w:pPr>
      <w:r>
        <w:rPr>
          <w:sz w:val="20"/>
          <w:szCs w:val="20"/>
        </w:rPr>
        <w:t xml:space="preserve"> In relation to the other international instruments alleged by the petitioners, the Commission lacks </w:t>
      </w:r>
      <w:r>
        <w:rPr>
          <w:i/>
          <w:sz w:val="20"/>
          <w:szCs w:val="20"/>
        </w:rPr>
        <w:t xml:space="preserve">ratione materiae </w:t>
      </w:r>
      <w:r>
        <w:rPr>
          <w:sz w:val="20"/>
          <w:szCs w:val="20"/>
        </w:rPr>
        <w:t>competence so as to establish violations of the rules of the said treaties, without prejudice to which it might consider them as part of its interpretation exercise of the American Convention’s regulations at the merits stage of this case, under the terms of Article 29 of the American Convention.</w:t>
      </w:r>
    </w:p>
    <w:p w:rsidR="003239B8" w:rsidRPr="0078770A" w:rsidRDefault="003239B8" w:rsidP="002955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r>
        <w:rPr>
          <w:rFonts w:asciiTheme="majorHAnsi" w:hAnsiTheme="majorHAnsi"/>
          <w:b/>
          <w:bCs/>
          <w:sz w:val="20"/>
          <w:szCs w:val="20"/>
        </w:rPr>
        <w:t xml:space="preserve">VIII. </w:t>
      </w:r>
      <w:r>
        <w:rPr>
          <w:rFonts w:asciiTheme="majorHAnsi" w:hAnsiTheme="majorHAnsi"/>
          <w:b/>
          <w:bCs/>
          <w:sz w:val="20"/>
          <w:szCs w:val="20"/>
        </w:rPr>
        <w:tab/>
        <w:t>DECISION</w:t>
      </w:r>
    </w:p>
    <w:p w:rsidR="00CC00CC" w:rsidRPr="004C7033" w:rsidRDefault="003239B8" w:rsidP="00CC00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To find the instant petition admissible in relation to Articles </w:t>
      </w:r>
      <w:r>
        <w:rPr>
          <w:rFonts w:asciiTheme="majorHAnsi" w:hAnsiTheme="majorHAnsi"/>
          <w:sz w:val="20"/>
          <w:szCs w:val="20"/>
        </w:rPr>
        <w:t>4, 5, 7, 8, 11, 19, 21, 24, and 25 of the American Convention, regarding its Articles 1 and 2 of the said treaty; Articles I and IX of the Inter-American Convention on Forced Disappearance of Persons; 1, 6, and 8 of the Inter-American Convention to Prevent and Punish Torture, and Article 7 of Convención de Belém do Pará, and</w:t>
      </w:r>
    </w:p>
    <w:p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To notify the parties of the present decision; to continue analyzing the matter, and to publish this decision and include it in its Annual Report to the General Assembly of the Organization of American States.</w:t>
      </w:r>
    </w:p>
    <w:p w:rsidR="00BC3DA0" w:rsidRPr="00473FE3" w:rsidRDefault="00473FE3" w:rsidP="00473FE3">
      <w:pPr>
        <w:ind w:firstLine="720"/>
        <w:jc w:val="both"/>
        <w:rPr>
          <w:rFonts w:asciiTheme="majorHAnsi" w:hAnsiTheme="majorHAnsi" w:cs="Calibri"/>
          <w:sz w:val="20"/>
          <w:szCs w:val="20"/>
        </w:rPr>
      </w:pPr>
      <w:r w:rsidRPr="00473FE3">
        <w:rPr>
          <w:rFonts w:asciiTheme="majorHAnsi" w:hAnsiTheme="majorHAnsi"/>
          <w:sz w:val="20"/>
          <w:szCs w:val="20"/>
        </w:rPr>
        <w:t xml:space="preserve">Approved by the Inter-American Commission on Human Rights on the </w:t>
      </w:r>
      <w:r>
        <w:rPr>
          <w:rFonts w:asciiTheme="majorHAnsi" w:hAnsiTheme="majorHAnsi"/>
          <w:sz w:val="20"/>
          <w:szCs w:val="20"/>
        </w:rPr>
        <w:t>21</w:t>
      </w:r>
      <w:r w:rsidRPr="00473FE3">
        <w:rPr>
          <w:rFonts w:asciiTheme="majorHAnsi" w:hAnsiTheme="majorHAnsi"/>
          <w:sz w:val="20"/>
          <w:szCs w:val="20"/>
          <w:vertAlign w:val="superscript"/>
        </w:rPr>
        <w:t>st</w:t>
      </w:r>
      <w:r>
        <w:rPr>
          <w:rFonts w:asciiTheme="majorHAnsi" w:hAnsiTheme="majorHAnsi"/>
          <w:sz w:val="20"/>
          <w:szCs w:val="20"/>
        </w:rPr>
        <w:t xml:space="preserve"> </w:t>
      </w:r>
      <w:r w:rsidRPr="00473FE3">
        <w:rPr>
          <w:rFonts w:asciiTheme="majorHAnsi" w:hAnsiTheme="majorHAnsi"/>
          <w:sz w:val="20"/>
          <w:szCs w:val="20"/>
        </w:rPr>
        <w:t xml:space="preserve">day of the month of </w:t>
      </w:r>
      <w:r>
        <w:rPr>
          <w:rFonts w:asciiTheme="majorHAnsi" w:hAnsiTheme="majorHAnsi"/>
          <w:sz w:val="20"/>
          <w:szCs w:val="20"/>
        </w:rPr>
        <w:t>December</w:t>
      </w:r>
      <w:r w:rsidRPr="00473FE3">
        <w:rPr>
          <w:rFonts w:asciiTheme="majorHAnsi" w:hAnsiTheme="majorHAnsi"/>
          <w:sz w:val="20"/>
          <w:szCs w:val="20"/>
        </w:rPr>
        <w:t xml:space="preserve">, 2018. (Signed):  Margarette May Macaulay, President; Esmeralda E. </w:t>
      </w:r>
      <w:proofErr w:type="spellStart"/>
      <w:r w:rsidRPr="00473FE3">
        <w:rPr>
          <w:rFonts w:asciiTheme="majorHAnsi" w:hAnsiTheme="majorHAnsi"/>
          <w:sz w:val="20"/>
          <w:szCs w:val="20"/>
        </w:rPr>
        <w:t>Arosemena</w:t>
      </w:r>
      <w:proofErr w:type="spellEnd"/>
      <w:r w:rsidRPr="00473FE3">
        <w:rPr>
          <w:rFonts w:asciiTheme="majorHAnsi" w:hAnsiTheme="majorHAnsi"/>
          <w:sz w:val="20"/>
          <w:szCs w:val="20"/>
        </w:rPr>
        <w:t xml:space="preserve"> Bernal de </w:t>
      </w:r>
      <w:proofErr w:type="spellStart"/>
      <w:r w:rsidRPr="00473FE3">
        <w:rPr>
          <w:rFonts w:asciiTheme="majorHAnsi" w:hAnsiTheme="majorHAnsi"/>
          <w:sz w:val="20"/>
          <w:szCs w:val="20"/>
        </w:rPr>
        <w:t>Troitiño</w:t>
      </w:r>
      <w:proofErr w:type="spellEnd"/>
      <w:r w:rsidRPr="00473FE3">
        <w:rPr>
          <w:rFonts w:asciiTheme="majorHAnsi" w:hAnsiTheme="majorHAnsi"/>
          <w:sz w:val="20"/>
          <w:szCs w:val="20"/>
        </w:rPr>
        <w:t xml:space="preserve">, First Vice President; Luis Ernesto Vargas Silva, Second Vice President; Joel Hernández García, Antonia Urrejola, and </w:t>
      </w:r>
      <w:proofErr w:type="spellStart"/>
      <w:r w:rsidRPr="00473FE3">
        <w:rPr>
          <w:rFonts w:asciiTheme="majorHAnsi" w:hAnsiTheme="majorHAnsi"/>
          <w:sz w:val="20"/>
          <w:szCs w:val="20"/>
        </w:rPr>
        <w:t>Flávia</w:t>
      </w:r>
      <w:proofErr w:type="spellEnd"/>
      <w:r w:rsidRPr="00473FE3">
        <w:rPr>
          <w:rFonts w:asciiTheme="majorHAnsi" w:hAnsiTheme="majorHAnsi"/>
          <w:sz w:val="20"/>
          <w:szCs w:val="20"/>
        </w:rPr>
        <w:t xml:space="preserve"> </w:t>
      </w:r>
      <w:proofErr w:type="spellStart"/>
      <w:r w:rsidRPr="00473FE3">
        <w:rPr>
          <w:rFonts w:asciiTheme="majorHAnsi" w:hAnsiTheme="majorHAnsi"/>
          <w:sz w:val="20"/>
          <w:szCs w:val="20"/>
        </w:rPr>
        <w:t>Piovesan</w:t>
      </w:r>
      <w:proofErr w:type="spellEnd"/>
      <w:r w:rsidRPr="00473FE3">
        <w:rPr>
          <w:rFonts w:asciiTheme="majorHAnsi" w:hAnsiTheme="majorHAnsi"/>
          <w:sz w:val="20"/>
          <w:szCs w:val="20"/>
        </w:rPr>
        <w:t>, Commissioners.</w:t>
      </w:r>
      <w:r w:rsidR="00BC3DA0" w:rsidRPr="00473FE3">
        <w:rPr>
          <w:rFonts w:asciiTheme="majorHAnsi" w:hAnsiTheme="majorHAnsi"/>
          <w:sz w:val="20"/>
          <w:szCs w:val="20"/>
        </w:rPr>
        <w:br w:type="page"/>
      </w:r>
    </w:p>
    <w:p w:rsidR="004323EA" w:rsidRPr="00C5317E" w:rsidRDefault="004323EA" w:rsidP="00C5317E">
      <w:pPr>
        <w:spacing w:before="120"/>
        <w:ind w:firstLine="720"/>
        <w:jc w:val="center"/>
        <w:rPr>
          <w:rFonts w:asciiTheme="majorHAnsi" w:hAnsiTheme="majorHAnsi" w:cs="Calibri"/>
          <w:b/>
          <w:sz w:val="20"/>
          <w:szCs w:val="20"/>
        </w:rPr>
      </w:pPr>
      <w:r>
        <w:rPr>
          <w:rFonts w:asciiTheme="majorHAnsi" w:hAnsiTheme="majorHAnsi"/>
          <w:b/>
          <w:sz w:val="20"/>
          <w:szCs w:val="20"/>
        </w:rPr>
        <w:lastRenderedPageBreak/>
        <w:t>Annex 1</w:t>
      </w:r>
    </w:p>
    <w:p w:rsidR="004323EA" w:rsidRPr="00C5317E" w:rsidRDefault="004323EA" w:rsidP="00C5317E">
      <w:pPr>
        <w:spacing w:before="120"/>
        <w:ind w:firstLine="720"/>
        <w:jc w:val="center"/>
        <w:rPr>
          <w:rFonts w:asciiTheme="majorHAnsi" w:hAnsiTheme="majorHAnsi" w:cs="Calibri"/>
          <w:b/>
          <w:sz w:val="20"/>
          <w:szCs w:val="20"/>
        </w:rPr>
      </w:pPr>
      <w:r>
        <w:rPr>
          <w:rFonts w:asciiTheme="majorHAnsi" w:hAnsiTheme="majorHAnsi"/>
          <w:b/>
          <w:sz w:val="20"/>
          <w:szCs w:val="20"/>
        </w:rPr>
        <w:t>List of alleged victims</w:t>
      </w:r>
    </w:p>
    <w:p w:rsidR="004323EA" w:rsidRPr="00C5317E" w:rsidRDefault="004323EA" w:rsidP="00C5317E">
      <w:pPr>
        <w:spacing w:before="120"/>
        <w:ind w:firstLine="720"/>
        <w:jc w:val="both"/>
        <w:rPr>
          <w:rFonts w:asciiTheme="majorHAnsi" w:hAnsiTheme="majorHAnsi" w:cs="Calibri"/>
          <w:sz w:val="20"/>
          <w:szCs w:val="20"/>
          <w:lang w:val="es-ES"/>
        </w:rPr>
      </w:pP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Balboa Gamboa, Lorena (aged 42)</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Baldeon Garcia, Juliana (aged 60)</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Baldeon Gutierrez, Fortunata (aged 30)</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Baldeon Palacios, Seferino (aged 55)</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Baldeon Palacios, Marisol (aged 3 months)</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Baldeon Pulido, Justina (aged 68)</w:t>
      </w:r>
    </w:p>
    <w:p w:rsidR="004323EA" w:rsidRPr="00C5317E" w:rsidRDefault="00441DAC"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Baldeon Ramirez, Nerio (aged 3)</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Baldeon Reza, Maria (aged 58)</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Chavez Baldeon, Agustin (aged 64)</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Chuchon Castillo, Tomasa (aged 54)</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Chuchon Janampa, José (aged 66)</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Chuchon Teccsi, Filomeno (aged 45)</w:t>
      </w:r>
    </w:p>
    <w:p w:rsidR="004323EA" w:rsidRPr="00473FE3"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lang w:val="pt-BR"/>
        </w:rPr>
      </w:pPr>
      <w:r w:rsidRPr="00473FE3">
        <w:rPr>
          <w:rFonts w:asciiTheme="majorHAnsi" w:hAnsiTheme="majorHAnsi"/>
          <w:sz w:val="20"/>
          <w:szCs w:val="20"/>
          <w:lang w:val="pt-BR"/>
        </w:rPr>
        <w:t>De la Cruz Baldeon, Angélica (aged 40)</w:t>
      </w:r>
    </w:p>
    <w:p w:rsidR="004323EA" w:rsidRPr="00473FE3" w:rsidRDefault="00441DAC"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lang w:val="pt-BR"/>
        </w:rPr>
      </w:pPr>
      <w:r w:rsidRPr="00473FE3">
        <w:rPr>
          <w:rFonts w:asciiTheme="majorHAnsi" w:hAnsiTheme="majorHAnsi"/>
          <w:sz w:val="20"/>
          <w:szCs w:val="20"/>
          <w:lang w:val="pt-BR"/>
        </w:rPr>
        <w:t>De la Cruz Sulca, Felix (aged 3)</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Flores Balboa, Pantaleon (aged 5)</w:t>
      </w:r>
    </w:p>
    <w:p w:rsidR="004323EA" w:rsidRPr="00C5317E" w:rsidRDefault="00441DAC"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Flores Balboa, Cesario (aged 2)</w:t>
      </w:r>
    </w:p>
    <w:p w:rsidR="004323EA" w:rsidRPr="00473FE3"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lang w:val="pt-BR"/>
        </w:rPr>
      </w:pPr>
      <w:r w:rsidRPr="00473FE3">
        <w:rPr>
          <w:rFonts w:asciiTheme="majorHAnsi" w:hAnsiTheme="majorHAnsi"/>
          <w:sz w:val="20"/>
          <w:szCs w:val="20"/>
          <w:lang w:val="pt-BR"/>
        </w:rPr>
        <w:t>Flores Baldeon, Maria Magdalena (aged 16)</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Flores </w:t>
      </w:r>
      <w:proofErr w:type="spellStart"/>
      <w:r>
        <w:rPr>
          <w:rFonts w:asciiTheme="majorHAnsi" w:hAnsiTheme="majorHAnsi"/>
          <w:sz w:val="20"/>
          <w:szCs w:val="20"/>
        </w:rPr>
        <w:t>Baldeon</w:t>
      </w:r>
      <w:proofErr w:type="spellEnd"/>
      <w:r>
        <w:rPr>
          <w:rFonts w:asciiTheme="majorHAnsi" w:hAnsiTheme="majorHAnsi"/>
          <w:sz w:val="20"/>
          <w:szCs w:val="20"/>
        </w:rPr>
        <w:t xml:space="preserve">, </w:t>
      </w:r>
      <w:proofErr w:type="spellStart"/>
      <w:r>
        <w:rPr>
          <w:rFonts w:asciiTheme="majorHAnsi" w:hAnsiTheme="majorHAnsi"/>
          <w:sz w:val="20"/>
          <w:szCs w:val="20"/>
        </w:rPr>
        <w:t>Gervacio</w:t>
      </w:r>
      <w:proofErr w:type="spellEnd"/>
      <w:r>
        <w:rPr>
          <w:rFonts w:asciiTheme="majorHAnsi" w:hAnsiTheme="majorHAnsi"/>
          <w:sz w:val="20"/>
          <w:szCs w:val="20"/>
        </w:rPr>
        <w:t xml:space="preserve"> (aged 3 months)</w:t>
      </w:r>
    </w:p>
    <w:p w:rsidR="004323EA" w:rsidRPr="00473FE3"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lang w:val="pt-BR"/>
        </w:rPr>
      </w:pPr>
      <w:r w:rsidRPr="00473FE3">
        <w:rPr>
          <w:rFonts w:asciiTheme="majorHAnsi" w:hAnsiTheme="majorHAnsi"/>
          <w:sz w:val="20"/>
          <w:szCs w:val="20"/>
          <w:lang w:val="pt-BR"/>
        </w:rPr>
        <w:t>Gamboa De la Cruz, Gertrudis (aged 75)</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Gamboa</w:t>
      </w:r>
      <w:proofErr w:type="spellEnd"/>
      <w:r>
        <w:rPr>
          <w:rFonts w:asciiTheme="majorHAnsi" w:hAnsiTheme="majorHAnsi"/>
          <w:sz w:val="20"/>
          <w:szCs w:val="20"/>
        </w:rPr>
        <w:t xml:space="preserve"> Herrera, Alejandro (aged 55)</w:t>
      </w:r>
    </w:p>
    <w:p w:rsidR="004323EA" w:rsidRPr="00C5317E" w:rsidRDefault="00441DAC"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Gamboa</w:t>
      </w:r>
      <w:proofErr w:type="spellEnd"/>
      <w:r>
        <w:rPr>
          <w:rFonts w:asciiTheme="majorHAnsi" w:hAnsiTheme="majorHAnsi"/>
          <w:sz w:val="20"/>
          <w:szCs w:val="20"/>
        </w:rPr>
        <w:t xml:space="preserve"> Lozano, Victor (aged 4)</w:t>
      </w:r>
    </w:p>
    <w:p w:rsidR="004323EA" w:rsidRPr="00C5317E" w:rsidRDefault="00441DAC"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Gamboa</w:t>
      </w:r>
      <w:proofErr w:type="spellEnd"/>
      <w:r>
        <w:rPr>
          <w:rFonts w:asciiTheme="majorHAnsi" w:hAnsiTheme="majorHAnsi"/>
          <w:sz w:val="20"/>
          <w:szCs w:val="20"/>
        </w:rPr>
        <w:t xml:space="preserve"> Lozano, Richard (aged 4)</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Gamboa</w:t>
      </w:r>
      <w:proofErr w:type="spellEnd"/>
      <w:r>
        <w:rPr>
          <w:rFonts w:asciiTheme="majorHAnsi" w:hAnsiTheme="majorHAnsi"/>
          <w:sz w:val="20"/>
          <w:szCs w:val="20"/>
        </w:rPr>
        <w:t xml:space="preserve"> Lozano, Hugo (aged 3)</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Gamboa</w:t>
      </w:r>
      <w:proofErr w:type="spellEnd"/>
      <w:r>
        <w:rPr>
          <w:rFonts w:asciiTheme="majorHAnsi" w:hAnsiTheme="majorHAnsi"/>
          <w:sz w:val="20"/>
          <w:szCs w:val="20"/>
        </w:rPr>
        <w:t xml:space="preserve"> Medina, Eugenia (aged 10)</w:t>
      </w:r>
    </w:p>
    <w:p w:rsidR="004323EA" w:rsidRPr="00C5317E" w:rsidRDefault="00441DAC"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Gamboa</w:t>
      </w:r>
      <w:proofErr w:type="spellEnd"/>
      <w:r>
        <w:rPr>
          <w:rFonts w:asciiTheme="majorHAnsi" w:hAnsiTheme="majorHAnsi"/>
          <w:sz w:val="20"/>
          <w:szCs w:val="20"/>
        </w:rPr>
        <w:t xml:space="preserve"> Medina, </w:t>
      </w:r>
      <w:proofErr w:type="spellStart"/>
      <w:r>
        <w:rPr>
          <w:rFonts w:asciiTheme="majorHAnsi" w:hAnsiTheme="majorHAnsi"/>
          <w:sz w:val="20"/>
          <w:szCs w:val="20"/>
        </w:rPr>
        <w:t>Edilberta</w:t>
      </w:r>
      <w:proofErr w:type="spellEnd"/>
      <w:r>
        <w:rPr>
          <w:rFonts w:asciiTheme="majorHAnsi" w:hAnsiTheme="majorHAnsi"/>
          <w:sz w:val="20"/>
          <w:szCs w:val="20"/>
        </w:rPr>
        <w:t xml:space="preserve"> (aged 10)</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Gamboa</w:t>
      </w:r>
      <w:proofErr w:type="spellEnd"/>
      <w:r>
        <w:rPr>
          <w:rFonts w:asciiTheme="majorHAnsi" w:hAnsiTheme="majorHAnsi"/>
          <w:sz w:val="20"/>
          <w:szCs w:val="20"/>
        </w:rPr>
        <w:t xml:space="preserve"> Pulido, Nestor (aged 10)</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Gamboa</w:t>
      </w:r>
      <w:proofErr w:type="spellEnd"/>
      <w:r>
        <w:rPr>
          <w:rFonts w:asciiTheme="majorHAnsi" w:hAnsiTheme="majorHAnsi"/>
          <w:sz w:val="20"/>
          <w:szCs w:val="20"/>
        </w:rPr>
        <w:t xml:space="preserve"> Pulido, </w:t>
      </w:r>
      <w:proofErr w:type="spellStart"/>
      <w:r>
        <w:rPr>
          <w:rFonts w:asciiTheme="majorHAnsi" w:hAnsiTheme="majorHAnsi"/>
          <w:sz w:val="20"/>
          <w:szCs w:val="20"/>
        </w:rPr>
        <w:t>Francia</w:t>
      </w:r>
      <w:proofErr w:type="spellEnd"/>
      <w:r>
        <w:rPr>
          <w:rFonts w:asciiTheme="majorHAnsi" w:hAnsiTheme="majorHAnsi"/>
          <w:sz w:val="20"/>
          <w:szCs w:val="20"/>
        </w:rPr>
        <w:t xml:space="preserve"> (aged 35)</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lastRenderedPageBreak/>
        <w:t>Gamoa</w:t>
      </w:r>
      <w:proofErr w:type="spellEnd"/>
      <w:r>
        <w:rPr>
          <w:rFonts w:asciiTheme="majorHAnsi" w:hAnsiTheme="majorHAnsi"/>
          <w:sz w:val="20"/>
          <w:szCs w:val="20"/>
        </w:rPr>
        <w:t xml:space="preserve"> </w:t>
      </w:r>
      <w:proofErr w:type="spellStart"/>
      <w:r>
        <w:rPr>
          <w:rFonts w:asciiTheme="majorHAnsi" w:hAnsiTheme="majorHAnsi"/>
          <w:sz w:val="20"/>
          <w:szCs w:val="20"/>
        </w:rPr>
        <w:t>Quispe</w:t>
      </w:r>
      <w:proofErr w:type="spellEnd"/>
      <w:r>
        <w:rPr>
          <w:rFonts w:asciiTheme="majorHAnsi" w:hAnsiTheme="majorHAnsi"/>
          <w:sz w:val="20"/>
          <w:szCs w:val="20"/>
        </w:rPr>
        <w:t xml:space="preserve">, </w:t>
      </w:r>
      <w:proofErr w:type="spellStart"/>
      <w:r>
        <w:rPr>
          <w:rFonts w:asciiTheme="majorHAnsi" w:hAnsiTheme="majorHAnsi"/>
          <w:sz w:val="20"/>
          <w:szCs w:val="20"/>
        </w:rPr>
        <w:t>Delfina</w:t>
      </w:r>
      <w:proofErr w:type="spellEnd"/>
      <w:r>
        <w:rPr>
          <w:rFonts w:asciiTheme="majorHAnsi" w:hAnsiTheme="majorHAnsi"/>
          <w:sz w:val="20"/>
          <w:szCs w:val="20"/>
        </w:rPr>
        <w:t xml:space="preserve"> (aged 52)</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Gamboa</w:t>
      </w:r>
      <w:proofErr w:type="spellEnd"/>
      <w:r>
        <w:rPr>
          <w:rFonts w:asciiTheme="majorHAnsi" w:hAnsiTheme="majorHAnsi"/>
          <w:sz w:val="20"/>
          <w:szCs w:val="20"/>
        </w:rPr>
        <w:t xml:space="preserve"> Pulido, Walter (aged 42)</w:t>
      </w:r>
    </w:p>
    <w:p w:rsidR="004323EA" w:rsidRPr="00473FE3"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lang w:val="pt-BR"/>
        </w:rPr>
      </w:pPr>
      <w:r w:rsidRPr="00473FE3">
        <w:rPr>
          <w:rFonts w:asciiTheme="majorHAnsi" w:hAnsiTheme="majorHAnsi"/>
          <w:sz w:val="20"/>
          <w:szCs w:val="20"/>
          <w:lang w:val="pt-BR"/>
        </w:rPr>
        <w:t>Gomez de la Cruz, Pastor (aged 81)</w:t>
      </w:r>
    </w:p>
    <w:p w:rsidR="004323EA" w:rsidRPr="00473FE3"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lang w:val="pt-BR"/>
        </w:rPr>
      </w:pPr>
      <w:r w:rsidRPr="00473FE3">
        <w:rPr>
          <w:rFonts w:asciiTheme="majorHAnsi" w:hAnsiTheme="majorHAnsi"/>
          <w:sz w:val="20"/>
          <w:szCs w:val="20"/>
          <w:lang w:val="pt-BR"/>
        </w:rPr>
        <w:t>Janampa de la Cruz, Lorenza (aged 45)</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Lizarbe</w:t>
      </w:r>
      <w:proofErr w:type="spellEnd"/>
      <w:r>
        <w:rPr>
          <w:rFonts w:asciiTheme="majorHAnsi" w:hAnsiTheme="majorHAnsi"/>
          <w:sz w:val="20"/>
          <w:szCs w:val="20"/>
        </w:rPr>
        <w:t xml:space="preserve"> Solis, </w:t>
      </w:r>
      <w:proofErr w:type="spellStart"/>
      <w:r>
        <w:rPr>
          <w:rFonts w:asciiTheme="majorHAnsi" w:hAnsiTheme="majorHAnsi"/>
          <w:sz w:val="20"/>
          <w:szCs w:val="20"/>
        </w:rPr>
        <w:t>Silvestra</w:t>
      </w:r>
      <w:proofErr w:type="spellEnd"/>
      <w:r>
        <w:rPr>
          <w:rFonts w:asciiTheme="majorHAnsi" w:hAnsiTheme="majorHAnsi"/>
          <w:sz w:val="20"/>
          <w:szCs w:val="20"/>
        </w:rPr>
        <w:t xml:space="preserve"> (aged 45)</w:t>
      </w:r>
    </w:p>
    <w:p w:rsidR="004323EA" w:rsidRPr="00C5317E" w:rsidRDefault="00441DAC"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Lozano </w:t>
      </w:r>
      <w:proofErr w:type="spellStart"/>
      <w:r>
        <w:rPr>
          <w:rFonts w:asciiTheme="majorHAnsi" w:hAnsiTheme="majorHAnsi"/>
          <w:sz w:val="20"/>
          <w:szCs w:val="20"/>
        </w:rPr>
        <w:t>Baldeon</w:t>
      </w:r>
      <w:proofErr w:type="spellEnd"/>
      <w:r>
        <w:rPr>
          <w:rFonts w:asciiTheme="majorHAnsi" w:hAnsiTheme="majorHAnsi"/>
          <w:sz w:val="20"/>
          <w:szCs w:val="20"/>
        </w:rPr>
        <w:t xml:space="preserve">, </w:t>
      </w:r>
      <w:proofErr w:type="spellStart"/>
      <w:r>
        <w:rPr>
          <w:rFonts w:asciiTheme="majorHAnsi" w:hAnsiTheme="majorHAnsi"/>
          <w:sz w:val="20"/>
          <w:szCs w:val="20"/>
        </w:rPr>
        <w:t>Otilia</w:t>
      </w:r>
      <w:proofErr w:type="spellEnd"/>
      <w:r>
        <w:rPr>
          <w:rFonts w:asciiTheme="majorHAnsi" w:hAnsiTheme="majorHAnsi"/>
          <w:sz w:val="20"/>
          <w:szCs w:val="20"/>
        </w:rPr>
        <w:t xml:space="preserve"> (aged 33)</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Martinez Baldeon, Felicitas (aged 55)</w:t>
      </w:r>
    </w:p>
    <w:p w:rsidR="004323EA" w:rsidRPr="00C5317E" w:rsidRDefault="00441DAC"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Mendoza Baldeon, Delia (aged 6)</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Mendoza Baldeon, Lourdes (aged 8)</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Mendoza </w:t>
      </w:r>
      <w:proofErr w:type="spellStart"/>
      <w:r>
        <w:rPr>
          <w:rFonts w:asciiTheme="majorHAnsi" w:hAnsiTheme="majorHAnsi"/>
          <w:sz w:val="20"/>
          <w:szCs w:val="20"/>
        </w:rPr>
        <w:t>Baldeon</w:t>
      </w:r>
      <w:proofErr w:type="spellEnd"/>
      <w:r>
        <w:rPr>
          <w:rFonts w:asciiTheme="majorHAnsi" w:hAnsiTheme="majorHAnsi"/>
          <w:sz w:val="20"/>
          <w:szCs w:val="20"/>
        </w:rPr>
        <w:t xml:space="preserve">, </w:t>
      </w:r>
      <w:proofErr w:type="spellStart"/>
      <w:r>
        <w:rPr>
          <w:rFonts w:asciiTheme="majorHAnsi" w:hAnsiTheme="majorHAnsi"/>
          <w:sz w:val="20"/>
          <w:szCs w:val="20"/>
        </w:rPr>
        <w:t>Delfina</w:t>
      </w:r>
      <w:proofErr w:type="spellEnd"/>
      <w:r>
        <w:rPr>
          <w:rFonts w:asciiTheme="majorHAnsi" w:hAnsiTheme="majorHAnsi"/>
          <w:sz w:val="20"/>
          <w:szCs w:val="20"/>
        </w:rPr>
        <w:t xml:space="preserve"> (aged 11)</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Ochoa </w:t>
      </w:r>
      <w:proofErr w:type="spellStart"/>
      <w:r>
        <w:rPr>
          <w:rFonts w:asciiTheme="majorHAnsi" w:hAnsiTheme="majorHAnsi"/>
          <w:sz w:val="20"/>
          <w:szCs w:val="20"/>
        </w:rPr>
        <w:t>Lizarbe</w:t>
      </w:r>
      <w:proofErr w:type="spellEnd"/>
      <w:r>
        <w:rPr>
          <w:rFonts w:asciiTheme="majorHAnsi" w:hAnsiTheme="majorHAnsi"/>
          <w:sz w:val="20"/>
          <w:szCs w:val="20"/>
        </w:rPr>
        <w:t>, Gerardo (aged 10)</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Ochoa </w:t>
      </w:r>
      <w:proofErr w:type="spellStart"/>
      <w:r>
        <w:rPr>
          <w:rFonts w:asciiTheme="majorHAnsi" w:hAnsiTheme="majorHAnsi"/>
          <w:sz w:val="20"/>
          <w:szCs w:val="20"/>
        </w:rPr>
        <w:t>Lizarbe</w:t>
      </w:r>
      <w:proofErr w:type="spellEnd"/>
      <w:r>
        <w:rPr>
          <w:rFonts w:asciiTheme="majorHAnsi" w:hAnsiTheme="majorHAnsi"/>
          <w:sz w:val="20"/>
          <w:szCs w:val="20"/>
        </w:rPr>
        <w:t>, Victor (aged 7)</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Ochoa </w:t>
      </w:r>
      <w:proofErr w:type="spellStart"/>
      <w:r>
        <w:rPr>
          <w:rFonts w:asciiTheme="majorHAnsi" w:hAnsiTheme="majorHAnsi"/>
          <w:sz w:val="20"/>
          <w:szCs w:val="20"/>
        </w:rPr>
        <w:t>Lizarbe</w:t>
      </w:r>
      <w:proofErr w:type="spellEnd"/>
      <w:r>
        <w:rPr>
          <w:rFonts w:asciiTheme="majorHAnsi" w:hAnsiTheme="majorHAnsi"/>
          <w:sz w:val="20"/>
          <w:szCs w:val="20"/>
        </w:rPr>
        <w:t>, Ernestina (aged 6)</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Ochoa </w:t>
      </w:r>
      <w:proofErr w:type="spellStart"/>
      <w:r>
        <w:rPr>
          <w:rFonts w:asciiTheme="majorHAnsi" w:hAnsiTheme="majorHAnsi"/>
          <w:sz w:val="20"/>
          <w:szCs w:val="20"/>
        </w:rPr>
        <w:t>Lizarbe</w:t>
      </w:r>
      <w:proofErr w:type="spellEnd"/>
      <w:r>
        <w:rPr>
          <w:rFonts w:asciiTheme="majorHAnsi" w:hAnsiTheme="majorHAnsi"/>
          <w:sz w:val="20"/>
          <w:szCs w:val="20"/>
        </w:rPr>
        <w:t xml:space="preserve">, </w:t>
      </w:r>
      <w:proofErr w:type="spellStart"/>
      <w:r>
        <w:rPr>
          <w:rFonts w:asciiTheme="majorHAnsi" w:hAnsiTheme="majorHAnsi"/>
          <w:sz w:val="20"/>
          <w:szCs w:val="20"/>
        </w:rPr>
        <w:t>Celestino</w:t>
      </w:r>
      <w:proofErr w:type="spellEnd"/>
      <w:r>
        <w:rPr>
          <w:rFonts w:asciiTheme="majorHAnsi" w:hAnsiTheme="majorHAnsi"/>
          <w:sz w:val="20"/>
          <w:szCs w:val="20"/>
        </w:rPr>
        <w:t xml:space="preserve"> (aged 3)</w:t>
      </w:r>
    </w:p>
    <w:p w:rsidR="004323EA" w:rsidRPr="00C5317E" w:rsidRDefault="00441DAC"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Ochoa </w:t>
      </w:r>
      <w:proofErr w:type="spellStart"/>
      <w:r>
        <w:rPr>
          <w:rFonts w:asciiTheme="majorHAnsi" w:hAnsiTheme="majorHAnsi"/>
          <w:sz w:val="20"/>
          <w:szCs w:val="20"/>
        </w:rPr>
        <w:t>Lizarbe</w:t>
      </w:r>
      <w:proofErr w:type="spellEnd"/>
      <w:r>
        <w:rPr>
          <w:rFonts w:asciiTheme="majorHAnsi" w:hAnsiTheme="majorHAnsi"/>
          <w:sz w:val="20"/>
          <w:szCs w:val="20"/>
        </w:rPr>
        <w:t>, Edwin (aged 1)</w:t>
      </w:r>
    </w:p>
    <w:p w:rsidR="004323EA" w:rsidRPr="00C5317E" w:rsidRDefault="00441DAC"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Ochoa </w:t>
      </w:r>
      <w:proofErr w:type="spellStart"/>
      <w:r>
        <w:rPr>
          <w:rFonts w:asciiTheme="majorHAnsi" w:hAnsiTheme="majorHAnsi"/>
          <w:sz w:val="20"/>
          <w:szCs w:val="20"/>
        </w:rPr>
        <w:t>Janampa</w:t>
      </w:r>
      <w:proofErr w:type="spellEnd"/>
      <w:r>
        <w:rPr>
          <w:rFonts w:asciiTheme="majorHAnsi" w:hAnsiTheme="majorHAnsi"/>
          <w:sz w:val="20"/>
          <w:szCs w:val="20"/>
        </w:rPr>
        <w:t xml:space="preserve">, </w:t>
      </w:r>
      <w:proofErr w:type="spellStart"/>
      <w:r>
        <w:rPr>
          <w:rFonts w:asciiTheme="majorHAnsi" w:hAnsiTheme="majorHAnsi"/>
          <w:sz w:val="20"/>
          <w:szCs w:val="20"/>
        </w:rPr>
        <w:t>Damasa</w:t>
      </w:r>
      <w:proofErr w:type="spellEnd"/>
      <w:r>
        <w:rPr>
          <w:rFonts w:asciiTheme="majorHAnsi" w:hAnsiTheme="majorHAnsi"/>
          <w:sz w:val="20"/>
          <w:szCs w:val="20"/>
        </w:rPr>
        <w:t xml:space="preserve"> (aged 8)</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Ochoa </w:t>
      </w:r>
      <w:proofErr w:type="spellStart"/>
      <w:r>
        <w:rPr>
          <w:rFonts w:asciiTheme="majorHAnsi" w:hAnsiTheme="majorHAnsi"/>
          <w:sz w:val="20"/>
          <w:szCs w:val="20"/>
        </w:rPr>
        <w:t>Janampa</w:t>
      </w:r>
      <w:proofErr w:type="spellEnd"/>
      <w:r>
        <w:rPr>
          <w:rFonts w:asciiTheme="majorHAnsi" w:hAnsiTheme="majorHAnsi"/>
          <w:sz w:val="20"/>
          <w:szCs w:val="20"/>
        </w:rPr>
        <w:t xml:space="preserve">, </w:t>
      </w:r>
      <w:proofErr w:type="spellStart"/>
      <w:r>
        <w:rPr>
          <w:rFonts w:asciiTheme="majorHAnsi" w:hAnsiTheme="majorHAnsi"/>
          <w:sz w:val="20"/>
          <w:szCs w:val="20"/>
        </w:rPr>
        <w:t>Toribio</w:t>
      </w:r>
      <w:proofErr w:type="spellEnd"/>
      <w:r>
        <w:rPr>
          <w:rFonts w:asciiTheme="majorHAnsi" w:hAnsiTheme="majorHAnsi"/>
          <w:sz w:val="20"/>
          <w:szCs w:val="20"/>
        </w:rPr>
        <w:t xml:space="preserve"> (aged 12)</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Palacios </w:t>
      </w:r>
      <w:proofErr w:type="spellStart"/>
      <w:r>
        <w:rPr>
          <w:rFonts w:asciiTheme="majorHAnsi" w:hAnsiTheme="majorHAnsi"/>
          <w:sz w:val="20"/>
          <w:szCs w:val="20"/>
        </w:rPr>
        <w:t>Quispe</w:t>
      </w:r>
      <w:proofErr w:type="spellEnd"/>
      <w:r>
        <w:rPr>
          <w:rFonts w:asciiTheme="majorHAnsi" w:hAnsiTheme="majorHAnsi"/>
          <w:sz w:val="20"/>
          <w:szCs w:val="20"/>
        </w:rPr>
        <w:t>, Albino (aged 70)</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Palacios </w:t>
      </w:r>
      <w:proofErr w:type="spellStart"/>
      <w:r>
        <w:rPr>
          <w:rFonts w:asciiTheme="majorHAnsi" w:hAnsiTheme="majorHAnsi"/>
          <w:sz w:val="20"/>
          <w:szCs w:val="20"/>
        </w:rPr>
        <w:t>Quispe</w:t>
      </w:r>
      <w:proofErr w:type="spellEnd"/>
      <w:r>
        <w:rPr>
          <w:rFonts w:asciiTheme="majorHAnsi" w:hAnsiTheme="majorHAnsi"/>
          <w:sz w:val="20"/>
          <w:szCs w:val="20"/>
        </w:rPr>
        <w:t>, Leandra (aged 45)</w:t>
      </w:r>
    </w:p>
    <w:p w:rsidR="004323EA" w:rsidRPr="00C5317E" w:rsidRDefault="002A640D"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Parez</w:t>
      </w:r>
      <w:proofErr w:type="spellEnd"/>
      <w:r>
        <w:rPr>
          <w:rFonts w:asciiTheme="majorHAnsi" w:hAnsiTheme="majorHAnsi"/>
          <w:sz w:val="20"/>
          <w:szCs w:val="20"/>
        </w:rPr>
        <w:t xml:space="preserve"> Baez, </w:t>
      </w:r>
      <w:proofErr w:type="spellStart"/>
      <w:r>
        <w:rPr>
          <w:rFonts w:asciiTheme="majorHAnsi" w:hAnsiTheme="majorHAnsi"/>
          <w:sz w:val="20"/>
          <w:szCs w:val="20"/>
        </w:rPr>
        <w:t>Aquilino</w:t>
      </w:r>
      <w:proofErr w:type="spellEnd"/>
      <w:r>
        <w:rPr>
          <w:rFonts w:asciiTheme="majorHAnsi" w:hAnsiTheme="majorHAnsi"/>
          <w:sz w:val="20"/>
          <w:szCs w:val="20"/>
        </w:rPr>
        <w:t xml:space="preserve"> (aged 54)</w:t>
      </w:r>
    </w:p>
    <w:p w:rsidR="004323EA" w:rsidRPr="00C5317E" w:rsidRDefault="002A640D"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Parez</w:t>
      </w:r>
      <w:proofErr w:type="spellEnd"/>
      <w:r>
        <w:rPr>
          <w:rFonts w:asciiTheme="majorHAnsi" w:hAnsiTheme="majorHAnsi"/>
          <w:sz w:val="20"/>
          <w:szCs w:val="20"/>
        </w:rPr>
        <w:t xml:space="preserve"> Palomino, Esther (aged 3)</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Pariona</w:t>
      </w:r>
      <w:proofErr w:type="spellEnd"/>
      <w:r>
        <w:rPr>
          <w:rFonts w:asciiTheme="majorHAnsi" w:hAnsiTheme="majorHAnsi"/>
          <w:sz w:val="20"/>
          <w:szCs w:val="20"/>
        </w:rPr>
        <w:t xml:space="preserve"> </w:t>
      </w:r>
      <w:proofErr w:type="spellStart"/>
      <w:r>
        <w:rPr>
          <w:rFonts w:asciiTheme="majorHAnsi" w:hAnsiTheme="majorHAnsi"/>
          <w:sz w:val="20"/>
          <w:szCs w:val="20"/>
        </w:rPr>
        <w:t>Baldeon</w:t>
      </w:r>
      <w:proofErr w:type="spellEnd"/>
      <w:r>
        <w:rPr>
          <w:rFonts w:asciiTheme="majorHAnsi" w:hAnsiTheme="majorHAnsi"/>
          <w:sz w:val="20"/>
          <w:szCs w:val="20"/>
        </w:rPr>
        <w:t xml:space="preserve">, </w:t>
      </w:r>
      <w:proofErr w:type="spellStart"/>
      <w:r>
        <w:rPr>
          <w:rFonts w:asciiTheme="majorHAnsi" w:hAnsiTheme="majorHAnsi"/>
          <w:sz w:val="20"/>
          <w:szCs w:val="20"/>
        </w:rPr>
        <w:t>Basiliza</w:t>
      </w:r>
      <w:proofErr w:type="spellEnd"/>
      <w:r>
        <w:rPr>
          <w:rFonts w:asciiTheme="majorHAnsi" w:hAnsiTheme="majorHAnsi"/>
          <w:sz w:val="20"/>
          <w:szCs w:val="20"/>
        </w:rPr>
        <w:t xml:space="preserve"> (aged 45)</w:t>
      </w:r>
    </w:p>
    <w:p w:rsidR="004323EA" w:rsidRPr="00C5317E" w:rsidRDefault="00C5317E"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Pulido Baldeon, Edgar (aged 7 months)</w:t>
      </w:r>
    </w:p>
    <w:p w:rsidR="004323EA" w:rsidRPr="00C5317E" w:rsidRDefault="00C5317E"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Pulido Lozano, Victor (aged 7)</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Pulido Romero, </w:t>
      </w:r>
      <w:proofErr w:type="spellStart"/>
      <w:r>
        <w:rPr>
          <w:rFonts w:asciiTheme="majorHAnsi" w:hAnsiTheme="majorHAnsi"/>
          <w:sz w:val="20"/>
          <w:szCs w:val="20"/>
        </w:rPr>
        <w:t>Maximilia</w:t>
      </w:r>
      <w:proofErr w:type="spellEnd"/>
      <w:r>
        <w:rPr>
          <w:rFonts w:asciiTheme="majorHAnsi" w:hAnsiTheme="majorHAnsi"/>
          <w:sz w:val="20"/>
          <w:szCs w:val="20"/>
        </w:rPr>
        <w:t xml:space="preserve"> (aged 52)</w:t>
      </w:r>
    </w:p>
    <w:p w:rsidR="004323EA" w:rsidRPr="00C5317E" w:rsidRDefault="00C5317E"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Quispe</w:t>
      </w:r>
      <w:proofErr w:type="spellEnd"/>
      <w:r>
        <w:rPr>
          <w:rFonts w:asciiTheme="majorHAnsi" w:hAnsiTheme="majorHAnsi"/>
          <w:sz w:val="20"/>
          <w:szCs w:val="20"/>
        </w:rPr>
        <w:t xml:space="preserve"> </w:t>
      </w:r>
      <w:proofErr w:type="spellStart"/>
      <w:r>
        <w:rPr>
          <w:rFonts w:asciiTheme="majorHAnsi" w:hAnsiTheme="majorHAnsi"/>
          <w:sz w:val="20"/>
          <w:szCs w:val="20"/>
        </w:rPr>
        <w:t>Baldeón</w:t>
      </w:r>
      <w:proofErr w:type="spellEnd"/>
      <w:r>
        <w:rPr>
          <w:rFonts w:asciiTheme="majorHAnsi" w:hAnsiTheme="majorHAnsi"/>
          <w:sz w:val="20"/>
          <w:szCs w:val="20"/>
        </w:rPr>
        <w:t>, Cornelio (aged 35)</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Quispe</w:t>
      </w:r>
      <w:proofErr w:type="spellEnd"/>
      <w:r>
        <w:rPr>
          <w:rFonts w:asciiTheme="majorHAnsi" w:hAnsiTheme="majorHAnsi"/>
          <w:sz w:val="20"/>
          <w:szCs w:val="20"/>
        </w:rPr>
        <w:t xml:space="preserve"> Martinez, Benedicta (aged 40)</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Quispe</w:t>
      </w:r>
      <w:proofErr w:type="spellEnd"/>
      <w:r>
        <w:rPr>
          <w:rFonts w:asciiTheme="majorHAnsi" w:hAnsiTheme="majorHAnsi"/>
          <w:sz w:val="20"/>
          <w:szCs w:val="20"/>
        </w:rPr>
        <w:t xml:space="preserve"> Martinez, Julia (aged 50)</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Quispe</w:t>
      </w:r>
      <w:proofErr w:type="spellEnd"/>
      <w:r>
        <w:rPr>
          <w:rFonts w:asciiTheme="majorHAnsi" w:hAnsiTheme="majorHAnsi"/>
          <w:sz w:val="20"/>
          <w:szCs w:val="20"/>
        </w:rPr>
        <w:t xml:space="preserve"> Palacios, </w:t>
      </w:r>
      <w:proofErr w:type="spellStart"/>
      <w:r>
        <w:rPr>
          <w:rFonts w:asciiTheme="majorHAnsi" w:hAnsiTheme="majorHAnsi"/>
          <w:sz w:val="20"/>
          <w:szCs w:val="20"/>
        </w:rPr>
        <w:t>Pelayo</w:t>
      </w:r>
      <w:proofErr w:type="spellEnd"/>
      <w:r>
        <w:rPr>
          <w:rFonts w:asciiTheme="majorHAnsi" w:hAnsiTheme="majorHAnsi"/>
          <w:sz w:val="20"/>
          <w:szCs w:val="20"/>
        </w:rPr>
        <w:t xml:space="preserve"> (aged 55)</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Quispe</w:t>
      </w:r>
      <w:proofErr w:type="spellEnd"/>
      <w:r>
        <w:rPr>
          <w:rFonts w:asciiTheme="majorHAnsi" w:hAnsiTheme="majorHAnsi"/>
          <w:sz w:val="20"/>
          <w:szCs w:val="20"/>
        </w:rPr>
        <w:t xml:space="preserve"> </w:t>
      </w:r>
      <w:proofErr w:type="spellStart"/>
      <w:r>
        <w:rPr>
          <w:rFonts w:asciiTheme="majorHAnsi" w:hAnsiTheme="majorHAnsi"/>
          <w:sz w:val="20"/>
          <w:szCs w:val="20"/>
        </w:rPr>
        <w:t>Pariona</w:t>
      </w:r>
      <w:proofErr w:type="spellEnd"/>
      <w:r>
        <w:rPr>
          <w:rFonts w:asciiTheme="majorHAnsi" w:hAnsiTheme="majorHAnsi"/>
          <w:sz w:val="20"/>
          <w:szCs w:val="20"/>
        </w:rPr>
        <w:t>, Leonidas (aged 6)</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lastRenderedPageBreak/>
        <w:t>Ramirez Baldeon, Cornelia (aged 50)</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 xml:space="preserve">Ramirez </w:t>
      </w:r>
      <w:proofErr w:type="spellStart"/>
      <w:r>
        <w:rPr>
          <w:rFonts w:asciiTheme="majorHAnsi" w:hAnsiTheme="majorHAnsi"/>
          <w:sz w:val="20"/>
          <w:szCs w:val="20"/>
        </w:rPr>
        <w:t>Baldeon</w:t>
      </w:r>
      <w:proofErr w:type="spellEnd"/>
      <w:r>
        <w:rPr>
          <w:rFonts w:asciiTheme="majorHAnsi" w:hAnsiTheme="majorHAnsi"/>
          <w:sz w:val="20"/>
          <w:szCs w:val="20"/>
        </w:rPr>
        <w:t xml:space="preserve">, </w:t>
      </w:r>
      <w:proofErr w:type="spellStart"/>
      <w:r>
        <w:rPr>
          <w:rFonts w:asciiTheme="majorHAnsi" w:hAnsiTheme="majorHAnsi"/>
          <w:sz w:val="20"/>
          <w:szCs w:val="20"/>
        </w:rPr>
        <w:t>Primitiva</w:t>
      </w:r>
      <w:proofErr w:type="spellEnd"/>
      <w:r>
        <w:rPr>
          <w:rFonts w:asciiTheme="majorHAnsi" w:hAnsiTheme="majorHAnsi"/>
          <w:sz w:val="20"/>
          <w:szCs w:val="20"/>
        </w:rPr>
        <w:t xml:space="preserve"> (aged 48)</w:t>
      </w:r>
    </w:p>
    <w:p w:rsidR="004323EA" w:rsidRPr="00473FE3"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lang w:val="pt-BR"/>
        </w:rPr>
      </w:pPr>
      <w:r w:rsidRPr="00473FE3">
        <w:rPr>
          <w:rFonts w:asciiTheme="majorHAnsi" w:hAnsiTheme="majorHAnsi"/>
          <w:sz w:val="20"/>
          <w:szCs w:val="20"/>
          <w:lang w:val="pt-BR"/>
        </w:rPr>
        <w:t>Sulca de La Cruz, Valeriano (aged 4)</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Sulca</w:t>
      </w:r>
      <w:proofErr w:type="spellEnd"/>
      <w:r>
        <w:rPr>
          <w:rFonts w:asciiTheme="majorHAnsi" w:hAnsiTheme="majorHAnsi"/>
          <w:sz w:val="20"/>
          <w:szCs w:val="20"/>
        </w:rPr>
        <w:t xml:space="preserve"> </w:t>
      </w:r>
      <w:proofErr w:type="spellStart"/>
      <w:r>
        <w:rPr>
          <w:rFonts w:asciiTheme="majorHAnsi" w:hAnsiTheme="majorHAnsi"/>
          <w:sz w:val="20"/>
          <w:szCs w:val="20"/>
        </w:rPr>
        <w:t>Teccsi</w:t>
      </w:r>
      <w:proofErr w:type="spellEnd"/>
      <w:r>
        <w:rPr>
          <w:rFonts w:asciiTheme="majorHAnsi" w:hAnsiTheme="majorHAnsi"/>
          <w:sz w:val="20"/>
          <w:szCs w:val="20"/>
        </w:rPr>
        <w:t xml:space="preserve">, </w:t>
      </w:r>
      <w:proofErr w:type="spellStart"/>
      <w:r>
        <w:rPr>
          <w:rFonts w:asciiTheme="majorHAnsi" w:hAnsiTheme="majorHAnsi"/>
          <w:sz w:val="20"/>
          <w:szCs w:val="20"/>
        </w:rPr>
        <w:t>Bonifacia</w:t>
      </w:r>
      <w:proofErr w:type="spellEnd"/>
      <w:r>
        <w:rPr>
          <w:rFonts w:asciiTheme="majorHAnsi" w:hAnsiTheme="majorHAnsi"/>
          <w:sz w:val="20"/>
          <w:szCs w:val="20"/>
        </w:rPr>
        <w:t xml:space="preserve"> (aged 62)</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Baldeon, Perez, Alejandro (aged 45)</w:t>
      </w:r>
    </w:p>
    <w:p w:rsidR="004323EA" w:rsidRPr="00C5317E" w:rsidRDefault="00C5317E"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Baldeon Ayala, Martín (Not specified)</w:t>
      </w:r>
    </w:p>
    <w:p w:rsidR="004323EA" w:rsidRPr="00C5317E" w:rsidRDefault="00C5317E"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Gamboa</w:t>
      </w:r>
      <w:proofErr w:type="spellEnd"/>
      <w:r>
        <w:rPr>
          <w:rFonts w:asciiTheme="majorHAnsi" w:hAnsiTheme="majorHAnsi"/>
          <w:sz w:val="20"/>
          <w:szCs w:val="20"/>
        </w:rPr>
        <w:t xml:space="preserve"> Mendoza, </w:t>
      </w:r>
      <w:proofErr w:type="spellStart"/>
      <w:r>
        <w:rPr>
          <w:rFonts w:asciiTheme="majorHAnsi" w:hAnsiTheme="majorHAnsi"/>
          <w:sz w:val="20"/>
          <w:szCs w:val="20"/>
        </w:rPr>
        <w:t>Cecilio</w:t>
      </w:r>
      <w:proofErr w:type="spellEnd"/>
      <w:r>
        <w:rPr>
          <w:rFonts w:asciiTheme="majorHAnsi" w:hAnsiTheme="majorHAnsi"/>
          <w:sz w:val="20"/>
          <w:szCs w:val="20"/>
        </w:rPr>
        <w:t xml:space="preserve"> (Not specified)</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Janampa</w:t>
      </w:r>
      <w:proofErr w:type="spellEnd"/>
      <w:r>
        <w:rPr>
          <w:rFonts w:asciiTheme="majorHAnsi" w:hAnsiTheme="majorHAnsi"/>
          <w:sz w:val="20"/>
          <w:szCs w:val="20"/>
        </w:rPr>
        <w:t xml:space="preserve"> Widow of </w:t>
      </w:r>
      <w:proofErr w:type="spellStart"/>
      <w:r>
        <w:rPr>
          <w:rFonts w:asciiTheme="majorHAnsi" w:hAnsiTheme="majorHAnsi"/>
          <w:sz w:val="20"/>
          <w:szCs w:val="20"/>
        </w:rPr>
        <w:t>Pujaico</w:t>
      </w:r>
      <w:proofErr w:type="spellEnd"/>
      <w:r>
        <w:rPr>
          <w:rFonts w:asciiTheme="majorHAnsi" w:hAnsiTheme="majorHAnsi"/>
          <w:sz w:val="20"/>
          <w:szCs w:val="20"/>
        </w:rPr>
        <w:t xml:space="preserve"> (aged 80)</w:t>
      </w:r>
    </w:p>
    <w:p w:rsidR="004323EA" w:rsidRPr="00473FE3"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lang w:val="pt-BR"/>
        </w:rPr>
      </w:pPr>
      <w:r w:rsidRPr="00473FE3">
        <w:rPr>
          <w:rFonts w:asciiTheme="majorHAnsi" w:hAnsiTheme="majorHAnsi"/>
          <w:sz w:val="20"/>
          <w:szCs w:val="20"/>
          <w:lang w:val="pt-BR"/>
        </w:rPr>
        <w:t>Melgar Pujaico de Baldeon (aged 68)</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Pulido Palacios, Paulina (aged 60)</w:t>
      </w:r>
    </w:p>
    <w:p w:rsidR="004323EA" w:rsidRPr="00C5317E" w:rsidRDefault="00C5317E"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r>
        <w:rPr>
          <w:rFonts w:asciiTheme="majorHAnsi" w:hAnsiTheme="majorHAnsi"/>
          <w:sz w:val="20"/>
          <w:szCs w:val="20"/>
        </w:rPr>
        <w:t>Perez Chavez, Brigida (aged 75)</w:t>
      </w:r>
    </w:p>
    <w:p w:rsidR="004323EA" w:rsidRPr="00C5317E"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rPr>
      </w:pPr>
      <w:proofErr w:type="spellStart"/>
      <w:r>
        <w:rPr>
          <w:rFonts w:asciiTheme="majorHAnsi" w:hAnsiTheme="majorHAnsi"/>
          <w:sz w:val="20"/>
          <w:szCs w:val="20"/>
        </w:rPr>
        <w:t>Quispe</w:t>
      </w:r>
      <w:proofErr w:type="spellEnd"/>
      <w:r>
        <w:rPr>
          <w:rFonts w:asciiTheme="majorHAnsi" w:hAnsiTheme="majorHAnsi"/>
          <w:sz w:val="20"/>
          <w:szCs w:val="20"/>
        </w:rPr>
        <w:t xml:space="preserve"> </w:t>
      </w:r>
      <w:proofErr w:type="spellStart"/>
      <w:r>
        <w:rPr>
          <w:rFonts w:asciiTheme="majorHAnsi" w:hAnsiTheme="majorHAnsi"/>
          <w:sz w:val="20"/>
          <w:szCs w:val="20"/>
        </w:rPr>
        <w:t>Chucon</w:t>
      </w:r>
      <w:proofErr w:type="spellEnd"/>
      <w:r>
        <w:rPr>
          <w:rFonts w:asciiTheme="majorHAnsi" w:hAnsiTheme="majorHAnsi"/>
          <w:sz w:val="20"/>
          <w:szCs w:val="20"/>
        </w:rPr>
        <w:t xml:space="preserve"> Padua (aged 13)</w:t>
      </w:r>
    </w:p>
    <w:p w:rsidR="004323EA" w:rsidRPr="00473FE3" w:rsidRDefault="004323EA" w:rsidP="00C5317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ind w:left="0" w:firstLine="720"/>
        <w:jc w:val="both"/>
        <w:rPr>
          <w:rFonts w:asciiTheme="majorHAnsi" w:hAnsiTheme="majorHAnsi" w:cs="Calibri"/>
          <w:sz w:val="20"/>
          <w:szCs w:val="20"/>
          <w:lang w:val="pt-BR"/>
        </w:rPr>
      </w:pPr>
      <w:r w:rsidRPr="00473FE3">
        <w:rPr>
          <w:rFonts w:asciiTheme="majorHAnsi" w:hAnsiTheme="majorHAnsi"/>
          <w:sz w:val="20"/>
          <w:szCs w:val="20"/>
          <w:lang w:val="pt-BR"/>
        </w:rPr>
        <w:t>Quispe De Gamboa, Ciriana (aged 66)</w:t>
      </w:r>
    </w:p>
    <w:sectPr w:rsidR="004323EA" w:rsidRPr="00473FE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620" w:rsidRDefault="00A93620">
      <w:r>
        <w:separator/>
      </w:r>
    </w:p>
  </w:endnote>
  <w:endnote w:type="continuationSeparator" w:id="0">
    <w:p w:rsidR="00A93620" w:rsidRDefault="00A9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AE3" w:rsidRDefault="007D0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1F65DC" w:rsidRPr="00934A2C" w:rsidRDefault="001F65D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D0AE3">
          <w:rPr>
            <w:noProof/>
            <w:sz w:val="16"/>
            <w:szCs w:val="22"/>
          </w:rPr>
          <w:t>3</w:t>
        </w:r>
        <w:r w:rsidRPr="00934A2C">
          <w:rPr>
            <w:sz w:val="16"/>
            <w:szCs w:val="22"/>
          </w:rPr>
          <w:fldChar w:fldCharType="end"/>
        </w:r>
      </w:p>
    </w:sdtContent>
  </w:sdt>
  <w:p w:rsidR="001F65DC" w:rsidRDefault="001F65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DC" w:rsidRPr="00934A2C" w:rsidRDefault="001F65DC">
    <w:pPr>
      <w:pStyle w:val="Footer"/>
      <w:jc w:val="center"/>
      <w:rPr>
        <w:sz w:val="16"/>
        <w:szCs w:val="22"/>
      </w:rPr>
    </w:pPr>
  </w:p>
  <w:p w:rsidR="001F65DC" w:rsidRDefault="001F6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620" w:rsidRPr="000F35ED" w:rsidRDefault="00A9362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93620" w:rsidRPr="000F35ED" w:rsidRDefault="00A93620" w:rsidP="000F35ED">
      <w:pPr>
        <w:rPr>
          <w:rFonts w:asciiTheme="majorHAnsi" w:hAnsiTheme="majorHAnsi"/>
          <w:sz w:val="16"/>
          <w:szCs w:val="16"/>
        </w:rPr>
      </w:pPr>
      <w:r w:rsidRPr="000F35ED">
        <w:rPr>
          <w:rFonts w:asciiTheme="majorHAnsi" w:hAnsiTheme="majorHAnsi"/>
          <w:sz w:val="16"/>
          <w:szCs w:val="16"/>
        </w:rPr>
        <w:separator/>
      </w:r>
    </w:p>
    <w:p w:rsidR="00A93620" w:rsidRPr="000F35ED" w:rsidRDefault="00A9362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A93620" w:rsidRPr="000F35ED" w:rsidRDefault="00A9362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1D389D" w:rsidRPr="00F22D1D" w:rsidRDefault="001D389D" w:rsidP="001D389D">
      <w:pPr>
        <w:pStyle w:val="FootnoteText"/>
        <w:spacing w:before="120"/>
        <w:ind w:firstLine="720"/>
        <w:jc w:val="both"/>
        <w:rPr>
          <w:rFonts w:asciiTheme="majorHAnsi" w:hAnsiTheme="majorHAnsi"/>
          <w:sz w:val="18"/>
          <w:szCs w:val="18"/>
        </w:rPr>
      </w:pPr>
      <w:r w:rsidRPr="00F22D1D">
        <w:rPr>
          <w:rStyle w:val="FootnoteReference"/>
          <w:rFonts w:asciiTheme="majorHAnsi" w:hAnsiTheme="majorHAnsi"/>
          <w:sz w:val="18"/>
          <w:szCs w:val="18"/>
        </w:rPr>
        <w:footnoteRef/>
      </w:r>
      <w:r>
        <w:rPr>
          <w:rFonts w:asciiTheme="majorHAnsi" w:hAnsiTheme="majorHAnsi"/>
          <w:sz w:val="18"/>
          <w:szCs w:val="18"/>
        </w:rPr>
        <w:t xml:space="preserve"> The petition was submitted by the Asociación Pro Derechos Humanos Runamasinchiqpaq (Runamasinchiqpaq Human Rights Association), but through a note from March 27, 2014 the alleged victims informed that APRODEH would assume its legal representation.</w:t>
      </w:r>
    </w:p>
  </w:footnote>
  <w:footnote w:id="3">
    <w:p w:rsidR="001F65DC" w:rsidRPr="00F22D1D" w:rsidRDefault="001F65DC" w:rsidP="001D389D">
      <w:pPr>
        <w:pStyle w:val="FootnoteText"/>
        <w:spacing w:before="120"/>
        <w:ind w:firstLine="720"/>
        <w:jc w:val="both"/>
        <w:rPr>
          <w:rFonts w:asciiTheme="majorHAnsi" w:hAnsiTheme="majorHAnsi"/>
          <w:sz w:val="18"/>
          <w:szCs w:val="18"/>
        </w:rPr>
      </w:pPr>
      <w:r w:rsidRPr="00F22D1D">
        <w:rPr>
          <w:rStyle w:val="FootnoteReference"/>
          <w:rFonts w:asciiTheme="majorHAnsi" w:hAnsiTheme="majorHAnsi"/>
          <w:sz w:val="18"/>
          <w:szCs w:val="18"/>
        </w:rPr>
        <w:footnoteRef/>
      </w:r>
      <w:r>
        <w:rPr>
          <w:rFonts w:asciiTheme="majorHAnsi" w:hAnsiTheme="majorHAnsi"/>
          <w:sz w:val="18"/>
          <w:szCs w:val="18"/>
        </w:rPr>
        <w:t xml:space="preserve"> The petition refers to 70 alleged victims, who are individualized in the annexed document.</w:t>
      </w:r>
    </w:p>
  </w:footnote>
  <w:footnote w:id="4">
    <w:p w:rsidR="001F65DC" w:rsidRPr="00F22D1D" w:rsidRDefault="001F65DC" w:rsidP="001D389D">
      <w:pPr>
        <w:pStyle w:val="FootnoteText"/>
        <w:spacing w:before="120"/>
        <w:ind w:firstLine="720"/>
        <w:jc w:val="both"/>
        <w:rPr>
          <w:rFonts w:asciiTheme="majorHAnsi" w:hAnsiTheme="majorHAnsi"/>
          <w:sz w:val="18"/>
          <w:szCs w:val="18"/>
        </w:rPr>
      </w:pPr>
      <w:r w:rsidRPr="00F22D1D">
        <w:rPr>
          <w:rStyle w:val="FootnoteReference"/>
          <w:rFonts w:asciiTheme="majorHAnsi" w:hAnsiTheme="majorHAnsi"/>
          <w:sz w:val="18"/>
          <w:szCs w:val="18"/>
        </w:rPr>
        <w:footnoteRef/>
      </w:r>
      <w:r>
        <w:rPr>
          <w:rFonts w:asciiTheme="majorHAnsi" w:hAnsiTheme="majorHAnsi"/>
          <w:sz w:val="18"/>
          <w:szCs w:val="18"/>
        </w:rPr>
        <w:t xml:space="preserve"> Pursuant to Article 17.2 of the Commission’s Rules of Procedure, Commissioner Francisco José Eguiguren Praeli, of Peruvian nationality, did not participate in the debate of the present case’s decision.</w:t>
      </w:r>
    </w:p>
  </w:footnote>
  <w:footnote w:id="5">
    <w:p w:rsidR="001F65DC" w:rsidRPr="00F22D1D" w:rsidRDefault="001F65DC" w:rsidP="001D389D">
      <w:pPr>
        <w:pStyle w:val="FootnoteText"/>
        <w:spacing w:before="120"/>
        <w:ind w:firstLine="720"/>
        <w:jc w:val="both"/>
        <w:rPr>
          <w:rFonts w:asciiTheme="majorHAnsi" w:hAnsiTheme="majorHAnsi"/>
          <w:sz w:val="18"/>
          <w:szCs w:val="18"/>
        </w:rPr>
      </w:pPr>
      <w:r w:rsidRPr="00F22D1D">
        <w:rPr>
          <w:rStyle w:val="FootnoteReference"/>
          <w:rFonts w:asciiTheme="majorHAnsi" w:hAnsiTheme="majorHAnsi"/>
          <w:sz w:val="18"/>
          <w:szCs w:val="18"/>
        </w:rPr>
        <w:footnoteRef/>
      </w:r>
      <w:r w:rsidR="009277A5">
        <w:rPr>
          <w:rFonts w:asciiTheme="majorHAnsi" w:hAnsiTheme="majorHAnsi"/>
          <w:sz w:val="18"/>
          <w:szCs w:val="18"/>
        </w:rPr>
        <w:t xml:space="preserve"> Hereinafter</w:t>
      </w:r>
      <w:r>
        <w:rPr>
          <w:rFonts w:asciiTheme="majorHAnsi" w:hAnsiTheme="majorHAnsi"/>
          <w:sz w:val="18"/>
          <w:szCs w:val="18"/>
        </w:rPr>
        <w:t xml:space="preserve"> “Convention” or “American Convention.”</w:t>
      </w:r>
    </w:p>
  </w:footnote>
  <w:footnote w:id="6">
    <w:p w:rsidR="001F65DC" w:rsidRPr="00F22D1D" w:rsidRDefault="001F65DC" w:rsidP="001D389D">
      <w:pPr>
        <w:pStyle w:val="FootnoteText"/>
        <w:spacing w:before="120"/>
        <w:ind w:firstLine="720"/>
        <w:jc w:val="both"/>
        <w:rPr>
          <w:rFonts w:asciiTheme="majorHAnsi" w:hAnsiTheme="majorHAnsi"/>
          <w:sz w:val="18"/>
          <w:szCs w:val="18"/>
        </w:rPr>
      </w:pPr>
      <w:r w:rsidRPr="00F22D1D">
        <w:rPr>
          <w:rStyle w:val="FootnoteReference"/>
          <w:rFonts w:asciiTheme="majorHAnsi" w:hAnsiTheme="majorHAnsi"/>
          <w:sz w:val="18"/>
          <w:szCs w:val="18"/>
        </w:rPr>
        <w:footnoteRef/>
      </w:r>
      <w:r>
        <w:rPr>
          <w:rFonts w:asciiTheme="majorHAnsi" w:hAnsiTheme="majorHAnsi"/>
          <w:sz w:val="18"/>
          <w:szCs w:val="18"/>
        </w:rPr>
        <w:t xml:space="preserve"> Hereinafter “CIDFP”</w:t>
      </w:r>
    </w:p>
  </w:footnote>
  <w:footnote w:id="7">
    <w:p w:rsidR="001F65DC" w:rsidRPr="00F22D1D" w:rsidRDefault="001F65DC" w:rsidP="00FE4EEB">
      <w:pPr>
        <w:pStyle w:val="FootnoteText"/>
        <w:keepLines/>
        <w:spacing w:before="120"/>
        <w:ind w:firstLine="720"/>
        <w:jc w:val="both"/>
        <w:rPr>
          <w:rFonts w:asciiTheme="majorHAnsi" w:hAnsiTheme="majorHAnsi"/>
          <w:sz w:val="18"/>
          <w:szCs w:val="18"/>
        </w:rPr>
      </w:pPr>
      <w:r w:rsidRPr="00F22D1D">
        <w:rPr>
          <w:rStyle w:val="FootnoteReference"/>
          <w:rFonts w:asciiTheme="majorHAnsi" w:hAnsiTheme="majorHAnsi"/>
          <w:sz w:val="18"/>
          <w:szCs w:val="18"/>
        </w:rPr>
        <w:footnoteRef/>
      </w:r>
      <w:r>
        <w:rPr>
          <w:rFonts w:asciiTheme="majorHAnsi" w:hAnsiTheme="majorHAnsi"/>
          <w:sz w:val="18"/>
          <w:szCs w:val="18"/>
        </w:rPr>
        <w:t xml:space="preserve"> Hereinafter “CIPST”</w:t>
      </w:r>
    </w:p>
  </w:footnote>
  <w:footnote w:id="8">
    <w:p w:rsidR="001F65DC" w:rsidRPr="00F22D1D" w:rsidRDefault="001F65DC" w:rsidP="001D389D">
      <w:pPr>
        <w:pStyle w:val="FootnoteText"/>
        <w:spacing w:before="120"/>
        <w:ind w:firstLine="720"/>
        <w:jc w:val="both"/>
        <w:rPr>
          <w:rFonts w:asciiTheme="majorHAnsi" w:hAnsiTheme="majorHAnsi"/>
          <w:sz w:val="18"/>
          <w:szCs w:val="18"/>
        </w:rPr>
      </w:pPr>
      <w:r w:rsidRPr="00F22D1D">
        <w:rPr>
          <w:rStyle w:val="FootnoteReference"/>
          <w:rFonts w:asciiTheme="majorHAnsi" w:hAnsiTheme="majorHAnsi"/>
          <w:color w:val="auto"/>
          <w:sz w:val="18"/>
          <w:szCs w:val="18"/>
        </w:rPr>
        <w:footnoteRef/>
      </w:r>
      <w:r>
        <w:rPr>
          <w:rFonts w:asciiTheme="majorHAnsi" w:hAnsiTheme="majorHAnsi"/>
          <w:color w:val="auto"/>
          <w:sz w:val="18"/>
          <w:szCs w:val="18"/>
        </w:rPr>
        <w:t xml:space="preserve"> International Convention on Civil and Political Rights and the Convention against Torture and Other Cruel, Inhuman or Degrading Treatment or Punishment of the United Nations.</w:t>
      </w:r>
    </w:p>
  </w:footnote>
  <w:footnote w:id="9">
    <w:p w:rsidR="001F65DC" w:rsidRPr="00F22D1D" w:rsidRDefault="001F65DC" w:rsidP="001D389D">
      <w:pPr>
        <w:pStyle w:val="FootnoteText"/>
        <w:spacing w:before="120"/>
        <w:ind w:firstLine="720"/>
        <w:jc w:val="both"/>
        <w:rPr>
          <w:rFonts w:asciiTheme="majorHAnsi" w:hAnsiTheme="majorHAnsi"/>
          <w:sz w:val="18"/>
          <w:szCs w:val="18"/>
        </w:rPr>
      </w:pPr>
      <w:r w:rsidRPr="00F22D1D">
        <w:rPr>
          <w:rStyle w:val="FootnoteReference"/>
          <w:rFonts w:asciiTheme="majorHAnsi" w:hAnsiTheme="majorHAnsi"/>
          <w:sz w:val="18"/>
          <w:szCs w:val="18"/>
        </w:rPr>
        <w:footnoteRef/>
      </w:r>
      <w:r>
        <w:rPr>
          <w:rFonts w:asciiTheme="majorHAnsi" w:hAnsiTheme="majorHAnsi"/>
          <w:sz w:val="18"/>
          <w:szCs w:val="18"/>
        </w:rPr>
        <w:t xml:space="preserve"> The observations presented by each party were duly forwarded to the opposing party.</w:t>
      </w:r>
    </w:p>
  </w:footnote>
  <w:footnote w:id="10">
    <w:p w:rsidR="00557FB1" w:rsidRPr="00F22D1D" w:rsidRDefault="00557FB1" w:rsidP="00557FB1">
      <w:pPr>
        <w:pStyle w:val="FootnoteText"/>
        <w:spacing w:before="120"/>
        <w:ind w:firstLine="720"/>
        <w:jc w:val="both"/>
        <w:rPr>
          <w:rFonts w:asciiTheme="majorHAnsi" w:hAnsiTheme="majorHAnsi"/>
          <w:sz w:val="18"/>
          <w:szCs w:val="18"/>
        </w:rPr>
      </w:pPr>
      <w:r w:rsidRPr="00F22D1D">
        <w:rPr>
          <w:rStyle w:val="FootnoteReference"/>
          <w:rFonts w:asciiTheme="majorHAnsi" w:hAnsiTheme="majorHAnsi"/>
          <w:sz w:val="18"/>
          <w:szCs w:val="18"/>
        </w:rPr>
        <w:footnoteRef/>
      </w:r>
      <w:r>
        <w:rPr>
          <w:rFonts w:asciiTheme="majorHAnsi" w:hAnsiTheme="majorHAnsi"/>
          <w:sz w:val="18"/>
          <w:szCs w:val="18"/>
        </w:rPr>
        <w:t xml:space="preserve"> The petitioner has sent multiple notifications to the IACHR requesting information on the petition’s status. The latest of the said communications is from September 21, 2016.</w:t>
      </w:r>
    </w:p>
  </w:footnote>
  <w:footnote w:id="11">
    <w:p w:rsidR="001F65DC" w:rsidRPr="00F22D1D" w:rsidRDefault="001F65DC" w:rsidP="001D389D">
      <w:pPr>
        <w:pStyle w:val="FootnoteText"/>
        <w:spacing w:before="120"/>
        <w:ind w:firstLine="720"/>
        <w:jc w:val="both"/>
        <w:rPr>
          <w:rFonts w:asciiTheme="majorHAnsi" w:hAnsiTheme="majorHAnsi"/>
          <w:sz w:val="18"/>
          <w:szCs w:val="18"/>
        </w:rPr>
      </w:pPr>
      <w:r w:rsidRPr="00F22D1D">
        <w:rPr>
          <w:rStyle w:val="FootnoteReference"/>
          <w:rFonts w:asciiTheme="majorHAnsi" w:hAnsiTheme="majorHAnsi"/>
          <w:sz w:val="18"/>
          <w:szCs w:val="18"/>
        </w:rPr>
        <w:footnoteRef/>
      </w:r>
      <w:r>
        <w:rPr>
          <w:rFonts w:asciiTheme="majorHAnsi" w:hAnsiTheme="majorHAnsi"/>
          <w:sz w:val="18"/>
          <w:szCs w:val="18"/>
        </w:rPr>
        <w:t xml:space="preserve"> Hereinafter “Convención de Belem do Pará."</w:t>
      </w:r>
    </w:p>
  </w:footnote>
  <w:footnote w:id="12">
    <w:p w:rsidR="001F65DC" w:rsidRPr="00F22D1D" w:rsidRDefault="001F65DC" w:rsidP="005F4FDB">
      <w:pPr>
        <w:pStyle w:val="FootnoteText"/>
        <w:spacing w:before="120"/>
        <w:ind w:firstLine="720"/>
        <w:jc w:val="both"/>
        <w:rPr>
          <w:rFonts w:asciiTheme="majorHAnsi" w:hAnsiTheme="majorHAnsi"/>
          <w:sz w:val="18"/>
          <w:szCs w:val="18"/>
        </w:rPr>
      </w:pPr>
      <w:r w:rsidRPr="00F22D1D">
        <w:rPr>
          <w:rStyle w:val="FootnoteReference"/>
          <w:rFonts w:asciiTheme="majorHAnsi" w:hAnsiTheme="majorHAnsi"/>
          <w:sz w:val="18"/>
          <w:szCs w:val="18"/>
        </w:rPr>
        <w:footnoteRef/>
      </w:r>
      <w:r>
        <w:rPr>
          <w:rFonts w:asciiTheme="majorHAnsi" w:hAnsiTheme="majorHAnsi"/>
          <w:sz w:val="18"/>
          <w:szCs w:val="18"/>
        </w:rPr>
        <w:t xml:space="preserve"> IACHR, Report No. 157/17. Admissibility. Carlos Andrade Almeida and others. Ecuador. November 30, 2017, para. 19.</w:t>
      </w:r>
    </w:p>
    <w:p w:rsidR="001F65DC" w:rsidRPr="00F22D1D" w:rsidRDefault="001F65DC" w:rsidP="008B37FE">
      <w:pPr>
        <w:pStyle w:val="FootnoteText"/>
        <w:rPr>
          <w:rFonts w:asciiTheme="majorHAnsi" w:hAnsiTheme="majorHAnsi"/>
          <w:sz w:val="18"/>
          <w:szCs w:val="18"/>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DC" w:rsidRDefault="001F65DC" w:rsidP="008C658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F65DC" w:rsidRDefault="001F6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DC" w:rsidRDefault="006532A2" w:rsidP="00A50FCF">
    <w:pPr>
      <w:pStyle w:val="Header"/>
      <w:tabs>
        <w:tab w:val="clear" w:pos="4320"/>
        <w:tab w:val="clear" w:pos="8640"/>
      </w:tabs>
      <w:jc w:val="center"/>
      <w:rPr>
        <w:sz w:val="22"/>
        <w:szCs w:val="22"/>
      </w:rPr>
    </w:pPr>
    <w:r>
      <w:rPr>
        <w:noProof/>
        <w:sz w:val="22"/>
        <w:szCs w:val="22"/>
      </w:rPr>
      <w:drawing>
        <wp:inline distT="0" distB="0" distL="0" distR="0" wp14:anchorId="0259BD6F" wp14:editId="47C4EFE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1F65DC" w:rsidRPr="00EC7D62" w:rsidRDefault="00A9362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AE3" w:rsidRDefault="007D0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6053"/>
    <w:multiLevelType w:val="hybridMultilevel"/>
    <w:tmpl w:val="40D20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1"/>
  </w:num>
  <w:num w:numId="54">
    <w:abstractNumId w:val="41"/>
  </w:num>
  <w:num w:numId="55">
    <w:abstractNumId w:val="42"/>
  </w:num>
  <w:num w:numId="56">
    <w:abstractNumId w:val="48"/>
  </w:num>
  <w:num w:numId="57">
    <w:abstractNumId w:val="2"/>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4"/>
  </w:num>
  <w:num w:numId="101">
    <w:abstractNumId w:val="28"/>
  </w:num>
  <w:num w:numId="102">
    <w:abstractNumId w:val="51"/>
  </w:num>
  <w:num w:numId="103">
    <w:abstractNumId w:val="7"/>
  </w:num>
  <w:num w:numId="104">
    <w:abstractNumId w:val="66"/>
  </w:num>
  <w:num w:numId="105">
    <w:abstractNumId w:val="55"/>
  </w:num>
  <w:num w:numId="106">
    <w:abstractNumId w:val="5"/>
  </w:num>
  <w:num w:numId="107">
    <w:abstractNumId w:val="32"/>
  </w:num>
  <w:num w:numId="108">
    <w:abstractNumId w:val="15"/>
  </w:num>
  <w:num w:numId="109">
    <w:abstractNumId w:val="47"/>
  </w:num>
  <w:num w:numId="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0FE1"/>
    <w:rsid w:val="00004639"/>
    <w:rsid w:val="00004711"/>
    <w:rsid w:val="00006E1F"/>
    <w:rsid w:val="000070D7"/>
    <w:rsid w:val="0001788C"/>
    <w:rsid w:val="00024BD6"/>
    <w:rsid w:val="00030FA6"/>
    <w:rsid w:val="000318A4"/>
    <w:rsid w:val="00032E81"/>
    <w:rsid w:val="000337EF"/>
    <w:rsid w:val="00035159"/>
    <w:rsid w:val="000364D0"/>
    <w:rsid w:val="00040C3A"/>
    <w:rsid w:val="000419AD"/>
    <w:rsid w:val="000523C7"/>
    <w:rsid w:val="00061953"/>
    <w:rsid w:val="00063D8A"/>
    <w:rsid w:val="0006521C"/>
    <w:rsid w:val="000654FA"/>
    <w:rsid w:val="00070377"/>
    <w:rsid w:val="000716C5"/>
    <w:rsid w:val="00075E23"/>
    <w:rsid w:val="00083D6C"/>
    <w:rsid w:val="0009344A"/>
    <w:rsid w:val="00097593"/>
    <w:rsid w:val="000A392E"/>
    <w:rsid w:val="000A575F"/>
    <w:rsid w:val="000A6F07"/>
    <w:rsid w:val="000B7B0E"/>
    <w:rsid w:val="000C5518"/>
    <w:rsid w:val="000D10DB"/>
    <w:rsid w:val="000D412D"/>
    <w:rsid w:val="000E2909"/>
    <w:rsid w:val="000E295B"/>
    <w:rsid w:val="000E4BBB"/>
    <w:rsid w:val="000E5EB5"/>
    <w:rsid w:val="000E75AA"/>
    <w:rsid w:val="000E7FC1"/>
    <w:rsid w:val="000F35ED"/>
    <w:rsid w:val="000F4215"/>
    <w:rsid w:val="000F4455"/>
    <w:rsid w:val="000F4F2B"/>
    <w:rsid w:val="00100284"/>
    <w:rsid w:val="00101EC9"/>
    <w:rsid w:val="00107131"/>
    <w:rsid w:val="0010736F"/>
    <w:rsid w:val="00113F73"/>
    <w:rsid w:val="0011592B"/>
    <w:rsid w:val="00121CC2"/>
    <w:rsid w:val="00125A18"/>
    <w:rsid w:val="00133EE5"/>
    <w:rsid w:val="001350D4"/>
    <w:rsid w:val="0013605F"/>
    <w:rsid w:val="001413F9"/>
    <w:rsid w:val="0014234B"/>
    <w:rsid w:val="001428EA"/>
    <w:rsid w:val="0014464F"/>
    <w:rsid w:val="00144FEE"/>
    <w:rsid w:val="001522F2"/>
    <w:rsid w:val="00161EA5"/>
    <w:rsid w:val="00162509"/>
    <w:rsid w:val="0016493D"/>
    <w:rsid w:val="00167A34"/>
    <w:rsid w:val="001745C1"/>
    <w:rsid w:val="00184583"/>
    <w:rsid w:val="00186D03"/>
    <w:rsid w:val="001A3ED3"/>
    <w:rsid w:val="001A7870"/>
    <w:rsid w:val="001B3A00"/>
    <w:rsid w:val="001C1B41"/>
    <w:rsid w:val="001C2464"/>
    <w:rsid w:val="001C4296"/>
    <w:rsid w:val="001D0843"/>
    <w:rsid w:val="001D389D"/>
    <w:rsid w:val="001D65EF"/>
    <w:rsid w:val="001E49E7"/>
    <w:rsid w:val="001F65DC"/>
    <w:rsid w:val="001F7201"/>
    <w:rsid w:val="00204B9A"/>
    <w:rsid w:val="00207E72"/>
    <w:rsid w:val="0021421C"/>
    <w:rsid w:val="00215748"/>
    <w:rsid w:val="00217C95"/>
    <w:rsid w:val="00220792"/>
    <w:rsid w:val="00223A29"/>
    <w:rsid w:val="002250A3"/>
    <w:rsid w:val="00234A19"/>
    <w:rsid w:val="00235217"/>
    <w:rsid w:val="00246A4C"/>
    <w:rsid w:val="00246D1F"/>
    <w:rsid w:val="00247403"/>
    <w:rsid w:val="00247542"/>
    <w:rsid w:val="002544FB"/>
    <w:rsid w:val="00254EF9"/>
    <w:rsid w:val="00266B61"/>
    <w:rsid w:val="0026712A"/>
    <w:rsid w:val="002704DB"/>
    <w:rsid w:val="00273D2A"/>
    <w:rsid w:val="00274E95"/>
    <w:rsid w:val="00282852"/>
    <w:rsid w:val="00285CD0"/>
    <w:rsid w:val="00286DC2"/>
    <w:rsid w:val="0029348F"/>
    <w:rsid w:val="00295593"/>
    <w:rsid w:val="002A0AAE"/>
    <w:rsid w:val="002A5820"/>
    <w:rsid w:val="002A640D"/>
    <w:rsid w:val="002B2BCF"/>
    <w:rsid w:val="002B3AE7"/>
    <w:rsid w:val="002C03DB"/>
    <w:rsid w:val="002C0948"/>
    <w:rsid w:val="002D1408"/>
    <w:rsid w:val="002D2B26"/>
    <w:rsid w:val="002D7EA2"/>
    <w:rsid w:val="002E030A"/>
    <w:rsid w:val="002E187C"/>
    <w:rsid w:val="002E4AA8"/>
    <w:rsid w:val="002E56B7"/>
    <w:rsid w:val="002E60AD"/>
    <w:rsid w:val="00302733"/>
    <w:rsid w:val="003079DC"/>
    <w:rsid w:val="00307E4F"/>
    <w:rsid w:val="00313D57"/>
    <w:rsid w:val="00314078"/>
    <w:rsid w:val="003143B6"/>
    <w:rsid w:val="0031535D"/>
    <w:rsid w:val="00316216"/>
    <w:rsid w:val="003239B8"/>
    <w:rsid w:val="0033169F"/>
    <w:rsid w:val="00341C61"/>
    <w:rsid w:val="00344977"/>
    <w:rsid w:val="00346C95"/>
    <w:rsid w:val="00356185"/>
    <w:rsid w:val="00360380"/>
    <w:rsid w:val="00360CDA"/>
    <w:rsid w:val="003670EA"/>
    <w:rsid w:val="0037473D"/>
    <w:rsid w:val="0037519E"/>
    <w:rsid w:val="0038575E"/>
    <w:rsid w:val="00386CF0"/>
    <w:rsid w:val="003876BC"/>
    <w:rsid w:val="003A1A66"/>
    <w:rsid w:val="003A5652"/>
    <w:rsid w:val="003B2AE3"/>
    <w:rsid w:val="003B70FB"/>
    <w:rsid w:val="003C676B"/>
    <w:rsid w:val="003D3BC2"/>
    <w:rsid w:val="003E0B94"/>
    <w:rsid w:val="003E4D2C"/>
    <w:rsid w:val="003E5618"/>
    <w:rsid w:val="003E6CA1"/>
    <w:rsid w:val="004054D2"/>
    <w:rsid w:val="004061AD"/>
    <w:rsid w:val="004065A8"/>
    <w:rsid w:val="004165C2"/>
    <w:rsid w:val="004323EA"/>
    <w:rsid w:val="00441DAC"/>
    <w:rsid w:val="00441ECB"/>
    <w:rsid w:val="0044289C"/>
    <w:rsid w:val="00445193"/>
    <w:rsid w:val="00462C1B"/>
    <w:rsid w:val="00463EF9"/>
    <w:rsid w:val="00467B7E"/>
    <w:rsid w:val="00473BB4"/>
    <w:rsid w:val="00473FE3"/>
    <w:rsid w:val="00477592"/>
    <w:rsid w:val="00486E94"/>
    <w:rsid w:val="00486F1C"/>
    <w:rsid w:val="00487C99"/>
    <w:rsid w:val="0049419D"/>
    <w:rsid w:val="00496E43"/>
    <w:rsid w:val="004A6A54"/>
    <w:rsid w:val="004C0FC1"/>
    <w:rsid w:val="004C20D2"/>
    <w:rsid w:val="004C2312"/>
    <w:rsid w:val="004C4B62"/>
    <w:rsid w:val="004C54C9"/>
    <w:rsid w:val="004D4ABA"/>
    <w:rsid w:val="004D6025"/>
    <w:rsid w:val="004E1DD4"/>
    <w:rsid w:val="004E2649"/>
    <w:rsid w:val="004E7244"/>
    <w:rsid w:val="004F66F4"/>
    <w:rsid w:val="00501399"/>
    <w:rsid w:val="0050633D"/>
    <w:rsid w:val="00506DA4"/>
    <w:rsid w:val="00507BC4"/>
    <w:rsid w:val="00511F69"/>
    <w:rsid w:val="005128E4"/>
    <w:rsid w:val="005133DB"/>
    <w:rsid w:val="005157F7"/>
    <w:rsid w:val="005213E9"/>
    <w:rsid w:val="00525560"/>
    <w:rsid w:val="005350F4"/>
    <w:rsid w:val="005377F9"/>
    <w:rsid w:val="00537A16"/>
    <w:rsid w:val="005418DB"/>
    <w:rsid w:val="00544C49"/>
    <w:rsid w:val="00550C91"/>
    <w:rsid w:val="005516A1"/>
    <w:rsid w:val="00552CA8"/>
    <w:rsid w:val="005533E9"/>
    <w:rsid w:val="00557FB1"/>
    <w:rsid w:val="00563557"/>
    <w:rsid w:val="005724B6"/>
    <w:rsid w:val="00573065"/>
    <w:rsid w:val="00573966"/>
    <w:rsid w:val="0057402A"/>
    <w:rsid w:val="005771D0"/>
    <w:rsid w:val="0059191A"/>
    <w:rsid w:val="005921FF"/>
    <w:rsid w:val="005A1192"/>
    <w:rsid w:val="005A24ED"/>
    <w:rsid w:val="005A6D0E"/>
    <w:rsid w:val="005B2AC1"/>
    <w:rsid w:val="005B52B0"/>
    <w:rsid w:val="005B5E2B"/>
    <w:rsid w:val="005B5EBA"/>
    <w:rsid w:val="005B6806"/>
    <w:rsid w:val="005C4225"/>
    <w:rsid w:val="005C5198"/>
    <w:rsid w:val="005D0991"/>
    <w:rsid w:val="005D79C0"/>
    <w:rsid w:val="005E0FA6"/>
    <w:rsid w:val="005E1A5A"/>
    <w:rsid w:val="005E290A"/>
    <w:rsid w:val="005E4F50"/>
    <w:rsid w:val="005F0DAD"/>
    <w:rsid w:val="005F0F33"/>
    <w:rsid w:val="005F402B"/>
    <w:rsid w:val="005F4FDB"/>
    <w:rsid w:val="005F7F3A"/>
    <w:rsid w:val="00600DEB"/>
    <w:rsid w:val="00607586"/>
    <w:rsid w:val="0062788D"/>
    <w:rsid w:val="00627C9F"/>
    <w:rsid w:val="00630C5A"/>
    <w:rsid w:val="0063114A"/>
    <w:rsid w:val="006311E9"/>
    <w:rsid w:val="006315E1"/>
    <w:rsid w:val="00632354"/>
    <w:rsid w:val="00642810"/>
    <w:rsid w:val="00644ADB"/>
    <w:rsid w:val="006509C9"/>
    <w:rsid w:val="00651878"/>
    <w:rsid w:val="00652333"/>
    <w:rsid w:val="006532A2"/>
    <w:rsid w:val="00655353"/>
    <w:rsid w:val="006559DD"/>
    <w:rsid w:val="0066210A"/>
    <w:rsid w:val="006632F2"/>
    <w:rsid w:val="00664A04"/>
    <w:rsid w:val="00675707"/>
    <w:rsid w:val="0068009E"/>
    <w:rsid w:val="00692219"/>
    <w:rsid w:val="00693624"/>
    <w:rsid w:val="006A17D2"/>
    <w:rsid w:val="006A2026"/>
    <w:rsid w:val="006A73E6"/>
    <w:rsid w:val="006B2D5C"/>
    <w:rsid w:val="006B7ACE"/>
    <w:rsid w:val="006C4EB1"/>
    <w:rsid w:val="006D692C"/>
    <w:rsid w:val="006E0166"/>
    <w:rsid w:val="006E7B34"/>
    <w:rsid w:val="006F6AA6"/>
    <w:rsid w:val="0070697F"/>
    <w:rsid w:val="00710941"/>
    <w:rsid w:val="00714799"/>
    <w:rsid w:val="0072199C"/>
    <w:rsid w:val="00722C9F"/>
    <w:rsid w:val="007253B8"/>
    <w:rsid w:val="00725AD2"/>
    <w:rsid w:val="0073301C"/>
    <w:rsid w:val="0073741F"/>
    <w:rsid w:val="007475DD"/>
    <w:rsid w:val="00760D5E"/>
    <w:rsid w:val="0076643F"/>
    <w:rsid w:val="00777F63"/>
    <w:rsid w:val="00781E5C"/>
    <w:rsid w:val="00781E73"/>
    <w:rsid w:val="00791431"/>
    <w:rsid w:val="007924B3"/>
    <w:rsid w:val="00795BBD"/>
    <w:rsid w:val="007A2A5D"/>
    <w:rsid w:val="007A3C4A"/>
    <w:rsid w:val="007A4FDD"/>
    <w:rsid w:val="007A5817"/>
    <w:rsid w:val="007B05C4"/>
    <w:rsid w:val="007B0D9B"/>
    <w:rsid w:val="007B1D2B"/>
    <w:rsid w:val="007B1D73"/>
    <w:rsid w:val="007B60E9"/>
    <w:rsid w:val="007B6CC3"/>
    <w:rsid w:val="007B754B"/>
    <w:rsid w:val="007C03E8"/>
    <w:rsid w:val="007C3334"/>
    <w:rsid w:val="007C5509"/>
    <w:rsid w:val="007C76B2"/>
    <w:rsid w:val="007D0AE3"/>
    <w:rsid w:val="007D2B98"/>
    <w:rsid w:val="007E054D"/>
    <w:rsid w:val="007E21BC"/>
    <w:rsid w:val="007E7C82"/>
    <w:rsid w:val="007F1CFB"/>
    <w:rsid w:val="007F212F"/>
    <w:rsid w:val="007F588D"/>
    <w:rsid w:val="00803F1C"/>
    <w:rsid w:val="0080600E"/>
    <w:rsid w:val="00813E9D"/>
    <w:rsid w:val="00817612"/>
    <w:rsid w:val="008221E3"/>
    <w:rsid w:val="00824265"/>
    <w:rsid w:val="008338A4"/>
    <w:rsid w:val="00834D49"/>
    <w:rsid w:val="00836F78"/>
    <w:rsid w:val="00837C45"/>
    <w:rsid w:val="00837DCB"/>
    <w:rsid w:val="00844730"/>
    <w:rsid w:val="008457C2"/>
    <w:rsid w:val="00857A82"/>
    <w:rsid w:val="0086198B"/>
    <w:rsid w:val="00867121"/>
    <w:rsid w:val="00873836"/>
    <w:rsid w:val="00875605"/>
    <w:rsid w:val="00885737"/>
    <w:rsid w:val="0088714F"/>
    <w:rsid w:val="008879AD"/>
    <w:rsid w:val="00890650"/>
    <w:rsid w:val="00891502"/>
    <w:rsid w:val="008916F2"/>
    <w:rsid w:val="00892177"/>
    <w:rsid w:val="00893271"/>
    <w:rsid w:val="00897E12"/>
    <w:rsid w:val="008A0CFE"/>
    <w:rsid w:val="008A7934"/>
    <w:rsid w:val="008A7E0F"/>
    <w:rsid w:val="008B12F5"/>
    <w:rsid w:val="008B37FE"/>
    <w:rsid w:val="008C1F3A"/>
    <w:rsid w:val="008C658B"/>
    <w:rsid w:val="008C7FEC"/>
    <w:rsid w:val="008D644A"/>
    <w:rsid w:val="008D768D"/>
    <w:rsid w:val="008E3759"/>
    <w:rsid w:val="008E3BFE"/>
    <w:rsid w:val="008E47CE"/>
    <w:rsid w:val="008E536F"/>
    <w:rsid w:val="008F1912"/>
    <w:rsid w:val="008F2A88"/>
    <w:rsid w:val="008F4D82"/>
    <w:rsid w:val="008F7B8B"/>
    <w:rsid w:val="00901D72"/>
    <w:rsid w:val="0090270B"/>
    <w:rsid w:val="009041DC"/>
    <w:rsid w:val="0090472D"/>
    <w:rsid w:val="00912F12"/>
    <w:rsid w:val="009142CB"/>
    <w:rsid w:val="00917B5A"/>
    <w:rsid w:val="00920A58"/>
    <w:rsid w:val="00920A8C"/>
    <w:rsid w:val="00926940"/>
    <w:rsid w:val="009277A5"/>
    <w:rsid w:val="00934A2C"/>
    <w:rsid w:val="0093648C"/>
    <w:rsid w:val="00937BC1"/>
    <w:rsid w:val="0096706E"/>
    <w:rsid w:val="00967580"/>
    <w:rsid w:val="00974491"/>
    <w:rsid w:val="00975C4E"/>
    <w:rsid w:val="00976320"/>
    <w:rsid w:val="00976C03"/>
    <w:rsid w:val="00981FBA"/>
    <w:rsid w:val="00991043"/>
    <w:rsid w:val="00992D54"/>
    <w:rsid w:val="009940DE"/>
    <w:rsid w:val="0099420B"/>
    <w:rsid w:val="00997BC5"/>
    <w:rsid w:val="009A411A"/>
    <w:rsid w:val="009A4F41"/>
    <w:rsid w:val="009A5E1C"/>
    <w:rsid w:val="009B1227"/>
    <w:rsid w:val="009B3644"/>
    <w:rsid w:val="009B381B"/>
    <w:rsid w:val="009D1753"/>
    <w:rsid w:val="009D37FC"/>
    <w:rsid w:val="009D41D8"/>
    <w:rsid w:val="009D7611"/>
    <w:rsid w:val="009E0B61"/>
    <w:rsid w:val="009E4216"/>
    <w:rsid w:val="009E53DE"/>
    <w:rsid w:val="009E6CCD"/>
    <w:rsid w:val="009F58BF"/>
    <w:rsid w:val="009F74B2"/>
    <w:rsid w:val="00A00443"/>
    <w:rsid w:val="00A040E0"/>
    <w:rsid w:val="00A06E72"/>
    <w:rsid w:val="00A11E44"/>
    <w:rsid w:val="00A22A6D"/>
    <w:rsid w:val="00A23084"/>
    <w:rsid w:val="00A328B3"/>
    <w:rsid w:val="00A33149"/>
    <w:rsid w:val="00A37555"/>
    <w:rsid w:val="00A50BBE"/>
    <w:rsid w:val="00A50FCF"/>
    <w:rsid w:val="00A528D1"/>
    <w:rsid w:val="00A53905"/>
    <w:rsid w:val="00A56587"/>
    <w:rsid w:val="00A56F94"/>
    <w:rsid w:val="00A57E78"/>
    <w:rsid w:val="00A610CD"/>
    <w:rsid w:val="00A64496"/>
    <w:rsid w:val="00A67193"/>
    <w:rsid w:val="00A758AA"/>
    <w:rsid w:val="00A8235F"/>
    <w:rsid w:val="00A93620"/>
    <w:rsid w:val="00A95946"/>
    <w:rsid w:val="00AA09A2"/>
    <w:rsid w:val="00AA12BC"/>
    <w:rsid w:val="00AA4D50"/>
    <w:rsid w:val="00AA532A"/>
    <w:rsid w:val="00AA6769"/>
    <w:rsid w:val="00AA7996"/>
    <w:rsid w:val="00AB3A88"/>
    <w:rsid w:val="00AC19CB"/>
    <w:rsid w:val="00AC22A6"/>
    <w:rsid w:val="00AC444F"/>
    <w:rsid w:val="00AD1317"/>
    <w:rsid w:val="00AE17C0"/>
    <w:rsid w:val="00AE43FC"/>
    <w:rsid w:val="00AE5488"/>
    <w:rsid w:val="00AE6BBB"/>
    <w:rsid w:val="00AE6F91"/>
    <w:rsid w:val="00AE74AB"/>
    <w:rsid w:val="00AF3674"/>
    <w:rsid w:val="00AF5571"/>
    <w:rsid w:val="00B07341"/>
    <w:rsid w:val="00B21A1F"/>
    <w:rsid w:val="00B2613B"/>
    <w:rsid w:val="00B30539"/>
    <w:rsid w:val="00B314DB"/>
    <w:rsid w:val="00B32002"/>
    <w:rsid w:val="00B361F2"/>
    <w:rsid w:val="00B3718B"/>
    <w:rsid w:val="00B42A9C"/>
    <w:rsid w:val="00B4632A"/>
    <w:rsid w:val="00B530F1"/>
    <w:rsid w:val="00B72FFF"/>
    <w:rsid w:val="00B75B8B"/>
    <w:rsid w:val="00B82C6D"/>
    <w:rsid w:val="00B854D6"/>
    <w:rsid w:val="00BA276C"/>
    <w:rsid w:val="00BA4229"/>
    <w:rsid w:val="00BA66B5"/>
    <w:rsid w:val="00BB306F"/>
    <w:rsid w:val="00BC3DA0"/>
    <w:rsid w:val="00BC5F67"/>
    <w:rsid w:val="00BC6745"/>
    <w:rsid w:val="00BD4B89"/>
    <w:rsid w:val="00BD5922"/>
    <w:rsid w:val="00BE53C5"/>
    <w:rsid w:val="00BE5682"/>
    <w:rsid w:val="00BF02CB"/>
    <w:rsid w:val="00BF64A0"/>
    <w:rsid w:val="00BF6FD8"/>
    <w:rsid w:val="00C0204A"/>
    <w:rsid w:val="00C03680"/>
    <w:rsid w:val="00C054DF"/>
    <w:rsid w:val="00C06679"/>
    <w:rsid w:val="00C06A2F"/>
    <w:rsid w:val="00C13E65"/>
    <w:rsid w:val="00C141FD"/>
    <w:rsid w:val="00C21762"/>
    <w:rsid w:val="00C21FEF"/>
    <w:rsid w:val="00C24543"/>
    <w:rsid w:val="00C256A2"/>
    <w:rsid w:val="00C2735C"/>
    <w:rsid w:val="00C333D1"/>
    <w:rsid w:val="00C35A46"/>
    <w:rsid w:val="00C35C6F"/>
    <w:rsid w:val="00C44350"/>
    <w:rsid w:val="00C51515"/>
    <w:rsid w:val="00C5317E"/>
    <w:rsid w:val="00C5660B"/>
    <w:rsid w:val="00C641D7"/>
    <w:rsid w:val="00C646ED"/>
    <w:rsid w:val="00C66B72"/>
    <w:rsid w:val="00C732C1"/>
    <w:rsid w:val="00C75075"/>
    <w:rsid w:val="00C84B53"/>
    <w:rsid w:val="00C84F77"/>
    <w:rsid w:val="00C87AC4"/>
    <w:rsid w:val="00C908B4"/>
    <w:rsid w:val="00C9567A"/>
    <w:rsid w:val="00CA0062"/>
    <w:rsid w:val="00CA2B60"/>
    <w:rsid w:val="00CB212D"/>
    <w:rsid w:val="00CB2660"/>
    <w:rsid w:val="00CB2930"/>
    <w:rsid w:val="00CC00CC"/>
    <w:rsid w:val="00CC54D0"/>
    <w:rsid w:val="00CC5E90"/>
    <w:rsid w:val="00CC70DA"/>
    <w:rsid w:val="00CD046C"/>
    <w:rsid w:val="00CD0CBA"/>
    <w:rsid w:val="00CD7852"/>
    <w:rsid w:val="00CE02FE"/>
    <w:rsid w:val="00CE076C"/>
    <w:rsid w:val="00CE5199"/>
    <w:rsid w:val="00CE66D5"/>
    <w:rsid w:val="00CE716E"/>
    <w:rsid w:val="00CE7C6A"/>
    <w:rsid w:val="00CF2179"/>
    <w:rsid w:val="00CF2D1F"/>
    <w:rsid w:val="00CF5787"/>
    <w:rsid w:val="00CF637A"/>
    <w:rsid w:val="00CF729A"/>
    <w:rsid w:val="00D01FC2"/>
    <w:rsid w:val="00D0440C"/>
    <w:rsid w:val="00D059DE"/>
    <w:rsid w:val="00D05ABD"/>
    <w:rsid w:val="00D13FCE"/>
    <w:rsid w:val="00D163A9"/>
    <w:rsid w:val="00D17A18"/>
    <w:rsid w:val="00D26D5C"/>
    <w:rsid w:val="00D30443"/>
    <w:rsid w:val="00D306D1"/>
    <w:rsid w:val="00D30800"/>
    <w:rsid w:val="00D34786"/>
    <w:rsid w:val="00D34985"/>
    <w:rsid w:val="00D37BFC"/>
    <w:rsid w:val="00D47A8E"/>
    <w:rsid w:val="00D52D14"/>
    <w:rsid w:val="00D6574E"/>
    <w:rsid w:val="00D67F73"/>
    <w:rsid w:val="00D712D3"/>
    <w:rsid w:val="00D71422"/>
    <w:rsid w:val="00D72DC6"/>
    <w:rsid w:val="00D73B45"/>
    <w:rsid w:val="00D7558D"/>
    <w:rsid w:val="00D758AB"/>
    <w:rsid w:val="00D81D92"/>
    <w:rsid w:val="00D85DA9"/>
    <w:rsid w:val="00D86E62"/>
    <w:rsid w:val="00D876F9"/>
    <w:rsid w:val="00D962D4"/>
    <w:rsid w:val="00DA0AB1"/>
    <w:rsid w:val="00DA7B5F"/>
    <w:rsid w:val="00DB35C6"/>
    <w:rsid w:val="00DB51B2"/>
    <w:rsid w:val="00DC11E7"/>
    <w:rsid w:val="00DC7023"/>
    <w:rsid w:val="00DC7599"/>
    <w:rsid w:val="00DC769A"/>
    <w:rsid w:val="00DD3D86"/>
    <w:rsid w:val="00DD6E00"/>
    <w:rsid w:val="00DF1EC4"/>
    <w:rsid w:val="00E00D3E"/>
    <w:rsid w:val="00E01F47"/>
    <w:rsid w:val="00E0340B"/>
    <w:rsid w:val="00E04A90"/>
    <w:rsid w:val="00E0551F"/>
    <w:rsid w:val="00E07FA8"/>
    <w:rsid w:val="00E219C7"/>
    <w:rsid w:val="00E255E9"/>
    <w:rsid w:val="00E26093"/>
    <w:rsid w:val="00E278A6"/>
    <w:rsid w:val="00E339A8"/>
    <w:rsid w:val="00E404E2"/>
    <w:rsid w:val="00E4118C"/>
    <w:rsid w:val="00E413B1"/>
    <w:rsid w:val="00E43157"/>
    <w:rsid w:val="00E461CE"/>
    <w:rsid w:val="00E56368"/>
    <w:rsid w:val="00E60C63"/>
    <w:rsid w:val="00E70BF0"/>
    <w:rsid w:val="00E71E4A"/>
    <w:rsid w:val="00E720CA"/>
    <w:rsid w:val="00E73B29"/>
    <w:rsid w:val="00E80D55"/>
    <w:rsid w:val="00E84EB5"/>
    <w:rsid w:val="00E85662"/>
    <w:rsid w:val="00E8789F"/>
    <w:rsid w:val="00E97B71"/>
    <w:rsid w:val="00EA3D34"/>
    <w:rsid w:val="00EB009D"/>
    <w:rsid w:val="00EB454D"/>
    <w:rsid w:val="00EB570B"/>
    <w:rsid w:val="00ED0C3A"/>
    <w:rsid w:val="00ED549D"/>
    <w:rsid w:val="00ED76BE"/>
    <w:rsid w:val="00ED78CC"/>
    <w:rsid w:val="00ED7D80"/>
    <w:rsid w:val="00EE00E9"/>
    <w:rsid w:val="00EE2DF1"/>
    <w:rsid w:val="00EE3119"/>
    <w:rsid w:val="00EF619B"/>
    <w:rsid w:val="00F00B55"/>
    <w:rsid w:val="00F02AD1"/>
    <w:rsid w:val="00F22D1D"/>
    <w:rsid w:val="00F253CC"/>
    <w:rsid w:val="00F37106"/>
    <w:rsid w:val="00F372BA"/>
    <w:rsid w:val="00F37BE9"/>
    <w:rsid w:val="00F40762"/>
    <w:rsid w:val="00F42C0F"/>
    <w:rsid w:val="00F43FEE"/>
    <w:rsid w:val="00F511EF"/>
    <w:rsid w:val="00F519CF"/>
    <w:rsid w:val="00F56BA5"/>
    <w:rsid w:val="00F60E22"/>
    <w:rsid w:val="00F60FC1"/>
    <w:rsid w:val="00F6371E"/>
    <w:rsid w:val="00F67D6E"/>
    <w:rsid w:val="00F81395"/>
    <w:rsid w:val="00F81BB8"/>
    <w:rsid w:val="00F90306"/>
    <w:rsid w:val="00F90B1C"/>
    <w:rsid w:val="00F917D1"/>
    <w:rsid w:val="00F9653B"/>
    <w:rsid w:val="00FA51D0"/>
    <w:rsid w:val="00FA7714"/>
    <w:rsid w:val="00FB62CF"/>
    <w:rsid w:val="00FB6326"/>
    <w:rsid w:val="00FC429E"/>
    <w:rsid w:val="00FC7B30"/>
    <w:rsid w:val="00FC7CB0"/>
    <w:rsid w:val="00FD3C3B"/>
    <w:rsid w:val="00FE07DD"/>
    <w:rsid w:val="00FE2B22"/>
    <w:rsid w:val="00FE4EEB"/>
    <w:rsid w:val="00FE6B45"/>
    <w:rsid w:val="00FF1361"/>
    <w:rsid w:val="00FF150A"/>
    <w:rsid w:val="00FF2A1C"/>
    <w:rsid w:val="00FF2A7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9C"/>
    <w:rPr>
      <w:sz w:val="16"/>
      <w:szCs w:val="16"/>
    </w:rPr>
  </w:style>
  <w:style w:type="paragraph" w:styleId="CommentText">
    <w:name w:val="annotation text"/>
    <w:basedOn w:val="Normal"/>
    <w:link w:val="CommentTextChar"/>
    <w:uiPriority w:val="99"/>
    <w:semiHidden/>
    <w:unhideWhenUsed/>
    <w:rsid w:val="0044289C"/>
    <w:rPr>
      <w:sz w:val="20"/>
      <w:szCs w:val="20"/>
    </w:rPr>
  </w:style>
  <w:style w:type="character" w:customStyle="1" w:styleId="CommentTextChar">
    <w:name w:val="Comment Text Char"/>
    <w:basedOn w:val="DefaultParagraphFont"/>
    <w:link w:val="CommentText"/>
    <w:uiPriority w:val="99"/>
    <w:semiHidden/>
    <w:rsid w:val="0044289C"/>
    <w:rPr>
      <w:lang w:val="en-US" w:eastAsia="en-US"/>
    </w:rPr>
  </w:style>
  <w:style w:type="paragraph" w:styleId="CommentSubject">
    <w:name w:val="annotation subject"/>
    <w:basedOn w:val="CommentText"/>
    <w:next w:val="CommentText"/>
    <w:link w:val="CommentSubjectChar"/>
    <w:uiPriority w:val="99"/>
    <w:semiHidden/>
    <w:unhideWhenUsed/>
    <w:rsid w:val="0044289C"/>
    <w:rPr>
      <w:b/>
      <w:bCs/>
    </w:rPr>
  </w:style>
  <w:style w:type="character" w:customStyle="1" w:styleId="CommentSubjectChar">
    <w:name w:val="Comment Subject Char"/>
    <w:basedOn w:val="CommentTextChar"/>
    <w:link w:val="CommentSubject"/>
    <w:uiPriority w:val="99"/>
    <w:semiHidden/>
    <w:rsid w:val="0044289C"/>
    <w:rPr>
      <w:b/>
      <w:bCs/>
      <w:lang w:val="en-US" w:eastAsia="en-US"/>
    </w:rPr>
  </w:style>
  <w:style w:type="paragraph" w:styleId="Revision">
    <w:name w:val="Revision"/>
    <w:hidden/>
    <w:uiPriority w:val="99"/>
    <w:semiHidden/>
    <w:rsid w:val="00C732C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431221">
      <w:bodyDiv w:val="1"/>
      <w:marLeft w:val="0"/>
      <w:marRight w:val="0"/>
      <w:marTop w:val="0"/>
      <w:marBottom w:val="0"/>
      <w:divBdr>
        <w:top w:val="none" w:sz="0" w:space="0" w:color="auto"/>
        <w:left w:val="none" w:sz="0" w:space="0" w:color="auto"/>
        <w:bottom w:val="none" w:sz="0" w:space="0" w:color="auto"/>
        <w:right w:val="none" w:sz="0" w:space="0" w:color="auto"/>
      </w:divBdr>
    </w:div>
    <w:div w:id="90611481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9763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658B1"/>
    <w:rsid w:val="001B08A4"/>
    <w:rsid w:val="001B2FD1"/>
    <w:rsid w:val="00200821"/>
    <w:rsid w:val="0032707A"/>
    <w:rsid w:val="00394049"/>
    <w:rsid w:val="00442970"/>
    <w:rsid w:val="004E26B2"/>
    <w:rsid w:val="004F2DF8"/>
    <w:rsid w:val="005714FF"/>
    <w:rsid w:val="005D2DA5"/>
    <w:rsid w:val="006636B2"/>
    <w:rsid w:val="00726017"/>
    <w:rsid w:val="007A61FA"/>
    <w:rsid w:val="008663D3"/>
    <w:rsid w:val="008C409D"/>
    <w:rsid w:val="00991E63"/>
    <w:rsid w:val="009A261B"/>
    <w:rsid w:val="009A5F5D"/>
    <w:rsid w:val="009C0F24"/>
    <w:rsid w:val="00A564B8"/>
    <w:rsid w:val="00A85B50"/>
    <w:rsid w:val="00AC15A4"/>
    <w:rsid w:val="00B0336C"/>
    <w:rsid w:val="00BC79D3"/>
    <w:rsid w:val="00C745E2"/>
    <w:rsid w:val="00D45F49"/>
    <w:rsid w:val="00D93493"/>
    <w:rsid w:val="00DD5BB0"/>
    <w:rsid w:val="00E33855"/>
    <w:rsid w:val="00E652D6"/>
    <w:rsid w:val="00F00D2F"/>
    <w:rsid w:val="00F128DF"/>
    <w:rsid w:val="00FB2581"/>
    <w:rsid w:val="00FF4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F3DB-086F-4388-85D8-8103BA38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169/18</dc:title>
  <dc:creator/>
  <cp:lastModifiedBy/>
  <cp:revision>1</cp:revision>
  <dcterms:created xsi:type="dcterms:W3CDTF">2020-12-28T12:57:00Z</dcterms:created>
  <dcterms:modified xsi:type="dcterms:W3CDTF">2020-12-28T12:58:00Z</dcterms:modified>
</cp:coreProperties>
</file>