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5D12CA" w:rsidRDefault="006311DA" w:rsidP="00627C9F">
      <w:pPr>
        <w:jc w:val="both"/>
        <w:rPr>
          <w:rFonts w:asciiTheme="majorHAnsi" w:hAnsiTheme="majorHAnsi" w:cs="Univers"/>
          <w:b/>
          <w:bCs/>
          <w:sz w:val="22"/>
          <w:szCs w:val="22"/>
        </w:rPr>
      </w:pPr>
      <w:bookmarkStart w:id="0" w:name="_GoBack"/>
      <w:bookmarkEnd w:id="0"/>
      <w:r w:rsidRPr="005D12C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0E10090" wp14:editId="42DF507B">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0F3C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D12C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C1F530E" wp14:editId="28C207C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6C21F8B5" wp14:editId="6E4F373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F530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6C21F8B5" wp14:editId="6E4F3734">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5D12CA" w:rsidRDefault="00040C3A" w:rsidP="00040C3A">
      <w:pPr>
        <w:tabs>
          <w:tab w:val="center" w:pos="5400"/>
        </w:tabs>
        <w:suppressAutoHyphens/>
        <w:jc w:val="both"/>
        <w:rPr>
          <w:rFonts w:asciiTheme="majorHAnsi" w:hAnsiTheme="majorHAnsi"/>
          <w:sz w:val="22"/>
          <w:szCs w:val="22"/>
        </w:rPr>
      </w:pPr>
    </w:p>
    <w:p w:rsidR="00040C3A" w:rsidRPr="005D12CA" w:rsidRDefault="00040C3A" w:rsidP="00040C3A">
      <w:pPr>
        <w:tabs>
          <w:tab w:val="center" w:pos="5400"/>
        </w:tabs>
        <w:suppressAutoHyphens/>
        <w:jc w:val="both"/>
        <w:rPr>
          <w:rFonts w:asciiTheme="majorHAnsi" w:hAnsiTheme="majorHAnsi"/>
          <w:sz w:val="22"/>
          <w:szCs w:val="22"/>
        </w:rPr>
      </w:pPr>
    </w:p>
    <w:p w:rsidR="005128E4" w:rsidRPr="005D12CA" w:rsidRDefault="005128E4" w:rsidP="00040C3A">
      <w:pPr>
        <w:tabs>
          <w:tab w:val="center" w:pos="5400"/>
        </w:tabs>
        <w:suppressAutoHyphens/>
        <w:rPr>
          <w:rFonts w:asciiTheme="majorHAnsi" w:hAnsiTheme="majorHAnsi"/>
          <w:sz w:val="22"/>
          <w:szCs w:val="22"/>
        </w:rPr>
      </w:pPr>
    </w:p>
    <w:p w:rsidR="005128E4" w:rsidRPr="005D12CA" w:rsidRDefault="005128E4" w:rsidP="00040C3A">
      <w:pPr>
        <w:tabs>
          <w:tab w:val="center" w:pos="5400"/>
        </w:tabs>
        <w:suppressAutoHyphens/>
        <w:rPr>
          <w:rFonts w:asciiTheme="majorHAnsi" w:hAnsiTheme="majorHAnsi"/>
          <w:sz w:val="22"/>
          <w:szCs w:val="22"/>
        </w:rPr>
      </w:pPr>
    </w:p>
    <w:p w:rsidR="005128E4" w:rsidRPr="005D12CA" w:rsidRDefault="005128E4" w:rsidP="00040C3A">
      <w:pPr>
        <w:tabs>
          <w:tab w:val="center" w:pos="5400"/>
        </w:tabs>
        <w:suppressAutoHyphens/>
        <w:rPr>
          <w:rFonts w:asciiTheme="majorHAnsi" w:hAnsiTheme="majorHAnsi"/>
          <w:sz w:val="22"/>
          <w:szCs w:val="22"/>
        </w:rPr>
      </w:pPr>
    </w:p>
    <w:p w:rsidR="00040C3A" w:rsidRPr="005D12CA" w:rsidRDefault="00040C3A" w:rsidP="005128E4">
      <w:pPr>
        <w:tabs>
          <w:tab w:val="center" w:pos="5400"/>
        </w:tabs>
        <w:suppressAutoHyphens/>
        <w:jc w:val="center"/>
        <w:rPr>
          <w:rFonts w:asciiTheme="majorHAnsi" w:hAnsiTheme="majorHAnsi"/>
          <w:sz w:val="22"/>
          <w:szCs w:val="22"/>
        </w:rPr>
      </w:pPr>
    </w:p>
    <w:p w:rsidR="00040C3A" w:rsidRPr="005D12CA" w:rsidRDefault="00040C3A" w:rsidP="005128E4">
      <w:pPr>
        <w:tabs>
          <w:tab w:val="center" w:pos="5400"/>
        </w:tabs>
        <w:suppressAutoHyphens/>
        <w:jc w:val="center"/>
        <w:rPr>
          <w:rFonts w:asciiTheme="majorHAnsi" w:hAnsiTheme="majorHAnsi"/>
          <w:sz w:val="22"/>
          <w:szCs w:val="22"/>
        </w:rPr>
      </w:pPr>
    </w:p>
    <w:p w:rsidR="005B52B0" w:rsidRPr="005D12CA" w:rsidRDefault="005B52B0" w:rsidP="005128E4">
      <w:pPr>
        <w:tabs>
          <w:tab w:val="center" w:pos="5400"/>
        </w:tabs>
        <w:suppressAutoHyphens/>
        <w:jc w:val="center"/>
        <w:rPr>
          <w:rFonts w:asciiTheme="majorHAnsi" w:hAnsiTheme="majorHAnsi"/>
          <w:sz w:val="22"/>
          <w:szCs w:val="22"/>
        </w:rPr>
      </w:pPr>
    </w:p>
    <w:p w:rsidR="005B52B0" w:rsidRPr="005D12CA" w:rsidRDefault="005B52B0" w:rsidP="005128E4">
      <w:pPr>
        <w:tabs>
          <w:tab w:val="center" w:pos="5400"/>
        </w:tabs>
        <w:suppressAutoHyphens/>
        <w:jc w:val="center"/>
        <w:rPr>
          <w:rFonts w:asciiTheme="majorHAnsi" w:hAnsiTheme="majorHAnsi"/>
          <w:sz w:val="22"/>
          <w:szCs w:val="22"/>
        </w:rPr>
      </w:pPr>
    </w:p>
    <w:p w:rsidR="005B52B0" w:rsidRPr="005D12CA" w:rsidRDefault="005B52B0" w:rsidP="005128E4">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E533FF" w:rsidP="00040C3A">
      <w:pPr>
        <w:tabs>
          <w:tab w:val="center" w:pos="5400"/>
        </w:tabs>
        <w:suppressAutoHyphens/>
        <w:jc w:val="center"/>
        <w:rPr>
          <w:rFonts w:asciiTheme="majorHAnsi" w:hAnsiTheme="majorHAnsi"/>
          <w:sz w:val="22"/>
          <w:szCs w:val="22"/>
        </w:rPr>
      </w:pPr>
      <w:r w:rsidRPr="005D12C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6B1CA11" wp14:editId="5DA1C76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45E" w:rsidRPr="004C4DEF" w:rsidRDefault="006C745E" w:rsidP="006C745E">
                            <w:pPr>
                              <w:spacing w:line="276" w:lineRule="auto"/>
                              <w:rPr>
                                <w:rFonts w:asciiTheme="majorHAnsi" w:hAnsiTheme="majorHAnsi" w:cs="Arial"/>
                                <w:b/>
                                <w:bCs/>
                                <w:color w:val="0D0D0D" w:themeColor="text1" w:themeTint="F2"/>
                                <w:sz w:val="36"/>
                                <w:szCs w:val="22"/>
                              </w:rPr>
                            </w:pPr>
                            <w:r w:rsidRPr="004C4DEF">
                              <w:rPr>
                                <w:rFonts w:asciiTheme="majorHAnsi" w:hAnsiTheme="majorHAnsi" w:cs="Arial"/>
                                <w:b/>
                                <w:bCs/>
                                <w:color w:val="0D0D0D" w:themeColor="text1" w:themeTint="F2"/>
                                <w:sz w:val="36"/>
                                <w:szCs w:val="22"/>
                              </w:rPr>
                              <w:t xml:space="preserve">REPORT No. </w:t>
                            </w:r>
                            <w:r w:rsidR="003B2FB9">
                              <w:rPr>
                                <w:rFonts w:asciiTheme="majorHAnsi" w:hAnsiTheme="majorHAnsi" w:cs="Arial"/>
                                <w:b/>
                                <w:bCs/>
                                <w:color w:val="0D0D0D" w:themeColor="text1" w:themeTint="F2"/>
                                <w:sz w:val="36"/>
                                <w:szCs w:val="22"/>
                              </w:rPr>
                              <w:t>142</w:t>
                            </w:r>
                            <w:r w:rsidRPr="004C4DEF">
                              <w:rPr>
                                <w:rFonts w:asciiTheme="majorHAnsi" w:hAnsiTheme="majorHAnsi" w:cs="Arial"/>
                                <w:b/>
                                <w:bCs/>
                                <w:color w:val="0D0D0D" w:themeColor="text1" w:themeTint="F2"/>
                                <w:sz w:val="36"/>
                                <w:szCs w:val="22"/>
                              </w:rPr>
                              <w:t>/18</w:t>
                            </w:r>
                          </w:p>
                          <w:p w:rsidR="006C745E" w:rsidRPr="006C745E" w:rsidRDefault="006C745E" w:rsidP="006C745E">
                            <w:pPr>
                              <w:spacing w:line="276" w:lineRule="auto"/>
                              <w:rPr>
                                <w:rFonts w:asciiTheme="majorHAnsi" w:hAnsiTheme="majorHAnsi" w:cs="Arial"/>
                                <w:b/>
                                <w:color w:val="0D0D0D" w:themeColor="text1" w:themeTint="F2"/>
                                <w:sz w:val="36"/>
                                <w:szCs w:val="22"/>
                                <w:lang w:val="en-GB"/>
                              </w:rPr>
                            </w:pPr>
                            <w:r w:rsidRPr="006C745E">
                              <w:rPr>
                                <w:rFonts w:asciiTheme="majorHAnsi" w:hAnsiTheme="majorHAnsi" w:cs="Arial"/>
                                <w:b/>
                                <w:color w:val="0D0D0D" w:themeColor="text1" w:themeTint="F2"/>
                                <w:sz w:val="36"/>
                                <w:szCs w:val="22"/>
                                <w:lang w:val="en-GB"/>
                              </w:rPr>
                              <w:t xml:space="preserve">PETITION 239-08 </w:t>
                            </w:r>
                          </w:p>
                          <w:p w:rsidR="006C745E" w:rsidRPr="006C745E" w:rsidRDefault="006C745E" w:rsidP="006C745E">
                            <w:pPr>
                              <w:spacing w:line="276" w:lineRule="auto"/>
                              <w:rPr>
                                <w:rFonts w:asciiTheme="majorHAnsi" w:hAnsiTheme="majorHAnsi" w:cs="Arial"/>
                                <w:color w:val="0D0D0D" w:themeColor="text1" w:themeTint="F2"/>
                                <w:szCs w:val="22"/>
                                <w:lang w:val="en-GB"/>
                              </w:rPr>
                            </w:pPr>
                            <w:r w:rsidRPr="006C745E">
                              <w:rPr>
                                <w:rFonts w:asciiTheme="majorHAnsi" w:hAnsiTheme="majorHAnsi" w:cs="Arial"/>
                                <w:color w:val="0D0D0D" w:themeColor="text1" w:themeTint="F2"/>
                                <w:szCs w:val="22"/>
                                <w:lang w:val="en-GB"/>
                              </w:rPr>
                              <w:t>REPORT ON ADMISSIBILITY</w:t>
                            </w:r>
                          </w:p>
                          <w:p w:rsidR="006C745E" w:rsidRPr="006C745E" w:rsidRDefault="006C745E" w:rsidP="006C745E">
                            <w:pPr>
                              <w:spacing w:line="276" w:lineRule="auto"/>
                              <w:rPr>
                                <w:rFonts w:asciiTheme="majorHAnsi" w:hAnsiTheme="majorHAnsi" w:cs="Arial"/>
                                <w:color w:val="0D0D0D" w:themeColor="text1" w:themeTint="F2"/>
                                <w:szCs w:val="22"/>
                                <w:lang w:val="en-GB"/>
                              </w:rPr>
                            </w:pPr>
                            <w:bookmarkStart w:id="1" w:name="_ftnref1"/>
                          </w:p>
                          <w:p w:rsidR="006C745E" w:rsidRPr="006C745E" w:rsidRDefault="006C745E" w:rsidP="006C745E">
                            <w:pPr>
                              <w:spacing w:line="276" w:lineRule="auto"/>
                              <w:rPr>
                                <w:rFonts w:asciiTheme="majorHAnsi" w:hAnsiTheme="majorHAnsi" w:cs="Arial"/>
                                <w:color w:val="0D0D0D" w:themeColor="text1" w:themeTint="F2"/>
                                <w:lang w:val="en-GB"/>
                              </w:rPr>
                            </w:pPr>
                            <w:r w:rsidRPr="006C745E">
                              <w:rPr>
                                <w:rFonts w:ascii="Cambria" w:hAnsi="Cambria"/>
                                <w:bCs/>
                                <w:lang w:val="en-GB"/>
                              </w:rPr>
                              <w:t xml:space="preserve">NATIONAL ASSOCIATION OF RETIRED AND DISCHARGED </w:t>
                            </w:r>
                            <w:r w:rsidR="00FE1298">
                              <w:rPr>
                                <w:rFonts w:ascii="Cambria" w:hAnsi="Cambria"/>
                                <w:bCs/>
                                <w:lang w:val="en-GB"/>
                              </w:rPr>
                              <w:t>OFFICIALS</w:t>
                            </w:r>
                            <w:r w:rsidRPr="006C745E">
                              <w:rPr>
                                <w:rFonts w:ascii="Cambria" w:hAnsi="Cambria"/>
                                <w:bCs/>
                                <w:lang w:val="en-GB"/>
                              </w:rPr>
                              <w:t xml:space="preserve"> </w:t>
                            </w:r>
                            <w:r w:rsidR="0070307F">
                              <w:rPr>
                                <w:rFonts w:ascii="Cambria" w:hAnsi="Cambria"/>
                                <w:bCs/>
                                <w:lang w:val="en-GB"/>
                              </w:rPr>
                              <w:t>OF</w:t>
                            </w:r>
                            <w:r w:rsidRPr="006C745E">
                              <w:rPr>
                                <w:rFonts w:ascii="Cambria" w:hAnsi="Cambria"/>
                                <w:bCs/>
                                <w:lang w:val="en-GB"/>
                              </w:rPr>
                              <w:t xml:space="preserve"> THE JUDICIARY </w:t>
                            </w:r>
                          </w:p>
                          <w:bookmarkEnd w:id="1"/>
                          <w:p w:rsidR="006C745E" w:rsidRPr="003D7C6B" w:rsidRDefault="006C745E" w:rsidP="006C745E">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ES_tradnl"/>
                              </w:rPr>
                              <w:t>PERU</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1CA11"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C745E" w:rsidRPr="004C4DEF" w:rsidRDefault="006C745E" w:rsidP="006C745E">
                      <w:pPr>
                        <w:spacing w:line="276" w:lineRule="auto"/>
                        <w:rPr>
                          <w:rFonts w:asciiTheme="majorHAnsi" w:hAnsiTheme="majorHAnsi" w:cs="Arial"/>
                          <w:b/>
                          <w:bCs/>
                          <w:color w:val="0D0D0D" w:themeColor="text1" w:themeTint="F2"/>
                          <w:sz w:val="36"/>
                          <w:szCs w:val="22"/>
                        </w:rPr>
                      </w:pPr>
                      <w:r w:rsidRPr="004C4DEF">
                        <w:rPr>
                          <w:rFonts w:asciiTheme="majorHAnsi" w:hAnsiTheme="majorHAnsi" w:cs="Arial"/>
                          <w:b/>
                          <w:bCs/>
                          <w:color w:val="0D0D0D" w:themeColor="text1" w:themeTint="F2"/>
                          <w:sz w:val="36"/>
                          <w:szCs w:val="22"/>
                        </w:rPr>
                        <w:t xml:space="preserve">REPORT No. </w:t>
                      </w:r>
                      <w:r w:rsidR="003B2FB9">
                        <w:rPr>
                          <w:rFonts w:asciiTheme="majorHAnsi" w:hAnsiTheme="majorHAnsi" w:cs="Arial"/>
                          <w:b/>
                          <w:bCs/>
                          <w:color w:val="0D0D0D" w:themeColor="text1" w:themeTint="F2"/>
                          <w:sz w:val="36"/>
                          <w:szCs w:val="22"/>
                        </w:rPr>
                        <w:t>142</w:t>
                      </w:r>
                      <w:r w:rsidRPr="004C4DEF">
                        <w:rPr>
                          <w:rFonts w:asciiTheme="majorHAnsi" w:hAnsiTheme="majorHAnsi" w:cs="Arial"/>
                          <w:b/>
                          <w:bCs/>
                          <w:color w:val="0D0D0D" w:themeColor="text1" w:themeTint="F2"/>
                          <w:sz w:val="36"/>
                          <w:szCs w:val="22"/>
                        </w:rPr>
                        <w:t>/18</w:t>
                      </w:r>
                    </w:p>
                    <w:p w:rsidR="006C745E" w:rsidRPr="006C745E" w:rsidRDefault="006C745E" w:rsidP="006C745E">
                      <w:pPr>
                        <w:spacing w:line="276" w:lineRule="auto"/>
                        <w:rPr>
                          <w:rFonts w:asciiTheme="majorHAnsi" w:hAnsiTheme="majorHAnsi" w:cs="Arial"/>
                          <w:b/>
                          <w:color w:val="0D0D0D" w:themeColor="text1" w:themeTint="F2"/>
                          <w:sz w:val="36"/>
                          <w:szCs w:val="22"/>
                          <w:lang w:val="en-GB"/>
                        </w:rPr>
                      </w:pPr>
                      <w:r w:rsidRPr="006C745E">
                        <w:rPr>
                          <w:rFonts w:asciiTheme="majorHAnsi" w:hAnsiTheme="majorHAnsi" w:cs="Arial"/>
                          <w:b/>
                          <w:color w:val="0D0D0D" w:themeColor="text1" w:themeTint="F2"/>
                          <w:sz w:val="36"/>
                          <w:szCs w:val="22"/>
                          <w:lang w:val="en-GB"/>
                        </w:rPr>
                        <w:t xml:space="preserve">PETITION 239-08 </w:t>
                      </w:r>
                    </w:p>
                    <w:p w:rsidR="006C745E" w:rsidRPr="006C745E" w:rsidRDefault="006C745E" w:rsidP="006C745E">
                      <w:pPr>
                        <w:spacing w:line="276" w:lineRule="auto"/>
                        <w:rPr>
                          <w:rFonts w:asciiTheme="majorHAnsi" w:hAnsiTheme="majorHAnsi" w:cs="Arial"/>
                          <w:color w:val="0D0D0D" w:themeColor="text1" w:themeTint="F2"/>
                          <w:szCs w:val="22"/>
                          <w:lang w:val="en-GB"/>
                        </w:rPr>
                      </w:pPr>
                      <w:r w:rsidRPr="006C745E">
                        <w:rPr>
                          <w:rFonts w:asciiTheme="majorHAnsi" w:hAnsiTheme="majorHAnsi" w:cs="Arial"/>
                          <w:color w:val="0D0D0D" w:themeColor="text1" w:themeTint="F2"/>
                          <w:szCs w:val="22"/>
                          <w:lang w:val="en-GB"/>
                        </w:rPr>
                        <w:t>REPORT ON ADMISSIBILITY</w:t>
                      </w:r>
                    </w:p>
                    <w:p w:rsidR="006C745E" w:rsidRPr="006C745E" w:rsidRDefault="006C745E" w:rsidP="006C745E">
                      <w:pPr>
                        <w:spacing w:line="276" w:lineRule="auto"/>
                        <w:rPr>
                          <w:rFonts w:asciiTheme="majorHAnsi" w:hAnsiTheme="majorHAnsi" w:cs="Arial"/>
                          <w:color w:val="0D0D0D" w:themeColor="text1" w:themeTint="F2"/>
                          <w:szCs w:val="22"/>
                          <w:lang w:val="en-GB"/>
                        </w:rPr>
                      </w:pPr>
                      <w:bookmarkStart w:id="2" w:name="_ftnref1"/>
                    </w:p>
                    <w:p w:rsidR="006C745E" w:rsidRPr="006C745E" w:rsidRDefault="006C745E" w:rsidP="006C745E">
                      <w:pPr>
                        <w:spacing w:line="276" w:lineRule="auto"/>
                        <w:rPr>
                          <w:rFonts w:asciiTheme="majorHAnsi" w:hAnsiTheme="majorHAnsi" w:cs="Arial"/>
                          <w:color w:val="0D0D0D" w:themeColor="text1" w:themeTint="F2"/>
                          <w:lang w:val="en-GB"/>
                        </w:rPr>
                      </w:pPr>
                      <w:r w:rsidRPr="006C745E">
                        <w:rPr>
                          <w:rFonts w:ascii="Cambria" w:hAnsi="Cambria"/>
                          <w:bCs/>
                          <w:lang w:val="en-GB"/>
                        </w:rPr>
                        <w:t xml:space="preserve">NATIONAL ASSOCIATION OF RETIRED AND DISCHARGED </w:t>
                      </w:r>
                      <w:r w:rsidR="00FE1298">
                        <w:rPr>
                          <w:rFonts w:ascii="Cambria" w:hAnsi="Cambria"/>
                          <w:bCs/>
                          <w:lang w:val="en-GB"/>
                        </w:rPr>
                        <w:t>OFFICIALS</w:t>
                      </w:r>
                      <w:r w:rsidRPr="006C745E">
                        <w:rPr>
                          <w:rFonts w:ascii="Cambria" w:hAnsi="Cambria"/>
                          <w:bCs/>
                          <w:lang w:val="en-GB"/>
                        </w:rPr>
                        <w:t xml:space="preserve"> </w:t>
                      </w:r>
                      <w:r w:rsidR="0070307F">
                        <w:rPr>
                          <w:rFonts w:ascii="Cambria" w:hAnsi="Cambria"/>
                          <w:bCs/>
                          <w:lang w:val="en-GB"/>
                        </w:rPr>
                        <w:t>OF</w:t>
                      </w:r>
                      <w:r w:rsidRPr="006C745E">
                        <w:rPr>
                          <w:rFonts w:ascii="Cambria" w:hAnsi="Cambria"/>
                          <w:bCs/>
                          <w:lang w:val="en-GB"/>
                        </w:rPr>
                        <w:t xml:space="preserve"> THE JUDICIARY </w:t>
                      </w:r>
                    </w:p>
                    <w:bookmarkEnd w:id="2"/>
                    <w:p w:rsidR="006C745E" w:rsidRPr="003D7C6B" w:rsidRDefault="006C745E" w:rsidP="006C745E">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ES_tradnl"/>
                        </w:rPr>
                        <w:t>PERU</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5D12C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26C1429" wp14:editId="274E3CE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B2FB9" w:rsidRDefault="009E566A" w:rsidP="009E566A">
                            <w:pPr>
                              <w:jc w:val="right"/>
                              <w:rPr>
                                <w:rFonts w:asciiTheme="minorHAnsi" w:hAnsiTheme="minorHAnsi"/>
                                <w:color w:val="FFFFFF" w:themeColor="background1"/>
                                <w:sz w:val="22"/>
                                <w:lang w:val="pt-BR"/>
                              </w:rPr>
                            </w:pPr>
                            <w:r w:rsidRPr="003B2FB9">
                              <w:rPr>
                                <w:rFonts w:asciiTheme="minorHAnsi" w:hAnsiTheme="minorHAnsi"/>
                                <w:color w:val="FFFFFF" w:themeColor="background1"/>
                                <w:sz w:val="22"/>
                                <w:lang w:val="pt-BR"/>
                              </w:rPr>
                              <w:t>OEA/Ser.L/V/II.</w:t>
                            </w:r>
                            <w:r w:rsidR="005740BD">
                              <w:rPr>
                                <w:rFonts w:asciiTheme="minorHAnsi" w:hAnsiTheme="minorHAnsi"/>
                                <w:color w:val="FFFFFF" w:themeColor="background1"/>
                                <w:sz w:val="22"/>
                                <w:lang w:val="pt-BR"/>
                              </w:rPr>
                              <w:t>170</w:t>
                            </w:r>
                          </w:p>
                          <w:p w:rsidR="00627C9F" w:rsidRPr="003B2FB9" w:rsidRDefault="00CA6577" w:rsidP="009E566A">
                            <w:pPr>
                              <w:jc w:val="right"/>
                              <w:rPr>
                                <w:rFonts w:asciiTheme="minorHAnsi" w:hAnsiTheme="minorHAnsi"/>
                                <w:color w:val="FFFFFF" w:themeColor="background1"/>
                                <w:sz w:val="22"/>
                              </w:rPr>
                            </w:pPr>
                            <w:r w:rsidRPr="003B2FB9">
                              <w:rPr>
                                <w:rFonts w:asciiTheme="minorHAnsi" w:hAnsiTheme="minorHAnsi"/>
                                <w:color w:val="FFFFFF" w:themeColor="background1"/>
                                <w:sz w:val="22"/>
                              </w:rPr>
                              <w:t xml:space="preserve">Doc. </w:t>
                            </w:r>
                            <w:r w:rsidR="003B2FB9">
                              <w:rPr>
                                <w:rFonts w:asciiTheme="minorHAnsi" w:hAnsiTheme="minorHAnsi"/>
                                <w:color w:val="FFFFFF" w:themeColor="background1"/>
                                <w:sz w:val="22"/>
                              </w:rPr>
                              <w:t>164</w:t>
                            </w:r>
                          </w:p>
                          <w:p w:rsidR="00627C9F" w:rsidRPr="003B2FB9" w:rsidRDefault="00022CF5" w:rsidP="009E566A">
                            <w:pPr>
                              <w:jc w:val="right"/>
                              <w:rPr>
                                <w:rFonts w:asciiTheme="minorHAnsi" w:hAnsiTheme="minorHAnsi"/>
                                <w:color w:val="FFFFFF" w:themeColor="background1"/>
                                <w:sz w:val="22"/>
                              </w:rPr>
                            </w:pPr>
                            <w:r w:rsidRPr="003B2FB9">
                              <w:rPr>
                                <w:rFonts w:asciiTheme="minorHAnsi" w:hAnsiTheme="minorHAnsi"/>
                                <w:color w:val="FFFFFF" w:themeColor="background1"/>
                                <w:sz w:val="22"/>
                              </w:rPr>
                              <w:t xml:space="preserve"> </w:t>
                            </w:r>
                            <w:r w:rsidR="003B2FB9">
                              <w:rPr>
                                <w:rFonts w:asciiTheme="minorHAnsi" w:hAnsiTheme="minorHAnsi"/>
                                <w:color w:val="FFFFFF" w:themeColor="background1"/>
                                <w:sz w:val="22"/>
                              </w:rPr>
                              <w:t>4 December</w:t>
                            </w:r>
                            <w:r w:rsidR="000C4365" w:rsidRPr="003B2FB9">
                              <w:rPr>
                                <w:rFonts w:asciiTheme="minorHAnsi" w:hAnsiTheme="minorHAnsi"/>
                                <w:color w:val="FFFFFF" w:themeColor="background1"/>
                                <w:sz w:val="22"/>
                              </w:rPr>
                              <w:t xml:space="preserve"> </w:t>
                            </w:r>
                            <w:r w:rsidR="00F42B71" w:rsidRPr="003B2FB9">
                              <w:rPr>
                                <w:rFonts w:asciiTheme="minorHAnsi" w:hAnsiTheme="minorHAnsi"/>
                                <w:color w:val="FFFFFF" w:themeColor="background1"/>
                                <w:sz w:val="22"/>
                              </w:rPr>
                              <w:t>20</w:t>
                            </w:r>
                            <w:r w:rsidR="006C745E" w:rsidRPr="003B2FB9">
                              <w:rPr>
                                <w:rFonts w:asciiTheme="minorHAnsi" w:hAnsiTheme="minorHAnsi"/>
                                <w:color w:val="FFFFFF" w:themeColor="background1"/>
                                <w:sz w:val="22"/>
                              </w:rPr>
                              <w:t>18</w:t>
                            </w:r>
                          </w:p>
                          <w:p w:rsidR="00627C9F" w:rsidRPr="003B2FB9" w:rsidRDefault="00627C9F" w:rsidP="009E566A">
                            <w:pPr>
                              <w:jc w:val="right"/>
                              <w:rPr>
                                <w:rFonts w:asciiTheme="minorHAnsi" w:hAnsiTheme="minorHAnsi"/>
                                <w:color w:val="FFFFFF" w:themeColor="background1"/>
                                <w:sz w:val="22"/>
                              </w:rPr>
                            </w:pPr>
                            <w:r w:rsidRPr="003B2FB9">
                              <w:rPr>
                                <w:rFonts w:asciiTheme="minorHAnsi" w:hAnsiTheme="minorHAnsi"/>
                                <w:color w:val="FFFFFF" w:themeColor="background1"/>
                                <w:sz w:val="22"/>
                              </w:rPr>
                              <w:t>Original:</w:t>
                            </w:r>
                            <w:r w:rsidR="002C1641" w:rsidRPr="003B2FB9">
                              <w:rPr>
                                <w:rFonts w:asciiTheme="minorHAnsi" w:hAnsiTheme="minorHAnsi"/>
                                <w:color w:val="FFFFFF" w:themeColor="background1"/>
                                <w:sz w:val="22"/>
                              </w:rPr>
                              <w:t xml:space="preserve"> </w:t>
                            </w:r>
                            <w:r w:rsidR="00F42B71" w:rsidRPr="003B2FB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C142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B2FB9" w:rsidRDefault="009E566A" w:rsidP="009E566A">
                      <w:pPr>
                        <w:jc w:val="right"/>
                        <w:rPr>
                          <w:rFonts w:asciiTheme="minorHAnsi" w:hAnsiTheme="minorHAnsi"/>
                          <w:color w:val="FFFFFF" w:themeColor="background1"/>
                          <w:sz w:val="22"/>
                          <w:lang w:val="pt-BR"/>
                        </w:rPr>
                      </w:pPr>
                      <w:r w:rsidRPr="003B2FB9">
                        <w:rPr>
                          <w:rFonts w:asciiTheme="minorHAnsi" w:hAnsiTheme="minorHAnsi"/>
                          <w:color w:val="FFFFFF" w:themeColor="background1"/>
                          <w:sz w:val="22"/>
                          <w:lang w:val="pt-BR"/>
                        </w:rPr>
                        <w:t>OEA/Ser.L/V/II.</w:t>
                      </w:r>
                      <w:r w:rsidR="005740BD">
                        <w:rPr>
                          <w:rFonts w:asciiTheme="minorHAnsi" w:hAnsiTheme="minorHAnsi"/>
                          <w:color w:val="FFFFFF" w:themeColor="background1"/>
                          <w:sz w:val="22"/>
                          <w:lang w:val="pt-BR"/>
                        </w:rPr>
                        <w:t>170</w:t>
                      </w:r>
                    </w:p>
                    <w:p w:rsidR="00627C9F" w:rsidRPr="003B2FB9" w:rsidRDefault="00CA6577" w:rsidP="009E566A">
                      <w:pPr>
                        <w:jc w:val="right"/>
                        <w:rPr>
                          <w:rFonts w:asciiTheme="minorHAnsi" w:hAnsiTheme="minorHAnsi"/>
                          <w:color w:val="FFFFFF" w:themeColor="background1"/>
                          <w:sz w:val="22"/>
                        </w:rPr>
                      </w:pPr>
                      <w:r w:rsidRPr="003B2FB9">
                        <w:rPr>
                          <w:rFonts w:asciiTheme="minorHAnsi" w:hAnsiTheme="minorHAnsi"/>
                          <w:color w:val="FFFFFF" w:themeColor="background1"/>
                          <w:sz w:val="22"/>
                        </w:rPr>
                        <w:t xml:space="preserve">Doc. </w:t>
                      </w:r>
                      <w:r w:rsidR="003B2FB9">
                        <w:rPr>
                          <w:rFonts w:asciiTheme="minorHAnsi" w:hAnsiTheme="minorHAnsi"/>
                          <w:color w:val="FFFFFF" w:themeColor="background1"/>
                          <w:sz w:val="22"/>
                        </w:rPr>
                        <w:t>164</w:t>
                      </w:r>
                    </w:p>
                    <w:p w:rsidR="00627C9F" w:rsidRPr="003B2FB9" w:rsidRDefault="00022CF5" w:rsidP="009E566A">
                      <w:pPr>
                        <w:jc w:val="right"/>
                        <w:rPr>
                          <w:rFonts w:asciiTheme="minorHAnsi" w:hAnsiTheme="minorHAnsi"/>
                          <w:color w:val="FFFFFF" w:themeColor="background1"/>
                          <w:sz w:val="22"/>
                        </w:rPr>
                      </w:pPr>
                      <w:r w:rsidRPr="003B2FB9">
                        <w:rPr>
                          <w:rFonts w:asciiTheme="minorHAnsi" w:hAnsiTheme="minorHAnsi"/>
                          <w:color w:val="FFFFFF" w:themeColor="background1"/>
                          <w:sz w:val="22"/>
                        </w:rPr>
                        <w:t xml:space="preserve"> </w:t>
                      </w:r>
                      <w:r w:rsidR="003B2FB9">
                        <w:rPr>
                          <w:rFonts w:asciiTheme="minorHAnsi" w:hAnsiTheme="minorHAnsi"/>
                          <w:color w:val="FFFFFF" w:themeColor="background1"/>
                          <w:sz w:val="22"/>
                        </w:rPr>
                        <w:t>4 December</w:t>
                      </w:r>
                      <w:r w:rsidR="000C4365" w:rsidRPr="003B2FB9">
                        <w:rPr>
                          <w:rFonts w:asciiTheme="minorHAnsi" w:hAnsiTheme="minorHAnsi"/>
                          <w:color w:val="FFFFFF" w:themeColor="background1"/>
                          <w:sz w:val="22"/>
                        </w:rPr>
                        <w:t xml:space="preserve"> </w:t>
                      </w:r>
                      <w:r w:rsidR="00F42B71" w:rsidRPr="003B2FB9">
                        <w:rPr>
                          <w:rFonts w:asciiTheme="minorHAnsi" w:hAnsiTheme="minorHAnsi"/>
                          <w:color w:val="FFFFFF" w:themeColor="background1"/>
                          <w:sz w:val="22"/>
                        </w:rPr>
                        <w:t>20</w:t>
                      </w:r>
                      <w:r w:rsidR="006C745E" w:rsidRPr="003B2FB9">
                        <w:rPr>
                          <w:rFonts w:asciiTheme="minorHAnsi" w:hAnsiTheme="minorHAnsi"/>
                          <w:color w:val="FFFFFF" w:themeColor="background1"/>
                          <w:sz w:val="22"/>
                        </w:rPr>
                        <w:t>18</w:t>
                      </w:r>
                    </w:p>
                    <w:p w:rsidR="00627C9F" w:rsidRPr="003B2FB9" w:rsidRDefault="00627C9F" w:rsidP="009E566A">
                      <w:pPr>
                        <w:jc w:val="right"/>
                        <w:rPr>
                          <w:rFonts w:asciiTheme="minorHAnsi" w:hAnsiTheme="minorHAnsi"/>
                          <w:color w:val="FFFFFF" w:themeColor="background1"/>
                          <w:sz w:val="22"/>
                        </w:rPr>
                      </w:pPr>
                      <w:r w:rsidRPr="003B2FB9">
                        <w:rPr>
                          <w:rFonts w:asciiTheme="minorHAnsi" w:hAnsiTheme="minorHAnsi"/>
                          <w:color w:val="FFFFFF" w:themeColor="background1"/>
                          <w:sz w:val="22"/>
                        </w:rPr>
                        <w:t>Original:</w:t>
                      </w:r>
                      <w:r w:rsidR="002C1641" w:rsidRPr="003B2FB9">
                        <w:rPr>
                          <w:rFonts w:asciiTheme="minorHAnsi" w:hAnsiTheme="minorHAnsi"/>
                          <w:color w:val="FFFFFF" w:themeColor="background1"/>
                          <w:sz w:val="22"/>
                        </w:rPr>
                        <w:t xml:space="preserve"> </w:t>
                      </w:r>
                      <w:r w:rsidR="00F42B71" w:rsidRPr="003B2FB9">
                        <w:rPr>
                          <w:rFonts w:asciiTheme="minorHAnsi" w:hAnsiTheme="minorHAnsi"/>
                          <w:color w:val="FFFFFF" w:themeColor="background1"/>
                          <w:sz w:val="22"/>
                        </w:rPr>
                        <w:t>Spanish</w:t>
                      </w:r>
                    </w:p>
                  </w:txbxContent>
                </v:textbox>
              </v:shape>
            </w:pict>
          </mc:Fallback>
        </mc:AlternateContent>
      </w: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cs="Arial"/>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5128E4" w:rsidRPr="005D12CA" w:rsidRDefault="005128E4"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5128E4" w:rsidRPr="005D12CA" w:rsidRDefault="005128E4" w:rsidP="00040C3A">
      <w:pPr>
        <w:tabs>
          <w:tab w:val="center" w:pos="5400"/>
        </w:tabs>
        <w:suppressAutoHyphens/>
        <w:jc w:val="center"/>
        <w:rPr>
          <w:rFonts w:asciiTheme="majorHAnsi" w:hAnsiTheme="majorHAnsi"/>
          <w:sz w:val="22"/>
          <w:szCs w:val="22"/>
        </w:rPr>
      </w:pPr>
    </w:p>
    <w:p w:rsidR="005128E4" w:rsidRPr="005D12CA" w:rsidRDefault="005128E4" w:rsidP="00040C3A">
      <w:pPr>
        <w:tabs>
          <w:tab w:val="center" w:pos="5400"/>
        </w:tabs>
        <w:suppressAutoHyphens/>
        <w:jc w:val="center"/>
        <w:rPr>
          <w:rFonts w:asciiTheme="majorHAnsi" w:hAnsiTheme="majorHAnsi"/>
          <w:sz w:val="22"/>
          <w:szCs w:val="22"/>
        </w:rPr>
      </w:pPr>
    </w:p>
    <w:p w:rsidR="005128E4" w:rsidRPr="005D12CA" w:rsidRDefault="005128E4"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040C3A" w:rsidRPr="005D12CA" w:rsidRDefault="00040C3A" w:rsidP="00040C3A">
      <w:pPr>
        <w:tabs>
          <w:tab w:val="center" w:pos="5400"/>
        </w:tabs>
        <w:suppressAutoHyphens/>
        <w:jc w:val="center"/>
        <w:rPr>
          <w:rFonts w:asciiTheme="majorHAnsi" w:hAnsiTheme="majorHAnsi"/>
          <w:sz w:val="22"/>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3C32BC" w:rsidP="00040C3A">
      <w:pPr>
        <w:tabs>
          <w:tab w:val="center" w:pos="5400"/>
        </w:tabs>
        <w:suppressAutoHyphens/>
        <w:jc w:val="center"/>
        <w:rPr>
          <w:rFonts w:asciiTheme="majorHAnsi" w:hAnsiTheme="majorHAnsi"/>
          <w:sz w:val="18"/>
          <w:szCs w:val="22"/>
        </w:rPr>
      </w:pPr>
      <w:r w:rsidRPr="005D12C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F82C20D" wp14:editId="565B7B03">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B2FB9">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3B2FB9">
                              <w:rPr>
                                <w:rFonts w:asciiTheme="majorHAnsi" w:hAnsiTheme="majorHAnsi"/>
                                <w:color w:val="0D0D0D" w:themeColor="text1" w:themeTint="F2"/>
                                <w:sz w:val="18"/>
                                <w:szCs w:val="20"/>
                              </w:rPr>
                              <w:t>December 4</w:t>
                            </w:r>
                            <w:r w:rsidR="000C4365">
                              <w:rPr>
                                <w:rFonts w:asciiTheme="majorHAnsi" w:hAnsiTheme="majorHAnsi"/>
                                <w:color w:val="0D0D0D" w:themeColor="text1" w:themeTint="F2"/>
                                <w:sz w:val="18"/>
                                <w:szCs w:val="20"/>
                              </w:rPr>
                              <w:t>, 201</w:t>
                            </w:r>
                            <w:r w:rsidR="005D12CA">
                              <w:rPr>
                                <w:rFonts w:asciiTheme="majorHAnsi" w:hAnsiTheme="majorHAnsi"/>
                                <w:color w:val="0D0D0D" w:themeColor="text1" w:themeTint="F2"/>
                                <w:sz w:val="18"/>
                                <w:szCs w:val="20"/>
                              </w:rPr>
                              <w:t>8</w:t>
                            </w:r>
                            <w:r w:rsidR="005740B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C20D"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3B2FB9">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3B2FB9">
                        <w:rPr>
                          <w:rFonts w:asciiTheme="majorHAnsi" w:hAnsiTheme="majorHAnsi"/>
                          <w:color w:val="0D0D0D" w:themeColor="text1" w:themeTint="F2"/>
                          <w:sz w:val="18"/>
                          <w:szCs w:val="20"/>
                        </w:rPr>
                        <w:t>December 4</w:t>
                      </w:r>
                      <w:r w:rsidR="000C4365">
                        <w:rPr>
                          <w:rFonts w:asciiTheme="majorHAnsi" w:hAnsiTheme="majorHAnsi"/>
                          <w:color w:val="0D0D0D" w:themeColor="text1" w:themeTint="F2"/>
                          <w:sz w:val="18"/>
                          <w:szCs w:val="20"/>
                        </w:rPr>
                        <w:t>, 201</w:t>
                      </w:r>
                      <w:r w:rsidR="005D12CA">
                        <w:rPr>
                          <w:rFonts w:asciiTheme="majorHAnsi" w:hAnsiTheme="majorHAnsi"/>
                          <w:color w:val="0D0D0D" w:themeColor="text1" w:themeTint="F2"/>
                          <w:sz w:val="18"/>
                          <w:szCs w:val="20"/>
                        </w:rPr>
                        <w:t>8</w:t>
                      </w:r>
                      <w:r w:rsidR="005740BD">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3C32BC" w:rsidP="00040C3A">
      <w:pPr>
        <w:tabs>
          <w:tab w:val="center" w:pos="5400"/>
        </w:tabs>
        <w:suppressAutoHyphens/>
        <w:jc w:val="center"/>
        <w:rPr>
          <w:rFonts w:asciiTheme="majorHAnsi" w:hAnsiTheme="majorHAnsi"/>
          <w:sz w:val="18"/>
          <w:szCs w:val="22"/>
        </w:rPr>
      </w:pPr>
      <w:r w:rsidRPr="005D12C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E8AF989" wp14:editId="0493AF4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59572F" w:rsidRDefault="005D12CA" w:rsidP="00F644E6">
                            <w:pPr>
                              <w:spacing w:line="276" w:lineRule="auto"/>
                              <w:rPr>
                                <w:rFonts w:asciiTheme="majorHAnsi" w:hAnsiTheme="majorHAnsi"/>
                                <w:color w:val="595959" w:themeColor="text1" w:themeTint="A6"/>
                                <w:sz w:val="18"/>
                                <w:szCs w:val="18"/>
                              </w:rPr>
                            </w:pPr>
                            <w:r w:rsidRPr="0059572F">
                              <w:rPr>
                                <w:rFonts w:asciiTheme="majorHAnsi" w:hAnsiTheme="majorHAnsi"/>
                                <w:b/>
                                <w:color w:val="595959" w:themeColor="text1" w:themeTint="A6"/>
                                <w:sz w:val="18"/>
                                <w:szCs w:val="18"/>
                              </w:rPr>
                              <w:t>Cite as:</w:t>
                            </w:r>
                            <w:r w:rsidRPr="008C1C1D">
                              <w:rPr>
                                <w:rFonts w:asciiTheme="majorHAnsi" w:hAnsiTheme="majorHAnsi"/>
                                <w:color w:val="595959" w:themeColor="text1" w:themeTint="A6"/>
                                <w:sz w:val="18"/>
                                <w:szCs w:val="18"/>
                              </w:rPr>
                              <w:t xml:space="preserve"> I</w:t>
                            </w:r>
                            <w:r w:rsidRPr="0059572F">
                              <w:rPr>
                                <w:rFonts w:asciiTheme="majorHAnsi" w:hAnsiTheme="majorHAnsi"/>
                                <w:color w:val="595959" w:themeColor="text1" w:themeTint="A6"/>
                                <w:sz w:val="18"/>
                                <w:szCs w:val="18"/>
                              </w:rPr>
                              <w:t xml:space="preserve">ACHR, Report No. 239-08. Admissibility. National Association of Retired and Discharged </w:t>
                            </w:r>
                            <w:r w:rsidR="00FE76B7" w:rsidRPr="0059572F">
                              <w:rPr>
                                <w:rFonts w:asciiTheme="majorHAnsi" w:hAnsiTheme="majorHAnsi"/>
                                <w:color w:val="595959" w:themeColor="text1" w:themeTint="A6"/>
                                <w:sz w:val="18"/>
                                <w:szCs w:val="18"/>
                              </w:rPr>
                              <w:t>Officials</w:t>
                            </w:r>
                            <w:r w:rsidRPr="0059572F">
                              <w:rPr>
                                <w:rFonts w:asciiTheme="majorHAnsi" w:hAnsiTheme="majorHAnsi"/>
                                <w:color w:val="595959" w:themeColor="text1" w:themeTint="A6"/>
                                <w:sz w:val="18"/>
                                <w:szCs w:val="18"/>
                              </w:rPr>
                              <w:t xml:space="preserve"> </w:t>
                            </w:r>
                            <w:r w:rsidR="00FE76B7" w:rsidRPr="0059572F">
                              <w:rPr>
                                <w:rFonts w:asciiTheme="majorHAnsi" w:hAnsiTheme="majorHAnsi"/>
                                <w:color w:val="595959" w:themeColor="text1" w:themeTint="A6"/>
                                <w:sz w:val="18"/>
                                <w:szCs w:val="18"/>
                              </w:rPr>
                              <w:t>of</w:t>
                            </w:r>
                            <w:r w:rsidRPr="0059572F">
                              <w:rPr>
                                <w:rFonts w:asciiTheme="majorHAnsi" w:hAnsiTheme="majorHAnsi"/>
                                <w:color w:val="595959" w:themeColor="text1" w:themeTint="A6"/>
                                <w:sz w:val="18"/>
                                <w:szCs w:val="18"/>
                              </w:rPr>
                              <w:t xml:space="preserve"> the Judiciary. Peru. </w:t>
                            </w:r>
                            <w:r w:rsidR="003B2FB9">
                              <w:rPr>
                                <w:rFonts w:asciiTheme="majorHAnsi" w:hAnsiTheme="majorHAnsi"/>
                                <w:color w:val="595959" w:themeColor="text1" w:themeTint="A6"/>
                                <w:sz w:val="18"/>
                                <w:szCs w:val="18"/>
                              </w:rPr>
                              <w:t>December 4, 2018</w:t>
                            </w:r>
                            <w:r w:rsidRPr="0059572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AF989"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59572F" w:rsidRDefault="005D12CA" w:rsidP="00F644E6">
                      <w:pPr>
                        <w:spacing w:line="276" w:lineRule="auto"/>
                        <w:rPr>
                          <w:rFonts w:asciiTheme="majorHAnsi" w:hAnsiTheme="majorHAnsi"/>
                          <w:color w:val="595959" w:themeColor="text1" w:themeTint="A6"/>
                          <w:sz w:val="18"/>
                          <w:szCs w:val="18"/>
                        </w:rPr>
                      </w:pPr>
                      <w:r w:rsidRPr="0059572F">
                        <w:rPr>
                          <w:rFonts w:asciiTheme="majorHAnsi" w:hAnsiTheme="majorHAnsi"/>
                          <w:b/>
                          <w:color w:val="595959" w:themeColor="text1" w:themeTint="A6"/>
                          <w:sz w:val="18"/>
                          <w:szCs w:val="18"/>
                        </w:rPr>
                        <w:t>Cite as:</w:t>
                      </w:r>
                      <w:r w:rsidRPr="008C1C1D">
                        <w:rPr>
                          <w:rFonts w:asciiTheme="majorHAnsi" w:hAnsiTheme="majorHAnsi"/>
                          <w:color w:val="595959" w:themeColor="text1" w:themeTint="A6"/>
                          <w:sz w:val="18"/>
                          <w:szCs w:val="18"/>
                        </w:rPr>
                        <w:t xml:space="preserve"> I</w:t>
                      </w:r>
                      <w:r w:rsidRPr="0059572F">
                        <w:rPr>
                          <w:rFonts w:asciiTheme="majorHAnsi" w:hAnsiTheme="majorHAnsi"/>
                          <w:color w:val="595959" w:themeColor="text1" w:themeTint="A6"/>
                          <w:sz w:val="18"/>
                          <w:szCs w:val="18"/>
                        </w:rPr>
                        <w:t xml:space="preserve">ACHR, Report No. 239-08. Admissibility. National Association of Retired and Discharged </w:t>
                      </w:r>
                      <w:r w:rsidR="00FE76B7" w:rsidRPr="0059572F">
                        <w:rPr>
                          <w:rFonts w:asciiTheme="majorHAnsi" w:hAnsiTheme="majorHAnsi"/>
                          <w:color w:val="595959" w:themeColor="text1" w:themeTint="A6"/>
                          <w:sz w:val="18"/>
                          <w:szCs w:val="18"/>
                        </w:rPr>
                        <w:t>Officials</w:t>
                      </w:r>
                      <w:r w:rsidRPr="0059572F">
                        <w:rPr>
                          <w:rFonts w:asciiTheme="majorHAnsi" w:hAnsiTheme="majorHAnsi"/>
                          <w:color w:val="595959" w:themeColor="text1" w:themeTint="A6"/>
                          <w:sz w:val="18"/>
                          <w:szCs w:val="18"/>
                        </w:rPr>
                        <w:t xml:space="preserve"> </w:t>
                      </w:r>
                      <w:r w:rsidR="00FE76B7" w:rsidRPr="0059572F">
                        <w:rPr>
                          <w:rFonts w:asciiTheme="majorHAnsi" w:hAnsiTheme="majorHAnsi"/>
                          <w:color w:val="595959" w:themeColor="text1" w:themeTint="A6"/>
                          <w:sz w:val="18"/>
                          <w:szCs w:val="18"/>
                        </w:rPr>
                        <w:t>of</w:t>
                      </w:r>
                      <w:r w:rsidRPr="0059572F">
                        <w:rPr>
                          <w:rFonts w:asciiTheme="majorHAnsi" w:hAnsiTheme="majorHAnsi"/>
                          <w:color w:val="595959" w:themeColor="text1" w:themeTint="A6"/>
                          <w:sz w:val="18"/>
                          <w:szCs w:val="18"/>
                        </w:rPr>
                        <w:t xml:space="preserve"> the Judiciary. Peru. </w:t>
                      </w:r>
                      <w:r w:rsidR="003B2FB9">
                        <w:rPr>
                          <w:rFonts w:asciiTheme="majorHAnsi" w:hAnsiTheme="majorHAnsi"/>
                          <w:color w:val="595959" w:themeColor="text1" w:themeTint="A6"/>
                          <w:sz w:val="18"/>
                          <w:szCs w:val="18"/>
                        </w:rPr>
                        <w:t>December 4, 2018</w:t>
                      </w:r>
                      <w:r w:rsidRPr="0059572F">
                        <w:rPr>
                          <w:rFonts w:asciiTheme="majorHAnsi" w:hAnsiTheme="majorHAnsi"/>
                          <w:color w:val="595959" w:themeColor="text1" w:themeTint="A6"/>
                          <w:sz w:val="18"/>
                          <w:szCs w:val="18"/>
                        </w:rPr>
                        <w:t>.</w:t>
                      </w:r>
                    </w:p>
                  </w:txbxContent>
                </v:textbox>
              </v:shape>
            </w:pict>
          </mc:Fallback>
        </mc:AlternateContent>
      </w:r>
    </w:p>
    <w:p w:rsidR="002C1641" w:rsidRPr="005D12CA" w:rsidRDefault="002C1641" w:rsidP="00040C3A">
      <w:pPr>
        <w:tabs>
          <w:tab w:val="center" w:pos="5400"/>
        </w:tabs>
        <w:suppressAutoHyphens/>
        <w:jc w:val="center"/>
        <w:rPr>
          <w:rFonts w:asciiTheme="majorHAnsi" w:hAnsiTheme="majorHAnsi"/>
          <w:sz w:val="18"/>
          <w:szCs w:val="22"/>
        </w:rPr>
      </w:pPr>
    </w:p>
    <w:p w:rsidR="002C1641" w:rsidRPr="005D12CA" w:rsidRDefault="002C1641" w:rsidP="00040C3A">
      <w:pPr>
        <w:tabs>
          <w:tab w:val="center" w:pos="5400"/>
        </w:tabs>
        <w:suppressAutoHyphens/>
        <w:jc w:val="center"/>
        <w:rPr>
          <w:rFonts w:asciiTheme="majorHAnsi" w:hAnsiTheme="majorHAnsi"/>
          <w:sz w:val="18"/>
          <w:szCs w:val="22"/>
        </w:rPr>
      </w:pPr>
    </w:p>
    <w:p w:rsidR="003C32BC" w:rsidRPr="005D12CA" w:rsidRDefault="003C32BC" w:rsidP="003C32BC">
      <w:pPr>
        <w:tabs>
          <w:tab w:val="center" w:pos="5400"/>
        </w:tabs>
        <w:suppressAutoHyphens/>
        <w:jc w:val="center"/>
        <w:rPr>
          <w:rFonts w:asciiTheme="majorHAnsi" w:hAnsiTheme="majorHAnsi"/>
          <w:sz w:val="18"/>
          <w:szCs w:val="22"/>
        </w:rPr>
      </w:pPr>
    </w:p>
    <w:p w:rsidR="003C32BC" w:rsidRPr="005D12CA" w:rsidRDefault="006311DA" w:rsidP="003C32BC">
      <w:pPr>
        <w:tabs>
          <w:tab w:val="center" w:pos="5400"/>
        </w:tabs>
        <w:suppressAutoHyphens/>
        <w:jc w:val="center"/>
        <w:rPr>
          <w:rFonts w:asciiTheme="majorHAnsi" w:hAnsiTheme="majorHAnsi"/>
          <w:sz w:val="18"/>
          <w:szCs w:val="22"/>
        </w:rPr>
      </w:pPr>
      <w:r w:rsidRPr="005D12C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0B7D43E" wp14:editId="175610C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D43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5D12C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BCDD231" wp14:editId="02059B5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21F3B905" wp14:editId="1E0DB57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DD23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21F3B905" wp14:editId="1E0DB57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5D12CA" w:rsidRDefault="007607C4" w:rsidP="003C32BC">
      <w:pPr>
        <w:tabs>
          <w:tab w:val="center" w:pos="5400"/>
        </w:tabs>
        <w:suppressAutoHyphens/>
        <w:jc w:val="center"/>
        <w:rPr>
          <w:rFonts w:asciiTheme="majorHAnsi" w:hAnsiTheme="majorHAnsi"/>
          <w:sz w:val="18"/>
          <w:szCs w:val="22"/>
        </w:rPr>
        <w:sectPr w:rsidR="007607C4" w:rsidRPr="005D12CA"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0C509A" w:rsidRDefault="00F621C3" w:rsidP="00F621C3">
      <w:pPr>
        <w:spacing w:after="240"/>
        <w:ind w:firstLine="720"/>
        <w:jc w:val="both"/>
        <w:rPr>
          <w:rFonts w:asciiTheme="majorHAnsi" w:hAnsiTheme="majorHAnsi"/>
          <w:b/>
          <w:bCs/>
          <w:sz w:val="19"/>
          <w:szCs w:val="19"/>
        </w:rPr>
      </w:pPr>
      <w:r w:rsidRPr="005D12CA">
        <w:rPr>
          <w:rFonts w:asciiTheme="majorHAnsi" w:hAnsiTheme="majorHAnsi"/>
          <w:b/>
          <w:bCs/>
          <w:sz w:val="20"/>
          <w:szCs w:val="20"/>
        </w:rPr>
        <w:lastRenderedPageBreak/>
        <w:t>I.</w:t>
      </w:r>
      <w:r w:rsidRPr="005D12CA">
        <w:rPr>
          <w:rFonts w:asciiTheme="majorHAnsi" w:hAnsiTheme="majorHAnsi"/>
          <w:b/>
          <w:bCs/>
          <w:sz w:val="20"/>
          <w:szCs w:val="20"/>
        </w:rPr>
        <w:tab/>
      </w:r>
      <w:r w:rsidR="00592718" w:rsidRPr="000C509A">
        <w:rPr>
          <w:rFonts w:asciiTheme="majorHAnsi" w:hAnsiTheme="majorHAnsi"/>
          <w:b/>
          <w:bCs/>
          <w:sz w:val="19"/>
          <w:szCs w:val="19"/>
        </w:rPr>
        <w:t>INFORMATION ABOUT THE PETITION</w:t>
      </w:r>
      <w:r w:rsidRPr="000C509A">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D68B3" w:rsidRPr="000C509A" w:rsidTr="008D68B3">
        <w:tc>
          <w:tcPr>
            <w:tcW w:w="3690" w:type="dxa"/>
            <w:tcBorders>
              <w:top w:val="single" w:sz="4"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Petitioner:</w:t>
            </w:r>
          </w:p>
        </w:tc>
        <w:tc>
          <w:tcPr>
            <w:tcW w:w="5670" w:type="dxa"/>
            <w:vAlign w:val="center"/>
          </w:tcPr>
          <w:p w:rsidR="008D68B3" w:rsidRPr="000C509A" w:rsidRDefault="004C4DEF" w:rsidP="0078739F">
            <w:pPr>
              <w:jc w:val="both"/>
              <w:rPr>
                <w:rFonts w:asciiTheme="majorHAnsi" w:hAnsiTheme="majorHAnsi"/>
                <w:bCs/>
                <w:sz w:val="19"/>
                <w:szCs w:val="19"/>
              </w:rPr>
            </w:pPr>
            <w:r w:rsidRPr="000C509A">
              <w:rPr>
                <w:rFonts w:asciiTheme="majorHAnsi" w:hAnsiTheme="majorHAnsi"/>
                <w:bCs/>
                <w:i/>
                <w:sz w:val="19"/>
                <w:szCs w:val="19"/>
              </w:rPr>
              <w:t>Asociación Nacional de Magistrados Cesantes y Jubilados del Poder Judicial</w:t>
            </w:r>
            <w:r w:rsidRPr="000C509A">
              <w:rPr>
                <w:rFonts w:asciiTheme="majorHAnsi" w:hAnsiTheme="majorHAnsi"/>
                <w:bCs/>
                <w:sz w:val="19"/>
                <w:szCs w:val="19"/>
              </w:rPr>
              <w:t xml:space="preserve"> (</w:t>
            </w:r>
            <w:r w:rsidR="008D68B3" w:rsidRPr="000C509A">
              <w:rPr>
                <w:rFonts w:asciiTheme="majorHAnsi" w:hAnsiTheme="majorHAnsi"/>
                <w:bCs/>
                <w:sz w:val="19"/>
                <w:szCs w:val="19"/>
              </w:rPr>
              <w:t xml:space="preserve">National Association of Retired and Discharged </w:t>
            </w:r>
            <w:r w:rsidR="0078739F" w:rsidRPr="000C509A">
              <w:rPr>
                <w:rFonts w:asciiTheme="majorHAnsi" w:hAnsiTheme="majorHAnsi"/>
                <w:bCs/>
                <w:sz w:val="19"/>
                <w:szCs w:val="19"/>
              </w:rPr>
              <w:t>Officials</w:t>
            </w:r>
            <w:r w:rsidR="008D68B3" w:rsidRPr="000C509A">
              <w:rPr>
                <w:rFonts w:asciiTheme="majorHAnsi" w:hAnsiTheme="majorHAnsi"/>
                <w:bCs/>
                <w:sz w:val="19"/>
                <w:szCs w:val="19"/>
              </w:rPr>
              <w:t xml:space="preserve"> </w:t>
            </w:r>
            <w:r w:rsidR="00D30CFB" w:rsidRPr="000C509A">
              <w:rPr>
                <w:rFonts w:asciiTheme="majorHAnsi" w:hAnsiTheme="majorHAnsi"/>
                <w:bCs/>
                <w:sz w:val="19"/>
                <w:szCs w:val="19"/>
              </w:rPr>
              <w:t>of</w:t>
            </w:r>
            <w:r w:rsidR="008D68B3" w:rsidRPr="000C509A">
              <w:rPr>
                <w:rFonts w:asciiTheme="majorHAnsi" w:hAnsiTheme="majorHAnsi"/>
                <w:bCs/>
                <w:sz w:val="19"/>
                <w:szCs w:val="19"/>
              </w:rPr>
              <w:t xml:space="preserve"> the Judiciary</w:t>
            </w:r>
            <w:r w:rsidRPr="000C509A">
              <w:rPr>
                <w:rFonts w:asciiTheme="majorHAnsi" w:hAnsiTheme="majorHAnsi"/>
                <w:bCs/>
                <w:sz w:val="19"/>
                <w:szCs w:val="19"/>
              </w:rPr>
              <w:t>)</w:t>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DF7E20"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443390F53E6F445FAC8D4CB41FBBA86E"/>
                </w:placeholder>
                <w:dropDownList>
                  <w:listItem w:value="Choose an item."/>
                  <w:listItem w:displayText="Alleged victim" w:value="Alleged victim"/>
                  <w:listItem w:displayText="Alleged victims" w:value="Alleged victims"/>
                </w:dropDownList>
              </w:sdtPr>
              <w:sdtEndPr/>
              <w:sdtContent>
                <w:r w:rsidR="008D68B3" w:rsidRPr="000C509A">
                  <w:rPr>
                    <w:rFonts w:asciiTheme="majorHAnsi" w:hAnsiTheme="majorHAnsi"/>
                    <w:b/>
                    <w:bCs/>
                    <w:color w:val="FFFFFF" w:themeColor="background1"/>
                    <w:sz w:val="19"/>
                    <w:szCs w:val="19"/>
                  </w:rPr>
                  <w:t>Alleged victims</w:t>
                </w:r>
              </w:sdtContent>
            </w:sdt>
            <w:r w:rsidR="008D68B3" w:rsidRPr="000C509A">
              <w:rPr>
                <w:rFonts w:asciiTheme="majorHAnsi" w:hAnsiTheme="majorHAnsi"/>
                <w:b/>
                <w:bCs/>
                <w:color w:val="FFFFFF" w:themeColor="background1"/>
                <w:sz w:val="19"/>
                <w:szCs w:val="19"/>
              </w:rPr>
              <w:t>:</w:t>
            </w:r>
          </w:p>
        </w:tc>
        <w:tc>
          <w:tcPr>
            <w:tcW w:w="5670" w:type="dxa"/>
            <w:vAlign w:val="center"/>
          </w:tcPr>
          <w:p w:rsidR="008D68B3" w:rsidRPr="000C509A" w:rsidRDefault="004C4DEF" w:rsidP="00FE76B7">
            <w:pPr>
              <w:jc w:val="both"/>
              <w:rPr>
                <w:rFonts w:asciiTheme="majorHAnsi" w:hAnsiTheme="majorHAnsi"/>
                <w:bCs/>
                <w:sz w:val="19"/>
                <w:szCs w:val="19"/>
              </w:rPr>
            </w:pPr>
            <w:r w:rsidRPr="000C509A">
              <w:rPr>
                <w:rFonts w:asciiTheme="majorHAnsi" w:hAnsiTheme="majorHAnsi"/>
                <w:bCs/>
                <w:i/>
                <w:sz w:val="19"/>
                <w:szCs w:val="19"/>
              </w:rPr>
              <w:t>Asociados de la Asociación Nacional de Magistrados Cesantes  y Jubilados del Poder Judicial</w:t>
            </w:r>
            <w:r w:rsidRPr="000C509A">
              <w:rPr>
                <w:rFonts w:asciiTheme="majorHAnsi" w:hAnsiTheme="majorHAnsi"/>
                <w:bCs/>
                <w:sz w:val="19"/>
                <w:szCs w:val="19"/>
              </w:rPr>
              <w:t xml:space="preserve"> (</w:t>
            </w:r>
            <w:r w:rsidR="008D68B3" w:rsidRPr="000C509A">
              <w:rPr>
                <w:rFonts w:asciiTheme="majorHAnsi" w:hAnsiTheme="majorHAnsi"/>
                <w:bCs/>
                <w:sz w:val="19"/>
                <w:szCs w:val="19"/>
              </w:rPr>
              <w:t xml:space="preserve">Members of the </w:t>
            </w:r>
            <w:r w:rsidRPr="000C509A">
              <w:rPr>
                <w:rFonts w:asciiTheme="majorHAnsi" w:hAnsiTheme="majorHAnsi"/>
                <w:bCs/>
                <w:sz w:val="19"/>
                <w:szCs w:val="19"/>
              </w:rPr>
              <w:t xml:space="preserve">National </w:t>
            </w:r>
            <w:r w:rsidR="008D68B3" w:rsidRPr="000C509A">
              <w:rPr>
                <w:rFonts w:asciiTheme="majorHAnsi" w:hAnsiTheme="majorHAnsi"/>
                <w:bCs/>
                <w:sz w:val="19"/>
                <w:szCs w:val="19"/>
              </w:rPr>
              <w:t xml:space="preserve">Association of Retired and Discharged </w:t>
            </w:r>
            <w:r w:rsidR="00FE76B7" w:rsidRPr="000C509A">
              <w:rPr>
                <w:rFonts w:asciiTheme="majorHAnsi" w:hAnsiTheme="majorHAnsi"/>
                <w:bCs/>
                <w:sz w:val="19"/>
                <w:szCs w:val="19"/>
              </w:rPr>
              <w:t>Officials</w:t>
            </w:r>
            <w:r w:rsidR="008D68B3" w:rsidRPr="000C509A">
              <w:rPr>
                <w:rFonts w:asciiTheme="majorHAnsi" w:hAnsiTheme="majorHAnsi"/>
                <w:bCs/>
                <w:sz w:val="19"/>
                <w:szCs w:val="19"/>
              </w:rPr>
              <w:t xml:space="preserve"> </w:t>
            </w:r>
            <w:r w:rsidR="00D30CFB" w:rsidRPr="000C509A">
              <w:rPr>
                <w:rFonts w:asciiTheme="majorHAnsi" w:hAnsiTheme="majorHAnsi"/>
                <w:bCs/>
                <w:sz w:val="19"/>
                <w:szCs w:val="19"/>
              </w:rPr>
              <w:t>of</w:t>
            </w:r>
            <w:r w:rsidR="008D68B3" w:rsidRPr="000C509A">
              <w:rPr>
                <w:rFonts w:asciiTheme="majorHAnsi" w:hAnsiTheme="majorHAnsi"/>
                <w:bCs/>
                <w:sz w:val="19"/>
                <w:szCs w:val="19"/>
              </w:rPr>
              <w:t xml:space="preserve"> the Judiciary</w:t>
            </w:r>
            <w:r w:rsidRPr="000C509A">
              <w:rPr>
                <w:rFonts w:asciiTheme="majorHAnsi" w:hAnsiTheme="majorHAnsi"/>
                <w:bCs/>
                <w:sz w:val="19"/>
                <w:szCs w:val="19"/>
              </w:rPr>
              <w:t>)</w:t>
            </w:r>
            <w:r w:rsidR="008D68B3" w:rsidRPr="000C509A">
              <w:rPr>
                <w:rStyle w:val="FootnoteReference"/>
                <w:rFonts w:asciiTheme="majorHAnsi" w:hAnsiTheme="majorHAnsi"/>
                <w:bCs/>
                <w:sz w:val="19"/>
                <w:szCs w:val="19"/>
              </w:rPr>
              <w:footnoteReference w:id="2"/>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926D2F">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Respondent State:</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Peru</w:t>
            </w:r>
            <w:r w:rsidRPr="000C509A">
              <w:rPr>
                <w:rStyle w:val="FootnoteReference"/>
                <w:rFonts w:asciiTheme="majorHAnsi" w:hAnsiTheme="majorHAnsi"/>
                <w:sz w:val="19"/>
                <w:szCs w:val="19"/>
              </w:rPr>
              <w:footnoteReference w:id="3"/>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E7588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Rights invoked:</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 xml:space="preserve">Articles 21 </w:t>
            </w:r>
            <w:r w:rsidR="00AA2F92" w:rsidRPr="000C509A">
              <w:rPr>
                <w:rFonts w:asciiTheme="majorHAnsi" w:hAnsiTheme="majorHAnsi"/>
                <w:bCs/>
                <w:sz w:val="19"/>
                <w:szCs w:val="19"/>
              </w:rPr>
              <w:t xml:space="preserve">(property), 24 (equal protection), 25 (judicial protection) and 26 (economic, social and cultural rights) </w:t>
            </w:r>
            <w:r w:rsidRPr="000C509A">
              <w:rPr>
                <w:rFonts w:asciiTheme="majorHAnsi" w:hAnsiTheme="majorHAnsi"/>
                <w:bCs/>
                <w:sz w:val="19"/>
                <w:szCs w:val="19"/>
              </w:rPr>
              <w:t>of the American Convention on Human Rights</w:t>
            </w:r>
            <w:r w:rsidRPr="000C509A">
              <w:rPr>
                <w:rStyle w:val="FootnoteReference"/>
                <w:rFonts w:asciiTheme="majorHAnsi" w:hAnsiTheme="majorHAnsi"/>
                <w:bCs/>
                <w:sz w:val="19"/>
                <w:szCs w:val="19"/>
              </w:rPr>
              <w:footnoteReference w:id="4"/>
            </w:r>
          </w:p>
        </w:tc>
      </w:tr>
    </w:tbl>
    <w:p w:rsidR="00F621C3" w:rsidRPr="000C509A" w:rsidRDefault="00F621C3" w:rsidP="00F621C3">
      <w:pPr>
        <w:spacing w:before="240" w:after="240"/>
        <w:ind w:firstLine="720"/>
        <w:jc w:val="both"/>
        <w:rPr>
          <w:rFonts w:asciiTheme="majorHAnsi" w:hAnsiTheme="majorHAnsi"/>
          <w:b/>
          <w:bCs/>
          <w:sz w:val="19"/>
          <w:szCs w:val="19"/>
        </w:rPr>
      </w:pPr>
      <w:r w:rsidRPr="000C509A">
        <w:rPr>
          <w:rFonts w:asciiTheme="majorHAnsi" w:hAnsiTheme="majorHAnsi"/>
          <w:b/>
          <w:bCs/>
          <w:sz w:val="19"/>
          <w:szCs w:val="19"/>
        </w:rPr>
        <w:t>II.</w:t>
      </w:r>
      <w:r w:rsidRPr="000C509A">
        <w:rPr>
          <w:rFonts w:asciiTheme="majorHAnsi" w:hAnsiTheme="majorHAnsi"/>
          <w:b/>
          <w:bCs/>
          <w:sz w:val="19"/>
          <w:szCs w:val="19"/>
        </w:rPr>
        <w:tab/>
        <w:t>PROCEDURE BEFORE THE IACHR</w:t>
      </w:r>
      <w:r w:rsidR="00653EA6" w:rsidRPr="000C509A">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B06BB7">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Filing of the petition:</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 xml:space="preserve">February 28, 2008 </w:t>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3771A3">
            <w:pPr>
              <w:jc w:val="center"/>
              <w:rPr>
                <w:rFonts w:asciiTheme="majorHAnsi" w:hAnsiTheme="majorHAnsi"/>
                <w:b/>
                <w:color w:val="FFFFFF" w:themeColor="background1"/>
                <w:sz w:val="19"/>
                <w:szCs w:val="19"/>
              </w:rPr>
            </w:pPr>
            <w:r w:rsidRPr="000C509A">
              <w:rPr>
                <w:rFonts w:asciiTheme="majorHAnsi" w:hAnsiTheme="majorHAnsi"/>
                <w:b/>
                <w:color w:val="FFFFFF" w:themeColor="background1"/>
                <w:sz w:val="19"/>
                <w:szCs w:val="19"/>
              </w:rPr>
              <w:t>Additional information received at the stage of initial review:</w:t>
            </w:r>
          </w:p>
        </w:tc>
        <w:tc>
          <w:tcPr>
            <w:tcW w:w="5670" w:type="dxa"/>
            <w:vAlign w:val="center"/>
          </w:tcPr>
          <w:p w:rsidR="008D68B3" w:rsidRPr="000C509A" w:rsidRDefault="008D68B3" w:rsidP="003B5B62">
            <w:pPr>
              <w:rPr>
                <w:rFonts w:asciiTheme="majorHAnsi" w:hAnsiTheme="majorHAnsi"/>
                <w:bCs/>
                <w:color w:val="FFFFFF" w:themeColor="background1"/>
                <w:sz w:val="19"/>
                <w:szCs w:val="19"/>
              </w:rPr>
            </w:pPr>
            <w:r w:rsidRPr="000C509A">
              <w:rPr>
                <w:rFonts w:asciiTheme="majorHAnsi" w:hAnsiTheme="majorHAnsi"/>
                <w:bCs/>
                <w:sz w:val="19"/>
                <w:szCs w:val="19"/>
              </w:rPr>
              <w:t>June 6, August 12 and October 30, 2008</w:t>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B06BB7">
            <w:pPr>
              <w:jc w:val="center"/>
              <w:rPr>
                <w:rFonts w:asciiTheme="majorHAnsi" w:hAnsiTheme="majorHAnsi"/>
                <w:b/>
                <w:bCs/>
                <w:color w:val="FFFFFF" w:themeColor="background1"/>
                <w:sz w:val="19"/>
                <w:szCs w:val="19"/>
              </w:rPr>
            </w:pPr>
            <w:r w:rsidRPr="000C509A">
              <w:rPr>
                <w:rFonts w:asciiTheme="majorHAnsi" w:hAnsiTheme="majorHAnsi"/>
                <w:b/>
                <w:color w:val="FFFFFF" w:themeColor="background1"/>
                <w:sz w:val="19"/>
                <w:szCs w:val="19"/>
              </w:rPr>
              <w:t>Notification of the petition to the State:</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May 3, 2010</w:t>
            </w:r>
          </w:p>
        </w:tc>
      </w:tr>
      <w:tr w:rsidR="008D68B3" w:rsidRPr="000C509A" w:rsidTr="008D68B3">
        <w:trPr>
          <w:trHeight w:val="264"/>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color w:val="FFFFFF" w:themeColor="background1"/>
                <w:sz w:val="19"/>
                <w:szCs w:val="19"/>
              </w:rPr>
              <w:t>State</w:t>
            </w:r>
            <w:r w:rsidR="00D30CFB" w:rsidRPr="000C509A">
              <w:rPr>
                <w:rFonts w:asciiTheme="majorHAnsi" w:hAnsiTheme="majorHAnsi"/>
                <w:b/>
                <w:color w:val="FFFFFF" w:themeColor="background1"/>
                <w:sz w:val="19"/>
                <w:szCs w:val="19"/>
              </w:rPr>
              <w:t>’</w:t>
            </w:r>
            <w:r w:rsidRPr="000C509A">
              <w:rPr>
                <w:rFonts w:asciiTheme="majorHAnsi" w:hAnsiTheme="majorHAnsi"/>
                <w:b/>
                <w:color w:val="FFFFFF" w:themeColor="background1"/>
                <w:sz w:val="19"/>
                <w:szCs w:val="19"/>
              </w:rPr>
              <w:t>s first response:</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July 7, 2010</w:t>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23351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Additional observations from the petitioner:</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September 30, 2010; June 21, 2011; February 5, June 19 and July 10, 2014; October 13, 2015</w:t>
            </w:r>
          </w:p>
        </w:tc>
      </w:tr>
      <w:tr w:rsidR="008D68B3" w:rsidRPr="000C509A" w:rsidTr="008D68B3">
        <w:tc>
          <w:tcPr>
            <w:tcW w:w="3690" w:type="dxa"/>
            <w:tcBorders>
              <w:top w:val="single" w:sz="6" w:space="0" w:color="auto"/>
              <w:bottom w:val="single" w:sz="6" w:space="0" w:color="auto"/>
            </w:tcBorders>
            <w:shd w:val="clear" w:color="auto" w:fill="67AE3C"/>
            <w:vAlign w:val="center"/>
          </w:tcPr>
          <w:p w:rsidR="008D68B3" w:rsidRPr="000C509A" w:rsidRDefault="008D68B3" w:rsidP="00653EA6">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Additional observations from the State:</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February 15 and September 6, 2011</w:t>
            </w:r>
          </w:p>
        </w:tc>
      </w:tr>
    </w:tbl>
    <w:p w:rsidR="00F621C3" w:rsidRPr="000C509A" w:rsidRDefault="00F621C3" w:rsidP="00F621C3">
      <w:pPr>
        <w:spacing w:before="240" w:after="240"/>
        <w:ind w:firstLine="720"/>
        <w:jc w:val="both"/>
        <w:rPr>
          <w:rFonts w:asciiTheme="majorHAnsi" w:hAnsiTheme="majorHAnsi"/>
          <w:b/>
          <w:bCs/>
          <w:sz w:val="19"/>
          <w:szCs w:val="19"/>
        </w:rPr>
      </w:pPr>
      <w:r w:rsidRPr="000C509A">
        <w:rPr>
          <w:rFonts w:asciiTheme="majorHAnsi" w:hAnsiTheme="majorHAnsi"/>
          <w:b/>
          <w:bCs/>
          <w:sz w:val="19"/>
          <w:szCs w:val="19"/>
        </w:rPr>
        <w:t xml:space="preserve">III. </w:t>
      </w:r>
      <w:r w:rsidRPr="000C509A">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D68B3" w:rsidRPr="000C509A" w:rsidTr="008D68B3">
        <w:trPr>
          <w:cantSplit/>
        </w:trPr>
        <w:tc>
          <w:tcPr>
            <w:tcW w:w="3690" w:type="dxa"/>
            <w:tcBorders>
              <w:top w:val="single" w:sz="4"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i/>
                <w:color w:val="FFFFFF" w:themeColor="background1"/>
                <w:sz w:val="19"/>
                <w:szCs w:val="19"/>
              </w:rPr>
            </w:pPr>
            <w:r w:rsidRPr="000C509A">
              <w:rPr>
                <w:rFonts w:asciiTheme="majorHAnsi" w:hAnsiTheme="majorHAnsi"/>
                <w:b/>
                <w:bCs/>
                <w:color w:val="FFFFFF" w:themeColor="background1"/>
                <w:sz w:val="19"/>
                <w:szCs w:val="19"/>
              </w:rPr>
              <w:t>Competence</w:t>
            </w:r>
            <w:r w:rsidRPr="000C509A">
              <w:rPr>
                <w:rFonts w:asciiTheme="majorHAnsi" w:hAnsiTheme="majorHAnsi"/>
                <w:b/>
                <w:bCs/>
                <w:i/>
                <w:color w:val="FFFFFF" w:themeColor="background1"/>
                <w:sz w:val="19"/>
                <w:szCs w:val="19"/>
              </w:rPr>
              <w:t xml:space="preserve"> Ratione personae:</w:t>
            </w:r>
          </w:p>
        </w:tc>
        <w:tc>
          <w:tcPr>
            <w:tcW w:w="5670" w:type="dxa"/>
            <w:vAlign w:val="center"/>
          </w:tcPr>
          <w:p w:rsidR="008D68B3" w:rsidRPr="000C509A" w:rsidRDefault="008D68B3" w:rsidP="003B5B62">
            <w:pPr>
              <w:rPr>
                <w:rFonts w:asciiTheme="majorHAnsi" w:hAnsiTheme="majorHAnsi"/>
                <w:bCs/>
                <w:sz w:val="19"/>
                <w:szCs w:val="19"/>
              </w:rPr>
            </w:pPr>
            <w:r w:rsidRPr="000C509A">
              <w:rPr>
                <w:rFonts w:asciiTheme="majorHAnsi" w:hAnsiTheme="majorHAnsi"/>
                <w:bCs/>
                <w:sz w:val="19"/>
                <w:szCs w:val="19"/>
              </w:rPr>
              <w:t>Yes</w:t>
            </w:r>
          </w:p>
        </w:tc>
      </w:tr>
      <w:tr w:rsidR="008D68B3" w:rsidRPr="000C509A" w:rsidTr="008D68B3">
        <w:trPr>
          <w:cantSplit/>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Competence</w:t>
            </w:r>
            <w:r w:rsidRPr="000C509A">
              <w:rPr>
                <w:rFonts w:asciiTheme="majorHAnsi" w:hAnsiTheme="majorHAnsi"/>
                <w:b/>
                <w:bCs/>
                <w:i/>
                <w:color w:val="FFFFFF" w:themeColor="background1"/>
                <w:sz w:val="19"/>
                <w:szCs w:val="19"/>
              </w:rPr>
              <w:t xml:space="preserve"> Ratione loci</w:t>
            </w:r>
            <w:r w:rsidRPr="000C509A">
              <w:rPr>
                <w:rFonts w:asciiTheme="majorHAnsi" w:hAnsiTheme="majorHAnsi"/>
                <w:b/>
                <w:bCs/>
                <w:color w:val="FFFFFF" w:themeColor="background1"/>
                <w:sz w:val="19"/>
                <w:szCs w:val="19"/>
              </w:rPr>
              <w:t>:</w:t>
            </w:r>
          </w:p>
        </w:tc>
        <w:tc>
          <w:tcPr>
            <w:tcW w:w="5670" w:type="dxa"/>
            <w:vAlign w:val="center"/>
          </w:tcPr>
          <w:p w:rsidR="008D68B3" w:rsidRPr="000C509A" w:rsidRDefault="008D68B3" w:rsidP="003B5B62">
            <w:pPr>
              <w:rPr>
                <w:rFonts w:asciiTheme="majorHAnsi" w:hAnsiTheme="majorHAnsi"/>
                <w:bCs/>
                <w:sz w:val="19"/>
                <w:szCs w:val="19"/>
              </w:rPr>
            </w:pPr>
            <w:r w:rsidRPr="000C509A">
              <w:rPr>
                <w:rFonts w:asciiTheme="majorHAnsi" w:hAnsiTheme="majorHAnsi"/>
                <w:bCs/>
                <w:sz w:val="19"/>
                <w:szCs w:val="19"/>
              </w:rPr>
              <w:t>Yes</w:t>
            </w:r>
          </w:p>
        </w:tc>
      </w:tr>
      <w:tr w:rsidR="008D68B3" w:rsidRPr="000C509A" w:rsidTr="008D68B3">
        <w:trPr>
          <w:cantSplit/>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Competence</w:t>
            </w:r>
            <w:r w:rsidRPr="000C509A">
              <w:rPr>
                <w:rFonts w:asciiTheme="majorHAnsi" w:hAnsiTheme="majorHAnsi"/>
                <w:b/>
                <w:bCs/>
                <w:i/>
                <w:color w:val="FFFFFF" w:themeColor="background1"/>
                <w:sz w:val="19"/>
                <w:szCs w:val="19"/>
              </w:rPr>
              <w:t xml:space="preserve"> Ratione temporis</w:t>
            </w:r>
            <w:r w:rsidRPr="000C509A">
              <w:rPr>
                <w:rFonts w:asciiTheme="majorHAnsi" w:hAnsiTheme="majorHAnsi"/>
                <w:b/>
                <w:bCs/>
                <w:color w:val="FFFFFF" w:themeColor="background1"/>
                <w:sz w:val="19"/>
                <w:szCs w:val="19"/>
              </w:rPr>
              <w:t>:</w:t>
            </w:r>
          </w:p>
        </w:tc>
        <w:tc>
          <w:tcPr>
            <w:tcW w:w="5670" w:type="dxa"/>
            <w:vAlign w:val="center"/>
          </w:tcPr>
          <w:p w:rsidR="008D68B3" w:rsidRPr="000C509A" w:rsidRDefault="008D68B3" w:rsidP="003B5B62">
            <w:pPr>
              <w:rPr>
                <w:rFonts w:asciiTheme="majorHAnsi" w:hAnsiTheme="majorHAnsi"/>
                <w:bCs/>
                <w:sz w:val="19"/>
                <w:szCs w:val="19"/>
              </w:rPr>
            </w:pPr>
            <w:r w:rsidRPr="000C509A">
              <w:rPr>
                <w:rFonts w:asciiTheme="majorHAnsi" w:hAnsiTheme="majorHAnsi"/>
                <w:bCs/>
                <w:sz w:val="19"/>
                <w:szCs w:val="19"/>
              </w:rPr>
              <w:t>Yes</w:t>
            </w:r>
          </w:p>
        </w:tc>
      </w:tr>
      <w:tr w:rsidR="008D68B3" w:rsidRPr="000C509A" w:rsidTr="008D68B3">
        <w:trPr>
          <w:cantSplit/>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Competence</w:t>
            </w:r>
            <w:r w:rsidRPr="000C509A">
              <w:rPr>
                <w:rFonts w:asciiTheme="majorHAnsi" w:hAnsiTheme="majorHAnsi"/>
                <w:b/>
                <w:bCs/>
                <w:i/>
                <w:color w:val="FFFFFF" w:themeColor="background1"/>
                <w:sz w:val="19"/>
                <w:szCs w:val="19"/>
              </w:rPr>
              <w:t xml:space="preserve"> Ratione materiae</w:t>
            </w:r>
            <w:r w:rsidRPr="000C509A">
              <w:rPr>
                <w:rFonts w:asciiTheme="majorHAnsi" w:hAnsiTheme="majorHAnsi"/>
                <w:b/>
                <w:bCs/>
                <w:color w:val="FFFFFF" w:themeColor="background1"/>
                <w:sz w:val="19"/>
                <w:szCs w:val="19"/>
              </w:rPr>
              <w:t>:</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Yes, American Convention (deposit of ratification instrument on July 28, 1978)</w:t>
            </w:r>
          </w:p>
        </w:tc>
      </w:tr>
    </w:tbl>
    <w:p w:rsidR="00F621C3" w:rsidRPr="000C509A" w:rsidRDefault="00F621C3" w:rsidP="00F621C3">
      <w:pPr>
        <w:spacing w:before="240" w:after="240"/>
        <w:ind w:firstLine="720"/>
        <w:jc w:val="both"/>
        <w:rPr>
          <w:rFonts w:asciiTheme="majorHAnsi" w:hAnsiTheme="majorHAnsi"/>
          <w:b/>
          <w:bCs/>
          <w:sz w:val="19"/>
          <w:szCs w:val="19"/>
        </w:rPr>
      </w:pPr>
      <w:r w:rsidRPr="000C509A">
        <w:rPr>
          <w:rFonts w:asciiTheme="majorHAnsi" w:hAnsiTheme="majorHAnsi"/>
          <w:b/>
          <w:bCs/>
          <w:sz w:val="19"/>
          <w:szCs w:val="19"/>
        </w:rPr>
        <w:t xml:space="preserve">IV. </w:t>
      </w:r>
      <w:r w:rsidRPr="000C509A">
        <w:rPr>
          <w:rFonts w:asciiTheme="majorHAnsi" w:hAnsiTheme="majorHAnsi"/>
          <w:b/>
          <w:bCs/>
          <w:sz w:val="19"/>
          <w:szCs w:val="19"/>
        </w:rPr>
        <w:tab/>
        <w:t xml:space="preserve">DUPLICATION OF PROCEDURES AND INTERNATIONAL </w:t>
      </w:r>
      <w:r w:rsidRPr="000C509A">
        <w:rPr>
          <w:rFonts w:asciiTheme="majorHAnsi" w:hAnsiTheme="majorHAnsi"/>
          <w:b/>
          <w:bCs/>
          <w:i/>
          <w:sz w:val="19"/>
          <w:szCs w:val="19"/>
        </w:rPr>
        <w:t>RES JUDICATA</w:t>
      </w:r>
      <w:r w:rsidRPr="000C509A">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D68B3" w:rsidRPr="000C509A" w:rsidTr="008D68B3">
        <w:trPr>
          <w:cantSplit/>
        </w:trPr>
        <w:tc>
          <w:tcPr>
            <w:tcW w:w="3690" w:type="dxa"/>
            <w:tcBorders>
              <w:top w:val="single" w:sz="4"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 xml:space="preserve">Duplication of procedures and International </w:t>
            </w:r>
            <w:r w:rsidRPr="000C509A">
              <w:rPr>
                <w:rFonts w:asciiTheme="majorHAnsi" w:hAnsiTheme="majorHAnsi"/>
                <w:b/>
                <w:bCs/>
                <w:i/>
                <w:color w:val="FFFFFF" w:themeColor="background1"/>
                <w:sz w:val="19"/>
                <w:szCs w:val="19"/>
              </w:rPr>
              <w:t>res judicata</w:t>
            </w:r>
            <w:r w:rsidRPr="000C509A">
              <w:rPr>
                <w:rFonts w:asciiTheme="majorHAnsi" w:hAnsiTheme="majorHAnsi"/>
                <w:b/>
                <w:bCs/>
                <w:color w:val="FFFFFF" w:themeColor="background1"/>
                <w:sz w:val="19"/>
                <w:szCs w:val="19"/>
              </w:rPr>
              <w:t>:</w:t>
            </w:r>
          </w:p>
        </w:tc>
        <w:tc>
          <w:tcPr>
            <w:tcW w:w="5670" w:type="dxa"/>
            <w:vAlign w:val="center"/>
          </w:tcPr>
          <w:p w:rsidR="008D68B3" w:rsidRPr="000C509A" w:rsidRDefault="008D68B3" w:rsidP="003B5B62">
            <w:pPr>
              <w:jc w:val="both"/>
              <w:rPr>
                <w:rFonts w:asciiTheme="majorHAnsi" w:hAnsiTheme="majorHAnsi"/>
                <w:bCs/>
                <w:sz w:val="19"/>
                <w:szCs w:val="19"/>
              </w:rPr>
            </w:pPr>
            <w:r w:rsidRPr="000C509A">
              <w:rPr>
                <w:rFonts w:asciiTheme="majorHAnsi" w:hAnsiTheme="majorHAnsi"/>
                <w:bCs/>
                <w:sz w:val="19"/>
                <w:szCs w:val="19"/>
              </w:rPr>
              <w:t>No</w:t>
            </w:r>
          </w:p>
        </w:tc>
      </w:tr>
      <w:tr w:rsidR="008D68B3" w:rsidRPr="000C509A" w:rsidTr="008D68B3">
        <w:trPr>
          <w:cantSplit/>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i/>
                <w:color w:val="FFFFFF" w:themeColor="background1"/>
                <w:sz w:val="19"/>
                <w:szCs w:val="19"/>
              </w:rPr>
            </w:pPr>
            <w:r w:rsidRPr="000C509A">
              <w:rPr>
                <w:rFonts w:asciiTheme="majorHAnsi" w:hAnsiTheme="majorHAnsi"/>
                <w:b/>
                <w:bCs/>
                <w:color w:val="FFFFFF" w:themeColor="background1"/>
                <w:sz w:val="19"/>
                <w:szCs w:val="19"/>
              </w:rPr>
              <w:t>Rights declared admissible</w:t>
            </w:r>
          </w:p>
        </w:tc>
        <w:tc>
          <w:tcPr>
            <w:tcW w:w="5670" w:type="dxa"/>
            <w:vAlign w:val="center"/>
          </w:tcPr>
          <w:p w:rsidR="008D68B3" w:rsidRPr="000C509A" w:rsidRDefault="00AA2F92" w:rsidP="003B5B62">
            <w:pPr>
              <w:jc w:val="both"/>
              <w:rPr>
                <w:rFonts w:asciiTheme="majorHAnsi" w:hAnsiTheme="majorHAnsi"/>
                <w:bCs/>
                <w:sz w:val="19"/>
                <w:szCs w:val="19"/>
              </w:rPr>
            </w:pPr>
            <w:r w:rsidRPr="000C509A">
              <w:rPr>
                <w:rFonts w:asciiTheme="majorHAnsi" w:hAnsiTheme="majorHAnsi"/>
                <w:bCs/>
                <w:sz w:val="19"/>
                <w:szCs w:val="19"/>
              </w:rPr>
              <w:t xml:space="preserve">articles 5 (humane treatment), 8 (fair trial), 21 (property), 25 (judicial protection) and 26 (economic, social and cultural rights), </w:t>
            </w:r>
            <w:r w:rsidR="008D68B3" w:rsidRPr="000C509A">
              <w:rPr>
                <w:rFonts w:asciiTheme="majorHAnsi" w:hAnsiTheme="majorHAnsi"/>
                <w:bCs/>
                <w:sz w:val="19"/>
                <w:szCs w:val="19"/>
              </w:rPr>
              <w:t>in connection with Articles 1.1</w:t>
            </w:r>
            <w:r w:rsidRPr="000C509A">
              <w:rPr>
                <w:rFonts w:asciiTheme="majorHAnsi" w:hAnsiTheme="majorHAnsi"/>
                <w:bCs/>
                <w:sz w:val="19"/>
                <w:szCs w:val="19"/>
              </w:rPr>
              <w:t xml:space="preserve"> (obligation to respect rights) and 2 (domestic legal effects), </w:t>
            </w:r>
            <w:r w:rsidR="008D68B3" w:rsidRPr="000C509A">
              <w:rPr>
                <w:rFonts w:asciiTheme="majorHAnsi" w:hAnsiTheme="majorHAnsi"/>
                <w:bCs/>
                <w:sz w:val="19"/>
                <w:szCs w:val="19"/>
              </w:rPr>
              <w:t>of the American Convention</w:t>
            </w:r>
          </w:p>
        </w:tc>
      </w:tr>
      <w:tr w:rsidR="008D68B3" w:rsidRPr="000C509A" w:rsidTr="008D68B3">
        <w:trPr>
          <w:cantSplit/>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8D68B3" w:rsidRPr="000C509A" w:rsidRDefault="008D68B3" w:rsidP="003B5B62">
            <w:pPr>
              <w:rPr>
                <w:rFonts w:asciiTheme="majorHAnsi" w:hAnsiTheme="majorHAnsi"/>
                <w:bCs/>
                <w:sz w:val="19"/>
                <w:szCs w:val="19"/>
              </w:rPr>
            </w:pPr>
            <w:r w:rsidRPr="000C509A">
              <w:rPr>
                <w:rFonts w:asciiTheme="majorHAnsi" w:hAnsiTheme="majorHAnsi"/>
                <w:bCs/>
                <w:sz w:val="19"/>
                <w:szCs w:val="19"/>
              </w:rPr>
              <w:t>Yes, under the terms of Section VI</w:t>
            </w:r>
          </w:p>
        </w:tc>
      </w:tr>
      <w:tr w:rsidR="008D68B3" w:rsidRPr="000C509A" w:rsidTr="008D68B3">
        <w:trPr>
          <w:cantSplit/>
        </w:trPr>
        <w:tc>
          <w:tcPr>
            <w:tcW w:w="3690" w:type="dxa"/>
            <w:tcBorders>
              <w:top w:val="single" w:sz="6" w:space="0" w:color="auto"/>
              <w:bottom w:val="single" w:sz="6" w:space="0" w:color="auto"/>
            </w:tcBorders>
            <w:shd w:val="clear" w:color="auto" w:fill="67AE3C"/>
            <w:vAlign w:val="center"/>
          </w:tcPr>
          <w:p w:rsidR="008D68B3" w:rsidRPr="000C509A" w:rsidRDefault="008D68B3" w:rsidP="009163FC">
            <w:pPr>
              <w:jc w:val="center"/>
              <w:rPr>
                <w:rFonts w:asciiTheme="majorHAnsi" w:hAnsiTheme="majorHAnsi"/>
                <w:b/>
                <w:bCs/>
                <w:color w:val="FFFFFF" w:themeColor="background1"/>
                <w:sz w:val="19"/>
                <w:szCs w:val="19"/>
              </w:rPr>
            </w:pPr>
            <w:r w:rsidRPr="000C509A">
              <w:rPr>
                <w:rFonts w:asciiTheme="majorHAnsi" w:hAnsiTheme="majorHAnsi"/>
                <w:b/>
                <w:bCs/>
                <w:color w:val="FFFFFF" w:themeColor="background1"/>
                <w:sz w:val="19"/>
                <w:szCs w:val="19"/>
              </w:rPr>
              <w:t>Timeliness of the petition:</w:t>
            </w:r>
          </w:p>
        </w:tc>
        <w:tc>
          <w:tcPr>
            <w:tcW w:w="5670" w:type="dxa"/>
            <w:vAlign w:val="center"/>
          </w:tcPr>
          <w:p w:rsidR="008D68B3" w:rsidRPr="000C509A" w:rsidRDefault="008D68B3" w:rsidP="003B5B62">
            <w:pPr>
              <w:rPr>
                <w:rFonts w:asciiTheme="majorHAnsi" w:hAnsiTheme="majorHAnsi"/>
                <w:bCs/>
                <w:sz w:val="19"/>
                <w:szCs w:val="19"/>
              </w:rPr>
            </w:pPr>
            <w:r w:rsidRPr="000C509A">
              <w:rPr>
                <w:rFonts w:asciiTheme="majorHAnsi" w:hAnsiTheme="majorHAnsi"/>
                <w:bCs/>
                <w:sz w:val="19"/>
                <w:szCs w:val="19"/>
              </w:rPr>
              <w:t>Yes, under the terms of Section VI</w:t>
            </w:r>
          </w:p>
        </w:tc>
      </w:tr>
    </w:tbl>
    <w:p w:rsidR="003B2FB9" w:rsidRDefault="003B2FB9" w:rsidP="00F621C3">
      <w:pPr>
        <w:spacing w:before="240" w:after="240"/>
        <w:ind w:firstLine="720"/>
        <w:jc w:val="both"/>
        <w:rPr>
          <w:rFonts w:asciiTheme="majorHAnsi" w:hAnsiTheme="majorHAnsi"/>
          <w:b/>
          <w:sz w:val="20"/>
          <w:szCs w:val="20"/>
        </w:rPr>
      </w:pPr>
    </w:p>
    <w:p w:rsidR="003B2FB9" w:rsidRDefault="003B2FB9" w:rsidP="00F621C3">
      <w:pPr>
        <w:spacing w:before="240" w:after="240"/>
        <w:ind w:firstLine="720"/>
        <w:jc w:val="both"/>
        <w:rPr>
          <w:rFonts w:asciiTheme="majorHAnsi" w:hAnsiTheme="majorHAnsi"/>
          <w:b/>
          <w:sz w:val="20"/>
          <w:szCs w:val="20"/>
        </w:rPr>
      </w:pPr>
    </w:p>
    <w:p w:rsidR="00F621C3" w:rsidRPr="005D12CA" w:rsidRDefault="00F621C3" w:rsidP="00F621C3">
      <w:pPr>
        <w:spacing w:before="240" w:after="240"/>
        <w:ind w:firstLine="720"/>
        <w:jc w:val="both"/>
        <w:rPr>
          <w:rFonts w:asciiTheme="majorHAnsi" w:hAnsiTheme="majorHAnsi"/>
          <w:b/>
          <w:sz w:val="20"/>
          <w:szCs w:val="20"/>
        </w:rPr>
      </w:pPr>
      <w:r w:rsidRPr="005D12CA">
        <w:rPr>
          <w:rFonts w:asciiTheme="majorHAnsi" w:hAnsiTheme="majorHAnsi"/>
          <w:b/>
          <w:sz w:val="20"/>
          <w:szCs w:val="20"/>
        </w:rPr>
        <w:lastRenderedPageBreak/>
        <w:t xml:space="preserve">V. </w:t>
      </w:r>
      <w:r w:rsidRPr="005D12CA">
        <w:rPr>
          <w:rFonts w:asciiTheme="majorHAnsi" w:hAnsiTheme="majorHAnsi"/>
          <w:b/>
          <w:sz w:val="20"/>
          <w:szCs w:val="20"/>
        </w:rPr>
        <w:tab/>
        <w:t xml:space="preserve">ALLEGED FACTS </w:t>
      </w:r>
    </w:p>
    <w:p w:rsidR="008D68B3" w:rsidRPr="000A2432" w:rsidRDefault="008D68B3" w:rsidP="008D6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 xml:space="preserve">The National Association of Retired and Discharged </w:t>
      </w:r>
      <w:r w:rsidR="00B07D24">
        <w:rPr>
          <w:rFonts w:asciiTheme="majorHAnsi" w:hAnsiTheme="majorHAnsi"/>
          <w:sz w:val="20"/>
          <w:szCs w:val="20"/>
        </w:rPr>
        <w:t>Officials of</w:t>
      </w:r>
      <w:r w:rsidR="0078739F">
        <w:rPr>
          <w:rFonts w:asciiTheme="majorHAnsi" w:hAnsiTheme="majorHAnsi"/>
          <w:sz w:val="20"/>
          <w:szCs w:val="20"/>
        </w:rPr>
        <w:t xml:space="preserve"> the Judiciary of</w:t>
      </w:r>
      <w:r w:rsidR="00B07D24">
        <w:rPr>
          <w:rFonts w:asciiTheme="majorHAnsi" w:hAnsiTheme="majorHAnsi"/>
          <w:sz w:val="20"/>
          <w:szCs w:val="20"/>
        </w:rPr>
        <w:t xml:space="preserve"> Peru</w:t>
      </w:r>
      <w:r w:rsidRPr="000A2432">
        <w:rPr>
          <w:rFonts w:asciiTheme="majorHAnsi" w:hAnsiTheme="majorHAnsi"/>
          <w:sz w:val="20"/>
          <w:szCs w:val="20"/>
        </w:rPr>
        <w:t>, comprised of retired and discharged judges, claims that the State has con</w:t>
      </w:r>
      <w:r w:rsidR="00D61B47">
        <w:rPr>
          <w:rFonts w:asciiTheme="majorHAnsi" w:hAnsiTheme="majorHAnsi"/>
          <w:sz w:val="20"/>
          <w:szCs w:val="20"/>
        </w:rPr>
        <w:t>sistently infringed its members</w:t>
      </w:r>
      <w:r w:rsidR="00D30CFB">
        <w:rPr>
          <w:rFonts w:asciiTheme="majorHAnsi" w:hAnsiTheme="majorHAnsi"/>
          <w:sz w:val="20"/>
          <w:szCs w:val="20"/>
        </w:rPr>
        <w:t>’</w:t>
      </w:r>
      <w:r w:rsidRPr="000A2432">
        <w:rPr>
          <w:rFonts w:asciiTheme="majorHAnsi" w:hAnsiTheme="majorHAnsi"/>
          <w:sz w:val="20"/>
          <w:szCs w:val="20"/>
        </w:rPr>
        <w:t xml:space="preserve"> pension</w:t>
      </w:r>
      <w:r w:rsidR="00861160">
        <w:rPr>
          <w:rFonts w:asciiTheme="majorHAnsi" w:hAnsiTheme="majorHAnsi"/>
          <w:sz w:val="20"/>
          <w:szCs w:val="20"/>
        </w:rPr>
        <w:t xml:space="preserve"> </w:t>
      </w:r>
      <w:r w:rsidR="00182F2A" w:rsidRPr="000A2432">
        <w:rPr>
          <w:rFonts w:asciiTheme="majorHAnsi" w:hAnsiTheme="majorHAnsi"/>
          <w:sz w:val="20"/>
          <w:szCs w:val="20"/>
        </w:rPr>
        <w:t>right</w:t>
      </w:r>
      <w:r w:rsidR="00861160">
        <w:rPr>
          <w:rFonts w:asciiTheme="majorHAnsi" w:hAnsiTheme="majorHAnsi"/>
          <w:sz w:val="20"/>
          <w:szCs w:val="20"/>
        </w:rPr>
        <w:t>s</w:t>
      </w:r>
      <w:r w:rsidRPr="000A2432">
        <w:rPr>
          <w:rFonts w:asciiTheme="majorHAnsi" w:hAnsiTheme="majorHAnsi"/>
          <w:sz w:val="20"/>
          <w:szCs w:val="20"/>
        </w:rPr>
        <w:t xml:space="preserve">. </w:t>
      </w:r>
      <w:r w:rsidR="00182F2A">
        <w:rPr>
          <w:rFonts w:asciiTheme="majorHAnsi" w:hAnsiTheme="majorHAnsi"/>
          <w:sz w:val="20"/>
          <w:szCs w:val="20"/>
        </w:rPr>
        <w:t>It</w:t>
      </w:r>
      <w:r w:rsidRPr="000A2432">
        <w:rPr>
          <w:rFonts w:asciiTheme="majorHAnsi" w:hAnsiTheme="majorHAnsi"/>
          <w:sz w:val="20"/>
          <w:szCs w:val="20"/>
        </w:rPr>
        <w:t xml:space="preserve"> explains that since 1992 they have been arbitrarily deprived of the right to have their pensions calculated and adjusted against the remunerations, allowances and other </w:t>
      </w:r>
      <w:r w:rsidR="00182F2A">
        <w:rPr>
          <w:rFonts w:asciiTheme="majorHAnsi" w:hAnsiTheme="majorHAnsi"/>
          <w:sz w:val="20"/>
          <w:szCs w:val="20"/>
        </w:rPr>
        <w:t>benefits paid to working judges</w:t>
      </w:r>
      <w:r w:rsidR="001A03E2">
        <w:rPr>
          <w:rFonts w:asciiTheme="majorHAnsi" w:hAnsiTheme="majorHAnsi"/>
          <w:sz w:val="20"/>
          <w:szCs w:val="20"/>
        </w:rPr>
        <w:t>,</w:t>
      </w:r>
      <w:r w:rsidRPr="000A2432">
        <w:rPr>
          <w:rFonts w:asciiTheme="majorHAnsi" w:hAnsiTheme="majorHAnsi"/>
          <w:sz w:val="20"/>
          <w:szCs w:val="20"/>
        </w:rPr>
        <w:t xml:space="preserve"> based on the category and length of service that pensioners had at the time when they stopped in the position. It argues that such infring</w:t>
      </w:r>
      <w:r w:rsidR="00182F2A">
        <w:rPr>
          <w:rFonts w:asciiTheme="majorHAnsi" w:hAnsiTheme="majorHAnsi"/>
          <w:sz w:val="20"/>
          <w:szCs w:val="20"/>
        </w:rPr>
        <w:t>e</w:t>
      </w:r>
      <w:r w:rsidRPr="000A2432">
        <w:rPr>
          <w:rFonts w:asciiTheme="majorHAnsi" w:hAnsiTheme="majorHAnsi"/>
          <w:sz w:val="20"/>
          <w:szCs w:val="20"/>
        </w:rPr>
        <w:t xml:space="preserve">ment has persisted over the years, although the Constitution and Decree Law No. 20530 guarantee the priority, immediate and unconditioned payment of </w:t>
      </w:r>
      <w:r w:rsidR="001A03E2">
        <w:rPr>
          <w:rFonts w:asciiTheme="majorHAnsi" w:hAnsiTheme="majorHAnsi"/>
          <w:sz w:val="20"/>
          <w:szCs w:val="20"/>
        </w:rPr>
        <w:t>said</w:t>
      </w:r>
      <w:r w:rsidRPr="000A2432">
        <w:rPr>
          <w:rFonts w:asciiTheme="majorHAnsi" w:hAnsiTheme="majorHAnsi"/>
          <w:sz w:val="20"/>
          <w:szCs w:val="20"/>
        </w:rPr>
        <w:t xml:space="preserve"> benefits. </w:t>
      </w:r>
      <w:r w:rsidR="001A03E2">
        <w:rPr>
          <w:rFonts w:asciiTheme="majorHAnsi" w:hAnsiTheme="majorHAnsi"/>
          <w:sz w:val="20"/>
          <w:szCs w:val="20"/>
        </w:rPr>
        <w:t>It</w:t>
      </w:r>
      <w:r w:rsidRPr="000A2432">
        <w:rPr>
          <w:rFonts w:asciiTheme="majorHAnsi" w:hAnsiTheme="majorHAnsi"/>
          <w:sz w:val="20"/>
          <w:szCs w:val="20"/>
        </w:rPr>
        <w:t xml:space="preserve"> report</w:t>
      </w:r>
      <w:r w:rsidR="001A03E2">
        <w:rPr>
          <w:rFonts w:asciiTheme="majorHAnsi" w:hAnsiTheme="majorHAnsi"/>
          <w:sz w:val="20"/>
          <w:szCs w:val="20"/>
        </w:rPr>
        <w:t>s</w:t>
      </w:r>
      <w:r w:rsidRPr="000A2432">
        <w:rPr>
          <w:rFonts w:asciiTheme="majorHAnsi" w:hAnsiTheme="majorHAnsi"/>
          <w:sz w:val="20"/>
          <w:szCs w:val="20"/>
        </w:rPr>
        <w:t xml:space="preserve"> the State</w:t>
      </w:r>
      <w:r w:rsidR="00D30CFB">
        <w:rPr>
          <w:rFonts w:asciiTheme="majorHAnsi" w:hAnsiTheme="majorHAnsi"/>
          <w:sz w:val="20"/>
          <w:szCs w:val="20"/>
        </w:rPr>
        <w:t>’</w:t>
      </w:r>
      <w:r w:rsidRPr="000A2432">
        <w:rPr>
          <w:rFonts w:asciiTheme="majorHAnsi" w:hAnsiTheme="majorHAnsi"/>
          <w:sz w:val="20"/>
          <w:szCs w:val="20"/>
        </w:rPr>
        <w:t>s unwarranted failure to fulfill several administrative and judicial resolutions that ordered the adjustment and payment of pensions from 2001.</w:t>
      </w:r>
      <w:r w:rsidR="00BA1CD5">
        <w:rPr>
          <w:rFonts w:asciiTheme="majorHAnsi" w:hAnsiTheme="majorHAnsi"/>
          <w:sz w:val="20"/>
          <w:szCs w:val="20"/>
        </w:rPr>
        <w:t xml:space="preserve"> </w:t>
      </w:r>
    </w:p>
    <w:p w:rsidR="008D68B3" w:rsidRPr="000A2432" w:rsidRDefault="008D68B3" w:rsidP="008D6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The petitioner explains that the State</w:t>
      </w:r>
      <w:r w:rsidR="00D30CFB">
        <w:rPr>
          <w:rFonts w:asciiTheme="majorHAnsi" w:hAnsiTheme="majorHAnsi"/>
          <w:sz w:val="20"/>
          <w:szCs w:val="20"/>
        </w:rPr>
        <w:t>’</w:t>
      </w:r>
      <w:r w:rsidRPr="000A2432">
        <w:rPr>
          <w:rFonts w:asciiTheme="majorHAnsi" w:hAnsiTheme="majorHAnsi"/>
          <w:sz w:val="20"/>
          <w:szCs w:val="20"/>
        </w:rPr>
        <w:t xml:space="preserve">s discriminatory refusal to adjust </w:t>
      </w:r>
      <w:r w:rsidR="00BA1CD5">
        <w:rPr>
          <w:rFonts w:asciiTheme="majorHAnsi" w:hAnsiTheme="majorHAnsi"/>
          <w:sz w:val="20"/>
          <w:szCs w:val="20"/>
        </w:rPr>
        <w:t>the</w:t>
      </w:r>
      <w:r w:rsidRPr="000A2432">
        <w:rPr>
          <w:rFonts w:asciiTheme="majorHAnsi" w:hAnsiTheme="majorHAnsi"/>
          <w:sz w:val="20"/>
          <w:szCs w:val="20"/>
        </w:rPr>
        <w:t xml:space="preserve"> members</w:t>
      </w:r>
      <w:r w:rsidR="00D30CFB">
        <w:rPr>
          <w:rFonts w:asciiTheme="majorHAnsi" w:hAnsiTheme="majorHAnsi"/>
          <w:sz w:val="20"/>
          <w:szCs w:val="20"/>
        </w:rPr>
        <w:t>’</w:t>
      </w:r>
      <w:r w:rsidRPr="000A2432">
        <w:rPr>
          <w:rFonts w:asciiTheme="majorHAnsi" w:hAnsiTheme="majorHAnsi"/>
          <w:sz w:val="20"/>
          <w:szCs w:val="20"/>
        </w:rPr>
        <w:t xml:space="preserve"> pensions has negatively affected their living conditions because they are older persons whose social benefits are their means of support, thus their health and life have</w:t>
      </w:r>
      <w:r w:rsidR="000E3A20">
        <w:rPr>
          <w:rFonts w:asciiTheme="majorHAnsi" w:hAnsiTheme="majorHAnsi"/>
          <w:sz w:val="20"/>
          <w:szCs w:val="20"/>
        </w:rPr>
        <w:t xml:space="preserve"> been put</w:t>
      </w:r>
      <w:r w:rsidRPr="000A2432">
        <w:rPr>
          <w:rFonts w:asciiTheme="majorHAnsi" w:hAnsiTheme="majorHAnsi"/>
          <w:sz w:val="20"/>
          <w:szCs w:val="20"/>
        </w:rPr>
        <w:t xml:space="preserve"> at risk. It claims that many discharged and retired judges suffering from illnesses would have recovered had their pensions and financial means necessary for accessing </w:t>
      </w:r>
      <w:r w:rsidR="000E3A20">
        <w:rPr>
          <w:rFonts w:asciiTheme="majorHAnsi" w:hAnsiTheme="majorHAnsi"/>
          <w:sz w:val="20"/>
          <w:szCs w:val="20"/>
        </w:rPr>
        <w:t xml:space="preserve">a </w:t>
      </w:r>
      <w:r w:rsidRPr="000A2432">
        <w:rPr>
          <w:rFonts w:asciiTheme="majorHAnsi" w:hAnsiTheme="majorHAnsi"/>
          <w:sz w:val="20"/>
          <w:szCs w:val="20"/>
        </w:rPr>
        <w:t xml:space="preserve">health treatment been timely adjusted and paid. It also reports discriminatory treatment because the State has </w:t>
      </w:r>
      <w:r w:rsidR="00110B2F">
        <w:rPr>
          <w:rFonts w:asciiTheme="majorHAnsi" w:hAnsiTheme="majorHAnsi"/>
          <w:sz w:val="20"/>
          <w:szCs w:val="20"/>
        </w:rPr>
        <w:t>given pay rises</w:t>
      </w:r>
      <w:r w:rsidRPr="000A2432">
        <w:rPr>
          <w:rFonts w:asciiTheme="majorHAnsi" w:hAnsiTheme="majorHAnsi"/>
          <w:sz w:val="20"/>
          <w:szCs w:val="20"/>
        </w:rPr>
        <w:t xml:space="preserve"> and adjustments </w:t>
      </w:r>
      <w:r w:rsidR="00FC1D35">
        <w:rPr>
          <w:rFonts w:asciiTheme="majorHAnsi" w:hAnsiTheme="majorHAnsi"/>
          <w:sz w:val="20"/>
          <w:szCs w:val="20"/>
        </w:rPr>
        <w:t>to</w:t>
      </w:r>
      <w:r w:rsidRPr="000A2432">
        <w:rPr>
          <w:rFonts w:asciiTheme="majorHAnsi" w:hAnsiTheme="majorHAnsi"/>
          <w:sz w:val="20"/>
          <w:szCs w:val="20"/>
        </w:rPr>
        <w:t xml:space="preserve"> all working and discharged public staff</w:t>
      </w:r>
      <w:r w:rsidR="00C63686">
        <w:rPr>
          <w:rFonts w:asciiTheme="majorHAnsi" w:hAnsiTheme="majorHAnsi"/>
          <w:sz w:val="20"/>
          <w:szCs w:val="20"/>
        </w:rPr>
        <w:t xml:space="preserve"> </w:t>
      </w:r>
      <w:r w:rsidRPr="000A2432">
        <w:rPr>
          <w:rFonts w:asciiTheme="majorHAnsi" w:hAnsiTheme="majorHAnsi"/>
          <w:sz w:val="20"/>
          <w:szCs w:val="20"/>
        </w:rPr>
        <w:t xml:space="preserve">as well as an allowance for jurisdictional function </w:t>
      </w:r>
      <w:r w:rsidR="00C63686">
        <w:rPr>
          <w:rFonts w:asciiTheme="majorHAnsi" w:hAnsiTheme="majorHAnsi"/>
          <w:sz w:val="20"/>
          <w:szCs w:val="20"/>
        </w:rPr>
        <w:t>to</w:t>
      </w:r>
      <w:r w:rsidRPr="000A2432">
        <w:rPr>
          <w:rFonts w:asciiTheme="majorHAnsi" w:hAnsiTheme="majorHAnsi"/>
          <w:sz w:val="20"/>
          <w:szCs w:val="20"/>
        </w:rPr>
        <w:t xml:space="preserve"> all working judges since the nineties, but has discretionally </w:t>
      </w:r>
      <w:r w:rsidR="00421E9D">
        <w:rPr>
          <w:rFonts w:asciiTheme="majorHAnsi" w:hAnsiTheme="majorHAnsi"/>
          <w:sz w:val="20"/>
          <w:szCs w:val="20"/>
        </w:rPr>
        <w:t>avoided</w:t>
      </w:r>
      <w:r w:rsidRPr="000A2432">
        <w:rPr>
          <w:rFonts w:asciiTheme="majorHAnsi" w:hAnsiTheme="majorHAnsi"/>
          <w:sz w:val="20"/>
          <w:szCs w:val="20"/>
        </w:rPr>
        <w:t xml:space="preserve"> </w:t>
      </w:r>
      <w:r w:rsidR="00A866A5">
        <w:rPr>
          <w:rFonts w:asciiTheme="majorHAnsi" w:hAnsiTheme="majorHAnsi"/>
          <w:sz w:val="20"/>
          <w:szCs w:val="20"/>
        </w:rPr>
        <w:t>paying</w:t>
      </w:r>
      <w:r w:rsidRPr="000A2432">
        <w:rPr>
          <w:rFonts w:asciiTheme="majorHAnsi" w:hAnsiTheme="majorHAnsi"/>
          <w:sz w:val="20"/>
          <w:szCs w:val="20"/>
        </w:rPr>
        <w:t xml:space="preserve"> the members of the Association. It asserts that by virtue of supreme decrees of 1996 and 1997, special allowances were granted in f</w:t>
      </w:r>
      <w:r w:rsidR="00656984">
        <w:rPr>
          <w:rFonts w:asciiTheme="majorHAnsi" w:hAnsiTheme="majorHAnsi"/>
          <w:sz w:val="20"/>
          <w:szCs w:val="20"/>
        </w:rPr>
        <w:t>avor of public sector officials</w:t>
      </w:r>
      <w:r w:rsidRPr="000A2432">
        <w:rPr>
          <w:rFonts w:asciiTheme="majorHAnsi" w:hAnsiTheme="majorHAnsi"/>
          <w:sz w:val="20"/>
          <w:szCs w:val="20"/>
        </w:rPr>
        <w:t xml:space="preserve"> including discharged staff </w:t>
      </w:r>
      <w:r w:rsidR="00C828A9">
        <w:rPr>
          <w:rFonts w:asciiTheme="majorHAnsi" w:hAnsiTheme="majorHAnsi"/>
          <w:sz w:val="20"/>
          <w:szCs w:val="20"/>
        </w:rPr>
        <w:t>of</w:t>
      </w:r>
      <w:r w:rsidRPr="000A2432">
        <w:rPr>
          <w:rFonts w:asciiTheme="majorHAnsi" w:hAnsiTheme="majorHAnsi"/>
          <w:sz w:val="20"/>
          <w:szCs w:val="20"/>
        </w:rPr>
        <w:t xml:space="preserve"> the Public Prosecutor</w:t>
      </w:r>
      <w:r w:rsidR="00D30CFB">
        <w:rPr>
          <w:rFonts w:asciiTheme="majorHAnsi" w:hAnsiTheme="majorHAnsi"/>
          <w:sz w:val="20"/>
          <w:szCs w:val="20"/>
        </w:rPr>
        <w:t>’</w:t>
      </w:r>
      <w:r w:rsidRPr="000A2432">
        <w:rPr>
          <w:rFonts w:asciiTheme="majorHAnsi" w:hAnsiTheme="majorHAnsi"/>
          <w:sz w:val="20"/>
          <w:szCs w:val="20"/>
        </w:rPr>
        <w:t xml:space="preserve">s Office, Tax Courts and Customs but excluding </w:t>
      </w:r>
      <w:r w:rsidR="00C828A9">
        <w:rPr>
          <w:rFonts w:asciiTheme="majorHAnsi" w:hAnsiTheme="majorHAnsi"/>
          <w:sz w:val="20"/>
          <w:szCs w:val="20"/>
        </w:rPr>
        <w:t xml:space="preserve">those of </w:t>
      </w:r>
      <w:r w:rsidRPr="000A2432">
        <w:rPr>
          <w:rFonts w:asciiTheme="majorHAnsi" w:hAnsiTheme="majorHAnsi"/>
          <w:sz w:val="20"/>
          <w:szCs w:val="20"/>
        </w:rPr>
        <w:t>the Judiciary.</w:t>
      </w:r>
      <w:r w:rsidR="00656984">
        <w:rPr>
          <w:rFonts w:asciiTheme="majorHAnsi" w:hAnsiTheme="majorHAnsi"/>
          <w:sz w:val="20"/>
          <w:szCs w:val="20"/>
        </w:rPr>
        <w:t xml:space="preserve"> </w:t>
      </w:r>
    </w:p>
    <w:p w:rsidR="008D68B3" w:rsidRPr="000A2432" w:rsidRDefault="008D68B3" w:rsidP="008D6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It indicates that due to the refusal to adjust</w:t>
      </w:r>
      <w:r w:rsidR="006B19B2">
        <w:rPr>
          <w:rFonts w:asciiTheme="majorHAnsi" w:hAnsiTheme="majorHAnsi"/>
          <w:sz w:val="20"/>
          <w:szCs w:val="20"/>
        </w:rPr>
        <w:t xml:space="preserve"> their</w:t>
      </w:r>
      <w:r w:rsidRPr="000A2432">
        <w:rPr>
          <w:rFonts w:asciiTheme="majorHAnsi" w:hAnsiTheme="majorHAnsi"/>
          <w:sz w:val="20"/>
          <w:szCs w:val="20"/>
        </w:rPr>
        <w:t xml:space="preserve"> pensions, it filed several administrative complaints that were settled on May 30, 2001 through Resolution No. 041-2001 of the Judiciary</w:t>
      </w:r>
      <w:r w:rsidR="00D30CFB">
        <w:rPr>
          <w:rFonts w:asciiTheme="majorHAnsi" w:hAnsiTheme="majorHAnsi"/>
          <w:sz w:val="20"/>
          <w:szCs w:val="20"/>
        </w:rPr>
        <w:t>’</w:t>
      </w:r>
      <w:r w:rsidRPr="000A2432">
        <w:rPr>
          <w:rFonts w:asciiTheme="majorHAnsi" w:hAnsiTheme="majorHAnsi"/>
          <w:sz w:val="20"/>
          <w:szCs w:val="20"/>
        </w:rPr>
        <w:t>s Executive Council. Under this resolution, the Judiciary</w:t>
      </w:r>
      <w:r w:rsidR="00D30CFB">
        <w:rPr>
          <w:rFonts w:asciiTheme="majorHAnsi" w:hAnsiTheme="majorHAnsi"/>
          <w:sz w:val="20"/>
          <w:szCs w:val="20"/>
        </w:rPr>
        <w:t>’</w:t>
      </w:r>
      <w:r w:rsidRPr="000A2432">
        <w:rPr>
          <w:rFonts w:asciiTheme="majorHAnsi" w:hAnsiTheme="majorHAnsi"/>
          <w:sz w:val="20"/>
          <w:szCs w:val="20"/>
        </w:rPr>
        <w:t>s Supervisory Body was to adjust pensions including the allowance for jurisdictional function and the mobility incentive paid to working judges. The adjustment had to be made from 2</w:t>
      </w:r>
      <w:r w:rsidR="006B19B2">
        <w:rPr>
          <w:rFonts w:asciiTheme="majorHAnsi" w:hAnsiTheme="majorHAnsi"/>
          <w:sz w:val="20"/>
          <w:szCs w:val="20"/>
        </w:rPr>
        <w:t>001 and be paid with regular re</w:t>
      </w:r>
      <w:r w:rsidRPr="000A2432">
        <w:rPr>
          <w:rFonts w:asciiTheme="majorHAnsi" w:hAnsiTheme="majorHAnsi"/>
          <w:sz w:val="20"/>
          <w:szCs w:val="20"/>
        </w:rPr>
        <w:t xml:space="preserve">sources from the Treasury. Given the failure to </w:t>
      </w:r>
      <w:r w:rsidR="00C30969">
        <w:rPr>
          <w:rFonts w:asciiTheme="majorHAnsi" w:hAnsiTheme="majorHAnsi"/>
          <w:sz w:val="20"/>
          <w:szCs w:val="20"/>
        </w:rPr>
        <w:t>comply with</w:t>
      </w:r>
      <w:r w:rsidRPr="000A2432">
        <w:rPr>
          <w:rFonts w:asciiTheme="majorHAnsi" w:hAnsiTheme="majorHAnsi"/>
          <w:sz w:val="20"/>
          <w:szCs w:val="20"/>
        </w:rPr>
        <w:t xml:space="preserve"> th</w:t>
      </w:r>
      <w:r w:rsidR="00C30969">
        <w:rPr>
          <w:rFonts w:asciiTheme="majorHAnsi" w:hAnsiTheme="majorHAnsi"/>
          <w:sz w:val="20"/>
          <w:szCs w:val="20"/>
        </w:rPr>
        <w:t>is</w:t>
      </w:r>
      <w:r w:rsidRPr="000A2432">
        <w:rPr>
          <w:rFonts w:asciiTheme="majorHAnsi" w:hAnsiTheme="majorHAnsi"/>
          <w:sz w:val="20"/>
          <w:szCs w:val="20"/>
        </w:rPr>
        <w:t xml:space="preserve"> resolution, on January 15, 2003 the petitioner lodged a writ of mandamus against the </w:t>
      </w:r>
      <w:r w:rsidR="00C30969">
        <w:rPr>
          <w:rFonts w:asciiTheme="majorHAnsi" w:hAnsiTheme="majorHAnsi"/>
          <w:sz w:val="20"/>
          <w:szCs w:val="20"/>
        </w:rPr>
        <w:t>President</w:t>
      </w:r>
      <w:r w:rsidRPr="000A2432">
        <w:rPr>
          <w:rFonts w:asciiTheme="majorHAnsi" w:hAnsiTheme="majorHAnsi"/>
          <w:sz w:val="20"/>
          <w:szCs w:val="20"/>
        </w:rPr>
        <w:t xml:space="preserve"> of the Judiciary and the Minister of Finance and Economy. On August 15, 2003 the writ was settled in favor of the complainant; and on October 20, 2004, after an appeal, the Superior Court of Justice upheld the lower court</w:t>
      </w:r>
      <w:r w:rsidR="00D30CFB">
        <w:rPr>
          <w:rFonts w:asciiTheme="majorHAnsi" w:hAnsiTheme="majorHAnsi"/>
          <w:sz w:val="20"/>
          <w:szCs w:val="20"/>
        </w:rPr>
        <w:t>’</w:t>
      </w:r>
      <w:r w:rsidRPr="000A2432">
        <w:rPr>
          <w:rFonts w:asciiTheme="majorHAnsi" w:hAnsiTheme="majorHAnsi"/>
          <w:sz w:val="20"/>
          <w:szCs w:val="20"/>
        </w:rPr>
        <w:t>s judgment</w:t>
      </w:r>
      <w:r w:rsidR="007C5E93">
        <w:rPr>
          <w:rFonts w:asciiTheme="majorHAnsi" w:hAnsiTheme="majorHAnsi"/>
          <w:sz w:val="20"/>
          <w:szCs w:val="20"/>
        </w:rPr>
        <w:t>, by</w:t>
      </w:r>
      <w:r w:rsidRPr="000A2432">
        <w:rPr>
          <w:rFonts w:asciiTheme="majorHAnsi" w:hAnsiTheme="majorHAnsi"/>
          <w:sz w:val="20"/>
          <w:szCs w:val="20"/>
        </w:rPr>
        <w:t xml:space="preserve"> establishing that the adjustment had to be made under the t</w:t>
      </w:r>
      <w:r w:rsidR="007C5E93">
        <w:rPr>
          <w:rFonts w:asciiTheme="majorHAnsi" w:hAnsiTheme="majorHAnsi"/>
          <w:sz w:val="20"/>
          <w:szCs w:val="20"/>
        </w:rPr>
        <w:t>erms of Resolution No. 041-2001 and</w:t>
      </w:r>
      <w:r w:rsidRPr="000A2432">
        <w:rPr>
          <w:rFonts w:asciiTheme="majorHAnsi" w:hAnsiTheme="majorHAnsi"/>
          <w:sz w:val="20"/>
          <w:szCs w:val="20"/>
        </w:rPr>
        <w:t xml:space="preserve"> ordering the Ministry of Finance and Economy to provide the resources </w:t>
      </w:r>
      <w:r w:rsidR="0036789E" w:rsidRPr="000A2432">
        <w:rPr>
          <w:rFonts w:asciiTheme="majorHAnsi" w:hAnsiTheme="majorHAnsi"/>
          <w:sz w:val="20"/>
          <w:szCs w:val="20"/>
        </w:rPr>
        <w:t xml:space="preserve">necessary </w:t>
      </w:r>
      <w:r w:rsidRPr="000A2432">
        <w:rPr>
          <w:rFonts w:asciiTheme="majorHAnsi" w:hAnsiTheme="majorHAnsi"/>
          <w:sz w:val="20"/>
          <w:szCs w:val="20"/>
        </w:rPr>
        <w:t xml:space="preserve">for the adjustment. </w:t>
      </w:r>
    </w:p>
    <w:p w:rsidR="008D68B3" w:rsidRPr="000A2432" w:rsidRDefault="008D68B3" w:rsidP="008D6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 xml:space="preserve">Given the lack of compliance with that </w:t>
      </w:r>
      <w:r w:rsidR="0036789E">
        <w:rPr>
          <w:rFonts w:asciiTheme="majorHAnsi" w:hAnsiTheme="majorHAnsi"/>
          <w:sz w:val="20"/>
          <w:szCs w:val="20"/>
        </w:rPr>
        <w:t>resolution</w:t>
      </w:r>
      <w:r w:rsidRPr="000A2432">
        <w:rPr>
          <w:rFonts w:asciiTheme="majorHAnsi" w:hAnsiTheme="majorHAnsi"/>
          <w:sz w:val="20"/>
          <w:szCs w:val="20"/>
        </w:rPr>
        <w:t xml:space="preserve">, the Sixteenth Court issued several resolutions for its execution. </w:t>
      </w:r>
      <w:r w:rsidR="0036789E">
        <w:rPr>
          <w:rFonts w:asciiTheme="majorHAnsi" w:hAnsiTheme="majorHAnsi"/>
          <w:sz w:val="20"/>
          <w:szCs w:val="20"/>
        </w:rPr>
        <w:t>By</w:t>
      </w:r>
      <w:r w:rsidRPr="000A2432">
        <w:rPr>
          <w:rFonts w:asciiTheme="majorHAnsi" w:hAnsiTheme="majorHAnsi"/>
          <w:sz w:val="20"/>
          <w:szCs w:val="20"/>
        </w:rPr>
        <w:t xml:space="preserve"> Resolution No. 97 of July 19, 2007 the Ministry of Finance and Economy was ordered to comply with the order to provide the Judiciary with funds to pay the adjustments, before the Judiciary fulfilled the payment of the </w:t>
      </w:r>
      <w:r w:rsidR="00135C1F">
        <w:rPr>
          <w:rFonts w:asciiTheme="majorHAnsi" w:hAnsiTheme="majorHAnsi"/>
          <w:sz w:val="20"/>
          <w:szCs w:val="20"/>
        </w:rPr>
        <w:t>adjusted</w:t>
      </w:r>
      <w:r w:rsidRPr="000A2432">
        <w:rPr>
          <w:rFonts w:asciiTheme="majorHAnsi" w:hAnsiTheme="majorHAnsi"/>
          <w:sz w:val="20"/>
          <w:szCs w:val="20"/>
        </w:rPr>
        <w:t xml:space="preserve"> pensions earned from April 2001 and their interests. The Judiciary filed an appeal against that </w:t>
      </w:r>
      <w:r w:rsidR="00135C1F">
        <w:rPr>
          <w:rFonts w:asciiTheme="majorHAnsi" w:hAnsiTheme="majorHAnsi"/>
          <w:sz w:val="20"/>
          <w:szCs w:val="20"/>
        </w:rPr>
        <w:t>decision</w:t>
      </w:r>
      <w:r w:rsidRPr="000A2432">
        <w:rPr>
          <w:rFonts w:asciiTheme="majorHAnsi" w:hAnsiTheme="majorHAnsi"/>
          <w:sz w:val="20"/>
          <w:szCs w:val="20"/>
        </w:rPr>
        <w:t xml:space="preserve">; however, by Resolution No. 113 of April 3, 2008 the appeal was found out of order and the Judiciary </w:t>
      </w:r>
      <w:r w:rsidR="00AB00A5" w:rsidRPr="000A2432">
        <w:rPr>
          <w:rFonts w:asciiTheme="majorHAnsi" w:hAnsiTheme="majorHAnsi"/>
          <w:sz w:val="20"/>
          <w:szCs w:val="20"/>
        </w:rPr>
        <w:t xml:space="preserve">again </w:t>
      </w:r>
      <w:r w:rsidRPr="000A2432">
        <w:rPr>
          <w:rFonts w:asciiTheme="majorHAnsi" w:hAnsiTheme="majorHAnsi"/>
          <w:sz w:val="20"/>
          <w:szCs w:val="20"/>
        </w:rPr>
        <w:t xml:space="preserve">was </w:t>
      </w:r>
      <w:r w:rsidR="00135C1F">
        <w:rPr>
          <w:rFonts w:asciiTheme="majorHAnsi" w:hAnsiTheme="majorHAnsi"/>
          <w:sz w:val="20"/>
          <w:szCs w:val="20"/>
        </w:rPr>
        <w:t>made</w:t>
      </w:r>
      <w:r w:rsidRPr="000A2432">
        <w:rPr>
          <w:rFonts w:asciiTheme="majorHAnsi" w:hAnsiTheme="majorHAnsi"/>
          <w:sz w:val="20"/>
          <w:szCs w:val="20"/>
        </w:rPr>
        <w:t xml:space="preserve"> to </w:t>
      </w:r>
      <w:r w:rsidR="00AB00A5">
        <w:rPr>
          <w:rFonts w:asciiTheme="majorHAnsi" w:hAnsiTheme="majorHAnsi"/>
          <w:sz w:val="20"/>
          <w:szCs w:val="20"/>
        </w:rPr>
        <w:t>fulfill</w:t>
      </w:r>
      <w:r w:rsidRPr="000A2432">
        <w:rPr>
          <w:rFonts w:asciiTheme="majorHAnsi" w:hAnsiTheme="majorHAnsi"/>
          <w:sz w:val="20"/>
          <w:szCs w:val="20"/>
        </w:rPr>
        <w:t xml:space="preserve"> the </w:t>
      </w:r>
      <w:r w:rsidR="00135C1F">
        <w:rPr>
          <w:rFonts w:asciiTheme="majorHAnsi" w:hAnsiTheme="majorHAnsi"/>
          <w:sz w:val="20"/>
          <w:szCs w:val="20"/>
        </w:rPr>
        <w:t>above</w:t>
      </w:r>
      <w:r w:rsidR="00CF3952">
        <w:rPr>
          <w:rFonts w:asciiTheme="majorHAnsi" w:hAnsiTheme="majorHAnsi"/>
          <w:sz w:val="20"/>
          <w:szCs w:val="20"/>
        </w:rPr>
        <w:t>mentioned</w:t>
      </w:r>
      <w:r w:rsidR="00135C1F">
        <w:rPr>
          <w:rFonts w:asciiTheme="majorHAnsi" w:hAnsiTheme="majorHAnsi"/>
          <w:sz w:val="20"/>
          <w:szCs w:val="20"/>
        </w:rPr>
        <w:t xml:space="preserve"> </w:t>
      </w:r>
      <w:r w:rsidR="00447F1F">
        <w:rPr>
          <w:rFonts w:asciiTheme="majorHAnsi" w:hAnsiTheme="majorHAnsi"/>
          <w:sz w:val="20"/>
          <w:szCs w:val="20"/>
        </w:rPr>
        <w:t>order</w:t>
      </w:r>
      <w:r w:rsidR="00AB00A5">
        <w:rPr>
          <w:rFonts w:asciiTheme="majorHAnsi" w:hAnsiTheme="majorHAnsi"/>
          <w:sz w:val="20"/>
          <w:szCs w:val="20"/>
        </w:rPr>
        <w:t xml:space="preserve"> </w:t>
      </w:r>
      <w:r w:rsidR="00FB5161">
        <w:rPr>
          <w:rFonts w:asciiTheme="majorHAnsi" w:hAnsiTheme="majorHAnsi"/>
          <w:sz w:val="20"/>
          <w:szCs w:val="20"/>
        </w:rPr>
        <w:t>primarily</w:t>
      </w:r>
      <w:r w:rsidR="008128D6">
        <w:rPr>
          <w:rFonts w:asciiTheme="majorHAnsi" w:hAnsiTheme="majorHAnsi"/>
          <w:sz w:val="20"/>
          <w:szCs w:val="20"/>
        </w:rPr>
        <w:t xml:space="preserve"> in order</w:t>
      </w:r>
      <w:r w:rsidRPr="000A2432">
        <w:rPr>
          <w:rFonts w:asciiTheme="majorHAnsi" w:hAnsiTheme="majorHAnsi"/>
          <w:sz w:val="20"/>
          <w:szCs w:val="20"/>
        </w:rPr>
        <w:t xml:space="preserve"> protect fundamental rights. The petitioner submits that only in 2009 did the Judiciary adjust pensions for the period of 2005-2009, and that p</w:t>
      </w:r>
      <w:r w:rsidR="007E4F18">
        <w:rPr>
          <w:rFonts w:asciiTheme="majorHAnsi" w:hAnsiTheme="majorHAnsi"/>
          <w:sz w:val="20"/>
          <w:szCs w:val="20"/>
        </w:rPr>
        <w:t>ayments were made</w:t>
      </w:r>
      <w:r w:rsidRPr="000A2432">
        <w:rPr>
          <w:rFonts w:asciiTheme="majorHAnsi" w:hAnsiTheme="majorHAnsi"/>
          <w:sz w:val="20"/>
          <w:szCs w:val="20"/>
        </w:rPr>
        <w:t xml:space="preserve"> starting in 2010. The petitioner claims that the State belatedly fulfilled part of its obligations and, contrary to the Supreme Court</w:t>
      </w:r>
      <w:r w:rsidR="00D30CFB">
        <w:rPr>
          <w:rFonts w:asciiTheme="majorHAnsi" w:hAnsiTheme="majorHAnsi"/>
          <w:sz w:val="20"/>
          <w:szCs w:val="20"/>
        </w:rPr>
        <w:t>’</w:t>
      </w:r>
      <w:r w:rsidRPr="000A2432">
        <w:rPr>
          <w:rFonts w:asciiTheme="majorHAnsi" w:hAnsiTheme="majorHAnsi"/>
          <w:sz w:val="20"/>
          <w:szCs w:val="20"/>
        </w:rPr>
        <w:t>s order, the adjustments were calculated from 2005 and not from April</w:t>
      </w:r>
      <w:r w:rsidR="001C7DFC">
        <w:rPr>
          <w:rFonts w:asciiTheme="majorHAnsi" w:hAnsiTheme="majorHAnsi"/>
          <w:sz w:val="20"/>
          <w:szCs w:val="20"/>
        </w:rPr>
        <w:t xml:space="preserve"> </w:t>
      </w:r>
      <w:r w:rsidRPr="000A2432">
        <w:rPr>
          <w:rFonts w:asciiTheme="majorHAnsi" w:hAnsiTheme="majorHAnsi"/>
          <w:sz w:val="20"/>
          <w:szCs w:val="20"/>
        </w:rPr>
        <w:t>2001, which demonstrates the violation of the alleged victims</w:t>
      </w:r>
      <w:r w:rsidR="00D30CFB">
        <w:rPr>
          <w:rFonts w:asciiTheme="majorHAnsi" w:hAnsiTheme="majorHAnsi"/>
          <w:sz w:val="20"/>
          <w:szCs w:val="20"/>
        </w:rPr>
        <w:t>’</w:t>
      </w:r>
      <w:r w:rsidRPr="000A2432">
        <w:rPr>
          <w:rFonts w:asciiTheme="majorHAnsi" w:hAnsiTheme="majorHAnsi"/>
          <w:sz w:val="20"/>
          <w:szCs w:val="20"/>
        </w:rPr>
        <w:t xml:space="preserve"> right to an effective remedy to protect them and provide redress for the infringements they have been subjected to.</w:t>
      </w:r>
      <w:r w:rsidR="001C7DFC">
        <w:rPr>
          <w:rFonts w:asciiTheme="majorHAnsi" w:hAnsiTheme="majorHAnsi"/>
          <w:sz w:val="20"/>
          <w:szCs w:val="20"/>
        </w:rPr>
        <w:t xml:space="preserve"> </w:t>
      </w:r>
    </w:p>
    <w:p w:rsidR="00C33FC7" w:rsidRDefault="008D68B3" w:rsidP="008D68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33FC7">
        <w:rPr>
          <w:rFonts w:asciiTheme="majorHAnsi" w:eastAsia="Arial Unicode MS" w:hAnsiTheme="majorHAnsi" w:cs="Times New Roman"/>
          <w:color w:val="auto"/>
          <w:sz w:val="20"/>
          <w:szCs w:val="20"/>
          <w:lang w:eastAsia="en-US"/>
        </w:rPr>
        <w:t xml:space="preserve">Furthermore, the petitioner alleges that the administrative authorities of the Judiciary, in belatedly beginning to execute the resolution, </w:t>
      </w:r>
      <w:r w:rsidR="009D2CA9" w:rsidRPr="00C33FC7">
        <w:rPr>
          <w:rFonts w:asciiTheme="majorHAnsi" w:eastAsia="Arial Unicode MS" w:hAnsiTheme="majorHAnsi" w:cs="Times New Roman"/>
          <w:color w:val="auto"/>
          <w:sz w:val="20"/>
          <w:szCs w:val="20"/>
          <w:lang w:eastAsia="en-US"/>
        </w:rPr>
        <w:t xml:space="preserve">acting </w:t>
      </w:r>
      <w:r w:rsidRPr="00C33FC7">
        <w:rPr>
          <w:rFonts w:asciiTheme="majorHAnsi" w:eastAsia="Arial Unicode MS" w:hAnsiTheme="majorHAnsi" w:cs="Times New Roman"/>
          <w:color w:val="auto"/>
          <w:sz w:val="20"/>
          <w:szCs w:val="20"/>
          <w:lang w:eastAsia="en-US"/>
        </w:rPr>
        <w:t xml:space="preserve">as </w:t>
      </w:r>
      <w:r w:rsidR="009D2CA9" w:rsidRPr="00C33FC7">
        <w:rPr>
          <w:rFonts w:asciiTheme="majorHAnsi" w:eastAsia="Arial Unicode MS" w:hAnsiTheme="majorHAnsi" w:cs="Times New Roman"/>
          <w:color w:val="auto"/>
          <w:sz w:val="20"/>
          <w:szCs w:val="20"/>
          <w:lang w:eastAsia="en-US"/>
        </w:rPr>
        <w:t xml:space="preserve">both </w:t>
      </w:r>
      <w:r w:rsidRPr="00C33FC7">
        <w:rPr>
          <w:rFonts w:asciiTheme="majorHAnsi" w:eastAsia="Arial Unicode MS" w:hAnsiTheme="majorHAnsi" w:cs="Times New Roman"/>
          <w:color w:val="auto"/>
          <w:sz w:val="20"/>
          <w:szCs w:val="20"/>
          <w:lang w:eastAsia="en-US"/>
        </w:rPr>
        <w:t>judge</w:t>
      </w:r>
      <w:r w:rsidR="009D2CA9" w:rsidRPr="00C33FC7">
        <w:rPr>
          <w:rFonts w:asciiTheme="majorHAnsi" w:eastAsia="Arial Unicode MS" w:hAnsiTheme="majorHAnsi" w:cs="Times New Roman"/>
          <w:color w:val="auto"/>
          <w:sz w:val="20"/>
          <w:szCs w:val="20"/>
          <w:lang w:eastAsia="en-US"/>
        </w:rPr>
        <w:t>s</w:t>
      </w:r>
      <w:r w:rsidRPr="00C33FC7">
        <w:rPr>
          <w:rFonts w:asciiTheme="majorHAnsi" w:eastAsia="Arial Unicode MS" w:hAnsiTheme="majorHAnsi" w:cs="Times New Roman"/>
          <w:color w:val="auto"/>
          <w:sz w:val="20"/>
          <w:szCs w:val="20"/>
          <w:lang w:eastAsia="en-US"/>
        </w:rPr>
        <w:t xml:space="preserve"> and part</w:t>
      </w:r>
      <w:r w:rsidR="009D2CA9" w:rsidRPr="00C33FC7">
        <w:rPr>
          <w:rFonts w:asciiTheme="majorHAnsi" w:eastAsia="Arial Unicode MS" w:hAnsiTheme="majorHAnsi" w:cs="Times New Roman"/>
          <w:color w:val="auto"/>
          <w:sz w:val="20"/>
          <w:szCs w:val="20"/>
          <w:lang w:eastAsia="en-US"/>
        </w:rPr>
        <w:t>ies</w:t>
      </w:r>
      <w:r w:rsidRPr="00C33FC7">
        <w:rPr>
          <w:rFonts w:asciiTheme="majorHAnsi" w:eastAsia="Arial Unicode MS" w:hAnsiTheme="majorHAnsi" w:cs="Times New Roman"/>
          <w:color w:val="auto"/>
          <w:sz w:val="20"/>
          <w:szCs w:val="20"/>
          <w:lang w:eastAsia="en-US"/>
        </w:rPr>
        <w:t xml:space="preserve">, proceeded to </w:t>
      </w:r>
      <w:r w:rsidR="00BB2315" w:rsidRPr="00C33FC7">
        <w:rPr>
          <w:rFonts w:asciiTheme="majorHAnsi" w:eastAsia="Arial Unicode MS" w:hAnsiTheme="majorHAnsi" w:cs="Times New Roman"/>
          <w:color w:val="auto"/>
          <w:sz w:val="20"/>
          <w:szCs w:val="20"/>
          <w:lang w:eastAsia="en-US"/>
        </w:rPr>
        <w:t>monthly reduce by</w:t>
      </w:r>
      <w:r w:rsidRPr="00C33FC7">
        <w:rPr>
          <w:rFonts w:asciiTheme="majorHAnsi" w:eastAsia="Arial Unicode MS" w:hAnsiTheme="majorHAnsi" w:cs="Times New Roman"/>
          <w:color w:val="auto"/>
          <w:sz w:val="20"/>
          <w:szCs w:val="20"/>
          <w:lang w:eastAsia="en-US"/>
        </w:rPr>
        <w:t xml:space="preserve"> 50 per cent the adjusted pensions of discharged and retired officials </w:t>
      </w:r>
      <w:r w:rsidR="006A10E1" w:rsidRPr="00C33FC7">
        <w:rPr>
          <w:rFonts w:asciiTheme="majorHAnsi" w:eastAsia="Arial Unicode MS" w:hAnsiTheme="majorHAnsi" w:cs="Times New Roman"/>
          <w:color w:val="auto"/>
          <w:sz w:val="20"/>
          <w:szCs w:val="20"/>
          <w:lang w:eastAsia="en-US"/>
        </w:rPr>
        <w:t>belonging to</w:t>
      </w:r>
      <w:r w:rsidRPr="00C33FC7">
        <w:rPr>
          <w:rFonts w:asciiTheme="majorHAnsi" w:eastAsia="Arial Unicode MS" w:hAnsiTheme="majorHAnsi" w:cs="Times New Roman"/>
          <w:color w:val="auto"/>
          <w:sz w:val="20"/>
          <w:szCs w:val="20"/>
          <w:lang w:eastAsia="en-US"/>
        </w:rPr>
        <w:t xml:space="preserve"> the Association. As a result, the petitioner claims that the reduction on pensions, which were calculated based on the period of 2005-2009 but unpaid, infringes the law and severely affects their rights. It argues that after several unsuccessful complaints presented to the Judiciary, on February 16, 2011, it requested the Sixteenth Court to rule the </w:t>
      </w:r>
      <w:r w:rsidR="00C33FC7" w:rsidRPr="00C33FC7">
        <w:rPr>
          <w:rFonts w:asciiTheme="majorHAnsi" w:eastAsia="Arial Unicode MS" w:hAnsiTheme="majorHAnsi" w:cs="Times New Roman"/>
          <w:color w:val="auto"/>
          <w:sz w:val="20"/>
          <w:szCs w:val="20"/>
          <w:lang w:eastAsia="en-US"/>
        </w:rPr>
        <w:t>end</w:t>
      </w:r>
      <w:r w:rsidRPr="00C33FC7">
        <w:rPr>
          <w:rFonts w:asciiTheme="majorHAnsi" w:eastAsia="Arial Unicode MS" w:hAnsiTheme="majorHAnsi" w:cs="Times New Roman"/>
          <w:color w:val="auto"/>
          <w:sz w:val="20"/>
          <w:szCs w:val="20"/>
          <w:lang w:eastAsia="en-US"/>
        </w:rPr>
        <w:t xml:space="preserve"> of such arbitrary reductions, to limit reductions to the annual 18 per cent established by the law and to order a new adjustment of Association members</w:t>
      </w:r>
      <w:r w:rsidR="00D30CFB">
        <w:rPr>
          <w:rFonts w:asciiTheme="majorHAnsi" w:eastAsia="Arial Unicode MS" w:hAnsiTheme="majorHAnsi" w:cs="Times New Roman"/>
          <w:color w:val="auto"/>
          <w:sz w:val="20"/>
          <w:szCs w:val="20"/>
          <w:lang w:eastAsia="en-US"/>
        </w:rPr>
        <w:t>’</w:t>
      </w:r>
      <w:r w:rsidRPr="00C33FC7">
        <w:rPr>
          <w:rFonts w:asciiTheme="majorHAnsi" w:eastAsia="Arial Unicode MS" w:hAnsiTheme="majorHAnsi" w:cs="Times New Roman"/>
          <w:color w:val="auto"/>
          <w:sz w:val="20"/>
          <w:szCs w:val="20"/>
          <w:lang w:eastAsia="en-US"/>
        </w:rPr>
        <w:t xml:space="preserve"> pensions earned from 2001. Therefore, the </w:t>
      </w:r>
      <w:r w:rsidRPr="00C33FC7">
        <w:rPr>
          <w:rFonts w:asciiTheme="majorHAnsi" w:eastAsia="Arial Unicode MS" w:hAnsiTheme="majorHAnsi" w:cs="Times New Roman"/>
          <w:color w:val="auto"/>
          <w:sz w:val="20"/>
          <w:szCs w:val="20"/>
          <w:lang w:eastAsia="en-US"/>
        </w:rPr>
        <w:lastRenderedPageBreak/>
        <w:t>petitioning party affirms that the State is responsible for the unwarranted and arbitrary delay to execute judicial orders; however, it does not inform the result of said judicial proceeding.</w:t>
      </w:r>
      <w:r w:rsidRPr="00C33FC7">
        <w:rPr>
          <w:rFonts w:asciiTheme="majorHAnsi" w:hAnsiTheme="majorHAnsi"/>
          <w:sz w:val="20"/>
          <w:szCs w:val="20"/>
        </w:rPr>
        <w:t xml:space="preserve"> </w:t>
      </w:r>
    </w:p>
    <w:p w:rsidR="008D68B3" w:rsidRPr="00C33FC7" w:rsidRDefault="008D68B3" w:rsidP="008D68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33FC7">
        <w:rPr>
          <w:rFonts w:asciiTheme="majorHAnsi" w:hAnsiTheme="majorHAnsi"/>
          <w:sz w:val="20"/>
          <w:szCs w:val="20"/>
        </w:rPr>
        <w:t xml:space="preserve">The State claims that the facts alleged in the instant petition do not establish human rights violations because pensions are granted pursuant to the applicable legal framework. It indicates that the administrative resolutions giving rise to the mandamus proceeding are unlawful because they do not conform to the budget law. As for the execution of the sentence in the mandamus proceeding, it affirms that </w:t>
      </w:r>
      <w:r w:rsidR="00FB5DEF">
        <w:rPr>
          <w:rFonts w:asciiTheme="majorHAnsi" w:hAnsiTheme="majorHAnsi"/>
          <w:sz w:val="20"/>
          <w:szCs w:val="20"/>
        </w:rPr>
        <w:t>the State</w:t>
      </w:r>
      <w:r w:rsidRPr="00C33FC7">
        <w:rPr>
          <w:rFonts w:asciiTheme="majorHAnsi" w:hAnsiTheme="majorHAnsi"/>
          <w:sz w:val="20"/>
          <w:szCs w:val="20"/>
        </w:rPr>
        <w:t xml:space="preserve"> has made the adjustments proportionally and taking into account priorities and the available resources by adopting measures to </w:t>
      </w:r>
      <w:r w:rsidR="00A76533">
        <w:rPr>
          <w:rFonts w:asciiTheme="majorHAnsi" w:hAnsiTheme="majorHAnsi"/>
          <w:sz w:val="20"/>
          <w:szCs w:val="20"/>
        </w:rPr>
        <w:t>“</w:t>
      </w:r>
      <w:r w:rsidRPr="00C33FC7">
        <w:rPr>
          <w:rFonts w:asciiTheme="majorHAnsi" w:hAnsiTheme="majorHAnsi"/>
          <w:sz w:val="20"/>
          <w:szCs w:val="20"/>
        </w:rPr>
        <w:t>progressively</w:t>
      </w:r>
      <w:r w:rsidR="00A76533">
        <w:rPr>
          <w:rFonts w:asciiTheme="majorHAnsi" w:hAnsiTheme="majorHAnsi"/>
          <w:sz w:val="20"/>
          <w:szCs w:val="20"/>
        </w:rPr>
        <w:t>”</w:t>
      </w:r>
      <w:r w:rsidRPr="00C33FC7">
        <w:rPr>
          <w:rFonts w:asciiTheme="majorHAnsi" w:hAnsiTheme="majorHAnsi"/>
          <w:sz w:val="20"/>
          <w:szCs w:val="20"/>
        </w:rPr>
        <w:t xml:space="preserve"> achieve the full </w:t>
      </w:r>
      <w:r w:rsidR="00FB5DEF">
        <w:rPr>
          <w:rFonts w:asciiTheme="majorHAnsi" w:hAnsiTheme="majorHAnsi"/>
          <w:sz w:val="20"/>
          <w:szCs w:val="20"/>
        </w:rPr>
        <w:t>realization</w:t>
      </w:r>
      <w:r w:rsidRPr="00C33FC7">
        <w:rPr>
          <w:rFonts w:asciiTheme="majorHAnsi" w:hAnsiTheme="majorHAnsi"/>
          <w:sz w:val="20"/>
          <w:szCs w:val="20"/>
        </w:rPr>
        <w:t xml:space="preserve"> of the claimed rights </w:t>
      </w:r>
      <w:r w:rsidR="00A76533">
        <w:rPr>
          <w:rFonts w:asciiTheme="majorHAnsi" w:hAnsiTheme="majorHAnsi"/>
          <w:sz w:val="20"/>
          <w:szCs w:val="20"/>
        </w:rPr>
        <w:t>“</w:t>
      </w:r>
      <w:r w:rsidRPr="00C33FC7">
        <w:rPr>
          <w:rFonts w:asciiTheme="majorHAnsi" w:hAnsiTheme="majorHAnsi"/>
          <w:sz w:val="20"/>
          <w:szCs w:val="20"/>
        </w:rPr>
        <w:t>based on the available resources.</w:t>
      </w:r>
      <w:r w:rsidR="00A76533">
        <w:rPr>
          <w:rFonts w:asciiTheme="majorHAnsi" w:hAnsiTheme="majorHAnsi"/>
          <w:sz w:val="20"/>
          <w:szCs w:val="20"/>
        </w:rPr>
        <w:t>”</w:t>
      </w:r>
      <w:r w:rsidRPr="00C33FC7">
        <w:rPr>
          <w:rFonts w:asciiTheme="majorHAnsi" w:hAnsiTheme="majorHAnsi"/>
        </w:rPr>
        <w:t xml:space="preserve"> </w:t>
      </w:r>
    </w:p>
    <w:p w:rsidR="008D68B3" w:rsidRPr="000A2432" w:rsidRDefault="008D68B3" w:rsidP="008D68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0A2432">
        <w:rPr>
          <w:rFonts w:asciiTheme="majorHAnsi" w:hAnsiTheme="majorHAnsi"/>
          <w:sz w:val="20"/>
          <w:szCs w:val="20"/>
        </w:rPr>
        <w:t xml:space="preserve">Additionally, the State argues that the IACHR </w:t>
      </w:r>
      <w:r w:rsidR="006F05F6">
        <w:rPr>
          <w:rFonts w:asciiTheme="majorHAnsi" w:hAnsiTheme="majorHAnsi"/>
          <w:sz w:val="20"/>
          <w:szCs w:val="20"/>
        </w:rPr>
        <w:t>lacks subject-matter jurisdiction in relation to</w:t>
      </w:r>
      <w:r w:rsidRPr="000A2432">
        <w:rPr>
          <w:rFonts w:asciiTheme="majorHAnsi" w:hAnsiTheme="majorHAnsi"/>
          <w:sz w:val="20"/>
          <w:szCs w:val="20"/>
        </w:rPr>
        <w:t xml:space="preserve"> the alleged violation of </w:t>
      </w:r>
      <w:r w:rsidR="006F05F6">
        <w:rPr>
          <w:rFonts w:asciiTheme="majorHAnsi" w:hAnsiTheme="majorHAnsi"/>
          <w:sz w:val="20"/>
          <w:szCs w:val="20"/>
        </w:rPr>
        <w:t>pension</w:t>
      </w:r>
      <w:r w:rsidRPr="000A2432">
        <w:rPr>
          <w:rFonts w:asciiTheme="majorHAnsi" w:hAnsiTheme="majorHAnsi"/>
          <w:sz w:val="20"/>
          <w:szCs w:val="20"/>
        </w:rPr>
        <w:t xml:space="preserve"> right</w:t>
      </w:r>
      <w:r w:rsidR="006F05F6">
        <w:rPr>
          <w:rFonts w:asciiTheme="majorHAnsi" w:hAnsiTheme="majorHAnsi"/>
          <w:sz w:val="20"/>
          <w:szCs w:val="20"/>
        </w:rPr>
        <w:t>s</w:t>
      </w:r>
      <w:r w:rsidRPr="000A2432">
        <w:rPr>
          <w:rFonts w:asciiTheme="majorHAnsi" w:hAnsiTheme="majorHAnsi"/>
          <w:sz w:val="20"/>
          <w:szCs w:val="20"/>
        </w:rPr>
        <w:t xml:space="preserve"> because the </w:t>
      </w:r>
      <w:r w:rsidR="000F7574">
        <w:rPr>
          <w:rFonts w:asciiTheme="majorHAnsi" w:hAnsiTheme="majorHAnsi"/>
          <w:sz w:val="20"/>
          <w:szCs w:val="20"/>
        </w:rPr>
        <w:t>pension matters are</w:t>
      </w:r>
      <w:r w:rsidRPr="000A2432">
        <w:rPr>
          <w:rFonts w:asciiTheme="majorHAnsi" w:hAnsiTheme="majorHAnsi"/>
          <w:sz w:val="20"/>
          <w:szCs w:val="20"/>
        </w:rPr>
        <w:t xml:space="preserve"> beyond its jurisdiction and because the fact that judicial sentences were allegedly unfulfilled does not mean that they did not rule on </w:t>
      </w:r>
      <w:r w:rsidR="000F7574">
        <w:rPr>
          <w:rFonts w:asciiTheme="majorHAnsi" w:hAnsiTheme="majorHAnsi"/>
          <w:sz w:val="20"/>
          <w:szCs w:val="20"/>
        </w:rPr>
        <w:t>pension</w:t>
      </w:r>
      <w:r w:rsidRPr="000A2432">
        <w:rPr>
          <w:rFonts w:asciiTheme="majorHAnsi" w:hAnsiTheme="majorHAnsi"/>
          <w:sz w:val="20"/>
          <w:szCs w:val="20"/>
        </w:rPr>
        <w:t xml:space="preserve"> right</w:t>
      </w:r>
      <w:r w:rsidR="000F7574">
        <w:rPr>
          <w:rFonts w:asciiTheme="majorHAnsi" w:hAnsiTheme="majorHAnsi"/>
          <w:sz w:val="20"/>
          <w:szCs w:val="20"/>
        </w:rPr>
        <w:t>s</w:t>
      </w:r>
      <w:r w:rsidRPr="000A2432">
        <w:rPr>
          <w:rFonts w:asciiTheme="majorHAnsi" w:hAnsiTheme="majorHAnsi"/>
          <w:sz w:val="20"/>
          <w:szCs w:val="20"/>
        </w:rPr>
        <w:t>. Moreover</w:t>
      </w:r>
      <w:r w:rsidR="000F7574">
        <w:rPr>
          <w:rFonts w:asciiTheme="majorHAnsi" w:hAnsiTheme="majorHAnsi"/>
          <w:sz w:val="20"/>
          <w:szCs w:val="20"/>
        </w:rPr>
        <w:t>,</w:t>
      </w:r>
      <w:r w:rsidRPr="000A2432">
        <w:rPr>
          <w:rFonts w:asciiTheme="majorHAnsi" w:hAnsiTheme="majorHAnsi"/>
          <w:sz w:val="20"/>
          <w:szCs w:val="20"/>
        </w:rPr>
        <w:t xml:space="preserve"> </w:t>
      </w:r>
      <w:r w:rsidR="000F7574">
        <w:rPr>
          <w:rFonts w:asciiTheme="majorHAnsi" w:hAnsiTheme="majorHAnsi"/>
          <w:sz w:val="20"/>
          <w:szCs w:val="20"/>
        </w:rPr>
        <w:t>the State</w:t>
      </w:r>
      <w:r w:rsidRPr="000A2432">
        <w:rPr>
          <w:rFonts w:asciiTheme="majorHAnsi" w:hAnsiTheme="majorHAnsi"/>
          <w:sz w:val="20"/>
          <w:szCs w:val="20"/>
        </w:rPr>
        <w:t xml:space="preserve"> claims that the Commission would work as a court of fourth instance if it</w:t>
      </w:r>
      <w:r w:rsidR="00805B14">
        <w:rPr>
          <w:rFonts w:asciiTheme="majorHAnsi" w:hAnsiTheme="majorHAnsi"/>
          <w:sz w:val="20"/>
          <w:szCs w:val="20"/>
        </w:rPr>
        <w:t xml:space="preserve"> decides to examine the instant petition</w:t>
      </w:r>
      <w:r w:rsidRPr="000A2432">
        <w:rPr>
          <w:rFonts w:asciiTheme="majorHAnsi" w:hAnsiTheme="majorHAnsi"/>
          <w:sz w:val="20"/>
          <w:szCs w:val="20"/>
        </w:rPr>
        <w:t xml:space="preserve">, </w:t>
      </w:r>
      <w:r w:rsidR="00805B14">
        <w:rPr>
          <w:rFonts w:asciiTheme="majorHAnsi" w:hAnsiTheme="majorHAnsi"/>
          <w:sz w:val="20"/>
          <w:szCs w:val="20"/>
        </w:rPr>
        <w:t xml:space="preserve">as </w:t>
      </w:r>
      <w:r w:rsidRPr="000A2432">
        <w:rPr>
          <w:rFonts w:asciiTheme="majorHAnsi" w:hAnsiTheme="majorHAnsi"/>
          <w:sz w:val="20"/>
          <w:szCs w:val="20"/>
        </w:rPr>
        <w:t xml:space="preserve">it would analyze the interpretation and enforcement of the domestic law undertaken by the Peruvian Judiciary within its jurisdiction. It submits that it is impossible to grant the alleged victims a review of decisions issued by domestic courts </w:t>
      </w:r>
      <w:r w:rsidR="00D748C7">
        <w:rPr>
          <w:rFonts w:asciiTheme="majorHAnsi" w:hAnsiTheme="majorHAnsi"/>
          <w:sz w:val="20"/>
          <w:szCs w:val="20"/>
        </w:rPr>
        <w:t>under</w:t>
      </w:r>
      <w:r w:rsidRPr="000A2432">
        <w:rPr>
          <w:rFonts w:asciiTheme="majorHAnsi" w:hAnsiTheme="majorHAnsi"/>
          <w:sz w:val="20"/>
          <w:szCs w:val="20"/>
        </w:rPr>
        <w:t xml:space="preserve"> the rules of due process. It adds that the petition was filed when the proceeding on the writ of mandamus was being processed; that domestic remedies were not exhausted and that the proceeding is pending settlement in the national jurisdiction.</w:t>
      </w:r>
      <w:r w:rsidRPr="000A2432">
        <w:rPr>
          <w:rStyle w:val="FootnoteReference"/>
          <w:rFonts w:asciiTheme="majorHAnsi" w:hAnsiTheme="majorHAnsi"/>
          <w:sz w:val="20"/>
          <w:szCs w:val="20"/>
        </w:rPr>
        <w:footnoteReference w:id="6"/>
      </w:r>
      <w:r w:rsidR="00D748C7">
        <w:rPr>
          <w:rFonts w:asciiTheme="majorHAnsi" w:hAnsiTheme="majorHAnsi"/>
          <w:sz w:val="20"/>
          <w:szCs w:val="20"/>
        </w:rPr>
        <w:t xml:space="preserve"> </w:t>
      </w:r>
    </w:p>
    <w:p w:rsidR="008D68B3" w:rsidRPr="000A2432" w:rsidRDefault="008D68B3" w:rsidP="008D68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0A2432">
        <w:rPr>
          <w:rFonts w:asciiTheme="majorHAnsi" w:eastAsia="Cambria" w:hAnsiTheme="majorHAnsi" w:cs="Cambria"/>
          <w:b/>
          <w:bCs/>
          <w:color w:val="000000"/>
          <w:sz w:val="20"/>
          <w:szCs w:val="20"/>
          <w:u w:color="000000"/>
          <w:lang w:eastAsia="es-ES"/>
        </w:rPr>
        <w:t>VI.</w:t>
      </w:r>
      <w:r w:rsidRPr="000A2432">
        <w:rPr>
          <w:rFonts w:asciiTheme="majorHAnsi" w:eastAsia="Cambria" w:hAnsiTheme="majorHAnsi" w:cs="Cambria"/>
          <w:b/>
          <w:bCs/>
          <w:color w:val="000000"/>
          <w:sz w:val="20"/>
          <w:szCs w:val="20"/>
          <w:u w:color="000000"/>
          <w:lang w:eastAsia="es-ES"/>
        </w:rPr>
        <w:tab/>
      </w:r>
      <w:r w:rsidRPr="000A2432">
        <w:rPr>
          <w:rFonts w:asciiTheme="majorHAnsi" w:hAnsiTheme="majorHAnsi"/>
          <w:b/>
          <w:bCs/>
          <w:sz w:val="20"/>
          <w:szCs w:val="20"/>
        </w:rPr>
        <w:t>ANALYSIS OF EXHAUSTION OF DOMESTIC REMEDIES AND TIMELINESS OF THE PETITION</w:t>
      </w:r>
      <w:r w:rsidRPr="000A2432">
        <w:rPr>
          <w:rFonts w:asciiTheme="majorHAnsi" w:eastAsia="Cambria" w:hAnsiTheme="majorHAnsi" w:cs="Cambria"/>
          <w:b/>
          <w:bCs/>
          <w:color w:val="000000"/>
          <w:sz w:val="20"/>
          <w:szCs w:val="20"/>
          <w:u w:color="000000"/>
          <w:lang w:eastAsia="es-ES"/>
        </w:rPr>
        <w:t xml:space="preserve"> </w:t>
      </w:r>
    </w:p>
    <w:p w:rsidR="008D68B3" w:rsidRPr="000A2432" w:rsidRDefault="008D68B3" w:rsidP="008D68B3">
      <w:pPr>
        <w:pStyle w:val="ListParagraph"/>
        <w:numPr>
          <w:ilvl w:val="0"/>
          <w:numId w:val="103"/>
        </w:numPr>
        <w:spacing w:before="240" w:after="240"/>
        <w:jc w:val="both"/>
        <w:rPr>
          <w:rFonts w:asciiTheme="majorHAnsi" w:hAnsiTheme="majorHAnsi"/>
          <w:color w:val="auto"/>
          <w:sz w:val="20"/>
          <w:szCs w:val="20"/>
        </w:rPr>
      </w:pPr>
      <w:r w:rsidRPr="000A2432">
        <w:rPr>
          <w:rFonts w:asciiTheme="majorHAnsi" w:hAnsiTheme="majorHAnsi"/>
          <w:bCs/>
          <w:sz w:val="20"/>
          <w:szCs w:val="20"/>
        </w:rPr>
        <w:t>In relation to the alleged failure to adjust the allege</w:t>
      </w:r>
      <w:r w:rsidR="00D748C7">
        <w:rPr>
          <w:rFonts w:asciiTheme="majorHAnsi" w:hAnsiTheme="majorHAnsi"/>
          <w:bCs/>
          <w:sz w:val="20"/>
          <w:szCs w:val="20"/>
        </w:rPr>
        <w:t>d victims</w:t>
      </w:r>
      <w:r w:rsidR="00D30CFB">
        <w:rPr>
          <w:rFonts w:asciiTheme="majorHAnsi" w:hAnsiTheme="majorHAnsi"/>
          <w:bCs/>
          <w:sz w:val="20"/>
          <w:szCs w:val="20"/>
        </w:rPr>
        <w:t>’</w:t>
      </w:r>
      <w:r w:rsidR="00D748C7">
        <w:rPr>
          <w:rFonts w:asciiTheme="majorHAnsi" w:hAnsiTheme="majorHAnsi"/>
          <w:bCs/>
          <w:sz w:val="20"/>
          <w:szCs w:val="20"/>
        </w:rPr>
        <w:t xml:space="preserve"> pensions, on October</w:t>
      </w:r>
      <w:r w:rsidRPr="000A2432">
        <w:rPr>
          <w:rFonts w:asciiTheme="majorHAnsi" w:hAnsiTheme="majorHAnsi"/>
          <w:bCs/>
          <w:sz w:val="20"/>
          <w:szCs w:val="20"/>
        </w:rPr>
        <w:t xml:space="preserve"> 20, 2004 the First Civil Chamber of the Superior Court of Justice of Lima ruled in their favor, ordering that the adjustment be made under the terms </w:t>
      </w:r>
      <w:r w:rsidR="00D748C7">
        <w:rPr>
          <w:rFonts w:asciiTheme="majorHAnsi" w:hAnsiTheme="majorHAnsi"/>
          <w:bCs/>
          <w:sz w:val="20"/>
          <w:szCs w:val="20"/>
        </w:rPr>
        <w:t>of</w:t>
      </w:r>
      <w:r w:rsidRPr="000A2432">
        <w:rPr>
          <w:rFonts w:asciiTheme="majorHAnsi" w:hAnsiTheme="majorHAnsi"/>
          <w:bCs/>
          <w:sz w:val="20"/>
          <w:szCs w:val="20"/>
        </w:rPr>
        <w:t xml:space="preserve"> </w:t>
      </w:r>
      <w:r w:rsidR="00EE63E7">
        <w:rPr>
          <w:rFonts w:asciiTheme="majorHAnsi" w:hAnsiTheme="majorHAnsi"/>
          <w:bCs/>
          <w:sz w:val="20"/>
          <w:szCs w:val="20"/>
        </w:rPr>
        <w:t>A</w:t>
      </w:r>
      <w:r w:rsidRPr="000A2432">
        <w:rPr>
          <w:rFonts w:asciiTheme="majorHAnsi" w:hAnsiTheme="majorHAnsi"/>
          <w:bCs/>
          <w:sz w:val="20"/>
          <w:szCs w:val="20"/>
        </w:rPr>
        <w:t xml:space="preserve">dministrative </w:t>
      </w:r>
      <w:r w:rsidR="00D748C7">
        <w:rPr>
          <w:rFonts w:asciiTheme="majorHAnsi" w:hAnsiTheme="majorHAnsi"/>
          <w:bCs/>
          <w:sz w:val="20"/>
          <w:szCs w:val="20"/>
        </w:rPr>
        <w:t>R</w:t>
      </w:r>
      <w:r w:rsidRPr="000A2432">
        <w:rPr>
          <w:rFonts w:asciiTheme="majorHAnsi" w:hAnsiTheme="majorHAnsi"/>
          <w:bCs/>
          <w:sz w:val="20"/>
          <w:szCs w:val="20"/>
        </w:rPr>
        <w:t xml:space="preserve">esolution </w:t>
      </w:r>
      <w:r w:rsidR="00D748C7">
        <w:rPr>
          <w:rFonts w:asciiTheme="majorHAnsi" w:hAnsiTheme="majorHAnsi"/>
          <w:bCs/>
          <w:sz w:val="20"/>
          <w:szCs w:val="20"/>
        </w:rPr>
        <w:t>N</w:t>
      </w:r>
      <w:r w:rsidRPr="000A2432">
        <w:rPr>
          <w:rFonts w:asciiTheme="majorHAnsi" w:hAnsiTheme="majorHAnsi"/>
          <w:bCs/>
          <w:sz w:val="20"/>
          <w:szCs w:val="20"/>
        </w:rPr>
        <w:t xml:space="preserve">o. 041-2001. Due to the purported failure to comply with that sentence, the Sixteenth Civil Court of Lima issued several resolutions ordering the execution of the abovementioned sentence, the last of which dates from April 3, 2008. The petitioner claims that the pensions were adjusted starting in 2010 in a partial and belated </w:t>
      </w:r>
      <w:r w:rsidR="00EE63E7">
        <w:rPr>
          <w:rFonts w:asciiTheme="majorHAnsi" w:hAnsiTheme="majorHAnsi"/>
          <w:bCs/>
          <w:sz w:val="20"/>
          <w:szCs w:val="20"/>
        </w:rPr>
        <w:t>way</w:t>
      </w:r>
      <w:r w:rsidRPr="000A2432">
        <w:rPr>
          <w:rFonts w:asciiTheme="majorHAnsi" w:hAnsiTheme="majorHAnsi"/>
          <w:bCs/>
          <w:sz w:val="20"/>
          <w:szCs w:val="20"/>
        </w:rPr>
        <w:t xml:space="preserve">. For its part, the State argues that when the petition was filed the </w:t>
      </w:r>
      <w:r w:rsidR="00751B44">
        <w:rPr>
          <w:rFonts w:asciiTheme="majorHAnsi" w:hAnsiTheme="majorHAnsi"/>
          <w:bCs/>
          <w:sz w:val="20"/>
          <w:szCs w:val="20"/>
        </w:rPr>
        <w:t>writ of mandamus</w:t>
      </w:r>
      <w:r w:rsidRPr="000A2432">
        <w:rPr>
          <w:rFonts w:asciiTheme="majorHAnsi" w:hAnsiTheme="majorHAnsi"/>
          <w:bCs/>
          <w:sz w:val="20"/>
          <w:szCs w:val="20"/>
        </w:rPr>
        <w:t xml:space="preserve"> was being processed; that, therefore, domestic remedies were not exhausted. In relation to petitions concerning an alleged failure to comply with judicial resolutions, the IACHR has established that once such situation has been reported through the mechanisms foreseen by the domestic law, it is the competent judicial body</w:t>
      </w:r>
      <w:r w:rsidR="00D30CFB">
        <w:rPr>
          <w:rFonts w:asciiTheme="majorHAnsi" w:hAnsiTheme="majorHAnsi"/>
          <w:bCs/>
          <w:sz w:val="20"/>
          <w:szCs w:val="20"/>
        </w:rPr>
        <w:t>’</w:t>
      </w:r>
      <w:r w:rsidRPr="000A2432">
        <w:rPr>
          <w:rFonts w:asciiTheme="majorHAnsi" w:hAnsiTheme="majorHAnsi"/>
          <w:bCs/>
          <w:sz w:val="20"/>
          <w:szCs w:val="20"/>
        </w:rPr>
        <w:t xml:space="preserve">s duty to adopt the </w:t>
      </w:r>
      <w:r w:rsidR="00B9209C" w:rsidRPr="000A2432">
        <w:rPr>
          <w:rFonts w:asciiTheme="majorHAnsi" w:hAnsiTheme="majorHAnsi"/>
          <w:bCs/>
          <w:sz w:val="20"/>
          <w:szCs w:val="20"/>
        </w:rPr>
        <w:t xml:space="preserve">necessary </w:t>
      </w:r>
      <w:r w:rsidRPr="000A2432">
        <w:rPr>
          <w:rFonts w:asciiTheme="majorHAnsi" w:hAnsiTheme="majorHAnsi"/>
          <w:bCs/>
          <w:sz w:val="20"/>
          <w:szCs w:val="20"/>
        </w:rPr>
        <w:t xml:space="preserve">measures to </w:t>
      </w:r>
      <w:r w:rsidR="00B9209C">
        <w:rPr>
          <w:rFonts w:asciiTheme="majorHAnsi" w:hAnsiTheme="majorHAnsi"/>
          <w:bCs/>
          <w:sz w:val="20"/>
          <w:szCs w:val="20"/>
        </w:rPr>
        <w:t xml:space="preserve">ensure </w:t>
      </w:r>
      <w:r w:rsidR="00F0182D">
        <w:rPr>
          <w:rFonts w:asciiTheme="majorHAnsi" w:hAnsiTheme="majorHAnsi"/>
          <w:bCs/>
          <w:sz w:val="20"/>
          <w:szCs w:val="20"/>
        </w:rPr>
        <w:t>the execution of</w:t>
      </w:r>
      <w:r w:rsidRPr="000A2432">
        <w:rPr>
          <w:rFonts w:asciiTheme="majorHAnsi" w:hAnsiTheme="majorHAnsi"/>
          <w:bCs/>
          <w:sz w:val="20"/>
          <w:szCs w:val="20"/>
        </w:rPr>
        <w:t xml:space="preserve"> the sentence at issue.</w:t>
      </w:r>
      <w:r w:rsidR="00751B44" w:rsidRPr="000A2432">
        <w:rPr>
          <w:rStyle w:val="FootnoteReference"/>
          <w:rFonts w:asciiTheme="majorHAnsi" w:hAnsiTheme="majorHAnsi"/>
          <w:bCs/>
          <w:sz w:val="20"/>
          <w:szCs w:val="20"/>
        </w:rPr>
        <w:footnoteReference w:id="7"/>
      </w:r>
      <w:r w:rsidRPr="000A2432">
        <w:rPr>
          <w:rFonts w:asciiTheme="majorHAnsi" w:hAnsiTheme="majorHAnsi"/>
          <w:bCs/>
          <w:sz w:val="20"/>
          <w:szCs w:val="20"/>
        </w:rPr>
        <w:t xml:space="preserve"> Consequently, considering that the execution of the sentence allegedly began in January 2010, the Commission believes that the petition meets the exception set forth in Article 46.2.c of the Convention.</w:t>
      </w:r>
      <w:r w:rsidR="00751B44">
        <w:rPr>
          <w:rFonts w:asciiTheme="majorHAnsi" w:hAnsiTheme="majorHAnsi"/>
          <w:bCs/>
          <w:sz w:val="20"/>
          <w:szCs w:val="20"/>
        </w:rPr>
        <w:t xml:space="preserve"> </w:t>
      </w:r>
    </w:p>
    <w:p w:rsidR="00541640" w:rsidRPr="00541640" w:rsidRDefault="008D68B3" w:rsidP="008D68B3">
      <w:pPr>
        <w:pStyle w:val="ListParagraph"/>
        <w:numPr>
          <w:ilvl w:val="0"/>
          <w:numId w:val="103"/>
        </w:numPr>
        <w:jc w:val="both"/>
        <w:rPr>
          <w:rFonts w:asciiTheme="majorHAnsi" w:eastAsia="Arial Unicode MS" w:hAnsiTheme="majorHAnsi" w:cs="Times New Roman"/>
          <w:color w:val="auto"/>
          <w:sz w:val="20"/>
          <w:szCs w:val="20"/>
          <w:lang w:eastAsia="en-US"/>
        </w:rPr>
      </w:pPr>
      <w:r w:rsidRPr="00541640">
        <w:rPr>
          <w:rFonts w:asciiTheme="majorHAnsi" w:hAnsiTheme="majorHAnsi"/>
          <w:color w:val="auto"/>
          <w:sz w:val="20"/>
          <w:szCs w:val="20"/>
        </w:rPr>
        <w:t>With respect to the alleged unlawful reduction of the adjusted pensions of retired and discharged judges as well as the arbitrary and unwarranted failure to undertake the adjustment ordered by the Superior Court of Justice of Lima, the petition</w:t>
      </w:r>
      <w:r w:rsidR="00F0182D" w:rsidRPr="00541640">
        <w:rPr>
          <w:rFonts w:asciiTheme="majorHAnsi" w:hAnsiTheme="majorHAnsi"/>
          <w:color w:val="auto"/>
          <w:sz w:val="20"/>
          <w:szCs w:val="20"/>
        </w:rPr>
        <w:t>er</w:t>
      </w:r>
      <w:r w:rsidRPr="00541640">
        <w:rPr>
          <w:rFonts w:asciiTheme="majorHAnsi" w:hAnsiTheme="majorHAnsi"/>
          <w:color w:val="auto"/>
          <w:sz w:val="20"/>
          <w:szCs w:val="20"/>
        </w:rPr>
        <w:t xml:space="preserve"> indicates that after several administrative remedies, </w:t>
      </w:r>
      <w:r w:rsidR="0004544F" w:rsidRPr="00541640">
        <w:rPr>
          <w:rFonts w:asciiTheme="majorHAnsi" w:hAnsiTheme="majorHAnsi"/>
          <w:color w:val="auto"/>
          <w:sz w:val="20"/>
          <w:szCs w:val="20"/>
        </w:rPr>
        <w:t>on February 16, 2011</w:t>
      </w:r>
      <w:r w:rsidRPr="00541640">
        <w:rPr>
          <w:rFonts w:asciiTheme="majorHAnsi" w:hAnsiTheme="majorHAnsi"/>
          <w:color w:val="auto"/>
          <w:sz w:val="20"/>
          <w:szCs w:val="20"/>
        </w:rPr>
        <w:t xml:space="preserve"> it requested the Sixteenth Court to order a new adjustment and the </w:t>
      </w:r>
      <w:r w:rsidR="00C33FC7" w:rsidRPr="00541640">
        <w:rPr>
          <w:rFonts w:asciiTheme="majorHAnsi" w:hAnsiTheme="majorHAnsi"/>
          <w:color w:val="auto"/>
          <w:sz w:val="20"/>
          <w:szCs w:val="20"/>
        </w:rPr>
        <w:t>end</w:t>
      </w:r>
      <w:r w:rsidRPr="00541640">
        <w:rPr>
          <w:rFonts w:asciiTheme="majorHAnsi" w:hAnsiTheme="majorHAnsi"/>
          <w:color w:val="auto"/>
          <w:sz w:val="20"/>
          <w:szCs w:val="20"/>
        </w:rPr>
        <w:t xml:space="preserve"> of arbitrary reductions; but it does not indicate the result of said legal proceeding. For its part, the State does not submit observations on the requirement concerning the exhaustion of that allegation. The Commission take</w:t>
      </w:r>
      <w:r w:rsidR="0004544F" w:rsidRPr="00541640">
        <w:rPr>
          <w:rFonts w:asciiTheme="majorHAnsi" w:hAnsiTheme="majorHAnsi"/>
          <w:color w:val="auto"/>
          <w:sz w:val="20"/>
          <w:szCs w:val="20"/>
        </w:rPr>
        <w:t>s</w:t>
      </w:r>
      <w:r w:rsidRPr="00541640">
        <w:rPr>
          <w:rFonts w:asciiTheme="majorHAnsi" w:hAnsiTheme="majorHAnsi"/>
          <w:color w:val="auto"/>
          <w:sz w:val="20"/>
          <w:szCs w:val="20"/>
        </w:rPr>
        <w:t xml:space="preserve"> into account the claim that the violation of the right to adjusted pensions was due to the alleged failure to execute the judicial order to calculate, adjust and</w:t>
      </w:r>
      <w:r w:rsidR="00541640" w:rsidRPr="00541640">
        <w:rPr>
          <w:rFonts w:asciiTheme="majorHAnsi" w:hAnsiTheme="majorHAnsi"/>
          <w:color w:val="auto"/>
          <w:sz w:val="20"/>
          <w:szCs w:val="20"/>
        </w:rPr>
        <w:t xml:space="preserve"> pay the pensions. Consequently</w:t>
      </w:r>
      <w:r w:rsidRPr="00541640">
        <w:rPr>
          <w:rFonts w:asciiTheme="majorHAnsi" w:hAnsiTheme="majorHAnsi"/>
          <w:color w:val="auto"/>
          <w:sz w:val="20"/>
          <w:szCs w:val="20"/>
        </w:rPr>
        <w:t xml:space="preserve"> </w:t>
      </w:r>
      <w:r w:rsidR="00541640" w:rsidRPr="00541640">
        <w:rPr>
          <w:rFonts w:asciiTheme="majorHAnsi" w:hAnsiTheme="majorHAnsi"/>
          <w:color w:val="auto"/>
          <w:sz w:val="20"/>
          <w:szCs w:val="20"/>
        </w:rPr>
        <w:t xml:space="preserve">and </w:t>
      </w:r>
      <w:r w:rsidRPr="00541640">
        <w:rPr>
          <w:rFonts w:asciiTheme="majorHAnsi" w:hAnsiTheme="majorHAnsi"/>
          <w:color w:val="auto"/>
          <w:sz w:val="20"/>
          <w:szCs w:val="20"/>
        </w:rPr>
        <w:t xml:space="preserve">given the characteristics of the instant petition and the claim that there is an unwarranted delay in the payment of the adjusted pensions pursuant to the resolution of October 20, 2004 of the Superior Court of Justice of Lima, the IACHR </w:t>
      </w:r>
      <w:r w:rsidR="00541640" w:rsidRPr="00541640">
        <w:rPr>
          <w:rFonts w:asciiTheme="majorHAnsi" w:hAnsiTheme="majorHAnsi"/>
          <w:color w:val="auto"/>
          <w:sz w:val="20"/>
          <w:szCs w:val="20"/>
        </w:rPr>
        <w:t>deems</w:t>
      </w:r>
      <w:r w:rsidRPr="00541640">
        <w:rPr>
          <w:rFonts w:asciiTheme="majorHAnsi" w:hAnsiTheme="majorHAnsi"/>
          <w:color w:val="auto"/>
          <w:sz w:val="20"/>
          <w:szCs w:val="20"/>
        </w:rPr>
        <w:t xml:space="preserve"> that the exception established in Article 46.2.c of the American Convention applies to the instant petition. </w:t>
      </w:r>
    </w:p>
    <w:p w:rsidR="008D68B3" w:rsidRPr="00541640" w:rsidRDefault="008D68B3" w:rsidP="00541640">
      <w:pPr>
        <w:pStyle w:val="ListParagraph"/>
        <w:numPr>
          <w:ilvl w:val="0"/>
          <w:numId w:val="103"/>
        </w:numPr>
        <w:spacing w:before="240"/>
        <w:jc w:val="both"/>
        <w:rPr>
          <w:rFonts w:asciiTheme="majorHAnsi" w:eastAsia="Arial Unicode MS" w:hAnsiTheme="majorHAnsi" w:cs="Times New Roman"/>
          <w:color w:val="auto"/>
          <w:sz w:val="20"/>
          <w:szCs w:val="20"/>
          <w:lang w:eastAsia="en-US"/>
        </w:rPr>
      </w:pPr>
      <w:r w:rsidRPr="00541640">
        <w:rPr>
          <w:rFonts w:asciiTheme="majorHAnsi" w:eastAsia="Arial Unicode MS" w:hAnsiTheme="majorHAnsi" w:cs="Times New Roman"/>
          <w:color w:val="auto"/>
          <w:sz w:val="20"/>
          <w:szCs w:val="20"/>
          <w:lang w:eastAsia="en-US"/>
        </w:rPr>
        <w:lastRenderedPageBreak/>
        <w:t xml:space="preserve">As for the requirement of timeliness, the instant petition was received on February 28, 2008 and the purported facts in this complaint allegedly began following the confirmation of the resolution of October 20, 2004 </w:t>
      </w:r>
      <w:r w:rsidR="00FD35EE">
        <w:rPr>
          <w:rFonts w:asciiTheme="majorHAnsi" w:eastAsia="Arial Unicode MS" w:hAnsiTheme="majorHAnsi" w:cs="Times New Roman"/>
          <w:color w:val="auto"/>
          <w:sz w:val="20"/>
          <w:szCs w:val="20"/>
          <w:lang w:eastAsia="en-US"/>
        </w:rPr>
        <w:t xml:space="preserve">that </w:t>
      </w:r>
      <w:r w:rsidRPr="00541640">
        <w:rPr>
          <w:rFonts w:asciiTheme="majorHAnsi" w:eastAsia="Arial Unicode MS" w:hAnsiTheme="majorHAnsi" w:cs="Times New Roman"/>
          <w:color w:val="auto"/>
          <w:sz w:val="20"/>
          <w:szCs w:val="20"/>
          <w:lang w:eastAsia="en-US"/>
        </w:rPr>
        <w:t>rul</w:t>
      </w:r>
      <w:r w:rsidR="00FD35EE">
        <w:rPr>
          <w:rFonts w:asciiTheme="majorHAnsi" w:eastAsia="Arial Unicode MS" w:hAnsiTheme="majorHAnsi" w:cs="Times New Roman"/>
          <w:color w:val="auto"/>
          <w:sz w:val="20"/>
          <w:szCs w:val="20"/>
          <w:lang w:eastAsia="en-US"/>
        </w:rPr>
        <w:t>ed</w:t>
      </w:r>
      <w:r w:rsidRPr="00541640">
        <w:rPr>
          <w:rFonts w:asciiTheme="majorHAnsi" w:eastAsia="Arial Unicode MS" w:hAnsiTheme="majorHAnsi" w:cs="Times New Roman"/>
          <w:color w:val="auto"/>
          <w:sz w:val="20"/>
          <w:szCs w:val="20"/>
          <w:lang w:eastAsia="en-US"/>
        </w:rPr>
        <w:t xml:space="preserve"> the payment of pensions</w:t>
      </w:r>
      <w:r w:rsidR="00FD35EE">
        <w:rPr>
          <w:rFonts w:asciiTheme="majorHAnsi" w:eastAsia="Arial Unicode MS" w:hAnsiTheme="majorHAnsi" w:cs="Times New Roman"/>
          <w:color w:val="auto"/>
          <w:sz w:val="20"/>
          <w:szCs w:val="20"/>
          <w:lang w:eastAsia="en-US"/>
        </w:rPr>
        <w:t>,</w:t>
      </w:r>
      <w:r w:rsidRPr="00541640">
        <w:rPr>
          <w:rFonts w:asciiTheme="majorHAnsi" w:eastAsia="Arial Unicode MS" w:hAnsiTheme="majorHAnsi" w:cs="Times New Roman"/>
          <w:color w:val="auto"/>
          <w:sz w:val="20"/>
          <w:szCs w:val="20"/>
          <w:lang w:eastAsia="en-US"/>
        </w:rPr>
        <w:t xml:space="preserve"> and persist to date, </w:t>
      </w:r>
      <w:r w:rsidR="00FD35EE">
        <w:rPr>
          <w:rFonts w:asciiTheme="majorHAnsi" w:eastAsia="Arial Unicode MS" w:hAnsiTheme="majorHAnsi" w:cs="Times New Roman"/>
          <w:color w:val="auto"/>
          <w:sz w:val="20"/>
          <w:szCs w:val="20"/>
          <w:lang w:eastAsia="en-US"/>
        </w:rPr>
        <w:t>because</w:t>
      </w:r>
      <w:r w:rsidRPr="00541640">
        <w:rPr>
          <w:rFonts w:asciiTheme="majorHAnsi" w:eastAsia="Arial Unicode MS" w:hAnsiTheme="majorHAnsi" w:cs="Times New Roman"/>
          <w:color w:val="auto"/>
          <w:sz w:val="20"/>
          <w:szCs w:val="20"/>
          <w:lang w:eastAsia="en-US"/>
        </w:rPr>
        <w:t xml:space="preserve"> it is alleged that said resolution has not been duly fulfilled. Therefore, in view of the context and the characteristics of the present case, the Commission believes that this petition was filed within a reasonable period. </w:t>
      </w:r>
    </w:p>
    <w:p w:rsidR="008D68B3" w:rsidRPr="000A2432" w:rsidRDefault="008D68B3" w:rsidP="008D68B3">
      <w:pPr>
        <w:pStyle w:val="ListParagraph"/>
        <w:spacing w:before="240" w:after="240"/>
        <w:jc w:val="both"/>
        <w:rPr>
          <w:rFonts w:asciiTheme="majorHAnsi" w:hAnsiTheme="majorHAnsi"/>
          <w:b/>
          <w:bCs/>
          <w:sz w:val="20"/>
          <w:szCs w:val="20"/>
        </w:rPr>
      </w:pPr>
      <w:r w:rsidRPr="000A2432">
        <w:rPr>
          <w:rFonts w:asciiTheme="majorHAnsi" w:hAnsiTheme="majorHAnsi"/>
          <w:b/>
          <w:bCs/>
          <w:sz w:val="20"/>
          <w:szCs w:val="20"/>
        </w:rPr>
        <w:t>VII.</w:t>
      </w:r>
      <w:r w:rsidRPr="000A2432">
        <w:rPr>
          <w:rFonts w:asciiTheme="majorHAnsi" w:hAnsiTheme="majorHAnsi"/>
          <w:b/>
          <w:bCs/>
          <w:sz w:val="20"/>
          <w:szCs w:val="20"/>
        </w:rPr>
        <w:tab/>
        <w:t>ANALYSIS OF COLORABLE CLAIM</w:t>
      </w:r>
    </w:p>
    <w:p w:rsidR="008D68B3" w:rsidRPr="000A2432" w:rsidRDefault="008D68B3" w:rsidP="008D68B3">
      <w:pPr>
        <w:pStyle w:val="ListParagraph"/>
        <w:numPr>
          <w:ilvl w:val="0"/>
          <w:numId w:val="103"/>
        </w:numPr>
        <w:spacing w:before="240" w:after="240"/>
        <w:jc w:val="both"/>
        <w:rPr>
          <w:rFonts w:asciiTheme="majorHAnsi" w:hAnsiTheme="majorHAnsi"/>
          <w:b/>
          <w:sz w:val="20"/>
          <w:szCs w:val="20"/>
        </w:rPr>
      </w:pPr>
      <w:r w:rsidRPr="000A2432">
        <w:rPr>
          <w:rFonts w:asciiTheme="majorHAnsi" w:hAnsiTheme="majorHAnsi"/>
          <w:sz w:val="20"/>
          <w:szCs w:val="20"/>
        </w:rPr>
        <w:t>The IACHR takes into account the context referred to by the petitioner, including the domestic legal framework of pensions, formed by Decree Law No. 2053</w:t>
      </w:r>
      <w:r w:rsidR="00485106">
        <w:rPr>
          <w:rFonts w:asciiTheme="majorHAnsi" w:hAnsiTheme="majorHAnsi"/>
          <w:sz w:val="20"/>
          <w:szCs w:val="20"/>
        </w:rPr>
        <w:t>0 and its subsequent amendments</w:t>
      </w:r>
      <w:r w:rsidRPr="000A2432">
        <w:rPr>
          <w:rFonts w:asciiTheme="majorHAnsi" w:hAnsiTheme="majorHAnsi"/>
          <w:sz w:val="20"/>
          <w:szCs w:val="20"/>
        </w:rPr>
        <w:t xml:space="preserve"> among other rules, as well as the elements submitted by the parties. In light of this, it deems that the </w:t>
      </w:r>
      <w:r w:rsidR="004C4DEF">
        <w:rPr>
          <w:rFonts w:asciiTheme="majorHAnsi" w:hAnsiTheme="majorHAnsi"/>
          <w:sz w:val="20"/>
          <w:szCs w:val="20"/>
        </w:rPr>
        <w:t xml:space="preserve">impossibility </w:t>
      </w:r>
      <w:r w:rsidRPr="000A2432">
        <w:rPr>
          <w:rFonts w:asciiTheme="majorHAnsi" w:hAnsiTheme="majorHAnsi"/>
          <w:sz w:val="20"/>
          <w:szCs w:val="20"/>
        </w:rPr>
        <w:t xml:space="preserve">claim </w:t>
      </w:r>
      <w:r w:rsidR="004C4DEF">
        <w:rPr>
          <w:rFonts w:asciiTheme="majorHAnsi" w:hAnsiTheme="majorHAnsi"/>
          <w:sz w:val="20"/>
          <w:szCs w:val="20"/>
        </w:rPr>
        <w:t xml:space="preserve">by </w:t>
      </w:r>
      <w:r w:rsidRPr="000A2432">
        <w:rPr>
          <w:rFonts w:asciiTheme="majorHAnsi" w:hAnsiTheme="majorHAnsi"/>
          <w:sz w:val="20"/>
          <w:szCs w:val="20"/>
        </w:rPr>
        <w:t xml:space="preserve"> the alleged victims </w:t>
      </w:r>
      <w:r w:rsidR="004C4DEF">
        <w:rPr>
          <w:rFonts w:asciiTheme="majorHAnsi" w:hAnsiTheme="majorHAnsi"/>
          <w:sz w:val="20"/>
          <w:szCs w:val="20"/>
        </w:rPr>
        <w:t xml:space="preserve">of </w:t>
      </w:r>
      <w:r w:rsidRPr="000A2432">
        <w:rPr>
          <w:rFonts w:asciiTheme="majorHAnsi" w:hAnsiTheme="majorHAnsi"/>
          <w:sz w:val="20"/>
          <w:szCs w:val="20"/>
        </w:rPr>
        <w:t xml:space="preserve">receiving adjusted pensions must be analyzed in the merits stage in order to determine if this establishes a violation of the rights recognized in Articles 21 (Property), and 26 (Economic, Social and Cultural Rights) of the American Convention, in accordance with Articles 1.1 and 2 thereof. </w:t>
      </w:r>
    </w:p>
    <w:p w:rsidR="008D68B3" w:rsidRPr="000A2432" w:rsidRDefault="008D68B3" w:rsidP="008D68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Moreover, the Commission believes that, if proven, the claims on the unwarranted delays attributable to administrative and judicial authorities, and the alleged failure to fulfill a judicial order and its impact in the case of older persons could establish violations of the rights recognized in Articles 5 (Humane Treatment), 8 (Fair Trial) and 25 (Judicial Protection) of the American Convention in connection with Article 1.1 thereof.</w:t>
      </w:r>
      <w:r w:rsidR="00096815">
        <w:rPr>
          <w:rFonts w:asciiTheme="majorHAnsi" w:hAnsiTheme="majorHAnsi"/>
          <w:sz w:val="20"/>
          <w:szCs w:val="20"/>
        </w:rPr>
        <w:t xml:space="preserve"> </w:t>
      </w:r>
    </w:p>
    <w:p w:rsidR="00485106" w:rsidRDefault="008D68B3" w:rsidP="008D68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85106">
        <w:rPr>
          <w:rFonts w:asciiTheme="majorHAnsi" w:hAnsiTheme="majorHAnsi"/>
          <w:sz w:val="20"/>
          <w:szCs w:val="20"/>
        </w:rPr>
        <w:t>In regard to the claim about the purported violation of Article 24 (Equal Protection) of the American Convention, the Commission observes that the petitioner does not present enough evidence to prima facie establish such possible violation.</w:t>
      </w:r>
      <w:r w:rsidR="00096815">
        <w:rPr>
          <w:rFonts w:asciiTheme="majorHAnsi" w:hAnsiTheme="majorHAnsi"/>
          <w:sz w:val="20"/>
          <w:szCs w:val="20"/>
        </w:rPr>
        <w:t xml:space="preserve"> </w:t>
      </w:r>
    </w:p>
    <w:p w:rsidR="008D68B3" w:rsidRPr="00485106" w:rsidRDefault="008D68B3" w:rsidP="008D68B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85106">
        <w:rPr>
          <w:rFonts w:asciiTheme="majorHAnsi" w:hAnsiTheme="majorHAnsi"/>
          <w:bCs/>
          <w:sz w:val="20"/>
          <w:szCs w:val="20"/>
        </w:rPr>
        <w:t>As for the allegations of the State concerning the establishment of a court of fourth insta</w:t>
      </w:r>
      <w:r w:rsidR="00096815">
        <w:rPr>
          <w:rFonts w:asciiTheme="majorHAnsi" w:hAnsiTheme="majorHAnsi"/>
          <w:bCs/>
          <w:sz w:val="20"/>
          <w:szCs w:val="20"/>
        </w:rPr>
        <w:t>n</w:t>
      </w:r>
      <w:r w:rsidRPr="00485106">
        <w:rPr>
          <w:rFonts w:asciiTheme="majorHAnsi" w:hAnsiTheme="majorHAnsi"/>
          <w:bCs/>
          <w:sz w:val="20"/>
          <w:szCs w:val="20"/>
        </w:rPr>
        <w:t>ce, the Commission recognizes its lack of competence to review judgments issued by domestic courts acting within the scope of their jurisdiction and in conformity to due process and judicial guarantees. Nevertheless, it reiterates that within the framework of its mandate the Commission is competent to declare a petition admissible and rule on the merits when said petition concerns domestic proceedings that may involve violations of rights protected by the American Convention.</w:t>
      </w:r>
      <w:r w:rsidR="00096815">
        <w:rPr>
          <w:rFonts w:asciiTheme="majorHAnsi" w:hAnsiTheme="majorHAnsi"/>
          <w:bCs/>
          <w:sz w:val="20"/>
          <w:szCs w:val="20"/>
        </w:rPr>
        <w:t xml:space="preserve"> </w:t>
      </w:r>
    </w:p>
    <w:p w:rsidR="008D68B3" w:rsidRPr="000A2432" w:rsidRDefault="008D68B3" w:rsidP="008D68B3">
      <w:pPr>
        <w:pStyle w:val="ListParagraph"/>
        <w:numPr>
          <w:ilvl w:val="0"/>
          <w:numId w:val="103"/>
        </w:numPr>
        <w:spacing w:before="240" w:after="240"/>
        <w:jc w:val="both"/>
        <w:rPr>
          <w:rFonts w:asciiTheme="majorHAnsi" w:hAnsiTheme="majorHAnsi"/>
          <w:b/>
          <w:sz w:val="20"/>
          <w:szCs w:val="20"/>
        </w:rPr>
      </w:pPr>
      <w:r w:rsidRPr="000A2432">
        <w:rPr>
          <w:rFonts w:asciiTheme="majorHAnsi" w:hAnsiTheme="majorHAnsi"/>
          <w:bCs/>
          <w:sz w:val="20"/>
          <w:szCs w:val="20"/>
        </w:rPr>
        <w:t xml:space="preserve">Lastly, the Commission is competent </w:t>
      </w:r>
      <w:r w:rsidRPr="000A7EDA">
        <w:rPr>
          <w:rFonts w:asciiTheme="majorHAnsi" w:hAnsiTheme="majorHAnsi"/>
          <w:bCs/>
          <w:i/>
          <w:sz w:val="20"/>
          <w:szCs w:val="20"/>
        </w:rPr>
        <w:t>ratione materiae</w:t>
      </w:r>
      <w:r w:rsidRPr="000A2432">
        <w:rPr>
          <w:rFonts w:asciiTheme="majorHAnsi" w:hAnsiTheme="majorHAnsi"/>
          <w:bCs/>
          <w:sz w:val="20"/>
          <w:szCs w:val="20"/>
        </w:rPr>
        <w:t xml:space="preserve"> because the petition concerns possible violations of rights protected through the American Convention, an instrument ratified by the State of Peru and the primary source of </w:t>
      </w:r>
      <w:r w:rsidR="000A7EDA">
        <w:rPr>
          <w:rFonts w:asciiTheme="majorHAnsi" w:hAnsiTheme="majorHAnsi"/>
          <w:bCs/>
          <w:sz w:val="20"/>
          <w:szCs w:val="20"/>
        </w:rPr>
        <w:t>the State</w:t>
      </w:r>
      <w:r w:rsidR="00D30CFB">
        <w:rPr>
          <w:rFonts w:asciiTheme="majorHAnsi" w:hAnsiTheme="majorHAnsi"/>
          <w:bCs/>
          <w:sz w:val="20"/>
          <w:szCs w:val="20"/>
        </w:rPr>
        <w:t>’</w:t>
      </w:r>
      <w:r w:rsidR="000A7EDA">
        <w:rPr>
          <w:rFonts w:asciiTheme="majorHAnsi" w:hAnsiTheme="majorHAnsi"/>
          <w:bCs/>
          <w:sz w:val="20"/>
          <w:szCs w:val="20"/>
        </w:rPr>
        <w:t>s</w:t>
      </w:r>
      <w:r w:rsidRPr="000A2432">
        <w:rPr>
          <w:rFonts w:asciiTheme="majorHAnsi" w:hAnsiTheme="majorHAnsi"/>
          <w:bCs/>
          <w:sz w:val="20"/>
          <w:szCs w:val="20"/>
        </w:rPr>
        <w:t xml:space="preserve"> legal obligations.</w:t>
      </w:r>
      <w:r w:rsidRPr="000A2432">
        <w:rPr>
          <w:rStyle w:val="FootnoteReference"/>
          <w:rFonts w:asciiTheme="majorHAnsi" w:hAnsiTheme="majorHAnsi"/>
          <w:bCs/>
          <w:sz w:val="20"/>
          <w:szCs w:val="20"/>
        </w:rPr>
        <w:footnoteReference w:id="8"/>
      </w:r>
      <w:r w:rsidR="000A7EDA">
        <w:rPr>
          <w:rFonts w:asciiTheme="majorHAnsi" w:hAnsiTheme="majorHAnsi"/>
          <w:bCs/>
          <w:sz w:val="20"/>
          <w:szCs w:val="20"/>
        </w:rPr>
        <w:t xml:space="preserve"> </w:t>
      </w:r>
    </w:p>
    <w:p w:rsidR="008D68B3" w:rsidRPr="000A2432" w:rsidRDefault="008D68B3" w:rsidP="008D68B3">
      <w:pPr>
        <w:pStyle w:val="ListParagraph"/>
        <w:spacing w:before="240" w:after="240"/>
        <w:jc w:val="both"/>
        <w:rPr>
          <w:rFonts w:asciiTheme="majorHAnsi" w:hAnsiTheme="majorHAnsi"/>
          <w:b/>
          <w:bCs/>
          <w:sz w:val="20"/>
          <w:szCs w:val="20"/>
        </w:rPr>
      </w:pPr>
      <w:r w:rsidRPr="000A2432">
        <w:rPr>
          <w:rFonts w:asciiTheme="majorHAnsi" w:hAnsiTheme="majorHAnsi"/>
          <w:b/>
          <w:bCs/>
          <w:sz w:val="20"/>
          <w:szCs w:val="20"/>
        </w:rPr>
        <w:t xml:space="preserve">VIII. </w:t>
      </w:r>
      <w:r w:rsidRPr="000A2432">
        <w:rPr>
          <w:rFonts w:asciiTheme="majorHAnsi" w:hAnsiTheme="majorHAnsi"/>
          <w:b/>
          <w:bCs/>
          <w:sz w:val="20"/>
          <w:szCs w:val="20"/>
        </w:rPr>
        <w:tab/>
        <w:t>DECISION</w:t>
      </w:r>
    </w:p>
    <w:p w:rsidR="008D68B3" w:rsidRPr="000A2432" w:rsidRDefault="008D68B3" w:rsidP="008D68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 xml:space="preserve">To find the instant petition inadmissible in relation to Articles 5, 8, 21, 25 and 26, in connection with Articles 1.1 and 2 of the American Convention; </w:t>
      </w:r>
    </w:p>
    <w:p w:rsidR="008D68B3" w:rsidRPr="000A2432" w:rsidRDefault="008D68B3" w:rsidP="008D68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To find the instant petition inadmissible in relation to Article 24 of the American Convention; and</w:t>
      </w:r>
      <w:r w:rsidR="000A7EDA">
        <w:rPr>
          <w:rFonts w:asciiTheme="majorHAnsi" w:hAnsiTheme="majorHAnsi"/>
          <w:sz w:val="20"/>
          <w:szCs w:val="20"/>
        </w:rPr>
        <w:t xml:space="preserve"> </w:t>
      </w:r>
    </w:p>
    <w:p w:rsidR="008D68B3" w:rsidRPr="000A2432" w:rsidRDefault="008D68B3" w:rsidP="008D68B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0A2432">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0A7EDA">
        <w:rPr>
          <w:rFonts w:asciiTheme="majorHAnsi" w:hAnsiTheme="majorHAnsi"/>
          <w:sz w:val="20"/>
          <w:szCs w:val="20"/>
        </w:rPr>
        <w:t xml:space="preserve"> </w:t>
      </w:r>
    </w:p>
    <w:p w:rsidR="003B2FB9" w:rsidRPr="003B2FB9" w:rsidRDefault="003B2FB9" w:rsidP="003B2FB9">
      <w:pPr>
        <w:ind w:firstLine="720"/>
        <w:jc w:val="both"/>
        <w:rPr>
          <w:rFonts w:asciiTheme="majorHAnsi" w:hAnsiTheme="majorHAnsi"/>
        </w:rPr>
      </w:pPr>
      <w:bookmarkStart w:id="3" w:name="_Hlk2413798"/>
      <w:r w:rsidRPr="003B2FB9">
        <w:rPr>
          <w:rFonts w:asciiTheme="majorHAnsi" w:hAnsiTheme="majorHAnsi"/>
          <w:sz w:val="20"/>
          <w:szCs w:val="20"/>
        </w:rPr>
        <w:t xml:space="preserve">Approved by the Inter-American Commission on Human Rights on the </w:t>
      </w:r>
      <w:r>
        <w:rPr>
          <w:rFonts w:asciiTheme="majorHAnsi" w:hAnsiTheme="majorHAnsi"/>
          <w:sz w:val="20"/>
          <w:szCs w:val="20"/>
        </w:rPr>
        <w:t>4</w:t>
      </w:r>
      <w:r w:rsidR="008C1C1D" w:rsidRPr="008C1C1D">
        <w:rPr>
          <w:rFonts w:asciiTheme="majorHAnsi" w:hAnsiTheme="majorHAnsi"/>
          <w:sz w:val="20"/>
          <w:szCs w:val="20"/>
          <w:vertAlign w:val="superscript"/>
        </w:rPr>
        <w:t>th</w:t>
      </w:r>
      <w:r w:rsidRPr="003B2FB9">
        <w:rPr>
          <w:rFonts w:asciiTheme="majorHAnsi" w:hAnsiTheme="majorHAnsi"/>
          <w:sz w:val="20"/>
          <w:szCs w:val="20"/>
        </w:rPr>
        <w:t xml:space="preserve"> day of the month of </w:t>
      </w:r>
      <w:r>
        <w:rPr>
          <w:rFonts w:asciiTheme="majorHAnsi" w:hAnsiTheme="majorHAnsi"/>
          <w:sz w:val="20"/>
          <w:szCs w:val="20"/>
        </w:rPr>
        <w:t>December</w:t>
      </w:r>
      <w:r w:rsidRPr="003B2FB9">
        <w:rPr>
          <w:rFonts w:asciiTheme="majorHAnsi" w:hAnsiTheme="majorHAnsi"/>
          <w:sz w:val="20"/>
          <w:szCs w:val="20"/>
        </w:rPr>
        <w:t xml:space="preserve">, 2018. (Signed):  Margarette May Macaulay, President; Esmeralda E. Arosemena Bernal de Troitiño, </w:t>
      </w:r>
      <w:r w:rsidRPr="003B2FB9">
        <w:rPr>
          <w:rFonts w:asciiTheme="majorHAnsi" w:hAnsiTheme="majorHAnsi"/>
          <w:sz w:val="20"/>
          <w:szCs w:val="20"/>
        </w:rPr>
        <w:lastRenderedPageBreak/>
        <w:t>First Vice President; Luis Ernesto Vargas Silva, Second Vice President; Joel Hernández García, Antonia Urrejola, and Flávia Piovesan, Commissioners.</w:t>
      </w:r>
      <w:bookmarkEnd w:id="3"/>
    </w:p>
    <w:p w:rsidR="003B2FB9" w:rsidRDefault="003B2FB9">
      <w:pPr>
        <w:rPr>
          <w:rFonts w:asciiTheme="majorHAnsi" w:hAnsiTheme="majorHAnsi"/>
          <w:sz w:val="20"/>
          <w:szCs w:val="20"/>
        </w:rPr>
      </w:pPr>
      <w:r>
        <w:rPr>
          <w:rFonts w:asciiTheme="majorHAnsi" w:hAnsiTheme="majorHAnsi"/>
          <w:sz w:val="20"/>
          <w:szCs w:val="20"/>
        </w:rPr>
        <w:br w:type="page"/>
      </w:r>
    </w:p>
    <w:p w:rsidR="008D68B3" w:rsidRPr="000A2432" w:rsidRDefault="008D68B3" w:rsidP="008D68B3">
      <w:pPr>
        <w:rPr>
          <w:rFonts w:ascii="Cambria" w:hAnsi="Cambria" w:cs="Calibri"/>
          <w:sz w:val="20"/>
          <w:szCs w:val="20"/>
        </w:rPr>
      </w:pPr>
    </w:p>
    <w:p w:rsidR="008D68B3" w:rsidRPr="0070307F" w:rsidRDefault="008D68B3" w:rsidP="001F2632">
      <w:pPr>
        <w:jc w:val="center"/>
        <w:rPr>
          <w:rFonts w:asciiTheme="majorHAnsi" w:hAnsiTheme="majorHAnsi" w:cs="Calibri"/>
          <w:b/>
          <w:sz w:val="20"/>
          <w:szCs w:val="20"/>
        </w:rPr>
      </w:pPr>
      <w:r w:rsidRPr="0070307F">
        <w:rPr>
          <w:rFonts w:asciiTheme="majorHAnsi" w:hAnsiTheme="majorHAnsi" w:cs="Calibri"/>
          <w:b/>
          <w:sz w:val="20"/>
          <w:szCs w:val="20"/>
        </w:rPr>
        <w:t>Appendix</w:t>
      </w:r>
    </w:p>
    <w:p w:rsidR="008D68B3" w:rsidRPr="0070307F" w:rsidRDefault="008D68B3" w:rsidP="008D68B3">
      <w:pPr>
        <w:jc w:val="center"/>
        <w:rPr>
          <w:rFonts w:asciiTheme="majorHAnsi" w:hAnsiTheme="majorHAnsi" w:cs="Calibri"/>
          <w:b/>
          <w:sz w:val="20"/>
          <w:szCs w:val="20"/>
        </w:rPr>
      </w:pPr>
      <w:r w:rsidRPr="0070307F">
        <w:rPr>
          <w:rFonts w:asciiTheme="majorHAnsi" w:hAnsiTheme="majorHAnsi" w:cs="Calibri"/>
          <w:b/>
          <w:sz w:val="20"/>
          <w:szCs w:val="20"/>
        </w:rPr>
        <w:t>List of alleged victims</w:t>
      </w:r>
    </w:p>
    <w:p w:rsidR="008D68B3" w:rsidRPr="0070307F" w:rsidRDefault="008D68B3" w:rsidP="008D68B3">
      <w:pPr>
        <w:jc w:val="center"/>
        <w:rPr>
          <w:rFonts w:asciiTheme="majorHAnsi" w:hAnsiTheme="majorHAnsi" w:cs="Calibri"/>
          <w:b/>
          <w:sz w:val="20"/>
          <w:szCs w:val="20"/>
        </w:rPr>
      </w:pPr>
      <w:r w:rsidRPr="0070307F">
        <w:rPr>
          <w:rFonts w:asciiTheme="majorHAnsi" w:hAnsiTheme="majorHAnsi" w:cs="Calibri"/>
          <w:b/>
          <w:sz w:val="20"/>
          <w:szCs w:val="20"/>
        </w:rPr>
        <w:t xml:space="preserve">Members of the </w:t>
      </w:r>
      <w:r w:rsidR="000A7EDA" w:rsidRPr="0070307F">
        <w:rPr>
          <w:rFonts w:asciiTheme="majorHAnsi" w:hAnsiTheme="majorHAnsi" w:cs="Calibri"/>
          <w:b/>
          <w:sz w:val="20"/>
          <w:szCs w:val="20"/>
        </w:rPr>
        <w:t xml:space="preserve">National </w:t>
      </w:r>
      <w:r w:rsidRPr="0070307F">
        <w:rPr>
          <w:rFonts w:asciiTheme="majorHAnsi" w:hAnsiTheme="majorHAnsi" w:cs="Calibri"/>
          <w:b/>
          <w:sz w:val="20"/>
          <w:szCs w:val="20"/>
        </w:rPr>
        <w:t xml:space="preserve">Association of Retired and Discharged </w:t>
      </w:r>
      <w:r w:rsidR="00FE76B7" w:rsidRPr="0070307F">
        <w:rPr>
          <w:rFonts w:asciiTheme="majorHAnsi" w:hAnsiTheme="majorHAnsi" w:cs="Calibri"/>
          <w:b/>
          <w:sz w:val="20"/>
          <w:szCs w:val="20"/>
        </w:rPr>
        <w:t>Officials</w:t>
      </w:r>
      <w:r w:rsidRPr="0070307F">
        <w:rPr>
          <w:rFonts w:asciiTheme="majorHAnsi" w:hAnsiTheme="majorHAnsi" w:cs="Calibri"/>
          <w:b/>
          <w:sz w:val="20"/>
          <w:szCs w:val="20"/>
        </w:rPr>
        <w:t xml:space="preserve"> </w:t>
      </w:r>
      <w:r w:rsidR="00D87684" w:rsidRPr="0070307F">
        <w:rPr>
          <w:rFonts w:asciiTheme="majorHAnsi" w:hAnsiTheme="majorHAnsi" w:cs="Calibri"/>
          <w:b/>
          <w:sz w:val="20"/>
          <w:szCs w:val="20"/>
        </w:rPr>
        <w:t xml:space="preserve">of </w:t>
      </w:r>
      <w:r w:rsidRPr="0070307F">
        <w:rPr>
          <w:rFonts w:asciiTheme="majorHAnsi" w:hAnsiTheme="majorHAnsi" w:cs="Calibri"/>
          <w:b/>
          <w:sz w:val="20"/>
          <w:szCs w:val="20"/>
        </w:rPr>
        <w:t xml:space="preserve">the Judiciary </w:t>
      </w:r>
    </w:p>
    <w:p w:rsidR="008D68B3" w:rsidRPr="0070307F" w:rsidRDefault="008D68B3" w:rsidP="008D68B3">
      <w:pPr>
        <w:rPr>
          <w:rFonts w:asciiTheme="majorHAnsi" w:hAnsiTheme="majorHAnsi" w:cs="Calibri"/>
          <w:b/>
          <w:sz w:val="20"/>
          <w:szCs w:val="20"/>
        </w:rPr>
      </w:pP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Moisés Crispin Contreras</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Victor Mario Pantigoso Rosado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Felipe Hermes Mayca Baca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Celso Becerra Balcazar</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Felix Bautista Barzola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Honorio Arce Alvarez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 xml:space="preserve">Juan Adrian Torres Valdivia </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Camilo Niño de Guzman Almanza</w:t>
      </w:r>
    </w:p>
    <w:p w:rsidR="008D68B3" w:rsidRPr="0070307F" w:rsidRDefault="008D68B3" w:rsidP="008D68B3">
      <w:pPr>
        <w:pStyle w:val="ListParagraph"/>
        <w:numPr>
          <w:ilvl w:val="0"/>
          <w:numId w:val="106"/>
        </w:numPr>
        <w:rPr>
          <w:rFonts w:asciiTheme="majorHAnsi" w:hAnsiTheme="majorHAnsi" w:cs="Calibri"/>
          <w:color w:val="auto"/>
          <w:sz w:val="20"/>
          <w:szCs w:val="20"/>
          <w:lang w:val="pt-BR"/>
        </w:rPr>
      </w:pPr>
      <w:r w:rsidRPr="0070307F">
        <w:rPr>
          <w:rFonts w:asciiTheme="majorHAnsi" w:hAnsiTheme="majorHAnsi"/>
          <w:color w:val="auto"/>
          <w:sz w:val="20"/>
          <w:szCs w:val="20"/>
          <w:lang w:val="pt-BR"/>
        </w:rPr>
        <w:t>Maria Celinda Mezarina Gavidia de Muñoz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Odon Termopilo Calderon Bernaola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Eduardo Pablo Leturia Romero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Ismael Benigno Paredes Lozano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Julio Cesar Fernández Urday</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Hugo Fernando Javier Manchego Adrian</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Juan Bautista Bardelli Lartirigoyen</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Guillermo Figallo Adrianzen</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Jorge Martínez Sarmiento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Luis Santos Alvarez Zevallos</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Juan Vicente Ugarte del Pino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Alberto Perez Mariño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Rogelio Galvan Garcia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Herminio Leoncio Rafael Ortega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Maximo Antezana Espinal</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Walter Linares Paredes</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Jose Trinidad Lopez Mendoza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Pedro Pablo Maldonado Pimentel</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Ciro Warthon Riveros</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Rafael Ramos Gutierrez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Julio Ciro Armaza Chambi</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Hector Rene Antonio Rodriguez Cateriano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Cesar Augusto Valencia Salazar</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Luis Eduardo Villanueva Fernandez Hernani</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 xml:space="preserve">Domingo Vasquez Caceres </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Jose Manuel Nuñez Nuñez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Alfonso Lazo Herrera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Jaime Gilberto Delgado Medina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Sergio Segundo Escarza Escarza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Angel David Llerena Huaman</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Luis Alberto Ibañez Barreda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Jesus Eduardo Lazo Herrera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Arturo Dennis Samuel Lazo Berenguel</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Oscar Raul Diaz Valverde</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Pablo Rene Valdivia Rodriguez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Jose Villegas Zambrano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Jose Petronio Ricalde Mansilla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Damaso Humberto Concha Serrano</w:t>
      </w:r>
    </w:p>
    <w:p w:rsidR="008D68B3" w:rsidRPr="0070307F" w:rsidRDefault="008D68B3" w:rsidP="008D68B3">
      <w:pPr>
        <w:pStyle w:val="ListParagraph"/>
        <w:numPr>
          <w:ilvl w:val="0"/>
          <w:numId w:val="106"/>
        </w:numPr>
        <w:rPr>
          <w:rFonts w:asciiTheme="majorHAnsi" w:hAnsiTheme="majorHAnsi"/>
          <w:color w:val="auto"/>
          <w:sz w:val="20"/>
          <w:szCs w:val="20"/>
        </w:rPr>
      </w:pPr>
      <w:r w:rsidRPr="0070307F">
        <w:rPr>
          <w:rFonts w:asciiTheme="majorHAnsi" w:hAnsiTheme="majorHAnsi"/>
          <w:color w:val="auto"/>
          <w:sz w:val="20"/>
          <w:szCs w:val="20"/>
        </w:rPr>
        <w:t xml:space="preserve">Humberto Cajahuanca Vasquez </w:t>
      </w:r>
    </w:p>
    <w:p w:rsidR="008D68B3" w:rsidRPr="0070307F" w:rsidRDefault="008D68B3" w:rsidP="008D68B3">
      <w:pPr>
        <w:pStyle w:val="ListParagraph"/>
        <w:numPr>
          <w:ilvl w:val="0"/>
          <w:numId w:val="106"/>
        </w:numPr>
        <w:rPr>
          <w:rFonts w:asciiTheme="majorHAnsi" w:hAnsiTheme="majorHAnsi"/>
          <w:color w:val="auto"/>
          <w:sz w:val="20"/>
          <w:szCs w:val="20"/>
        </w:rPr>
      </w:pPr>
      <w:r w:rsidRPr="0070307F">
        <w:rPr>
          <w:rFonts w:asciiTheme="majorHAnsi" w:hAnsiTheme="majorHAnsi"/>
          <w:color w:val="auto"/>
          <w:sz w:val="20"/>
          <w:szCs w:val="20"/>
        </w:rPr>
        <w:t>Oswaldo Salas Matos</w:t>
      </w:r>
    </w:p>
    <w:p w:rsidR="008D68B3" w:rsidRPr="0070307F" w:rsidRDefault="008D68B3" w:rsidP="008D68B3">
      <w:pPr>
        <w:pStyle w:val="ListParagraph"/>
        <w:numPr>
          <w:ilvl w:val="0"/>
          <w:numId w:val="106"/>
        </w:numPr>
        <w:rPr>
          <w:rFonts w:asciiTheme="majorHAnsi" w:hAnsiTheme="majorHAnsi"/>
          <w:color w:val="auto"/>
          <w:sz w:val="20"/>
          <w:szCs w:val="20"/>
        </w:rPr>
      </w:pPr>
      <w:r w:rsidRPr="0070307F">
        <w:rPr>
          <w:rFonts w:asciiTheme="majorHAnsi" w:hAnsiTheme="majorHAnsi"/>
          <w:color w:val="auto"/>
          <w:sz w:val="20"/>
          <w:szCs w:val="20"/>
        </w:rPr>
        <w:t>Herminio Yañez Herrera</w:t>
      </w:r>
    </w:p>
    <w:p w:rsidR="008D68B3" w:rsidRPr="0070307F" w:rsidRDefault="008D68B3" w:rsidP="008D68B3">
      <w:pPr>
        <w:pStyle w:val="ListParagraph"/>
        <w:numPr>
          <w:ilvl w:val="0"/>
          <w:numId w:val="106"/>
        </w:numPr>
        <w:rPr>
          <w:rFonts w:asciiTheme="majorHAnsi" w:hAnsiTheme="majorHAnsi"/>
          <w:color w:val="auto"/>
          <w:sz w:val="20"/>
          <w:szCs w:val="20"/>
        </w:rPr>
      </w:pPr>
      <w:r w:rsidRPr="0070307F">
        <w:rPr>
          <w:rFonts w:asciiTheme="majorHAnsi" w:hAnsiTheme="majorHAnsi"/>
          <w:color w:val="auto"/>
          <w:sz w:val="20"/>
          <w:szCs w:val="20"/>
        </w:rPr>
        <w:t xml:space="preserve">Yony Doraliza Pajuelo Maguiña </w:t>
      </w:r>
    </w:p>
    <w:p w:rsidR="008D68B3" w:rsidRPr="0070307F" w:rsidRDefault="008D68B3" w:rsidP="008D68B3">
      <w:pPr>
        <w:ind w:left="360"/>
        <w:rPr>
          <w:rFonts w:asciiTheme="majorHAnsi" w:hAnsiTheme="majorHAnsi" w:cs="Calibri"/>
          <w:sz w:val="20"/>
          <w:szCs w:val="20"/>
        </w:rPr>
      </w:pPr>
    </w:p>
    <w:p w:rsidR="008D68B3" w:rsidRPr="0070307F" w:rsidRDefault="008D68B3" w:rsidP="008D68B3">
      <w:pPr>
        <w:jc w:val="center"/>
        <w:rPr>
          <w:rFonts w:asciiTheme="majorHAnsi" w:hAnsiTheme="majorHAnsi" w:cs="Calibri"/>
          <w:sz w:val="20"/>
          <w:szCs w:val="20"/>
        </w:rPr>
      </w:pPr>
    </w:p>
    <w:p w:rsidR="008D68B3" w:rsidRPr="0070307F" w:rsidRDefault="008D68B3" w:rsidP="008D68B3">
      <w:pPr>
        <w:rPr>
          <w:rFonts w:asciiTheme="majorHAnsi" w:hAnsiTheme="majorHAnsi" w:cs="Calibri"/>
          <w:sz w:val="20"/>
          <w:szCs w:val="20"/>
        </w:rPr>
      </w:pPr>
    </w:p>
    <w:p w:rsidR="008D68B3" w:rsidRPr="0070307F" w:rsidRDefault="008D68B3" w:rsidP="008D68B3">
      <w:pPr>
        <w:jc w:val="center"/>
        <w:rPr>
          <w:rFonts w:asciiTheme="majorHAnsi" w:hAnsiTheme="majorHAnsi"/>
          <w:b/>
          <w:sz w:val="20"/>
          <w:szCs w:val="20"/>
        </w:rPr>
      </w:pPr>
      <w:r w:rsidRPr="0070307F">
        <w:rPr>
          <w:rFonts w:asciiTheme="majorHAnsi" w:hAnsiTheme="majorHAnsi"/>
          <w:b/>
          <w:sz w:val="20"/>
          <w:szCs w:val="20"/>
        </w:rPr>
        <w:t>Deceased retired and discharged judges</w:t>
      </w:r>
    </w:p>
    <w:p w:rsidR="008D68B3" w:rsidRPr="0070307F" w:rsidRDefault="008D68B3" w:rsidP="008D68B3">
      <w:pPr>
        <w:jc w:val="center"/>
        <w:rPr>
          <w:rFonts w:asciiTheme="majorHAnsi" w:hAnsiTheme="majorHAnsi"/>
          <w:b/>
          <w:sz w:val="20"/>
          <w:szCs w:val="20"/>
        </w:rPr>
      </w:pPr>
    </w:p>
    <w:p w:rsidR="008D68B3" w:rsidRPr="0070307F" w:rsidRDefault="008D68B3" w:rsidP="008D68B3">
      <w:pPr>
        <w:pStyle w:val="ListParagraph"/>
        <w:numPr>
          <w:ilvl w:val="0"/>
          <w:numId w:val="106"/>
        </w:numPr>
        <w:rPr>
          <w:rFonts w:asciiTheme="majorHAnsi" w:hAnsiTheme="majorHAnsi"/>
          <w:color w:val="auto"/>
          <w:sz w:val="20"/>
          <w:szCs w:val="20"/>
        </w:rPr>
      </w:pPr>
      <w:r w:rsidRPr="0070307F">
        <w:rPr>
          <w:rFonts w:asciiTheme="majorHAnsi" w:hAnsiTheme="majorHAnsi"/>
          <w:color w:val="auto"/>
          <w:sz w:val="20"/>
          <w:szCs w:val="20"/>
        </w:rPr>
        <w:t>Jesus Hernani Marquez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Abraham Vera Fernandez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Javier Aquiles Trabuco Flores</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Vidal Camacho Trujillo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Luis Humberto Lucar Chincha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Eduardo Yangali De los Ríos</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Augusto Valerio Zavaleta Jiménez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Pablo Fernando Romero Diez Canseco</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Luis Rolando Mendoza Valenzuela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Frida Grossman Samanez</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Gloria Elsa Bernal Matallana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Pedro René Tarazona Espinoza</w:t>
      </w:r>
    </w:p>
    <w:p w:rsidR="008D68B3" w:rsidRPr="0070307F" w:rsidRDefault="008D68B3" w:rsidP="008D68B3">
      <w:pPr>
        <w:pStyle w:val="ListParagraph"/>
        <w:numPr>
          <w:ilvl w:val="0"/>
          <w:numId w:val="106"/>
        </w:numPr>
        <w:rPr>
          <w:rFonts w:asciiTheme="majorHAnsi" w:hAnsiTheme="majorHAnsi" w:cs="Calibri"/>
          <w:color w:val="auto"/>
          <w:sz w:val="20"/>
          <w:szCs w:val="20"/>
        </w:rPr>
      </w:pPr>
      <w:r w:rsidRPr="0070307F">
        <w:rPr>
          <w:rFonts w:asciiTheme="majorHAnsi" w:hAnsiTheme="majorHAnsi"/>
          <w:color w:val="auto"/>
          <w:sz w:val="20"/>
          <w:szCs w:val="20"/>
        </w:rPr>
        <w:t>Carlos Ángel Tovar Chávez</w:t>
      </w:r>
    </w:p>
    <w:p w:rsidR="00F621C3" w:rsidRPr="0070307F" w:rsidRDefault="00F621C3" w:rsidP="008D68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rsidR="00F621C3" w:rsidRPr="0070307F" w:rsidRDefault="00F621C3" w:rsidP="00F621C3">
      <w:pPr>
        <w:tabs>
          <w:tab w:val="center" w:pos="5400"/>
        </w:tabs>
        <w:suppressAutoHyphens/>
        <w:spacing w:line="276" w:lineRule="auto"/>
        <w:rPr>
          <w:rFonts w:asciiTheme="majorHAnsi" w:hAnsiTheme="majorHAnsi"/>
          <w:sz w:val="20"/>
          <w:szCs w:val="20"/>
        </w:rPr>
      </w:pPr>
    </w:p>
    <w:p w:rsidR="00F621C3" w:rsidRPr="0070307F" w:rsidRDefault="00F621C3" w:rsidP="00F621C3">
      <w:pPr>
        <w:tabs>
          <w:tab w:val="center" w:pos="5400"/>
        </w:tabs>
        <w:suppressAutoHyphens/>
        <w:spacing w:line="276" w:lineRule="auto"/>
        <w:rPr>
          <w:rFonts w:asciiTheme="majorHAnsi" w:hAnsiTheme="majorHAnsi"/>
          <w:sz w:val="20"/>
          <w:szCs w:val="20"/>
        </w:rPr>
      </w:pPr>
    </w:p>
    <w:p w:rsidR="00F621C3" w:rsidRPr="0070307F" w:rsidRDefault="00F621C3" w:rsidP="00F621C3">
      <w:pPr>
        <w:rPr>
          <w:rFonts w:asciiTheme="majorHAnsi" w:hAnsiTheme="majorHAnsi" w:cs="Calibri"/>
          <w:sz w:val="20"/>
          <w:szCs w:val="20"/>
        </w:rPr>
      </w:pPr>
    </w:p>
    <w:p w:rsidR="00C55560" w:rsidRPr="0070307F" w:rsidRDefault="00C55560" w:rsidP="00230163">
      <w:pPr>
        <w:tabs>
          <w:tab w:val="left" w:pos="2820"/>
        </w:tabs>
        <w:suppressAutoHyphens/>
        <w:spacing w:line="276" w:lineRule="auto"/>
        <w:rPr>
          <w:rFonts w:asciiTheme="majorHAnsi" w:hAnsiTheme="majorHAnsi"/>
          <w:sz w:val="20"/>
          <w:szCs w:val="20"/>
        </w:rPr>
      </w:pPr>
    </w:p>
    <w:sectPr w:rsidR="00C55560" w:rsidRPr="0070307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20" w:rsidRDefault="00DF7E20" w:rsidP="00036A8A">
      <w:r>
        <w:separator/>
      </w:r>
    </w:p>
  </w:endnote>
  <w:endnote w:type="continuationSeparator" w:id="0">
    <w:p w:rsidR="00DF7E20" w:rsidRDefault="00DF7E2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607" w:rsidRDefault="00157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57607">
          <w:rPr>
            <w:noProof/>
            <w:sz w:val="16"/>
          </w:rPr>
          <w:t>7</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20" w:rsidRPr="00036A8A" w:rsidRDefault="00DF7E2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DF7E20" w:rsidRPr="00036A8A" w:rsidRDefault="00DF7E20" w:rsidP="00036A8A">
      <w:pPr>
        <w:rPr>
          <w:rFonts w:asciiTheme="majorHAnsi" w:hAnsiTheme="majorHAnsi"/>
          <w:sz w:val="16"/>
          <w:szCs w:val="16"/>
        </w:rPr>
      </w:pPr>
      <w:r w:rsidRPr="00036A8A">
        <w:rPr>
          <w:rFonts w:asciiTheme="majorHAnsi" w:hAnsiTheme="majorHAnsi"/>
          <w:sz w:val="16"/>
          <w:szCs w:val="16"/>
        </w:rPr>
        <w:separator/>
      </w:r>
    </w:p>
    <w:p w:rsidR="00DF7E20" w:rsidRPr="00036A8A" w:rsidRDefault="00DF7E2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DF7E20" w:rsidRPr="0093441A" w:rsidRDefault="00DF7E2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D68B3" w:rsidRPr="0070307F" w:rsidRDefault="008D68B3" w:rsidP="00543E6C">
      <w:pPr>
        <w:pStyle w:val="FootnoteText"/>
        <w:ind w:firstLine="720"/>
        <w:jc w:val="both"/>
        <w:rPr>
          <w:rFonts w:asciiTheme="majorHAnsi" w:hAnsiTheme="majorHAnsi"/>
          <w:sz w:val="16"/>
          <w:szCs w:val="16"/>
          <w:lang w:val="en-GB"/>
        </w:rPr>
      </w:pPr>
      <w:r w:rsidRPr="0070307F">
        <w:rPr>
          <w:rStyle w:val="FootnoteReference"/>
          <w:rFonts w:asciiTheme="majorHAnsi" w:hAnsiTheme="majorHAnsi"/>
          <w:sz w:val="16"/>
          <w:szCs w:val="16"/>
        </w:rPr>
        <w:footnoteRef/>
      </w:r>
      <w:r w:rsidRPr="0070307F">
        <w:rPr>
          <w:rFonts w:asciiTheme="majorHAnsi" w:hAnsiTheme="majorHAnsi"/>
          <w:sz w:val="16"/>
          <w:szCs w:val="16"/>
          <w:lang w:val="en-GB"/>
        </w:rPr>
        <w:t xml:space="preserve"> The petition refers to 63 alleged victims, individualized in the Appendix, 13 of whom are deceased retired and discharged judges who were identified as alleged victims when the petition was filed. In addition, by a document of October 30, 2008, 50 members of the Association were identified as alleged victims. </w:t>
      </w:r>
    </w:p>
  </w:footnote>
  <w:footnote w:id="3">
    <w:p w:rsidR="008D68B3" w:rsidRPr="0070307F" w:rsidRDefault="008D68B3" w:rsidP="00543E6C">
      <w:pPr>
        <w:pStyle w:val="FootnoteText"/>
        <w:ind w:firstLine="720"/>
        <w:jc w:val="both"/>
        <w:rPr>
          <w:rFonts w:asciiTheme="majorHAnsi" w:hAnsiTheme="majorHAnsi"/>
          <w:sz w:val="16"/>
          <w:szCs w:val="16"/>
          <w:lang w:val="en-GB"/>
        </w:rPr>
      </w:pPr>
      <w:r w:rsidRPr="0070307F">
        <w:rPr>
          <w:rStyle w:val="FootnoteReference"/>
          <w:rFonts w:asciiTheme="majorHAnsi" w:hAnsiTheme="majorHAnsi"/>
          <w:sz w:val="16"/>
          <w:szCs w:val="16"/>
        </w:rPr>
        <w:footnoteRef/>
      </w:r>
      <w:r w:rsidRPr="0070307F">
        <w:rPr>
          <w:rFonts w:asciiTheme="majorHAnsi" w:hAnsiTheme="majorHAnsi"/>
          <w:lang w:val="en-GB"/>
        </w:rPr>
        <w:t xml:space="preserve"> </w:t>
      </w:r>
      <w:r w:rsidRPr="0070307F">
        <w:rPr>
          <w:rFonts w:asciiTheme="majorHAnsi" w:hAnsiTheme="majorHAnsi"/>
          <w:sz w:val="16"/>
          <w:szCs w:val="16"/>
          <w:lang w:val="en-GB"/>
        </w:rPr>
        <w:t>Pursuant to Article 17.2.a of the IACHR Rules of Procedure, Commissioner Francisco José Eguiguren Praeli, a Peruvian national, did not partake in the discussion or the decision on the instant matter.</w:t>
      </w:r>
      <w:r w:rsidR="00FE76B7" w:rsidRPr="0070307F">
        <w:rPr>
          <w:rFonts w:asciiTheme="majorHAnsi" w:hAnsiTheme="majorHAnsi"/>
          <w:sz w:val="16"/>
          <w:szCs w:val="16"/>
          <w:lang w:val="en-GB"/>
        </w:rPr>
        <w:t xml:space="preserve"> </w:t>
      </w:r>
    </w:p>
  </w:footnote>
  <w:footnote w:id="4">
    <w:p w:rsidR="008D68B3" w:rsidRPr="0070307F" w:rsidRDefault="008D68B3" w:rsidP="00543E6C">
      <w:pPr>
        <w:pStyle w:val="FootnoteText"/>
        <w:ind w:firstLine="720"/>
        <w:rPr>
          <w:rFonts w:asciiTheme="majorHAnsi" w:hAnsiTheme="majorHAnsi"/>
          <w:sz w:val="16"/>
          <w:szCs w:val="16"/>
          <w:lang w:val="en-GB"/>
        </w:rPr>
      </w:pPr>
      <w:r w:rsidRPr="0070307F">
        <w:rPr>
          <w:rStyle w:val="FootnoteReference"/>
          <w:rFonts w:asciiTheme="majorHAnsi" w:hAnsiTheme="majorHAnsi"/>
          <w:sz w:val="16"/>
          <w:szCs w:val="16"/>
        </w:rPr>
        <w:footnoteRef/>
      </w:r>
      <w:r w:rsidRPr="0070307F">
        <w:rPr>
          <w:rFonts w:asciiTheme="majorHAnsi" w:hAnsiTheme="majorHAnsi"/>
          <w:sz w:val="16"/>
          <w:szCs w:val="16"/>
          <w:lang w:val="en-GB"/>
        </w:rPr>
        <w:t xml:space="preserve"> Hereinafter </w:t>
      </w:r>
      <w:r w:rsidR="00D61B47" w:rsidRPr="0070307F">
        <w:rPr>
          <w:rFonts w:asciiTheme="majorHAnsi" w:hAnsiTheme="majorHAnsi"/>
          <w:sz w:val="16"/>
          <w:szCs w:val="16"/>
          <w:lang w:val="en-GB"/>
        </w:rPr>
        <w:t>“</w:t>
      </w:r>
      <w:r w:rsidRPr="0070307F">
        <w:rPr>
          <w:rFonts w:asciiTheme="majorHAnsi" w:hAnsiTheme="majorHAnsi"/>
          <w:sz w:val="16"/>
          <w:szCs w:val="16"/>
          <w:lang w:val="en-GB"/>
        </w:rPr>
        <w:t>Convention</w:t>
      </w:r>
      <w:r w:rsidR="00D61B47" w:rsidRPr="0070307F">
        <w:rPr>
          <w:rFonts w:asciiTheme="majorHAnsi" w:hAnsiTheme="majorHAnsi"/>
          <w:sz w:val="16"/>
          <w:szCs w:val="16"/>
          <w:lang w:val="en-GB"/>
        </w:rPr>
        <w:t>”</w:t>
      </w:r>
      <w:r w:rsidRPr="0070307F">
        <w:rPr>
          <w:rFonts w:asciiTheme="majorHAnsi" w:hAnsiTheme="majorHAnsi"/>
          <w:sz w:val="16"/>
          <w:szCs w:val="16"/>
          <w:lang w:val="en-GB"/>
        </w:rPr>
        <w:t xml:space="preserve"> or </w:t>
      </w:r>
      <w:r w:rsidR="00D61B47" w:rsidRPr="0070307F">
        <w:rPr>
          <w:rFonts w:asciiTheme="majorHAnsi" w:hAnsiTheme="majorHAnsi"/>
          <w:sz w:val="16"/>
          <w:szCs w:val="16"/>
          <w:lang w:val="en-GB"/>
        </w:rPr>
        <w:t>“</w:t>
      </w:r>
      <w:r w:rsidRPr="0070307F">
        <w:rPr>
          <w:rFonts w:asciiTheme="majorHAnsi" w:hAnsiTheme="majorHAnsi"/>
          <w:sz w:val="16"/>
          <w:szCs w:val="16"/>
          <w:lang w:val="en-GB"/>
        </w:rPr>
        <w:t>American Convention.</w:t>
      </w:r>
      <w:r w:rsidR="00D61B47" w:rsidRPr="0070307F">
        <w:rPr>
          <w:rFonts w:asciiTheme="majorHAnsi" w:hAnsiTheme="majorHAnsi"/>
          <w:sz w:val="16"/>
          <w:szCs w:val="16"/>
          <w:lang w:val="en-GB"/>
        </w:rPr>
        <w:t>”</w:t>
      </w:r>
      <w:r w:rsidRPr="0070307F">
        <w:rPr>
          <w:rFonts w:asciiTheme="majorHAnsi" w:hAnsiTheme="majorHAnsi"/>
          <w:sz w:val="16"/>
          <w:szCs w:val="16"/>
          <w:lang w:val="en-GB"/>
        </w:rPr>
        <w:t xml:space="preserve"> </w:t>
      </w:r>
      <w:r w:rsidR="00FE76B7" w:rsidRPr="0070307F">
        <w:rPr>
          <w:rFonts w:asciiTheme="majorHAnsi" w:hAnsiTheme="majorHAnsi"/>
          <w:sz w:val="16"/>
          <w:szCs w:val="16"/>
          <w:lang w:val="en-GB"/>
        </w:rPr>
        <w:t xml:space="preserve"> </w:t>
      </w:r>
    </w:p>
  </w:footnote>
  <w:footnote w:id="5">
    <w:p w:rsidR="00653EA6" w:rsidRPr="0070307F" w:rsidRDefault="00653EA6" w:rsidP="00210F4B">
      <w:pPr>
        <w:pStyle w:val="FootnoteText"/>
        <w:ind w:firstLine="720"/>
        <w:jc w:val="both"/>
        <w:rPr>
          <w:rFonts w:asciiTheme="majorHAnsi" w:hAnsiTheme="majorHAnsi"/>
          <w:sz w:val="16"/>
          <w:szCs w:val="16"/>
        </w:rPr>
      </w:pPr>
      <w:r w:rsidRPr="0070307F">
        <w:rPr>
          <w:rStyle w:val="FootnoteReference"/>
          <w:rFonts w:asciiTheme="majorHAnsi" w:hAnsiTheme="majorHAnsi"/>
          <w:sz w:val="16"/>
          <w:szCs w:val="16"/>
        </w:rPr>
        <w:footnoteRef/>
      </w:r>
      <w:r w:rsidRPr="0070307F">
        <w:rPr>
          <w:rFonts w:asciiTheme="majorHAnsi" w:hAnsiTheme="majorHAnsi"/>
          <w:sz w:val="16"/>
          <w:szCs w:val="16"/>
        </w:rPr>
        <w:t xml:space="preserve"> The observations </w:t>
      </w:r>
      <w:r w:rsidR="00926D2F" w:rsidRPr="0070307F">
        <w:rPr>
          <w:rFonts w:asciiTheme="majorHAnsi" w:hAnsiTheme="majorHAnsi"/>
          <w:sz w:val="16"/>
          <w:szCs w:val="16"/>
        </w:rPr>
        <w:t>submitted</w:t>
      </w:r>
      <w:r w:rsidRPr="0070307F">
        <w:rPr>
          <w:rFonts w:asciiTheme="majorHAnsi" w:hAnsiTheme="majorHAnsi"/>
          <w:sz w:val="16"/>
          <w:szCs w:val="16"/>
        </w:rPr>
        <w:t xml:space="preserve"> by each party were duly transmitted to the opposing party.</w:t>
      </w:r>
      <w:r w:rsidR="00FE76B7" w:rsidRPr="0070307F">
        <w:rPr>
          <w:rFonts w:asciiTheme="majorHAnsi" w:hAnsiTheme="majorHAnsi"/>
          <w:sz w:val="16"/>
          <w:szCs w:val="16"/>
        </w:rPr>
        <w:t xml:space="preserve"> </w:t>
      </w:r>
    </w:p>
  </w:footnote>
  <w:footnote w:id="6">
    <w:p w:rsidR="008D68B3" w:rsidRPr="0070307F" w:rsidRDefault="008D68B3" w:rsidP="008D68B3">
      <w:pPr>
        <w:pStyle w:val="FootnoteText"/>
        <w:ind w:firstLine="720"/>
        <w:jc w:val="both"/>
        <w:rPr>
          <w:rFonts w:asciiTheme="majorHAnsi" w:hAnsiTheme="majorHAnsi"/>
          <w:sz w:val="16"/>
          <w:szCs w:val="16"/>
          <w:lang w:val="en-GB"/>
        </w:rPr>
      </w:pPr>
      <w:r w:rsidRPr="0070307F">
        <w:rPr>
          <w:rStyle w:val="FootnoteReference"/>
          <w:rFonts w:asciiTheme="majorHAnsi" w:hAnsiTheme="majorHAnsi"/>
          <w:sz w:val="16"/>
          <w:szCs w:val="16"/>
        </w:rPr>
        <w:footnoteRef/>
      </w:r>
      <w:r w:rsidRPr="0070307F">
        <w:rPr>
          <w:rFonts w:asciiTheme="majorHAnsi" w:hAnsiTheme="majorHAnsi"/>
          <w:sz w:val="16"/>
          <w:szCs w:val="16"/>
          <w:lang w:val="en-GB"/>
        </w:rPr>
        <w:t xml:space="preserve"> In addition, the State invokes the exception set forth in Article 46 of the Convention, in relation to the alleged victim Félix Bautista Barzola, who allegedly presented an individual petition. Yet as the Commission informed the State on December 27, 2017, said petition was archived on October 7, 2017.</w:t>
      </w:r>
    </w:p>
  </w:footnote>
  <w:footnote w:id="7">
    <w:p w:rsidR="00751B44" w:rsidRPr="008C1C1D" w:rsidRDefault="00751B44" w:rsidP="00751B44">
      <w:pPr>
        <w:pStyle w:val="FootnoteText"/>
        <w:ind w:firstLine="720"/>
        <w:rPr>
          <w:rFonts w:asciiTheme="majorHAnsi" w:hAnsiTheme="majorHAnsi"/>
          <w:lang w:val="es-US"/>
        </w:rPr>
      </w:pPr>
      <w:r w:rsidRPr="0070307F">
        <w:rPr>
          <w:rStyle w:val="FootnoteReference"/>
          <w:rFonts w:asciiTheme="majorHAnsi" w:hAnsiTheme="majorHAnsi"/>
          <w:sz w:val="16"/>
          <w:szCs w:val="16"/>
        </w:rPr>
        <w:footnoteRef/>
      </w:r>
      <w:r w:rsidRPr="0070307F">
        <w:rPr>
          <w:rFonts w:asciiTheme="majorHAnsi" w:hAnsiTheme="majorHAnsi"/>
          <w:sz w:val="16"/>
          <w:szCs w:val="16"/>
          <w:lang w:val="en-GB"/>
        </w:rPr>
        <w:t xml:space="preserve"> IACHR, Report No. 106/10, Petition 147-98. Admissibility. </w:t>
      </w:r>
      <w:r w:rsidRPr="008C1C1D">
        <w:rPr>
          <w:rFonts w:asciiTheme="majorHAnsi" w:hAnsiTheme="majorHAnsi"/>
          <w:sz w:val="16"/>
          <w:szCs w:val="16"/>
          <w:lang w:val="es-US"/>
        </w:rPr>
        <w:t>Oscar Muelle Flores. Peru, July 16, 2010, par. 29.</w:t>
      </w:r>
    </w:p>
  </w:footnote>
  <w:footnote w:id="8">
    <w:p w:rsidR="008D68B3" w:rsidRPr="0070307F" w:rsidRDefault="008D68B3" w:rsidP="008D68B3">
      <w:pPr>
        <w:pStyle w:val="FootnoteText"/>
        <w:ind w:firstLine="720"/>
        <w:rPr>
          <w:rFonts w:asciiTheme="majorHAnsi" w:hAnsiTheme="majorHAnsi"/>
          <w:lang w:val="es-CL"/>
        </w:rPr>
      </w:pPr>
      <w:r w:rsidRPr="0070307F">
        <w:rPr>
          <w:rStyle w:val="FootnoteReference"/>
          <w:rFonts w:asciiTheme="majorHAnsi" w:hAnsiTheme="majorHAnsi"/>
        </w:rPr>
        <w:footnoteRef/>
      </w:r>
      <w:r w:rsidRPr="0070307F">
        <w:rPr>
          <w:rFonts w:asciiTheme="majorHAnsi" w:hAnsiTheme="majorHAnsi"/>
          <w:lang w:val="en-GB"/>
        </w:rPr>
        <w:t xml:space="preserve"> </w:t>
      </w:r>
      <w:r w:rsidRPr="0070307F">
        <w:rPr>
          <w:rFonts w:asciiTheme="majorHAnsi" w:hAnsiTheme="majorHAnsi"/>
          <w:sz w:val="16"/>
          <w:szCs w:val="16"/>
          <w:lang w:val="en-GB"/>
        </w:rPr>
        <w:t xml:space="preserve">IACHR, Report No. 38/09. Case 12.670. Admissibility and Merits. National Association of Ex-Employees of the Peruvian Social Institute. </w:t>
      </w:r>
      <w:r w:rsidRPr="0070307F">
        <w:rPr>
          <w:rFonts w:asciiTheme="majorHAnsi" w:hAnsiTheme="majorHAnsi"/>
          <w:sz w:val="16"/>
          <w:szCs w:val="16"/>
          <w:lang w:val="es-ES_tradnl"/>
        </w:rPr>
        <w:t>Peru, March 27, 2009, par.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E47850C" wp14:editId="08C7FB5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DF7E20"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607" w:rsidRDefault="00157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B097C20"/>
    <w:multiLevelType w:val="hybridMultilevel"/>
    <w:tmpl w:val="D938EF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38E26BA"/>
    <w:lvl w:ilvl="0" w:tplc="29564100">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6"/>
  </w:num>
  <w:num w:numId="104">
    <w:abstractNumId w:val="12"/>
  </w:num>
  <w:num w:numId="105">
    <w:abstractNumId w:val="45"/>
  </w:num>
  <w:num w:numId="106">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4544F"/>
    <w:rsid w:val="000639C0"/>
    <w:rsid w:val="00070F3A"/>
    <w:rsid w:val="000716C5"/>
    <w:rsid w:val="00075E23"/>
    <w:rsid w:val="00092F32"/>
    <w:rsid w:val="0009344A"/>
    <w:rsid w:val="00096815"/>
    <w:rsid w:val="000A575F"/>
    <w:rsid w:val="000A7EDA"/>
    <w:rsid w:val="000C4365"/>
    <w:rsid w:val="000C509A"/>
    <w:rsid w:val="000D0F59"/>
    <w:rsid w:val="000D10DB"/>
    <w:rsid w:val="000E3A20"/>
    <w:rsid w:val="000F7574"/>
    <w:rsid w:val="00110B2F"/>
    <w:rsid w:val="00124116"/>
    <w:rsid w:val="0013104F"/>
    <w:rsid w:val="00135C1F"/>
    <w:rsid w:val="00137EBA"/>
    <w:rsid w:val="00145EDC"/>
    <w:rsid w:val="00153084"/>
    <w:rsid w:val="00157607"/>
    <w:rsid w:val="00167A34"/>
    <w:rsid w:val="001714B4"/>
    <w:rsid w:val="0018037F"/>
    <w:rsid w:val="00182F2A"/>
    <w:rsid w:val="001A03E2"/>
    <w:rsid w:val="001A5F27"/>
    <w:rsid w:val="001A65E4"/>
    <w:rsid w:val="001A7870"/>
    <w:rsid w:val="001C1B41"/>
    <w:rsid w:val="001C7DFC"/>
    <w:rsid w:val="001E366B"/>
    <w:rsid w:val="001F1902"/>
    <w:rsid w:val="001F263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789E"/>
    <w:rsid w:val="003771A3"/>
    <w:rsid w:val="00386CF0"/>
    <w:rsid w:val="003A4348"/>
    <w:rsid w:val="003B2FB9"/>
    <w:rsid w:val="003C32BC"/>
    <w:rsid w:val="003E3E03"/>
    <w:rsid w:val="003F1BBF"/>
    <w:rsid w:val="004162B1"/>
    <w:rsid w:val="004165C2"/>
    <w:rsid w:val="00421E9D"/>
    <w:rsid w:val="00447F1F"/>
    <w:rsid w:val="00450A4A"/>
    <w:rsid w:val="004666FB"/>
    <w:rsid w:val="00466D0B"/>
    <w:rsid w:val="00467B7E"/>
    <w:rsid w:val="00485106"/>
    <w:rsid w:val="0049419D"/>
    <w:rsid w:val="004B2762"/>
    <w:rsid w:val="004B7EB6"/>
    <w:rsid w:val="004C41DE"/>
    <w:rsid w:val="004C4B62"/>
    <w:rsid w:val="004C4DEF"/>
    <w:rsid w:val="004C4F0D"/>
    <w:rsid w:val="004D6025"/>
    <w:rsid w:val="004D72BC"/>
    <w:rsid w:val="004F6B67"/>
    <w:rsid w:val="00501399"/>
    <w:rsid w:val="00507BC4"/>
    <w:rsid w:val="005128E4"/>
    <w:rsid w:val="00525560"/>
    <w:rsid w:val="005357A6"/>
    <w:rsid w:val="00541640"/>
    <w:rsid w:val="00543E6C"/>
    <w:rsid w:val="00544C49"/>
    <w:rsid w:val="0057402A"/>
    <w:rsid w:val="005740BD"/>
    <w:rsid w:val="005771D0"/>
    <w:rsid w:val="0059191A"/>
    <w:rsid w:val="005921FF"/>
    <w:rsid w:val="00592718"/>
    <w:rsid w:val="0059572F"/>
    <w:rsid w:val="005A6D0E"/>
    <w:rsid w:val="005B222D"/>
    <w:rsid w:val="005B52B0"/>
    <w:rsid w:val="005B6806"/>
    <w:rsid w:val="005C00F9"/>
    <w:rsid w:val="005C4225"/>
    <w:rsid w:val="005D12CA"/>
    <w:rsid w:val="005F0F33"/>
    <w:rsid w:val="00600DEB"/>
    <w:rsid w:val="00613027"/>
    <w:rsid w:val="00627C9F"/>
    <w:rsid w:val="006311DA"/>
    <w:rsid w:val="006311E9"/>
    <w:rsid w:val="006318B2"/>
    <w:rsid w:val="00632354"/>
    <w:rsid w:val="00642810"/>
    <w:rsid w:val="00652333"/>
    <w:rsid w:val="00653EA6"/>
    <w:rsid w:val="0065576B"/>
    <w:rsid w:val="00656984"/>
    <w:rsid w:val="0068009E"/>
    <w:rsid w:val="006A10E1"/>
    <w:rsid w:val="006A17D2"/>
    <w:rsid w:val="006A73E6"/>
    <w:rsid w:val="006B19B2"/>
    <w:rsid w:val="006B2D5C"/>
    <w:rsid w:val="006C4EB1"/>
    <w:rsid w:val="006C745E"/>
    <w:rsid w:val="006D4707"/>
    <w:rsid w:val="006E0166"/>
    <w:rsid w:val="006E7B34"/>
    <w:rsid w:val="006F05F6"/>
    <w:rsid w:val="00701B24"/>
    <w:rsid w:val="0070307F"/>
    <w:rsid w:val="0071495F"/>
    <w:rsid w:val="0073798E"/>
    <w:rsid w:val="00745899"/>
    <w:rsid w:val="00751B44"/>
    <w:rsid w:val="007607C4"/>
    <w:rsid w:val="00764A17"/>
    <w:rsid w:val="0076643F"/>
    <w:rsid w:val="00781653"/>
    <w:rsid w:val="0078739F"/>
    <w:rsid w:val="007A2F70"/>
    <w:rsid w:val="007C3334"/>
    <w:rsid w:val="007C52BB"/>
    <w:rsid w:val="007C5E93"/>
    <w:rsid w:val="007D2B98"/>
    <w:rsid w:val="007E4F18"/>
    <w:rsid w:val="00803F1C"/>
    <w:rsid w:val="00805B14"/>
    <w:rsid w:val="0080600E"/>
    <w:rsid w:val="008128D6"/>
    <w:rsid w:val="00817612"/>
    <w:rsid w:val="00837C45"/>
    <w:rsid w:val="00853419"/>
    <w:rsid w:val="00861160"/>
    <w:rsid w:val="00897E12"/>
    <w:rsid w:val="008C1C1D"/>
    <w:rsid w:val="008C3CB2"/>
    <w:rsid w:val="008D43BA"/>
    <w:rsid w:val="008D68B3"/>
    <w:rsid w:val="008E3759"/>
    <w:rsid w:val="008F0B1B"/>
    <w:rsid w:val="008F62B9"/>
    <w:rsid w:val="009041DC"/>
    <w:rsid w:val="009104B4"/>
    <w:rsid w:val="009228DA"/>
    <w:rsid w:val="00925FCD"/>
    <w:rsid w:val="00926D2F"/>
    <w:rsid w:val="0093441A"/>
    <w:rsid w:val="00954BF7"/>
    <w:rsid w:val="0096706E"/>
    <w:rsid w:val="00981FBA"/>
    <w:rsid w:val="009B381B"/>
    <w:rsid w:val="009B4E05"/>
    <w:rsid w:val="009D2CA9"/>
    <w:rsid w:val="009D7611"/>
    <w:rsid w:val="009E53DE"/>
    <w:rsid w:val="009E566A"/>
    <w:rsid w:val="00A00121"/>
    <w:rsid w:val="00A12DBC"/>
    <w:rsid w:val="00A43458"/>
    <w:rsid w:val="00A528D1"/>
    <w:rsid w:val="00A66BE5"/>
    <w:rsid w:val="00A70CAB"/>
    <w:rsid w:val="00A76533"/>
    <w:rsid w:val="00A866A5"/>
    <w:rsid w:val="00AA19C2"/>
    <w:rsid w:val="00AA2F92"/>
    <w:rsid w:val="00AB00A5"/>
    <w:rsid w:val="00AD37C1"/>
    <w:rsid w:val="00AD4E37"/>
    <w:rsid w:val="00AE66EC"/>
    <w:rsid w:val="00AE6F91"/>
    <w:rsid w:val="00AF5571"/>
    <w:rsid w:val="00B06BB7"/>
    <w:rsid w:val="00B07D24"/>
    <w:rsid w:val="00B167E9"/>
    <w:rsid w:val="00B179ED"/>
    <w:rsid w:val="00B314DB"/>
    <w:rsid w:val="00B31EBE"/>
    <w:rsid w:val="00B3718B"/>
    <w:rsid w:val="00B44B23"/>
    <w:rsid w:val="00B4632A"/>
    <w:rsid w:val="00B9209C"/>
    <w:rsid w:val="00B92E49"/>
    <w:rsid w:val="00BA1CD5"/>
    <w:rsid w:val="00BA276C"/>
    <w:rsid w:val="00BB2315"/>
    <w:rsid w:val="00BB306F"/>
    <w:rsid w:val="00BD232B"/>
    <w:rsid w:val="00BD2E42"/>
    <w:rsid w:val="00BD4B89"/>
    <w:rsid w:val="00C05302"/>
    <w:rsid w:val="00C21762"/>
    <w:rsid w:val="00C24543"/>
    <w:rsid w:val="00C256A2"/>
    <w:rsid w:val="00C30969"/>
    <w:rsid w:val="00C33FC7"/>
    <w:rsid w:val="00C3492D"/>
    <w:rsid w:val="00C55560"/>
    <w:rsid w:val="00C63686"/>
    <w:rsid w:val="00C66B72"/>
    <w:rsid w:val="00C828A9"/>
    <w:rsid w:val="00C9567A"/>
    <w:rsid w:val="00CA6577"/>
    <w:rsid w:val="00CB2660"/>
    <w:rsid w:val="00CC5E90"/>
    <w:rsid w:val="00CD046C"/>
    <w:rsid w:val="00CE5199"/>
    <w:rsid w:val="00CE66D5"/>
    <w:rsid w:val="00CF3273"/>
    <w:rsid w:val="00CF3952"/>
    <w:rsid w:val="00D30CFB"/>
    <w:rsid w:val="00D34786"/>
    <w:rsid w:val="00D40A1E"/>
    <w:rsid w:val="00D533C0"/>
    <w:rsid w:val="00D61B47"/>
    <w:rsid w:val="00D712D3"/>
    <w:rsid w:val="00D71422"/>
    <w:rsid w:val="00D7145E"/>
    <w:rsid w:val="00D748C7"/>
    <w:rsid w:val="00D75084"/>
    <w:rsid w:val="00D7558D"/>
    <w:rsid w:val="00D81D92"/>
    <w:rsid w:val="00D87684"/>
    <w:rsid w:val="00D93446"/>
    <w:rsid w:val="00DA7B5F"/>
    <w:rsid w:val="00DC1DA5"/>
    <w:rsid w:val="00DF078B"/>
    <w:rsid w:val="00DF350D"/>
    <w:rsid w:val="00DF7E20"/>
    <w:rsid w:val="00E227C1"/>
    <w:rsid w:val="00E23ADC"/>
    <w:rsid w:val="00E43157"/>
    <w:rsid w:val="00E47F3D"/>
    <w:rsid w:val="00E533FF"/>
    <w:rsid w:val="00E709B3"/>
    <w:rsid w:val="00E7588C"/>
    <w:rsid w:val="00E850B6"/>
    <w:rsid w:val="00E8789F"/>
    <w:rsid w:val="00E97B71"/>
    <w:rsid w:val="00EB454D"/>
    <w:rsid w:val="00ED0D1B"/>
    <w:rsid w:val="00EE3522"/>
    <w:rsid w:val="00EE63E7"/>
    <w:rsid w:val="00EF619B"/>
    <w:rsid w:val="00F00B55"/>
    <w:rsid w:val="00F0182D"/>
    <w:rsid w:val="00F01D38"/>
    <w:rsid w:val="00F1380F"/>
    <w:rsid w:val="00F14F0E"/>
    <w:rsid w:val="00F15A3B"/>
    <w:rsid w:val="00F24C29"/>
    <w:rsid w:val="00F253CC"/>
    <w:rsid w:val="00F42B71"/>
    <w:rsid w:val="00F56BA5"/>
    <w:rsid w:val="00F621C3"/>
    <w:rsid w:val="00F644E6"/>
    <w:rsid w:val="00F9653B"/>
    <w:rsid w:val="00FB5161"/>
    <w:rsid w:val="00FB5DEF"/>
    <w:rsid w:val="00FB62CF"/>
    <w:rsid w:val="00FC1D35"/>
    <w:rsid w:val="00FC3EB4"/>
    <w:rsid w:val="00FC6C58"/>
    <w:rsid w:val="00FD35EE"/>
    <w:rsid w:val="00FE1298"/>
    <w:rsid w:val="00FE6B45"/>
    <w:rsid w:val="00FE76B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3390F53E6F445FAC8D4CB41FBBA86E"/>
        <w:category>
          <w:name w:val="General"/>
          <w:gallery w:val="placeholder"/>
        </w:category>
        <w:types>
          <w:type w:val="bbPlcHdr"/>
        </w:types>
        <w:behaviors>
          <w:behavior w:val="content"/>
        </w:behaviors>
        <w:guid w:val="{2D8959DC-E04D-4415-8A44-017524D264F8}"/>
      </w:docPartPr>
      <w:docPartBody>
        <w:p w:rsidR="00174564" w:rsidRDefault="00411838" w:rsidP="00411838">
          <w:pPr>
            <w:pStyle w:val="443390F53E6F445FAC8D4CB41FBBA86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564"/>
    <w:rsid w:val="001748D3"/>
    <w:rsid w:val="004108B1"/>
    <w:rsid w:val="00411838"/>
    <w:rsid w:val="00886826"/>
    <w:rsid w:val="0092032A"/>
    <w:rsid w:val="00997947"/>
    <w:rsid w:val="00AB44F1"/>
    <w:rsid w:val="00BE42FE"/>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38"/>
    <w:rPr>
      <w:color w:val="808080"/>
    </w:rPr>
  </w:style>
  <w:style w:type="paragraph" w:customStyle="1" w:styleId="4DBB5F3FC358F64B9E5EFB773263C7D2">
    <w:name w:val="4DBB5F3FC358F64B9E5EFB773263C7D2"/>
    <w:rsid w:val="00AB44F1"/>
  </w:style>
  <w:style w:type="paragraph" w:customStyle="1" w:styleId="E3A32E82C612485ABA094A1A4741B04B">
    <w:name w:val="E3A32E82C612485ABA094A1A4741B04B"/>
    <w:rsid w:val="00411838"/>
    <w:pPr>
      <w:spacing w:after="200" w:line="276" w:lineRule="auto"/>
    </w:pPr>
    <w:rPr>
      <w:sz w:val="22"/>
      <w:szCs w:val="22"/>
      <w:lang w:val="en-GB" w:eastAsia="en-GB"/>
    </w:rPr>
  </w:style>
  <w:style w:type="paragraph" w:customStyle="1" w:styleId="FE0F60DE29044E06A39C0ED3E1ADE64E">
    <w:name w:val="FE0F60DE29044E06A39C0ED3E1ADE64E"/>
    <w:rsid w:val="00411838"/>
    <w:pPr>
      <w:spacing w:after="200" w:line="276" w:lineRule="auto"/>
    </w:pPr>
    <w:rPr>
      <w:sz w:val="22"/>
      <w:szCs w:val="22"/>
      <w:lang w:val="en-GB" w:eastAsia="en-GB"/>
    </w:rPr>
  </w:style>
  <w:style w:type="paragraph" w:customStyle="1" w:styleId="8900618C5E98406F8EE633436A0536D3">
    <w:name w:val="8900618C5E98406F8EE633436A0536D3"/>
    <w:rsid w:val="00411838"/>
    <w:pPr>
      <w:spacing w:after="200" w:line="276" w:lineRule="auto"/>
    </w:pPr>
    <w:rPr>
      <w:sz w:val="22"/>
      <w:szCs w:val="22"/>
      <w:lang w:val="en-GB" w:eastAsia="en-GB"/>
    </w:rPr>
  </w:style>
  <w:style w:type="paragraph" w:customStyle="1" w:styleId="94DFCEBA4B1A43D9AD1783CF8A42C4AF">
    <w:name w:val="94DFCEBA4B1A43D9AD1783CF8A42C4AF"/>
    <w:rsid w:val="00411838"/>
    <w:pPr>
      <w:spacing w:after="200" w:line="276" w:lineRule="auto"/>
    </w:pPr>
    <w:rPr>
      <w:sz w:val="22"/>
      <w:szCs w:val="22"/>
      <w:lang w:val="en-GB" w:eastAsia="en-GB"/>
    </w:rPr>
  </w:style>
  <w:style w:type="paragraph" w:customStyle="1" w:styleId="443390F53E6F445FAC8D4CB41FBBA86E">
    <w:name w:val="443390F53E6F445FAC8D4CB41FBBA86E"/>
    <w:rsid w:val="00411838"/>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EA47-3C66-4362-B79D-2D868D3C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14204</Characters>
  <Application>Microsoft Office Word</Application>
  <DocSecurity>0</DocSecurity>
  <Lines>295</Lines>
  <Paragraphs>87</Paragraphs>
  <ScaleCrop>false</ScaleCrop>
  <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142/18</dc:title>
  <dc:creator/>
  <cp:lastModifiedBy/>
  <cp:revision>1</cp:revision>
  <dcterms:created xsi:type="dcterms:W3CDTF">2019-03-13T17:00:00Z</dcterms:created>
  <dcterms:modified xsi:type="dcterms:W3CDTF">2019-03-13T17:00:00Z</dcterms:modified>
</cp:coreProperties>
</file>