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1EBE6C4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CE59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7B5120" w:rsidRDefault="00040C3A" w:rsidP="00040C3A">
      <w:pPr>
        <w:tabs>
          <w:tab w:val="center" w:pos="5400"/>
        </w:tabs>
        <w:suppressAutoHyphens/>
        <w:jc w:val="both"/>
        <w:rPr>
          <w:rFonts w:asciiTheme="majorHAnsi" w:hAnsiTheme="majorHAnsi"/>
          <w:sz w:val="22"/>
          <w:szCs w:val="22"/>
          <w:lang w:val="en-GB"/>
        </w:rPr>
      </w:pPr>
    </w:p>
    <w:p w14:paraId="54AC1FBF" w14:textId="77777777" w:rsidR="00040C3A" w:rsidRPr="007B5120" w:rsidRDefault="00040C3A" w:rsidP="00040C3A">
      <w:pPr>
        <w:tabs>
          <w:tab w:val="center" w:pos="5400"/>
        </w:tabs>
        <w:suppressAutoHyphens/>
        <w:jc w:val="both"/>
        <w:rPr>
          <w:rFonts w:asciiTheme="majorHAnsi" w:hAnsiTheme="majorHAnsi"/>
          <w:sz w:val="22"/>
          <w:szCs w:val="22"/>
          <w:lang w:val="en-GB"/>
        </w:rPr>
      </w:pPr>
    </w:p>
    <w:p w14:paraId="6A4AC464" w14:textId="77777777" w:rsidR="005128E4" w:rsidRPr="007B5120" w:rsidRDefault="005128E4" w:rsidP="00040C3A">
      <w:pPr>
        <w:tabs>
          <w:tab w:val="center" w:pos="5400"/>
        </w:tabs>
        <w:suppressAutoHyphens/>
        <w:rPr>
          <w:rFonts w:asciiTheme="majorHAnsi" w:hAnsiTheme="majorHAnsi"/>
          <w:sz w:val="22"/>
          <w:szCs w:val="22"/>
          <w:lang w:val="en-GB"/>
        </w:rPr>
      </w:pPr>
    </w:p>
    <w:p w14:paraId="515D20A5" w14:textId="77777777" w:rsidR="005128E4" w:rsidRPr="007B5120" w:rsidRDefault="005128E4" w:rsidP="00040C3A">
      <w:pPr>
        <w:tabs>
          <w:tab w:val="center" w:pos="5400"/>
        </w:tabs>
        <w:suppressAutoHyphens/>
        <w:rPr>
          <w:rFonts w:asciiTheme="majorHAnsi" w:hAnsiTheme="majorHAnsi"/>
          <w:sz w:val="22"/>
          <w:szCs w:val="22"/>
          <w:lang w:val="en-GB"/>
        </w:rPr>
      </w:pPr>
    </w:p>
    <w:p w14:paraId="7CBA3E7E" w14:textId="77777777" w:rsidR="005128E4" w:rsidRPr="007B5120" w:rsidRDefault="005128E4" w:rsidP="00040C3A">
      <w:pPr>
        <w:tabs>
          <w:tab w:val="center" w:pos="5400"/>
        </w:tabs>
        <w:suppressAutoHyphens/>
        <w:rPr>
          <w:rFonts w:asciiTheme="majorHAnsi" w:hAnsiTheme="majorHAnsi"/>
          <w:sz w:val="22"/>
          <w:szCs w:val="22"/>
          <w:lang w:val="en-GB"/>
        </w:rPr>
      </w:pPr>
    </w:p>
    <w:p w14:paraId="0FFC5ED6" w14:textId="77777777" w:rsidR="00040C3A" w:rsidRPr="007B5120" w:rsidRDefault="00040C3A" w:rsidP="005128E4">
      <w:pPr>
        <w:tabs>
          <w:tab w:val="center" w:pos="5400"/>
        </w:tabs>
        <w:suppressAutoHyphens/>
        <w:jc w:val="center"/>
        <w:rPr>
          <w:rFonts w:asciiTheme="majorHAnsi" w:hAnsiTheme="majorHAnsi"/>
          <w:sz w:val="22"/>
          <w:szCs w:val="22"/>
          <w:lang w:val="en-GB"/>
        </w:rPr>
      </w:pPr>
    </w:p>
    <w:p w14:paraId="5FCF0358" w14:textId="77777777" w:rsidR="00040C3A" w:rsidRPr="007B5120" w:rsidRDefault="00040C3A" w:rsidP="005128E4">
      <w:pPr>
        <w:tabs>
          <w:tab w:val="center" w:pos="5400"/>
        </w:tabs>
        <w:suppressAutoHyphens/>
        <w:jc w:val="center"/>
        <w:rPr>
          <w:rFonts w:asciiTheme="majorHAnsi" w:hAnsiTheme="majorHAnsi"/>
          <w:sz w:val="22"/>
          <w:szCs w:val="22"/>
          <w:lang w:val="en-GB"/>
        </w:rPr>
      </w:pPr>
    </w:p>
    <w:p w14:paraId="23C02B60"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1E4CC4A3"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022074FD"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3234C43C"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2D58FFB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4A574974"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11A9BA8A" w14:textId="77777777" w:rsidR="00040C3A" w:rsidRPr="007B5120" w:rsidRDefault="00E533FF" w:rsidP="00040C3A">
      <w:pPr>
        <w:tabs>
          <w:tab w:val="center" w:pos="5400"/>
        </w:tabs>
        <w:suppressAutoHyphens/>
        <w:jc w:val="center"/>
        <w:rPr>
          <w:rFonts w:asciiTheme="majorHAnsi" w:hAnsiTheme="majorHAnsi"/>
          <w:sz w:val="22"/>
          <w:szCs w:val="22"/>
          <w:lang w:val="en-GB"/>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3678B5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52B17">
                              <w:rPr>
                                <w:rFonts w:asciiTheme="majorHAnsi" w:hAnsiTheme="majorHAnsi" w:cs="Arial"/>
                                <w:b/>
                                <w:bCs/>
                                <w:color w:val="0D0D0D" w:themeColor="text1" w:themeTint="F2"/>
                                <w:sz w:val="36"/>
                                <w:szCs w:val="40"/>
                              </w:rPr>
                              <w:t>57</w:t>
                            </w:r>
                            <w:r w:rsidR="00322450" w:rsidRPr="004B7EB6">
                              <w:rPr>
                                <w:rFonts w:asciiTheme="majorHAnsi" w:hAnsiTheme="majorHAnsi" w:cs="Arial"/>
                                <w:b/>
                                <w:bCs/>
                                <w:color w:val="0D0D0D" w:themeColor="text1" w:themeTint="F2"/>
                                <w:sz w:val="36"/>
                                <w:szCs w:val="40"/>
                              </w:rPr>
                              <w:t>/1</w:t>
                            </w:r>
                            <w:r w:rsidR="006E0470">
                              <w:rPr>
                                <w:rFonts w:asciiTheme="majorHAnsi" w:hAnsiTheme="majorHAnsi" w:cs="Arial"/>
                                <w:b/>
                                <w:bCs/>
                                <w:color w:val="0D0D0D" w:themeColor="text1" w:themeTint="F2"/>
                                <w:sz w:val="36"/>
                                <w:szCs w:val="40"/>
                              </w:rPr>
                              <w:t>8</w:t>
                            </w:r>
                          </w:p>
                          <w:p w14:paraId="081F51F3" w14:textId="44F43C4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E0470">
                              <w:rPr>
                                <w:rFonts w:asciiTheme="majorHAnsi" w:hAnsiTheme="majorHAnsi" w:cs="Arial"/>
                                <w:b/>
                                <w:bCs/>
                                <w:color w:val="0D0D0D" w:themeColor="text1" w:themeTint="F2"/>
                                <w:sz w:val="36"/>
                                <w:szCs w:val="40"/>
                              </w:rPr>
                              <w:t>969-07</w:t>
                            </w:r>
                          </w:p>
                          <w:p w14:paraId="34978E5A" w14:textId="1042DF6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17E4BE9" w:rsidR="00F42B71" w:rsidRPr="004B625D" w:rsidRDefault="006E047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KAREN MAÑUCA QUIROZ CABANILLAS</w:t>
                            </w:r>
                          </w:p>
                          <w:p w14:paraId="48EBC31A" w14:textId="53C7B49D" w:rsidR="00F42B71" w:rsidRPr="004B625D" w:rsidRDefault="006E047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3678B5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52B17">
                        <w:rPr>
                          <w:rFonts w:asciiTheme="majorHAnsi" w:hAnsiTheme="majorHAnsi" w:cs="Arial"/>
                          <w:b/>
                          <w:bCs/>
                          <w:color w:val="0D0D0D" w:themeColor="text1" w:themeTint="F2"/>
                          <w:sz w:val="36"/>
                          <w:szCs w:val="40"/>
                        </w:rPr>
                        <w:t>57</w:t>
                      </w:r>
                      <w:r w:rsidR="00322450" w:rsidRPr="004B7EB6">
                        <w:rPr>
                          <w:rFonts w:asciiTheme="majorHAnsi" w:hAnsiTheme="majorHAnsi" w:cs="Arial"/>
                          <w:b/>
                          <w:bCs/>
                          <w:color w:val="0D0D0D" w:themeColor="text1" w:themeTint="F2"/>
                          <w:sz w:val="36"/>
                          <w:szCs w:val="40"/>
                        </w:rPr>
                        <w:t>/1</w:t>
                      </w:r>
                      <w:r w:rsidR="006E0470">
                        <w:rPr>
                          <w:rFonts w:asciiTheme="majorHAnsi" w:hAnsiTheme="majorHAnsi" w:cs="Arial"/>
                          <w:b/>
                          <w:bCs/>
                          <w:color w:val="0D0D0D" w:themeColor="text1" w:themeTint="F2"/>
                          <w:sz w:val="36"/>
                          <w:szCs w:val="40"/>
                        </w:rPr>
                        <w:t>8</w:t>
                      </w:r>
                    </w:p>
                    <w:p w14:paraId="081F51F3" w14:textId="44F43C4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E0470">
                        <w:rPr>
                          <w:rFonts w:asciiTheme="majorHAnsi" w:hAnsiTheme="majorHAnsi" w:cs="Arial"/>
                          <w:b/>
                          <w:bCs/>
                          <w:color w:val="0D0D0D" w:themeColor="text1" w:themeTint="F2"/>
                          <w:sz w:val="36"/>
                          <w:szCs w:val="40"/>
                        </w:rPr>
                        <w:t>969-07</w:t>
                      </w:r>
                    </w:p>
                    <w:p w14:paraId="34978E5A" w14:textId="1042DF6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17E4BE9" w:rsidR="00F42B71" w:rsidRPr="004B625D" w:rsidRDefault="006E047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KAREN MAÑUCA QUIROZ CABANILLAS</w:t>
                      </w:r>
                    </w:p>
                    <w:p w14:paraId="48EBC31A" w14:textId="53C7B49D" w:rsidR="00F42B71" w:rsidRPr="004B625D" w:rsidRDefault="006E047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F69C84C" w:rsidR="00627C9F" w:rsidRPr="003C47F6" w:rsidRDefault="00052B17"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OEA/Ser.L/V/II.168</w:t>
                            </w:r>
                          </w:p>
                          <w:p w14:paraId="4AA08A8C" w14:textId="0AAA34EA" w:rsidR="00627C9F" w:rsidRPr="003C47F6" w:rsidRDefault="00CA6577" w:rsidP="009E566A">
                            <w:pPr>
                              <w:jc w:val="right"/>
                              <w:rPr>
                                <w:rFonts w:asciiTheme="minorHAnsi" w:hAnsiTheme="minorHAnsi"/>
                                <w:color w:val="FFFFFF" w:themeColor="background1"/>
                                <w:sz w:val="22"/>
                                <w:lang w:val="pt-BR"/>
                              </w:rPr>
                            </w:pPr>
                            <w:r w:rsidRPr="003C47F6">
                              <w:rPr>
                                <w:rFonts w:asciiTheme="minorHAnsi" w:hAnsiTheme="minorHAnsi"/>
                                <w:color w:val="FFFFFF" w:themeColor="background1"/>
                                <w:sz w:val="22"/>
                                <w:lang w:val="pt-BR"/>
                              </w:rPr>
                              <w:t>Doc.</w:t>
                            </w:r>
                            <w:r w:rsidR="00052B17">
                              <w:rPr>
                                <w:rFonts w:asciiTheme="minorHAnsi" w:hAnsiTheme="minorHAnsi"/>
                                <w:color w:val="FFFFFF" w:themeColor="background1"/>
                                <w:sz w:val="22"/>
                                <w:lang w:val="pt-BR"/>
                              </w:rPr>
                              <w:t>67</w:t>
                            </w:r>
                          </w:p>
                          <w:p w14:paraId="0BEFF61A" w14:textId="5E3F719D" w:rsidR="00627C9F" w:rsidRPr="003C47F6" w:rsidRDefault="00022CF5" w:rsidP="009E566A">
                            <w:pPr>
                              <w:jc w:val="right"/>
                              <w:rPr>
                                <w:rFonts w:asciiTheme="minorHAnsi" w:hAnsiTheme="minorHAnsi"/>
                                <w:color w:val="FFFFFF" w:themeColor="background1"/>
                                <w:sz w:val="22"/>
                              </w:rPr>
                            </w:pPr>
                            <w:r w:rsidRPr="003C47F6">
                              <w:rPr>
                                <w:rFonts w:asciiTheme="minorHAnsi" w:hAnsiTheme="minorHAnsi"/>
                                <w:color w:val="FFFFFF" w:themeColor="background1"/>
                                <w:sz w:val="22"/>
                                <w:lang w:val="pt-BR"/>
                              </w:rPr>
                              <w:t xml:space="preserve"> </w:t>
                            </w:r>
                            <w:r w:rsidR="005B113F">
                              <w:rPr>
                                <w:rFonts w:asciiTheme="minorHAnsi" w:hAnsiTheme="minorHAnsi"/>
                                <w:color w:val="FFFFFF" w:themeColor="background1"/>
                                <w:sz w:val="22"/>
                                <w:lang w:val="pt-BR"/>
                              </w:rPr>
                              <w:t xml:space="preserve">5 </w:t>
                            </w:r>
                            <w:r w:rsidR="000C4365" w:rsidRPr="003C47F6">
                              <w:rPr>
                                <w:rFonts w:asciiTheme="minorHAnsi" w:hAnsiTheme="minorHAnsi"/>
                                <w:color w:val="FFFFFF" w:themeColor="background1"/>
                                <w:sz w:val="22"/>
                              </w:rPr>
                              <w:t>M</w:t>
                            </w:r>
                            <w:r w:rsidR="00052B17">
                              <w:rPr>
                                <w:rFonts w:asciiTheme="minorHAnsi" w:hAnsiTheme="minorHAnsi"/>
                                <w:color w:val="FFFFFF" w:themeColor="background1"/>
                                <w:sz w:val="22"/>
                              </w:rPr>
                              <w:t>ay</w:t>
                            </w:r>
                            <w:r w:rsidR="000C4365" w:rsidRPr="003C47F6">
                              <w:rPr>
                                <w:rFonts w:asciiTheme="minorHAnsi" w:hAnsiTheme="minorHAnsi"/>
                                <w:color w:val="FFFFFF" w:themeColor="background1"/>
                                <w:sz w:val="22"/>
                              </w:rPr>
                              <w:t xml:space="preserve"> </w:t>
                            </w:r>
                            <w:r w:rsidR="00F42B71" w:rsidRPr="003C47F6">
                              <w:rPr>
                                <w:rFonts w:asciiTheme="minorHAnsi" w:hAnsiTheme="minorHAnsi"/>
                                <w:color w:val="FFFFFF" w:themeColor="background1"/>
                                <w:sz w:val="22"/>
                              </w:rPr>
                              <w:t>20</w:t>
                            </w:r>
                            <w:r w:rsidR="00052B17">
                              <w:rPr>
                                <w:rFonts w:asciiTheme="minorHAnsi" w:hAnsiTheme="minorHAnsi"/>
                                <w:color w:val="FFFFFF" w:themeColor="background1"/>
                                <w:sz w:val="22"/>
                              </w:rPr>
                              <w:t>18</w:t>
                            </w:r>
                          </w:p>
                          <w:p w14:paraId="0FC103BD" w14:textId="48E75C92" w:rsidR="00627C9F" w:rsidRPr="003C47F6" w:rsidRDefault="00627C9F" w:rsidP="009E566A">
                            <w:pPr>
                              <w:jc w:val="right"/>
                              <w:rPr>
                                <w:rFonts w:asciiTheme="minorHAnsi" w:hAnsiTheme="minorHAnsi"/>
                                <w:color w:val="FFFFFF" w:themeColor="background1"/>
                                <w:sz w:val="22"/>
                              </w:rPr>
                            </w:pPr>
                            <w:r w:rsidRPr="003C47F6">
                              <w:rPr>
                                <w:rFonts w:asciiTheme="minorHAnsi" w:hAnsiTheme="minorHAnsi"/>
                                <w:color w:val="FFFFFF" w:themeColor="background1"/>
                                <w:sz w:val="22"/>
                              </w:rPr>
                              <w:t>Original:</w:t>
                            </w:r>
                            <w:r w:rsidR="002C1641" w:rsidRPr="003C47F6">
                              <w:rPr>
                                <w:rFonts w:asciiTheme="minorHAnsi" w:hAnsiTheme="minorHAnsi"/>
                                <w:color w:val="FFFFFF" w:themeColor="background1"/>
                                <w:sz w:val="22"/>
                              </w:rPr>
                              <w:t xml:space="preserve"> </w:t>
                            </w:r>
                            <w:r w:rsidR="00F42B71" w:rsidRPr="003C47F6">
                              <w:rPr>
                                <w:rFonts w:asciiTheme="minorHAnsi" w:hAnsiTheme="minorHAnsi"/>
                                <w:color w:val="FFFFFF" w:themeColor="background1"/>
                                <w:sz w:val="22"/>
                              </w:rPr>
                              <w:t>Spanish</w:t>
                            </w:r>
                            <w:r w:rsidR="000C4365" w:rsidRPr="003C47F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F69C84C" w:rsidR="00627C9F" w:rsidRPr="003C47F6" w:rsidRDefault="00052B17"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OEA/Ser.L/V/II.168</w:t>
                      </w:r>
                    </w:p>
                    <w:p w14:paraId="4AA08A8C" w14:textId="0AAA34EA" w:rsidR="00627C9F" w:rsidRPr="003C47F6" w:rsidRDefault="00CA6577" w:rsidP="009E566A">
                      <w:pPr>
                        <w:jc w:val="right"/>
                        <w:rPr>
                          <w:rFonts w:asciiTheme="minorHAnsi" w:hAnsiTheme="minorHAnsi"/>
                          <w:color w:val="FFFFFF" w:themeColor="background1"/>
                          <w:sz w:val="22"/>
                          <w:lang w:val="pt-BR"/>
                        </w:rPr>
                      </w:pPr>
                      <w:r w:rsidRPr="003C47F6">
                        <w:rPr>
                          <w:rFonts w:asciiTheme="minorHAnsi" w:hAnsiTheme="minorHAnsi"/>
                          <w:color w:val="FFFFFF" w:themeColor="background1"/>
                          <w:sz w:val="22"/>
                          <w:lang w:val="pt-BR"/>
                        </w:rPr>
                        <w:t>Doc.</w:t>
                      </w:r>
                      <w:r w:rsidR="00052B17">
                        <w:rPr>
                          <w:rFonts w:asciiTheme="minorHAnsi" w:hAnsiTheme="minorHAnsi"/>
                          <w:color w:val="FFFFFF" w:themeColor="background1"/>
                          <w:sz w:val="22"/>
                          <w:lang w:val="pt-BR"/>
                        </w:rPr>
                        <w:t>67</w:t>
                      </w:r>
                    </w:p>
                    <w:p w14:paraId="0BEFF61A" w14:textId="5E3F719D" w:rsidR="00627C9F" w:rsidRPr="003C47F6" w:rsidRDefault="00022CF5" w:rsidP="009E566A">
                      <w:pPr>
                        <w:jc w:val="right"/>
                        <w:rPr>
                          <w:rFonts w:asciiTheme="minorHAnsi" w:hAnsiTheme="minorHAnsi"/>
                          <w:color w:val="FFFFFF" w:themeColor="background1"/>
                          <w:sz w:val="22"/>
                        </w:rPr>
                      </w:pPr>
                      <w:r w:rsidRPr="003C47F6">
                        <w:rPr>
                          <w:rFonts w:asciiTheme="minorHAnsi" w:hAnsiTheme="minorHAnsi"/>
                          <w:color w:val="FFFFFF" w:themeColor="background1"/>
                          <w:sz w:val="22"/>
                          <w:lang w:val="pt-BR"/>
                        </w:rPr>
                        <w:t xml:space="preserve"> </w:t>
                      </w:r>
                      <w:r w:rsidR="005B113F">
                        <w:rPr>
                          <w:rFonts w:asciiTheme="minorHAnsi" w:hAnsiTheme="minorHAnsi"/>
                          <w:color w:val="FFFFFF" w:themeColor="background1"/>
                          <w:sz w:val="22"/>
                          <w:lang w:val="pt-BR"/>
                        </w:rPr>
                        <w:t xml:space="preserve">5 </w:t>
                      </w:r>
                      <w:r w:rsidR="000C4365" w:rsidRPr="003C47F6">
                        <w:rPr>
                          <w:rFonts w:asciiTheme="minorHAnsi" w:hAnsiTheme="minorHAnsi"/>
                          <w:color w:val="FFFFFF" w:themeColor="background1"/>
                          <w:sz w:val="22"/>
                        </w:rPr>
                        <w:t>M</w:t>
                      </w:r>
                      <w:r w:rsidR="00052B17">
                        <w:rPr>
                          <w:rFonts w:asciiTheme="minorHAnsi" w:hAnsiTheme="minorHAnsi"/>
                          <w:color w:val="FFFFFF" w:themeColor="background1"/>
                          <w:sz w:val="22"/>
                        </w:rPr>
                        <w:t>ay</w:t>
                      </w:r>
                      <w:r w:rsidR="000C4365" w:rsidRPr="003C47F6">
                        <w:rPr>
                          <w:rFonts w:asciiTheme="minorHAnsi" w:hAnsiTheme="minorHAnsi"/>
                          <w:color w:val="FFFFFF" w:themeColor="background1"/>
                          <w:sz w:val="22"/>
                        </w:rPr>
                        <w:t xml:space="preserve"> </w:t>
                      </w:r>
                      <w:r w:rsidR="00F42B71" w:rsidRPr="003C47F6">
                        <w:rPr>
                          <w:rFonts w:asciiTheme="minorHAnsi" w:hAnsiTheme="minorHAnsi"/>
                          <w:color w:val="FFFFFF" w:themeColor="background1"/>
                          <w:sz w:val="22"/>
                        </w:rPr>
                        <w:t>20</w:t>
                      </w:r>
                      <w:r w:rsidR="00052B17">
                        <w:rPr>
                          <w:rFonts w:asciiTheme="minorHAnsi" w:hAnsiTheme="minorHAnsi"/>
                          <w:color w:val="FFFFFF" w:themeColor="background1"/>
                          <w:sz w:val="22"/>
                        </w:rPr>
                        <w:t>18</w:t>
                      </w:r>
                    </w:p>
                    <w:p w14:paraId="0FC103BD" w14:textId="48E75C92" w:rsidR="00627C9F" w:rsidRPr="003C47F6" w:rsidRDefault="00627C9F" w:rsidP="009E566A">
                      <w:pPr>
                        <w:jc w:val="right"/>
                        <w:rPr>
                          <w:rFonts w:asciiTheme="minorHAnsi" w:hAnsiTheme="minorHAnsi"/>
                          <w:color w:val="FFFFFF" w:themeColor="background1"/>
                          <w:sz w:val="22"/>
                        </w:rPr>
                      </w:pPr>
                      <w:r w:rsidRPr="003C47F6">
                        <w:rPr>
                          <w:rFonts w:asciiTheme="minorHAnsi" w:hAnsiTheme="minorHAnsi"/>
                          <w:color w:val="FFFFFF" w:themeColor="background1"/>
                          <w:sz w:val="22"/>
                        </w:rPr>
                        <w:t>Original:</w:t>
                      </w:r>
                      <w:r w:rsidR="002C1641" w:rsidRPr="003C47F6">
                        <w:rPr>
                          <w:rFonts w:asciiTheme="minorHAnsi" w:hAnsiTheme="minorHAnsi"/>
                          <w:color w:val="FFFFFF" w:themeColor="background1"/>
                          <w:sz w:val="22"/>
                        </w:rPr>
                        <w:t xml:space="preserve"> </w:t>
                      </w:r>
                      <w:r w:rsidR="00F42B71" w:rsidRPr="003C47F6">
                        <w:rPr>
                          <w:rFonts w:asciiTheme="minorHAnsi" w:hAnsiTheme="minorHAnsi"/>
                          <w:color w:val="FFFFFF" w:themeColor="background1"/>
                          <w:sz w:val="22"/>
                        </w:rPr>
                        <w:t>Spanish</w:t>
                      </w:r>
                      <w:r w:rsidR="000C4365" w:rsidRPr="003C47F6">
                        <w:rPr>
                          <w:rFonts w:asciiTheme="minorHAnsi" w:hAnsiTheme="minorHAnsi"/>
                          <w:color w:val="FFFFFF" w:themeColor="background1"/>
                          <w:sz w:val="22"/>
                        </w:rPr>
                        <w:t>/English</w:t>
                      </w:r>
                    </w:p>
                  </w:txbxContent>
                </v:textbox>
              </v:shape>
            </w:pict>
          </mc:Fallback>
        </mc:AlternateContent>
      </w:r>
    </w:p>
    <w:p w14:paraId="3765F9F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5E33CE59" w14:textId="77777777" w:rsidR="00040C3A" w:rsidRPr="007B5120" w:rsidRDefault="00040C3A" w:rsidP="00040C3A">
      <w:pPr>
        <w:tabs>
          <w:tab w:val="center" w:pos="5400"/>
        </w:tabs>
        <w:suppressAutoHyphens/>
        <w:jc w:val="center"/>
        <w:rPr>
          <w:rFonts w:asciiTheme="majorHAnsi" w:hAnsiTheme="majorHAnsi" w:cs="Arial"/>
          <w:sz w:val="22"/>
          <w:szCs w:val="22"/>
          <w:lang w:val="en-GB"/>
        </w:rPr>
      </w:pPr>
    </w:p>
    <w:p w14:paraId="04802712"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43677EE2"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747B776B"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3FA14379"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28A65FAF"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11B1978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650F503D"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17861C77"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0EFEAEB7"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5B815FC5"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0D43F8BD"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03AA1AEB"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2FD75BF3"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73EF440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D12B191"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1132D17C"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59B324C"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0DE58CEA"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A5BB7C9"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BA67E7F"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D4FBE3A"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2741AD16"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1D99DBC4"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290BF94" w14:textId="77777777" w:rsidR="002C1641" w:rsidRPr="007B5120" w:rsidRDefault="003C32BC" w:rsidP="00040C3A">
      <w:pPr>
        <w:tabs>
          <w:tab w:val="center" w:pos="5400"/>
        </w:tabs>
        <w:suppressAutoHyphens/>
        <w:jc w:val="center"/>
        <w:rPr>
          <w:rFonts w:asciiTheme="majorHAnsi" w:hAnsiTheme="majorHAnsi"/>
          <w:sz w:val="18"/>
          <w:szCs w:val="22"/>
          <w:lang w:val="en-GB"/>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640554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052B17">
                              <w:rPr>
                                <w:rFonts w:asciiTheme="majorHAnsi" w:hAnsiTheme="majorHAnsi"/>
                                <w:color w:val="0D0D0D" w:themeColor="text1" w:themeTint="F2"/>
                                <w:sz w:val="18"/>
                                <w:szCs w:val="20"/>
                              </w:rPr>
                              <w:t>2127</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052B17">
                              <w:rPr>
                                <w:rFonts w:asciiTheme="majorHAnsi" w:hAnsiTheme="majorHAnsi"/>
                                <w:color w:val="0D0D0D" w:themeColor="text1" w:themeTint="F2"/>
                                <w:sz w:val="18"/>
                                <w:szCs w:val="20"/>
                              </w:rPr>
                              <w:t>May 5</w:t>
                            </w:r>
                            <w:r w:rsidR="006E0470">
                              <w:rPr>
                                <w:rFonts w:asciiTheme="majorHAnsi" w:hAnsiTheme="majorHAnsi"/>
                                <w:color w:val="0D0D0D" w:themeColor="text1" w:themeTint="F2"/>
                                <w:sz w:val="18"/>
                                <w:szCs w:val="20"/>
                              </w:rPr>
                              <w:t>, 2018</w:t>
                            </w:r>
                            <w:r w:rsidR="005B113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roofErr w:type="gramStart"/>
                            <w:r w:rsidR="00F621C3">
                              <w:rPr>
                                <w:rFonts w:asciiTheme="majorHAnsi" w:hAnsiTheme="majorHAnsi" w:cs="Univers"/>
                                <w:color w:val="0D0D0D" w:themeColor="text1" w:themeTint="F2"/>
                                <w:sz w:val="18"/>
                                <w:szCs w:val="20"/>
                              </w:rPr>
                              <w:t>1</w:t>
                            </w:r>
                            <w:r w:rsidR="00052B17">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proofErr w:type="gramEnd"/>
                            <w:r w:rsidR="00092F32" w:rsidRPr="003C32BC">
                              <w:rPr>
                                <w:rFonts w:asciiTheme="majorHAnsi" w:hAnsiTheme="majorHAnsi" w:cs="Univers"/>
                                <w:color w:val="0D0D0D" w:themeColor="text1" w:themeTint="F2"/>
                                <w:sz w:val="18"/>
                                <w:szCs w:val="20"/>
                              </w:rPr>
                              <w:t xml:space="preserve"> </w:t>
                            </w:r>
                            <w:r w:rsidR="00052B17">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5B113F">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640554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052B17">
                        <w:rPr>
                          <w:rFonts w:asciiTheme="majorHAnsi" w:hAnsiTheme="majorHAnsi"/>
                          <w:color w:val="0D0D0D" w:themeColor="text1" w:themeTint="F2"/>
                          <w:sz w:val="18"/>
                          <w:szCs w:val="20"/>
                        </w:rPr>
                        <w:t>2127</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052B17">
                        <w:rPr>
                          <w:rFonts w:asciiTheme="majorHAnsi" w:hAnsiTheme="majorHAnsi"/>
                          <w:color w:val="0D0D0D" w:themeColor="text1" w:themeTint="F2"/>
                          <w:sz w:val="18"/>
                          <w:szCs w:val="20"/>
                        </w:rPr>
                        <w:t>May 5</w:t>
                      </w:r>
                      <w:r w:rsidR="006E0470">
                        <w:rPr>
                          <w:rFonts w:asciiTheme="majorHAnsi" w:hAnsiTheme="majorHAnsi"/>
                          <w:color w:val="0D0D0D" w:themeColor="text1" w:themeTint="F2"/>
                          <w:sz w:val="18"/>
                          <w:szCs w:val="20"/>
                        </w:rPr>
                        <w:t>, 2018</w:t>
                      </w:r>
                      <w:r w:rsidR="005B113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roofErr w:type="gramStart"/>
                      <w:r w:rsidR="00F621C3">
                        <w:rPr>
                          <w:rFonts w:asciiTheme="majorHAnsi" w:hAnsiTheme="majorHAnsi" w:cs="Univers"/>
                          <w:color w:val="0D0D0D" w:themeColor="text1" w:themeTint="F2"/>
                          <w:sz w:val="18"/>
                          <w:szCs w:val="20"/>
                        </w:rPr>
                        <w:t>1</w:t>
                      </w:r>
                      <w:r w:rsidR="00052B17">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proofErr w:type="gramEnd"/>
                      <w:r w:rsidR="00092F32" w:rsidRPr="003C32BC">
                        <w:rPr>
                          <w:rFonts w:asciiTheme="majorHAnsi" w:hAnsiTheme="majorHAnsi" w:cs="Univers"/>
                          <w:color w:val="0D0D0D" w:themeColor="text1" w:themeTint="F2"/>
                          <w:sz w:val="18"/>
                          <w:szCs w:val="20"/>
                        </w:rPr>
                        <w:t xml:space="preserve"> </w:t>
                      </w:r>
                      <w:r w:rsidR="00052B17">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5B113F">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751FED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5FAB54E7"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4AE4FBFB"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4DA3B2C3" w14:textId="77777777" w:rsidR="002C1641" w:rsidRPr="007B5120" w:rsidRDefault="003C32BC" w:rsidP="00040C3A">
      <w:pPr>
        <w:tabs>
          <w:tab w:val="center" w:pos="5400"/>
        </w:tabs>
        <w:suppressAutoHyphens/>
        <w:jc w:val="center"/>
        <w:rPr>
          <w:rFonts w:asciiTheme="majorHAnsi" w:hAnsiTheme="majorHAnsi"/>
          <w:sz w:val="18"/>
          <w:szCs w:val="22"/>
          <w:lang w:val="en-GB"/>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BF2685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052B17">
                              <w:rPr>
                                <w:rFonts w:asciiTheme="majorHAnsi" w:hAnsiTheme="majorHAnsi"/>
                                <w:color w:val="595959" w:themeColor="text1" w:themeTint="A6"/>
                                <w:sz w:val="18"/>
                              </w:rPr>
                              <w:t>57</w:t>
                            </w:r>
                            <w:r w:rsidR="00022CF5">
                              <w:rPr>
                                <w:rFonts w:asciiTheme="majorHAnsi" w:hAnsiTheme="majorHAnsi"/>
                                <w:color w:val="595959" w:themeColor="text1" w:themeTint="A6"/>
                                <w:sz w:val="18"/>
                              </w:rPr>
                              <w:t>/1</w:t>
                            </w:r>
                            <w:r w:rsidR="006E0470">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52B17">
                              <w:rPr>
                                <w:rFonts w:asciiTheme="majorHAnsi" w:hAnsiTheme="majorHAnsi"/>
                                <w:color w:val="595959" w:themeColor="text1" w:themeTint="A6"/>
                                <w:sz w:val="18"/>
                              </w:rPr>
                              <w:t>969</w:t>
                            </w:r>
                            <w:r w:rsidR="00F621C3">
                              <w:rPr>
                                <w:rFonts w:asciiTheme="majorHAnsi" w:hAnsiTheme="majorHAnsi"/>
                                <w:color w:val="595959" w:themeColor="text1" w:themeTint="A6"/>
                                <w:sz w:val="18"/>
                              </w:rPr>
                              <w:t>-</w:t>
                            </w:r>
                            <w:r w:rsidR="00052B17">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5B113F">
                              <w:rPr>
                                <w:rFonts w:asciiTheme="majorHAnsi" w:hAnsiTheme="majorHAnsi"/>
                                <w:color w:val="595959" w:themeColor="text1" w:themeTint="A6"/>
                                <w:sz w:val="18"/>
                                <w:lang w:val="es-US"/>
                              </w:rPr>
                              <w:t>Admissibility</w:t>
                            </w:r>
                            <w:proofErr w:type="spellEnd"/>
                            <w:r w:rsidRPr="005B113F">
                              <w:rPr>
                                <w:rFonts w:asciiTheme="majorHAnsi" w:hAnsiTheme="majorHAnsi"/>
                                <w:color w:val="595959" w:themeColor="text1" w:themeTint="A6"/>
                                <w:sz w:val="18"/>
                                <w:lang w:val="es-US"/>
                              </w:rPr>
                              <w:t xml:space="preserve">. </w:t>
                            </w:r>
                            <w:r w:rsidR="006E0470" w:rsidRPr="005B113F">
                              <w:rPr>
                                <w:rFonts w:asciiTheme="majorHAnsi" w:hAnsiTheme="majorHAnsi"/>
                                <w:color w:val="595959" w:themeColor="text1" w:themeTint="A6"/>
                                <w:sz w:val="18"/>
                                <w:szCs w:val="18"/>
                                <w:lang w:val="es-US"/>
                              </w:rPr>
                              <w:t xml:space="preserve">Karen </w:t>
                            </w:r>
                            <w:proofErr w:type="spellStart"/>
                            <w:r w:rsidR="006E0470" w:rsidRPr="005B113F">
                              <w:rPr>
                                <w:rFonts w:asciiTheme="majorHAnsi" w:hAnsiTheme="majorHAnsi"/>
                                <w:color w:val="595959" w:themeColor="text1" w:themeTint="A6"/>
                                <w:sz w:val="18"/>
                                <w:szCs w:val="18"/>
                                <w:lang w:val="es-US"/>
                              </w:rPr>
                              <w:t>Mañuca</w:t>
                            </w:r>
                            <w:proofErr w:type="spellEnd"/>
                            <w:r w:rsidR="006E0470" w:rsidRPr="005B113F">
                              <w:rPr>
                                <w:rFonts w:asciiTheme="majorHAnsi" w:hAnsiTheme="majorHAnsi"/>
                                <w:color w:val="595959" w:themeColor="text1" w:themeTint="A6"/>
                                <w:sz w:val="18"/>
                                <w:szCs w:val="18"/>
                                <w:lang w:val="es-US"/>
                              </w:rPr>
                              <w:t xml:space="preserve"> Quiroz Cabanillas</w:t>
                            </w:r>
                            <w:r w:rsidRPr="005B113F">
                              <w:rPr>
                                <w:rFonts w:asciiTheme="majorHAnsi" w:hAnsiTheme="majorHAnsi"/>
                                <w:color w:val="595959" w:themeColor="text1" w:themeTint="A6"/>
                                <w:sz w:val="18"/>
                                <w:lang w:val="es-US"/>
                              </w:rPr>
                              <w:t xml:space="preserve">. </w:t>
                            </w:r>
                            <w:proofErr w:type="spellStart"/>
                            <w:r w:rsidR="006E0470" w:rsidRPr="005B113F">
                              <w:rPr>
                                <w:rFonts w:asciiTheme="majorHAnsi" w:hAnsiTheme="majorHAnsi"/>
                                <w:color w:val="595959" w:themeColor="text1" w:themeTint="A6"/>
                                <w:sz w:val="18"/>
                                <w:lang w:val="es-US"/>
                              </w:rPr>
                              <w:t>Peru</w:t>
                            </w:r>
                            <w:proofErr w:type="spellEnd"/>
                            <w:r w:rsidR="00022CF5" w:rsidRPr="005B113F">
                              <w:rPr>
                                <w:rFonts w:asciiTheme="majorHAnsi" w:hAnsiTheme="majorHAnsi"/>
                                <w:color w:val="595959" w:themeColor="text1" w:themeTint="A6"/>
                                <w:sz w:val="18"/>
                                <w:lang w:val="es-US"/>
                              </w:rPr>
                              <w:t xml:space="preserve">. </w:t>
                            </w:r>
                            <w:r w:rsidR="00052B17">
                              <w:rPr>
                                <w:rFonts w:asciiTheme="majorHAnsi" w:hAnsiTheme="majorHAnsi"/>
                                <w:color w:val="595959" w:themeColor="text1" w:themeTint="A6"/>
                                <w:sz w:val="18"/>
                              </w:rPr>
                              <w:t>May 5,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BF2685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052B17">
                        <w:rPr>
                          <w:rFonts w:asciiTheme="majorHAnsi" w:hAnsiTheme="majorHAnsi"/>
                          <w:color w:val="595959" w:themeColor="text1" w:themeTint="A6"/>
                          <w:sz w:val="18"/>
                        </w:rPr>
                        <w:t>57</w:t>
                      </w:r>
                      <w:r w:rsidR="00022CF5">
                        <w:rPr>
                          <w:rFonts w:asciiTheme="majorHAnsi" w:hAnsiTheme="majorHAnsi"/>
                          <w:color w:val="595959" w:themeColor="text1" w:themeTint="A6"/>
                          <w:sz w:val="18"/>
                        </w:rPr>
                        <w:t>/1</w:t>
                      </w:r>
                      <w:r w:rsidR="006E0470">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52B17">
                        <w:rPr>
                          <w:rFonts w:asciiTheme="majorHAnsi" w:hAnsiTheme="majorHAnsi"/>
                          <w:color w:val="595959" w:themeColor="text1" w:themeTint="A6"/>
                          <w:sz w:val="18"/>
                        </w:rPr>
                        <w:t>969</w:t>
                      </w:r>
                      <w:r w:rsidR="00F621C3">
                        <w:rPr>
                          <w:rFonts w:asciiTheme="majorHAnsi" w:hAnsiTheme="majorHAnsi"/>
                          <w:color w:val="595959" w:themeColor="text1" w:themeTint="A6"/>
                          <w:sz w:val="18"/>
                        </w:rPr>
                        <w:t>-</w:t>
                      </w:r>
                      <w:r w:rsidR="00052B17">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5B113F">
                        <w:rPr>
                          <w:rFonts w:asciiTheme="majorHAnsi" w:hAnsiTheme="majorHAnsi"/>
                          <w:color w:val="595959" w:themeColor="text1" w:themeTint="A6"/>
                          <w:sz w:val="18"/>
                          <w:lang w:val="es-US"/>
                        </w:rPr>
                        <w:t>Admissibility</w:t>
                      </w:r>
                      <w:proofErr w:type="spellEnd"/>
                      <w:r w:rsidRPr="005B113F">
                        <w:rPr>
                          <w:rFonts w:asciiTheme="majorHAnsi" w:hAnsiTheme="majorHAnsi"/>
                          <w:color w:val="595959" w:themeColor="text1" w:themeTint="A6"/>
                          <w:sz w:val="18"/>
                          <w:lang w:val="es-US"/>
                        </w:rPr>
                        <w:t xml:space="preserve">. </w:t>
                      </w:r>
                      <w:r w:rsidR="006E0470" w:rsidRPr="005B113F">
                        <w:rPr>
                          <w:rFonts w:asciiTheme="majorHAnsi" w:hAnsiTheme="majorHAnsi"/>
                          <w:color w:val="595959" w:themeColor="text1" w:themeTint="A6"/>
                          <w:sz w:val="18"/>
                          <w:szCs w:val="18"/>
                          <w:lang w:val="es-US"/>
                        </w:rPr>
                        <w:t xml:space="preserve">Karen </w:t>
                      </w:r>
                      <w:proofErr w:type="spellStart"/>
                      <w:r w:rsidR="006E0470" w:rsidRPr="005B113F">
                        <w:rPr>
                          <w:rFonts w:asciiTheme="majorHAnsi" w:hAnsiTheme="majorHAnsi"/>
                          <w:color w:val="595959" w:themeColor="text1" w:themeTint="A6"/>
                          <w:sz w:val="18"/>
                          <w:szCs w:val="18"/>
                          <w:lang w:val="es-US"/>
                        </w:rPr>
                        <w:t>Mañuca</w:t>
                      </w:r>
                      <w:proofErr w:type="spellEnd"/>
                      <w:r w:rsidR="006E0470" w:rsidRPr="005B113F">
                        <w:rPr>
                          <w:rFonts w:asciiTheme="majorHAnsi" w:hAnsiTheme="majorHAnsi"/>
                          <w:color w:val="595959" w:themeColor="text1" w:themeTint="A6"/>
                          <w:sz w:val="18"/>
                          <w:szCs w:val="18"/>
                          <w:lang w:val="es-US"/>
                        </w:rPr>
                        <w:t xml:space="preserve"> Quiroz Cabanillas</w:t>
                      </w:r>
                      <w:r w:rsidRPr="005B113F">
                        <w:rPr>
                          <w:rFonts w:asciiTheme="majorHAnsi" w:hAnsiTheme="majorHAnsi"/>
                          <w:color w:val="595959" w:themeColor="text1" w:themeTint="A6"/>
                          <w:sz w:val="18"/>
                          <w:lang w:val="es-US"/>
                        </w:rPr>
                        <w:t xml:space="preserve">. </w:t>
                      </w:r>
                      <w:proofErr w:type="spellStart"/>
                      <w:r w:rsidR="006E0470" w:rsidRPr="005B113F">
                        <w:rPr>
                          <w:rFonts w:asciiTheme="majorHAnsi" w:hAnsiTheme="majorHAnsi"/>
                          <w:color w:val="595959" w:themeColor="text1" w:themeTint="A6"/>
                          <w:sz w:val="18"/>
                          <w:lang w:val="es-US"/>
                        </w:rPr>
                        <w:t>Peru</w:t>
                      </w:r>
                      <w:proofErr w:type="spellEnd"/>
                      <w:r w:rsidR="00022CF5" w:rsidRPr="005B113F">
                        <w:rPr>
                          <w:rFonts w:asciiTheme="majorHAnsi" w:hAnsiTheme="majorHAnsi"/>
                          <w:color w:val="595959" w:themeColor="text1" w:themeTint="A6"/>
                          <w:sz w:val="18"/>
                          <w:lang w:val="es-US"/>
                        </w:rPr>
                        <w:t xml:space="preserve">. </w:t>
                      </w:r>
                      <w:r w:rsidR="00052B17">
                        <w:rPr>
                          <w:rFonts w:asciiTheme="majorHAnsi" w:hAnsiTheme="majorHAnsi"/>
                          <w:color w:val="595959" w:themeColor="text1" w:themeTint="A6"/>
                          <w:sz w:val="18"/>
                        </w:rPr>
                        <w:t>May 5,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5420A6FF"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523FD75" w:rsidR="00F621C3" w:rsidRPr="000B6B7A" w:rsidRDefault="006E0470" w:rsidP="009163FC">
            <w:pPr>
              <w:jc w:val="both"/>
              <w:rPr>
                <w:rFonts w:ascii="Cambria" w:hAnsi="Cambria"/>
                <w:bCs/>
                <w:sz w:val="20"/>
                <w:szCs w:val="20"/>
              </w:rPr>
            </w:pPr>
            <w:r w:rsidRPr="00661C21">
              <w:rPr>
                <w:rFonts w:asciiTheme="majorHAnsi" w:hAnsiTheme="majorHAnsi"/>
                <w:bCs/>
                <w:sz w:val="20"/>
                <w:szCs w:val="20"/>
              </w:rPr>
              <w:t>Segundo José Quiroz Cabanillas</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0C012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6805937" w:rsidR="00F621C3" w:rsidRPr="000B6B7A" w:rsidRDefault="006E0470" w:rsidP="009163FC">
            <w:pPr>
              <w:jc w:val="both"/>
              <w:rPr>
                <w:rFonts w:ascii="Cambria" w:hAnsi="Cambria"/>
                <w:bCs/>
                <w:sz w:val="20"/>
                <w:szCs w:val="20"/>
              </w:rPr>
            </w:pPr>
            <w:r w:rsidRPr="00661C21">
              <w:rPr>
                <w:rFonts w:asciiTheme="majorHAnsi" w:hAnsiTheme="majorHAnsi"/>
                <w:bCs/>
                <w:sz w:val="20"/>
                <w:szCs w:val="20"/>
                <w:lang w:val="es-ES"/>
              </w:rPr>
              <w:t>Karen Mañuca Quiroz Cabanillas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51EBFDB0" w:rsidR="00F621C3" w:rsidRPr="000B6B7A" w:rsidRDefault="006E0470" w:rsidP="00EB6F28">
            <w:pPr>
              <w:jc w:val="both"/>
              <w:rPr>
                <w:rFonts w:ascii="Cambria" w:hAnsi="Cambria"/>
                <w:bCs/>
                <w:sz w:val="20"/>
                <w:szCs w:val="20"/>
              </w:rPr>
            </w:pPr>
            <w:r>
              <w:rPr>
                <w:rFonts w:ascii="Cambria" w:hAnsi="Cambria"/>
                <w:bCs/>
                <w:sz w:val="20"/>
                <w:szCs w:val="20"/>
              </w:rPr>
              <w:t>Peru</w:t>
            </w:r>
            <w:r w:rsidR="00EB6F28">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D1C9D02" w:rsidR="00E47F3D" w:rsidRPr="000B6B7A" w:rsidRDefault="007F1E0B" w:rsidP="00D439A8">
            <w:pPr>
              <w:jc w:val="both"/>
              <w:rPr>
                <w:rFonts w:ascii="Cambria" w:hAnsi="Cambria"/>
                <w:bCs/>
                <w:sz w:val="20"/>
                <w:szCs w:val="20"/>
              </w:rPr>
            </w:pPr>
            <w:r>
              <w:rPr>
                <w:rFonts w:ascii="Cambria" w:hAnsi="Cambria"/>
                <w:bCs/>
                <w:sz w:val="20"/>
                <w:szCs w:val="20"/>
              </w:rPr>
              <w:t>Articles 5 (integrity), 7 (p</w:t>
            </w:r>
            <w:r w:rsidR="001A7FB9">
              <w:rPr>
                <w:rFonts w:ascii="Cambria" w:hAnsi="Cambria"/>
                <w:bCs/>
                <w:sz w:val="20"/>
                <w:szCs w:val="20"/>
              </w:rPr>
              <w:t>ersonal L</w:t>
            </w:r>
            <w:r w:rsidR="006E0470" w:rsidRPr="006E0470">
              <w:rPr>
                <w:rFonts w:ascii="Cambria" w:hAnsi="Cambria"/>
                <w:bCs/>
                <w:sz w:val="20"/>
                <w:szCs w:val="20"/>
              </w:rPr>
              <w:t>iberty), 11 (</w:t>
            </w:r>
            <w:r>
              <w:rPr>
                <w:rFonts w:ascii="Cambria" w:hAnsi="Cambria"/>
                <w:bCs/>
                <w:sz w:val="20"/>
                <w:szCs w:val="20"/>
              </w:rPr>
              <w:t>privacy) and 18 (n</w:t>
            </w:r>
            <w:r w:rsidR="001A7FB9">
              <w:rPr>
                <w:rFonts w:ascii="Cambria" w:hAnsi="Cambria"/>
                <w:bCs/>
                <w:sz w:val="20"/>
                <w:szCs w:val="20"/>
              </w:rPr>
              <w:t>ame</w:t>
            </w:r>
            <w:r w:rsidR="006E0470" w:rsidRPr="006E0470">
              <w:rPr>
                <w:rFonts w:ascii="Cambria" w:hAnsi="Cambria"/>
                <w:bCs/>
                <w:sz w:val="20"/>
                <w:szCs w:val="20"/>
              </w:rPr>
              <w:t>) of the American Convention on Human Rights</w:t>
            </w:r>
            <w:r w:rsidR="00EB6F28">
              <w:rPr>
                <w:rStyle w:val="FootnoteReference"/>
                <w:rFonts w:ascii="Cambria" w:hAnsi="Cambria"/>
                <w:bCs/>
                <w:sz w:val="20"/>
                <w:szCs w:val="20"/>
              </w:rPr>
              <w:footnoteReference w:id="3"/>
            </w:r>
            <w:r w:rsidR="006E0470" w:rsidRPr="006E0470">
              <w:rPr>
                <w:rFonts w:ascii="Cambria" w:hAnsi="Cambria"/>
                <w:bCs/>
                <w:sz w:val="20"/>
                <w:szCs w:val="20"/>
              </w:rPr>
              <w:t xml:space="preserve"> in </w:t>
            </w:r>
            <w:r w:rsidR="001A7FB9">
              <w:rPr>
                <w:rFonts w:ascii="Cambria" w:hAnsi="Cambria"/>
                <w:bCs/>
                <w:sz w:val="20"/>
                <w:szCs w:val="20"/>
              </w:rPr>
              <w:t>relation to its Article 1.1 (Obligation to Respect R</w:t>
            </w:r>
            <w:r w:rsidR="006E0470" w:rsidRPr="006E0470">
              <w:rPr>
                <w:rFonts w:ascii="Cambria" w:hAnsi="Cambria"/>
                <w:bCs/>
                <w:sz w:val="20"/>
                <w:szCs w:val="20"/>
              </w:rPr>
              <w:t>ights) and other international treaties</w:t>
            </w:r>
            <w:r w:rsidR="00EB6F28">
              <w:rPr>
                <w:rStyle w:val="FootnoteReference"/>
                <w:rFonts w:ascii="Cambria" w:hAnsi="Cambria"/>
                <w:bCs/>
                <w:sz w:val="20"/>
                <w:szCs w:val="20"/>
              </w:rPr>
              <w:footnoteReference w:id="4"/>
            </w:r>
          </w:p>
        </w:tc>
      </w:tr>
    </w:tbl>
    <w:p w14:paraId="006E8D49" w14:textId="2ED87EF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D439A8">
        <w:rPr>
          <w:rStyle w:val="FootnoteReference"/>
          <w:rFonts w:asciiTheme="majorHAnsi" w:hAnsiTheme="majorHAnsi"/>
          <w:b/>
          <w:bCs/>
          <w:sz w:val="20"/>
          <w:szCs w:val="20"/>
        </w:rPr>
        <w:footnoteReference w:id="5"/>
      </w:r>
      <w:r w:rsidR="00653EA6" w:rsidRPr="001A7FB9">
        <w:rPr>
          <w:rStyle w:val="FootnoteReference"/>
          <w:rFonts w:ascii="Cambria" w:hAnsi="Cambria"/>
          <w:b/>
          <w:color w:val="FFFFFF" w:themeColor="background1"/>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D3AE0D7" w:rsidR="00F621C3" w:rsidRPr="000B6B7A" w:rsidRDefault="001A7FB9" w:rsidP="009163FC">
            <w:pPr>
              <w:jc w:val="both"/>
              <w:rPr>
                <w:rFonts w:ascii="Cambria" w:hAnsi="Cambria"/>
                <w:bCs/>
                <w:sz w:val="20"/>
                <w:szCs w:val="20"/>
              </w:rPr>
            </w:pPr>
            <w:r>
              <w:rPr>
                <w:rFonts w:ascii="Cambria" w:hAnsi="Cambria"/>
                <w:bCs/>
                <w:sz w:val="20"/>
                <w:szCs w:val="20"/>
              </w:rPr>
              <w:t xml:space="preserve">July 31, </w:t>
            </w:r>
            <w:r w:rsidR="006E0470">
              <w:rPr>
                <w:rFonts w:ascii="Cambria" w:hAnsi="Cambria"/>
                <w:bCs/>
                <w:sz w:val="20"/>
                <w:szCs w:val="20"/>
              </w:rPr>
              <w:t>2007</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435F9D1" w:rsidR="00F621C3" w:rsidRPr="000B6B7A" w:rsidRDefault="001A7FB9" w:rsidP="009163FC">
            <w:pPr>
              <w:jc w:val="both"/>
              <w:rPr>
                <w:rFonts w:ascii="Cambria" w:hAnsi="Cambria"/>
                <w:bCs/>
                <w:sz w:val="20"/>
                <w:szCs w:val="20"/>
              </w:rPr>
            </w:pPr>
            <w:r>
              <w:rPr>
                <w:rFonts w:ascii="Cambria" w:hAnsi="Cambria"/>
                <w:bCs/>
                <w:sz w:val="20"/>
                <w:szCs w:val="20"/>
              </w:rPr>
              <w:t xml:space="preserve">September 7, 2011 and  July 9, </w:t>
            </w:r>
            <w:r w:rsidR="006E0470">
              <w:rPr>
                <w:rFonts w:ascii="Cambria" w:hAnsi="Cambria"/>
                <w:bCs/>
                <w:sz w:val="20"/>
                <w:szCs w:val="20"/>
              </w:rPr>
              <w:t>2014</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1C8C7B9" w:rsidR="00F621C3" w:rsidRPr="000B6B7A" w:rsidRDefault="001A7FB9" w:rsidP="009163FC">
            <w:pPr>
              <w:jc w:val="both"/>
              <w:rPr>
                <w:rFonts w:ascii="Cambria" w:hAnsi="Cambria"/>
                <w:bCs/>
                <w:sz w:val="20"/>
                <w:szCs w:val="20"/>
              </w:rPr>
            </w:pPr>
            <w:r>
              <w:rPr>
                <w:rFonts w:ascii="Cambria" w:hAnsi="Cambria"/>
                <w:bCs/>
                <w:sz w:val="20"/>
                <w:szCs w:val="20"/>
              </w:rPr>
              <w:t xml:space="preserve">November 11, </w:t>
            </w:r>
            <w:r w:rsidR="006E0470">
              <w:rPr>
                <w:rFonts w:ascii="Cambria" w:hAnsi="Cambria"/>
                <w:bCs/>
                <w:sz w:val="20"/>
                <w:szCs w:val="20"/>
              </w:rPr>
              <w:t>2016</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2130E64" w:rsidR="00F621C3" w:rsidRPr="000B6B7A" w:rsidRDefault="001A7FB9" w:rsidP="001A7FB9">
            <w:pPr>
              <w:jc w:val="both"/>
              <w:rPr>
                <w:rFonts w:ascii="Cambria" w:hAnsi="Cambria"/>
                <w:bCs/>
                <w:sz w:val="20"/>
                <w:szCs w:val="20"/>
              </w:rPr>
            </w:pPr>
            <w:r>
              <w:rPr>
                <w:rFonts w:ascii="Cambria" w:hAnsi="Cambria"/>
                <w:bCs/>
                <w:sz w:val="20"/>
                <w:szCs w:val="20"/>
              </w:rPr>
              <w:t xml:space="preserve">January 3, </w:t>
            </w:r>
            <w:r w:rsidR="006E0470">
              <w:rPr>
                <w:rFonts w:ascii="Cambria" w:hAnsi="Cambria"/>
                <w:bCs/>
                <w:sz w:val="20"/>
                <w:szCs w:val="20"/>
              </w:rPr>
              <w:t>2017</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F5C19F2" w:rsidR="003771A3" w:rsidRPr="000B6B7A" w:rsidRDefault="001A7FB9" w:rsidP="001A7FB9">
            <w:pPr>
              <w:jc w:val="both"/>
              <w:rPr>
                <w:rFonts w:ascii="Cambria" w:hAnsi="Cambria"/>
                <w:bCs/>
                <w:sz w:val="20"/>
                <w:szCs w:val="20"/>
              </w:rPr>
            </w:pPr>
            <w:r>
              <w:rPr>
                <w:rFonts w:ascii="Cambria" w:hAnsi="Cambria"/>
                <w:bCs/>
                <w:sz w:val="20"/>
                <w:szCs w:val="20"/>
              </w:rPr>
              <w:t xml:space="preserve">May </w:t>
            </w:r>
            <w:r w:rsidR="006E0470">
              <w:rPr>
                <w:rFonts w:ascii="Cambria" w:hAnsi="Cambria"/>
                <w:bCs/>
                <w:sz w:val="20"/>
                <w:szCs w:val="20"/>
              </w:rPr>
              <w:t>10</w:t>
            </w:r>
            <w:r>
              <w:rPr>
                <w:rFonts w:ascii="Cambria" w:hAnsi="Cambria"/>
                <w:bCs/>
                <w:sz w:val="20"/>
                <w:szCs w:val="20"/>
              </w:rPr>
              <w:t>,</w:t>
            </w:r>
            <w:r w:rsidR="006E0470">
              <w:rPr>
                <w:rFonts w:ascii="Cambria" w:hAnsi="Cambria"/>
                <w:bCs/>
                <w:sz w:val="20"/>
                <w:szCs w:val="20"/>
              </w:rPr>
              <w:t xml:space="preserve"> 2017</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0694569E" w:rsidR="003771A3" w:rsidRPr="000B6B7A" w:rsidRDefault="001A7FB9" w:rsidP="009163FC">
            <w:pPr>
              <w:jc w:val="both"/>
              <w:rPr>
                <w:rFonts w:ascii="Cambria" w:hAnsi="Cambria"/>
                <w:bCs/>
                <w:sz w:val="20"/>
                <w:szCs w:val="20"/>
              </w:rPr>
            </w:pPr>
            <w:r>
              <w:rPr>
                <w:rFonts w:ascii="Cambria" w:hAnsi="Cambria"/>
                <w:bCs/>
                <w:sz w:val="20"/>
                <w:szCs w:val="20"/>
              </w:rPr>
              <w:t xml:space="preserve">October 18, </w:t>
            </w:r>
            <w:r w:rsidR="006E0470">
              <w:rPr>
                <w:rFonts w:ascii="Cambria" w:hAnsi="Cambria"/>
                <w:bCs/>
                <w:sz w:val="20"/>
                <w:szCs w:val="20"/>
              </w:rPr>
              <w:t>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1A4B26F1" w:rsidR="00F621C3" w:rsidRPr="000B6B7A" w:rsidRDefault="006E0470"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2EC7F59" w:rsidR="00F621C3" w:rsidRPr="000B6B7A" w:rsidRDefault="006E0470"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03B0000D" w:rsidR="00F621C3" w:rsidRPr="000B6B7A" w:rsidRDefault="006E0470"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0382F9B" w:rsidR="00F621C3" w:rsidRPr="000B6B7A" w:rsidRDefault="006E0470" w:rsidP="009163FC">
            <w:pPr>
              <w:jc w:val="both"/>
              <w:rPr>
                <w:rFonts w:asciiTheme="majorHAnsi" w:hAnsiTheme="majorHAnsi"/>
                <w:bCs/>
                <w:sz w:val="20"/>
                <w:szCs w:val="20"/>
              </w:rPr>
            </w:pPr>
            <w:r w:rsidRPr="006E0470">
              <w:rPr>
                <w:rFonts w:asciiTheme="majorHAnsi" w:hAnsiTheme="majorHAnsi"/>
                <w:bCs/>
                <w:sz w:val="20"/>
                <w:szCs w:val="20"/>
              </w:rPr>
              <w:t>Yes, American Convention (deposit of instrument made on July 28,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650"/>
        <w:gridCol w:w="5735"/>
      </w:tblGrid>
      <w:tr w:rsidR="00F621C3" w:rsidRPr="000B6B7A" w14:paraId="4091A423" w14:textId="77777777" w:rsidTr="00036863">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735" w:type="dxa"/>
            <w:vAlign w:val="center"/>
          </w:tcPr>
          <w:p w14:paraId="4773CD23" w14:textId="2B5418FA" w:rsidR="00F621C3" w:rsidRPr="000B6B7A" w:rsidRDefault="006E0470"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036863">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735" w:type="dxa"/>
            <w:vAlign w:val="center"/>
          </w:tcPr>
          <w:p w14:paraId="33BE4040" w14:textId="6DE8D362" w:rsidR="00F621C3" w:rsidRPr="000B6B7A" w:rsidRDefault="006E0470" w:rsidP="007F1E0B">
            <w:pPr>
              <w:jc w:val="both"/>
              <w:rPr>
                <w:rFonts w:ascii="Cambria" w:hAnsi="Cambria"/>
                <w:bCs/>
                <w:sz w:val="20"/>
                <w:szCs w:val="20"/>
              </w:rPr>
            </w:pPr>
            <w:r w:rsidRPr="006E0470">
              <w:rPr>
                <w:rFonts w:ascii="Cambria" w:hAnsi="Cambria"/>
                <w:bCs/>
                <w:sz w:val="20"/>
                <w:szCs w:val="20"/>
              </w:rPr>
              <w:t>Articles 3</w:t>
            </w:r>
            <w:r w:rsidR="007F1E0B">
              <w:rPr>
                <w:rFonts w:ascii="Cambria" w:hAnsi="Cambria"/>
                <w:bCs/>
                <w:sz w:val="20"/>
                <w:szCs w:val="20"/>
              </w:rPr>
              <w:t xml:space="preserve"> (</w:t>
            </w:r>
            <w:r w:rsidR="00036863">
              <w:rPr>
                <w:rFonts w:ascii="Cambria" w:hAnsi="Cambria"/>
                <w:bCs/>
                <w:sz w:val="20"/>
                <w:szCs w:val="20"/>
              </w:rPr>
              <w:t>juridical personality</w:t>
            </w:r>
            <w:r w:rsidRPr="006E0470">
              <w:rPr>
                <w:rFonts w:ascii="Cambria" w:hAnsi="Cambria"/>
                <w:bCs/>
                <w:sz w:val="20"/>
                <w:szCs w:val="20"/>
              </w:rPr>
              <w:t xml:space="preserve">), 5 (integrity), 8 (due process), 11 </w:t>
            </w:r>
            <w:r w:rsidR="007F1E0B">
              <w:rPr>
                <w:rFonts w:ascii="Cambria" w:hAnsi="Cambria"/>
                <w:bCs/>
                <w:sz w:val="20"/>
                <w:szCs w:val="20"/>
              </w:rPr>
              <w:t>(</w:t>
            </w:r>
            <w:r w:rsidR="00F65ECE">
              <w:rPr>
                <w:rFonts w:ascii="Cambria" w:hAnsi="Cambria"/>
                <w:bCs/>
                <w:sz w:val="20"/>
                <w:szCs w:val="20"/>
              </w:rPr>
              <w:t>privacy</w:t>
            </w:r>
            <w:r w:rsidRPr="006E0470">
              <w:rPr>
                <w:rFonts w:ascii="Cambria" w:hAnsi="Cambria"/>
                <w:bCs/>
                <w:sz w:val="20"/>
                <w:szCs w:val="20"/>
              </w:rPr>
              <w:t>), 13 (freedom of though</w:t>
            </w:r>
            <w:r w:rsidR="007F1E0B">
              <w:rPr>
                <w:rFonts w:ascii="Cambria" w:hAnsi="Cambria"/>
                <w:bCs/>
                <w:sz w:val="20"/>
                <w:szCs w:val="20"/>
              </w:rPr>
              <w:t>t and expression), 18 (</w:t>
            </w:r>
            <w:r w:rsidRPr="006E0470">
              <w:rPr>
                <w:rFonts w:ascii="Cambria" w:hAnsi="Cambria"/>
                <w:bCs/>
                <w:sz w:val="20"/>
                <w:szCs w:val="20"/>
              </w:rPr>
              <w:t>na</w:t>
            </w:r>
            <w:r w:rsidR="00036863">
              <w:rPr>
                <w:rFonts w:ascii="Cambria" w:hAnsi="Cambria"/>
                <w:bCs/>
                <w:sz w:val="20"/>
                <w:szCs w:val="20"/>
              </w:rPr>
              <w:t>me), 24 (right to equal protection</w:t>
            </w:r>
            <w:r w:rsidRPr="006E0470">
              <w:rPr>
                <w:rFonts w:ascii="Cambria" w:hAnsi="Cambria"/>
                <w:bCs/>
                <w:sz w:val="20"/>
                <w:szCs w:val="20"/>
              </w:rPr>
              <w:t xml:space="preserve">), 25 (judicial protection) and 26 (economic, social and cultural rights) of the American Convention in relation to its </w:t>
            </w:r>
            <w:r w:rsidR="007F1E0B">
              <w:rPr>
                <w:rFonts w:ascii="Cambria" w:hAnsi="Cambria"/>
                <w:bCs/>
                <w:sz w:val="20"/>
                <w:szCs w:val="20"/>
              </w:rPr>
              <w:t>A</w:t>
            </w:r>
            <w:r w:rsidRPr="006E0470">
              <w:rPr>
                <w:rFonts w:ascii="Cambria" w:hAnsi="Cambria"/>
                <w:bCs/>
                <w:sz w:val="20"/>
                <w:szCs w:val="20"/>
              </w:rPr>
              <w:t>rticles 1.1 and 2</w:t>
            </w:r>
          </w:p>
        </w:tc>
      </w:tr>
      <w:tr w:rsidR="00F621C3" w:rsidRPr="000B6B7A" w14:paraId="4DFB74FC" w14:textId="77777777" w:rsidTr="00036863">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735" w:type="dxa"/>
            <w:vAlign w:val="center"/>
          </w:tcPr>
          <w:p w14:paraId="432DC56B" w14:textId="4382E755" w:rsidR="00F621C3" w:rsidRPr="000B6B7A" w:rsidRDefault="00C504E5" w:rsidP="009163FC">
            <w:pPr>
              <w:rPr>
                <w:rFonts w:ascii="Cambria" w:hAnsi="Cambria"/>
                <w:bCs/>
                <w:sz w:val="20"/>
                <w:szCs w:val="20"/>
              </w:rPr>
            </w:pPr>
            <w:r w:rsidRPr="00C504E5">
              <w:rPr>
                <w:rFonts w:ascii="Cambria" w:hAnsi="Cambria"/>
                <w:bCs/>
                <w:sz w:val="20"/>
                <w:szCs w:val="20"/>
              </w:rPr>
              <w:t>Yes, under the terms of section VI</w:t>
            </w:r>
          </w:p>
        </w:tc>
      </w:tr>
      <w:tr w:rsidR="00F621C3" w:rsidRPr="000B6B7A" w14:paraId="6D900199" w14:textId="77777777" w:rsidTr="00036863">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735" w:type="dxa"/>
            <w:vAlign w:val="center"/>
          </w:tcPr>
          <w:p w14:paraId="6A26CCE9" w14:textId="1327D0F1" w:rsidR="00F621C3" w:rsidRPr="000B6B7A" w:rsidRDefault="00C504E5" w:rsidP="009163FC">
            <w:pPr>
              <w:rPr>
                <w:rFonts w:asciiTheme="majorHAnsi" w:hAnsiTheme="majorHAnsi"/>
                <w:bCs/>
                <w:sz w:val="20"/>
                <w:szCs w:val="20"/>
              </w:rPr>
            </w:pPr>
            <w:r w:rsidRPr="00C504E5">
              <w:rPr>
                <w:rFonts w:asciiTheme="majorHAnsi" w:hAnsiTheme="majorHAnsi"/>
                <w:bCs/>
                <w:sz w:val="20"/>
                <w:szCs w:val="20"/>
              </w:rPr>
              <w:t>Yes, under the terms of section VI</w:t>
            </w:r>
          </w:p>
        </w:tc>
      </w:tr>
    </w:tbl>
    <w:p w14:paraId="7A6D14A0" w14:textId="77777777" w:rsidR="00D439A8" w:rsidRDefault="00D439A8" w:rsidP="007F1E0B">
      <w:pPr>
        <w:ind w:firstLine="720"/>
        <w:rPr>
          <w:rFonts w:asciiTheme="majorHAnsi" w:hAnsiTheme="majorHAnsi"/>
          <w:b/>
          <w:sz w:val="20"/>
          <w:szCs w:val="20"/>
        </w:rPr>
      </w:pPr>
    </w:p>
    <w:p w14:paraId="775E272D" w14:textId="77777777" w:rsidR="00D439A8" w:rsidRDefault="00D439A8" w:rsidP="007F1E0B">
      <w:pPr>
        <w:ind w:firstLine="720"/>
        <w:rPr>
          <w:rFonts w:asciiTheme="majorHAnsi" w:hAnsiTheme="majorHAnsi"/>
          <w:b/>
          <w:sz w:val="20"/>
          <w:szCs w:val="20"/>
        </w:rPr>
      </w:pPr>
    </w:p>
    <w:p w14:paraId="2F7DA46D" w14:textId="6D67C5B9" w:rsidR="005512E4" w:rsidRDefault="005512E4" w:rsidP="007F1E0B">
      <w:pPr>
        <w:ind w:firstLine="720"/>
        <w:rPr>
          <w:rFonts w:asciiTheme="majorHAnsi" w:hAnsiTheme="majorHAnsi"/>
          <w:b/>
          <w:sz w:val="20"/>
          <w:szCs w:val="20"/>
        </w:rPr>
      </w:pPr>
      <w:r w:rsidRPr="005512E4">
        <w:rPr>
          <w:rFonts w:asciiTheme="majorHAnsi" w:hAnsiTheme="majorHAnsi"/>
          <w:b/>
          <w:sz w:val="20"/>
          <w:szCs w:val="20"/>
        </w:rPr>
        <w:lastRenderedPageBreak/>
        <w:t>V.</w:t>
      </w:r>
      <w:r w:rsidR="007F1E0B">
        <w:rPr>
          <w:rFonts w:asciiTheme="majorHAnsi" w:hAnsiTheme="majorHAnsi"/>
          <w:b/>
          <w:sz w:val="20"/>
          <w:szCs w:val="20"/>
        </w:rPr>
        <w:tab/>
      </w:r>
      <w:r w:rsidRPr="005512E4">
        <w:rPr>
          <w:rFonts w:asciiTheme="majorHAnsi" w:hAnsiTheme="majorHAnsi"/>
          <w:b/>
          <w:sz w:val="20"/>
          <w:szCs w:val="20"/>
        </w:rPr>
        <w:t>ALLEGED FACTS</w:t>
      </w:r>
    </w:p>
    <w:p w14:paraId="6EF18558" w14:textId="77777777" w:rsidR="005512E4" w:rsidRPr="005512E4" w:rsidRDefault="005512E4" w:rsidP="005512E4">
      <w:pPr>
        <w:rPr>
          <w:rFonts w:asciiTheme="majorHAnsi" w:hAnsiTheme="majorHAnsi"/>
          <w:b/>
          <w:sz w:val="20"/>
          <w:szCs w:val="20"/>
        </w:rPr>
      </w:pPr>
    </w:p>
    <w:p w14:paraId="0219B80D" w14:textId="7D96E5F2" w:rsidR="005512E4" w:rsidRPr="00A8170B" w:rsidRDefault="005512E4" w:rsidP="007F1E0B">
      <w:pPr>
        <w:ind w:firstLine="720"/>
        <w:jc w:val="both"/>
        <w:rPr>
          <w:rFonts w:asciiTheme="majorHAnsi" w:hAnsiTheme="majorHAnsi"/>
          <w:sz w:val="20"/>
          <w:szCs w:val="20"/>
        </w:rPr>
      </w:pPr>
      <w:r w:rsidRPr="00A8170B">
        <w:rPr>
          <w:rFonts w:asciiTheme="majorHAnsi" w:hAnsiTheme="majorHAnsi"/>
          <w:sz w:val="20"/>
          <w:szCs w:val="20"/>
        </w:rPr>
        <w:t>1.</w:t>
      </w:r>
      <w:r w:rsidR="007F1E0B">
        <w:rPr>
          <w:rFonts w:asciiTheme="majorHAnsi" w:hAnsiTheme="majorHAnsi"/>
          <w:sz w:val="20"/>
          <w:szCs w:val="20"/>
        </w:rPr>
        <w:tab/>
      </w:r>
      <w:r w:rsidRPr="00A8170B">
        <w:rPr>
          <w:rFonts w:asciiTheme="majorHAnsi" w:hAnsiTheme="majorHAnsi"/>
          <w:sz w:val="20"/>
          <w:szCs w:val="20"/>
        </w:rPr>
        <w:t>The petitioner indicates that the alleged victim, Karen Mañuca Quiroz Cabanillas,</w:t>
      </w:r>
      <w:r w:rsidR="00036863" w:rsidRPr="00A8170B">
        <w:rPr>
          <w:rFonts w:asciiTheme="majorHAnsi" w:hAnsiTheme="majorHAnsi"/>
          <w:sz w:val="20"/>
          <w:szCs w:val="20"/>
        </w:rPr>
        <w:t xml:space="preserve"> a</w:t>
      </w:r>
      <w:r w:rsidRPr="00A8170B">
        <w:rPr>
          <w:rFonts w:asciiTheme="majorHAnsi" w:hAnsiTheme="majorHAnsi"/>
          <w:sz w:val="20"/>
          <w:szCs w:val="20"/>
        </w:rPr>
        <w:t xml:space="preserve"> transgender woman, made a marginal registration in her birth certificate in 1998 in order to change her name to one that </w:t>
      </w:r>
      <w:proofErr w:type="gramStart"/>
      <w:r w:rsidRPr="00A8170B">
        <w:rPr>
          <w:rFonts w:asciiTheme="majorHAnsi" w:hAnsiTheme="majorHAnsi"/>
          <w:sz w:val="20"/>
          <w:szCs w:val="20"/>
        </w:rPr>
        <w:t>was related</w:t>
      </w:r>
      <w:proofErr w:type="gramEnd"/>
      <w:r w:rsidRPr="00A8170B">
        <w:rPr>
          <w:rFonts w:asciiTheme="majorHAnsi" w:hAnsiTheme="majorHAnsi"/>
          <w:sz w:val="20"/>
          <w:szCs w:val="20"/>
        </w:rPr>
        <w:t xml:space="preserve"> to her "psychological gender", by virtue of a sentence t</w:t>
      </w:r>
      <w:r w:rsidR="00C504E5" w:rsidRPr="00A8170B">
        <w:rPr>
          <w:rFonts w:asciiTheme="majorHAnsi" w:hAnsiTheme="majorHAnsi"/>
          <w:sz w:val="20"/>
          <w:szCs w:val="20"/>
        </w:rPr>
        <w:t>hat ordered the modification. He</w:t>
      </w:r>
      <w:r w:rsidRPr="00A8170B">
        <w:rPr>
          <w:rFonts w:asciiTheme="majorHAnsi" w:hAnsiTheme="majorHAnsi"/>
          <w:sz w:val="20"/>
          <w:szCs w:val="20"/>
        </w:rPr>
        <w:t xml:space="preserve"> indicates that for this reason, the National Registry of Identification and Civil Status</w:t>
      </w:r>
      <w:r w:rsidR="00550A85" w:rsidRPr="00A8170B">
        <w:rPr>
          <w:rFonts w:asciiTheme="majorHAnsi" w:hAnsiTheme="majorHAnsi"/>
          <w:sz w:val="20"/>
          <w:szCs w:val="20"/>
        </w:rPr>
        <w:t xml:space="preserve"> (hereinafter "RENIEC"), gave her</w:t>
      </w:r>
      <w:r w:rsidRPr="00A8170B">
        <w:rPr>
          <w:rFonts w:asciiTheme="majorHAnsi" w:hAnsiTheme="majorHAnsi"/>
          <w:sz w:val="20"/>
          <w:szCs w:val="20"/>
        </w:rPr>
        <w:t xml:space="preserve"> a national identification document (hereinafter "DNI") with the rectification of the </w:t>
      </w:r>
      <w:r w:rsidR="00C504E5" w:rsidRPr="00A8170B">
        <w:rPr>
          <w:rFonts w:asciiTheme="majorHAnsi" w:hAnsiTheme="majorHAnsi"/>
          <w:sz w:val="20"/>
          <w:szCs w:val="20"/>
        </w:rPr>
        <w:t>name and gender. He</w:t>
      </w:r>
      <w:r w:rsidRPr="00A8170B">
        <w:rPr>
          <w:rFonts w:asciiTheme="majorHAnsi" w:hAnsiTheme="majorHAnsi"/>
          <w:sz w:val="20"/>
          <w:szCs w:val="20"/>
        </w:rPr>
        <w:t xml:space="preserve"> adds that in 2001, the National Elections Jury required the alleged victim to </w:t>
      </w:r>
      <w:r w:rsidR="00550A85" w:rsidRPr="00A8170B">
        <w:rPr>
          <w:rFonts w:asciiTheme="majorHAnsi" w:hAnsiTheme="majorHAnsi"/>
          <w:sz w:val="20"/>
          <w:szCs w:val="20"/>
        </w:rPr>
        <w:t>constitut</w:t>
      </w:r>
      <w:r w:rsidRPr="00A8170B">
        <w:rPr>
          <w:rFonts w:asciiTheme="majorHAnsi" w:hAnsiTheme="majorHAnsi"/>
          <w:sz w:val="20"/>
          <w:szCs w:val="20"/>
        </w:rPr>
        <w:t xml:space="preserve">e a </w:t>
      </w:r>
      <w:r w:rsidR="00550A85" w:rsidRPr="00A8170B">
        <w:rPr>
          <w:rFonts w:asciiTheme="majorHAnsi" w:hAnsiTheme="majorHAnsi"/>
          <w:sz w:val="20"/>
          <w:szCs w:val="20"/>
        </w:rPr>
        <w:t xml:space="preserve">board </w:t>
      </w:r>
      <w:r w:rsidRPr="00A8170B">
        <w:rPr>
          <w:rFonts w:asciiTheme="majorHAnsi" w:hAnsiTheme="majorHAnsi"/>
          <w:sz w:val="20"/>
          <w:szCs w:val="20"/>
        </w:rPr>
        <w:t>for the presidential elections, being notified with his previous name - male - of which it is clear that RENIEC would not have notified the rectification of his identity to the Jury National of Elections. The information presented indicates that, in parallel, the alleged victim lost her DNI, so she was interviewed by the Chief of RENIEC in order to request a copy of it. She alleges that, after delivering the birth certificate with the names rectified and having paid for the process of issuing a duplicate of the document, officials of the entity indicated that their identity "had been questioned", which is why they would not deliver the document. She says that after this, she repeatedly requested the issuance of the DNI, receiving the refusal of the head of RENIEC, which she wielded had various impacts on her rights.</w:t>
      </w:r>
    </w:p>
    <w:p w14:paraId="1E3F3FB2" w14:textId="77777777" w:rsidR="005512E4" w:rsidRPr="00A8170B" w:rsidRDefault="005512E4" w:rsidP="00A8170B">
      <w:pPr>
        <w:jc w:val="both"/>
        <w:rPr>
          <w:rFonts w:asciiTheme="majorHAnsi" w:hAnsiTheme="majorHAnsi"/>
          <w:sz w:val="20"/>
          <w:szCs w:val="20"/>
        </w:rPr>
      </w:pPr>
    </w:p>
    <w:p w14:paraId="2FB68505" w14:textId="09EABA7F" w:rsidR="005512E4" w:rsidRPr="00A8170B" w:rsidRDefault="005512E4" w:rsidP="007F1E0B">
      <w:pPr>
        <w:ind w:firstLine="720"/>
        <w:jc w:val="both"/>
        <w:rPr>
          <w:rFonts w:asciiTheme="majorHAnsi" w:hAnsiTheme="majorHAnsi"/>
          <w:sz w:val="20"/>
          <w:szCs w:val="20"/>
        </w:rPr>
      </w:pPr>
      <w:r w:rsidRPr="00A8170B">
        <w:rPr>
          <w:rFonts w:asciiTheme="majorHAnsi" w:hAnsiTheme="majorHAnsi"/>
          <w:sz w:val="20"/>
          <w:szCs w:val="20"/>
        </w:rPr>
        <w:t>2.</w:t>
      </w:r>
      <w:r w:rsidR="007F1E0B">
        <w:rPr>
          <w:rFonts w:asciiTheme="majorHAnsi" w:hAnsiTheme="majorHAnsi"/>
          <w:sz w:val="20"/>
          <w:szCs w:val="20"/>
        </w:rPr>
        <w:tab/>
      </w:r>
      <w:r w:rsidRPr="00A8170B">
        <w:rPr>
          <w:rFonts w:asciiTheme="majorHAnsi" w:hAnsiTheme="majorHAnsi"/>
          <w:sz w:val="20"/>
          <w:szCs w:val="20"/>
        </w:rPr>
        <w:t xml:space="preserve">It </w:t>
      </w:r>
      <w:proofErr w:type="gramStart"/>
      <w:r w:rsidRPr="00A8170B">
        <w:rPr>
          <w:rFonts w:asciiTheme="majorHAnsi" w:hAnsiTheme="majorHAnsi"/>
          <w:sz w:val="20"/>
          <w:szCs w:val="20"/>
        </w:rPr>
        <w:t>is indicated</w:t>
      </w:r>
      <w:proofErr w:type="gramEnd"/>
      <w:r w:rsidRPr="00A8170B">
        <w:rPr>
          <w:rFonts w:asciiTheme="majorHAnsi" w:hAnsiTheme="majorHAnsi"/>
          <w:sz w:val="20"/>
          <w:szCs w:val="20"/>
        </w:rPr>
        <w:t xml:space="preserve"> that on February 9, 2005, the alleged victim filed a writ of habeas corpus before the Criminal Court No. 31 of Lima for the denial of the issuance of her identity document for 4 years, alleging violation of his right to life, identity, integrity and her free development and well-being. It affirms that on February 14, 2005, the court declared the action inadmissible, for w</w:t>
      </w:r>
      <w:r w:rsidR="00550A85" w:rsidRPr="00A8170B">
        <w:rPr>
          <w:rFonts w:asciiTheme="majorHAnsi" w:hAnsiTheme="majorHAnsi"/>
          <w:sz w:val="20"/>
          <w:szCs w:val="20"/>
        </w:rPr>
        <w:t xml:space="preserve">hich reason </w:t>
      </w:r>
      <w:r w:rsidRPr="00A8170B">
        <w:rPr>
          <w:rFonts w:asciiTheme="majorHAnsi" w:hAnsiTheme="majorHAnsi"/>
          <w:sz w:val="20"/>
          <w:szCs w:val="20"/>
        </w:rPr>
        <w:t>she</w:t>
      </w:r>
      <w:r w:rsidR="00AB35F7" w:rsidRPr="00A8170B">
        <w:rPr>
          <w:rFonts w:asciiTheme="majorHAnsi" w:hAnsiTheme="majorHAnsi"/>
          <w:sz w:val="20"/>
          <w:szCs w:val="20"/>
        </w:rPr>
        <w:t xml:space="preserve"> appealed this</w:t>
      </w:r>
      <w:r w:rsidRPr="00A8170B">
        <w:rPr>
          <w:rFonts w:asciiTheme="majorHAnsi" w:hAnsiTheme="majorHAnsi"/>
          <w:sz w:val="20"/>
          <w:szCs w:val="20"/>
        </w:rPr>
        <w:t xml:space="preserve"> resolution. In the second instance, the Superior Criminal Chamber of Emergency for Processes with Free Prison confirmed the decision on March 2, 2005, for which the alleged victim filed a constitutional complaint before the Constitutional Court on March 31, 2005. From the documentation provided, it appears that on April 20, 2006, the Constitutional Court considered that the delay in issuing the DNI and a written response violated the identity and dignity of the alleged victim.</w:t>
      </w:r>
      <w:r w:rsidR="00AB35F7" w:rsidRPr="00A8170B">
        <w:rPr>
          <w:rFonts w:asciiTheme="majorHAnsi" w:hAnsiTheme="majorHAnsi"/>
          <w:sz w:val="20"/>
          <w:szCs w:val="20"/>
        </w:rPr>
        <w:t xml:space="preserve"> From the latter</w:t>
      </w:r>
      <w:r w:rsidRPr="00A8170B">
        <w:rPr>
          <w:rFonts w:asciiTheme="majorHAnsi" w:hAnsiTheme="majorHAnsi"/>
          <w:sz w:val="20"/>
          <w:szCs w:val="20"/>
        </w:rPr>
        <w:t xml:space="preserve"> judgment it is also inferred that the alleged victim had had two identities before the Electoral Registry. In this regard, the Constitutional Court considered that it was not up to her to rule on it, since the possible existence of an illegal act had to be determined before the competent authorities. The Tribunal concluded that the first registration was in force and what had changed was the name "remaining unalterable the other identity elements (sex, date of birth, etc.) contained in the original registration." The alleged victim indicates that she had been notified of the Constitutional Court ruling on April 8, 2007. On the other hand, it appears from the documentation provided that during the processing of the aforementioned constitutional tort, the alleged victim filed a writ of habeas corpus against the Constitutional Court so that she c</w:t>
      </w:r>
      <w:r w:rsidR="00AB35F7" w:rsidRPr="00A8170B">
        <w:rPr>
          <w:rFonts w:asciiTheme="majorHAnsi" w:hAnsiTheme="majorHAnsi"/>
          <w:sz w:val="20"/>
          <w:szCs w:val="20"/>
        </w:rPr>
        <w:t>an pronounce on the matter. The latter</w:t>
      </w:r>
      <w:r w:rsidRPr="00A8170B">
        <w:rPr>
          <w:rFonts w:asciiTheme="majorHAnsi" w:hAnsiTheme="majorHAnsi"/>
          <w:sz w:val="20"/>
          <w:szCs w:val="20"/>
        </w:rPr>
        <w:t xml:space="preserve"> action was rejected by the Twelfth Special Criminal Court of the Superior Court of Justice of Lima on October 17, 2006, noting that the Constitutional Court had ruled on April 20, 2006 ordering RENIEC to grant it a duplicate DNI.</w:t>
      </w:r>
    </w:p>
    <w:p w14:paraId="0819D070" w14:textId="77777777" w:rsidR="005512E4" w:rsidRPr="00A8170B" w:rsidRDefault="005512E4" w:rsidP="00A8170B">
      <w:pPr>
        <w:jc w:val="both"/>
        <w:rPr>
          <w:rFonts w:asciiTheme="majorHAnsi" w:hAnsiTheme="majorHAnsi"/>
          <w:sz w:val="20"/>
          <w:szCs w:val="20"/>
        </w:rPr>
      </w:pPr>
    </w:p>
    <w:p w14:paraId="2DE34F3A" w14:textId="34D11D90" w:rsidR="00953A34" w:rsidRPr="00A8170B" w:rsidRDefault="005512E4" w:rsidP="007F1E0B">
      <w:pPr>
        <w:ind w:firstLine="720"/>
        <w:jc w:val="both"/>
        <w:rPr>
          <w:rFonts w:asciiTheme="majorHAnsi" w:hAnsiTheme="majorHAnsi"/>
          <w:sz w:val="20"/>
          <w:szCs w:val="20"/>
        </w:rPr>
      </w:pPr>
      <w:r w:rsidRPr="00A8170B">
        <w:rPr>
          <w:rFonts w:asciiTheme="majorHAnsi" w:hAnsiTheme="majorHAnsi"/>
          <w:sz w:val="20"/>
          <w:szCs w:val="20"/>
        </w:rPr>
        <w:t>3.</w:t>
      </w:r>
      <w:r w:rsidR="007F1E0B">
        <w:rPr>
          <w:rFonts w:asciiTheme="majorHAnsi" w:hAnsiTheme="majorHAnsi"/>
          <w:sz w:val="20"/>
          <w:szCs w:val="20"/>
        </w:rPr>
        <w:tab/>
      </w:r>
      <w:r w:rsidRPr="00A8170B">
        <w:rPr>
          <w:rFonts w:asciiTheme="majorHAnsi" w:hAnsiTheme="majorHAnsi"/>
          <w:sz w:val="20"/>
          <w:szCs w:val="20"/>
        </w:rPr>
        <w:t>The petitioner alleges that the judgment of the Constitution</w:t>
      </w:r>
      <w:r w:rsidR="00953A34" w:rsidRPr="00A8170B">
        <w:rPr>
          <w:rFonts w:asciiTheme="majorHAnsi" w:hAnsiTheme="majorHAnsi"/>
          <w:sz w:val="20"/>
          <w:szCs w:val="20"/>
        </w:rPr>
        <w:t>al Court did not reestablish her</w:t>
      </w:r>
      <w:r w:rsidRPr="00A8170B">
        <w:rPr>
          <w:rFonts w:asciiTheme="majorHAnsi" w:hAnsiTheme="majorHAnsi"/>
          <w:sz w:val="20"/>
          <w:szCs w:val="20"/>
        </w:rPr>
        <w:t xml:space="preserve"> rights in </w:t>
      </w:r>
      <w:r w:rsidR="00953A34" w:rsidRPr="00A8170B">
        <w:rPr>
          <w:rFonts w:asciiTheme="majorHAnsi" w:hAnsiTheme="majorHAnsi"/>
          <w:sz w:val="20"/>
          <w:szCs w:val="20"/>
        </w:rPr>
        <w:t xml:space="preserve">their </w:t>
      </w:r>
      <w:r w:rsidRPr="00A8170B">
        <w:rPr>
          <w:rFonts w:asciiTheme="majorHAnsi" w:hAnsiTheme="majorHAnsi"/>
          <w:sz w:val="20"/>
          <w:szCs w:val="20"/>
        </w:rPr>
        <w:t xml:space="preserve">totality, because although </w:t>
      </w:r>
      <w:r w:rsidR="00AE7E15" w:rsidRPr="00A8170B">
        <w:rPr>
          <w:rFonts w:asciiTheme="majorHAnsi" w:hAnsiTheme="majorHAnsi"/>
          <w:sz w:val="20"/>
          <w:szCs w:val="20"/>
        </w:rPr>
        <w:t>it</w:t>
      </w:r>
      <w:r w:rsidRPr="00A8170B">
        <w:rPr>
          <w:rFonts w:asciiTheme="majorHAnsi" w:hAnsiTheme="majorHAnsi"/>
          <w:sz w:val="20"/>
          <w:szCs w:val="20"/>
        </w:rPr>
        <w:t xml:space="preserve"> accepted the change of registry name, </w:t>
      </w:r>
      <w:r w:rsidR="00AE7E15" w:rsidRPr="00A8170B">
        <w:rPr>
          <w:rFonts w:asciiTheme="majorHAnsi" w:hAnsiTheme="majorHAnsi"/>
          <w:sz w:val="20"/>
          <w:szCs w:val="20"/>
        </w:rPr>
        <w:t>it</w:t>
      </w:r>
      <w:r w:rsidRPr="00A8170B">
        <w:rPr>
          <w:rFonts w:asciiTheme="majorHAnsi" w:hAnsiTheme="majorHAnsi"/>
          <w:sz w:val="20"/>
          <w:szCs w:val="20"/>
        </w:rPr>
        <w:t xml:space="preserve"> did not consider </w:t>
      </w:r>
      <w:r w:rsidR="00953A34" w:rsidRPr="00A8170B">
        <w:rPr>
          <w:rFonts w:asciiTheme="majorHAnsi" w:hAnsiTheme="majorHAnsi"/>
          <w:sz w:val="20"/>
          <w:szCs w:val="20"/>
        </w:rPr>
        <w:t>her</w:t>
      </w:r>
      <w:r w:rsidRPr="00A8170B">
        <w:rPr>
          <w:rFonts w:asciiTheme="majorHAnsi" w:hAnsiTheme="majorHAnsi"/>
          <w:sz w:val="20"/>
          <w:szCs w:val="20"/>
        </w:rPr>
        <w:t xml:space="preserve"> human rights in full, since </w:t>
      </w:r>
      <w:r w:rsidR="00AE7E15" w:rsidRPr="00A8170B">
        <w:rPr>
          <w:rFonts w:asciiTheme="majorHAnsi" w:hAnsiTheme="majorHAnsi"/>
          <w:sz w:val="20"/>
          <w:szCs w:val="20"/>
        </w:rPr>
        <w:t>it</w:t>
      </w:r>
      <w:r w:rsidRPr="00A8170B">
        <w:rPr>
          <w:rFonts w:asciiTheme="majorHAnsi" w:hAnsiTheme="majorHAnsi"/>
          <w:sz w:val="20"/>
          <w:szCs w:val="20"/>
        </w:rPr>
        <w:t xml:space="preserve"> d</w:t>
      </w:r>
      <w:r w:rsidR="00953A34" w:rsidRPr="00A8170B">
        <w:rPr>
          <w:rFonts w:asciiTheme="majorHAnsi" w:hAnsiTheme="majorHAnsi"/>
          <w:sz w:val="20"/>
          <w:szCs w:val="20"/>
        </w:rPr>
        <w:t xml:space="preserve">id not allow </w:t>
      </w:r>
      <w:proofErr w:type="gramStart"/>
      <w:r w:rsidR="00953A34" w:rsidRPr="00A8170B">
        <w:rPr>
          <w:rFonts w:asciiTheme="majorHAnsi" w:hAnsiTheme="majorHAnsi"/>
          <w:sz w:val="20"/>
          <w:szCs w:val="20"/>
        </w:rPr>
        <w:t>t</w:t>
      </w:r>
      <w:r w:rsidR="00AB35F7" w:rsidRPr="00A8170B">
        <w:rPr>
          <w:rFonts w:asciiTheme="majorHAnsi" w:hAnsiTheme="majorHAnsi"/>
          <w:sz w:val="20"/>
          <w:szCs w:val="20"/>
        </w:rPr>
        <w:t>o re-establish</w:t>
      </w:r>
      <w:proofErr w:type="gramEnd"/>
      <w:r w:rsidR="00AB35F7" w:rsidRPr="00A8170B">
        <w:rPr>
          <w:rFonts w:asciiTheme="majorHAnsi" w:hAnsiTheme="majorHAnsi"/>
          <w:sz w:val="20"/>
          <w:szCs w:val="20"/>
        </w:rPr>
        <w:t xml:space="preserve"> her gender in her</w:t>
      </w:r>
      <w:r w:rsidR="00953A34" w:rsidRPr="00A8170B">
        <w:rPr>
          <w:rFonts w:asciiTheme="majorHAnsi" w:hAnsiTheme="majorHAnsi"/>
          <w:sz w:val="20"/>
          <w:szCs w:val="20"/>
        </w:rPr>
        <w:t xml:space="preserve"> DNI. Sh</w:t>
      </w:r>
      <w:r w:rsidRPr="00A8170B">
        <w:rPr>
          <w:rFonts w:asciiTheme="majorHAnsi" w:hAnsiTheme="majorHAnsi"/>
          <w:sz w:val="20"/>
          <w:szCs w:val="20"/>
        </w:rPr>
        <w:t>e affirms that the sentence "is not clear in its resolution whenever it tries to minimize the damage</w:t>
      </w:r>
      <w:r w:rsidR="00953A34" w:rsidRPr="00A8170B">
        <w:rPr>
          <w:rFonts w:asciiTheme="majorHAnsi" w:hAnsiTheme="majorHAnsi"/>
          <w:sz w:val="20"/>
          <w:szCs w:val="20"/>
        </w:rPr>
        <w:t xml:space="preserve"> that they have caused to me". Sh</w:t>
      </w:r>
      <w:r w:rsidRPr="00A8170B">
        <w:rPr>
          <w:rFonts w:asciiTheme="majorHAnsi" w:hAnsiTheme="majorHAnsi"/>
          <w:sz w:val="20"/>
          <w:szCs w:val="20"/>
        </w:rPr>
        <w:t xml:space="preserve">e argues that </w:t>
      </w:r>
      <w:r w:rsidR="00AB35F7" w:rsidRPr="00A8170B">
        <w:rPr>
          <w:rFonts w:asciiTheme="majorHAnsi" w:hAnsiTheme="majorHAnsi"/>
          <w:sz w:val="20"/>
          <w:szCs w:val="20"/>
        </w:rPr>
        <w:t>this situation has continu</w:t>
      </w:r>
      <w:r w:rsidRPr="00A8170B">
        <w:rPr>
          <w:rFonts w:asciiTheme="majorHAnsi" w:hAnsiTheme="majorHAnsi"/>
          <w:sz w:val="20"/>
          <w:szCs w:val="20"/>
        </w:rPr>
        <w:t>ed, even after having undergon</w:t>
      </w:r>
      <w:r w:rsidR="00953A34" w:rsidRPr="00A8170B">
        <w:rPr>
          <w:rFonts w:asciiTheme="majorHAnsi" w:hAnsiTheme="majorHAnsi"/>
          <w:sz w:val="20"/>
          <w:szCs w:val="20"/>
        </w:rPr>
        <w:t>e an "intervention to modify her</w:t>
      </w:r>
      <w:r w:rsidRPr="00A8170B">
        <w:rPr>
          <w:rFonts w:asciiTheme="majorHAnsi" w:hAnsiTheme="majorHAnsi"/>
          <w:sz w:val="20"/>
          <w:szCs w:val="20"/>
        </w:rPr>
        <w:t xml:space="preserve"> external sexu</w:t>
      </w:r>
      <w:r w:rsidR="00953A34" w:rsidRPr="00A8170B">
        <w:rPr>
          <w:rFonts w:asciiTheme="majorHAnsi" w:hAnsiTheme="majorHAnsi"/>
          <w:sz w:val="20"/>
          <w:szCs w:val="20"/>
        </w:rPr>
        <w:t xml:space="preserve">al characteristics", </w:t>
      </w:r>
      <w:r w:rsidR="00F65ECE" w:rsidRPr="00A8170B">
        <w:rPr>
          <w:rFonts w:asciiTheme="majorHAnsi" w:hAnsiTheme="majorHAnsi"/>
          <w:sz w:val="20"/>
          <w:szCs w:val="20"/>
        </w:rPr>
        <w:t xml:space="preserve">due to which </w:t>
      </w:r>
      <w:r w:rsidR="00953A34" w:rsidRPr="00A8170B">
        <w:rPr>
          <w:rFonts w:asciiTheme="majorHAnsi" w:hAnsiTheme="majorHAnsi"/>
          <w:sz w:val="20"/>
          <w:szCs w:val="20"/>
        </w:rPr>
        <w:t>her</w:t>
      </w:r>
      <w:r w:rsidRPr="00A8170B">
        <w:rPr>
          <w:rFonts w:asciiTheme="majorHAnsi" w:hAnsiTheme="majorHAnsi"/>
          <w:sz w:val="20"/>
          <w:szCs w:val="20"/>
        </w:rPr>
        <w:t xml:space="preserve"> sex a</w:t>
      </w:r>
      <w:r w:rsidR="00953A34" w:rsidRPr="00A8170B">
        <w:rPr>
          <w:rFonts w:asciiTheme="majorHAnsi" w:hAnsiTheme="majorHAnsi"/>
          <w:sz w:val="20"/>
          <w:szCs w:val="20"/>
        </w:rPr>
        <w:t>t present is female. Finally, she</w:t>
      </w:r>
      <w:r w:rsidRPr="00A8170B">
        <w:rPr>
          <w:rFonts w:asciiTheme="majorHAnsi" w:hAnsiTheme="majorHAnsi"/>
          <w:sz w:val="20"/>
          <w:szCs w:val="20"/>
        </w:rPr>
        <w:t xml:space="preserve"> affirms that the habeas corpus that it exercised was the appropriate remedy in this case, since according to the Constitutional Procedural Code, the habeas corpus proceeds according to article 25 No. 10, in case of deprivation of the national identity document. In addition, </w:t>
      </w:r>
      <w:r w:rsidR="00953A34" w:rsidRPr="00A8170B">
        <w:rPr>
          <w:rFonts w:asciiTheme="majorHAnsi" w:hAnsiTheme="majorHAnsi"/>
          <w:sz w:val="20"/>
          <w:szCs w:val="20"/>
        </w:rPr>
        <w:t xml:space="preserve">she argues </w:t>
      </w:r>
      <w:r w:rsidRPr="00A8170B">
        <w:rPr>
          <w:rFonts w:asciiTheme="majorHAnsi" w:hAnsiTheme="majorHAnsi"/>
          <w:sz w:val="20"/>
          <w:szCs w:val="20"/>
        </w:rPr>
        <w:t xml:space="preserve">that thanks to the filing of habeas corpus against the plenary session of the Constitutional Court for the refusal to resolve the habeas corpus against RENIEC, the plenary was able to issue a ruling, so it </w:t>
      </w:r>
      <w:r w:rsidR="00953A34" w:rsidRPr="00A8170B">
        <w:rPr>
          <w:rFonts w:asciiTheme="majorHAnsi" w:hAnsiTheme="majorHAnsi"/>
          <w:sz w:val="20"/>
          <w:szCs w:val="20"/>
        </w:rPr>
        <w:t>cannot be argued that she</w:t>
      </w:r>
      <w:r w:rsidRPr="00A8170B">
        <w:rPr>
          <w:rFonts w:asciiTheme="majorHAnsi" w:hAnsiTheme="majorHAnsi"/>
          <w:sz w:val="20"/>
          <w:szCs w:val="20"/>
        </w:rPr>
        <w:t xml:space="preserve"> did not exhaust domestic r</w:t>
      </w:r>
      <w:r w:rsidR="00953A34" w:rsidRPr="00A8170B">
        <w:rPr>
          <w:rFonts w:asciiTheme="majorHAnsi" w:hAnsiTheme="majorHAnsi"/>
          <w:sz w:val="20"/>
          <w:szCs w:val="20"/>
        </w:rPr>
        <w:t>emedies as the State intends. She</w:t>
      </w:r>
      <w:r w:rsidRPr="00A8170B">
        <w:rPr>
          <w:rFonts w:asciiTheme="majorHAnsi" w:hAnsiTheme="majorHAnsi"/>
          <w:sz w:val="20"/>
          <w:szCs w:val="20"/>
        </w:rPr>
        <w:t xml:space="preserve"> also states that the events aff</w:t>
      </w:r>
      <w:r w:rsidR="00953A34" w:rsidRPr="00A8170B">
        <w:rPr>
          <w:rFonts w:asciiTheme="majorHAnsi" w:hAnsiTheme="majorHAnsi"/>
          <w:sz w:val="20"/>
          <w:szCs w:val="20"/>
        </w:rPr>
        <w:t>ected her</w:t>
      </w:r>
      <w:r w:rsidRPr="00A8170B">
        <w:rPr>
          <w:rFonts w:asciiTheme="majorHAnsi" w:hAnsiTheme="majorHAnsi"/>
          <w:sz w:val="20"/>
          <w:szCs w:val="20"/>
        </w:rPr>
        <w:t xml:space="preserve"> dignity, identity, personal fr</w:t>
      </w:r>
      <w:r w:rsidR="00953A34" w:rsidRPr="00A8170B">
        <w:rPr>
          <w:rFonts w:asciiTheme="majorHAnsi" w:hAnsiTheme="majorHAnsi"/>
          <w:sz w:val="20"/>
          <w:szCs w:val="20"/>
        </w:rPr>
        <w:t>eedom and integrity. She argue</w:t>
      </w:r>
      <w:r w:rsidRPr="00A8170B">
        <w:rPr>
          <w:rFonts w:asciiTheme="majorHAnsi" w:hAnsiTheme="majorHAnsi"/>
          <w:sz w:val="20"/>
          <w:szCs w:val="20"/>
        </w:rPr>
        <w:t>s that th</w:t>
      </w:r>
      <w:r w:rsidR="00953A34" w:rsidRPr="00A8170B">
        <w:rPr>
          <w:rFonts w:asciiTheme="majorHAnsi" w:hAnsiTheme="majorHAnsi"/>
          <w:sz w:val="20"/>
          <w:szCs w:val="20"/>
        </w:rPr>
        <w:t>e State dissociated him from her</w:t>
      </w:r>
      <w:r w:rsidRPr="00A8170B">
        <w:rPr>
          <w:rFonts w:asciiTheme="majorHAnsi" w:hAnsiTheme="majorHAnsi"/>
          <w:sz w:val="20"/>
          <w:szCs w:val="20"/>
        </w:rPr>
        <w:t xml:space="preserve"> work at FONCODES because </w:t>
      </w:r>
      <w:r w:rsidR="00953A34" w:rsidRPr="00A8170B">
        <w:rPr>
          <w:rFonts w:asciiTheme="majorHAnsi" w:hAnsiTheme="majorHAnsi"/>
          <w:sz w:val="20"/>
          <w:szCs w:val="20"/>
        </w:rPr>
        <w:t>s</w:t>
      </w:r>
      <w:r w:rsidRPr="00A8170B">
        <w:rPr>
          <w:rFonts w:asciiTheme="majorHAnsi" w:hAnsiTheme="majorHAnsi"/>
          <w:sz w:val="20"/>
          <w:szCs w:val="20"/>
        </w:rPr>
        <w:t xml:space="preserve">he lacked identity, and that </w:t>
      </w:r>
      <w:r w:rsidR="00953A34" w:rsidRPr="00A8170B">
        <w:rPr>
          <w:rFonts w:asciiTheme="majorHAnsi" w:hAnsiTheme="majorHAnsi"/>
          <w:sz w:val="20"/>
          <w:szCs w:val="20"/>
        </w:rPr>
        <w:t>s</w:t>
      </w:r>
      <w:r w:rsidRPr="00A8170B">
        <w:rPr>
          <w:rFonts w:asciiTheme="majorHAnsi" w:hAnsiTheme="majorHAnsi"/>
          <w:sz w:val="20"/>
          <w:szCs w:val="20"/>
        </w:rPr>
        <w:t>h</w:t>
      </w:r>
      <w:r w:rsidR="00953A34" w:rsidRPr="00A8170B">
        <w:rPr>
          <w:rFonts w:asciiTheme="majorHAnsi" w:hAnsiTheme="majorHAnsi"/>
          <w:sz w:val="20"/>
          <w:szCs w:val="20"/>
        </w:rPr>
        <w:t xml:space="preserve">e </w:t>
      </w:r>
      <w:proofErr w:type="gramStart"/>
      <w:r w:rsidR="00953A34" w:rsidRPr="00A8170B">
        <w:rPr>
          <w:rFonts w:asciiTheme="majorHAnsi" w:hAnsiTheme="majorHAnsi"/>
          <w:sz w:val="20"/>
          <w:szCs w:val="20"/>
        </w:rPr>
        <w:t>had not been reinstated</w:t>
      </w:r>
      <w:proofErr w:type="gramEnd"/>
      <w:r w:rsidR="00953A34" w:rsidRPr="00A8170B">
        <w:rPr>
          <w:rFonts w:asciiTheme="majorHAnsi" w:hAnsiTheme="majorHAnsi"/>
          <w:sz w:val="20"/>
          <w:szCs w:val="20"/>
        </w:rPr>
        <w:t xml:space="preserve"> at her</w:t>
      </w:r>
      <w:r w:rsidRPr="00A8170B">
        <w:rPr>
          <w:rFonts w:asciiTheme="majorHAnsi" w:hAnsiTheme="majorHAnsi"/>
          <w:sz w:val="20"/>
          <w:szCs w:val="20"/>
        </w:rPr>
        <w:t xml:space="preserve"> work.</w:t>
      </w:r>
      <w:r w:rsidR="007F1E0B">
        <w:rPr>
          <w:rFonts w:asciiTheme="majorHAnsi" w:hAnsiTheme="majorHAnsi"/>
          <w:sz w:val="20"/>
          <w:szCs w:val="20"/>
        </w:rPr>
        <w:t xml:space="preserve"> </w:t>
      </w:r>
      <w:r w:rsidR="00953A34" w:rsidRPr="00A8170B">
        <w:rPr>
          <w:rFonts w:asciiTheme="majorHAnsi" w:hAnsiTheme="majorHAnsi"/>
          <w:sz w:val="20"/>
          <w:szCs w:val="20"/>
        </w:rPr>
        <w:t>She alleges that the lack of identification affected her personal and professional development capacity, not being able to obtain a master's or doctoral degree in her specialty (agricultural engineering). She also argues that her personal liberty was put at risk because, having no identification, she was at risk of being deprived of her liberty. She adds that to date, the identity document that was canceled was not replaced, and that it contained the identification of her gender as female.</w:t>
      </w:r>
    </w:p>
    <w:p w14:paraId="26FBDDA7" w14:textId="77777777" w:rsidR="00953A34" w:rsidRPr="00A8170B" w:rsidRDefault="00953A34" w:rsidP="00A8170B">
      <w:pPr>
        <w:jc w:val="both"/>
        <w:rPr>
          <w:rFonts w:asciiTheme="majorHAnsi" w:hAnsiTheme="majorHAnsi"/>
          <w:sz w:val="20"/>
          <w:szCs w:val="20"/>
        </w:rPr>
      </w:pPr>
    </w:p>
    <w:p w14:paraId="046333B9" w14:textId="113F1C4F" w:rsidR="00953A34" w:rsidRPr="00A8170B" w:rsidRDefault="00953A34" w:rsidP="007F1E0B">
      <w:pPr>
        <w:ind w:firstLine="720"/>
        <w:jc w:val="both"/>
        <w:rPr>
          <w:rFonts w:asciiTheme="majorHAnsi" w:hAnsiTheme="majorHAnsi"/>
          <w:sz w:val="20"/>
          <w:szCs w:val="20"/>
        </w:rPr>
      </w:pPr>
      <w:r w:rsidRPr="00A8170B">
        <w:rPr>
          <w:rFonts w:asciiTheme="majorHAnsi" w:hAnsiTheme="majorHAnsi"/>
          <w:sz w:val="20"/>
          <w:szCs w:val="20"/>
        </w:rPr>
        <w:t>4.</w:t>
      </w:r>
      <w:r w:rsidR="007F1E0B">
        <w:rPr>
          <w:rFonts w:asciiTheme="majorHAnsi" w:hAnsiTheme="majorHAnsi"/>
          <w:sz w:val="20"/>
          <w:szCs w:val="20"/>
        </w:rPr>
        <w:tab/>
      </w:r>
      <w:r w:rsidRPr="00A8170B">
        <w:rPr>
          <w:rFonts w:asciiTheme="majorHAnsi" w:hAnsiTheme="majorHAnsi"/>
          <w:sz w:val="20"/>
          <w:szCs w:val="20"/>
        </w:rPr>
        <w:t xml:space="preserve">The State on its behalf alleges the inadmissibility of the petition. It alleges incompetence </w:t>
      </w:r>
      <w:r w:rsidRPr="00A8170B">
        <w:rPr>
          <w:rFonts w:asciiTheme="majorHAnsi" w:hAnsiTheme="majorHAnsi"/>
          <w:i/>
          <w:sz w:val="20"/>
          <w:szCs w:val="20"/>
        </w:rPr>
        <w:t>ratione materiae</w:t>
      </w:r>
      <w:r w:rsidRPr="00A8170B">
        <w:rPr>
          <w:rFonts w:asciiTheme="majorHAnsi" w:hAnsiTheme="majorHAnsi"/>
          <w:sz w:val="20"/>
          <w:szCs w:val="20"/>
        </w:rPr>
        <w:t>, since it states that the petitioner alleges rights that are not part of the Convention, such as the right to identity, development and welfare. It argues that the violation of the aforementioned rights cannot be discussed under the system of petitions and cases because they are not part of the Commission's material jurisdiction, since they are not foreseen in the Convention or in the Additional Protocol to the American Convention in of Economic, Social and Cultural Rights.</w:t>
      </w:r>
    </w:p>
    <w:p w14:paraId="0C6D12E3" w14:textId="77777777" w:rsidR="00953A34" w:rsidRPr="00A8170B" w:rsidRDefault="00953A34" w:rsidP="00A8170B">
      <w:pPr>
        <w:jc w:val="both"/>
        <w:rPr>
          <w:rFonts w:asciiTheme="majorHAnsi" w:hAnsiTheme="majorHAnsi"/>
          <w:sz w:val="20"/>
          <w:szCs w:val="20"/>
        </w:rPr>
      </w:pPr>
    </w:p>
    <w:p w14:paraId="6CC3F6E7" w14:textId="1D1D34BF" w:rsidR="00953A34" w:rsidRDefault="00953A34" w:rsidP="007F1E0B">
      <w:pPr>
        <w:ind w:firstLine="720"/>
        <w:jc w:val="both"/>
        <w:rPr>
          <w:rFonts w:asciiTheme="majorHAnsi" w:hAnsiTheme="majorHAnsi"/>
          <w:sz w:val="20"/>
          <w:szCs w:val="20"/>
        </w:rPr>
      </w:pPr>
      <w:r w:rsidRPr="00A8170B">
        <w:rPr>
          <w:rFonts w:asciiTheme="majorHAnsi" w:hAnsiTheme="majorHAnsi"/>
          <w:sz w:val="20"/>
          <w:szCs w:val="20"/>
        </w:rPr>
        <w:t>5.</w:t>
      </w:r>
      <w:r w:rsidR="007F1E0B">
        <w:rPr>
          <w:rFonts w:asciiTheme="majorHAnsi" w:hAnsiTheme="majorHAnsi"/>
          <w:sz w:val="20"/>
          <w:szCs w:val="20"/>
        </w:rPr>
        <w:tab/>
      </w:r>
      <w:r w:rsidRPr="00A8170B">
        <w:rPr>
          <w:rFonts w:asciiTheme="majorHAnsi" w:hAnsiTheme="majorHAnsi"/>
          <w:sz w:val="20"/>
          <w:szCs w:val="20"/>
        </w:rPr>
        <w:t>In addition, it alleges that the remedies exhausted by the alleged victim were not suitable, since, according to domestic legislation, the procedure for contesting administrative decisions is the contentious-administrative procedure. It affirms that even in the hypothesis that the habeas corpus exercised by the alleged victim is considered as an adequate way in this case, "many of the acts that allegedly violated their rights have not been questioned internally." It indicates that the claim in the writ of habeas corpus was to be granted a duplicate DNI, however, "in the aforementioned petition for protection, the petitioner never questioned the cancellation of her registration (...), nor that was it rectified or specified that the sex that should appear was the female ". Likewise, regarding the petitioner's allegation that the Constitutional Court's decision is not clear in its decision, she could have presented the request for clarification in accordance with the Constitutional Procedural Code, but she did not do so, which shows that she did not exhaust the internal resources.</w:t>
      </w:r>
    </w:p>
    <w:p w14:paraId="047D4CE5" w14:textId="77777777" w:rsidR="007F1E0B" w:rsidRPr="00A8170B" w:rsidRDefault="007F1E0B" w:rsidP="007F1E0B">
      <w:pPr>
        <w:ind w:firstLine="720"/>
        <w:jc w:val="both"/>
        <w:rPr>
          <w:rFonts w:asciiTheme="majorHAnsi" w:hAnsiTheme="majorHAnsi"/>
          <w:sz w:val="20"/>
          <w:szCs w:val="20"/>
        </w:rPr>
      </w:pPr>
    </w:p>
    <w:p w14:paraId="67BBE80C" w14:textId="32666540" w:rsidR="00953A34" w:rsidRPr="00A8170B" w:rsidRDefault="00953A34" w:rsidP="007F1E0B">
      <w:pPr>
        <w:ind w:firstLine="720"/>
        <w:jc w:val="both"/>
        <w:rPr>
          <w:rFonts w:asciiTheme="majorHAnsi" w:hAnsiTheme="majorHAnsi"/>
          <w:sz w:val="20"/>
          <w:szCs w:val="20"/>
        </w:rPr>
      </w:pPr>
      <w:r w:rsidRPr="00A8170B">
        <w:rPr>
          <w:rFonts w:asciiTheme="majorHAnsi" w:hAnsiTheme="majorHAnsi"/>
          <w:sz w:val="20"/>
          <w:szCs w:val="20"/>
        </w:rPr>
        <w:t>6.</w:t>
      </w:r>
      <w:r w:rsidR="007F1E0B">
        <w:rPr>
          <w:rFonts w:asciiTheme="majorHAnsi" w:hAnsiTheme="majorHAnsi"/>
          <w:sz w:val="20"/>
          <w:szCs w:val="20"/>
        </w:rPr>
        <w:tab/>
      </w:r>
      <w:r w:rsidRPr="00A8170B">
        <w:rPr>
          <w:rFonts w:asciiTheme="majorHAnsi" w:hAnsiTheme="majorHAnsi"/>
          <w:sz w:val="20"/>
          <w:szCs w:val="20"/>
        </w:rPr>
        <w:t xml:space="preserve">In addition, with regard to the petition for habeas corpus filed against the Constitutional Court for omission of acts of mandatory compliance, declared unfounded on October 17, 2006, it indicates that "the petitioner has not shown that she filed an appeal, by which it is understood that </w:t>
      </w:r>
      <w:r w:rsidR="007775C1" w:rsidRPr="00A8170B">
        <w:rPr>
          <w:rFonts w:asciiTheme="majorHAnsi" w:hAnsiTheme="majorHAnsi"/>
          <w:sz w:val="20"/>
          <w:szCs w:val="20"/>
        </w:rPr>
        <w:t>s</w:t>
      </w:r>
      <w:r w:rsidR="00AB35F7" w:rsidRPr="00A8170B">
        <w:rPr>
          <w:rFonts w:asciiTheme="majorHAnsi" w:hAnsiTheme="majorHAnsi"/>
          <w:sz w:val="20"/>
          <w:szCs w:val="20"/>
        </w:rPr>
        <w:t xml:space="preserve">he consented to this </w:t>
      </w:r>
      <w:r w:rsidRPr="00A8170B">
        <w:rPr>
          <w:rFonts w:asciiTheme="majorHAnsi" w:hAnsiTheme="majorHAnsi"/>
          <w:sz w:val="20"/>
          <w:szCs w:val="20"/>
        </w:rPr>
        <w:t xml:space="preserve"> result, without exhausting domestic remedies. " In addition, it states that </w:t>
      </w:r>
      <w:r w:rsidR="007775C1" w:rsidRPr="00A8170B">
        <w:rPr>
          <w:rFonts w:asciiTheme="majorHAnsi" w:hAnsiTheme="majorHAnsi"/>
          <w:sz w:val="20"/>
          <w:szCs w:val="20"/>
        </w:rPr>
        <w:t xml:space="preserve">she </w:t>
      </w:r>
      <w:r w:rsidRPr="00A8170B">
        <w:rPr>
          <w:rFonts w:asciiTheme="majorHAnsi" w:hAnsiTheme="majorHAnsi"/>
          <w:sz w:val="20"/>
          <w:szCs w:val="20"/>
        </w:rPr>
        <w:t xml:space="preserve">did not file a judicial appeal to determine the possible administrative responsibilities in the cancellation of the duplicate records in the RENIEC. It adds that the alleged victim did not exhaust any civil damages proceeding to request compensation for the allegedly violating acts. As an example, </w:t>
      </w:r>
      <w:r w:rsidR="007775C1" w:rsidRPr="00A8170B">
        <w:rPr>
          <w:rFonts w:asciiTheme="majorHAnsi" w:hAnsiTheme="majorHAnsi"/>
          <w:sz w:val="20"/>
          <w:szCs w:val="20"/>
        </w:rPr>
        <w:t>it</w:t>
      </w:r>
      <w:r w:rsidRPr="00A8170B">
        <w:rPr>
          <w:rFonts w:asciiTheme="majorHAnsi" w:hAnsiTheme="majorHAnsi"/>
          <w:sz w:val="20"/>
          <w:szCs w:val="20"/>
        </w:rPr>
        <w:t xml:space="preserve">says that </w:t>
      </w:r>
      <w:r w:rsidR="007775C1" w:rsidRPr="00A8170B">
        <w:rPr>
          <w:rFonts w:asciiTheme="majorHAnsi" w:hAnsiTheme="majorHAnsi"/>
          <w:sz w:val="20"/>
          <w:szCs w:val="20"/>
        </w:rPr>
        <w:t>s</w:t>
      </w:r>
      <w:r w:rsidRPr="00A8170B">
        <w:rPr>
          <w:rFonts w:asciiTheme="majorHAnsi" w:hAnsiTheme="majorHAnsi"/>
          <w:sz w:val="20"/>
          <w:szCs w:val="20"/>
        </w:rPr>
        <w:t>he could have initiated an action under the Civil Code in order to safeguard his right to the name or honor.</w:t>
      </w:r>
    </w:p>
    <w:p w14:paraId="6784B491" w14:textId="77777777" w:rsidR="007775C1" w:rsidRPr="00A8170B" w:rsidRDefault="007775C1" w:rsidP="00A8170B">
      <w:pPr>
        <w:jc w:val="both"/>
        <w:rPr>
          <w:rFonts w:asciiTheme="majorHAnsi" w:hAnsiTheme="majorHAnsi"/>
          <w:sz w:val="20"/>
          <w:szCs w:val="20"/>
        </w:rPr>
      </w:pPr>
    </w:p>
    <w:p w14:paraId="78CAB596" w14:textId="4A785A9C" w:rsidR="007775C1" w:rsidRPr="00A8170B" w:rsidRDefault="007775C1" w:rsidP="007F1E0B">
      <w:pPr>
        <w:ind w:firstLine="720"/>
        <w:jc w:val="both"/>
        <w:rPr>
          <w:rFonts w:asciiTheme="majorHAnsi" w:hAnsiTheme="majorHAnsi"/>
          <w:sz w:val="20"/>
          <w:szCs w:val="20"/>
        </w:rPr>
      </w:pPr>
      <w:proofErr w:type="gramStart"/>
      <w:r w:rsidRPr="00A8170B">
        <w:rPr>
          <w:rFonts w:asciiTheme="majorHAnsi" w:hAnsiTheme="majorHAnsi"/>
          <w:sz w:val="20"/>
          <w:szCs w:val="20"/>
        </w:rPr>
        <w:t>7.</w:t>
      </w:r>
      <w:r w:rsidR="007F1E0B">
        <w:rPr>
          <w:rFonts w:asciiTheme="majorHAnsi" w:hAnsiTheme="majorHAnsi"/>
          <w:sz w:val="20"/>
          <w:szCs w:val="20"/>
        </w:rPr>
        <w:tab/>
      </w:r>
      <w:r w:rsidRPr="00A8170B">
        <w:rPr>
          <w:rFonts w:asciiTheme="majorHAnsi" w:hAnsiTheme="majorHAnsi"/>
          <w:sz w:val="20"/>
          <w:szCs w:val="20"/>
        </w:rPr>
        <w:t>Additionally, regarding the allegation that her "female sex" had not been reestablished, she affirms that without prejudice to the alleged lack of exhaustion that the State raises, in case the Commission considers that the Constitutional Court ruling of April 20, 2006, the internal instance would have exhausted, the term of presentation of the denunciation should be counted from the date of n</w:t>
      </w:r>
      <w:r w:rsidR="00AB35F7" w:rsidRPr="00A8170B">
        <w:rPr>
          <w:rFonts w:asciiTheme="majorHAnsi" w:hAnsiTheme="majorHAnsi"/>
          <w:sz w:val="20"/>
          <w:szCs w:val="20"/>
        </w:rPr>
        <w:t xml:space="preserve">otification of the latter </w:t>
      </w:r>
      <w:r w:rsidR="00163B05" w:rsidRPr="00A8170B">
        <w:rPr>
          <w:rFonts w:asciiTheme="majorHAnsi" w:hAnsiTheme="majorHAnsi"/>
          <w:sz w:val="20"/>
          <w:szCs w:val="20"/>
        </w:rPr>
        <w:t>judgment.</w:t>
      </w:r>
      <w:proofErr w:type="gramEnd"/>
      <w:r w:rsidR="00163B05" w:rsidRPr="00A8170B">
        <w:rPr>
          <w:rFonts w:asciiTheme="majorHAnsi" w:hAnsiTheme="majorHAnsi"/>
          <w:sz w:val="20"/>
          <w:szCs w:val="20"/>
        </w:rPr>
        <w:t xml:space="preserve"> It</w:t>
      </w:r>
      <w:r w:rsidRPr="00A8170B">
        <w:rPr>
          <w:rFonts w:asciiTheme="majorHAnsi" w:hAnsiTheme="majorHAnsi"/>
          <w:sz w:val="20"/>
          <w:szCs w:val="20"/>
        </w:rPr>
        <w:t xml:space="preserve"> affirms that although the alleged victim claims to have been notified on April 8, 2007, "</w:t>
      </w:r>
      <w:r w:rsidR="00163B05" w:rsidRPr="00A8170B">
        <w:rPr>
          <w:rFonts w:asciiTheme="majorHAnsi" w:hAnsiTheme="majorHAnsi"/>
          <w:sz w:val="20"/>
          <w:szCs w:val="20"/>
        </w:rPr>
        <w:t>s</w:t>
      </w:r>
      <w:r w:rsidRPr="00A8170B">
        <w:rPr>
          <w:rFonts w:asciiTheme="majorHAnsi" w:hAnsiTheme="majorHAnsi"/>
          <w:sz w:val="20"/>
          <w:szCs w:val="20"/>
        </w:rPr>
        <w:t>he has not attached the document that allows corroborating the corresp</w:t>
      </w:r>
      <w:r w:rsidR="00AB35F7" w:rsidRPr="00A8170B">
        <w:rPr>
          <w:rFonts w:asciiTheme="majorHAnsi" w:hAnsiTheme="majorHAnsi"/>
          <w:sz w:val="20"/>
          <w:szCs w:val="20"/>
        </w:rPr>
        <w:t>onding notification date of the latter</w:t>
      </w:r>
      <w:r w:rsidRPr="00A8170B">
        <w:rPr>
          <w:rFonts w:asciiTheme="majorHAnsi" w:hAnsiTheme="majorHAnsi"/>
          <w:sz w:val="20"/>
          <w:szCs w:val="20"/>
        </w:rPr>
        <w:t xml:space="preserve"> resolution." It indicates that, considering the date of issuance of the judgment, "it is possible to deduce more than reasonably that the submission of the petition before the IACHR far exceeded the term of 6 months - in more than a year - and therefore does not comply with this requirement of admissibility</w:t>
      </w:r>
      <w:r w:rsidR="00163B05" w:rsidRPr="00A8170B">
        <w:rPr>
          <w:rFonts w:asciiTheme="majorHAnsi" w:hAnsiTheme="majorHAnsi"/>
          <w:sz w:val="20"/>
          <w:szCs w:val="20"/>
        </w:rPr>
        <w:t>.” It</w:t>
      </w:r>
      <w:r w:rsidRPr="00A8170B">
        <w:rPr>
          <w:rFonts w:asciiTheme="majorHAnsi" w:hAnsiTheme="majorHAnsi"/>
          <w:sz w:val="20"/>
          <w:szCs w:val="20"/>
        </w:rPr>
        <w:t xml:space="preserve"> adds that on the website of the Constitutional Court the sentence was published on October 13, 2006 and in the official newspaper El Peruano on October 24, 2006. It also indicates that the notification charges to RENIEC and the petitioner were issued o</w:t>
      </w:r>
      <w:r w:rsidR="00163B05" w:rsidRPr="00A8170B">
        <w:rPr>
          <w:rFonts w:asciiTheme="majorHAnsi" w:hAnsiTheme="majorHAnsi"/>
          <w:sz w:val="20"/>
          <w:szCs w:val="20"/>
        </w:rPr>
        <w:t>n October 21, 2006, and that her</w:t>
      </w:r>
      <w:r w:rsidRPr="00A8170B">
        <w:rPr>
          <w:rFonts w:asciiTheme="majorHAnsi" w:hAnsiTheme="majorHAnsi"/>
          <w:sz w:val="20"/>
          <w:szCs w:val="20"/>
        </w:rPr>
        <w:t xml:space="preserve"> address is in the same city and district as the RENIEC, it being reasonable to consider that they were notified "if not on the same date, on very close dates". It adds that, in accordance with the RENIEC ruling of April 2, 2008, on November 13, 2006, the alleged victim initiated a rectification procedure for the inscription, requesting a change of name, supporting the request in the Constitutional Court ruling, attaching a copy of it, so that by November 13, 2006, </w:t>
      </w:r>
      <w:r w:rsidR="00163B05" w:rsidRPr="00A8170B">
        <w:rPr>
          <w:rFonts w:asciiTheme="majorHAnsi" w:hAnsiTheme="majorHAnsi"/>
          <w:sz w:val="20"/>
          <w:szCs w:val="20"/>
        </w:rPr>
        <w:t>s</w:t>
      </w:r>
      <w:r w:rsidRPr="00A8170B">
        <w:rPr>
          <w:rFonts w:asciiTheme="majorHAnsi" w:hAnsiTheme="majorHAnsi"/>
          <w:sz w:val="20"/>
          <w:szCs w:val="20"/>
        </w:rPr>
        <w:t>he had full knowledge of the sentence. It adds that, in this case, there is no special circumstance to apply the flexibility criterion of the deadline to submit petitions to the Commission.</w:t>
      </w:r>
    </w:p>
    <w:p w14:paraId="0638E21A" w14:textId="77777777" w:rsidR="007F1E0B" w:rsidRDefault="007F1E0B" w:rsidP="00A8170B">
      <w:pPr>
        <w:jc w:val="both"/>
        <w:rPr>
          <w:rFonts w:asciiTheme="majorHAnsi" w:hAnsiTheme="majorHAnsi"/>
          <w:sz w:val="20"/>
          <w:szCs w:val="20"/>
        </w:rPr>
      </w:pPr>
    </w:p>
    <w:p w14:paraId="13A52DFC" w14:textId="63A477ED" w:rsidR="007775C1" w:rsidRPr="00A8170B" w:rsidRDefault="00163B05" w:rsidP="007F1E0B">
      <w:pPr>
        <w:ind w:firstLine="720"/>
        <w:jc w:val="both"/>
        <w:rPr>
          <w:rFonts w:asciiTheme="majorHAnsi" w:hAnsiTheme="majorHAnsi"/>
          <w:sz w:val="20"/>
          <w:szCs w:val="20"/>
        </w:rPr>
      </w:pPr>
      <w:r w:rsidRPr="00A8170B">
        <w:rPr>
          <w:rFonts w:asciiTheme="majorHAnsi" w:hAnsiTheme="majorHAnsi"/>
          <w:sz w:val="20"/>
          <w:szCs w:val="20"/>
        </w:rPr>
        <w:t>8.</w:t>
      </w:r>
      <w:r w:rsidR="007F1E0B">
        <w:rPr>
          <w:rFonts w:asciiTheme="majorHAnsi" w:hAnsiTheme="majorHAnsi"/>
          <w:sz w:val="20"/>
          <w:szCs w:val="20"/>
        </w:rPr>
        <w:tab/>
      </w:r>
      <w:r w:rsidRPr="00A8170B">
        <w:rPr>
          <w:rFonts w:asciiTheme="majorHAnsi" w:hAnsiTheme="majorHAnsi"/>
          <w:sz w:val="20"/>
          <w:szCs w:val="20"/>
        </w:rPr>
        <w:t>It a</w:t>
      </w:r>
      <w:r w:rsidR="007775C1" w:rsidRPr="00A8170B">
        <w:rPr>
          <w:rFonts w:asciiTheme="majorHAnsi" w:hAnsiTheme="majorHAnsi"/>
          <w:sz w:val="20"/>
          <w:szCs w:val="20"/>
        </w:rPr>
        <w:t xml:space="preserve">ffirms that the inter-American system is subsidiary, </w:t>
      </w:r>
      <w:r w:rsidRPr="00A8170B">
        <w:rPr>
          <w:rFonts w:asciiTheme="majorHAnsi" w:hAnsiTheme="majorHAnsi"/>
          <w:sz w:val="20"/>
          <w:szCs w:val="20"/>
        </w:rPr>
        <w:t>coadjutant</w:t>
      </w:r>
      <w:r w:rsidR="007775C1" w:rsidRPr="00A8170B">
        <w:rPr>
          <w:rFonts w:asciiTheme="majorHAnsi" w:hAnsiTheme="majorHAnsi"/>
          <w:sz w:val="20"/>
          <w:szCs w:val="20"/>
        </w:rPr>
        <w:t xml:space="preserve"> and complementary, and that regardless of the results of an internal judicial process, the Commission is not authorized to intervene and review internal rulings issued in the context of a regular proceeding even when have not been favorable to the appellant. It adds that on the basis of the four</w:t>
      </w:r>
      <w:r w:rsidR="00C91BE4" w:rsidRPr="00A8170B">
        <w:rPr>
          <w:rFonts w:asciiTheme="majorHAnsi" w:hAnsiTheme="majorHAnsi"/>
          <w:sz w:val="20"/>
          <w:szCs w:val="20"/>
        </w:rPr>
        <w:t>th instance, the Commission cannot</w:t>
      </w:r>
      <w:r w:rsidR="007775C1" w:rsidRPr="00A8170B">
        <w:rPr>
          <w:rFonts w:asciiTheme="majorHAnsi" w:hAnsiTheme="majorHAnsi"/>
          <w:sz w:val="20"/>
          <w:szCs w:val="20"/>
        </w:rPr>
        <w:t xml:space="preserve"> review the rulings issued by the national courts that act within its sphere of competence and applying due judicial guarantees, which is what the petitioner intends in this case.</w:t>
      </w:r>
    </w:p>
    <w:p w14:paraId="2A26D17F" w14:textId="77777777" w:rsidR="00C91BE4" w:rsidRPr="00A8170B" w:rsidRDefault="00C91BE4" w:rsidP="00A8170B">
      <w:pPr>
        <w:jc w:val="both"/>
        <w:rPr>
          <w:rFonts w:asciiTheme="majorHAnsi" w:hAnsiTheme="majorHAnsi"/>
          <w:sz w:val="20"/>
          <w:szCs w:val="20"/>
        </w:rPr>
      </w:pPr>
    </w:p>
    <w:p w14:paraId="42E1E501" w14:textId="1C812A5C" w:rsidR="007775C1" w:rsidRPr="00A8170B" w:rsidRDefault="007775C1" w:rsidP="007F1E0B">
      <w:pPr>
        <w:ind w:firstLine="720"/>
        <w:jc w:val="both"/>
        <w:rPr>
          <w:rFonts w:asciiTheme="majorHAnsi" w:hAnsiTheme="majorHAnsi"/>
          <w:sz w:val="20"/>
          <w:szCs w:val="20"/>
        </w:rPr>
      </w:pPr>
      <w:r w:rsidRPr="00A8170B">
        <w:rPr>
          <w:rFonts w:asciiTheme="majorHAnsi" w:hAnsiTheme="majorHAnsi"/>
          <w:sz w:val="20"/>
          <w:szCs w:val="20"/>
        </w:rPr>
        <w:lastRenderedPageBreak/>
        <w:t>9.</w:t>
      </w:r>
      <w:r w:rsidR="007F1E0B">
        <w:rPr>
          <w:rFonts w:asciiTheme="majorHAnsi" w:hAnsiTheme="majorHAnsi"/>
          <w:sz w:val="20"/>
          <w:szCs w:val="20"/>
        </w:rPr>
        <w:tab/>
      </w:r>
      <w:r w:rsidRPr="00A8170B">
        <w:rPr>
          <w:rFonts w:asciiTheme="majorHAnsi" w:hAnsiTheme="majorHAnsi"/>
          <w:sz w:val="20"/>
          <w:szCs w:val="20"/>
        </w:rPr>
        <w:t>Finally, it refers that the petition does not include any fact that constitutes a violation of the alleged rights. It affirms that the fact that generated the alleged violations was the lack of issuance of the DNI of the alleged victim and that RENIEC i</w:t>
      </w:r>
      <w:r w:rsidR="00AB35F7" w:rsidRPr="00A8170B">
        <w:rPr>
          <w:rFonts w:asciiTheme="majorHAnsi" w:hAnsiTheme="majorHAnsi"/>
          <w:sz w:val="20"/>
          <w:szCs w:val="20"/>
        </w:rPr>
        <w:t>ssued the afformentioned</w:t>
      </w:r>
      <w:r w:rsidRPr="00A8170B">
        <w:rPr>
          <w:rFonts w:asciiTheme="majorHAnsi" w:hAnsiTheme="majorHAnsi"/>
          <w:sz w:val="20"/>
          <w:szCs w:val="20"/>
        </w:rPr>
        <w:t xml:space="preserve"> DNI on November 20, 2006, which has not been questioned by the petitioner. It affirms that, when the DNI was issued, the event generating the controversy was corrected, there being no violation of any right at present.</w:t>
      </w:r>
    </w:p>
    <w:p w14:paraId="48F61EBA" w14:textId="149D5CF4" w:rsidR="00C91BE4" w:rsidRPr="007775C1" w:rsidRDefault="00A8170B" w:rsidP="00A8170B">
      <w:pPr>
        <w:spacing w:before="240" w:after="240"/>
        <w:ind w:left="1440" w:hanging="720"/>
        <w:jc w:val="both"/>
        <w:rPr>
          <w:rFonts w:asciiTheme="majorHAnsi" w:hAnsiTheme="majorHAnsi"/>
          <w:b/>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r>
        <w:rPr>
          <w:rFonts w:asciiTheme="majorHAnsi" w:hAnsiTheme="majorHAnsi"/>
          <w:b/>
          <w:sz w:val="20"/>
          <w:szCs w:val="20"/>
        </w:rPr>
        <w:tab/>
      </w:r>
      <w:r>
        <w:rPr>
          <w:rFonts w:asciiTheme="majorHAnsi" w:hAnsiTheme="majorHAnsi"/>
          <w:b/>
          <w:sz w:val="20"/>
          <w:szCs w:val="20"/>
        </w:rPr>
        <w:tab/>
      </w:r>
    </w:p>
    <w:p w14:paraId="6CCA6F87" w14:textId="77573B91" w:rsidR="007775C1" w:rsidRPr="00A8170B" w:rsidRDefault="007775C1" w:rsidP="007F1E0B">
      <w:pPr>
        <w:ind w:firstLine="720"/>
        <w:jc w:val="both"/>
        <w:rPr>
          <w:rFonts w:asciiTheme="majorHAnsi" w:hAnsiTheme="majorHAnsi"/>
          <w:sz w:val="20"/>
          <w:szCs w:val="20"/>
        </w:rPr>
      </w:pPr>
      <w:r w:rsidRPr="00A8170B">
        <w:rPr>
          <w:rFonts w:asciiTheme="majorHAnsi" w:hAnsiTheme="majorHAnsi"/>
          <w:sz w:val="20"/>
          <w:szCs w:val="20"/>
        </w:rPr>
        <w:t>10.</w:t>
      </w:r>
      <w:r w:rsidR="007F1E0B">
        <w:rPr>
          <w:rFonts w:asciiTheme="majorHAnsi" w:hAnsiTheme="majorHAnsi"/>
          <w:sz w:val="20"/>
          <w:szCs w:val="20"/>
        </w:rPr>
        <w:tab/>
      </w:r>
      <w:r w:rsidRPr="00A8170B">
        <w:rPr>
          <w:rFonts w:asciiTheme="majorHAnsi" w:hAnsiTheme="majorHAnsi"/>
          <w:sz w:val="20"/>
          <w:szCs w:val="20"/>
        </w:rPr>
        <w:t>The petitioner states that, after</w:t>
      </w:r>
      <w:r w:rsidR="00C91BE4" w:rsidRPr="00A8170B">
        <w:rPr>
          <w:rFonts w:asciiTheme="majorHAnsi" w:hAnsiTheme="majorHAnsi"/>
          <w:sz w:val="20"/>
          <w:szCs w:val="20"/>
        </w:rPr>
        <w:t xml:space="preserve"> having requested a copy of her </w:t>
      </w:r>
      <w:r w:rsidRPr="00A8170B">
        <w:rPr>
          <w:rFonts w:asciiTheme="majorHAnsi" w:hAnsiTheme="majorHAnsi"/>
          <w:sz w:val="20"/>
          <w:szCs w:val="20"/>
        </w:rPr>
        <w:t xml:space="preserve">DNI before the RENIEC and after several years of denial, </w:t>
      </w:r>
      <w:r w:rsidR="00C91BE4" w:rsidRPr="00A8170B">
        <w:rPr>
          <w:rFonts w:asciiTheme="majorHAnsi" w:hAnsiTheme="majorHAnsi"/>
          <w:sz w:val="20"/>
          <w:szCs w:val="20"/>
        </w:rPr>
        <w:t>s</w:t>
      </w:r>
      <w:r w:rsidRPr="00A8170B">
        <w:rPr>
          <w:rFonts w:asciiTheme="majorHAnsi" w:hAnsiTheme="majorHAnsi"/>
          <w:sz w:val="20"/>
          <w:szCs w:val="20"/>
        </w:rPr>
        <w:t>he filed a writ of habeas corpus in two instances, and that the Constitutional Court partially granted the requisite, ordering to the RENIEC that will grant him the duplicate of his DNI with the name of Karen Mañuca Quiroz Cabanillas, but maintaining the intangibil</w:t>
      </w:r>
      <w:r w:rsidR="00C91BE4" w:rsidRPr="00A8170B">
        <w:rPr>
          <w:rFonts w:asciiTheme="majorHAnsi" w:hAnsiTheme="majorHAnsi"/>
          <w:sz w:val="20"/>
          <w:szCs w:val="20"/>
        </w:rPr>
        <w:t>ity of the other elements of her</w:t>
      </w:r>
      <w:r w:rsidRPr="00A8170B">
        <w:rPr>
          <w:rFonts w:asciiTheme="majorHAnsi" w:hAnsiTheme="majorHAnsi"/>
          <w:sz w:val="20"/>
          <w:szCs w:val="20"/>
        </w:rPr>
        <w:t xml:space="preserve"> identity. The alleged victim indicates that </w:t>
      </w:r>
      <w:r w:rsidR="00C91BE4" w:rsidRPr="00A8170B">
        <w:rPr>
          <w:rFonts w:asciiTheme="majorHAnsi" w:hAnsiTheme="majorHAnsi"/>
          <w:sz w:val="20"/>
          <w:szCs w:val="20"/>
        </w:rPr>
        <w:t>s</w:t>
      </w:r>
      <w:r w:rsidRPr="00A8170B">
        <w:rPr>
          <w:rFonts w:asciiTheme="majorHAnsi" w:hAnsiTheme="majorHAnsi"/>
          <w:sz w:val="20"/>
          <w:szCs w:val="20"/>
        </w:rPr>
        <w:t>h</w:t>
      </w:r>
      <w:r w:rsidR="00AB35F7" w:rsidRPr="00A8170B">
        <w:rPr>
          <w:rFonts w:asciiTheme="majorHAnsi" w:hAnsiTheme="majorHAnsi"/>
          <w:sz w:val="20"/>
          <w:szCs w:val="20"/>
        </w:rPr>
        <w:t>e was notified of the afformentioned</w:t>
      </w:r>
      <w:r w:rsidRPr="00A8170B">
        <w:rPr>
          <w:rFonts w:asciiTheme="majorHAnsi" w:hAnsiTheme="majorHAnsi"/>
          <w:sz w:val="20"/>
          <w:szCs w:val="20"/>
        </w:rPr>
        <w:t xml:space="preserve"> sentence on April 8, 2007 and that </w:t>
      </w:r>
      <w:r w:rsidR="00C91BE4" w:rsidRPr="00A8170B">
        <w:rPr>
          <w:rFonts w:asciiTheme="majorHAnsi" w:hAnsiTheme="majorHAnsi"/>
          <w:sz w:val="20"/>
          <w:szCs w:val="20"/>
        </w:rPr>
        <w:t>s</w:t>
      </w:r>
      <w:r w:rsidRPr="00A8170B">
        <w:rPr>
          <w:rFonts w:asciiTheme="majorHAnsi" w:hAnsiTheme="majorHAnsi"/>
          <w:sz w:val="20"/>
          <w:szCs w:val="20"/>
        </w:rPr>
        <w:t>he had to file a habeas corpus in order for the</w:t>
      </w:r>
      <w:r w:rsidR="00C91BE4" w:rsidRPr="00A8170B">
        <w:rPr>
          <w:rFonts w:asciiTheme="majorHAnsi" w:hAnsiTheme="majorHAnsi"/>
          <w:sz w:val="20"/>
          <w:szCs w:val="20"/>
        </w:rPr>
        <w:t xml:space="preserve"> Constitutional Court to rule. Sh</w:t>
      </w:r>
      <w:r w:rsidRPr="00A8170B">
        <w:rPr>
          <w:rFonts w:asciiTheme="majorHAnsi" w:hAnsiTheme="majorHAnsi"/>
          <w:sz w:val="20"/>
          <w:szCs w:val="20"/>
        </w:rPr>
        <w:t>e argues that the habeas corpus was the appropriate remedy in this case, because according to the Constitutional Procedural Code, it comes in case of deprivation of the national identity document</w:t>
      </w:r>
      <w:r w:rsidR="00C91BE4" w:rsidRPr="00A8170B">
        <w:rPr>
          <w:rFonts w:asciiTheme="majorHAnsi" w:hAnsiTheme="majorHAnsi"/>
          <w:sz w:val="20"/>
          <w:szCs w:val="20"/>
        </w:rPr>
        <w:t>.</w:t>
      </w:r>
    </w:p>
    <w:p w14:paraId="360154CB" w14:textId="77777777" w:rsidR="00C91BE4" w:rsidRPr="00A8170B" w:rsidRDefault="00C91BE4" w:rsidP="00A8170B">
      <w:pPr>
        <w:jc w:val="both"/>
        <w:rPr>
          <w:rFonts w:asciiTheme="majorHAnsi" w:hAnsiTheme="majorHAnsi"/>
          <w:sz w:val="20"/>
          <w:szCs w:val="20"/>
        </w:rPr>
      </w:pPr>
    </w:p>
    <w:p w14:paraId="0C476E40" w14:textId="3B8044FD"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11.</w:t>
      </w:r>
      <w:r w:rsidR="007F1E0B">
        <w:rPr>
          <w:rFonts w:asciiTheme="majorHAnsi" w:hAnsiTheme="majorHAnsi"/>
          <w:sz w:val="20"/>
          <w:szCs w:val="20"/>
        </w:rPr>
        <w:tab/>
      </w:r>
      <w:r w:rsidRPr="00A8170B">
        <w:rPr>
          <w:rFonts w:asciiTheme="majorHAnsi" w:hAnsiTheme="majorHAnsi"/>
          <w:sz w:val="20"/>
          <w:szCs w:val="20"/>
        </w:rPr>
        <w:t>On its behalf, the State affirms that the appropriate and effective domestic remedies were not filed or exhausted, deducting the exception of lack of exhaustion. It alleges that the alleged victim did not exhaust the administrative remedy, and that even if the habeas corpus was considered an adequate remedy, some of the facts alleged were not alleged in the domestic proceeding, indicating that it did not question the cancellation of its registration, nor did it require the rectification of the sex. It adds that there was no appeal for clarification if it was considered that the judgment was unclear and that the judgment of October 17, 2016 issued by the Twelfth Special Criminal Court of the Superior Court of Justice of Lima was also not challenged. It affirms that no resources were exercised to pursue administrative responsibility for the facts denounced, nor the civil action in order to obtain compensation or in order to safeguard their right to the name or honor as provided by the Civil Code. In addition, it alleges that the petition was presented extemporaneously, stating that the petitioner did not offer elements that detract from his knowledge of the judgment issued by the Constitutional Court on April 20, 2006, at least on November 13, 2006, in which the alleged victim implemented the registration rectification procedure, requesting the change of name, supporting the request in the aforementioned ruling of the Constitutional Court, which is why the petition was filed after the deadline.</w:t>
      </w:r>
    </w:p>
    <w:p w14:paraId="42E3726E" w14:textId="77777777" w:rsidR="007F1E0B" w:rsidRDefault="007F1E0B" w:rsidP="00A8170B">
      <w:pPr>
        <w:jc w:val="both"/>
        <w:rPr>
          <w:rFonts w:asciiTheme="majorHAnsi" w:hAnsiTheme="majorHAnsi"/>
          <w:sz w:val="20"/>
          <w:szCs w:val="20"/>
        </w:rPr>
      </w:pPr>
    </w:p>
    <w:p w14:paraId="01FC4530" w14:textId="4C8EF463"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12.</w:t>
      </w:r>
      <w:r w:rsidR="007F1E0B">
        <w:rPr>
          <w:rFonts w:asciiTheme="majorHAnsi" w:hAnsiTheme="majorHAnsi"/>
          <w:sz w:val="20"/>
          <w:szCs w:val="20"/>
        </w:rPr>
        <w:tab/>
      </w:r>
      <w:r w:rsidRPr="00A8170B">
        <w:rPr>
          <w:rFonts w:asciiTheme="majorHAnsi" w:hAnsiTheme="majorHAnsi"/>
          <w:sz w:val="20"/>
          <w:szCs w:val="20"/>
        </w:rPr>
        <w:t>According to the petitioner's allegations and the information available, the Commission identifies that what the alleged victim alleged at the domestic level was obtaining a copy of her DNI that reflected her change of name and sex, for which, after the request for a duplicate before the RENIEC filed a writ of habeas corpus. According to the information, in that appeal he alleged violations of her right to identity, integrity and free development among others. In the same sense, the Constitutional Court observed that the claim presented would not "be limited to the formal issuance of the aforementioned identity document", but that it would be "a new way of identifying oneself" as already indicated in the copy written down in her DNI. The Commission also notes that the Constitutional Court, although partially accepting the request made by the alleged victim and ordering the name to be modified on her ID, decreed that the other elements of her identity, including sex, should not be modified. Given the above, the Commission considers that the procedure that the alleged victim had at the domestic level did not allow her to fully adapt her gender identity in her ID. The Commission also notes that the request for a copy of the DNI, which had her name and female gender, sufficed to understand that the application covered both the correction of the female name and gender.</w:t>
      </w:r>
    </w:p>
    <w:p w14:paraId="234253F5" w14:textId="77777777" w:rsidR="007F1E0B" w:rsidRDefault="007F1E0B" w:rsidP="00A8170B">
      <w:pPr>
        <w:jc w:val="both"/>
        <w:rPr>
          <w:rFonts w:asciiTheme="majorHAnsi" w:hAnsiTheme="majorHAnsi"/>
          <w:sz w:val="20"/>
          <w:szCs w:val="20"/>
        </w:rPr>
      </w:pPr>
    </w:p>
    <w:p w14:paraId="3AC930E6" w14:textId="6C848DFC"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13.</w:t>
      </w:r>
      <w:r w:rsidR="007F1E0B">
        <w:rPr>
          <w:rFonts w:asciiTheme="majorHAnsi" w:hAnsiTheme="majorHAnsi"/>
          <w:sz w:val="20"/>
          <w:szCs w:val="20"/>
        </w:rPr>
        <w:tab/>
      </w:r>
      <w:r w:rsidRPr="00A8170B">
        <w:rPr>
          <w:rFonts w:asciiTheme="majorHAnsi" w:hAnsiTheme="majorHAnsi"/>
          <w:sz w:val="20"/>
          <w:szCs w:val="20"/>
        </w:rPr>
        <w:t xml:space="preserve">Additionally, taking into account the time elapsed since she had requested a copy of her ID card until obtaining it, during which time </w:t>
      </w:r>
      <w:r w:rsidR="00F9282D" w:rsidRPr="00A8170B">
        <w:rPr>
          <w:rFonts w:asciiTheme="majorHAnsi" w:hAnsiTheme="majorHAnsi"/>
          <w:sz w:val="20"/>
          <w:szCs w:val="20"/>
        </w:rPr>
        <w:t>s</w:t>
      </w:r>
      <w:r w:rsidRPr="00A8170B">
        <w:rPr>
          <w:rFonts w:asciiTheme="majorHAnsi" w:hAnsiTheme="majorHAnsi"/>
          <w:sz w:val="20"/>
          <w:szCs w:val="20"/>
        </w:rPr>
        <w:t xml:space="preserve">he would not have had an identity document, the procedure would not have been expeditious. In this regard, the Inter-American Court of Human Rights in its Advisory Opinion OC-24/17 has established that the procedures for requesting the adaptation of identity data in accordance </w:t>
      </w:r>
      <w:r w:rsidRPr="00A8170B">
        <w:rPr>
          <w:rFonts w:asciiTheme="majorHAnsi" w:hAnsiTheme="majorHAnsi"/>
          <w:sz w:val="20"/>
          <w:szCs w:val="20"/>
        </w:rPr>
        <w:lastRenderedPageBreak/>
        <w:t xml:space="preserve">with the self-perceived gender identity </w:t>
      </w:r>
      <w:proofErr w:type="gramStart"/>
      <w:r w:rsidRPr="00A8170B">
        <w:rPr>
          <w:rFonts w:asciiTheme="majorHAnsi" w:hAnsiTheme="majorHAnsi"/>
          <w:sz w:val="20"/>
          <w:szCs w:val="20"/>
        </w:rPr>
        <w:t>must be expedited and carried out with as quickly as possible</w:t>
      </w:r>
      <w:r w:rsidR="00EB6F28">
        <w:rPr>
          <w:rFonts w:asciiTheme="majorHAnsi" w:hAnsiTheme="majorHAnsi"/>
          <w:sz w:val="20"/>
          <w:szCs w:val="20"/>
        </w:rPr>
        <w:t>,</w:t>
      </w:r>
      <w:r w:rsidRPr="00A8170B">
        <w:rPr>
          <w:rFonts w:asciiTheme="majorHAnsi" w:hAnsiTheme="majorHAnsi"/>
          <w:sz w:val="20"/>
          <w:szCs w:val="20"/>
        </w:rPr>
        <w:t xml:space="preserve"> given the degree of affectation that these procedures can have</w:t>
      </w:r>
      <w:proofErr w:type="gramEnd"/>
      <w:r w:rsidR="00EB6F28">
        <w:rPr>
          <w:rStyle w:val="FootnoteReference"/>
          <w:rFonts w:asciiTheme="majorHAnsi" w:hAnsiTheme="majorHAnsi"/>
          <w:sz w:val="20"/>
          <w:szCs w:val="20"/>
        </w:rPr>
        <w:footnoteReference w:id="7"/>
      </w:r>
      <w:r w:rsidRPr="00A8170B">
        <w:rPr>
          <w:rFonts w:asciiTheme="majorHAnsi" w:hAnsiTheme="majorHAnsi"/>
          <w:sz w:val="20"/>
          <w:szCs w:val="20"/>
        </w:rPr>
        <w:t>. For purposes of admissibility, the Commission observes that, through the writ of habeas corpus, the Constitutional Court analyzed the situation raised and ruled in favor of the change of name according to the ruling that ordered its modification years earlier. However,</w:t>
      </w:r>
      <w:r w:rsidR="00F9282D" w:rsidRPr="00A8170B">
        <w:rPr>
          <w:rFonts w:asciiTheme="majorHAnsi" w:hAnsiTheme="majorHAnsi"/>
          <w:sz w:val="20"/>
          <w:szCs w:val="20"/>
        </w:rPr>
        <w:t xml:space="preserve"> it was</w:t>
      </w:r>
      <w:r w:rsidRPr="00A8170B">
        <w:rPr>
          <w:rFonts w:asciiTheme="majorHAnsi" w:hAnsiTheme="majorHAnsi"/>
          <w:sz w:val="20"/>
          <w:szCs w:val="20"/>
        </w:rPr>
        <w:t xml:space="preserve"> indicated that the other elements of identity, including sex, remain "unalterable". In this regard, the Commission concludes that, prima facie, it appeared that there was no due process or appropriate remedy to protect the rights allegedly violated, which is why the exception to exhaustion contemplated in Article 46.2.a of the </w:t>
      </w:r>
      <w:r w:rsidR="00F9282D" w:rsidRPr="00A8170B">
        <w:rPr>
          <w:rFonts w:asciiTheme="majorHAnsi" w:hAnsiTheme="majorHAnsi"/>
          <w:sz w:val="20"/>
          <w:szCs w:val="20"/>
        </w:rPr>
        <w:t xml:space="preserve">American </w:t>
      </w:r>
      <w:r w:rsidRPr="00A8170B">
        <w:rPr>
          <w:rFonts w:asciiTheme="majorHAnsi" w:hAnsiTheme="majorHAnsi"/>
          <w:sz w:val="20"/>
          <w:szCs w:val="20"/>
        </w:rPr>
        <w:t xml:space="preserve">Convention is applicable. </w:t>
      </w:r>
    </w:p>
    <w:p w14:paraId="6D412E11" w14:textId="77777777" w:rsidR="00F9282D" w:rsidRPr="00A8170B" w:rsidRDefault="00F9282D" w:rsidP="00A8170B">
      <w:pPr>
        <w:jc w:val="both"/>
        <w:rPr>
          <w:rFonts w:asciiTheme="majorHAnsi" w:hAnsiTheme="majorHAnsi"/>
          <w:sz w:val="20"/>
          <w:szCs w:val="20"/>
        </w:rPr>
      </w:pPr>
    </w:p>
    <w:p w14:paraId="5365C66A" w14:textId="57344A9D"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14.</w:t>
      </w:r>
      <w:r w:rsidR="007F1E0B">
        <w:rPr>
          <w:rFonts w:asciiTheme="majorHAnsi" w:hAnsiTheme="majorHAnsi"/>
          <w:sz w:val="20"/>
          <w:szCs w:val="20"/>
        </w:rPr>
        <w:tab/>
      </w:r>
      <w:r w:rsidRPr="00A8170B">
        <w:rPr>
          <w:rFonts w:asciiTheme="majorHAnsi" w:hAnsiTheme="majorHAnsi"/>
          <w:sz w:val="20"/>
          <w:szCs w:val="20"/>
        </w:rPr>
        <w:t xml:space="preserve">In addition, the Commission notes that the petition </w:t>
      </w:r>
      <w:proofErr w:type="gramStart"/>
      <w:r w:rsidRPr="00A8170B">
        <w:rPr>
          <w:rFonts w:asciiTheme="majorHAnsi" w:hAnsiTheme="majorHAnsi"/>
          <w:sz w:val="20"/>
          <w:szCs w:val="20"/>
        </w:rPr>
        <w:t>was received</w:t>
      </w:r>
      <w:proofErr w:type="gramEnd"/>
      <w:r w:rsidRPr="00A8170B">
        <w:rPr>
          <w:rFonts w:asciiTheme="majorHAnsi" w:hAnsiTheme="majorHAnsi"/>
          <w:sz w:val="20"/>
          <w:szCs w:val="20"/>
        </w:rPr>
        <w:t xml:space="preserve"> on July 31, 2007, and that the alleged facts that were the subject of the claim would have occurred at least since 2005 and some of the effects would extend to the present. Therefore, in view of the context and characteristics of the present case, the Commission considers that the petition was filed within a reasonable period of time and that the admissibility requirement regarding the filing period must be satisfied. Given the previous one, the Commission will not pronounce on the claim of the State regarding the extemporaneity of the petition.</w:t>
      </w:r>
    </w:p>
    <w:p w14:paraId="75F768A4" w14:textId="5232510C" w:rsidR="00F9282D" w:rsidRPr="00C91BE4" w:rsidRDefault="00A8170B" w:rsidP="00A8170B">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14:paraId="1049ACDA" w14:textId="3F440810"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15.</w:t>
      </w:r>
      <w:r w:rsidR="007F1E0B">
        <w:rPr>
          <w:rFonts w:asciiTheme="majorHAnsi" w:hAnsiTheme="majorHAnsi"/>
          <w:sz w:val="20"/>
          <w:szCs w:val="20"/>
        </w:rPr>
        <w:tab/>
      </w:r>
      <w:r w:rsidRPr="00A8170B">
        <w:rPr>
          <w:rFonts w:asciiTheme="majorHAnsi" w:hAnsiTheme="majorHAnsi"/>
          <w:sz w:val="20"/>
          <w:szCs w:val="20"/>
        </w:rPr>
        <w:t xml:space="preserve">In view of the factual and legal elements presented by the parties and the nature of the matter brought to its attention, the Commission considers that the facts alleged in relation to the various administrative and judicial difficulties experienced by the alleged victim in order to obtain copy of </w:t>
      </w:r>
      <w:r w:rsidR="00F9282D" w:rsidRPr="00A8170B">
        <w:rPr>
          <w:rFonts w:asciiTheme="majorHAnsi" w:hAnsiTheme="majorHAnsi"/>
          <w:sz w:val="20"/>
          <w:szCs w:val="20"/>
        </w:rPr>
        <w:t xml:space="preserve">her </w:t>
      </w:r>
      <w:r w:rsidRPr="00A8170B">
        <w:rPr>
          <w:rFonts w:asciiTheme="majorHAnsi" w:hAnsiTheme="majorHAnsi"/>
          <w:sz w:val="20"/>
          <w:szCs w:val="20"/>
        </w:rPr>
        <w:t>DNI that reflects th</w:t>
      </w:r>
      <w:r w:rsidR="00F9282D" w:rsidRPr="00A8170B">
        <w:rPr>
          <w:rFonts w:asciiTheme="majorHAnsi" w:hAnsiTheme="majorHAnsi"/>
          <w:sz w:val="20"/>
          <w:szCs w:val="20"/>
        </w:rPr>
        <w:t>e name and gender with which she identifies her</w:t>
      </w:r>
      <w:r w:rsidRPr="00A8170B">
        <w:rPr>
          <w:rFonts w:asciiTheme="majorHAnsi" w:hAnsiTheme="majorHAnsi"/>
          <w:sz w:val="20"/>
          <w:szCs w:val="20"/>
        </w:rPr>
        <w:t xml:space="preserve">self, as well as the allegation of having been several years without </w:t>
      </w:r>
      <w:r w:rsidR="00EB6F28">
        <w:rPr>
          <w:rFonts w:asciiTheme="majorHAnsi" w:hAnsiTheme="majorHAnsi"/>
          <w:sz w:val="20"/>
          <w:szCs w:val="20"/>
        </w:rPr>
        <w:t xml:space="preserve">an </w:t>
      </w:r>
      <w:r w:rsidRPr="00A8170B">
        <w:rPr>
          <w:rFonts w:asciiTheme="majorHAnsi" w:hAnsiTheme="majorHAnsi"/>
          <w:sz w:val="20"/>
          <w:szCs w:val="20"/>
        </w:rPr>
        <w:t xml:space="preserve">identification document, </w:t>
      </w:r>
      <w:r w:rsidR="00EB6F28">
        <w:rPr>
          <w:rFonts w:asciiTheme="majorHAnsi" w:hAnsiTheme="majorHAnsi"/>
          <w:sz w:val="20"/>
          <w:szCs w:val="20"/>
        </w:rPr>
        <w:t>as well as</w:t>
      </w:r>
      <w:r w:rsidRPr="00A8170B">
        <w:rPr>
          <w:rFonts w:asciiTheme="majorHAnsi" w:hAnsiTheme="majorHAnsi"/>
          <w:sz w:val="20"/>
          <w:szCs w:val="20"/>
        </w:rPr>
        <w:t xml:space="preserve"> the possible consequences that thi</w:t>
      </w:r>
      <w:r w:rsidR="00F9282D" w:rsidRPr="00A8170B">
        <w:rPr>
          <w:rFonts w:asciiTheme="majorHAnsi" w:hAnsiTheme="majorHAnsi"/>
          <w:sz w:val="20"/>
          <w:szCs w:val="20"/>
        </w:rPr>
        <w:t>s entailed in various areas of her</w:t>
      </w:r>
      <w:r w:rsidRPr="00A8170B">
        <w:rPr>
          <w:rFonts w:asciiTheme="majorHAnsi" w:hAnsiTheme="majorHAnsi"/>
          <w:sz w:val="20"/>
          <w:szCs w:val="20"/>
        </w:rPr>
        <w:t xml:space="preserve"> life, including in the field labor and education, could characterize possible violations of articles 3 (</w:t>
      </w:r>
      <w:r w:rsidR="00036863" w:rsidRPr="00A8170B">
        <w:rPr>
          <w:rFonts w:asciiTheme="majorHAnsi" w:hAnsiTheme="majorHAnsi"/>
          <w:sz w:val="20"/>
          <w:szCs w:val="20"/>
        </w:rPr>
        <w:t xml:space="preserve">juridical </w:t>
      </w:r>
      <w:r w:rsidRPr="00A8170B">
        <w:rPr>
          <w:rFonts w:asciiTheme="majorHAnsi" w:hAnsiTheme="majorHAnsi"/>
          <w:sz w:val="20"/>
          <w:szCs w:val="20"/>
        </w:rPr>
        <w:t>personality), 5 (personal integrity), 8 (judicial</w:t>
      </w:r>
      <w:r w:rsidR="00EB6F28">
        <w:rPr>
          <w:rFonts w:asciiTheme="majorHAnsi" w:hAnsiTheme="majorHAnsi"/>
          <w:sz w:val="20"/>
          <w:szCs w:val="20"/>
        </w:rPr>
        <w:t xml:space="preserve"> guarantees), 11 (</w:t>
      </w:r>
      <w:r w:rsidRPr="00A8170B">
        <w:rPr>
          <w:rFonts w:asciiTheme="majorHAnsi" w:hAnsiTheme="majorHAnsi"/>
          <w:sz w:val="20"/>
          <w:szCs w:val="20"/>
        </w:rPr>
        <w:t>honor and dignity), 13 (freedom of thought and expression), 18 (name), 24 (equality before the law), 25 (judicial protection) and 26 (economic, social and cultural rights) of the American Convention</w:t>
      </w:r>
      <w:r w:rsidR="00EB6F28">
        <w:rPr>
          <w:rFonts w:asciiTheme="majorHAnsi" w:hAnsiTheme="majorHAnsi"/>
          <w:sz w:val="20"/>
          <w:szCs w:val="20"/>
        </w:rPr>
        <w:t>, in relation to its A</w:t>
      </w:r>
      <w:r w:rsidRPr="00A8170B">
        <w:rPr>
          <w:rFonts w:asciiTheme="majorHAnsi" w:hAnsiTheme="majorHAnsi"/>
          <w:sz w:val="20"/>
          <w:szCs w:val="20"/>
        </w:rPr>
        <w:t xml:space="preserve">rticles 1.1. </w:t>
      </w:r>
      <w:r w:rsidR="00F9282D" w:rsidRPr="00A8170B">
        <w:rPr>
          <w:rFonts w:asciiTheme="majorHAnsi" w:hAnsiTheme="majorHAnsi"/>
          <w:sz w:val="20"/>
          <w:szCs w:val="20"/>
        </w:rPr>
        <w:t>and</w:t>
      </w:r>
      <w:r w:rsidRPr="00A8170B">
        <w:rPr>
          <w:rFonts w:asciiTheme="majorHAnsi" w:hAnsiTheme="majorHAnsi"/>
          <w:sz w:val="20"/>
          <w:szCs w:val="20"/>
        </w:rPr>
        <w:t xml:space="preserve"> 2.</w:t>
      </w:r>
    </w:p>
    <w:p w14:paraId="315CF927" w14:textId="77777777" w:rsidR="007F1E0B" w:rsidRDefault="007F1E0B" w:rsidP="00A8170B">
      <w:pPr>
        <w:jc w:val="both"/>
        <w:rPr>
          <w:rFonts w:asciiTheme="majorHAnsi" w:hAnsiTheme="majorHAnsi"/>
          <w:sz w:val="20"/>
          <w:szCs w:val="20"/>
        </w:rPr>
      </w:pPr>
    </w:p>
    <w:p w14:paraId="7578E828" w14:textId="61552936"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16.</w:t>
      </w:r>
      <w:r w:rsidR="007F1E0B">
        <w:rPr>
          <w:rFonts w:asciiTheme="majorHAnsi" w:hAnsiTheme="majorHAnsi"/>
          <w:sz w:val="20"/>
          <w:szCs w:val="20"/>
        </w:rPr>
        <w:tab/>
      </w:r>
      <w:r w:rsidRPr="00A8170B">
        <w:rPr>
          <w:rFonts w:asciiTheme="majorHAnsi" w:hAnsiTheme="majorHAnsi"/>
          <w:sz w:val="20"/>
          <w:szCs w:val="20"/>
        </w:rPr>
        <w:t>Regarding the petitioner's claim about the alleged violation of Article 7 (personal liberty) of the Convention, the Commission observes that the petitioner does not raise specific arguments for h</w:t>
      </w:r>
      <w:r w:rsidR="00F9282D" w:rsidRPr="00A8170B">
        <w:rPr>
          <w:rFonts w:asciiTheme="majorHAnsi" w:hAnsiTheme="majorHAnsi"/>
          <w:sz w:val="20"/>
          <w:szCs w:val="20"/>
        </w:rPr>
        <w:t>er</w:t>
      </w:r>
      <w:r w:rsidRPr="00A8170B">
        <w:rPr>
          <w:rFonts w:asciiTheme="majorHAnsi" w:hAnsiTheme="majorHAnsi"/>
          <w:sz w:val="20"/>
          <w:szCs w:val="20"/>
        </w:rPr>
        <w:t xml:space="preserve"> alleged violation, so it is not appropriate to declare this claim admissible.</w:t>
      </w:r>
    </w:p>
    <w:p w14:paraId="4DDFEC0D" w14:textId="77777777" w:rsidR="007F1E0B" w:rsidRDefault="007F1E0B" w:rsidP="00A8170B">
      <w:pPr>
        <w:jc w:val="both"/>
        <w:rPr>
          <w:rFonts w:asciiTheme="majorHAnsi" w:hAnsiTheme="majorHAnsi"/>
          <w:sz w:val="20"/>
          <w:szCs w:val="20"/>
        </w:rPr>
      </w:pPr>
    </w:p>
    <w:p w14:paraId="3A6F49E2" w14:textId="2F965E72"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17.</w:t>
      </w:r>
      <w:r w:rsidR="007F1E0B">
        <w:rPr>
          <w:rFonts w:asciiTheme="majorHAnsi" w:hAnsiTheme="majorHAnsi"/>
          <w:sz w:val="20"/>
          <w:szCs w:val="20"/>
        </w:rPr>
        <w:tab/>
      </w:r>
      <w:r w:rsidRPr="00A8170B">
        <w:rPr>
          <w:rFonts w:asciiTheme="majorHAnsi" w:hAnsiTheme="majorHAnsi"/>
          <w:sz w:val="20"/>
          <w:szCs w:val="20"/>
        </w:rPr>
        <w:t xml:space="preserve">In addition, with regard to the State's claim regarding incompetence ratione materiae for alleging rights that would not be foreseen in the Convention, such as the right to identity, development and well-being, the Commission must </w:t>
      </w:r>
      <w:r w:rsidR="00AB35F7" w:rsidRPr="00A8170B">
        <w:rPr>
          <w:rFonts w:asciiTheme="majorHAnsi" w:hAnsiTheme="majorHAnsi"/>
          <w:sz w:val="20"/>
          <w:szCs w:val="20"/>
        </w:rPr>
        <w:t>analyze the merits stage if the latter</w:t>
      </w:r>
      <w:r w:rsidR="00EB6F28">
        <w:rPr>
          <w:rFonts w:asciiTheme="majorHAnsi" w:hAnsiTheme="majorHAnsi"/>
          <w:sz w:val="20"/>
          <w:szCs w:val="20"/>
        </w:rPr>
        <w:t xml:space="preserve"> rights are included in the A</w:t>
      </w:r>
      <w:r w:rsidRPr="00A8170B">
        <w:rPr>
          <w:rFonts w:asciiTheme="majorHAnsi" w:hAnsiTheme="majorHAnsi"/>
          <w:sz w:val="20"/>
          <w:szCs w:val="20"/>
        </w:rPr>
        <w:t>rticles mentioned above.</w:t>
      </w:r>
    </w:p>
    <w:p w14:paraId="1B1AE658" w14:textId="77777777" w:rsidR="007F1E0B" w:rsidRDefault="007F1E0B" w:rsidP="00A8170B">
      <w:pPr>
        <w:jc w:val="both"/>
        <w:rPr>
          <w:rFonts w:asciiTheme="majorHAnsi" w:hAnsiTheme="majorHAnsi"/>
          <w:sz w:val="20"/>
          <w:szCs w:val="20"/>
        </w:rPr>
      </w:pPr>
    </w:p>
    <w:p w14:paraId="0927BE91" w14:textId="0AD60090" w:rsidR="00C91BE4" w:rsidRPr="00A8170B" w:rsidRDefault="00C91BE4" w:rsidP="007F1E0B">
      <w:pPr>
        <w:ind w:firstLine="720"/>
        <w:jc w:val="both"/>
        <w:rPr>
          <w:rFonts w:asciiTheme="majorHAnsi" w:hAnsiTheme="majorHAnsi"/>
          <w:sz w:val="20"/>
          <w:szCs w:val="20"/>
        </w:rPr>
      </w:pPr>
      <w:r w:rsidRPr="00A8170B">
        <w:rPr>
          <w:rFonts w:asciiTheme="majorHAnsi" w:hAnsiTheme="majorHAnsi"/>
          <w:sz w:val="20"/>
          <w:szCs w:val="20"/>
        </w:rPr>
        <w:t>18.</w:t>
      </w:r>
      <w:r w:rsidR="007F1E0B">
        <w:rPr>
          <w:rFonts w:asciiTheme="majorHAnsi" w:hAnsiTheme="majorHAnsi"/>
          <w:sz w:val="20"/>
          <w:szCs w:val="20"/>
        </w:rPr>
        <w:tab/>
      </w:r>
      <w:r w:rsidRPr="00A8170B">
        <w:rPr>
          <w:rFonts w:asciiTheme="majorHAnsi" w:hAnsiTheme="majorHAnsi"/>
          <w:sz w:val="20"/>
          <w:szCs w:val="20"/>
        </w:rPr>
        <w:t>Finally, with regard to the argument of the State of the fourth instance, the Commission observes that admitting this petition does not intend to supplant the jurisdiction of the domestic judicial authorities. It will analyze at the merits stage of the present petition, whether the domestic judicial processes complied with the guarantees of due process and judicial protection, and offered due guarantees of access to justice for the alleged victims under the terms of the American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026DEB13"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A8170B" w:rsidRPr="00A8170B">
        <w:rPr>
          <w:rFonts w:asciiTheme="majorHAnsi" w:hAnsiTheme="majorHAnsi"/>
          <w:bCs/>
          <w:sz w:val="20"/>
          <w:szCs w:val="20"/>
        </w:rPr>
        <w:t>3, 5, 8, 11, 13, 18, 24, 25 y 26</w:t>
      </w:r>
      <w:r w:rsidR="00A8170B">
        <w:rPr>
          <w:rFonts w:asciiTheme="majorHAnsi" w:hAnsiTheme="majorHAnsi"/>
          <w:sz w:val="20"/>
          <w:szCs w:val="20"/>
        </w:rPr>
        <w:t xml:space="preserve"> of the American Convention, in accordance with a</w:t>
      </w:r>
      <w:r w:rsidR="007F1E0B">
        <w:rPr>
          <w:rFonts w:asciiTheme="majorHAnsi" w:hAnsiTheme="majorHAnsi"/>
          <w:sz w:val="20"/>
          <w:szCs w:val="20"/>
        </w:rPr>
        <w:t>rticles 1.1 and 2 of the latter;</w:t>
      </w:r>
    </w:p>
    <w:p w14:paraId="7B069E47" w14:textId="35ABF78C"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w:t>
      </w:r>
      <w:r w:rsidRPr="007F1E0B">
        <w:rPr>
          <w:rFonts w:asciiTheme="majorHAnsi" w:eastAsia="Arial Unicode MS" w:hAnsiTheme="majorHAnsi" w:cs="Times New Roman"/>
          <w:color w:val="auto"/>
          <w:sz w:val="20"/>
          <w:szCs w:val="20"/>
          <w:lang w:eastAsia="en-US"/>
        </w:rPr>
        <w:t xml:space="preserve">petition inadmissible </w:t>
      </w:r>
      <w:r w:rsidR="00A8170B" w:rsidRPr="007F1E0B">
        <w:rPr>
          <w:rFonts w:asciiTheme="majorHAnsi" w:eastAsia="Arial Unicode MS" w:hAnsiTheme="majorHAnsi" w:cs="Times New Roman"/>
          <w:color w:val="auto"/>
          <w:sz w:val="20"/>
          <w:szCs w:val="20"/>
          <w:lang w:eastAsia="en-US"/>
        </w:rPr>
        <w:t>in relation</w:t>
      </w:r>
      <w:r w:rsidR="00A8170B">
        <w:rPr>
          <w:rFonts w:asciiTheme="majorHAnsi" w:hAnsiTheme="majorHAnsi"/>
          <w:sz w:val="20"/>
          <w:szCs w:val="20"/>
        </w:rPr>
        <w:t xml:space="preserve"> to Article 7 of the Amercian Convention</w:t>
      </w:r>
      <w:r w:rsidRPr="000B6B7A">
        <w:rPr>
          <w:rFonts w:eastAsia="Arial Unicode MS" w:cs="Times New Roman"/>
          <w:color w:val="auto"/>
          <w:sz w:val="20"/>
          <w:szCs w:val="20"/>
          <w:lang w:eastAsia="en-US"/>
        </w:rPr>
        <w:t>;</w:t>
      </w:r>
      <w:r w:rsidR="001F1902">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58E11971" w14:textId="2C3946EB" w:rsidR="00E764D4" w:rsidRDefault="00F621C3" w:rsidP="00E764D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C2F221C" w14:textId="70AB6085" w:rsidR="00052B17" w:rsidRPr="00365F2F" w:rsidRDefault="005B113F" w:rsidP="00052B17">
      <w:pPr>
        <w:suppressAutoHyphens/>
        <w:ind w:firstLine="720"/>
        <w:jc w:val="both"/>
        <w:rPr>
          <w:rFonts w:ascii="Cambria" w:hAnsi="Cambria"/>
          <w:spacing w:val="-2"/>
          <w:sz w:val="20"/>
        </w:rPr>
      </w:pPr>
      <w:r w:rsidRPr="005B113F">
        <w:rPr>
          <w:rFonts w:ascii="Cambria" w:hAnsi="Cambria"/>
          <w:spacing w:val="-2"/>
          <w:sz w:val="20"/>
        </w:rPr>
        <w:t xml:space="preserve">Approved by the Inter-American Commission on Human Rights in </w:t>
      </w:r>
      <w:r w:rsidR="00052B17" w:rsidRPr="00365F2F">
        <w:rPr>
          <w:rFonts w:ascii="Cambria" w:hAnsi="Cambria"/>
          <w:spacing w:val="-2"/>
          <w:sz w:val="20"/>
        </w:rPr>
        <w:t xml:space="preserve">the city of </w:t>
      </w:r>
      <w:r w:rsidR="00052B17">
        <w:rPr>
          <w:rFonts w:ascii="Cambria" w:hAnsi="Cambria"/>
          <w:spacing w:val="-2"/>
          <w:sz w:val="20"/>
        </w:rPr>
        <w:t>Santo Domingo, Dominican Republic,</w:t>
      </w:r>
      <w:r w:rsidR="00052B17" w:rsidRPr="00365F2F">
        <w:rPr>
          <w:rFonts w:ascii="Cambria" w:hAnsi="Cambria"/>
          <w:spacing w:val="-2"/>
          <w:sz w:val="20"/>
        </w:rPr>
        <w:t xml:space="preserve"> on the </w:t>
      </w:r>
      <w:r w:rsidR="00052B17">
        <w:rPr>
          <w:rFonts w:ascii="Cambria" w:hAnsi="Cambria"/>
          <w:spacing w:val="-2"/>
          <w:sz w:val="20"/>
        </w:rPr>
        <w:t>5</w:t>
      </w:r>
      <w:r w:rsidR="00052B17" w:rsidRPr="009C5D45">
        <w:rPr>
          <w:rFonts w:ascii="Cambria" w:hAnsi="Cambria"/>
          <w:spacing w:val="-2"/>
          <w:sz w:val="20"/>
          <w:vertAlign w:val="superscript"/>
        </w:rPr>
        <w:t>th</w:t>
      </w:r>
      <w:r w:rsidR="00052B17">
        <w:rPr>
          <w:rFonts w:ascii="Cambria" w:hAnsi="Cambria"/>
          <w:spacing w:val="-2"/>
          <w:sz w:val="20"/>
        </w:rPr>
        <w:t xml:space="preserve"> </w:t>
      </w:r>
      <w:r w:rsidR="00052B17" w:rsidRPr="00365F2F">
        <w:rPr>
          <w:rFonts w:ascii="Cambria" w:hAnsi="Cambria"/>
          <w:spacing w:val="-2"/>
          <w:sz w:val="20"/>
        </w:rPr>
        <w:t xml:space="preserve">day of the month of </w:t>
      </w:r>
      <w:proofErr w:type="gramStart"/>
      <w:r w:rsidR="00052B17">
        <w:rPr>
          <w:rFonts w:ascii="Cambria" w:hAnsi="Cambria"/>
          <w:spacing w:val="-2"/>
          <w:sz w:val="20"/>
        </w:rPr>
        <w:t>May</w:t>
      </w:r>
      <w:r w:rsidR="00052B17" w:rsidRPr="00365F2F">
        <w:rPr>
          <w:rFonts w:ascii="Cambria" w:hAnsi="Cambria"/>
          <w:spacing w:val="-2"/>
          <w:sz w:val="20"/>
        </w:rPr>
        <w:t>,</w:t>
      </w:r>
      <w:proofErr w:type="gramEnd"/>
      <w:r w:rsidR="00052B17" w:rsidRPr="00365F2F">
        <w:rPr>
          <w:rFonts w:ascii="Cambria" w:hAnsi="Cambria"/>
          <w:spacing w:val="-2"/>
          <w:sz w:val="20"/>
        </w:rPr>
        <w:t xml:space="preserve"> 201</w:t>
      </w:r>
      <w:r w:rsidR="00052B17">
        <w:rPr>
          <w:rFonts w:ascii="Cambria" w:hAnsi="Cambria"/>
          <w:spacing w:val="-2"/>
          <w:sz w:val="20"/>
        </w:rPr>
        <w:t>8</w:t>
      </w:r>
      <w:r w:rsidR="00052B17" w:rsidRPr="00365F2F">
        <w:rPr>
          <w:rFonts w:ascii="Cambria" w:hAnsi="Cambria"/>
          <w:spacing w:val="-2"/>
          <w:sz w:val="20"/>
        </w:rPr>
        <w:t xml:space="preserve">. (Signed):  </w:t>
      </w:r>
      <w:r w:rsidR="00052B17" w:rsidRPr="00F368A7">
        <w:rPr>
          <w:rFonts w:ascii="Cambria" w:hAnsi="Cambria"/>
          <w:sz w:val="20"/>
        </w:rPr>
        <w:t xml:space="preserve">Margarette May Macaulay, President; Esmeralda E. Arosemena Bernal de Troitiño, </w:t>
      </w:r>
      <w:r w:rsidR="00052B17">
        <w:rPr>
          <w:rFonts w:ascii="Cambria" w:hAnsi="Cambria"/>
          <w:sz w:val="20"/>
        </w:rPr>
        <w:t>First Vice President</w:t>
      </w:r>
      <w:r w:rsidR="00052B17" w:rsidRPr="00F368A7">
        <w:rPr>
          <w:rFonts w:ascii="Cambria" w:hAnsi="Cambria"/>
          <w:sz w:val="20"/>
        </w:rPr>
        <w:t>; Luis Ernesto Vargas Silva, Se</w:t>
      </w:r>
      <w:r w:rsidR="00052B17">
        <w:rPr>
          <w:rFonts w:ascii="Cambria" w:hAnsi="Cambria"/>
          <w:sz w:val="20"/>
        </w:rPr>
        <w:t>cond Vice President</w:t>
      </w:r>
      <w:r w:rsidR="00052B17" w:rsidRPr="00F368A7">
        <w:rPr>
          <w:rFonts w:ascii="Cambria" w:hAnsi="Cambria"/>
          <w:sz w:val="20"/>
        </w:rPr>
        <w:t>; Joel Herná</w:t>
      </w:r>
      <w:r w:rsidR="00052B17">
        <w:rPr>
          <w:rFonts w:ascii="Cambria" w:hAnsi="Cambria"/>
          <w:sz w:val="20"/>
        </w:rPr>
        <w:t>ndez García, Antonia Urrejola, and</w:t>
      </w:r>
      <w:r w:rsidR="00052B17" w:rsidRPr="00F368A7">
        <w:rPr>
          <w:rFonts w:ascii="Cambria" w:hAnsi="Cambria"/>
          <w:sz w:val="20"/>
        </w:rPr>
        <w:t xml:space="preserve"> Flávia Piovesan,</w:t>
      </w:r>
      <w:r w:rsidR="00052B17">
        <w:rPr>
          <w:rFonts w:ascii="Cambria" w:hAnsi="Cambria" w:cs="Arial"/>
          <w:noProof/>
          <w:spacing w:val="-2"/>
          <w:sz w:val="20"/>
        </w:rPr>
        <w:t xml:space="preserve">  </w:t>
      </w:r>
      <w:r w:rsidR="00052B17" w:rsidRPr="00365F2F">
        <w:rPr>
          <w:rFonts w:ascii="Cambria" w:hAnsi="Cambria"/>
          <w:spacing w:val="-2"/>
          <w:sz w:val="20"/>
        </w:rPr>
        <w:t>Commissioners.</w:t>
      </w:r>
    </w:p>
    <w:p w14:paraId="119265B6" w14:textId="77777777" w:rsidR="00052B17" w:rsidRPr="00E764D4" w:rsidRDefault="00052B17" w:rsidP="00052B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42743A32" w14:textId="3447FD46" w:rsidR="00F621C3" w:rsidRPr="00E764D4" w:rsidRDefault="00E764D4" w:rsidP="00E764D4">
      <w:pPr>
        <w:tabs>
          <w:tab w:val="center" w:pos="5400"/>
        </w:tabs>
        <w:suppressAutoHyphens/>
        <w:spacing w:line="276" w:lineRule="auto"/>
        <w:rPr>
          <w:rFonts w:asciiTheme="majorHAnsi" w:hAnsiTheme="majorHAnsi"/>
          <w:sz w:val="16"/>
          <w:szCs w:val="16"/>
        </w:rPr>
      </w:pPr>
      <w:r>
        <w:rPr>
          <w:rFonts w:asciiTheme="majorHAnsi" w:hAnsiTheme="majorHAnsi"/>
          <w:sz w:val="16"/>
          <w:szCs w:val="16"/>
        </w:rPr>
        <w:t xml:space="preserve"> </w:t>
      </w:r>
    </w:p>
    <w:p w14:paraId="198DF6D8" w14:textId="76437230" w:rsidR="00EC44F2" w:rsidRDefault="00EC44F2" w:rsidP="00F621C3">
      <w:pPr>
        <w:tabs>
          <w:tab w:val="center" w:pos="5400"/>
        </w:tabs>
        <w:suppressAutoHyphens/>
        <w:spacing w:line="276" w:lineRule="auto"/>
        <w:rPr>
          <w:rFonts w:asciiTheme="majorHAnsi" w:hAnsiTheme="majorHAnsi"/>
          <w:sz w:val="20"/>
          <w:szCs w:val="20"/>
        </w:rPr>
      </w:pPr>
    </w:p>
    <w:p w14:paraId="1480A4B6" w14:textId="77777777" w:rsidR="00EC44F2" w:rsidRPr="000B6B7A" w:rsidRDefault="00EC44F2"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26B0" w14:textId="77777777" w:rsidR="000C012E" w:rsidRDefault="000C012E" w:rsidP="00036A8A">
      <w:r>
        <w:separator/>
      </w:r>
    </w:p>
  </w:endnote>
  <w:endnote w:type="continuationSeparator" w:id="0">
    <w:p w14:paraId="4021555C" w14:textId="77777777" w:rsidR="000C012E" w:rsidRDefault="000C012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A5758" w14:textId="77777777" w:rsidR="00451821" w:rsidRDefault="00451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7355" w14:textId="77777777" w:rsidR="00451821" w:rsidRDefault="00451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A8EA" w14:textId="77777777" w:rsidR="000C012E" w:rsidRPr="00036A8A" w:rsidRDefault="000C012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088B5B9" w14:textId="77777777" w:rsidR="000C012E" w:rsidRPr="00036A8A" w:rsidRDefault="000C012E" w:rsidP="00036A8A">
      <w:pPr>
        <w:rPr>
          <w:rFonts w:asciiTheme="majorHAnsi" w:hAnsiTheme="majorHAnsi"/>
          <w:sz w:val="16"/>
          <w:szCs w:val="16"/>
        </w:rPr>
      </w:pPr>
      <w:r w:rsidRPr="00036A8A">
        <w:rPr>
          <w:rFonts w:asciiTheme="majorHAnsi" w:hAnsiTheme="majorHAnsi"/>
          <w:sz w:val="16"/>
          <w:szCs w:val="16"/>
        </w:rPr>
        <w:separator/>
      </w:r>
    </w:p>
    <w:p w14:paraId="57B05FA9" w14:textId="77777777" w:rsidR="000C012E" w:rsidRPr="00036A8A" w:rsidRDefault="000C012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2E9835A" w14:textId="77777777" w:rsidR="000C012E" w:rsidRPr="0093441A" w:rsidRDefault="000C012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F20A4DB" w14:textId="280138C7" w:rsidR="00EB6F28" w:rsidRPr="00565F04" w:rsidRDefault="00EB6F28" w:rsidP="00D439A8">
      <w:pPr>
        <w:pStyle w:val="FootnoteText"/>
        <w:ind w:firstLine="720"/>
        <w:jc w:val="both"/>
        <w:rPr>
          <w:rFonts w:asciiTheme="majorHAnsi" w:hAnsiTheme="majorHAnsi"/>
          <w:b/>
          <w:sz w:val="16"/>
          <w:szCs w:val="16"/>
        </w:rPr>
      </w:pPr>
      <w:r w:rsidRPr="00565F04">
        <w:rPr>
          <w:rStyle w:val="FootnoteReference"/>
          <w:rFonts w:asciiTheme="majorHAnsi" w:hAnsiTheme="majorHAnsi"/>
          <w:b/>
          <w:sz w:val="16"/>
          <w:szCs w:val="16"/>
        </w:rPr>
        <w:footnoteRef/>
      </w:r>
      <w:r w:rsidRPr="00565F04">
        <w:rPr>
          <w:rFonts w:asciiTheme="majorHAnsi" w:hAnsiTheme="majorHAnsi"/>
          <w:b/>
          <w:sz w:val="16"/>
          <w:szCs w:val="16"/>
        </w:rPr>
        <w:t xml:space="preserve"> In accordance with the provisions of Article 17.2.</w:t>
      </w:r>
      <w:proofErr w:type="spellStart"/>
      <w:r w:rsidRPr="00565F04">
        <w:rPr>
          <w:rFonts w:asciiTheme="majorHAnsi" w:hAnsiTheme="majorHAnsi"/>
          <w:b/>
          <w:sz w:val="16"/>
          <w:szCs w:val="16"/>
        </w:rPr>
        <w:t>a</w:t>
      </w:r>
      <w:proofErr w:type="spellEnd"/>
      <w:r w:rsidRPr="00565F04">
        <w:rPr>
          <w:rFonts w:asciiTheme="majorHAnsi" w:hAnsiTheme="majorHAnsi"/>
          <w:b/>
          <w:sz w:val="16"/>
          <w:szCs w:val="16"/>
        </w:rPr>
        <w:t xml:space="preserve"> of the Rules of Procedure of the Commission, Commissioner Francisco José Eguiguren Praeli, of Peruvian nationality, did not participate in the debate or in the decision of this case. </w:t>
      </w:r>
    </w:p>
  </w:footnote>
  <w:footnote w:id="3">
    <w:p w14:paraId="1AE752FA" w14:textId="4F21AD96" w:rsidR="00EB6F28" w:rsidRPr="00565F04" w:rsidRDefault="00EB6F28" w:rsidP="00D439A8">
      <w:pPr>
        <w:pStyle w:val="FootnoteText"/>
        <w:ind w:firstLine="720"/>
        <w:jc w:val="both"/>
        <w:rPr>
          <w:rFonts w:asciiTheme="majorHAnsi" w:hAnsiTheme="majorHAnsi"/>
          <w:b/>
          <w:sz w:val="16"/>
          <w:szCs w:val="16"/>
        </w:rPr>
      </w:pPr>
      <w:r w:rsidRPr="00565F04">
        <w:rPr>
          <w:rStyle w:val="FootnoteReference"/>
          <w:rFonts w:asciiTheme="majorHAnsi" w:hAnsiTheme="majorHAnsi"/>
          <w:b/>
          <w:sz w:val="16"/>
          <w:szCs w:val="16"/>
        </w:rPr>
        <w:footnoteRef/>
      </w:r>
      <w:r w:rsidRPr="00565F04">
        <w:rPr>
          <w:rStyle w:val="FootnoteReference"/>
          <w:rFonts w:asciiTheme="majorHAnsi" w:hAnsiTheme="majorHAnsi"/>
          <w:b/>
          <w:sz w:val="16"/>
          <w:szCs w:val="16"/>
        </w:rPr>
        <w:t xml:space="preserve"> </w:t>
      </w:r>
      <w:r w:rsidRPr="00565F04">
        <w:rPr>
          <w:rFonts w:asciiTheme="majorHAnsi" w:hAnsiTheme="majorHAnsi"/>
          <w:b/>
          <w:sz w:val="16"/>
          <w:szCs w:val="16"/>
        </w:rPr>
        <w:t>Hereinafter "Convention" or "American Convention."</w:t>
      </w:r>
    </w:p>
  </w:footnote>
  <w:footnote w:id="4">
    <w:p w14:paraId="76A71793" w14:textId="4354B2B1" w:rsidR="00EB6F28" w:rsidRPr="00565F04" w:rsidRDefault="00EB6F28" w:rsidP="00D439A8">
      <w:pPr>
        <w:pStyle w:val="FootnoteText"/>
        <w:ind w:firstLine="720"/>
        <w:jc w:val="both"/>
        <w:rPr>
          <w:rFonts w:asciiTheme="majorHAnsi" w:hAnsiTheme="majorHAnsi"/>
          <w:b/>
          <w:sz w:val="16"/>
          <w:szCs w:val="16"/>
        </w:rPr>
      </w:pPr>
      <w:r w:rsidRPr="00565F04">
        <w:rPr>
          <w:rStyle w:val="FootnoteReference"/>
          <w:rFonts w:asciiTheme="majorHAnsi" w:hAnsiTheme="majorHAnsi"/>
          <w:b/>
          <w:sz w:val="16"/>
          <w:szCs w:val="16"/>
        </w:rPr>
        <w:footnoteRef/>
      </w:r>
      <w:r w:rsidRPr="00565F04">
        <w:rPr>
          <w:rStyle w:val="FootnoteReference"/>
          <w:rFonts w:asciiTheme="majorHAnsi" w:hAnsiTheme="majorHAnsi"/>
          <w:b/>
          <w:sz w:val="16"/>
          <w:szCs w:val="16"/>
        </w:rPr>
        <w:t xml:space="preserve"> </w:t>
      </w:r>
      <w:r w:rsidRPr="00565F04">
        <w:rPr>
          <w:rFonts w:asciiTheme="majorHAnsi" w:hAnsiTheme="majorHAnsi"/>
          <w:b/>
          <w:sz w:val="16"/>
          <w:szCs w:val="16"/>
        </w:rPr>
        <w:t>Articles 1, 2, 11.1 y 28 of the Universal Declaration of Human Rights.</w:t>
      </w:r>
    </w:p>
  </w:footnote>
  <w:footnote w:id="5">
    <w:p w14:paraId="1129FCA3" w14:textId="70DA1BE5" w:rsidR="00D439A8" w:rsidRPr="00565F04" w:rsidRDefault="00D439A8" w:rsidP="00D439A8">
      <w:pPr>
        <w:pStyle w:val="FootnoteText"/>
        <w:ind w:firstLine="720"/>
        <w:jc w:val="both"/>
        <w:rPr>
          <w:rFonts w:asciiTheme="majorHAnsi" w:hAnsiTheme="majorHAnsi"/>
          <w:b/>
          <w:sz w:val="16"/>
          <w:szCs w:val="16"/>
        </w:rPr>
      </w:pPr>
      <w:r w:rsidRPr="00565F04">
        <w:rPr>
          <w:rStyle w:val="FootnoteReference"/>
          <w:rFonts w:asciiTheme="majorHAnsi" w:hAnsiTheme="majorHAnsi"/>
          <w:b/>
          <w:sz w:val="16"/>
          <w:szCs w:val="16"/>
        </w:rPr>
        <w:footnoteRef/>
      </w:r>
      <w:r w:rsidRPr="00565F04">
        <w:rPr>
          <w:rStyle w:val="FootnoteReference"/>
          <w:rFonts w:asciiTheme="majorHAnsi" w:hAnsiTheme="majorHAnsi"/>
          <w:b/>
          <w:sz w:val="16"/>
          <w:szCs w:val="16"/>
        </w:rPr>
        <w:t xml:space="preserve"> </w:t>
      </w:r>
      <w:r w:rsidRPr="00565F04">
        <w:rPr>
          <w:rFonts w:asciiTheme="majorHAnsi" w:hAnsiTheme="majorHAnsi"/>
          <w:b/>
          <w:sz w:val="16"/>
          <w:szCs w:val="16"/>
        </w:rPr>
        <w:t xml:space="preserve">The observations of each party </w:t>
      </w:r>
      <w:proofErr w:type="gramStart"/>
      <w:r w:rsidRPr="00565F04">
        <w:rPr>
          <w:rFonts w:asciiTheme="majorHAnsi" w:hAnsiTheme="majorHAnsi"/>
          <w:b/>
          <w:sz w:val="16"/>
          <w:szCs w:val="16"/>
        </w:rPr>
        <w:t>were duly transferred</w:t>
      </w:r>
      <w:proofErr w:type="gramEnd"/>
      <w:r w:rsidRPr="00565F04">
        <w:rPr>
          <w:rFonts w:asciiTheme="majorHAnsi" w:hAnsiTheme="majorHAnsi"/>
          <w:b/>
          <w:sz w:val="16"/>
          <w:szCs w:val="16"/>
        </w:rPr>
        <w:t xml:space="preserve"> to the opposing party.</w:t>
      </w:r>
    </w:p>
  </w:footnote>
  <w:footnote w:id="6">
    <w:p w14:paraId="187C616D" w14:textId="77777777" w:rsidR="005512E4" w:rsidRPr="00565F04" w:rsidRDefault="005512E4" w:rsidP="00D439A8">
      <w:pPr>
        <w:pStyle w:val="FootnoteText"/>
        <w:jc w:val="both"/>
        <w:rPr>
          <w:rFonts w:asciiTheme="majorHAnsi" w:hAnsiTheme="majorHAnsi"/>
          <w:b/>
          <w:sz w:val="16"/>
          <w:szCs w:val="16"/>
        </w:rPr>
      </w:pPr>
    </w:p>
  </w:footnote>
  <w:footnote w:id="7">
    <w:p w14:paraId="65D1D2BD" w14:textId="3698895C" w:rsidR="00EB6F28" w:rsidRPr="00565F04" w:rsidRDefault="00EB6F28" w:rsidP="00D439A8">
      <w:pPr>
        <w:pStyle w:val="FootnoteText"/>
        <w:ind w:firstLine="720"/>
        <w:jc w:val="both"/>
        <w:rPr>
          <w:rFonts w:asciiTheme="majorHAnsi" w:hAnsiTheme="majorHAnsi"/>
          <w:b/>
          <w:sz w:val="16"/>
          <w:szCs w:val="16"/>
        </w:rPr>
      </w:pPr>
      <w:r w:rsidRPr="00565F04">
        <w:rPr>
          <w:rStyle w:val="FootnoteReference"/>
          <w:rFonts w:asciiTheme="majorHAnsi" w:hAnsiTheme="majorHAnsi"/>
          <w:b/>
          <w:sz w:val="16"/>
          <w:szCs w:val="16"/>
        </w:rPr>
        <w:footnoteRef/>
      </w:r>
      <w:r w:rsidRPr="00565F04">
        <w:rPr>
          <w:rFonts w:asciiTheme="majorHAnsi" w:hAnsiTheme="majorHAnsi"/>
          <w:b/>
          <w:sz w:val="16"/>
          <w:szCs w:val="16"/>
        </w:rPr>
        <w:t xml:space="preserve"> </w:t>
      </w:r>
      <w:r w:rsidR="00565F04" w:rsidRPr="00565F04">
        <w:rPr>
          <w:rStyle w:val="Strong"/>
          <w:rFonts w:asciiTheme="majorHAnsi" w:hAnsiTheme="majorHAnsi"/>
          <w:b w:val="0"/>
          <w:sz w:val="16"/>
          <w:szCs w:val="16"/>
        </w:rPr>
        <w:t xml:space="preserve">I/A Court H.R. 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Advisory Opinion OC-24/17 of November 24, 2017. Series </w:t>
      </w:r>
      <w:proofErr w:type="gramStart"/>
      <w:r w:rsidR="00565F04" w:rsidRPr="00565F04">
        <w:rPr>
          <w:rStyle w:val="Strong"/>
          <w:rFonts w:asciiTheme="majorHAnsi" w:hAnsiTheme="majorHAnsi"/>
          <w:b w:val="0"/>
          <w:sz w:val="16"/>
          <w:szCs w:val="16"/>
        </w:rPr>
        <w:t>A</w:t>
      </w:r>
      <w:proofErr w:type="gramEnd"/>
      <w:r w:rsidR="00565F04" w:rsidRPr="00565F04">
        <w:rPr>
          <w:rStyle w:val="Strong"/>
          <w:rFonts w:asciiTheme="majorHAnsi" w:hAnsiTheme="majorHAnsi"/>
          <w:b w:val="0"/>
          <w:sz w:val="16"/>
          <w:szCs w:val="16"/>
        </w:rPr>
        <w:t xml:space="preserve"> No. 24</w:t>
      </w:r>
      <w:r w:rsidR="00565F04">
        <w:rPr>
          <w:rStyle w:val="Strong"/>
          <w:rFonts w:asciiTheme="majorHAnsi" w:hAnsiTheme="majorHAnsi"/>
          <w:b w:val="0"/>
          <w:sz w:val="16"/>
          <w:szCs w:val="16"/>
        </w:rPr>
        <w:t>, p</w:t>
      </w:r>
      <w:r w:rsidRPr="00565F04">
        <w:rPr>
          <w:rStyle w:val="Strong"/>
          <w:rFonts w:asciiTheme="majorHAnsi" w:hAnsiTheme="majorHAnsi"/>
          <w:b w:val="0"/>
          <w:bCs w:val="0"/>
          <w:sz w:val="16"/>
          <w:szCs w:val="16"/>
        </w:rPr>
        <w:t>ar</w:t>
      </w:r>
      <w:r w:rsidR="00565F04">
        <w:rPr>
          <w:rStyle w:val="Strong"/>
          <w:rFonts w:asciiTheme="majorHAnsi" w:hAnsiTheme="majorHAnsi"/>
          <w:b w:val="0"/>
          <w:bCs w:val="0"/>
          <w:sz w:val="16"/>
          <w:szCs w:val="16"/>
        </w:rPr>
        <w:t>a</w:t>
      </w:r>
      <w:r w:rsidRPr="00565F04">
        <w:rPr>
          <w:rStyle w:val="Strong"/>
          <w:rFonts w:asciiTheme="majorHAnsi" w:hAnsiTheme="majorHAnsi"/>
          <w:b w:val="0"/>
          <w:bCs w:val="0"/>
          <w:sz w:val="16"/>
          <w:szCs w:val="16"/>
        </w:rPr>
        <w:t>.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C012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4CB8" w14:textId="77777777" w:rsidR="00451821" w:rsidRDefault="00451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851"/>
        </w:tabs>
        <w:ind w:left="131" w:firstLine="720"/>
      </w:pPr>
      <w:rPr>
        <w:rFonts w:hint="default"/>
        <w:i w:val="0"/>
        <w:color w:val="auto"/>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s-AR" w:vendorID="64" w:dllVersion="131078" w:nlCheck="1" w:checkStyle="0"/>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863"/>
    <w:rsid w:val="00036A8A"/>
    <w:rsid w:val="00040C3A"/>
    <w:rsid w:val="00052B17"/>
    <w:rsid w:val="000639C0"/>
    <w:rsid w:val="00070F3A"/>
    <w:rsid w:val="000716C5"/>
    <w:rsid w:val="00075E23"/>
    <w:rsid w:val="00092F32"/>
    <w:rsid w:val="0009344A"/>
    <w:rsid w:val="000A575F"/>
    <w:rsid w:val="000C012E"/>
    <w:rsid w:val="000C4365"/>
    <w:rsid w:val="000D10DB"/>
    <w:rsid w:val="00124116"/>
    <w:rsid w:val="0013104F"/>
    <w:rsid w:val="00137EBA"/>
    <w:rsid w:val="00145EDC"/>
    <w:rsid w:val="00153084"/>
    <w:rsid w:val="00163B05"/>
    <w:rsid w:val="00167A34"/>
    <w:rsid w:val="001714B4"/>
    <w:rsid w:val="0018037F"/>
    <w:rsid w:val="001A5F27"/>
    <w:rsid w:val="001A65E4"/>
    <w:rsid w:val="001A7870"/>
    <w:rsid w:val="001A7FB9"/>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8493A"/>
    <w:rsid w:val="002B5833"/>
    <w:rsid w:val="002B7A85"/>
    <w:rsid w:val="002C1641"/>
    <w:rsid w:val="002C1BA9"/>
    <w:rsid w:val="002D2ADF"/>
    <w:rsid w:val="002D7EA2"/>
    <w:rsid w:val="002E15DF"/>
    <w:rsid w:val="002E187C"/>
    <w:rsid w:val="002E6E57"/>
    <w:rsid w:val="00301075"/>
    <w:rsid w:val="00302733"/>
    <w:rsid w:val="00311A4F"/>
    <w:rsid w:val="0031361A"/>
    <w:rsid w:val="00314078"/>
    <w:rsid w:val="00321AFD"/>
    <w:rsid w:val="00322450"/>
    <w:rsid w:val="003246B5"/>
    <w:rsid w:val="0033169F"/>
    <w:rsid w:val="003414AC"/>
    <w:rsid w:val="00356185"/>
    <w:rsid w:val="00360380"/>
    <w:rsid w:val="003771A3"/>
    <w:rsid w:val="00386CF0"/>
    <w:rsid w:val="003A4348"/>
    <w:rsid w:val="003C32BC"/>
    <w:rsid w:val="003C47F6"/>
    <w:rsid w:val="003E3E03"/>
    <w:rsid w:val="003F1BBF"/>
    <w:rsid w:val="004162B1"/>
    <w:rsid w:val="004165C2"/>
    <w:rsid w:val="00450A4A"/>
    <w:rsid w:val="00451821"/>
    <w:rsid w:val="00455CDC"/>
    <w:rsid w:val="004666FB"/>
    <w:rsid w:val="00466D0B"/>
    <w:rsid w:val="00467B7E"/>
    <w:rsid w:val="0049419D"/>
    <w:rsid w:val="004B2762"/>
    <w:rsid w:val="004B7EB6"/>
    <w:rsid w:val="004C2291"/>
    <w:rsid w:val="004C41DE"/>
    <w:rsid w:val="004C4B62"/>
    <w:rsid w:val="004D6025"/>
    <w:rsid w:val="004D72BC"/>
    <w:rsid w:val="004F6B67"/>
    <w:rsid w:val="00501399"/>
    <w:rsid w:val="00507BC4"/>
    <w:rsid w:val="005128E4"/>
    <w:rsid w:val="00525560"/>
    <w:rsid w:val="005357A6"/>
    <w:rsid w:val="00537DEC"/>
    <w:rsid w:val="00544C49"/>
    <w:rsid w:val="00550A85"/>
    <w:rsid w:val="005512E4"/>
    <w:rsid w:val="00565F04"/>
    <w:rsid w:val="0057402A"/>
    <w:rsid w:val="005771D0"/>
    <w:rsid w:val="005816E5"/>
    <w:rsid w:val="0059191A"/>
    <w:rsid w:val="005921FF"/>
    <w:rsid w:val="00592718"/>
    <w:rsid w:val="005A6D0E"/>
    <w:rsid w:val="005B113F"/>
    <w:rsid w:val="005B222D"/>
    <w:rsid w:val="005B52B0"/>
    <w:rsid w:val="005B6806"/>
    <w:rsid w:val="005C00F9"/>
    <w:rsid w:val="005C4225"/>
    <w:rsid w:val="005F0F33"/>
    <w:rsid w:val="00600DEB"/>
    <w:rsid w:val="00611B10"/>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0470"/>
    <w:rsid w:val="006E7B34"/>
    <w:rsid w:val="00701B24"/>
    <w:rsid w:val="00711DB4"/>
    <w:rsid w:val="0071495F"/>
    <w:rsid w:val="0073798E"/>
    <w:rsid w:val="00745899"/>
    <w:rsid w:val="00752E54"/>
    <w:rsid w:val="007607C4"/>
    <w:rsid w:val="0076643F"/>
    <w:rsid w:val="007775C1"/>
    <w:rsid w:val="00781653"/>
    <w:rsid w:val="007A2F70"/>
    <w:rsid w:val="007B5120"/>
    <w:rsid w:val="007C3334"/>
    <w:rsid w:val="007C52BB"/>
    <w:rsid w:val="007D2B98"/>
    <w:rsid w:val="007F1E0B"/>
    <w:rsid w:val="00803F1C"/>
    <w:rsid w:val="0080600E"/>
    <w:rsid w:val="00806F90"/>
    <w:rsid w:val="00817612"/>
    <w:rsid w:val="00837C45"/>
    <w:rsid w:val="00853419"/>
    <w:rsid w:val="008550F3"/>
    <w:rsid w:val="00897E12"/>
    <w:rsid w:val="008D43BA"/>
    <w:rsid w:val="008E3759"/>
    <w:rsid w:val="009041DC"/>
    <w:rsid w:val="009104B4"/>
    <w:rsid w:val="009228DA"/>
    <w:rsid w:val="00925FCD"/>
    <w:rsid w:val="0093441A"/>
    <w:rsid w:val="00953A34"/>
    <w:rsid w:val="00954BF7"/>
    <w:rsid w:val="0096706E"/>
    <w:rsid w:val="00981FBA"/>
    <w:rsid w:val="009B381B"/>
    <w:rsid w:val="009D7611"/>
    <w:rsid w:val="009E53DE"/>
    <w:rsid w:val="009E566A"/>
    <w:rsid w:val="00A12DBC"/>
    <w:rsid w:val="00A43458"/>
    <w:rsid w:val="00A528D1"/>
    <w:rsid w:val="00A66BE5"/>
    <w:rsid w:val="00A67CD3"/>
    <w:rsid w:val="00A8170B"/>
    <w:rsid w:val="00AB35F7"/>
    <w:rsid w:val="00AD37C1"/>
    <w:rsid w:val="00AE66EC"/>
    <w:rsid w:val="00AE6F91"/>
    <w:rsid w:val="00AE7E15"/>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04E5"/>
    <w:rsid w:val="00C55560"/>
    <w:rsid w:val="00C66B72"/>
    <w:rsid w:val="00C91BE4"/>
    <w:rsid w:val="00C9567A"/>
    <w:rsid w:val="00CA6577"/>
    <w:rsid w:val="00CB2660"/>
    <w:rsid w:val="00CC5E90"/>
    <w:rsid w:val="00CD046C"/>
    <w:rsid w:val="00CE5199"/>
    <w:rsid w:val="00CE66D5"/>
    <w:rsid w:val="00CF610C"/>
    <w:rsid w:val="00CF6F45"/>
    <w:rsid w:val="00D34786"/>
    <w:rsid w:val="00D40A1E"/>
    <w:rsid w:val="00D439A8"/>
    <w:rsid w:val="00D533C0"/>
    <w:rsid w:val="00D712D3"/>
    <w:rsid w:val="00D71422"/>
    <w:rsid w:val="00D7145E"/>
    <w:rsid w:val="00D75084"/>
    <w:rsid w:val="00D7558D"/>
    <w:rsid w:val="00D81D92"/>
    <w:rsid w:val="00D93446"/>
    <w:rsid w:val="00DA78E9"/>
    <w:rsid w:val="00DA7B5F"/>
    <w:rsid w:val="00DD4136"/>
    <w:rsid w:val="00DF078B"/>
    <w:rsid w:val="00DF350D"/>
    <w:rsid w:val="00E227C1"/>
    <w:rsid w:val="00E43157"/>
    <w:rsid w:val="00E47F3D"/>
    <w:rsid w:val="00E533FF"/>
    <w:rsid w:val="00E709B3"/>
    <w:rsid w:val="00E7588C"/>
    <w:rsid w:val="00E764D4"/>
    <w:rsid w:val="00E850B6"/>
    <w:rsid w:val="00E8789F"/>
    <w:rsid w:val="00E97B71"/>
    <w:rsid w:val="00EB454D"/>
    <w:rsid w:val="00EB6F28"/>
    <w:rsid w:val="00EC44F2"/>
    <w:rsid w:val="00ED0D1B"/>
    <w:rsid w:val="00EE3522"/>
    <w:rsid w:val="00EF619B"/>
    <w:rsid w:val="00F00B55"/>
    <w:rsid w:val="00F1380F"/>
    <w:rsid w:val="00F14F0E"/>
    <w:rsid w:val="00F15A3B"/>
    <w:rsid w:val="00F24C29"/>
    <w:rsid w:val="00F253CC"/>
    <w:rsid w:val="00F42B71"/>
    <w:rsid w:val="00F56BA5"/>
    <w:rsid w:val="00F621C3"/>
    <w:rsid w:val="00F644E6"/>
    <w:rsid w:val="00F65ECE"/>
    <w:rsid w:val="00F9282D"/>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Strong">
    <w:name w:val="Strong"/>
    <w:basedOn w:val="DefaultParagraphFont"/>
    <w:uiPriority w:val="22"/>
    <w:qFormat/>
    <w:rsid w:val="00565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56CCA"/>
    <w:rsid w:val="004108B1"/>
    <w:rsid w:val="00465195"/>
    <w:rsid w:val="00634CC7"/>
    <w:rsid w:val="00676BF4"/>
    <w:rsid w:val="00AB44F1"/>
    <w:rsid w:val="00B66AF3"/>
    <w:rsid w:val="00C16524"/>
    <w:rsid w:val="00DE6BFE"/>
    <w:rsid w:val="00E715BD"/>
    <w:rsid w:val="00EA0868"/>
    <w:rsid w:val="00EA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F870-3137-4DBA-9125-FD42FF74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3194</Words>
  <Characters>18207</Characters>
  <Application>Microsoft Office Word</Application>
  <DocSecurity>0</DocSecurity>
  <Lines>151</Lines>
  <Paragraphs>42</Paragraphs>
  <ScaleCrop>false</ScaleCrop>
  <Company/>
  <LinksUpToDate>false</LinksUpToDate>
  <CharactersWithSpaces>21359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57/18</dc:title>
  <dc:creator/>
  <cp:lastModifiedBy/>
  <cp:revision>1</cp:revision>
  <dcterms:created xsi:type="dcterms:W3CDTF">2018-09-12T20:34:00Z</dcterms:created>
  <dcterms:modified xsi:type="dcterms:W3CDTF">2018-09-12T20:34:00Z</dcterms:modified>
</cp:coreProperties>
</file>