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761FA" w14:textId="22CCD8EF" w:rsidR="00040C3A" w:rsidRPr="00B41E87" w:rsidRDefault="006311DA" w:rsidP="00B00A8E">
      <w:pPr>
        <w:jc w:val="both"/>
        <w:rPr>
          <w:rFonts w:asciiTheme="majorHAnsi" w:hAnsiTheme="majorHAnsi"/>
          <w:sz w:val="22"/>
          <w:szCs w:val="22"/>
          <w:lang w:val="es-ES"/>
        </w:rPr>
      </w:pPr>
      <w:r w:rsidRPr="00B41E8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7E1B0F" wp14:editId="6DF56C1B">
                <wp:simplePos x="0" y="0"/>
                <wp:positionH relativeFrom="column">
                  <wp:posOffset>-415925</wp:posOffset>
                </wp:positionH>
                <wp:positionV relativeFrom="paragraph">
                  <wp:posOffset>-275646</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6D23D" id="Rectangle 1" o:spid="_x0000_s1026" style="position:absolute;margin-left:-32.75pt;margin-top:-21.7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" fillcolor="#67ae3c" stroked="f" strokeweight="2pt"/>
            </w:pict>
          </mc:Fallback>
        </mc:AlternateContent>
      </w:r>
      <w:r w:rsidR="00B31EBE" w:rsidRPr="00B41E8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EAA4530" wp14:editId="152D378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1371C" w14:textId="77777777" w:rsidR="003E6AF7" w:rsidRDefault="003E6AF7">
                            <w:r>
                              <w:rPr>
                                <w:noProof/>
                              </w:rPr>
                              <w:drawing>
                                <wp:inline distT="0" distB="0" distL="0" distR="0" wp14:anchorId="27D6AC80" wp14:editId="71A46BC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A453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E81371C" w14:textId="77777777" w:rsidR="003E6AF7" w:rsidRDefault="003E6AF7">
                      <w:r>
                        <w:rPr>
                          <w:noProof/>
                        </w:rPr>
                        <w:drawing>
                          <wp:inline distT="0" distB="0" distL="0" distR="0" wp14:anchorId="27D6AC80" wp14:editId="71A46BC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866281" w14:textId="77777777" w:rsidR="00040C3A" w:rsidRPr="00B41E87" w:rsidRDefault="00040C3A" w:rsidP="00040C3A">
      <w:pPr>
        <w:tabs>
          <w:tab w:val="center" w:pos="5400"/>
        </w:tabs>
        <w:suppressAutoHyphens/>
        <w:jc w:val="both"/>
        <w:rPr>
          <w:rFonts w:asciiTheme="majorHAnsi" w:hAnsiTheme="majorHAnsi"/>
          <w:sz w:val="22"/>
          <w:szCs w:val="22"/>
          <w:lang w:val="es-ES"/>
        </w:rPr>
      </w:pPr>
    </w:p>
    <w:p w14:paraId="0F7DA890" w14:textId="77777777" w:rsidR="005128E4" w:rsidRPr="00B41E87" w:rsidRDefault="005128E4" w:rsidP="00040C3A">
      <w:pPr>
        <w:tabs>
          <w:tab w:val="center" w:pos="5400"/>
        </w:tabs>
        <w:suppressAutoHyphens/>
        <w:rPr>
          <w:rFonts w:asciiTheme="majorHAnsi" w:hAnsiTheme="majorHAnsi"/>
          <w:sz w:val="22"/>
          <w:szCs w:val="22"/>
          <w:lang w:val="es-ES_tradnl"/>
        </w:rPr>
      </w:pPr>
    </w:p>
    <w:p w14:paraId="62B84A8B" w14:textId="77777777" w:rsidR="005128E4" w:rsidRPr="00B41E87" w:rsidRDefault="005128E4" w:rsidP="00040C3A">
      <w:pPr>
        <w:tabs>
          <w:tab w:val="center" w:pos="5400"/>
        </w:tabs>
        <w:suppressAutoHyphens/>
        <w:rPr>
          <w:rFonts w:asciiTheme="majorHAnsi" w:hAnsiTheme="majorHAnsi"/>
          <w:sz w:val="22"/>
          <w:szCs w:val="22"/>
          <w:lang w:val="es-ES_tradnl"/>
        </w:rPr>
      </w:pPr>
    </w:p>
    <w:p w14:paraId="5310931B" w14:textId="77777777" w:rsidR="005128E4" w:rsidRPr="00B41E87" w:rsidRDefault="005128E4" w:rsidP="00040C3A">
      <w:pPr>
        <w:tabs>
          <w:tab w:val="center" w:pos="5400"/>
        </w:tabs>
        <w:suppressAutoHyphens/>
        <w:rPr>
          <w:rFonts w:asciiTheme="majorHAnsi" w:hAnsiTheme="majorHAnsi"/>
          <w:sz w:val="22"/>
          <w:szCs w:val="22"/>
          <w:lang w:val="es-ES_tradnl"/>
        </w:rPr>
      </w:pPr>
    </w:p>
    <w:p w14:paraId="3DE86021" w14:textId="77777777" w:rsidR="00040C3A" w:rsidRPr="00B41E87" w:rsidRDefault="00040C3A" w:rsidP="005128E4">
      <w:pPr>
        <w:tabs>
          <w:tab w:val="center" w:pos="5400"/>
        </w:tabs>
        <w:suppressAutoHyphens/>
        <w:jc w:val="center"/>
        <w:rPr>
          <w:rFonts w:asciiTheme="majorHAnsi" w:hAnsiTheme="majorHAnsi"/>
          <w:sz w:val="22"/>
          <w:szCs w:val="22"/>
          <w:lang w:val="es-ES_tradnl"/>
        </w:rPr>
      </w:pPr>
    </w:p>
    <w:p w14:paraId="16BCAC5B" w14:textId="77777777" w:rsidR="00040C3A" w:rsidRPr="00B41E87" w:rsidRDefault="00040C3A" w:rsidP="005128E4">
      <w:pPr>
        <w:tabs>
          <w:tab w:val="center" w:pos="5400"/>
        </w:tabs>
        <w:suppressAutoHyphens/>
        <w:jc w:val="center"/>
        <w:rPr>
          <w:rFonts w:asciiTheme="majorHAnsi" w:hAnsiTheme="majorHAnsi"/>
          <w:sz w:val="22"/>
          <w:szCs w:val="22"/>
          <w:lang w:val="es-ES_tradnl"/>
        </w:rPr>
      </w:pPr>
    </w:p>
    <w:p w14:paraId="5F2CD4C8" w14:textId="77777777" w:rsidR="005B52B0" w:rsidRPr="00B41E87" w:rsidRDefault="005B52B0" w:rsidP="005128E4">
      <w:pPr>
        <w:tabs>
          <w:tab w:val="center" w:pos="5400"/>
        </w:tabs>
        <w:suppressAutoHyphens/>
        <w:jc w:val="center"/>
        <w:rPr>
          <w:rFonts w:asciiTheme="majorHAnsi" w:hAnsiTheme="majorHAnsi"/>
          <w:sz w:val="22"/>
          <w:szCs w:val="22"/>
          <w:lang w:val="es-ES_tradnl"/>
        </w:rPr>
      </w:pPr>
    </w:p>
    <w:p w14:paraId="55EBDF90" w14:textId="77777777" w:rsidR="005B52B0" w:rsidRPr="00B41E87" w:rsidRDefault="005B52B0" w:rsidP="005128E4">
      <w:pPr>
        <w:tabs>
          <w:tab w:val="center" w:pos="5400"/>
        </w:tabs>
        <w:suppressAutoHyphens/>
        <w:jc w:val="center"/>
        <w:rPr>
          <w:rFonts w:asciiTheme="majorHAnsi" w:hAnsiTheme="majorHAnsi"/>
          <w:sz w:val="22"/>
          <w:szCs w:val="22"/>
          <w:lang w:val="es-ES_tradnl"/>
        </w:rPr>
      </w:pPr>
    </w:p>
    <w:p w14:paraId="54EC6829" w14:textId="77777777" w:rsidR="005B52B0" w:rsidRPr="00B41E87" w:rsidRDefault="005B52B0" w:rsidP="005128E4">
      <w:pPr>
        <w:tabs>
          <w:tab w:val="center" w:pos="5400"/>
        </w:tabs>
        <w:suppressAutoHyphens/>
        <w:jc w:val="center"/>
        <w:rPr>
          <w:rFonts w:asciiTheme="majorHAnsi" w:hAnsiTheme="majorHAnsi"/>
          <w:sz w:val="22"/>
          <w:szCs w:val="22"/>
          <w:lang w:val="es-ES_tradnl"/>
        </w:rPr>
      </w:pPr>
    </w:p>
    <w:p w14:paraId="0C64C65D"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111A8C9E"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42915108"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5BDE6C42" w14:textId="77777777" w:rsidR="00040C3A" w:rsidRPr="00B41E87" w:rsidRDefault="00E533FF" w:rsidP="00040C3A">
      <w:pPr>
        <w:tabs>
          <w:tab w:val="center" w:pos="5400"/>
        </w:tabs>
        <w:suppressAutoHyphens/>
        <w:jc w:val="center"/>
        <w:rPr>
          <w:rFonts w:asciiTheme="majorHAnsi" w:hAnsiTheme="majorHAnsi"/>
          <w:sz w:val="22"/>
          <w:szCs w:val="22"/>
          <w:lang w:val="es-ES_tradnl"/>
        </w:rPr>
      </w:pPr>
      <w:r w:rsidRPr="00B41E8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B8F278" wp14:editId="0C3A9BB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432B7" w14:textId="14FC3133" w:rsidR="003E6AF7" w:rsidRPr="00B06C1C" w:rsidRDefault="003E6AF7" w:rsidP="0035677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71/18</w:t>
                            </w:r>
                          </w:p>
                          <w:p w14:paraId="11FA6250" w14:textId="19E56A7C" w:rsidR="003E6AF7" w:rsidRPr="00AA1451" w:rsidRDefault="003E6AF7" w:rsidP="0035677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12.958</w:t>
                            </w:r>
                          </w:p>
                          <w:p w14:paraId="4D9A43A5" w14:textId="3073928B" w:rsidR="003E6AF7" w:rsidRPr="0039784E" w:rsidRDefault="003E6AF7" w:rsidP="0035677D">
                            <w:pPr>
                              <w:suppressAutoHyphens/>
                              <w:rPr>
                                <w:rFonts w:ascii="Cambria" w:hAnsi="Cambria"/>
                              </w:rPr>
                            </w:pPr>
                            <w:r>
                              <w:rPr>
                                <w:rFonts w:ascii="Cambria" w:hAnsi="Cambria"/>
                                <w:lang w:val="en"/>
                              </w:rPr>
                              <w:t xml:space="preserve">REPORT ON </w:t>
                            </w:r>
                            <w:r w:rsidRPr="009938A6">
                              <w:rPr>
                                <w:rFonts w:ascii="Cambria" w:hAnsi="Cambria"/>
                                <w:lang w:val="en"/>
                              </w:rPr>
                              <w:t>MERITS (</w:t>
                            </w:r>
                            <w:r>
                              <w:rPr>
                                <w:rFonts w:ascii="Cambria" w:hAnsi="Cambria"/>
                                <w:lang w:val="en"/>
                              </w:rPr>
                              <w:t>PUBLICATION</w:t>
                            </w:r>
                            <w:r w:rsidRPr="009938A6">
                              <w:rPr>
                                <w:rFonts w:ascii="Cambria" w:hAnsi="Cambria"/>
                                <w:lang w:val="en"/>
                              </w:rPr>
                              <w:t>)</w:t>
                            </w:r>
                          </w:p>
                          <w:p w14:paraId="3221EDB4" w14:textId="77777777" w:rsidR="003E6AF7" w:rsidRPr="0039784E" w:rsidRDefault="003E6AF7" w:rsidP="0035677D">
                            <w:pPr>
                              <w:suppressAutoHyphens/>
                              <w:rPr>
                                <w:rFonts w:ascii="Cambria" w:hAnsi="Cambria"/>
                              </w:rPr>
                            </w:pPr>
                          </w:p>
                          <w:p w14:paraId="5AA8E748" w14:textId="2B80F693" w:rsidR="003E6AF7" w:rsidRPr="00DA398F" w:rsidRDefault="003E6AF7" w:rsidP="0035677D">
                            <w:pPr>
                              <w:suppressAutoHyphens/>
                              <w:rPr>
                                <w:rFonts w:ascii="Cambria" w:hAnsi="Cambria"/>
                              </w:rPr>
                            </w:pPr>
                            <w:r w:rsidRPr="00DA398F">
                              <w:rPr>
                                <w:rFonts w:asciiTheme="majorHAnsi" w:hAnsiTheme="majorHAnsi"/>
                              </w:rPr>
                              <w:t>RUSSELL BUCKLEW</w:t>
                            </w:r>
                          </w:p>
                          <w:p w14:paraId="1CBDADA5" w14:textId="2539E07B" w:rsidR="003E6AF7" w:rsidRPr="00DA398F" w:rsidRDefault="003E6AF7" w:rsidP="0035677D">
                            <w:pPr>
                              <w:suppressAutoHyphens/>
                              <w:rPr>
                                <w:rFonts w:ascii="Cambria" w:hAnsi="Cambria"/>
                              </w:rPr>
                            </w:pPr>
                            <w:r w:rsidRPr="00DA398F">
                              <w:rPr>
                                <w:rFonts w:ascii="Cambria" w:hAnsi="Cambria"/>
                              </w:rPr>
                              <w:t>UNITED STATES</w:t>
                            </w:r>
                          </w:p>
                          <w:p w14:paraId="33BB496A" w14:textId="77777777" w:rsidR="003E6AF7" w:rsidRPr="00DA398F" w:rsidRDefault="003E6AF7"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F278"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F6432B7" w14:textId="14FC3133" w:rsidR="003E6AF7" w:rsidRPr="00B06C1C" w:rsidRDefault="003E6AF7" w:rsidP="0035677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71/18</w:t>
                      </w:r>
                    </w:p>
                    <w:p w14:paraId="11FA6250" w14:textId="19E56A7C" w:rsidR="003E6AF7" w:rsidRPr="00AA1451" w:rsidRDefault="003E6AF7" w:rsidP="0035677D">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12.958</w:t>
                      </w:r>
                    </w:p>
                    <w:p w14:paraId="4D9A43A5" w14:textId="3073928B" w:rsidR="003E6AF7" w:rsidRPr="0039784E" w:rsidRDefault="003E6AF7" w:rsidP="0035677D">
                      <w:pPr>
                        <w:suppressAutoHyphens/>
                        <w:rPr>
                          <w:rFonts w:ascii="Cambria" w:hAnsi="Cambria"/>
                        </w:rPr>
                      </w:pPr>
                      <w:r>
                        <w:rPr>
                          <w:rFonts w:ascii="Cambria" w:hAnsi="Cambria"/>
                          <w:lang w:val="en"/>
                        </w:rPr>
                        <w:t xml:space="preserve">REPORT ON </w:t>
                      </w:r>
                      <w:r w:rsidRPr="009938A6">
                        <w:rPr>
                          <w:rFonts w:ascii="Cambria" w:hAnsi="Cambria"/>
                          <w:lang w:val="en"/>
                        </w:rPr>
                        <w:t>MERITS (</w:t>
                      </w:r>
                      <w:r>
                        <w:rPr>
                          <w:rFonts w:ascii="Cambria" w:hAnsi="Cambria"/>
                          <w:lang w:val="en"/>
                        </w:rPr>
                        <w:t>PUBLICATION</w:t>
                      </w:r>
                      <w:r w:rsidRPr="009938A6">
                        <w:rPr>
                          <w:rFonts w:ascii="Cambria" w:hAnsi="Cambria"/>
                          <w:lang w:val="en"/>
                        </w:rPr>
                        <w:t>)</w:t>
                      </w:r>
                    </w:p>
                    <w:p w14:paraId="3221EDB4" w14:textId="77777777" w:rsidR="003E6AF7" w:rsidRPr="0039784E" w:rsidRDefault="003E6AF7" w:rsidP="0035677D">
                      <w:pPr>
                        <w:suppressAutoHyphens/>
                        <w:rPr>
                          <w:rFonts w:ascii="Cambria" w:hAnsi="Cambria"/>
                        </w:rPr>
                      </w:pPr>
                    </w:p>
                    <w:p w14:paraId="5AA8E748" w14:textId="2B80F693" w:rsidR="003E6AF7" w:rsidRPr="00DA398F" w:rsidRDefault="003E6AF7" w:rsidP="0035677D">
                      <w:pPr>
                        <w:suppressAutoHyphens/>
                        <w:rPr>
                          <w:rFonts w:ascii="Cambria" w:hAnsi="Cambria"/>
                        </w:rPr>
                      </w:pPr>
                      <w:r w:rsidRPr="00DA398F">
                        <w:rPr>
                          <w:rFonts w:asciiTheme="majorHAnsi" w:hAnsiTheme="majorHAnsi"/>
                        </w:rPr>
                        <w:t>RUSSELL BUCKLEW</w:t>
                      </w:r>
                    </w:p>
                    <w:p w14:paraId="1CBDADA5" w14:textId="2539E07B" w:rsidR="003E6AF7" w:rsidRPr="00DA398F" w:rsidRDefault="003E6AF7" w:rsidP="0035677D">
                      <w:pPr>
                        <w:suppressAutoHyphens/>
                        <w:rPr>
                          <w:rFonts w:ascii="Cambria" w:hAnsi="Cambria"/>
                        </w:rPr>
                      </w:pPr>
                      <w:r w:rsidRPr="00DA398F">
                        <w:rPr>
                          <w:rFonts w:ascii="Cambria" w:hAnsi="Cambria"/>
                        </w:rPr>
                        <w:t>UNITED STATES</w:t>
                      </w:r>
                    </w:p>
                    <w:p w14:paraId="33BB496A" w14:textId="77777777" w:rsidR="003E6AF7" w:rsidRPr="00DA398F" w:rsidRDefault="003E6AF7" w:rsidP="004B7EB6">
                      <w:pPr>
                        <w:spacing w:line="276" w:lineRule="auto"/>
                        <w:rPr>
                          <w:rFonts w:asciiTheme="majorHAnsi" w:hAnsiTheme="majorHAnsi"/>
                          <w:color w:val="0D0D0D" w:themeColor="text1" w:themeTint="F2"/>
                        </w:rPr>
                      </w:pPr>
                    </w:p>
                  </w:txbxContent>
                </v:textbox>
              </v:shape>
            </w:pict>
          </mc:Fallback>
        </mc:AlternateContent>
      </w:r>
      <w:r w:rsidR="004B7EB6" w:rsidRPr="00B41E8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F73B4B0" wp14:editId="54E7972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16184" w14:textId="16DBDEE3" w:rsidR="003E6AF7" w:rsidRPr="008A4E83" w:rsidRDefault="003E6AF7" w:rsidP="002C1641">
                            <w:pPr>
                              <w:jc w:val="right"/>
                              <w:rPr>
                                <w:rFonts w:asciiTheme="minorHAnsi" w:hAnsiTheme="minorHAnsi"/>
                                <w:color w:val="FFFFFF" w:themeColor="background1"/>
                                <w:sz w:val="22"/>
                                <w:lang w:val="pt-BR"/>
                              </w:rPr>
                            </w:pPr>
                            <w:r w:rsidRPr="008A4E83">
                              <w:rPr>
                                <w:rFonts w:asciiTheme="minorHAnsi" w:hAnsiTheme="minorHAnsi"/>
                                <w:color w:val="FFFFFF" w:themeColor="background1"/>
                                <w:sz w:val="22"/>
                                <w:lang w:val="pt-BR"/>
                              </w:rPr>
                              <w:t>OEA/Ser.L/V/II.168</w:t>
                            </w:r>
                          </w:p>
                          <w:p w14:paraId="39F6BBCD" w14:textId="1EB813CA" w:rsidR="003E6AF7" w:rsidRPr="008A4E83" w:rsidRDefault="003E6AF7" w:rsidP="002C1641">
                            <w:pPr>
                              <w:jc w:val="right"/>
                              <w:rPr>
                                <w:rFonts w:asciiTheme="minorHAnsi" w:hAnsiTheme="minorHAnsi"/>
                                <w:color w:val="FFFFFF" w:themeColor="background1"/>
                                <w:sz w:val="22"/>
                                <w:lang w:val="pt-BR"/>
                              </w:rPr>
                            </w:pPr>
                            <w:r w:rsidRPr="008A4E83">
                              <w:rPr>
                                <w:rFonts w:asciiTheme="minorHAnsi" w:hAnsiTheme="minorHAnsi"/>
                                <w:color w:val="FFFFFF" w:themeColor="background1"/>
                                <w:sz w:val="22"/>
                                <w:lang w:val="pt-BR"/>
                              </w:rPr>
                              <w:t>Doc. 81</w:t>
                            </w:r>
                          </w:p>
                          <w:p w14:paraId="498F7FD0" w14:textId="55A65DE4" w:rsidR="003E6AF7" w:rsidRPr="006961C6" w:rsidRDefault="003E6AF7" w:rsidP="002C1641">
                            <w:pPr>
                              <w:jc w:val="right"/>
                              <w:rPr>
                                <w:rFonts w:asciiTheme="minorHAnsi" w:hAnsiTheme="minorHAnsi"/>
                                <w:color w:val="FFFFFF" w:themeColor="background1"/>
                                <w:sz w:val="22"/>
                              </w:rPr>
                            </w:pPr>
                            <w:r>
                              <w:rPr>
                                <w:rFonts w:asciiTheme="minorHAnsi" w:hAnsiTheme="minorHAnsi"/>
                                <w:color w:val="FFFFFF" w:themeColor="background1"/>
                                <w:sz w:val="22"/>
                              </w:rPr>
                              <w:t>10 May 2018</w:t>
                            </w:r>
                          </w:p>
                          <w:p w14:paraId="21272E53" w14:textId="77777777" w:rsidR="003E6AF7" w:rsidRPr="004B7EB6" w:rsidRDefault="003E6AF7" w:rsidP="002C1641">
                            <w:pPr>
                              <w:jc w:val="right"/>
                              <w:rPr>
                                <w:rFonts w:asciiTheme="minorHAnsi" w:hAnsiTheme="minorHAnsi"/>
                                <w:color w:val="FFFFFF" w:themeColor="background1"/>
                                <w:sz w:val="22"/>
                              </w:rPr>
                            </w:pPr>
                            <w:r w:rsidRPr="006961C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B4B0"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12B16184" w14:textId="16DBDEE3" w:rsidR="003E6AF7" w:rsidRPr="008A4E83" w:rsidRDefault="003E6AF7" w:rsidP="002C1641">
                      <w:pPr>
                        <w:jc w:val="right"/>
                        <w:rPr>
                          <w:rFonts w:asciiTheme="minorHAnsi" w:hAnsiTheme="minorHAnsi"/>
                          <w:color w:val="FFFFFF" w:themeColor="background1"/>
                          <w:sz w:val="22"/>
                          <w:lang w:val="pt-BR"/>
                        </w:rPr>
                      </w:pPr>
                      <w:r w:rsidRPr="008A4E83">
                        <w:rPr>
                          <w:rFonts w:asciiTheme="minorHAnsi" w:hAnsiTheme="minorHAnsi"/>
                          <w:color w:val="FFFFFF" w:themeColor="background1"/>
                          <w:sz w:val="22"/>
                          <w:lang w:val="pt-BR"/>
                        </w:rPr>
                        <w:t>OEA/Ser.L/V/II.168</w:t>
                      </w:r>
                    </w:p>
                    <w:p w14:paraId="39F6BBCD" w14:textId="1EB813CA" w:rsidR="003E6AF7" w:rsidRPr="008A4E83" w:rsidRDefault="003E6AF7" w:rsidP="002C1641">
                      <w:pPr>
                        <w:jc w:val="right"/>
                        <w:rPr>
                          <w:rFonts w:asciiTheme="minorHAnsi" w:hAnsiTheme="minorHAnsi"/>
                          <w:color w:val="FFFFFF" w:themeColor="background1"/>
                          <w:sz w:val="22"/>
                          <w:lang w:val="pt-BR"/>
                        </w:rPr>
                      </w:pPr>
                      <w:r w:rsidRPr="008A4E83">
                        <w:rPr>
                          <w:rFonts w:asciiTheme="minorHAnsi" w:hAnsiTheme="minorHAnsi"/>
                          <w:color w:val="FFFFFF" w:themeColor="background1"/>
                          <w:sz w:val="22"/>
                          <w:lang w:val="pt-BR"/>
                        </w:rPr>
                        <w:t>Doc. 81</w:t>
                      </w:r>
                    </w:p>
                    <w:p w14:paraId="498F7FD0" w14:textId="55A65DE4" w:rsidR="003E6AF7" w:rsidRPr="006961C6" w:rsidRDefault="003E6AF7" w:rsidP="002C1641">
                      <w:pPr>
                        <w:jc w:val="right"/>
                        <w:rPr>
                          <w:rFonts w:asciiTheme="minorHAnsi" w:hAnsiTheme="minorHAnsi"/>
                          <w:color w:val="FFFFFF" w:themeColor="background1"/>
                          <w:sz w:val="22"/>
                        </w:rPr>
                      </w:pPr>
                      <w:r>
                        <w:rPr>
                          <w:rFonts w:asciiTheme="minorHAnsi" w:hAnsiTheme="minorHAnsi"/>
                          <w:color w:val="FFFFFF" w:themeColor="background1"/>
                          <w:sz w:val="22"/>
                        </w:rPr>
                        <w:t>10 May 2018</w:t>
                      </w:r>
                    </w:p>
                    <w:p w14:paraId="21272E53" w14:textId="77777777" w:rsidR="003E6AF7" w:rsidRPr="004B7EB6" w:rsidRDefault="003E6AF7" w:rsidP="002C1641">
                      <w:pPr>
                        <w:jc w:val="right"/>
                        <w:rPr>
                          <w:rFonts w:asciiTheme="minorHAnsi" w:hAnsiTheme="minorHAnsi"/>
                          <w:color w:val="FFFFFF" w:themeColor="background1"/>
                          <w:sz w:val="22"/>
                        </w:rPr>
                      </w:pPr>
                      <w:r w:rsidRPr="006961C6">
                        <w:rPr>
                          <w:rFonts w:asciiTheme="minorHAnsi" w:hAnsiTheme="minorHAnsi"/>
                          <w:color w:val="FFFFFF" w:themeColor="background1"/>
                          <w:sz w:val="22"/>
                        </w:rPr>
                        <w:t>Original: English</w:t>
                      </w:r>
                    </w:p>
                  </w:txbxContent>
                </v:textbox>
              </v:shape>
            </w:pict>
          </mc:Fallback>
        </mc:AlternateContent>
      </w:r>
    </w:p>
    <w:p w14:paraId="7EEBFD55"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3E62B285" w14:textId="77777777" w:rsidR="00040C3A" w:rsidRPr="00B41E87" w:rsidRDefault="00040C3A" w:rsidP="00040C3A">
      <w:pPr>
        <w:tabs>
          <w:tab w:val="center" w:pos="5400"/>
        </w:tabs>
        <w:suppressAutoHyphens/>
        <w:jc w:val="center"/>
        <w:rPr>
          <w:rFonts w:asciiTheme="majorHAnsi" w:hAnsiTheme="majorHAnsi" w:cs="Arial"/>
          <w:sz w:val="22"/>
          <w:szCs w:val="22"/>
          <w:lang w:val="es-ES_tradnl"/>
        </w:rPr>
      </w:pPr>
    </w:p>
    <w:p w14:paraId="6B676FE8"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7A3CFE14"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10EC4D90"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5468505F"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40E03C28" w14:textId="77777777" w:rsidR="005128E4" w:rsidRPr="00B41E87" w:rsidRDefault="005128E4" w:rsidP="00040C3A">
      <w:pPr>
        <w:tabs>
          <w:tab w:val="center" w:pos="5400"/>
        </w:tabs>
        <w:suppressAutoHyphens/>
        <w:jc w:val="center"/>
        <w:rPr>
          <w:rFonts w:asciiTheme="majorHAnsi" w:hAnsiTheme="majorHAnsi"/>
          <w:sz w:val="22"/>
          <w:szCs w:val="22"/>
          <w:lang w:val="es-ES_tradnl"/>
        </w:rPr>
      </w:pPr>
    </w:p>
    <w:p w14:paraId="757096BB"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7B5379B8" w14:textId="77777777" w:rsidR="005128E4" w:rsidRPr="00B41E87" w:rsidRDefault="005128E4" w:rsidP="00040C3A">
      <w:pPr>
        <w:tabs>
          <w:tab w:val="center" w:pos="5400"/>
        </w:tabs>
        <w:suppressAutoHyphens/>
        <w:jc w:val="center"/>
        <w:rPr>
          <w:rFonts w:asciiTheme="majorHAnsi" w:hAnsiTheme="majorHAnsi"/>
          <w:sz w:val="22"/>
          <w:szCs w:val="22"/>
          <w:lang w:val="es-ES_tradnl"/>
        </w:rPr>
      </w:pPr>
    </w:p>
    <w:p w14:paraId="4C71765D" w14:textId="77777777" w:rsidR="005128E4" w:rsidRPr="00B41E87" w:rsidRDefault="005128E4" w:rsidP="00040C3A">
      <w:pPr>
        <w:tabs>
          <w:tab w:val="center" w:pos="5400"/>
        </w:tabs>
        <w:suppressAutoHyphens/>
        <w:jc w:val="center"/>
        <w:rPr>
          <w:rFonts w:asciiTheme="majorHAnsi" w:hAnsiTheme="majorHAnsi"/>
          <w:sz w:val="22"/>
          <w:szCs w:val="22"/>
          <w:lang w:val="es-ES_tradnl"/>
        </w:rPr>
      </w:pPr>
    </w:p>
    <w:p w14:paraId="37D6A4A1" w14:textId="77777777" w:rsidR="005128E4" w:rsidRPr="00B41E87" w:rsidRDefault="005128E4" w:rsidP="00040C3A">
      <w:pPr>
        <w:tabs>
          <w:tab w:val="center" w:pos="5400"/>
        </w:tabs>
        <w:suppressAutoHyphens/>
        <w:jc w:val="center"/>
        <w:rPr>
          <w:rFonts w:asciiTheme="majorHAnsi" w:hAnsiTheme="majorHAnsi"/>
          <w:sz w:val="22"/>
          <w:szCs w:val="22"/>
          <w:lang w:val="es-ES_tradnl"/>
        </w:rPr>
      </w:pPr>
    </w:p>
    <w:p w14:paraId="40767BF8"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1C7EBDE0" w14:textId="77777777" w:rsidR="00040C3A" w:rsidRPr="00B41E87" w:rsidRDefault="00040C3A" w:rsidP="00040C3A">
      <w:pPr>
        <w:tabs>
          <w:tab w:val="center" w:pos="5400"/>
        </w:tabs>
        <w:suppressAutoHyphens/>
        <w:jc w:val="center"/>
        <w:rPr>
          <w:rFonts w:asciiTheme="majorHAnsi" w:hAnsiTheme="majorHAnsi"/>
          <w:sz w:val="22"/>
          <w:szCs w:val="22"/>
          <w:lang w:val="es-ES_tradnl"/>
        </w:rPr>
      </w:pPr>
    </w:p>
    <w:p w14:paraId="4546F99D"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4EE2E190"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70F42FDF"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62DD60B1"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61D348AE"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01982803"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4543A4AD"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4F11536B"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66BA1B9E"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0CC25DE2"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179866A5"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4CA67C9E"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2A07877A" w14:textId="77777777" w:rsidR="002C1641" w:rsidRPr="00B41E87" w:rsidRDefault="003C32BC" w:rsidP="00040C3A">
      <w:pPr>
        <w:tabs>
          <w:tab w:val="center" w:pos="5400"/>
        </w:tabs>
        <w:suppressAutoHyphens/>
        <w:jc w:val="center"/>
        <w:rPr>
          <w:rFonts w:asciiTheme="majorHAnsi" w:hAnsiTheme="majorHAnsi"/>
          <w:sz w:val="18"/>
          <w:szCs w:val="22"/>
          <w:lang w:val="es-ES_tradnl"/>
        </w:rPr>
      </w:pPr>
      <w:r w:rsidRPr="00B41E8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39F5C55" wp14:editId="23A6118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AFE1B" w14:textId="591035AC" w:rsidR="003E6AF7" w:rsidRPr="003C32BC" w:rsidRDefault="003E6AF7" w:rsidP="004165C2">
                            <w:pPr>
                              <w:tabs>
                                <w:tab w:val="center" w:pos="5400"/>
                              </w:tabs>
                              <w:suppressAutoHyphens/>
                              <w:spacing w:before="60"/>
                              <w:rPr>
                                <w:rFonts w:asciiTheme="majorHAnsi" w:hAnsiTheme="majorHAnsi"/>
                                <w:color w:val="0D0D0D" w:themeColor="text1" w:themeTint="F2"/>
                                <w:sz w:val="18"/>
                                <w:szCs w:val="22"/>
                              </w:rPr>
                            </w:pPr>
                            <w:r w:rsidRPr="00BB0B90">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w:t>
                            </w:r>
                            <w:r w:rsidRPr="00BB0B90">
                              <w:rPr>
                                <w:rFonts w:asciiTheme="majorHAnsi" w:hAnsiTheme="majorHAnsi"/>
                                <w:color w:val="0D0D0D" w:themeColor="text1" w:themeTint="F2"/>
                                <w:sz w:val="18"/>
                                <w:szCs w:val="20"/>
                              </w:rPr>
                              <w:t xml:space="preserve">ession No. </w:t>
                            </w:r>
                            <w:r>
                              <w:rPr>
                                <w:rFonts w:asciiTheme="majorHAnsi" w:hAnsiTheme="majorHAnsi"/>
                                <w:color w:val="0D0D0D" w:themeColor="text1" w:themeTint="F2"/>
                                <w:sz w:val="18"/>
                                <w:szCs w:val="20"/>
                              </w:rPr>
                              <w:t xml:space="preserve">2131 </w:t>
                            </w:r>
                            <w:r w:rsidRPr="00BB0B90">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10</w:t>
                            </w:r>
                            <w:r w:rsidRPr="00BB0B90">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8</w:t>
                            </w:r>
                            <w:r w:rsidRPr="00BB0B90">
                              <w:rPr>
                                <w:rFonts w:asciiTheme="majorHAnsi" w:hAnsiTheme="majorHAnsi"/>
                                <w:color w:val="0D0D0D" w:themeColor="text1" w:themeTint="F2"/>
                                <w:sz w:val="18"/>
                                <w:szCs w:val="20"/>
                              </w:rPr>
                              <w:br/>
                            </w:r>
                            <w:r w:rsidRPr="00BB0B90">
                              <w:rPr>
                                <w:rFonts w:asciiTheme="majorHAnsi" w:hAnsiTheme="majorHAnsi" w:cs="Univers"/>
                                <w:color w:val="0D0D0D" w:themeColor="text1" w:themeTint="F2"/>
                                <w:sz w:val="18"/>
                                <w:szCs w:val="20"/>
                              </w:rPr>
                              <w:t>16</w:t>
                            </w:r>
                            <w:r>
                              <w:rPr>
                                <w:rFonts w:asciiTheme="majorHAnsi" w:hAnsiTheme="majorHAnsi" w:cs="Univers"/>
                                <w:color w:val="0D0D0D" w:themeColor="text1" w:themeTint="F2"/>
                                <w:sz w:val="18"/>
                                <w:szCs w:val="20"/>
                              </w:rPr>
                              <w:t>8 Extraordinary</w:t>
                            </w:r>
                            <w:r w:rsidRPr="00BB0B90">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5C55"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75FAFE1B" w14:textId="591035AC" w:rsidR="003E6AF7" w:rsidRPr="003C32BC" w:rsidRDefault="003E6AF7" w:rsidP="004165C2">
                      <w:pPr>
                        <w:tabs>
                          <w:tab w:val="center" w:pos="5400"/>
                        </w:tabs>
                        <w:suppressAutoHyphens/>
                        <w:spacing w:before="60"/>
                        <w:rPr>
                          <w:rFonts w:asciiTheme="majorHAnsi" w:hAnsiTheme="majorHAnsi"/>
                          <w:color w:val="0D0D0D" w:themeColor="text1" w:themeTint="F2"/>
                          <w:sz w:val="18"/>
                          <w:szCs w:val="22"/>
                        </w:rPr>
                      </w:pPr>
                      <w:r w:rsidRPr="00BB0B90">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w:t>
                      </w:r>
                      <w:r w:rsidRPr="00BB0B90">
                        <w:rPr>
                          <w:rFonts w:asciiTheme="majorHAnsi" w:hAnsiTheme="majorHAnsi"/>
                          <w:color w:val="0D0D0D" w:themeColor="text1" w:themeTint="F2"/>
                          <w:sz w:val="18"/>
                          <w:szCs w:val="20"/>
                        </w:rPr>
                        <w:t xml:space="preserve">ession No. </w:t>
                      </w:r>
                      <w:r>
                        <w:rPr>
                          <w:rFonts w:asciiTheme="majorHAnsi" w:hAnsiTheme="majorHAnsi"/>
                          <w:color w:val="0D0D0D" w:themeColor="text1" w:themeTint="F2"/>
                          <w:sz w:val="18"/>
                          <w:szCs w:val="20"/>
                        </w:rPr>
                        <w:t xml:space="preserve">2131 </w:t>
                      </w:r>
                      <w:r w:rsidRPr="00BB0B90">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10</w:t>
                      </w:r>
                      <w:r w:rsidRPr="00BB0B90">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8</w:t>
                      </w:r>
                      <w:r w:rsidRPr="00BB0B90">
                        <w:rPr>
                          <w:rFonts w:asciiTheme="majorHAnsi" w:hAnsiTheme="majorHAnsi"/>
                          <w:color w:val="0D0D0D" w:themeColor="text1" w:themeTint="F2"/>
                          <w:sz w:val="18"/>
                          <w:szCs w:val="20"/>
                        </w:rPr>
                        <w:br/>
                      </w:r>
                      <w:r w:rsidRPr="00BB0B90">
                        <w:rPr>
                          <w:rFonts w:asciiTheme="majorHAnsi" w:hAnsiTheme="majorHAnsi" w:cs="Univers"/>
                          <w:color w:val="0D0D0D" w:themeColor="text1" w:themeTint="F2"/>
                          <w:sz w:val="18"/>
                          <w:szCs w:val="20"/>
                        </w:rPr>
                        <w:t>16</w:t>
                      </w:r>
                      <w:r>
                        <w:rPr>
                          <w:rFonts w:asciiTheme="majorHAnsi" w:hAnsiTheme="majorHAnsi" w:cs="Univers"/>
                          <w:color w:val="0D0D0D" w:themeColor="text1" w:themeTint="F2"/>
                          <w:sz w:val="18"/>
                          <w:szCs w:val="20"/>
                        </w:rPr>
                        <w:t>8 Extraordinary</w:t>
                      </w:r>
                      <w:r w:rsidRPr="00BB0B90">
                        <w:rPr>
                          <w:rFonts w:asciiTheme="majorHAnsi" w:hAnsiTheme="majorHAnsi" w:cs="Univers"/>
                          <w:color w:val="0D0D0D" w:themeColor="text1" w:themeTint="F2"/>
                          <w:sz w:val="18"/>
                          <w:szCs w:val="20"/>
                        </w:rPr>
                        <w:t xml:space="preserve"> Period of Sessions</w:t>
                      </w:r>
                    </w:p>
                  </w:txbxContent>
                </v:textbox>
              </v:shape>
            </w:pict>
          </mc:Fallback>
        </mc:AlternateContent>
      </w:r>
    </w:p>
    <w:p w14:paraId="7DE51122"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57CF3FEF"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44D493F5"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2A3CF991"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003F082C" w14:textId="77777777" w:rsidR="002C1641" w:rsidRPr="00B41E87" w:rsidRDefault="003C32BC" w:rsidP="00040C3A">
      <w:pPr>
        <w:tabs>
          <w:tab w:val="center" w:pos="5400"/>
        </w:tabs>
        <w:suppressAutoHyphens/>
        <w:jc w:val="center"/>
        <w:rPr>
          <w:rFonts w:asciiTheme="majorHAnsi" w:hAnsiTheme="majorHAnsi"/>
          <w:sz w:val="18"/>
          <w:szCs w:val="22"/>
          <w:lang w:val="es-ES_tradnl"/>
        </w:rPr>
      </w:pPr>
      <w:r w:rsidRPr="00B41E8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FC44E9" wp14:editId="4CEC6DB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03203" w14:textId="79455876" w:rsidR="003E6AF7" w:rsidRPr="003E5F8E" w:rsidRDefault="003E6AF7" w:rsidP="00DA398F">
                            <w:pPr>
                              <w:spacing w:line="276" w:lineRule="auto"/>
                              <w:jc w:val="both"/>
                              <w:rPr>
                                <w:rFonts w:asciiTheme="majorHAnsi" w:hAnsiTheme="majorHAnsi"/>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w:t>
                            </w:r>
                            <w:r w:rsidRPr="003E5F8E">
                              <w:rPr>
                                <w:rFonts w:asciiTheme="majorHAnsi" w:hAnsiTheme="majorHAnsi"/>
                                <w:sz w:val="18"/>
                                <w:szCs w:val="18"/>
                                <w:lang w:val="en"/>
                              </w:rPr>
                              <w:t xml:space="preserve">IACHR, Report No. </w:t>
                            </w:r>
                            <w:r>
                              <w:rPr>
                                <w:rFonts w:asciiTheme="majorHAnsi" w:hAnsiTheme="majorHAnsi"/>
                                <w:sz w:val="18"/>
                                <w:szCs w:val="18"/>
                                <w:lang w:val="en"/>
                              </w:rPr>
                              <w:t>71</w:t>
                            </w:r>
                            <w:r w:rsidRPr="003E5F8E">
                              <w:rPr>
                                <w:rFonts w:asciiTheme="majorHAnsi" w:hAnsiTheme="majorHAnsi"/>
                                <w:sz w:val="18"/>
                                <w:szCs w:val="18"/>
                                <w:lang w:val="en"/>
                              </w:rPr>
                              <w:t xml:space="preserve">/18, Case 12.958. Merits. </w:t>
                            </w:r>
                            <w:r w:rsidRPr="003E5F8E">
                              <w:rPr>
                                <w:rFonts w:asciiTheme="majorHAnsi" w:hAnsiTheme="majorHAnsi"/>
                                <w:sz w:val="18"/>
                                <w:szCs w:val="18"/>
                              </w:rPr>
                              <w:t>Russell Bucklew</w:t>
                            </w:r>
                            <w:r>
                              <w:rPr>
                                <w:rFonts w:asciiTheme="majorHAnsi" w:hAnsiTheme="majorHAnsi"/>
                                <w:sz w:val="18"/>
                                <w:szCs w:val="18"/>
                                <w:lang w:val="en"/>
                              </w:rPr>
                              <w:t>. United States, May 10, 2018</w:t>
                            </w:r>
                          </w:p>
                          <w:p w14:paraId="44DB85D7" w14:textId="77777777" w:rsidR="003E6AF7" w:rsidRPr="003C32BC" w:rsidRDefault="003E6AF7"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44E9"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66903203" w14:textId="79455876" w:rsidR="003E6AF7" w:rsidRPr="003E5F8E" w:rsidRDefault="003E6AF7" w:rsidP="00DA398F">
                      <w:pPr>
                        <w:spacing w:line="276" w:lineRule="auto"/>
                        <w:jc w:val="both"/>
                        <w:rPr>
                          <w:rFonts w:asciiTheme="majorHAnsi" w:hAnsiTheme="majorHAnsi"/>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w:t>
                      </w:r>
                      <w:r w:rsidRPr="003E5F8E">
                        <w:rPr>
                          <w:rFonts w:asciiTheme="majorHAnsi" w:hAnsiTheme="majorHAnsi"/>
                          <w:sz w:val="18"/>
                          <w:szCs w:val="18"/>
                          <w:lang w:val="en"/>
                        </w:rPr>
                        <w:t xml:space="preserve">IACHR, Report No. </w:t>
                      </w:r>
                      <w:r>
                        <w:rPr>
                          <w:rFonts w:asciiTheme="majorHAnsi" w:hAnsiTheme="majorHAnsi"/>
                          <w:sz w:val="18"/>
                          <w:szCs w:val="18"/>
                          <w:lang w:val="en"/>
                        </w:rPr>
                        <w:t>71</w:t>
                      </w:r>
                      <w:r w:rsidRPr="003E5F8E">
                        <w:rPr>
                          <w:rFonts w:asciiTheme="majorHAnsi" w:hAnsiTheme="majorHAnsi"/>
                          <w:sz w:val="18"/>
                          <w:szCs w:val="18"/>
                          <w:lang w:val="en"/>
                        </w:rPr>
                        <w:t xml:space="preserve">/18, Case 12.958. Merits. </w:t>
                      </w:r>
                      <w:r w:rsidRPr="003E5F8E">
                        <w:rPr>
                          <w:rFonts w:asciiTheme="majorHAnsi" w:hAnsiTheme="majorHAnsi"/>
                          <w:sz w:val="18"/>
                          <w:szCs w:val="18"/>
                        </w:rPr>
                        <w:t>Russell Bucklew</w:t>
                      </w:r>
                      <w:r>
                        <w:rPr>
                          <w:rFonts w:asciiTheme="majorHAnsi" w:hAnsiTheme="majorHAnsi"/>
                          <w:sz w:val="18"/>
                          <w:szCs w:val="18"/>
                          <w:lang w:val="en"/>
                        </w:rPr>
                        <w:t>. United States, May 10, 2018</w:t>
                      </w:r>
                    </w:p>
                    <w:p w14:paraId="44DB85D7" w14:textId="77777777" w:rsidR="003E6AF7" w:rsidRPr="003C32BC" w:rsidRDefault="003E6AF7" w:rsidP="00F644E6">
                      <w:pPr>
                        <w:spacing w:line="276" w:lineRule="auto"/>
                        <w:rPr>
                          <w:rFonts w:asciiTheme="majorHAnsi" w:hAnsiTheme="majorHAnsi"/>
                          <w:color w:val="595959" w:themeColor="text1" w:themeTint="A6"/>
                          <w:sz w:val="18"/>
                        </w:rPr>
                      </w:pPr>
                    </w:p>
                  </w:txbxContent>
                </v:textbox>
              </v:shape>
            </w:pict>
          </mc:Fallback>
        </mc:AlternateContent>
      </w:r>
    </w:p>
    <w:p w14:paraId="0D2920F5"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7DE2077B" w14:textId="77777777" w:rsidR="002C1641" w:rsidRPr="00B41E87" w:rsidRDefault="002C1641" w:rsidP="00040C3A">
      <w:pPr>
        <w:tabs>
          <w:tab w:val="center" w:pos="5400"/>
        </w:tabs>
        <w:suppressAutoHyphens/>
        <w:jc w:val="center"/>
        <w:rPr>
          <w:rFonts w:asciiTheme="majorHAnsi" w:hAnsiTheme="majorHAnsi"/>
          <w:sz w:val="18"/>
          <w:szCs w:val="22"/>
          <w:lang w:val="es-ES_tradnl"/>
        </w:rPr>
      </w:pPr>
    </w:p>
    <w:p w14:paraId="6345F5E7" w14:textId="77777777" w:rsidR="003C32BC" w:rsidRPr="00B41E87" w:rsidRDefault="003C32BC" w:rsidP="003C32BC">
      <w:pPr>
        <w:tabs>
          <w:tab w:val="center" w:pos="5400"/>
        </w:tabs>
        <w:suppressAutoHyphens/>
        <w:jc w:val="center"/>
        <w:rPr>
          <w:rFonts w:asciiTheme="majorHAnsi" w:hAnsiTheme="majorHAnsi"/>
          <w:sz w:val="18"/>
          <w:szCs w:val="22"/>
        </w:rPr>
      </w:pPr>
    </w:p>
    <w:p w14:paraId="0DF79622" w14:textId="77777777" w:rsidR="003C32BC" w:rsidRPr="00B41E87" w:rsidRDefault="006311DA" w:rsidP="003C32BC">
      <w:pPr>
        <w:tabs>
          <w:tab w:val="center" w:pos="5400"/>
        </w:tabs>
        <w:suppressAutoHyphens/>
        <w:jc w:val="center"/>
        <w:rPr>
          <w:rFonts w:asciiTheme="majorHAnsi" w:hAnsiTheme="majorHAnsi"/>
          <w:sz w:val="18"/>
          <w:szCs w:val="22"/>
        </w:rPr>
      </w:pPr>
      <w:r w:rsidRPr="00B41E8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5391158" wp14:editId="195B21F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0F3FD" w14:textId="77777777" w:rsidR="003E6AF7" w:rsidRPr="004B7EB6" w:rsidRDefault="003E6AF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115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740F3FD" w14:textId="77777777" w:rsidR="003E6AF7" w:rsidRPr="004B7EB6" w:rsidRDefault="003E6AF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41E8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83358D3" wp14:editId="44E36AC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1936E" w14:textId="77777777" w:rsidR="003E6AF7" w:rsidRDefault="003E6AF7">
                            <w:r>
                              <w:rPr>
                                <w:noProof/>
                              </w:rPr>
                              <w:drawing>
                                <wp:inline distT="0" distB="0" distL="0" distR="0" wp14:anchorId="4BC6F9B2" wp14:editId="2B660432">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58D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021936E" w14:textId="77777777" w:rsidR="003E6AF7" w:rsidRDefault="003E6AF7">
                      <w:r>
                        <w:rPr>
                          <w:noProof/>
                        </w:rPr>
                        <w:drawing>
                          <wp:inline distT="0" distB="0" distL="0" distR="0" wp14:anchorId="4BC6F9B2" wp14:editId="2B660432">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6E474973" w14:textId="77777777" w:rsidR="007607C4" w:rsidRPr="00B41E87" w:rsidRDefault="007607C4" w:rsidP="003C32BC">
      <w:pPr>
        <w:tabs>
          <w:tab w:val="center" w:pos="5400"/>
        </w:tabs>
        <w:suppressAutoHyphens/>
        <w:jc w:val="center"/>
        <w:rPr>
          <w:rFonts w:asciiTheme="majorHAnsi" w:hAnsiTheme="majorHAnsi"/>
          <w:sz w:val="18"/>
          <w:szCs w:val="22"/>
        </w:rPr>
        <w:sectPr w:rsidR="007607C4" w:rsidRPr="00B41E87"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FD9BC56" w14:textId="1AA6FAEF" w:rsidR="0035677D" w:rsidRPr="00B41E87" w:rsidRDefault="0035677D" w:rsidP="0035677D">
      <w:pPr>
        <w:jc w:val="center"/>
        <w:rPr>
          <w:rFonts w:asciiTheme="majorHAnsi" w:eastAsia="Times New Roman" w:hAnsiTheme="majorHAnsi"/>
          <w:b/>
          <w:sz w:val="18"/>
          <w:szCs w:val="18"/>
        </w:rPr>
      </w:pPr>
      <w:r w:rsidRPr="00B41E87">
        <w:rPr>
          <w:rFonts w:asciiTheme="majorHAnsi" w:eastAsia="Times New Roman" w:hAnsiTheme="majorHAnsi"/>
          <w:b/>
          <w:bCs/>
          <w:sz w:val="18"/>
          <w:szCs w:val="18"/>
          <w:lang w:val="en"/>
        </w:rPr>
        <w:lastRenderedPageBreak/>
        <w:t xml:space="preserve">REPORT No. </w:t>
      </w:r>
      <w:r w:rsidR="00B20383" w:rsidRPr="00B41E87">
        <w:rPr>
          <w:rFonts w:asciiTheme="majorHAnsi" w:eastAsia="Times New Roman" w:hAnsiTheme="majorHAnsi"/>
          <w:b/>
          <w:bCs/>
          <w:sz w:val="18"/>
          <w:szCs w:val="18"/>
          <w:lang w:val="en"/>
        </w:rPr>
        <w:t>71</w:t>
      </w:r>
      <w:r w:rsidRPr="00B41E87">
        <w:rPr>
          <w:rFonts w:asciiTheme="majorHAnsi" w:eastAsia="Times New Roman" w:hAnsiTheme="majorHAnsi"/>
          <w:b/>
          <w:bCs/>
          <w:sz w:val="18"/>
          <w:szCs w:val="18"/>
          <w:lang w:val="en"/>
        </w:rPr>
        <w:t>/1</w:t>
      </w:r>
      <w:r w:rsidR="00DA398F" w:rsidRPr="00B41E87">
        <w:rPr>
          <w:rFonts w:asciiTheme="majorHAnsi" w:eastAsia="Times New Roman" w:hAnsiTheme="majorHAnsi"/>
          <w:b/>
          <w:bCs/>
          <w:sz w:val="18"/>
          <w:szCs w:val="18"/>
          <w:lang w:val="en"/>
        </w:rPr>
        <w:t>8</w:t>
      </w:r>
    </w:p>
    <w:p w14:paraId="1F1AF6F3" w14:textId="1FEA6B1F" w:rsidR="0035677D" w:rsidRPr="00B41E87" w:rsidRDefault="007F70F8" w:rsidP="0035677D">
      <w:pPr>
        <w:jc w:val="center"/>
        <w:rPr>
          <w:rFonts w:asciiTheme="majorHAnsi" w:eastAsia="Times New Roman" w:hAnsiTheme="majorHAnsi"/>
          <w:b/>
          <w:sz w:val="18"/>
          <w:szCs w:val="18"/>
        </w:rPr>
      </w:pPr>
      <w:r w:rsidRPr="00B41E87">
        <w:rPr>
          <w:rFonts w:asciiTheme="majorHAnsi" w:eastAsia="Times New Roman" w:hAnsiTheme="majorHAnsi"/>
          <w:b/>
          <w:bCs/>
          <w:sz w:val="18"/>
          <w:szCs w:val="18"/>
          <w:lang w:val="en"/>
        </w:rPr>
        <w:t>CASE 1</w:t>
      </w:r>
      <w:r w:rsidR="00DA398F" w:rsidRPr="00B41E87">
        <w:rPr>
          <w:rFonts w:asciiTheme="majorHAnsi" w:eastAsia="Times New Roman" w:hAnsiTheme="majorHAnsi"/>
          <w:b/>
          <w:bCs/>
          <w:sz w:val="18"/>
          <w:szCs w:val="18"/>
          <w:lang w:val="en"/>
        </w:rPr>
        <w:t>2</w:t>
      </w:r>
      <w:r w:rsidR="004837A8" w:rsidRPr="00B41E87">
        <w:rPr>
          <w:rFonts w:asciiTheme="majorHAnsi" w:eastAsia="Times New Roman" w:hAnsiTheme="majorHAnsi"/>
          <w:b/>
          <w:bCs/>
          <w:sz w:val="18"/>
          <w:szCs w:val="18"/>
          <w:lang w:val="en"/>
        </w:rPr>
        <w:t>.</w:t>
      </w:r>
      <w:r w:rsidR="00DA398F" w:rsidRPr="00B41E87">
        <w:rPr>
          <w:rFonts w:asciiTheme="majorHAnsi" w:eastAsia="Times New Roman" w:hAnsiTheme="majorHAnsi"/>
          <w:b/>
          <w:bCs/>
          <w:sz w:val="18"/>
          <w:szCs w:val="18"/>
          <w:lang w:val="en"/>
        </w:rPr>
        <w:t>958</w:t>
      </w:r>
    </w:p>
    <w:p w14:paraId="68809B98" w14:textId="2D24566C" w:rsidR="0035677D" w:rsidRPr="00B41E87" w:rsidRDefault="0035677D" w:rsidP="0035677D">
      <w:pPr>
        <w:jc w:val="center"/>
        <w:rPr>
          <w:rFonts w:asciiTheme="majorHAnsi" w:eastAsia="Times New Roman" w:hAnsiTheme="majorHAnsi"/>
          <w:sz w:val="18"/>
          <w:szCs w:val="18"/>
        </w:rPr>
      </w:pPr>
      <w:r w:rsidRPr="00B41E87">
        <w:rPr>
          <w:rFonts w:asciiTheme="majorHAnsi" w:eastAsia="Times New Roman" w:hAnsiTheme="majorHAnsi"/>
          <w:sz w:val="18"/>
          <w:szCs w:val="18"/>
          <w:lang w:val="en"/>
        </w:rPr>
        <w:t>MERITS</w:t>
      </w:r>
      <w:r w:rsidR="00051BEC" w:rsidRPr="00B41E87">
        <w:rPr>
          <w:rFonts w:asciiTheme="majorHAnsi" w:eastAsia="Times New Roman" w:hAnsiTheme="majorHAnsi"/>
          <w:sz w:val="18"/>
          <w:szCs w:val="18"/>
          <w:lang w:val="en"/>
        </w:rPr>
        <w:t xml:space="preserve"> (</w:t>
      </w:r>
      <w:r w:rsidR="00BD6399" w:rsidRPr="00B41E87">
        <w:rPr>
          <w:rFonts w:asciiTheme="majorHAnsi" w:eastAsia="Times New Roman" w:hAnsiTheme="majorHAnsi"/>
          <w:sz w:val="18"/>
          <w:szCs w:val="18"/>
          <w:lang w:val="en"/>
        </w:rPr>
        <w:t>PUBLICATION</w:t>
      </w:r>
      <w:r w:rsidR="00051BEC" w:rsidRPr="00B41E87">
        <w:rPr>
          <w:rFonts w:asciiTheme="majorHAnsi" w:eastAsia="Times New Roman" w:hAnsiTheme="majorHAnsi"/>
          <w:sz w:val="18"/>
          <w:szCs w:val="18"/>
          <w:lang w:val="en"/>
        </w:rPr>
        <w:t>)</w:t>
      </w:r>
    </w:p>
    <w:p w14:paraId="28DE15D3" w14:textId="0E96FEC6" w:rsidR="0035677D" w:rsidRPr="00B41E87" w:rsidRDefault="00DA398F" w:rsidP="0035677D">
      <w:pPr>
        <w:jc w:val="center"/>
        <w:rPr>
          <w:rFonts w:asciiTheme="majorHAnsi" w:eastAsia="Times New Roman" w:hAnsiTheme="majorHAnsi"/>
          <w:sz w:val="18"/>
          <w:szCs w:val="18"/>
        </w:rPr>
      </w:pPr>
      <w:r w:rsidRPr="00B41E87">
        <w:rPr>
          <w:rFonts w:asciiTheme="majorHAnsi" w:hAnsiTheme="majorHAnsi"/>
          <w:sz w:val="20"/>
          <w:szCs w:val="20"/>
        </w:rPr>
        <w:t>RUSSELL BUCKLEW</w:t>
      </w:r>
      <w:r w:rsidR="0035677D" w:rsidRPr="00B41E87">
        <w:rPr>
          <w:rFonts w:asciiTheme="majorHAnsi" w:eastAsia="Times New Roman" w:hAnsiTheme="majorHAnsi"/>
          <w:sz w:val="18"/>
          <w:szCs w:val="18"/>
        </w:rPr>
        <w:t xml:space="preserve"> </w:t>
      </w:r>
    </w:p>
    <w:p w14:paraId="6AF7FFF0" w14:textId="7317B0C3" w:rsidR="0035677D" w:rsidRPr="00B41E87" w:rsidRDefault="00DA398F" w:rsidP="0035677D">
      <w:pPr>
        <w:jc w:val="center"/>
        <w:rPr>
          <w:rFonts w:asciiTheme="majorHAnsi" w:eastAsia="Times New Roman" w:hAnsiTheme="majorHAnsi"/>
          <w:sz w:val="18"/>
          <w:szCs w:val="18"/>
        </w:rPr>
      </w:pPr>
      <w:r w:rsidRPr="00B41E87">
        <w:rPr>
          <w:rFonts w:asciiTheme="majorHAnsi" w:eastAsia="Times New Roman" w:hAnsiTheme="majorHAnsi"/>
          <w:sz w:val="18"/>
          <w:szCs w:val="18"/>
        </w:rPr>
        <w:t>UNITED STATES</w:t>
      </w:r>
    </w:p>
    <w:p w14:paraId="4722948C" w14:textId="754D9321" w:rsidR="0035677D" w:rsidRPr="00B41E87" w:rsidRDefault="004837A8" w:rsidP="0035677D">
      <w:pPr>
        <w:jc w:val="center"/>
        <w:rPr>
          <w:rFonts w:asciiTheme="majorHAnsi" w:eastAsia="Times New Roman" w:hAnsiTheme="majorHAnsi"/>
          <w:sz w:val="18"/>
          <w:szCs w:val="18"/>
        </w:rPr>
      </w:pPr>
      <w:r w:rsidRPr="00B41E87">
        <w:rPr>
          <w:rFonts w:asciiTheme="majorHAnsi" w:eastAsia="Times New Roman" w:hAnsiTheme="majorHAnsi"/>
          <w:sz w:val="18"/>
          <w:szCs w:val="18"/>
        </w:rPr>
        <w:t>May 10, 2018</w:t>
      </w:r>
    </w:p>
    <w:p w14:paraId="14A98A2A" w14:textId="77777777" w:rsidR="0035677D" w:rsidRPr="00B41E87" w:rsidRDefault="0035677D" w:rsidP="0035677D">
      <w:pPr>
        <w:jc w:val="center"/>
        <w:rPr>
          <w:rFonts w:asciiTheme="majorHAnsi" w:hAnsiTheme="majorHAnsi"/>
          <w:sz w:val="20"/>
          <w:szCs w:val="20"/>
        </w:rPr>
      </w:pPr>
    </w:p>
    <w:p w14:paraId="472635CA" w14:textId="77777777" w:rsidR="0035677D" w:rsidRPr="00B41E87" w:rsidRDefault="0035677D" w:rsidP="00E267D6">
      <w:pPr>
        <w:tabs>
          <w:tab w:val="center" w:pos="5400"/>
        </w:tabs>
        <w:suppressAutoHyphens/>
        <w:spacing w:line="276" w:lineRule="auto"/>
        <w:jc w:val="center"/>
        <w:rPr>
          <w:rFonts w:asciiTheme="majorHAnsi" w:hAnsiTheme="majorHAnsi"/>
          <w:b/>
          <w:bCs/>
          <w:sz w:val="20"/>
          <w:szCs w:val="20"/>
          <w:lang w:val="en"/>
        </w:rPr>
      </w:pPr>
      <w:r w:rsidRPr="00B41E87">
        <w:rPr>
          <w:rFonts w:asciiTheme="majorHAnsi" w:hAnsiTheme="majorHAnsi"/>
          <w:b/>
          <w:bCs/>
          <w:sz w:val="20"/>
          <w:szCs w:val="20"/>
          <w:lang w:val="en"/>
        </w:rPr>
        <w:t>INDEX</w:t>
      </w:r>
    </w:p>
    <w:p w14:paraId="2D1A4182" w14:textId="77777777" w:rsidR="003E5F8E" w:rsidRPr="00B41E87" w:rsidRDefault="003E5F8E" w:rsidP="003E5F8E">
      <w:pPr>
        <w:tabs>
          <w:tab w:val="center" w:pos="5400"/>
        </w:tabs>
        <w:suppressAutoHyphens/>
        <w:spacing w:line="276" w:lineRule="auto"/>
        <w:jc w:val="both"/>
        <w:rPr>
          <w:rFonts w:asciiTheme="majorHAnsi" w:hAnsiTheme="majorHAnsi"/>
          <w:b/>
          <w:bCs/>
          <w:sz w:val="20"/>
          <w:szCs w:val="20"/>
          <w:lang w:val="en"/>
        </w:rPr>
      </w:pPr>
    </w:p>
    <w:p w14:paraId="209A8520" w14:textId="77777777" w:rsidR="008C33FC" w:rsidRPr="00B41E87" w:rsidRDefault="008C33FC">
      <w:pPr>
        <w:pStyle w:val="TOC1"/>
        <w:rPr>
          <w:rFonts w:eastAsiaTheme="minorEastAsia" w:cstheme="minorBidi"/>
          <w:b w:val="0"/>
          <w:bdr w:val="none" w:sz="0" w:space="0" w:color="auto"/>
          <w:lang w:val="es-US" w:eastAsia="es-US"/>
        </w:rPr>
      </w:pPr>
      <w:r w:rsidRPr="00B41E87">
        <w:rPr>
          <w:b w:val="0"/>
          <w:bCs/>
          <w:lang w:val="en"/>
        </w:rPr>
        <w:fldChar w:fldCharType="begin"/>
      </w:r>
      <w:r w:rsidRPr="00B41E87">
        <w:rPr>
          <w:b w:val="0"/>
          <w:bCs/>
          <w:lang w:val="en"/>
        </w:rPr>
        <w:instrText xml:space="preserve"> TOC \o "1-3" \h \z \u </w:instrText>
      </w:r>
      <w:r w:rsidRPr="00B41E87">
        <w:rPr>
          <w:b w:val="0"/>
          <w:bCs/>
          <w:lang w:val="en"/>
        </w:rPr>
        <w:fldChar w:fldCharType="separate"/>
      </w:r>
      <w:hyperlink w:anchor="_Toc512265301" w:history="1">
        <w:r w:rsidRPr="00B41E87">
          <w:rPr>
            <w:rStyle w:val="Hyperlink"/>
          </w:rPr>
          <w:t>I.</w:t>
        </w:r>
        <w:r w:rsidRPr="00B41E87">
          <w:rPr>
            <w:rFonts w:eastAsiaTheme="minorEastAsia" w:cstheme="minorBidi"/>
            <w:b w:val="0"/>
            <w:bdr w:val="none" w:sz="0" w:space="0" w:color="auto"/>
            <w:lang w:val="es-US" w:eastAsia="es-US"/>
          </w:rPr>
          <w:tab/>
        </w:r>
        <w:r w:rsidRPr="00B41E87">
          <w:rPr>
            <w:rStyle w:val="Hyperlink"/>
          </w:rPr>
          <w:t>SUMMARY</w:t>
        </w:r>
        <w:r w:rsidRPr="00B41E87">
          <w:rPr>
            <w:webHidden/>
          </w:rPr>
          <w:tab/>
        </w:r>
        <w:r w:rsidRPr="00B41E87">
          <w:rPr>
            <w:webHidden/>
          </w:rPr>
          <w:fldChar w:fldCharType="begin"/>
        </w:r>
        <w:r w:rsidRPr="00B41E87">
          <w:rPr>
            <w:webHidden/>
          </w:rPr>
          <w:instrText xml:space="preserve"> PAGEREF _Toc512265301 \h </w:instrText>
        </w:r>
        <w:r w:rsidRPr="00B41E87">
          <w:rPr>
            <w:webHidden/>
          </w:rPr>
        </w:r>
        <w:r w:rsidRPr="00B41E87">
          <w:rPr>
            <w:webHidden/>
          </w:rPr>
          <w:fldChar w:fldCharType="separate"/>
        </w:r>
        <w:r w:rsidR="00A85E5F">
          <w:rPr>
            <w:webHidden/>
          </w:rPr>
          <w:t>1</w:t>
        </w:r>
        <w:r w:rsidRPr="00B41E87">
          <w:rPr>
            <w:webHidden/>
          </w:rPr>
          <w:fldChar w:fldCharType="end"/>
        </w:r>
      </w:hyperlink>
    </w:p>
    <w:p w14:paraId="62F1D904" w14:textId="77777777" w:rsidR="008C33FC" w:rsidRPr="00B41E87" w:rsidRDefault="008556FF">
      <w:pPr>
        <w:pStyle w:val="TOC1"/>
        <w:rPr>
          <w:rFonts w:eastAsiaTheme="minorEastAsia" w:cstheme="minorBidi"/>
          <w:b w:val="0"/>
          <w:bdr w:val="none" w:sz="0" w:space="0" w:color="auto"/>
          <w:lang w:val="es-US" w:eastAsia="es-US"/>
        </w:rPr>
      </w:pPr>
      <w:hyperlink w:anchor="_Toc512265302" w:history="1">
        <w:r w:rsidR="008C33FC" w:rsidRPr="00B41E87">
          <w:rPr>
            <w:rStyle w:val="Hyperlink"/>
          </w:rPr>
          <w:t>II.</w:t>
        </w:r>
        <w:r w:rsidR="008C33FC" w:rsidRPr="00B41E87">
          <w:rPr>
            <w:rFonts w:eastAsiaTheme="minorEastAsia" w:cstheme="minorBidi"/>
            <w:b w:val="0"/>
            <w:bdr w:val="none" w:sz="0" w:space="0" w:color="auto"/>
            <w:lang w:val="es-US" w:eastAsia="es-US"/>
          </w:rPr>
          <w:tab/>
        </w:r>
        <w:r w:rsidR="008C33FC" w:rsidRPr="00B41E87">
          <w:rPr>
            <w:rStyle w:val="Hyperlink"/>
          </w:rPr>
          <w:t>POSITIONS O</w:t>
        </w:r>
        <w:bookmarkStart w:id="0" w:name="_GoBack"/>
        <w:bookmarkEnd w:id="0"/>
        <w:r w:rsidR="008C33FC" w:rsidRPr="00B41E87">
          <w:rPr>
            <w:rStyle w:val="Hyperlink"/>
          </w:rPr>
          <w:t>F THE PARTIES</w:t>
        </w:r>
        <w:r w:rsidR="008C33FC" w:rsidRPr="00B41E87">
          <w:rPr>
            <w:webHidden/>
          </w:rPr>
          <w:tab/>
        </w:r>
        <w:r w:rsidR="008C33FC" w:rsidRPr="00B41E87">
          <w:rPr>
            <w:webHidden/>
          </w:rPr>
          <w:fldChar w:fldCharType="begin"/>
        </w:r>
        <w:r w:rsidR="008C33FC" w:rsidRPr="00B41E87">
          <w:rPr>
            <w:webHidden/>
          </w:rPr>
          <w:instrText xml:space="preserve"> PAGEREF _Toc512265302 \h </w:instrText>
        </w:r>
        <w:r w:rsidR="008C33FC" w:rsidRPr="00B41E87">
          <w:rPr>
            <w:webHidden/>
          </w:rPr>
        </w:r>
        <w:r w:rsidR="008C33FC" w:rsidRPr="00B41E87">
          <w:rPr>
            <w:webHidden/>
          </w:rPr>
          <w:fldChar w:fldCharType="separate"/>
        </w:r>
        <w:r w:rsidR="00A85E5F">
          <w:rPr>
            <w:webHidden/>
          </w:rPr>
          <w:t>2</w:t>
        </w:r>
        <w:r w:rsidR="008C33FC" w:rsidRPr="00B41E87">
          <w:rPr>
            <w:webHidden/>
          </w:rPr>
          <w:fldChar w:fldCharType="end"/>
        </w:r>
      </w:hyperlink>
    </w:p>
    <w:p w14:paraId="731F57B9"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03" w:history="1">
        <w:r w:rsidR="008C33FC" w:rsidRPr="00B41E87">
          <w:rPr>
            <w:rStyle w:val="Hyperlink"/>
            <w:rFonts w:asciiTheme="majorHAnsi" w:hAnsiTheme="majorHAnsi"/>
            <w:noProof/>
            <w:sz w:val="20"/>
            <w:szCs w:val="20"/>
          </w:rPr>
          <w:t>A.</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Position of the Petitioners</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_Toc512265303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2</w:t>
        </w:r>
        <w:r w:rsidR="008C33FC" w:rsidRPr="00B41E87">
          <w:rPr>
            <w:rFonts w:asciiTheme="majorHAnsi" w:hAnsiTheme="majorHAnsi"/>
            <w:noProof/>
            <w:webHidden/>
            <w:sz w:val="20"/>
            <w:szCs w:val="20"/>
          </w:rPr>
          <w:fldChar w:fldCharType="end"/>
        </w:r>
      </w:hyperlink>
    </w:p>
    <w:p w14:paraId="14755C48"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04" w:history="1">
        <w:r w:rsidR="008C33FC" w:rsidRPr="00B41E87">
          <w:rPr>
            <w:rStyle w:val="Hyperlink"/>
            <w:rFonts w:asciiTheme="majorHAnsi" w:hAnsiTheme="majorHAnsi"/>
            <w:noProof/>
            <w:sz w:val="20"/>
            <w:szCs w:val="20"/>
          </w:rPr>
          <w:t>B.</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Position of the State</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_Toc512265304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3</w:t>
        </w:r>
        <w:r w:rsidR="008C33FC" w:rsidRPr="00B41E87">
          <w:rPr>
            <w:rFonts w:asciiTheme="majorHAnsi" w:hAnsiTheme="majorHAnsi"/>
            <w:noProof/>
            <w:webHidden/>
            <w:sz w:val="20"/>
            <w:szCs w:val="20"/>
          </w:rPr>
          <w:fldChar w:fldCharType="end"/>
        </w:r>
      </w:hyperlink>
    </w:p>
    <w:p w14:paraId="7561E43C" w14:textId="77777777" w:rsidR="008C33FC" w:rsidRPr="00B41E87" w:rsidRDefault="008556FF">
      <w:pPr>
        <w:pStyle w:val="TOC1"/>
        <w:rPr>
          <w:rFonts w:eastAsiaTheme="minorEastAsia" w:cstheme="minorBidi"/>
          <w:b w:val="0"/>
          <w:bdr w:val="none" w:sz="0" w:space="0" w:color="auto"/>
          <w:lang w:val="es-US" w:eastAsia="es-US"/>
        </w:rPr>
      </w:pPr>
      <w:hyperlink w:anchor="_Toc512265305" w:history="1">
        <w:r w:rsidR="008C33FC" w:rsidRPr="00B41E87">
          <w:rPr>
            <w:rStyle w:val="Hyperlink"/>
          </w:rPr>
          <w:t>III.</w:t>
        </w:r>
        <w:r w:rsidR="008C33FC" w:rsidRPr="00B41E87">
          <w:rPr>
            <w:rFonts w:eastAsiaTheme="minorEastAsia" w:cstheme="minorBidi"/>
            <w:b w:val="0"/>
            <w:bdr w:val="none" w:sz="0" w:space="0" w:color="auto"/>
            <w:lang w:val="es-US" w:eastAsia="es-US"/>
          </w:rPr>
          <w:tab/>
        </w:r>
        <w:r w:rsidR="008C33FC" w:rsidRPr="00B41E87">
          <w:rPr>
            <w:rStyle w:val="Hyperlink"/>
          </w:rPr>
          <w:t>PROVEN FACTS</w:t>
        </w:r>
        <w:r w:rsidR="008C33FC" w:rsidRPr="00B41E87">
          <w:rPr>
            <w:webHidden/>
          </w:rPr>
          <w:tab/>
        </w:r>
        <w:r w:rsidR="008C33FC" w:rsidRPr="00B41E87">
          <w:rPr>
            <w:webHidden/>
          </w:rPr>
          <w:fldChar w:fldCharType="begin"/>
        </w:r>
        <w:r w:rsidR="008C33FC" w:rsidRPr="00B41E87">
          <w:rPr>
            <w:webHidden/>
          </w:rPr>
          <w:instrText xml:space="preserve"> PAGEREF _Toc512265305 \h </w:instrText>
        </w:r>
        <w:r w:rsidR="008C33FC" w:rsidRPr="00B41E87">
          <w:rPr>
            <w:webHidden/>
          </w:rPr>
        </w:r>
        <w:r w:rsidR="008C33FC" w:rsidRPr="00B41E87">
          <w:rPr>
            <w:webHidden/>
          </w:rPr>
          <w:fldChar w:fldCharType="separate"/>
        </w:r>
        <w:r w:rsidR="00A85E5F">
          <w:rPr>
            <w:webHidden/>
          </w:rPr>
          <w:t>4</w:t>
        </w:r>
        <w:r w:rsidR="008C33FC" w:rsidRPr="00B41E87">
          <w:rPr>
            <w:webHidden/>
          </w:rPr>
          <w:fldChar w:fldCharType="end"/>
        </w:r>
      </w:hyperlink>
    </w:p>
    <w:p w14:paraId="477DC6D6"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06" w:history="1">
        <w:r w:rsidR="008C33FC" w:rsidRPr="00B41E87">
          <w:rPr>
            <w:rStyle w:val="Hyperlink"/>
            <w:rFonts w:asciiTheme="majorHAnsi" w:hAnsiTheme="majorHAnsi"/>
            <w:noProof/>
            <w:sz w:val="20"/>
            <w:szCs w:val="20"/>
          </w:rPr>
          <w:t>A.</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cs="Calibri"/>
            <w:noProof/>
            <w:sz w:val="20"/>
            <w:szCs w:val="20"/>
          </w:rPr>
          <w:t>The</w:t>
        </w:r>
        <w:r w:rsidR="008C33FC" w:rsidRPr="00B41E87">
          <w:rPr>
            <w:rStyle w:val="Hyperlink"/>
            <w:rFonts w:asciiTheme="majorHAnsi" w:hAnsiTheme="majorHAnsi"/>
            <w:noProof/>
            <w:sz w:val="20"/>
            <w:szCs w:val="20"/>
          </w:rPr>
          <w:t xml:space="preserve"> application of lethal injection in the State of Missouri</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_Toc512265306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4</w:t>
        </w:r>
        <w:r w:rsidR="008C33FC" w:rsidRPr="00B41E87">
          <w:rPr>
            <w:rFonts w:asciiTheme="majorHAnsi" w:hAnsiTheme="majorHAnsi"/>
            <w:noProof/>
            <w:webHidden/>
            <w:sz w:val="20"/>
            <w:szCs w:val="20"/>
          </w:rPr>
          <w:fldChar w:fldCharType="end"/>
        </w:r>
      </w:hyperlink>
    </w:p>
    <w:p w14:paraId="3F41CF17"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07" w:history="1">
        <w:r w:rsidR="008C33FC" w:rsidRPr="00B41E87">
          <w:rPr>
            <w:rStyle w:val="Hyperlink"/>
            <w:rFonts w:asciiTheme="majorHAnsi" w:hAnsiTheme="majorHAnsi" w:cs="Calibri"/>
            <w:noProof/>
            <w:sz w:val="20"/>
            <w:szCs w:val="20"/>
          </w:rPr>
          <w:t>B.</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cs="Calibri"/>
            <w:noProof/>
            <w:sz w:val="20"/>
            <w:szCs w:val="20"/>
          </w:rPr>
          <w:t>Russell Bucklew’s criminal conviction and his medical condition</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_Toc512265307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5</w:t>
        </w:r>
        <w:r w:rsidR="008C33FC" w:rsidRPr="00B41E87">
          <w:rPr>
            <w:rFonts w:asciiTheme="majorHAnsi" w:hAnsiTheme="majorHAnsi"/>
            <w:noProof/>
            <w:webHidden/>
            <w:sz w:val="20"/>
            <w:szCs w:val="20"/>
          </w:rPr>
          <w:fldChar w:fldCharType="end"/>
        </w:r>
      </w:hyperlink>
    </w:p>
    <w:p w14:paraId="5AB28CE8"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08" w:history="1">
        <w:r w:rsidR="008C33FC" w:rsidRPr="00B41E87">
          <w:rPr>
            <w:rStyle w:val="Hyperlink"/>
            <w:rFonts w:asciiTheme="majorHAnsi" w:hAnsiTheme="majorHAnsi" w:cs="Calibri"/>
            <w:noProof/>
            <w:sz w:val="20"/>
            <w:szCs w:val="20"/>
          </w:rPr>
          <w:t>C.</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cs="Calibri"/>
            <w:noProof/>
            <w:sz w:val="20"/>
            <w:szCs w:val="20"/>
          </w:rPr>
          <w:t>Judicial actions challenging Missouri’s lethal injection protocol</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_Toc512265308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5</w:t>
        </w:r>
        <w:r w:rsidR="008C33FC" w:rsidRPr="00B41E87">
          <w:rPr>
            <w:rFonts w:asciiTheme="majorHAnsi" w:hAnsiTheme="majorHAnsi"/>
            <w:noProof/>
            <w:webHidden/>
            <w:sz w:val="20"/>
            <w:szCs w:val="20"/>
          </w:rPr>
          <w:fldChar w:fldCharType="end"/>
        </w:r>
      </w:hyperlink>
    </w:p>
    <w:p w14:paraId="0ED47B2C" w14:textId="77777777" w:rsidR="008C33FC" w:rsidRPr="00B41E87" w:rsidRDefault="008556FF">
      <w:pPr>
        <w:pStyle w:val="TOC3"/>
        <w:tabs>
          <w:tab w:val="left" w:pos="2160"/>
        </w:tabs>
        <w:rPr>
          <w:rFonts w:asciiTheme="majorHAnsi" w:eastAsiaTheme="minorEastAsia" w:hAnsiTheme="majorHAnsi" w:cstheme="minorBidi"/>
          <w:noProof/>
          <w:sz w:val="20"/>
          <w:szCs w:val="20"/>
          <w:bdr w:val="none" w:sz="0" w:space="0" w:color="auto"/>
          <w:lang w:val="es-US" w:eastAsia="es-US"/>
        </w:rPr>
      </w:pPr>
      <w:hyperlink w:anchor="_Toc512265309" w:history="1">
        <w:r w:rsidR="008C33FC" w:rsidRPr="00B41E87">
          <w:rPr>
            <w:rStyle w:val="Hyperlink"/>
            <w:rFonts w:asciiTheme="majorHAnsi" w:hAnsiTheme="majorHAnsi"/>
            <w:noProof/>
            <w:sz w:val="20"/>
            <w:szCs w:val="20"/>
          </w:rPr>
          <w:t>1.</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Judicial proceedings before 2014</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_Toc512265309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5</w:t>
        </w:r>
        <w:r w:rsidR="008C33FC" w:rsidRPr="00B41E87">
          <w:rPr>
            <w:rFonts w:asciiTheme="majorHAnsi" w:hAnsiTheme="majorHAnsi"/>
            <w:noProof/>
            <w:webHidden/>
            <w:sz w:val="20"/>
            <w:szCs w:val="20"/>
          </w:rPr>
          <w:fldChar w:fldCharType="end"/>
        </w:r>
      </w:hyperlink>
    </w:p>
    <w:p w14:paraId="08860720" w14:textId="77777777" w:rsidR="008C33FC" w:rsidRPr="00B41E87" w:rsidRDefault="008556FF">
      <w:pPr>
        <w:pStyle w:val="TOC3"/>
        <w:tabs>
          <w:tab w:val="left" w:pos="2160"/>
        </w:tabs>
        <w:rPr>
          <w:rFonts w:asciiTheme="majorHAnsi" w:eastAsiaTheme="minorEastAsia" w:hAnsiTheme="majorHAnsi" w:cstheme="minorBidi"/>
          <w:noProof/>
          <w:sz w:val="20"/>
          <w:szCs w:val="20"/>
          <w:bdr w:val="none" w:sz="0" w:space="0" w:color="auto"/>
          <w:lang w:val="es-US" w:eastAsia="es-US"/>
        </w:rPr>
      </w:pPr>
      <w:hyperlink w:anchor="_Toc512265310" w:history="1">
        <w:r w:rsidR="008C33FC" w:rsidRPr="00B41E87">
          <w:rPr>
            <w:rStyle w:val="Hyperlink"/>
            <w:rFonts w:asciiTheme="majorHAnsi" w:hAnsiTheme="majorHAnsi"/>
            <w:noProof/>
            <w:sz w:val="20"/>
            <w:szCs w:val="20"/>
          </w:rPr>
          <w:t>2.</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Judicial proceedings since 2014</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_Toc512265310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6</w:t>
        </w:r>
        <w:r w:rsidR="008C33FC" w:rsidRPr="00B41E87">
          <w:rPr>
            <w:rFonts w:asciiTheme="majorHAnsi" w:hAnsiTheme="majorHAnsi"/>
            <w:noProof/>
            <w:webHidden/>
            <w:sz w:val="20"/>
            <w:szCs w:val="20"/>
          </w:rPr>
          <w:fldChar w:fldCharType="end"/>
        </w:r>
      </w:hyperlink>
    </w:p>
    <w:p w14:paraId="18CC1CB0" w14:textId="77777777" w:rsidR="008C33FC" w:rsidRPr="00B41E87" w:rsidRDefault="008556FF">
      <w:pPr>
        <w:pStyle w:val="TOC1"/>
        <w:rPr>
          <w:rFonts w:eastAsiaTheme="minorEastAsia" w:cstheme="minorBidi"/>
          <w:b w:val="0"/>
          <w:bdr w:val="none" w:sz="0" w:space="0" w:color="auto"/>
          <w:lang w:val="es-US" w:eastAsia="es-US"/>
        </w:rPr>
      </w:pPr>
      <w:hyperlink w:anchor="_Toc512265311" w:history="1">
        <w:r w:rsidR="008C33FC" w:rsidRPr="00B41E87">
          <w:rPr>
            <w:rStyle w:val="Hyperlink"/>
          </w:rPr>
          <w:t>IV.</w:t>
        </w:r>
        <w:r w:rsidR="008C33FC" w:rsidRPr="00B41E87">
          <w:rPr>
            <w:rFonts w:eastAsiaTheme="minorEastAsia" w:cstheme="minorBidi"/>
            <w:b w:val="0"/>
            <w:bdr w:val="none" w:sz="0" w:space="0" w:color="auto"/>
            <w:lang w:val="es-US" w:eastAsia="es-US"/>
          </w:rPr>
          <w:tab/>
        </w:r>
        <w:r w:rsidR="008C33FC" w:rsidRPr="00B41E87">
          <w:rPr>
            <w:rStyle w:val="Hyperlink"/>
          </w:rPr>
          <w:t>ANALYSIS OF LAW</w:t>
        </w:r>
        <w:r w:rsidR="008C33FC" w:rsidRPr="00B41E87">
          <w:rPr>
            <w:webHidden/>
          </w:rPr>
          <w:tab/>
        </w:r>
        <w:r w:rsidR="008C33FC" w:rsidRPr="00B41E87">
          <w:rPr>
            <w:webHidden/>
          </w:rPr>
          <w:fldChar w:fldCharType="begin"/>
        </w:r>
        <w:r w:rsidR="008C33FC" w:rsidRPr="00B41E87">
          <w:rPr>
            <w:webHidden/>
          </w:rPr>
          <w:instrText xml:space="preserve"> PAGEREF _Toc512265311 \h </w:instrText>
        </w:r>
        <w:r w:rsidR="008C33FC" w:rsidRPr="00B41E87">
          <w:rPr>
            <w:webHidden/>
          </w:rPr>
        </w:r>
        <w:r w:rsidR="008C33FC" w:rsidRPr="00B41E87">
          <w:rPr>
            <w:webHidden/>
          </w:rPr>
          <w:fldChar w:fldCharType="separate"/>
        </w:r>
        <w:r w:rsidR="00A85E5F">
          <w:rPr>
            <w:webHidden/>
          </w:rPr>
          <w:t>11</w:t>
        </w:r>
        <w:r w:rsidR="008C33FC" w:rsidRPr="00B41E87">
          <w:rPr>
            <w:webHidden/>
          </w:rPr>
          <w:fldChar w:fldCharType="end"/>
        </w:r>
      </w:hyperlink>
    </w:p>
    <w:p w14:paraId="6975390B"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12" w:history="1">
        <w:r w:rsidR="008C33FC" w:rsidRPr="00B41E87">
          <w:rPr>
            <w:rStyle w:val="Hyperlink"/>
            <w:rFonts w:asciiTheme="majorHAnsi" w:hAnsiTheme="majorHAnsi"/>
            <w:noProof/>
            <w:sz w:val="20"/>
            <w:szCs w:val="20"/>
          </w:rPr>
          <w:t>A.</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Preliminary considerations on the IACHR's standard of review in cases involving the death penalty</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_Toc512265312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11</w:t>
        </w:r>
        <w:r w:rsidR="008C33FC" w:rsidRPr="00B41E87">
          <w:rPr>
            <w:rFonts w:asciiTheme="majorHAnsi" w:hAnsiTheme="majorHAnsi"/>
            <w:noProof/>
            <w:webHidden/>
            <w:sz w:val="20"/>
            <w:szCs w:val="20"/>
          </w:rPr>
          <w:fldChar w:fldCharType="end"/>
        </w:r>
      </w:hyperlink>
    </w:p>
    <w:p w14:paraId="511A422C"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13" w:history="1">
        <w:r w:rsidR="008C33FC" w:rsidRPr="00B41E87">
          <w:rPr>
            <w:rStyle w:val="Hyperlink"/>
            <w:rFonts w:asciiTheme="majorHAnsi" w:hAnsiTheme="majorHAnsi" w:cs="Cambria"/>
            <w:noProof/>
            <w:sz w:val="20"/>
            <w:szCs w:val="20"/>
          </w:rPr>
          <w:t>B.</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Right to humane treatment, and not to undergo cruel, degrading, and unusual punishment and right to a fair trial in relation to the method of execution and judicial remedies</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_Toc512265313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12</w:t>
        </w:r>
        <w:r w:rsidR="008C33FC" w:rsidRPr="00B41E87">
          <w:rPr>
            <w:rFonts w:asciiTheme="majorHAnsi" w:hAnsiTheme="majorHAnsi"/>
            <w:noProof/>
            <w:webHidden/>
            <w:sz w:val="20"/>
            <w:szCs w:val="20"/>
          </w:rPr>
          <w:fldChar w:fldCharType="end"/>
        </w:r>
      </w:hyperlink>
    </w:p>
    <w:p w14:paraId="77697064" w14:textId="77777777" w:rsidR="008C33FC" w:rsidRPr="00B41E87" w:rsidRDefault="008556FF">
      <w:pPr>
        <w:pStyle w:val="TOC3"/>
        <w:tabs>
          <w:tab w:val="left" w:pos="2160"/>
        </w:tabs>
        <w:rPr>
          <w:rFonts w:asciiTheme="majorHAnsi" w:eastAsiaTheme="minorEastAsia" w:hAnsiTheme="majorHAnsi" w:cstheme="minorBidi"/>
          <w:noProof/>
          <w:sz w:val="20"/>
          <w:szCs w:val="20"/>
          <w:bdr w:val="none" w:sz="0" w:space="0" w:color="auto"/>
          <w:lang w:val="es-US" w:eastAsia="es-US"/>
        </w:rPr>
      </w:pPr>
      <w:hyperlink w:anchor="_Toc512265314" w:history="1">
        <w:r w:rsidR="008C33FC" w:rsidRPr="00B41E87">
          <w:rPr>
            <w:rStyle w:val="Hyperlink"/>
            <w:rFonts w:asciiTheme="majorHAnsi" w:hAnsiTheme="majorHAnsi"/>
            <w:noProof/>
            <w:sz w:val="20"/>
            <w:szCs w:val="20"/>
          </w:rPr>
          <w:t>1.</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General considerations</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_Toc512265314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12</w:t>
        </w:r>
        <w:r w:rsidR="008C33FC" w:rsidRPr="00B41E87">
          <w:rPr>
            <w:rFonts w:asciiTheme="majorHAnsi" w:hAnsiTheme="majorHAnsi"/>
            <w:noProof/>
            <w:webHidden/>
            <w:sz w:val="20"/>
            <w:szCs w:val="20"/>
          </w:rPr>
          <w:fldChar w:fldCharType="end"/>
        </w:r>
      </w:hyperlink>
    </w:p>
    <w:p w14:paraId="2309A770" w14:textId="77777777" w:rsidR="008C33FC" w:rsidRPr="00B41E87" w:rsidRDefault="008556FF">
      <w:pPr>
        <w:pStyle w:val="TOC3"/>
        <w:tabs>
          <w:tab w:val="left" w:pos="2160"/>
        </w:tabs>
        <w:rPr>
          <w:rFonts w:asciiTheme="majorHAnsi" w:eastAsiaTheme="minorEastAsia" w:hAnsiTheme="majorHAnsi" w:cstheme="minorBidi"/>
          <w:noProof/>
          <w:sz w:val="20"/>
          <w:szCs w:val="20"/>
          <w:bdr w:val="none" w:sz="0" w:space="0" w:color="auto"/>
          <w:lang w:val="es-US" w:eastAsia="es-US"/>
        </w:rPr>
      </w:pPr>
      <w:hyperlink w:anchor="_Toc512265315" w:history="1">
        <w:r w:rsidR="008C33FC" w:rsidRPr="00B41E87">
          <w:rPr>
            <w:rStyle w:val="Hyperlink"/>
            <w:rFonts w:asciiTheme="majorHAnsi" w:hAnsiTheme="majorHAnsi"/>
            <w:noProof/>
            <w:sz w:val="20"/>
            <w:szCs w:val="20"/>
          </w:rPr>
          <w:t>2.</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Analysis of the case</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_Toc512265315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14</w:t>
        </w:r>
        <w:r w:rsidR="008C33FC" w:rsidRPr="00B41E87">
          <w:rPr>
            <w:rFonts w:asciiTheme="majorHAnsi" w:hAnsiTheme="majorHAnsi"/>
            <w:noProof/>
            <w:webHidden/>
            <w:sz w:val="20"/>
            <w:szCs w:val="20"/>
          </w:rPr>
          <w:fldChar w:fldCharType="end"/>
        </w:r>
      </w:hyperlink>
    </w:p>
    <w:p w14:paraId="446937F2"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16" w:history="1">
        <w:r w:rsidR="008C33FC" w:rsidRPr="00B41E87">
          <w:rPr>
            <w:rStyle w:val="Hyperlink"/>
            <w:rFonts w:asciiTheme="majorHAnsi" w:eastAsia="Calibri" w:hAnsiTheme="majorHAnsi"/>
            <w:noProof/>
            <w:sz w:val="20"/>
            <w:szCs w:val="20"/>
          </w:rPr>
          <w:t>C.</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eastAsia="Calibri" w:hAnsiTheme="majorHAnsi"/>
            <w:noProof/>
            <w:sz w:val="20"/>
            <w:szCs w:val="20"/>
          </w:rPr>
          <w:t xml:space="preserve">Right of protection against arbitrary arrest, to humane treatment, and not to undergo cruel, </w:t>
        </w:r>
        <w:r w:rsidR="008C33FC" w:rsidRPr="00B41E87">
          <w:rPr>
            <w:rStyle w:val="Hyperlink"/>
            <w:rFonts w:asciiTheme="majorHAnsi" w:hAnsiTheme="majorHAnsi"/>
            <w:noProof/>
            <w:sz w:val="20"/>
            <w:szCs w:val="20"/>
          </w:rPr>
          <w:t>infamous</w:t>
        </w:r>
        <w:r w:rsidR="008C33FC" w:rsidRPr="00B41E87">
          <w:rPr>
            <w:rStyle w:val="Hyperlink"/>
            <w:rFonts w:asciiTheme="majorHAnsi" w:eastAsia="Calibri" w:hAnsiTheme="majorHAnsi"/>
            <w:noProof/>
            <w:sz w:val="20"/>
            <w:szCs w:val="20"/>
          </w:rPr>
          <w:t>, or unusual punishment, with respect to the deprivation of liberty on death row</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_Toc512265316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16</w:t>
        </w:r>
        <w:r w:rsidR="008C33FC" w:rsidRPr="00B41E87">
          <w:rPr>
            <w:rFonts w:asciiTheme="majorHAnsi" w:hAnsiTheme="majorHAnsi"/>
            <w:noProof/>
            <w:webHidden/>
            <w:sz w:val="20"/>
            <w:szCs w:val="20"/>
          </w:rPr>
          <w:fldChar w:fldCharType="end"/>
        </w:r>
      </w:hyperlink>
    </w:p>
    <w:p w14:paraId="13942AF7" w14:textId="77777777" w:rsidR="008C33FC" w:rsidRPr="00B41E87" w:rsidRDefault="008556FF">
      <w:pPr>
        <w:pStyle w:val="TOC2"/>
        <w:rPr>
          <w:rFonts w:asciiTheme="majorHAnsi" w:eastAsiaTheme="minorEastAsia" w:hAnsiTheme="majorHAnsi" w:cstheme="minorBidi"/>
          <w:noProof/>
          <w:sz w:val="20"/>
          <w:szCs w:val="20"/>
          <w:bdr w:val="none" w:sz="0" w:space="0" w:color="auto"/>
          <w:lang w:val="es-US" w:eastAsia="es-US"/>
        </w:rPr>
      </w:pPr>
      <w:hyperlink w:anchor="_Toc512265317" w:history="1">
        <w:r w:rsidR="008C33FC" w:rsidRPr="00B41E87">
          <w:rPr>
            <w:rStyle w:val="Hyperlink"/>
            <w:rFonts w:asciiTheme="majorHAnsi" w:hAnsiTheme="majorHAnsi"/>
            <w:noProof/>
            <w:sz w:val="20"/>
            <w:szCs w:val="20"/>
          </w:rPr>
          <w:t>D.</w:t>
        </w:r>
        <w:r w:rsidR="008C33FC" w:rsidRPr="00B41E87">
          <w:rPr>
            <w:rFonts w:asciiTheme="majorHAnsi" w:eastAsiaTheme="minorEastAsia" w:hAnsiTheme="majorHAnsi" w:cstheme="minorBidi"/>
            <w:noProof/>
            <w:sz w:val="20"/>
            <w:szCs w:val="20"/>
            <w:bdr w:val="none" w:sz="0" w:space="0" w:color="auto"/>
            <w:lang w:val="es-US" w:eastAsia="es-US"/>
          </w:rPr>
          <w:tab/>
        </w:r>
        <w:r w:rsidR="008C33FC" w:rsidRPr="00B41E87">
          <w:rPr>
            <w:rStyle w:val="Hyperlink"/>
            <w:rFonts w:asciiTheme="majorHAnsi" w:hAnsiTheme="majorHAnsi"/>
            <w:noProof/>
            <w:sz w:val="20"/>
            <w:szCs w:val="20"/>
          </w:rPr>
          <w:t>The right to life and not to receive cruel, infamous, or unusual punishment with respect to the eventual execution of Russell Bucklew</w:t>
        </w:r>
        <w:r w:rsidR="008C33FC" w:rsidRPr="00B41E87">
          <w:rPr>
            <w:rFonts w:asciiTheme="majorHAnsi" w:hAnsiTheme="majorHAnsi"/>
            <w:noProof/>
            <w:webHidden/>
            <w:sz w:val="20"/>
            <w:szCs w:val="20"/>
          </w:rPr>
          <w:tab/>
        </w:r>
        <w:r w:rsidR="008C33FC" w:rsidRPr="00B41E87">
          <w:rPr>
            <w:rFonts w:asciiTheme="majorHAnsi" w:hAnsiTheme="majorHAnsi"/>
            <w:noProof/>
            <w:webHidden/>
            <w:sz w:val="20"/>
            <w:szCs w:val="20"/>
          </w:rPr>
          <w:fldChar w:fldCharType="begin"/>
        </w:r>
        <w:r w:rsidR="008C33FC" w:rsidRPr="00B41E87">
          <w:rPr>
            <w:rFonts w:asciiTheme="majorHAnsi" w:hAnsiTheme="majorHAnsi"/>
            <w:noProof/>
            <w:webHidden/>
            <w:sz w:val="20"/>
            <w:szCs w:val="20"/>
          </w:rPr>
          <w:instrText xml:space="preserve"> PAGEREF _Toc512265317 \h </w:instrText>
        </w:r>
        <w:r w:rsidR="008C33FC" w:rsidRPr="00B41E87">
          <w:rPr>
            <w:rFonts w:asciiTheme="majorHAnsi" w:hAnsiTheme="majorHAnsi"/>
            <w:noProof/>
            <w:webHidden/>
            <w:sz w:val="20"/>
            <w:szCs w:val="20"/>
          </w:rPr>
        </w:r>
        <w:r w:rsidR="008C33FC" w:rsidRPr="00B41E87">
          <w:rPr>
            <w:rFonts w:asciiTheme="majorHAnsi" w:hAnsiTheme="majorHAnsi"/>
            <w:noProof/>
            <w:webHidden/>
            <w:sz w:val="20"/>
            <w:szCs w:val="20"/>
          </w:rPr>
          <w:fldChar w:fldCharType="separate"/>
        </w:r>
        <w:r w:rsidR="00A85E5F">
          <w:rPr>
            <w:rFonts w:asciiTheme="majorHAnsi" w:hAnsiTheme="majorHAnsi"/>
            <w:noProof/>
            <w:webHidden/>
            <w:sz w:val="20"/>
            <w:szCs w:val="20"/>
          </w:rPr>
          <w:t>18</w:t>
        </w:r>
        <w:r w:rsidR="008C33FC" w:rsidRPr="00B41E87">
          <w:rPr>
            <w:rFonts w:asciiTheme="majorHAnsi" w:hAnsiTheme="majorHAnsi"/>
            <w:noProof/>
            <w:webHidden/>
            <w:sz w:val="20"/>
            <w:szCs w:val="20"/>
          </w:rPr>
          <w:fldChar w:fldCharType="end"/>
        </w:r>
      </w:hyperlink>
    </w:p>
    <w:p w14:paraId="3640F65C" w14:textId="77777777" w:rsidR="008C33FC" w:rsidRPr="00B41E87" w:rsidRDefault="008556FF">
      <w:pPr>
        <w:pStyle w:val="TOC1"/>
        <w:rPr>
          <w:rFonts w:eastAsiaTheme="minorEastAsia" w:cstheme="minorBidi"/>
          <w:b w:val="0"/>
          <w:bdr w:val="none" w:sz="0" w:space="0" w:color="auto"/>
          <w:lang w:val="es-US" w:eastAsia="es-US"/>
        </w:rPr>
      </w:pPr>
      <w:hyperlink w:anchor="_Toc512265318" w:history="1">
        <w:r w:rsidR="008C33FC" w:rsidRPr="00B41E87">
          <w:rPr>
            <w:rStyle w:val="Hyperlink"/>
            <w:lang w:val="es-CO"/>
          </w:rPr>
          <w:t>V.</w:t>
        </w:r>
        <w:r w:rsidR="008C33FC" w:rsidRPr="00B41E87">
          <w:rPr>
            <w:rFonts w:eastAsiaTheme="minorEastAsia" w:cstheme="minorBidi"/>
            <w:b w:val="0"/>
            <w:bdr w:val="none" w:sz="0" w:space="0" w:color="auto"/>
            <w:lang w:val="es-US" w:eastAsia="es-US"/>
          </w:rPr>
          <w:tab/>
        </w:r>
        <w:r w:rsidR="008C33FC" w:rsidRPr="00B41E87">
          <w:rPr>
            <w:rStyle w:val="Hyperlink"/>
            <w:lang w:val="es-CO"/>
          </w:rPr>
          <w:t>REPORT No. 28/18</w:t>
        </w:r>
        <w:r w:rsidR="008C33FC" w:rsidRPr="00B41E87">
          <w:rPr>
            <w:webHidden/>
          </w:rPr>
          <w:tab/>
        </w:r>
        <w:r w:rsidR="008C33FC" w:rsidRPr="00B41E87">
          <w:rPr>
            <w:webHidden/>
          </w:rPr>
          <w:fldChar w:fldCharType="begin"/>
        </w:r>
        <w:r w:rsidR="008C33FC" w:rsidRPr="00B41E87">
          <w:rPr>
            <w:webHidden/>
          </w:rPr>
          <w:instrText xml:space="preserve"> PAGEREF _Toc512265318 \h </w:instrText>
        </w:r>
        <w:r w:rsidR="008C33FC" w:rsidRPr="00B41E87">
          <w:rPr>
            <w:webHidden/>
          </w:rPr>
        </w:r>
        <w:r w:rsidR="008C33FC" w:rsidRPr="00B41E87">
          <w:rPr>
            <w:webHidden/>
          </w:rPr>
          <w:fldChar w:fldCharType="separate"/>
        </w:r>
        <w:r w:rsidR="00A85E5F">
          <w:rPr>
            <w:webHidden/>
          </w:rPr>
          <w:t>19</w:t>
        </w:r>
        <w:r w:rsidR="008C33FC" w:rsidRPr="00B41E87">
          <w:rPr>
            <w:webHidden/>
          </w:rPr>
          <w:fldChar w:fldCharType="end"/>
        </w:r>
      </w:hyperlink>
    </w:p>
    <w:p w14:paraId="7537FCD6" w14:textId="77777777" w:rsidR="008C33FC" w:rsidRPr="00B41E87" w:rsidRDefault="008556FF">
      <w:pPr>
        <w:pStyle w:val="TOC1"/>
        <w:rPr>
          <w:rFonts w:eastAsiaTheme="minorEastAsia" w:cstheme="minorBidi"/>
          <w:b w:val="0"/>
          <w:bdr w:val="none" w:sz="0" w:space="0" w:color="auto"/>
          <w:lang w:val="es-US" w:eastAsia="es-US"/>
        </w:rPr>
      </w:pPr>
      <w:hyperlink w:anchor="_Toc512265319" w:history="1">
        <w:r w:rsidR="008C33FC" w:rsidRPr="00B41E87">
          <w:rPr>
            <w:rStyle w:val="Hyperlink"/>
          </w:rPr>
          <w:t>VI.</w:t>
        </w:r>
        <w:r w:rsidR="008C33FC" w:rsidRPr="00B41E87">
          <w:rPr>
            <w:rFonts w:eastAsiaTheme="minorEastAsia" w:cstheme="minorBidi"/>
            <w:b w:val="0"/>
            <w:bdr w:val="none" w:sz="0" w:space="0" w:color="auto"/>
            <w:lang w:val="es-US" w:eastAsia="es-US"/>
          </w:rPr>
          <w:tab/>
        </w:r>
        <w:r w:rsidR="008C33FC" w:rsidRPr="00B41E87">
          <w:rPr>
            <w:rStyle w:val="Hyperlink"/>
          </w:rPr>
          <w:t>ACTIONS SUBSEQUENT TO REPORT No. 28/18</w:t>
        </w:r>
        <w:r w:rsidR="008C33FC" w:rsidRPr="00B41E87">
          <w:rPr>
            <w:webHidden/>
          </w:rPr>
          <w:tab/>
        </w:r>
        <w:r w:rsidR="008C33FC" w:rsidRPr="00B41E87">
          <w:rPr>
            <w:webHidden/>
          </w:rPr>
          <w:fldChar w:fldCharType="begin"/>
        </w:r>
        <w:r w:rsidR="008C33FC" w:rsidRPr="00B41E87">
          <w:rPr>
            <w:webHidden/>
          </w:rPr>
          <w:instrText xml:space="preserve"> PAGEREF _Toc512265319 \h </w:instrText>
        </w:r>
        <w:r w:rsidR="008C33FC" w:rsidRPr="00B41E87">
          <w:rPr>
            <w:webHidden/>
          </w:rPr>
        </w:r>
        <w:r w:rsidR="008C33FC" w:rsidRPr="00B41E87">
          <w:rPr>
            <w:webHidden/>
          </w:rPr>
          <w:fldChar w:fldCharType="separate"/>
        </w:r>
        <w:r w:rsidR="00A85E5F">
          <w:rPr>
            <w:webHidden/>
          </w:rPr>
          <w:t>19</w:t>
        </w:r>
        <w:r w:rsidR="008C33FC" w:rsidRPr="00B41E87">
          <w:rPr>
            <w:webHidden/>
          </w:rPr>
          <w:fldChar w:fldCharType="end"/>
        </w:r>
      </w:hyperlink>
    </w:p>
    <w:p w14:paraId="7FEBA0A3" w14:textId="77777777" w:rsidR="008C33FC" w:rsidRPr="00B41E87" w:rsidRDefault="008556FF">
      <w:pPr>
        <w:pStyle w:val="TOC1"/>
        <w:rPr>
          <w:rFonts w:eastAsiaTheme="minorEastAsia" w:cstheme="minorBidi"/>
          <w:b w:val="0"/>
          <w:bdr w:val="none" w:sz="0" w:space="0" w:color="auto"/>
          <w:lang w:val="es-US" w:eastAsia="es-US"/>
        </w:rPr>
      </w:pPr>
      <w:hyperlink w:anchor="_Toc512265320" w:history="1">
        <w:r w:rsidR="008C33FC" w:rsidRPr="00B41E87">
          <w:rPr>
            <w:rStyle w:val="Hyperlink"/>
          </w:rPr>
          <w:t>VII.</w:t>
        </w:r>
        <w:r w:rsidR="008C33FC" w:rsidRPr="00B41E87">
          <w:rPr>
            <w:rFonts w:eastAsiaTheme="minorEastAsia" w:cstheme="minorBidi"/>
            <w:b w:val="0"/>
            <w:bdr w:val="none" w:sz="0" w:space="0" w:color="auto"/>
            <w:lang w:val="es-US" w:eastAsia="es-US"/>
          </w:rPr>
          <w:tab/>
        </w:r>
        <w:r w:rsidR="008C33FC" w:rsidRPr="00B41E87">
          <w:rPr>
            <w:rStyle w:val="Hyperlink"/>
          </w:rPr>
          <w:t>REPORT No. 30/18</w:t>
        </w:r>
        <w:r w:rsidR="008C33FC" w:rsidRPr="00B41E87">
          <w:rPr>
            <w:webHidden/>
          </w:rPr>
          <w:tab/>
        </w:r>
        <w:r w:rsidR="008C33FC" w:rsidRPr="00B41E87">
          <w:rPr>
            <w:webHidden/>
          </w:rPr>
          <w:fldChar w:fldCharType="begin"/>
        </w:r>
        <w:r w:rsidR="008C33FC" w:rsidRPr="00B41E87">
          <w:rPr>
            <w:webHidden/>
          </w:rPr>
          <w:instrText xml:space="preserve"> PAGEREF _Toc512265320 \h </w:instrText>
        </w:r>
        <w:r w:rsidR="008C33FC" w:rsidRPr="00B41E87">
          <w:rPr>
            <w:webHidden/>
          </w:rPr>
        </w:r>
        <w:r w:rsidR="008C33FC" w:rsidRPr="00B41E87">
          <w:rPr>
            <w:webHidden/>
          </w:rPr>
          <w:fldChar w:fldCharType="separate"/>
        </w:r>
        <w:r w:rsidR="00A85E5F">
          <w:rPr>
            <w:webHidden/>
          </w:rPr>
          <w:t>20</w:t>
        </w:r>
        <w:r w:rsidR="008C33FC" w:rsidRPr="00B41E87">
          <w:rPr>
            <w:webHidden/>
          </w:rPr>
          <w:fldChar w:fldCharType="end"/>
        </w:r>
      </w:hyperlink>
    </w:p>
    <w:p w14:paraId="0D7E9A02" w14:textId="77777777" w:rsidR="008C33FC" w:rsidRPr="00B41E87" w:rsidRDefault="008556FF">
      <w:pPr>
        <w:pStyle w:val="TOC1"/>
        <w:rPr>
          <w:rFonts w:eastAsiaTheme="minorEastAsia" w:cstheme="minorBidi"/>
          <w:b w:val="0"/>
          <w:bdr w:val="none" w:sz="0" w:space="0" w:color="auto"/>
          <w:lang w:val="es-US" w:eastAsia="es-US"/>
        </w:rPr>
      </w:pPr>
      <w:hyperlink w:anchor="_Toc512265321" w:history="1">
        <w:r w:rsidR="008C33FC" w:rsidRPr="00B41E87">
          <w:rPr>
            <w:rStyle w:val="Hyperlink"/>
          </w:rPr>
          <w:t>VIII.</w:t>
        </w:r>
        <w:r w:rsidR="008C33FC" w:rsidRPr="00B41E87">
          <w:rPr>
            <w:rFonts w:eastAsiaTheme="minorEastAsia" w:cstheme="minorBidi"/>
            <w:b w:val="0"/>
            <w:bdr w:val="none" w:sz="0" w:space="0" w:color="auto"/>
            <w:lang w:val="es-US" w:eastAsia="es-US"/>
          </w:rPr>
          <w:tab/>
        </w:r>
        <w:r w:rsidR="008C33FC" w:rsidRPr="00B41E87">
          <w:rPr>
            <w:rStyle w:val="Hyperlink"/>
          </w:rPr>
          <w:t>ACTIONS SUBSEQUENT TO REPORT No. 30/18</w:t>
        </w:r>
        <w:r w:rsidR="008C33FC" w:rsidRPr="00B41E87">
          <w:rPr>
            <w:webHidden/>
          </w:rPr>
          <w:tab/>
        </w:r>
        <w:r w:rsidR="008C33FC" w:rsidRPr="00B41E87">
          <w:rPr>
            <w:webHidden/>
          </w:rPr>
          <w:fldChar w:fldCharType="begin"/>
        </w:r>
        <w:r w:rsidR="008C33FC" w:rsidRPr="00B41E87">
          <w:rPr>
            <w:webHidden/>
          </w:rPr>
          <w:instrText xml:space="preserve"> PAGEREF _Toc512265321 \h </w:instrText>
        </w:r>
        <w:r w:rsidR="008C33FC" w:rsidRPr="00B41E87">
          <w:rPr>
            <w:webHidden/>
          </w:rPr>
        </w:r>
        <w:r w:rsidR="008C33FC" w:rsidRPr="00B41E87">
          <w:rPr>
            <w:webHidden/>
          </w:rPr>
          <w:fldChar w:fldCharType="separate"/>
        </w:r>
        <w:r w:rsidR="00A85E5F">
          <w:rPr>
            <w:webHidden/>
          </w:rPr>
          <w:t>20</w:t>
        </w:r>
        <w:r w:rsidR="008C33FC" w:rsidRPr="00B41E87">
          <w:rPr>
            <w:webHidden/>
          </w:rPr>
          <w:fldChar w:fldCharType="end"/>
        </w:r>
      </w:hyperlink>
    </w:p>
    <w:p w14:paraId="4CE6FDE4" w14:textId="77777777" w:rsidR="008C33FC" w:rsidRPr="00B41E87" w:rsidRDefault="008556FF">
      <w:pPr>
        <w:pStyle w:val="TOC1"/>
        <w:rPr>
          <w:rFonts w:eastAsiaTheme="minorEastAsia" w:cstheme="minorBidi"/>
          <w:b w:val="0"/>
          <w:bdr w:val="none" w:sz="0" w:space="0" w:color="auto"/>
          <w:lang w:val="es-US" w:eastAsia="es-US"/>
        </w:rPr>
      </w:pPr>
      <w:hyperlink w:anchor="_Toc512265322" w:history="1">
        <w:r w:rsidR="008C33FC" w:rsidRPr="00B41E87">
          <w:rPr>
            <w:rStyle w:val="Hyperlink"/>
          </w:rPr>
          <w:t>IX.</w:t>
        </w:r>
        <w:r w:rsidR="008C33FC" w:rsidRPr="00B41E87">
          <w:rPr>
            <w:rFonts w:eastAsiaTheme="minorEastAsia" w:cstheme="minorBidi"/>
            <w:b w:val="0"/>
            <w:bdr w:val="none" w:sz="0" w:space="0" w:color="auto"/>
            <w:lang w:val="es-US" w:eastAsia="es-US"/>
          </w:rPr>
          <w:tab/>
        </w:r>
        <w:r w:rsidR="008C33FC" w:rsidRPr="00B41E87">
          <w:rPr>
            <w:rStyle w:val="Hyperlink"/>
          </w:rPr>
          <w:t>FINAL CONCLUSIONS AND RECOMMENDATIONS</w:t>
        </w:r>
        <w:r w:rsidR="008C33FC" w:rsidRPr="00B41E87">
          <w:rPr>
            <w:webHidden/>
          </w:rPr>
          <w:tab/>
        </w:r>
        <w:r w:rsidR="008C33FC" w:rsidRPr="00B41E87">
          <w:rPr>
            <w:webHidden/>
          </w:rPr>
          <w:fldChar w:fldCharType="begin"/>
        </w:r>
        <w:r w:rsidR="008C33FC" w:rsidRPr="00B41E87">
          <w:rPr>
            <w:webHidden/>
          </w:rPr>
          <w:instrText xml:space="preserve"> PAGEREF _Toc512265322 \h </w:instrText>
        </w:r>
        <w:r w:rsidR="008C33FC" w:rsidRPr="00B41E87">
          <w:rPr>
            <w:webHidden/>
          </w:rPr>
        </w:r>
        <w:r w:rsidR="008C33FC" w:rsidRPr="00B41E87">
          <w:rPr>
            <w:webHidden/>
          </w:rPr>
          <w:fldChar w:fldCharType="separate"/>
        </w:r>
        <w:r w:rsidR="00A85E5F">
          <w:rPr>
            <w:webHidden/>
          </w:rPr>
          <w:t>21</w:t>
        </w:r>
        <w:r w:rsidR="008C33FC" w:rsidRPr="00B41E87">
          <w:rPr>
            <w:webHidden/>
          </w:rPr>
          <w:fldChar w:fldCharType="end"/>
        </w:r>
      </w:hyperlink>
    </w:p>
    <w:p w14:paraId="54A6F263" w14:textId="77777777" w:rsidR="008C33FC" w:rsidRPr="00B41E87" w:rsidRDefault="008556FF">
      <w:pPr>
        <w:pStyle w:val="TOC1"/>
        <w:rPr>
          <w:rFonts w:eastAsiaTheme="minorEastAsia" w:cstheme="minorBidi"/>
          <w:b w:val="0"/>
          <w:bdr w:val="none" w:sz="0" w:space="0" w:color="auto"/>
          <w:lang w:val="es-US" w:eastAsia="es-US"/>
        </w:rPr>
      </w:pPr>
      <w:hyperlink w:anchor="_Toc512265323" w:history="1">
        <w:r w:rsidR="008C33FC" w:rsidRPr="00B41E87">
          <w:rPr>
            <w:rStyle w:val="Hyperlink"/>
          </w:rPr>
          <w:t>X.</w:t>
        </w:r>
        <w:r w:rsidR="008C33FC" w:rsidRPr="00B41E87">
          <w:rPr>
            <w:rFonts w:eastAsiaTheme="minorEastAsia" w:cstheme="minorBidi"/>
            <w:b w:val="0"/>
            <w:bdr w:val="none" w:sz="0" w:space="0" w:color="auto"/>
            <w:lang w:val="es-US" w:eastAsia="es-US"/>
          </w:rPr>
          <w:tab/>
        </w:r>
        <w:r w:rsidR="008C33FC" w:rsidRPr="00B41E87">
          <w:rPr>
            <w:rStyle w:val="Hyperlink"/>
          </w:rPr>
          <w:t>PUBLICATION</w:t>
        </w:r>
        <w:r w:rsidR="008C33FC" w:rsidRPr="00B41E87">
          <w:rPr>
            <w:webHidden/>
          </w:rPr>
          <w:tab/>
        </w:r>
        <w:r w:rsidR="008C33FC" w:rsidRPr="00B41E87">
          <w:rPr>
            <w:webHidden/>
          </w:rPr>
          <w:fldChar w:fldCharType="begin"/>
        </w:r>
        <w:r w:rsidR="008C33FC" w:rsidRPr="00B41E87">
          <w:rPr>
            <w:webHidden/>
          </w:rPr>
          <w:instrText xml:space="preserve"> PAGEREF _Toc512265323 \h </w:instrText>
        </w:r>
        <w:r w:rsidR="008C33FC" w:rsidRPr="00B41E87">
          <w:rPr>
            <w:webHidden/>
          </w:rPr>
        </w:r>
        <w:r w:rsidR="008C33FC" w:rsidRPr="00B41E87">
          <w:rPr>
            <w:webHidden/>
          </w:rPr>
          <w:fldChar w:fldCharType="separate"/>
        </w:r>
        <w:r w:rsidR="00A85E5F">
          <w:rPr>
            <w:webHidden/>
          </w:rPr>
          <w:t>22</w:t>
        </w:r>
        <w:r w:rsidR="008C33FC" w:rsidRPr="00B41E87">
          <w:rPr>
            <w:webHidden/>
          </w:rPr>
          <w:fldChar w:fldCharType="end"/>
        </w:r>
      </w:hyperlink>
    </w:p>
    <w:p w14:paraId="74082C90" w14:textId="6AEFDD80" w:rsidR="003E5F8E" w:rsidRPr="00B41E87" w:rsidRDefault="008C33FC" w:rsidP="003E5F8E">
      <w:pPr>
        <w:tabs>
          <w:tab w:val="center" w:pos="5400"/>
        </w:tabs>
        <w:suppressAutoHyphens/>
        <w:spacing w:line="276" w:lineRule="auto"/>
        <w:jc w:val="both"/>
        <w:rPr>
          <w:rFonts w:asciiTheme="majorHAnsi" w:hAnsiTheme="majorHAnsi"/>
          <w:b/>
          <w:bCs/>
          <w:sz w:val="20"/>
          <w:szCs w:val="20"/>
          <w:lang w:val="en"/>
        </w:rPr>
      </w:pPr>
      <w:r w:rsidRPr="00B41E87">
        <w:rPr>
          <w:rFonts w:asciiTheme="majorHAnsi" w:hAnsiTheme="majorHAnsi"/>
          <w:b/>
          <w:bCs/>
          <w:noProof/>
          <w:sz w:val="20"/>
          <w:szCs w:val="20"/>
          <w:lang w:val="en"/>
        </w:rPr>
        <w:fldChar w:fldCharType="end"/>
      </w:r>
    </w:p>
    <w:p w14:paraId="78A27C48" w14:textId="77777777" w:rsidR="003E5F8E" w:rsidRPr="00B41E87" w:rsidRDefault="003E5F8E" w:rsidP="003E5F8E">
      <w:pPr>
        <w:tabs>
          <w:tab w:val="center" w:pos="5400"/>
        </w:tabs>
        <w:suppressAutoHyphens/>
        <w:spacing w:line="276" w:lineRule="auto"/>
        <w:jc w:val="both"/>
        <w:rPr>
          <w:rFonts w:asciiTheme="majorHAnsi" w:hAnsiTheme="majorHAnsi"/>
          <w:b/>
          <w:sz w:val="20"/>
          <w:szCs w:val="20"/>
        </w:rPr>
      </w:pPr>
    </w:p>
    <w:p w14:paraId="6670D984" w14:textId="77777777" w:rsidR="0035677D" w:rsidRPr="00B41E87" w:rsidRDefault="0035677D" w:rsidP="0035677D">
      <w:pPr>
        <w:jc w:val="center"/>
        <w:rPr>
          <w:rFonts w:asciiTheme="majorHAnsi" w:eastAsia="Times New Roman" w:hAnsiTheme="majorHAnsi"/>
          <w:b/>
          <w:sz w:val="20"/>
          <w:szCs w:val="20"/>
        </w:rPr>
        <w:sectPr w:rsidR="0035677D" w:rsidRPr="00B41E87" w:rsidSect="0035677D">
          <w:headerReference w:type="first" r:id="rId16"/>
          <w:pgSz w:w="12240" w:h="15840"/>
          <w:pgMar w:top="1440" w:right="1440" w:bottom="1440" w:left="1440" w:header="720" w:footer="720" w:gutter="0"/>
          <w:pgNumType w:start="1"/>
          <w:cols w:space="720"/>
          <w:titlePg/>
          <w:docGrid w:linePitch="326"/>
        </w:sectPr>
      </w:pPr>
    </w:p>
    <w:p w14:paraId="125586D4" w14:textId="29AA8CAB" w:rsidR="0035677D" w:rsidRPr="00B41E87" w:rsidRDefault="0035677D" w:rsidP="0035677D">
      <w:pPr>
        <w:jc w:val="center"/>
        <w:rPr>
          <w:rFonts w:asciiTheme="majorHAnsi" w:eastAsia="Times New Roman" w:hAnsiTheme="majorHAnsi"/>
          <w:b/>
          <w:sz w:val="18"/>
          <w:szCs w:val="18"/>
        </w:rPr>
      </w:pPr>
      <w:r w:rsidRPr="00B41E87">
        <w:rPr>
          <w:rFonts w:asciiTheme="majorHAnsi" w:eastAsia="Times New Roman" w:hAnsiTheme="majorHAnsi"/>
          <w:b/>
          <w:bCs/>
          <w:sz w:val="18"/>
          <w:szCs w:val="18"/>
          <w:lang w:val="en"/>
        </w:rPr>
        <w:lastRenderedPageBreak/>
        <w:t xml:space="preserve">REPORT No. </w:t>
      </w:r>
      <w:r w:rsidR="004837A8" w:rsidRPr="00B41E87">
        <w:rPr>
          <w:rFonts w:asciiTheme="majorHAnsi" w:eastAsia="Times New Roman" w:hAnsiTheme="majorHAnsi"/>
          <w:b/>
          <w:bCs/>
          <w:sz w:val="18"/>
          <w:szCs w:val="18"/>
          <w:lang w:val="en"/>
        </w:rPr>
        <w:t>71</w:t>
      </w:r>
      <w:r w:rsidRPr="00B41E87">
        <w:rPr>
          <w:rFonts w:asciiTheme="majorHAnsi" w:eastAsia="Times New Roman" w:hAnsiTheme="majorHAnsi"/>
          <w:b/>
          <w:bCs/>
          <w:sz w:val="18"/>
          <w:szCs w:val="18"/>
          <w:lang w:val="en"/>
        </w:rPr>
        <w:t>/1</w:t>
      </w:r>
      <w:r w:rsidR="00DA398F" w:rsidRPr="00B41E87">
        <w:rPr>
          <w:rFonts w:asciiTheme="majorHAnsi" w:eastAsia="Times New Roman" w:hAnsiTheme="majorHAnsi"/>
          <w:b/>
          <w:bCs/>
          <w:sz w:val="18"/>
          <w:szCs w:val="18"/>
          <w:lang w:val="en"/>
        </w:rPr>
        <w:t>8</w:t>
      </w:r>
    </w:p>
    <w:p w14:paraId="76223FBD" w14:textId="3D2CEC2D" w:rsidR="0035677D" w:rsidRPr="00B41E87" w:rsidRDefault="0035677D" w:rsidP="0035677D">
      <w:pPr>
        <w:jc w:val="center"/>
        <w:rPr>
          <w:rFonts w:asciiTheme="majorHAnsi" w:eastAsia="Times New Roman" w:hAnsiTheme="majorHAnsi"/>
          <w:b/>
          <w:sz w:val="18"/>
          <w:szCs w:val="18"/>
        </w:rPr>
      </w:pPr>
      <w:r w:rsidRPr="00B41E87">
        <w:rPr>
          <w:rFonts w:asciiTheme="majorHAnsi" w:eastAsia="Times New Roman" w:hAnsiTheme="majorHAnsi"/>
          <w:b/>
          <w:bCs/>
          <w:sz w:val="18"/>
          <w:szCs w:val="18"/>
          <w:lang w:val="en"/>
        </w:rPr>
        <w:t>CASE 1</w:t>
      </w:r>
      <w:r w:rsidR="00DA398F" w:rsidRPr="00B41E87">
        <w:rPr>
          <w:rFonts w:asciiTheme="majorHAnsi" w:eastAsia="Times New Roman" w:hAnsiTheme="majorHAnsi"/>
          <w:b/>
          <w:bCs/>
          <w:sz w:val="18"/>
          <w:szCs w:val="18"/>
          <w:lang w:val="en"/>
        </w:rPr>
        <w:t>2</w:t>
      </w:r>
      <w:r w:rsidR="004837A8" w:rsidRPr="00B41E87">
        <w:rPr>
          <w:rFonts w:asciiTheme="majorHAnsi" w:eastAsia="Times New Roman" w:hAnsiTheme="majorHAnsi"/>
          <w:b/>
          <w:bCs/>
          <w:sz w:val="18"/>
          <w:szCs w:val="18"/>
          <w:lang w:val="en"/>
        </w:rPr>
        <w:t>.</w:t>
      </w:r>
      <w:r w:rsidR="00DA398F" w:rsidRPr="00B41E87">
        <w:rPr>
          <w:rFonts w:asciiTheme="majorHAnsi" w:eastAsia="Times New Roman" w:hAnsiTheme="majorHAnsi"/>
          <w:b/>
          <w:bCs/>
          <w:sz w:val="18"/>
          <w:szCs w:val="18"/>
          <w:lang w:val="en"/>
        </w:rPr>
        <w:t>958</w:t>
      </w:r>
    </w:p>
    <w:p w14:paraId="1AF435DD" w14:textId="7C444680" w:rsidR="0035677D" w:rsidRPr="00B41E87" w:rsidRDefault="0035677D" w:rsidP="0035677D">
      <w:pPr>
        <w:jc w:val="center"/>
        <w:rPr>
          <w:rFonts w:asciiTheme="majorHAnsi" w:eastAsia="Times New Roman" w:hAnsiTheme="majorHAnsi"/>
          <w:sz w:val="18"/>
          <w:szCs w:val="18"/>
        </w:rPr>
      </w:pPr>
      <w:r w:rsidRPr="00B41E87">
        <w:rPr>
          <w:rFonts w:asciiTheme="majorHAnsi" w:eastAsia="Times New Roman" w:hAnsiTheme="majorHAnsi"/>
          <w:sz w:val="18"/>
          <w:szCs w:val="18"/>
          <w:lang w:val="en"/>
        </w:rPr>
        <w:t>MERITS</w:t>
      </w:r>
      <w:r w:rsidR="00051BEC" w:rsidRPr="00B41E87">
        <w:rPr>
          <w:rFonts w:asciiTheme="majorHAnsi" w:eastAsia="Times New Roman" w:hAnsiTheme="majorHAnsi"/>
          <w:sz w:val="18"/>
          <w:szCs w:val="18"/>
          <w:lang w:val="en"/>
        </w:rPr>
        <w:t xml:space="preserve"> (</w:t>
      </w:r>
      <w:r w:rsidR="00BD6399" w:rsidRPr="00B41E87">
        <w:rPr>
          <w:rFonts w:asciiTheme="majorHAnsi" w:eastAsia="Times New Roman" w:hAnsiTheme="majorHAnsi"/>
          <w:sz w:val="18"/>
          <w:szCs w:val="18"/>
          <w:lang w:val="en"/>
        </w:rPr>
        <w:t>PUBLICATION</w:t>
      </w:r>
      <w:r w:rsidR="00051BEC" w:rsidRPr="00B41E87">
        <w:rPr>
          <w:rFonts w:asciiTheme="majorHAnsi" w:eastAsia="Times New Roman" w:hAnsiTheme="majorHAnsi"/>
          <w:sz w:val="18"/>
          <w:szCs w:val="18"/>
          <w:lang w:val="en"/>
        </w:rPr>
        <w:t>)</w:t>
      </w:r>
    </w:p>
    <w:p w14:paraId="25C33109" w14:textId="7E8C63C4" w:rsidR="0035677D" w:rsidRPr="00B41E87" w:rsidRDefault="00DA398F" w:rsidP="0035677D">
      <w:pPr>
        <w:jc w:val="center"/>
        <w:rPr>
          <w:rFonts w:asciiTheme="majorHAnsi" w:eastAsia="Times New Roman" w:hAnsiTheme="majorHAnsi"/>
          <w:sz w:val="20"/>
          <w:szCs w:val="20"/>
        </w:rPr>
      </w:pPr>
      <w:r w:rsidRPr="00B41E87">
        <w:rPr>
          <w:rFonts w:asciiTheme="majorHAnsi" w:hAnsiTheme="majorHAnsi"/>
          <w:sz w:val="20"/>
          <w:szCs w:val="20"/>
        </w:rPr>
        <w:t>RUSSELL BUCKLEW</w:t>
      </w:r>
    </w:p>
    <w:p w14:paraId="4C3CE043" w14:textId="4171F99E" w:rsidR="0035677D" w:rsidRPr="00B41E87" w:rsidRDefault="00DA398F" w:rsidP="0035677D">
      <w:pPr>
        <w:jc w:val="center"/>
        <w:rPr>
          <w:rFonts w:asciiTheme="majorHAnsi" w:eastAsia="Times New Roman" w:hAnsiTheme="majorHAnsi"/>
          <w:sz w:val="18"/>
          <w:szCs w:val="18"/>
        </w:rPr>
      </w:pPr>
      <w:r w:rsidRPr="00B41E87">
        <w:rPr>
          <w:rFonts w:asciiTheme="majorHAnsi" w:eastAsia="Times New Roman" w:hAnsiTheme="majorHAnsi"/>
          <w:sz w:val="18"/>
          <w:szCs w:val="18"/>
        </w:rPr>
        <w:t>UNITED STATES</w:t>
      </w:r>
    </w:p>
    <w:p w14:paraId="56745ACE" w14:textId="72A9A185" w:rsidR="0035677D" w:rsidRPr="00B41E87" w:rsidRDefault="004837A8" w:rsidP="0035677D">
      <w:pPr>
        <w:jc w:val="center"/>
        <w:rPr>
          <w:rFonts w:asciiTheme="majorHAnsi" w:eastAsia="Times New Roman" w:hAnsiTheme="majorHAnsi"/>
          <w:sz w:val="18"/>
          <w:szCs w:val="18"/>
        </w:rPr>
      </w:pPr>
      <w:r w:rsidRPr="00B41E87">
        <w:rPr>
          <w:rFonts w:asciiTheme="majorHAnsi" w:eastAsia="Times New Roman" w:hAnsiTheme="majorHAnsi"/>
          <w:sz w:val="18"/>
          <w:szCs w:val="18"/>
        </w:rPr>
        <w:t>May 10, 2018</w:t>
      </w:r>
    </w:p>
    <w:p w14:paraId="48CC8353" w14:textId="77777777" w:rsidR="0035677D" w:rsidRPr="00B41E87" w:rsidRDefault="0035677D" w:rsidP="0035677D">
      <w:pPr>
        <w:jc w:val="center"/>
        <w:rPr>
          <w:rFonts w:asciiTheme="majorHAnsi" w:eastAsia="Times New Roman" w:hAnsiTheme="majorHAnsi"/>
          <w:sz w:val="20"/>
          <w:szCs w:val="20"/>
        </w:rPr>
      </w:pPr>
    </w:p>
    <w:p w14:paraId="68D6F5F8" w14:textId="77777777" w:rsidR="0035677D" w:rsidRPr="00B41E87" w:rsidRDefault="0035677D" w:rsidP="0035677D">
      <w:pPr>
        <w:jc w:val="both"/>
        <w:rPr>
          <w:rFonts w:asciiTheme="majorHAnsi" w:eastAsia="Times New Roman" w:hAnsiTheme="majorHAnsi"/>
          <w:sz w:val="20"/>
          <w:szCs w:val="20"/>
        </w:rPr>
      </w:pPr>
    </w:p>
    <w:p w14:paraId="19A71DBD" w14:textId="77777777" w:rsidR="0035677D" w:rsidRPr="00B41E87" w:rsidRDefault="0035677D" w:rsidP="000444C9">
      <w:pPr>
        <w:pStyle w:val="Heading1"/>
      </w:pPr>
      <w:bookmarkStart w:id="1" w:name="_Toc475546035"/>
      <w:bookmarkStart w:id="2" w:name="_Toc444958124"/>
      <w:bookmarkStart w:id="3" w:name="_Toc433115981"/>
      <w:bookmarkStart w:id="4" w:name="_Toc423514405"/>
      <w:bookmarkStart w:id="5" w:name="_Toc370840839"/>
      <w:bookmarkStart w:id="6" w:name="_Toc370840743"/>
      <w:bookmarkStart w:id="7" w:name="_Toc486276789"/>
      <w:bookmarkStart w:id="8" w:name="_Toc486322730"/>
      <w:bookmarkStart w:id="9" w:name="_Toc511310288"/>
      <w:bookmarkStart w:id="10" w:name="_Toc512265301"/>
      <w:r w:rsidRPr="00B41E87">
        <w:t>SUMMARY</w:t>
      </w:r>
      <w:bookmarkEnd w:id="1"/>
      <w:bookmarkEnd w:id="2"/>
      <w:bookmarkEnd w:id="3"/>
      <w:bookmarkEnd w:id="4"/>
      <w:bookmarkEnd w:id="5"/>
      <w:bookmarkEnd w:id="6"/>
      <w:bookmarkEnd w:id="7"/>
      <w:bookmarkEnd w:id="8"/>
      <w:bookmarkEnd w:id="9"/>
      <w:bookmarkEnd w:id="10"/>
    </w:p>
    <w:p w14:paraId="3B2C8BB1" w14:textId="77777777" w:rsidR="0035677D" w:rsidRPr="00B41E87" w:rsidRDefault="0035677D" w:rsidP="0035677D">
      <w:pPr>
        <w:tabs>
          <w:tab w:val="left" w:pos="1440"/>
        </w:tabs>
        <w:ind w:left="720"/>
        <w:jc w:val="both"/>
        <w:rPr>
          <w:rFonts w:asciiTheme="majorHAnsi" w:eastAsia="Calibri" w:hAnsiTheme="majorHAnsi"/>
          <w:sz w:val="20"/>
          <w:szCs w:val="20"/>
        </w:rPr>
      </w:pPr>
    </w:p>
    <w:p w14:paraId="36F7C956" w14:textId="0AF92485" w:rsidR="0035677D" w:rsidRPr="00B41E87" w:rsidRDefault="00750881"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rPr>
      </w:pPr>
      <w:r w:rsidRPr="00B41E87">
        <w:rPr>
          <w:rFonts w:asciiTheme="majorHAnsi" w:hAnsiTheme="majorHAnsi"/>
          <w:sz w:val="20"/>
          <w:szCs w:val="20"/>
        </w:rPr>
        <w:t>On May 19, 2014, the Inter-American Commission on Human Rights (hereinafter, “the Inter</w:t>
      </w:r>
      <w:r w:rsidR="00771635" w:rsidRPr="00B41E87">
        <w:rPr>
          <w:rFonts w:asciiTheme="majorHAnsi" w:hAnsiTheme="majorHAnsi"/>
          <w:sz w:val="20"/>
          <w:szCs w:val="20"/>
        </w:rPr>
        <w:t>-</w:t>
      </w:r>
      <w:r w:rsidRPr="00B41E87">
        <w:rPr>
          <w:rFonts w:asciiTheme="majorHAnsi" w:hAnsiTheme="majorHAnsi"/>
          <w:sz w:val="20"/>
          <w:szCs w:val="20"/>
        </w:rPr>
        <w:t xml:space="preserve">American Commission” or “the IACHR”) received a petition </w:t>
      </w:r>
      <w:r w:rsidR="008A7E90" w:rsidRPr="00B41E87">
        <w:rPr>
          <w:rFonts w:asciiTheme="majorHAnsi" w:hAnsiTheme="majorHAnsi"/>
          <w:sz w:val="20"/>
          <w:szCs w:val="20"/>
        </w:rPr>
        <w:t>filed</w:t>
      </w:r>
      <w:r w:rsidRPr="00B41E87">
        <w:rPr>
          <w:rFonts w:asciiTheme="majorHAnsi" w:hAnsiTheme="majorHAnsi"/>
          <w:sz w:val="20"/>
          <w:szCs w:val="20"/>
        </w:rPr>
        <w:t xml:space="preserve"> by the American Civil Liberties Union </w:t>
      </w:r>
      <w:r w:rsidR="00771635" w:rsidRPr="00B41E87">
        <w:rPr>
          <w:rFonts w:asciiTheme="majorHAnsi" w:hAnsiTheme="majorHAnsi"/>
          <w:sz w:val="20"/>
          <w:szCs w:val="20"/>
        </w:rPr>
        <w:t xml:space="preserve">(ACLU) </w:t>
      </w:r>
      <w:r w:rsidRPr="00B41E87">
        <w:rPr>
          <w:rFonts w:asciiTheme="majorHAnsi" w:hAnsiTheme="majorHAnsi"/>
          <w:sz w:val="20"/>
          <w:szCs w:val="20"/>
        </w:rPr>
        <w:t xml:space="preserve">(hereinafter, “the petitioners”) against the United States of America (hereinafter, “the United States” or “the State”). The petition was submitted on behalf of Russell Bucklew (hereinafter, “the alleged victim” or “Mr. Bucklew”) deprived of </w:t>
      </w:r>
      <w:r w:rsidR="008A7E90" w:rsidRPr="00B41E87">
        <w:rPr>
          <w:rFonts w:asciiTheme="majorHAnsi" w:hAnsiTheme="majorHAnsi"/>
          <w:sz w:val="20"/>
          <w:szCs w:val="20"/>
        </w:rPr>
        <w:t>his</w:t>
      </w:r>
      <w:r w:rsidRPr="00B41E87">
        <w:rPr>
          <w:rFonts w:asciiTheme="majorHAnsi" w:hAnsiTheme="majorHAnsi"/>
          <w:sz w:val="20"/>
          <w:szCs w:val="20"/>
        </w:rPr>
        <w:t xml:space="preserve"> liberty on death row in the state of Missouri</w:t>
      </w:r>
      <w:r w:rsidR="00DF0D5C" w:rsidRPr="00B41E87">
        <w:rPr>
          <w:rFonts w:asciiTheme="majorHAnsi" w:hAnsiTheme="majorHAnsi"/>
          <w:sz w:val="20"/>
          <w:szCs w:val="20"/>
        </w:rPr>
        <w:t>.</w:t>
      </w:r>
      <w:r w:rsidR="00DF0D5C" w:rsidRPr="00B41E87">
        <w:rPr>
          <w:rStyle w:val="FootnoteReference"/>
          <w:rFonts w:asciiTheme="majorHAnsi" w:hAnsiTheme="majorHAnsi"/>
          <w:sz w:val="20"/>
          <w:szCs w:val="20"/>
        </w:rPr>
        <w:footnoteReference w:id="2"/>
      </w:r>
    </w:p>
    <w:p w14:paraId="5AF3BF62" w14:textId="77777777" w:rsidR="0035677D" w:rsidRPr="00B41E87" w:rsidRDefault="0035677D" w:rsidP="0035677D">
      <w:pPr>
        <w:tabs>
          <w:tab w:val="left" w:pos="1440"/>
        </w:tabs>
        <w:ind w:left="720"/>
        <w:jc w:val="both"/>
        <w:rPr>
          <w:rFonts w:asciiTheme="majorHAnsi" w:eastAsia="Calibri" w:hAnsiTheme="majorHAnsi"/>
          <w:sz w:val="20"/>
          <w:szCs w:val="20"/>
        </w:rPr>
      </w:pPr>
    </w:p>
    <w:p w14:paraId="615974A7" w14:textId="73AE0329" w:rsidR="002761BE" w:rsidRPr="00B41E87" w:rsidRDefault="004F33E9"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rPr>
      </w:pPr>
      <w:r w:rsidRPr="00B41E87">
        <w:rPr>
          <w:rFonts w:asciiTheme="majorHAnsi" w:hAnsiTheme="majorHAnsi"/>
          <w:sz w:val="20"/>
          <w:szCs w:val="20"/>
        </w:rPr>
        <w:t xml:space="preserve">The Commission adopted its Admissibility Report No. </w:t>
      </w:r>
      <w:r w:rsidR="009E5480" w:rsidRPr="00B41E87">
        <w:rPr>
          <w:rFonts w:asciiTheme="majorHAnsi" w:hAnsiTheme="majorHAnsi"/>
          <w:sz w:val="20"/>
          <w:szCs w:val="20"/>
        </w:rPr>
        <w:t>54</w:t>
      </w:r>
      <w:r w:rsidRPr="00B41E87">
        <w:rPr>
          <w:rFonts w:asciiTheme="majorHAnsi" w:hAnsiTheme="majorHAnsi"/>
          <w:sz w:val="20"/>
          <w:szCs w:val="20"/>
        </w:rPr>
        <w:t xml:space="preserve">/14 on </w:t>
      </w:r>
      <w:r w:rsidR="009E5480" w:rsidRPr="00B41E87">
        <w:rPr>
          <w:rFonts w:asciiTheme="majorHAnsi" w:hAnsiTheme="majorHAnsi"/>
          <w:sz w:val="20"/>
          <w:szCs w:val="20"/>
        </w:rPr>
        <w:t>July 21, 2014</w:t>
      </w:r>
      <w:r w:rsidRPr="00B41E87">
        <w:rPr>
          <w:rFonts w:asciiTheme="majorHAnsi" w:hAnsiTheme="majorHAnsi"/>
          <w:sz w:val="20"/>
          <w:szCs w:val="20"/>
        </w:rPr>
        <w:t>.</w:t>
      </w:r>
      <w:r w:rsidRPr="00B41E87">
        <w:rPr>
          <w:rStyle w:val="FootnoteReference"/>
          <w:rFonts w:asciiTheme="majorHAnsi" w:hAnsiTheme="majorHAnsi"/>
          <w:sz w:val="20"/>
          <w:szCs w:val="20"/>
        </w:rPr>
        <w:footnoteReference w:id="3"/>
      </w:r>
      <w:r w:rsidRPr="00B41E87">
        <w:rPr>
          <w:rFonts w:asciiTheme="majorHAnsi" w:hAnsiTheme="majorHAnsi"/>
          <w:sz w:val="20"/>
          <w:szCs w:val="20"/>
        </w:rPr>
        <w:t xml:space="preserve"> </w:t>
      </w:r>
      <w:r w:rsidR="002761BE" w:rsidRPr="00B41E87">
        <w:rPr>
          <w:rFonts w:asciiTheme="majorHAnsi" w:hAnsiTheme="majorHAnsi"/>
          <w:sz w:val="20"/>
          <w:szCs w:val="20"/>
        </w:rPr>
        <w:t xml:space="preserve">On July 28, 2014 the Commission notified </w:t>
      </w:r>
      <w:r w:rsidR="008A7E90" w:rsidRPr="00B41E87">
        <w:rPr>
          <w:rFonts w:asciiTheme="majorHAnsi" w:hAnsiTheme="majorHAnsi"/>
          <w:sz w:val="20"/>
          <w:szCs w:val="20"/>
        </w:rPr>
        <w:t>that</w:t>
      </w:r>
      <w:r w:rsidR="002761BE" w:rsidRPr="00B41E87">
        <w:rPr>
          <w:rFonts w:asciiTheme="majorHAnsi" w:hAnsiTheme="majorHAnsi"/>
          <w:sz w:val="20"/>
          <w:szCs w:val="20"/>
        </w:rPr>
        <w:t xml:space="preserve"> report </w:t>
      </w:r>
      <w:r w:rsidR="008A7E90" w:rsidRPr="00B41E87">
        <w:rPr>
          <w:rFonts w:asciiTheme="majorHAnsi" w:hAnsiTheme="majorHAnsi"/>
          <w:sz w:val="20"/>
          <w:szCs w:val="20"/>
        </w:rPr>
        <w:t xml:space="preserve">to the parties </w:t>
      </w:r>
      <w:r w:rsidR="002761BE" w:rsidRPr="00B41E87">
        <w:rPr>
          <w:rFonts w:asciiTheme="majorHAnsi" w:hAnsiTheme="majorHAnsi"/>
          <w:sz w:val="20"/>
          <w:szCs w:val="20"/>
        </w:rPr>
        <w:t xml:space="preserve">and offered </w:t>
      </w:r>
      <w:r w:rsidR="008A7E90" w:rsidRPr="00B41E87">
        <w:rPr>
          <w:rFonts w:asciiTheme="majorHAnsi" w:hAnsiTheme="majorHAnsi"/>
          <w:sz w:val="20"/>
          <w:szCs w:val="20"/>
        </w:rPr>
        <w:t>to facilitate a friendly settlement process if the parties wished to pursue that</w:t>
      </w:r>
      <w:r w:rsidR="002761BE" w:rsidRPr="00B41E87">
        <w:rPr>
          <w:rFonts w:asciiTheme="majorHAnsi" w:hAnsiTheme="majorHAnsi"/>
          <w:sz w:val="20"/>
          <w:szCs w:val="20"/>
        </w:rPr>
        <w:t xml:space="preserve">. </w:t>
      </w:r>
      <w:r w:rsidR="00402EE0" w:rsidRPr="00B41E87">
        <w:rPr>
          <w:rFonts w:asciiTheme="majorHAnsi" w:hAnsiTheme="majorHAnsi"/>
          <w:sz w:val="20"/>
          <w:szCs w:val="20"/>
        </w:rPr>
        <w:t xml:space="preserve">Both parties were granted the deadlines established by the </w:t>
      </w:r>
      <w:r w:rsidR="008A7E90" w:rsidRPr="00B41E87">
        <w:rPr>
          <w:rFonts w:asciiTheme="majorHAnsi" w:hAnsiTheme="majorHAnsi"/>
          <w:sz w:val="20"/>
          <w:szCs w:val="20"/>
        </w:rPr>
        <w:t xml:space="preserve">Commission’s </w:t>
      </w:r>
      <w:r w:rsidR="00402EE0" w:rsidRPr="00B41E87">
        <w:rPr>
          <w:rFonts w:asciiTheme="majorHAnsi" w:hAnsiTheme="majorHAnsi"/>
          <w:sz w:val="20"/>
          <w:szCs w:val="20"/>
        </w:rPr>
        <w:t>Rules of Procedure to submit their additional observations on the merits.</w:t>
      </w:r>
      <w:r w:rsidR="00402EE0" w:rsidRPr="00B41E87">
        <w:rPr>
          <w:rStyle w:val="FootnoteReference"/>
          <w:rFonts w:asciiTheme="majorHAnsi" w:hAnsiTheme="majorHAnsi"/>
          <w:sz w:val="20"/>
          <w:szCs w:val="20"/>
        </w:rPr>
        <w:footnoteReference w:id="4"/>
      </w:r>
      <w:r w:rsidR="00402EE0" w:rsidRPr="00B41E87">
        <w:rPr>
          <w:rFonts w:asciiTheme="majorHAnsi" w:hAnsiTheme="majorHAnsi"/>
          <w:sz w:val="20"/>
          <w:szCs w:val="20"/>
        </w:rPr>
        <w:t xml:space="preserve"> </w:t>
      </w:r>
    </w:p>
    <w:p w14:paraId="3FDD2254" w14:textId="77777777" w:rsidR="002761BE" w:rsidRPr="00B41E87" w:rsidRDefault="002761BE" w:rsidP="002761BE">
      <w:pPr>
        <w:pStyle w:val="ListParagraph"/>
        <w:rPr>
          <w:rFonts w:asciiTheme="majorHAnsi" w:hAnsiTheme="majorHAnsi"/>
          <w:sz w:val="20"/>
          <w:szCs w:val="20"/>
        </w:rPr>
      </w:pPr>
    </w:p>
    <w:p w14:paraId="6A458C4C" w14:textId="53C8D8C8" w:rsidR="0035677D" w:rsidRPr="00B41E87" w:rsidRDefault="00DF0D5C" w:rsidP="003567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rPr>
      </w:pPr>
      <w:r w:rsidRPr="00B41E87">
        <w:rPr>
          <w:rFonts w:asciiTheme="majorHAnsi" w:hAnsiTheme="majorHAnsi"/>
          <w:sz w:val="20"/>
          <w:szCs w:val="20"/>
        </w:rPr>
        <w:t xml:space="preserve">The petitioners </w:t>
      </w:r>
      <w:r w:rsidR="006236C9" w:rsidRPr="00B41E87">
        <w:rPr>
          <w:rFonts w:asciiTheme="majorHAnsi" w:hAnsiTheme="majorHAnsi"/>
          <w:sz w:val="20"/>
          <w:szCs w:val="20"/>
        </w:rPr>
        <w:t>alleged</w:t>
      </w:r>
      <w:r w:rsidRPr="00B41E87">
        <w:rPr>
          <w:rFonts w:asciiTheme="majorHAnsi" w:hAnsiTheme="majorHAnsi"/>
          <w:sz w:val="20"/>
          <w:szCs w:val="20"/>
        </w:rPr>
        <w:t xml:space="preserve"> that the </w:t>
      </w:r>
      <w:r w:rsidR="00771635" w:rsidRPr="00B41E87">
        <w:rPr>
          <w:rFonts w:asciiTheme="majorHAnsi" w:hAnsiTheme="majorHAnsi"/>
          <w:sz w:val="20"/>
          <w:szCs w:val="20"/>
        </w:rPr>
        <w:t>lethal injection protocol</w:t>
      </w:r>
      <w:r w:rsidRPr="00B41E87">
        <w:rPr>
          <w:rFonts w:asciiTheme="majorHAnsi" w:hAnsiTheme="majorHAnsi"/>
          <w:sz w:val="20"/>
          <w:szCs w:val="20"/>
        </w:rPr>
        <w:t xml:space="preserve"> in Missouri create</w:t>
      </w:r>
      <w:r w:rsidR="008A7E90" w:rsidRPr="00B41E87">
        <w:rPr>
          <w:rFonts w:asciiTheme="majorHAnsi" w:hAnsiTheme="majorHAnsi"/>
          <w:sz w:val="20"/>
          <w:szCs w:val="20"/>
        </w:rPr>
        <w:t>s</w:t>
      </w:r>
      <w:r w:rsidRPr="00B41E87">
        <w:rPr>
          <w:rFonts w:asciiTheme="majorHAnsi" w:hAnsiTheme="majorHAnsi"/>
          <w:sz w:val="20"/>
          <w:szCs w:val="20"/>
        </w:rPr>
        <w:t xml:space="preserve"> an intolerable risk of excruciating pain. </w:t>
      </w:r>
      <w:r w:rsidR="00EE0C76" w:rsidRPr="00B41E87">
        <w:rPr>
          <w:rFonts w:asciiTheme="majorHAnsi" w:hAnsiTheme="majorHAnsi"/>
          <w:sz w:val="20"/>
          <w:szCs w:val="20"/>
        </w:rPr>
        <w:t>They claimed that</w:t>
      </w:r>
      <w:r w:rsidR="008A7E90" w:rsidRPr="00B41E87">
        <w:rPr>
          <w:rFonts w:asciiTheme="majorHAnsi" w:hAnsiTheme="majorHAnsi"/>
          <w:sz w:val="20"/>
          <w:szCs w:val="20"/>
        </w:rPr>
        <w:t>,</w:t>
      </w:r>
      <w:r w:rsidR="00EE0C76" w:rsidRPr="00B41E87">
        <w:rPr>
          <w:rFonts w:asciiTheme="majorHAnsi" w:hAnsiTheme="majorHAnsi"/>
          <w:sz w:val="20"/>
          <w:szCs w:val="20"/>
        </w:rPr>
        <w:t xml:space="preserve"> given a serious congenital medical condition that Mr. Bucklew suffers, </w:t>
      </w:r>
      <w:r w:rsidRPr="00B41E87">
        <w:rPr>
          <w:rFonts w:asciiTheme="majorHAnsi" w:hAnsiTheme="majorHAnsi"/>
          <w:sz w:val="20"/>
          <w:szCs w:val="20"/>
        </w:rPr>
        <w:t>the current protocol creates a substantial risk that the drug will not circulate properly, leading the alleged victim to hemorrhage, choke and suffocate. Petitioners further argue</w:t>
      </w:r>
      <w:r w:rsidR="00EE0C76" w:rsidRPr="00B41E87">
        <w:rPr>
          <w:rFonts w:asciiTheme="majorHAnsi" w:hAnsiTheme="majorHAnsi"/>
          <w:sz w:val="20"/>
          <w:szCs w:val="20"/>
        </w:rPr>
        <w:t>d</w:t>
      </w:r>
      <w:r w:rsidRPr="00B41E87">
        <w:rPr>
          <w:rFonts w:asciiTheme="majorHAnsi" w:hAnsiTheme="majorHAnsi"/>
          <w:sz w:val="20"/>
          <w:szCs w:val="20"/>
        </w:rPr>
        <w:t xml:space="preserve"> that the secrecy surrounding the development and implementation of lethal injection protocols in Missouri ha</w:t>
      </w:r>
      <w:r w:rsidR="008A7E90" w:rsidRPr="00B41E87">
        <w:rPr>
          <w:rFonts w:asciiTheme="majorHAnsi" w:hAnsiTheme="majorHAnsi"/>
          <w:sz w:val="20"/>
          <w:szCs w:val="20"/>
        </w:rPr>
        <w:t>s</w:t>
      </w:r>
      <w:r w:rsidRPr="00B41E87">
        <w:rPr>
          <w:rFonts w:asciiTheme="majorHAnsi" w:hAnsiTheme="majorHAnsi"/>
          <w:sz w:val="20"/>
          <w:szCs w:val="20"/>
        </w:rPr>
        <w:t xml:space="preserve"> effectively prevented death row prisoners from arguing that a given method of execution violates the prohibition of cruel and unusual punishment. </w:t>
      </w:r>
      <w:r w:rsidR="00EE0C76" w:rsidRPr="00B41E87">
        <w:rPr>
          <w:rFonts w:asciiTheme="majorHAnsi" w:hAnsiTheme="majorHAnsi"/>
          <w:sz w:val="20"/>
          <w:szCs w:val="20"/>
        </w:rPr>
        <w:t xml:space="preserve">On March 14, 2018 the petitioners informed </w:t>
      </w:r>
      <w:r w:rsidR="008A7E90" w:rsidRPr="00B41E87">
        <w:rPr>
          <w:rFonts w:asciiTheme="majorHAnsi" w:hAnsiTheme="majorHAnsi"/>
          <w:sz w:val="20"/>
          <w:szCs w:val="20"/>
        </w:rPr>
        <w:t xml:space="preserve">the Commission </w:t>
      </w:r>
      <w:r w:rsidR="00EE0C76" w:rsidRPr="00B41E87">
        <w:rPr>
          <w:rFonts w:asciiTheme="majorHAnsi" w:hAnsiTheme="majorHAnsi"/>
          <w:sz w:val="20"/>
          <w:szCs w:val="20"/>
        </w:rPr>
        <w:t>that the execution of the alleged victim was schedule</w:t>
      </w:r>
      <w:r w:rsidR="00771635" w:rsidRPr="00B41E87">
        <w:rPr>
          <w:rFonts w:asciiTheme="majorHAnsi" w:hAnsiTheme="majorHAnsi"/>
          <w:sz w:val="20"/>
          <w:szCs w:val="20"/>
        </w:rPr>
        <w:t>d by the s</w:t>
      </w:r>
      <w:r w:rsidR="00EE0C76" w:rsidRPr="00B41E87">
        <w:rPr>
          <w:rFonts w:asciiTheme="majorHAnsi" w:hAnsiTheme="majorHAnsi"/>
          <w:sz w:val="20"/>
          <w:szCs w:val="20"/>
        </w:rPr>
        <w:t>tate of Missouri for March 20, 2018.</w:t>
      </w:r>
      <w:r w:rsidR="00EE0C76" w:rsidRPr="00B41E87">
        <w:rPr>
          <w:rStyle w:val="FootnoteReference"/>
          <w:rFonts w:asciiTheme="majorHAnsi" w:hAnsiTheme="majorHAnsi"/>
          <w:sz w:val="20"/>
          <w:szCs w:val="20"/>
        </w:rPr>
        <w:footnoteReference w:id="5"/>
      </w:r>
      <w:r w:rsidR="00EE0C76" w:rsidRPr="00B41E87">
        <w:rPr>
          <w:rFonts w:asciiTheme="majorHAnsi" w:hAnsiTheme="majorHAnsi"/>
          <w:sz w:val="20"/>
          <w:szCs w:val="20"/>
        </w:rPr>
        <w:t xml:space="preserve"> </w:t>
      </w:r>
    </w:p>
    <w:p w14:paraId="0F4D3B8A" w14:textId="77777777" w:rsidR="00622330" w:rsidRPr="00B41E87" w:rsidRDefault="00622330" w:rsidP="0062233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rPr>
      </w:pPr>
    </w:p>
    <w:p w14:paraId="047C2832" w14:textId="6E48B134" w:rsidR="00145AEA" w:rsidRPr="00B41E87" w:rsidRDefault="0035677D"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Arial"/>
          <w:sz w:val="20"/>
          <w:szCs w:val="20"/>
        </w:rPr>
      </w:pPr>
      <w:r w:rsidRPr="00B41E87">
        <w:rPr>
          <w:rFonts w:asciiTheme="majorHAnsi" w:hAnsiTheme="majorHAnsi" w:cs="Arial"/>
          <w:sz w:val="20"/>
          <w:szCs w:val="20"/>
          <w:lang w:val="en"/>
        </w:rPr>
        <w:t xml:space="preserve">The State argued that the </w:t>
      </w:r>
      <w:r w:rsidR="00145AEA" w:rsidRPr="00B41E87">
        <w:rPr>
          <w:rFonts w:asciiTheme="majorHAnsi" w:hAnsiTheme="majorHAnsi" w:cs="Arial"/>
          <w:sz w:val="20"/>
          <w:szCs w:val="20"/>
          <w:lang w:val="en"/>
        </w:rPr>
        <w:t xml:space="preserve">alleged victim has been </w:t>
      </w:r>
      <w:r w:rsidR="008A7E90" w:rsidRPr="00B41E87">
        <w:rPr>
          <w:rFonts w:asciiTheme="majorHAnsi" w:hAnsiTheme="majorHAnsi" w:cs="Arial"/>
          <w:sz w:val="20"/>
          <w:szCs w:val="20"/>
          <w:lang w:val="en"/>
        </w:rPr>
        <w:t xml:space="preserve">provided </w:t>
      </w:r>
      <w:r w:rsidR="00145AEA" w:rsidRPr="00B41E87">
        <w:rPr>
          <w:rFonts w:asciiTheme="majorHAnsi" w:hAnsiTheme="majorHAnsi" w:cs="Arial"/>
          <w:sz w:val="20"/>
          <w:szCs w:val="20"/>
          <w:lang w:val="en"/>
        </w:rPr>
        <w:t xml:space="preserve">his due process rights and judicial guarantees, and that the domestic courts have considered his allegations </w:t>
      </w:r>
      <w:r w:rsidR="008A7E90" w:rsidRPr="00B41E87">
        <w:rPr>
          <w:rFonts w:asciiTheme="majorHAnsi" w:hAnsiTheme="majorHAnsi" w:cs="Arial"/>
          <w:sz w:val="20"/>
          <w:szCs w:val="20"/>
          <w:lang w:val="en"/>
        </w:rPr>
        <w:t xml:space="preserve">concerning </w:t>
      </w:r>
      <w:r w:rsidR="00145AEA" w:rsidRPr="00B41E87">
        <w:rPr>
          <w:rFonts w:asciiTheme="majorHAnsi" w:hAnsiTheme="majorHAnsi" w:cs="Arial"/>
          <w:sz w:val="20"/>
          <w:szCs w:val="20"/>
          <w:lang w:val="en"/>
        </w:rPr>
        <w:t xml:space="preserve">the method of execution and Missouri’s protocol. </w:t>
      </w:r>
      <w:r w:rsidR="007B141E" w:rsidRPr="00B41E87">
        <w:rPr>
          <w:rFonts w:asciiTheme="majorHAnsi" w:hAnsiTheme="majorHAnsi" w:cs="Arial"/>
          <w:sz w:val="20"/>
          <w:szCs w:val="20"/>
          <w:lang w:val="en"/>
        </w:rPr>
        <w:t xml:space="preserve">The State </w:t>
      </w:r>
      <w:r w:rsidR="008A7E90" w:rsidRPr="00B41E87">
        <w:rPr>
          <w:rFonts w:asciiTheme="majorHAnsi" w:hAnsiTheme="majorHAnsi" w:cs="Arial"/>
          <w:sz w:val="20"/>
          <w:szCs w:val="20"/>
          <w:lang w:val="en"/>
        </w:rPr>
        <w:t xml:space="preserve">maintained </w:t>
      </w:r>
      <w:r w:rsidR="007B141E" w:rsidRPr="00B41E87">
        <w:rPr>
          <w:rFonts w:asciiTheme="majorHAnsi" w:hAnsiTheme="majorHAnsi" w:cs="Arial"/>
          <w:sz w:val="20"/>
          <w:szCs w:val="20"/>
          <w:lang w:val="en"/>
        </w:rPr>
        <w:t xml:space="preserve">that </w:t>
      </w:r>
      <w:r w:rsidR="008A7E90" w:rsidRPr="00B41E87">
        <w:rPr>
          <w:rFonts w:asciiTheme="majorHAnsi" w:hAnsiTheme="majorHAnsi" w:cs="Arial"/>
          <w:sz w:val="20"/>
          <w:szCs w:val="20"/>
          <w:lang w:val="en"/>
        </w:rPr>
        <w:t xml:space="preserve">the </w:t>
      </w:r>
      <w:r w:rsidR="007B141E" w:rsidRPr="00B41E87">
        <w:rPr>
          <w:rFonts w:asciiTheme="majorHAnsi" w:hAnsiTheme="majorHAnsi" w:cs="Arial"/>
          <w:sz w:val="20"/>
          <w:szCs w:val="20"/>
          <w:lang w:val="en"/>
        </w:rPr>
        <w:t xml:space="preserve">death penalty is not incompatible with international law and that lethal injection has been considered </w:t>
      </w:r>
      <w:r w:rsidR="008A7E90" w:rsidRPr="00B41E87">
        <w:rPr>
          <w:rFonts w:asciiTheme="majorHAnsi" w:hAnsiTheme="majorHAnsi" w:cs="Arial"/>
          <w:sz w:val="20"/>
          <w:szCs w:val="20"/>
          <w:lang w:val="en"/>
        </w:rPr>
        <w:t xml:space="preserve">to be </w:t>
      </w:r>
      <w:r w:rsidR="00771635" w:rsidRPr="00B41E87">
        <w:rPr>
          <w:rFonts w:asciiTheme="majorHAnsi" w:hAnsiTheme="majorHAnsi" w:cs="Arial"/>
          <w:sz w:val="20"/>
          <w:szCs w:val="20"/>
          <w:lang w:val="en"/>
        </w:rPr>
        <w:t>a</w:t>
      </w:r>
      <w:r w:rsidR="007B141E" w:rsidRPr="00B41E87">
        <w:rPr>
          <w:rFonts w:asciiTheme="majorHAnsi" w:hAnsiTheme="majorHAnsi" w:cs="Arial"/>
          <w:sz w:val="20"/>
          <w:szCs w:val="20"/>
          <w:lang w:val="en"/>
        </w:rPr>
        <w:t xml:space="preserve"> more human</w:t>
      </w:r>
      <w:r w:rsidR="00771635" w:rsidRPr="00B41E87">
        <w:rPr>
          <w:rFonts w:asciiTheme="majorHAnsi" w:hAnsiTheme="majorHAnsi" w:cs="Arial"/>
          <w:sz w:val="20"/>
          <w:szCs w:val="20"/>
          <w:lang w:val="en"/>
        </w:rPr>
        <w:t>e</w:t>
      </w:r>
      <w:r w:rsidR="007B141E" w:rsidRPr="00B41E87">
        <w:rPr>
          <w:rFonts w:asciiTheme="majorHAnsi" w:hAnsiTheme="majorHAnsi" w:cs="Arial"/>
          <w:sz w:val="20"/>
          <w:szCs w:val="20"/>
          <w:lang w:val="en"/>
        </w:rPr>
        <w:t xml:space="preserve"> method. </w:t>
      </w:r>
    </w:p>
    <w:p w14:paraId="2A1ECB2D" w14:textId="77777777" w:rsidR="00145AEA" w:rsidRPr="00B41E87" w:rsidRDefault="00145AEA" w:rsidP="00145AEA">
      <w:pPr>
        <w:pStyle w:val="ListParagraph"/>
        <w:rPr>
          <w:rFonts w:asciiTheme="majorHAnsi" w:hAnsiTheme="majorHAnsi" w:cs="Arial"/>
          <w:sz w:val="20"/>
          <w:szCs w:val="20"/>
        </w:rPr>
      </w:pPr>
    </w:p>
    <w:p w14:paraId="54568F22" w14:textId="274E8BC7" w:rsidR="00771635" w:rsidRPr="00B41E87" w:rsidRDefault="00771635" w:rsidP="007716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b/>
          <w:bCs/>
          <w:sz w:val="20"/>
          <w:szCs w:val="20"/>
        </w:rPr>
      </w:pPr>
      <w:r w:rsidRPr="00B41E87">
        <w:rPr>
          <w:rFonts w:asciiTheme="majorHAnsi" w:hAnsiTheme="majorHAnsi"/>
          <w:bCs/>
          <w:sz w:val="20"/>
          <w:szCs w:val="20"/>
        </w:rPr>
        <w:t xml:space="preserve">Having </w:t>
      </w:r>
      <w:r w:rsidRPr="00B41E87">
        <w:rPr>
          <w:rFonts w:asciiTheme="majorHAnsi" w:hAnsiTheme="majorHAnsi" w:cs="Arial"/>
          <w:sz w:val="20"/>
          <w:szCs w:val="20"/>
          <w:shd w:val="clear" w:color="auto" w:fill="FFFFFF"/>
        </w:rPr>
        <w:t xml:space="preserve">examined the positions of the parties and the established facts, the Inter-American Commission </w:t>
      </w:r>
      <w:r w:rsidRPr="00B41E87">
        <w:rPr>
          <w:rFonts w:asciiTheme="majorHAnsi" w:hAnsiTheme="majorHAnsi" w:cs="Arial"/>
          <w:sz w:val="20"/>
          <w:szCs w:val="20"/>
          <w:lang w:val="en"/>
        </w:rPr>
        <w:t>concluded</w:t>
      </w:r>
      <w:r w:rsidRPr="00B41E87">
        <w:rPr>
          <w:rFonts w:asciiTheme="majorHAnsi" w:hAnsiTheme="majorHAnsi" w:cs="Arial"/>
          <w:sz w:val="20"/>
          <w:szCs w:val="20"/>
          <w:shd w:val="clear" w:color="auto" w:fill="FFFFFF"/>
        </w:rPr>
        <w:t xml:space="preserve"> that the United States is responsible for violating Articles I (right to life, liberty and personal security), XVIII (right to a fair trial), XXV (right of protection from arbitrary arrest) and XXVI (right to due process of law) of the American Declaration </w:t>
      </w:r>
      <w:r w:rsidR="008A7E90" w:rsidRPr="00B41E87">
        <w:rPr>
          <w:rFonts w:asciiTheme="majorHAnsi" w:hAnsiTheme="majorHAnsi" w:cs="Arial"/>
          <w:sz w:val="20"/>
          <w:szCs w:val="20"/>
          <w:shd w:val="clear" w:color="auto" w:fill="FFFFFF"/>
        </w:rPr>
        <w:t xml:space="preserve">of the Rights and Duties of Man (hereinafter “American Declaration”) </w:t>
      </w:r>
      <w:r w:rsidRPr="00B41E87">
        <w:rPr>
          <w:rFonts w:asciiTheme="majorHAnsi" w:hAnsiTheme="majorHAnsi" w:cs="Arial"/>
          <w:sz w:val="20"/>
          <w:szCs w:val="20"/>
          <w:shd w:val="clear" w:color="auto" w:fill="FFFFFF"/>
        </w:rPr>
        <w:t>in the case of Russell Bucklew. In the event the execution of Mr. Russell Bucklew is carried out, the State would be responsible for a serious and irreparable violation of the fundamental right to life protected in Article I of the American Declaration.</w:t>
      </w:r>
    </w:p>
    <w:p w14:paraId="5D5006BC" w14:textId="77777777" w:rsidR="0035677D" w:rsidRPr="00B41E87" w:rsidRDefault="0035677D" w:rsidP="0035677D">
      <w:pPr>
        <w:tabs>
          <w:tab w:val="left" w:pos="1440"/>
        </w:tabs>
        <w:jc w:val="both"/>
        <w:rPr>
          <w:rFonts w:asciiTheme="majorHAnsi" w:eastAsia="Calibri" w:hAnsiTheme="majorHAnsi"/>
          <w:b/>
          <w:sz w:val="20"/>
          <w:szCs w:val="20"/>
        </w:rPr>
      </w:pPr>
    </w:p>
    <w:p w14:paraId="591EB680" w14:textId="77777777" w:rsidR="008C3721" w:rsidRPr="00B41E87" w:rsidRDefault="008C3721">
      <w:pPr>
        <w:rPr>
          <w:rFonts w:asciiTheme="majorHAnsi" w:hAnsiTheme="majorHAnsi"/>
        </w:rPr>
      </w:pPr>
      <w:bookmarkStart w:id="11" w:name="_Toc475546037"/>
      <w:bookmarkStart w:id="12" w:name="_Toc486276793"/>
      <w:bookmarkStart w:id="13" w:name="_Toc486322734"/>
      <w:bookmarkStart w:id="14" w:name="_Toc423514408"/>
      <w:bookmarkStart w:id="15" w:name="_Toc433115984"/>
      <w:bookmarkStart w:id="16" w:name="_Toc444958127"/>
      <w:r w:rsidRPr="00B41E87">
        <w:rPr>
          <w:rFonts w:asciiTheme="majorHAnsi" w:hAnsiTheme="majorHAnsi"/>
        </w:rPr>
        <w:br w:type="page"/>
      </w:r>
    </w:p>
    <w:p w14:paraId="721423D3" w14:textId="77777777" w:rsidR="004837A8" w:rsidRPr="00B41E87" w:rsidRDefault="004837A8">
      <w:pPr>
        <w:rPr>
          <w:rFonts w:asciiTheme="majorHAnsi" w:eastAsiaTheme="majorEastAsia" w:hAnsiTheme="majorHAnsi" w:cstheme="majorBidi"/>
          <w:b/>
          <w:bCs/>
          <w:sz w:val="20"/>
          <w:szCs w:val="20"/>
          <w:lang w:val="en"/>
        </w:rPr>
      </w:pPr>
    </w:p>
    <w:p w14:paraId="5EA70626" w14:textId="39B1127A" w:rsidR="0035677D" w:rsidRPr="00B41E87" w:rsidRDefault="0035677D" w:rsidP="000444C9">
      <w:pPr>
        <w:pStyle w:val="Heading1"/>
      </w:pPr>
      <w:bookmarkStart w:id="17" w:name="_Toc511310289"/>
      <w:bookmarkStart w:id="18" w:name="_Toc512265302"/>
      <w:r w:rsidRPr="00B41E87">
        <w:t>POSITIONS OF THE PARTIES</w:t>
      </w:r>
      <w:bookmarkEnd w:id="11"/>
      <w:bookmarkEnd w:id="12"/>
      <w:bookmarkEnd w:id="13"/>
      <w:bookmarkEnd w:id="17"/>
      <w:bookmarkEnd w:id="18"/>
      <w:r w:rsidRPr="00B41E87">
        <w:t xml:space="preserve"> </w:t>
      </w:r>
    </w:p>
    <w:p w14:paraId="48A3C209" w14:textId="77777777" w:rsidR="0035677D" w:rsidRPr="00B41E87" w:rsidRDefault="0035677D" w:rsidP="0035677D">
      <w:pPr>
        <w:rPr>
          <w:rFonts w:asciiTheme="majorHAnsi" w:hAnsiTheme="majorHAnsi"/>
        </w:rPr>
      </w:pPr>
    </w:p>
    <w:p w14:paraId="4D57B221" w14:textId="7094457A" w:rsidR="0035677D" w:rsidRPr="00B41E87" w:rsidRDefault="0035677D" w:rsidP="00BC580D">
      <w:pPr>
        <w:pStyle w:val="Heading2"/>
        <w:numPr>
          <w:ilvl w:val="0"/>
          <w:numId w:val="62"/>
        </w:numPr>
      </w:pPr>
      <w:bookmarkStart w:id="19" w:name="_Toc475546038"/>
      <w:bookmarkStart w:id="20" w:name="_Toc486276794"/>
      <w:bookmarkStart w:id="21" w:name="_Toc486322735"/>
      <w:bookmarkStart w:id="22" w:name="_Toc511310290"/>
      <w:bookmarkStart w:id="23" w:name="_Toc512265303"/>
      <w:r w:rsidRPr="00B41E87">
        <w:t>Position of</w:t>
      </w:r>
      <w:bookmarkEnd w:id="14"/>
      <w:bookmarkEnd w:id="15"/>
      <w:bookmarkEnd w:id="16"/>
      <w:r w:rsidRPr="00B41E87">
        <w:t xml:space="preserve"> the </w:t>
      </w:r>
      <w:r w:rsidR="005C61C0" w:rsidRPr="00B41E87">
        <w:t>Petitioners</w:t>
      </w:r>
      <w:bookmarkEnd w:id="19"/>
      <w:bookmarkEnd w:id="20"/>
      <w:bookmarkEnd w:id="21"/>
      <w:bookmarkEnd w:id="22"/>
      <w:bookmarkEnd w:id="23"/>
      <w:r w:rsidR="005C61C0" w:rsidRPr="00B41E87">
        <w:t xml:space="preserve"> </w:t>
      </w:r>
    </w:p>
    <w:p w14:paraId="3859742E" w14:textId="77777777" w:rsidR="0035677D" w:rsidRPr="00B41E87" w:rsidRDefault="0035677D" w:rsidP="0035677D">
      <w:pPr>
        <w:tabs>
          <w:tab w:val="left" w:pos="1440"/>
        </w:tabs>
        <w:jc w:val="both"/>
        <w:rPr>
          <w:rFonts w:asciiTheme="majorHAnsi" w:hAnsiTheme="majorHAnsi"/>
          <w:sz w:val="20"/>
          <w:szCs w:val="20"/>
        </w:rPr>
      </w:pPr>
    </w:p>
    <w:p w14:paraId="281C1FC4" w14:textId="7CAA928A"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rPr>
      </w:pPr>
      <w:r w:rsidRPr="00B41E87">
        <w:rPr>
          <w:rFonts w:asciiTheme="majorHAnsi" w:hAnsiTheme="majorHAnsi"/>
          <w:sz w:val="20"/>
        </w:rPr>
        <w:t xml:space="preserve">The petitioners stated that Russell Bucklew was sentenced to death on May 15, 1997, in the state of Missouri in the United States. </w:t>
      </w:r>
      <w:r w:rsidR="001E58A0" w:rsidRPr="00B41E87">
        <w:rPr>
          <w:rFonts w:asciiTheme="majorHAnsi" w:hAnsiTheme="majorHAnsi"/>
          <w:sz w:val="20"/>
        </w:rPr>
        <w:t>They indicated that</w:t>
      </w:r>
      <w:r w:rsidRPr="00B41E87">
        <w:rPr>
          <w:rFonts w:asciiTheme="majorHAnsi" w:hAnsiTheme="majorHAnsi"/>
          <w:sz w:val="20"/>
        </w:rPr>
        <w:t xml:space="preserve"> the Missouri Supreme Court first set his execution date for May 21, 2014</w:t>
      </w:r>
      <w:r w:rsidR="001E58A0" w:rsidRPr="00B41E87">
        <w:rPr>
          <w:rFonts w:asciiTheme="majorHAnsi" w:hAnsiTheme="majorHAnsi"/>
          <w:sz w:val="20"/>
        </w:rPr>
        <w:t>,</w:t>
      </w:r>
      <w:r w:rsidRPr="00B41E87">
        <w:rPr>
          <w:rFonts w:asciiTheme="majorHAnsi" w:hAnsiTheme="majorHAnsi"/>
          <w:sz w:val="20"/>
        </w:rPr>
        <w:t xml:space="preserve"> but on M</w:t>
      </w:r>
      <w:r w:rsidR="001E58A0" w:rsidRPr="00B41E87">
        <w:rPr>
          <w:rFonts w:asciiTheme="majorHAnsi" w:hAnsiTheme="majorHAnsi"/>
          <w:sz w:val="20"/>
        </w:rPr>
        <w:t xml:space="preserve">ay 9, 2014, Mr. Bucklew filed </w:t>
      </w:r>
      <w:r w:rsidRPr="00B41E87">
        <w:rPr>
          <w:rFonts w:asciiTheme="majorHAnsi" w:hAnsiTheme="majorHAnsi"/>
          <w:sz w:val="20"/>
        </w:rPr>
        <w:t xml:space="preserve">suit in the United States District Court-Western District of Missouri challenging Missouri’s execution protocol as it </w:t>
      </w:r>
      <w:r w:rsidR="001E58A0" w:rsidRPr="00B41E87">
        <w:rPr>
          <w:rFonts w:asciiTheme="majorHAnsi" w:hAnsiTheme="majorHAnsi"/>
          <w:sz w:val="20"/>
        </w:rPr>
        <w:t xml:space="preserve">would </w:t>
      </w:r>
      <w:r w:rsidRPr="00B41E87">
        <w:rPr>
          <w:rFonts w:asciiTheme="majorHAnsi" w:hAnsiTheme="majorHAnsi"/>
          <w:sz w:val="20"/>
        </w:rPr>
        <w:t>appl</w:t>
      </w:r>
      <w:r w:rsidR="001E58A0" w:rsidRPr="00B41E87">
        <w:rPr>
          <w:rFonts w:asciiTheme="majorHAnsi" w:hAnsiTheme="majorHAnsi"/>
          <w:sz w:val="20"/>
        </w:rPr>
        <w:t>y</w:t>
      </w:r>
      <w:r w:rsidRPr="00B41E87">
        <w:rPr>
          <w:rFonts w:asciiTheme="majorHAnsi" w:hAnsiTheme="majorHAnsi"/>
          <w:sz w:val="20"/>
        </w:rPr>
        <w:t xml:space="preserve"> to him specifically. On May 20, 2014, the United States Supreme Court granted Mr. Bucklew a stay and ordered the United States Court of Appeals for the Eighth Circuit to hear his </w:t>
      </w:r>
      <w:r w:rsidR="001E58A0" w:rsidRPr="00B41E87">
        <w:rPr>
          <w:rFonts w:asciiTheme="majorHAnsi" w:hAnsiTheme="majorHAnsi"/>
          <w:sz w:val="20"/>
        </w:rPr>
        <w:t>case. Petitioners affirmed that</w:t>
      </w:r>
      <w:r w:rsidRPr="00B41E87">
        <w:rPr>
          <w:rFonts w:asciiTheme="majorHAnsi" w:hAnsiTheme="majorHAnsi"/>
          <w:sz w:val="20"/>
        </w:rPr>
        <w:t xml:space="preserve"> the Eighth Circuit </w:t>
      </w:r>
      <w:r w:rsidR="001E58A0" w:rsidRPr="00B41E87">
        <w:rPr>
          <w:rFonts w:asciiTheme="majorHAnsi" w:hAnsiTheme="majorHAnsi"/>
          <w:sz w:val="20"/>
        </w:rPr>
        <w:t xml:space="preserve">subsequently </w:t>
      </w:r>
      <w:r w:rsidRPr="00B41E87">
        <w:rPr>
          <w:rFonts w:asciiTheme="majorHAnsi" w:hAnsiTheme="majorHAnsi"/>
          <w:sz w:val="20"/>
        </w:rPr>
        <w:t xml:space="preserve">ruled that the federal district court erred in dismissing Mr. Bucklew’s complaint because it was not patently obvious that he could not prevail or that an amendment to the complaint would be futile. </w:t>
      </w:r>
      <w:r w:rsidR="00845532" w:rsidRPr="00B41E87">
        <w:rPr>
          <w:rFonts w:asciiTheme="majorHAnsi" w:hAnsiTheme="majorHAnsi"/>
          <w:sz w:val="20"/>
        </w:rPr>
        <w:t>Petitioners informed that</w:t>
      </w:r>
      <w:r w:rsidR="001E58A0" w:rsidRPr="00B41E87">
        <w:rPr>
          <w:rFonts w:asciiTheme="majorHAnsi" w:hAnsiTheme="majorHAnsi"/>
          <w:sz w:val="20"/>
        </w:rPr>
        <w:t>,</w:t>
      </w:r>
      <w:r w:rsidR="00845532" w:rsidRPr="00B41E87">
        <w:rPr>
          <w:rFonts w:asciiTheme="majorHAnsi" w:hAnsiTheme="majorHAnsi"/>
          <w:sz w:val="20"/>
        </w:rPr>
        <w:t xml:space="preserve"> o</w:t>
      </w:r>
      <w:r w:rsidRPr="00B41E87">
        <w:rPr>
          <w:rFonts w:asciiTheme="majorHAnsi" w:hAnsiTheme="majorHAnsi"/>
          <w:sz w:val="20"/>
        </w:rPr>
        <w:t xml:space="preserve">n June 15, 2017, the district court granted summary judgment in favor of the State. This </w:t>
      </w:r>
      <w:r w:rsidR="001E58A0" w:rsidRPr="00B41E87">
        <w:rPr>
          <w:rFonts w:asciiTheme="majorHAnsi" w:hAnsiTheme="majorHAnsi"/>
          <w:sz w:val="20"/>
        </w:rPr>
        <w:t xml:space="preserve">decision </w:t>
      </w:r>
      <w:r w:rsidRPr="00B41E87">
        <w:rPr>
          <w:rFonts w:asciiTheme="majorHAnsi" w:hAnsiTheme="majorHAnsi"/>
          <w:sz w:val="20"/>
        </w:rPr>
        <w:t xml:space="preserve">was later affirmed by the Eighth Circuit Court of Appeals on March 6, 2018. According to </w:t>
      </w:r>
      <w:r w:rsidR="001E58A0" w:rsidRPr="00B41E87">
        <w:rPr>
          <w:rFonts w:asciiTheme="majorHAnsi" w:hAnsiTheme="majorHAnsi"/>
          <w:sz w:val="20"/>
        </w:rPr>
        <w:t xml:space="preserve">the most recent </w:t>
      </w:r>
      <w:r w:rsidRPr="00B41E87">
        <w:rPr>
          <w:rFonts w:asciiTheme="majorHAnsi" w:hAnsiTheme="majorHAnsi"/>
          <w:sz w:val="20"/>
        </w:rPr>
        <w:t>information</w:t>
      </w:r>
      <w:r w:rsidR="001E58A0" w:rsidRPr="00B41E87">
        <w:rPr>
          <w:rFonts w:asciiTheme="majorHAnsi" w:hAnsiTheme="majorHAnsi"/>
          <w:sz w:val="20"/>
        </w:rPr>
        <w:t xml:space="preserve"> provided</w:t>
      </w:r>
      <w:r w:rsidRPr="00B41E87">
        <w:rPr>
          <w:rFonts w:asciiTheme="majorHAnsi" w:hAnsiTheme="majorHAnsi"/>
          <w:sz w:val="20"/>
        </w:rPr>
        <w:t xml:space="preserve">, Mr. Bucklew’s execution has been scheduled for March 20, 2018. </w:t>
      </w:r>
    </w:p>
    <w:p w14:paraId="59FB7C6A" w14:textId="77777777" w:rsidR="005A6F92" w:rsidRPr="00B41E87" w:rsidRDefault="005A6F92" w:rsidP="005A6F92">
      <w:pPr>
        <w:pStyle w:val="ListParagraph"/>
        <w:ind w:left="0" w:firstLine="720"/>
        <w:rPr>
          <w:rFonts w:asciiTheme="majorHAnsi" w:hAnsiTheme="majorHAnsi"/>
          <w:sz w:val="20"/>
          <w:szCs w:val="20"/>
          <w:lang w:val="en"/>
        </w:rPr>
      </w:pPr>
    </w:p>
    <w:p w14:paraId="1FE0E306" w14:textId="1B475B6F"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lang w:val="en"/>
        </w:rPr>
        <w:t xml:space="preserve">With regard to the suit filed by Mr. Bucklew challenging Missouri’s execution protocol before the United States District Court, petitioners </w:t>
      </w:r>
      <w:r w:rsidR="001E58A0" w:rsidRPr="00B41E87">
        <w:rPr>
          <w:rFonts w:asciiTheme="majorHAnsi" w:hAnsiTheme="majorHAnsi"/>
          <w:sz w:val="20"/>
          <w:szCs w:val="20"/>
          <w:lang w:val="en"/>
        </w:rPr>
        <w:t xml:space="preserve">reported </w:t>
      </w:r>
      <w:r w:rsidRPr="00B41E87">
        <w:rPr>
          <w:rFonts w:asciiTheme="majorHAnsi" w:hAnsiTheme="majorHAnsi"/>
          <w:sz w:val="20"/>
          <w:szCs w:val="20"/>
          <w:lang w:val="en"/>
        </w:rPr>
        <w:t xml:space="preserve">that the Eighth Circuit concluded Mr. Bucklew failed to establish that the lethal injection, as applied to him, constitutes cruel and unusual punishment under the Eighth and Fourteenth Amendments. According to </w:t>
      </w:r>
      <w:r w:rsidR="001E58A0" w:rsidRPr="00B41E87">
        <w:rPr>
          <w:rFonts w:asciiTheme="majorHAnsi" w:hAnsiTheme="majorHAnsi"/>
          <w:sz w:val="20"/>
          <w:szCs w:val="20"/>
          <w:lang w:val="en"/>
        </w:rPr>
        <w:t xml:space="preserve">the information </w:t>
      </w:r>
      <w:r w:rsidRPr="00B41E87">
        <w:rPr>
          <w:rFonts w:asciiTheme="majorHAnsi" w:hAnsiTheme="majorHAnsi"/>
          <w:sz w:val="20"/>
          <w:szCs w:val="20"/>
          <w:lang w:val="en"/>
        </w:rPr>
        <w:t>petitioners</w:t>
      </w:r>
      <w:r w:rsidR="001E58A0" w:rsidRPr="00B41E87">
        <w:rPr>
          <w:rFonts w:asciiTheme="majorHAnsi" w:hAnsiTheme="majorHAnsi"/>
          <w:sz w:val="20"/>
          <w:szCs w:val="20"/>
          <w:lang w:val="en"/>
        </w:rPr>
        <w:t xml:space="preserve"> provided</w:t>
      </w:r>
      <w:r w:rsidR="00FB143F" w:rsidRPr="00B41E87">
        <w:rPr>
          <w:rFonts w:asciiTheme="majorHAnsi" w:hAnsiTheme="majorHAnsi"/>
          <w:sz w:val="20"/>
          <w:szCs w:val="20"/>
          <w:lang w:val="en"/>
        </w:rPr>
        <w:t>, the c</w:t>
      </w:r>
      <w:r w:rsidRPr="00B41E87">
        <w:rPr>
          <w:rFonts w:asciiTheme="majorHAnsi" w:hAnsiTheme="majorHAnsi"/>
          <w:sz w:val="20"/>
          <w:szCs w:val="20"/>
          <w:lang w:val="en"/>
        </w:rPr>
        <w:t xml:space="preserve">ourt did not challenge Mr. Bucklew’s contention that lethal injection posed “a substantial risk of serious and imminent harm” to him but considered, under the Supreme Court’s decision in Glossip v. Gross, that he had failed to show that his proposed alternative method of execution –induced hypoxia (lethal gas) - was a “feasible, readily implemented” method that would substantially reduce his suffering. </w:t>
      </w:r>
    </w:p>
    <w:p w14:paraId="117221F8" w14:textId="77777777" w:rsidR="005A6F92" w:rsidRPr="00B41E87" w:rsidRDefault="005A6F92" w:rsidP="005A6F92">
      <w:pPr>
        <w:ind w:firstLine="720"/>
        <w:jc w:val="both"/>
        <w:rPr>
          <w:rFonts w:asciiTheme="majorHAnsi" w:hAnsiTheme="majorHAnsi"/>
          <w:sz w:val="20"/>
          <w:szCs w:val="20"/>
          <w:lang w:val="en"/>
        </w:rPr>
      </w:pPr>
    </w:p>
    <w:p w14:paraId="628DD0D4" w14:textId="26AC2CA4"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lang w:val="en"/>
        </w:rPr>
        <w:t xml:space="preserve">The petitioners </w:t>
      </w:r>
      <w:r w:rsidR="001E58A0" w:rsidRPr="00B41E87">
        <w:rPr>
          <w:rFonts w:asciiTheme="majorHAnsi" w:hAnsiTheme="majorHAnsi"/>
          <w:sz w:val="20"/>
          <w:szCs w:val="20"/>
          <w:lang w:val="en"/>
        </w:rPr>
        <w:t xml:space="preserve">affirmed </w:t>
      </w:r>
      <w:r w:rsidRPr="00B41E87">
        <w:rPr>
          <w:rFonts w:asciiTheme="majorHAnsi" w:hAnsiTheme="majorHAnsi"/>
          <w:sz w:val="20"/>
          <w:szCs w:val="20"/>
          <w:lang w:val="en"/>
        </w:rPr>
        <w:t xml:space="preserve">that the lethal injection protocol that the state of Missouri plans to use for the execution of Mr. Bucklew calls for the administration of five grams of pentobarbital, administered through an IV line into the execution chamber, where the prisoner is alone and strapped to a gurney. </w:t>
      </w:r>
      <w:r w:rsidR="001E58A0" w:rsidRPr="00B41E87">
        <w:rPr>
          <w:rFonts w:asciiTheme="majorHAnsi" w:hAnsiTheme="majorHAnsi"/>
          <w:sz w:val="20"/>
          <w:szCs w:val="20"/>
          <w:lang w:val="en"/>
        </w:rPr>
        <w:t>T</w:t>
      </w:r>
      <w:r w:rsidR="00845532" w:rsidRPr="00B41E87">
        <w:rPr>
          <w:rFonts w:asciiTheme="majorHAnsi" w:hAnsiTheme="majorHAnsi"/>
          <w:sz w:val="20"/>
          <w:szCs w:val="20"/>
          <w:lang w:val="en"/>
        </w:rPr>
        <w:t xml:space="preserve">he petitioners opposed the protocol </w:t>
      </w:r>
      <w:r w:rsidR="001E58A0" w:rsidRPr="00B41E87">
        <w:rPr>
          <w:rFonts w:asciiTheme="majorHAnsi" w:hAnsiTheme="majorHAnsi"/>
          <w:sz w:val="20"/>
          <w:szCs w:val="20"/>
          <w:lang w:val="en"/>
        </w:rPr>
        <w:t>because</w:t>
      </w:r>
      <w:r w:rsidRPr="00B41E87">
        <w:rPr>
          <w:rFonts w:asciiTheme="majorHAnsi" w:hAnsiTheme="majorHAnsi"/>
          <w:sz w:val="20"/>
          <w:szCs w:val="20"/>
          <w:lang w:val="en"/>
        </w:rPr>
        <w:t xml:space="preserve"> it </w:t>
      </w:r>
      <w:r w:rsidR="001E58A0" w:rsidRPr="00B41E87">
        <w:rPr>
          <w:rFonts w:asciiTheme="majorHAnsi" w:hAnsiTheme="majorHAnsi"/>
          <w:sz w:val="20"/>
          <w:szCs w:val="20"/>
          <w:lang w:val="en"/>
        </w:rPr>
        <w:t xml:space="preserve">calls for proceeding </w:t>
      </w:r>
      <w:r w:rsidRPr="00B41E87">
        <w:rPr>
          <w:rFonts w:asciiTheme="majorHAnsi" w:hAnsiTheme="majorHAnsi"/>
          <w:sz w:val="20"/>
          <w:szCs w:val="20"/>
          <w:lang w:val="en"/>
        </w:rPr>
        <w:t xml:space="preserve">with executions using compounded pentobarbital; </w:t>
      </w:r>
      <w:r w:rsidR="001E58A0" w:rsidRPr="00B41E87">
        <w:rPr>
          <w:rFonts w:asciiTheme="majorHAnsi" w:hAnsiTheme="majorHAnsi"/>
          <w:sz w:val="20"/>
          <w:szCs w:val="20"/>
          <w:lang w:val="en"/>
        </w:rPr>
        <w:t xml:space="preserve">for </w:t>
      </w:r>
      <w:r w:rsidRPr="00B41E87">
        <w:rPr>
          <w:rFonts w:asciiTheme="majorHAnsi" w:hAnsiTheme="majorHAnsi"/>
          <w:sz w:val="20"/>
          <w:szCs w:val="20"/>
          <w:lang w:val="en"/>
        </w:rPr>
        <w:t>remov</w:t>
      </w:r>
      <w:r w:rsidR="001E58A0" w:rsidRPr="00B41E87">
        <w:rPr>
          <w:rFonts w:asciiTheme="majorHAnsi" w:hAnsiTheme="majorHAnsi"/>
          <w:sz w:val="20"/>
          <w:szCs w:val="20"/>
          <w:lang w:val="en"/>
        </w:rPr>
        <w:t>ing</w:t>
      </w:r>
      <w:r w:rsidRPr="00B41E87">
        <w:rPr>
          <w:rFonts w:asciiTheme="majorHAnsi" w:hAnsiTheme="majorHAnsi"/>
          <w:sz w:val="20"/>
          <w:szCs w:val="20"/>
          <w:lang w:val="en"/>
        </w:rPr>
        <w:t xml:space="preserve"> methylene blue from the saline fluids used to start and flush the IV line; </w:t>
      </w:r>
      <w:r w:rsidR="001E58A0" w:rsidRPr="00B41E87">
        <w:rPr>
          <w:rFonts w:asciiTheme="majorHAnsi" w:hAnsiTheme="majorHAnsi"/>
          <w:sz w:val="20"/>
          <w:szCs w:val="20"/>
          <w:lang w:val="en"/>
        </w:rPr>
        <w:t xml:space="preserve">and </w:t>
      </w:r>
      <w:r w:rsidRPr="00B41E87">
        <w:rPr>
          <w:rFonts w:asciiTheme="majorHAnsi" w:hAnsiTheme="majorHAnsi"/>
          <w:sz w:val="20"/>
          <w:szCs w:val="20"/>
          <w:lang w:val="en"/>
        </w:rPr>
        <w:t xml:space="preserve">it provides the option to use a central venous line (femoral, jugular, or subclavian) for the placement of the intravenous line, over the peripheral line access, commonly used in other states’ protocols. They stated that during the execution no medical personnel would be close at hand; </w:t>
      </w:r>
      <w:r w:rsidR="001E58A0" w:rsidRPr="00B41E87">
        <w:rPr>
          <w:rFonts w:asciiTheme="majorHAnsi" w:hAnsiTheme="majorHAnsi"/>
          <w:sz w:val="20"/>
          <w:szCs w:val="20"/>
          <w:lang w:val="en"/>
        </w:rPr>
        <w:t xml:space="preserve">but would </w:t>
      </w:r>
      <w:r w:rsidRPr="00B41E87">
        <w:rPr>
          <w:rFonts w:asciiTheme="majorHAnsi" w:hAnsiTheme="majorHAnsi"/>
          <w:sz w:val="20"/>
          <w:szCs w:val="20"/>
          <w:lang w:val="en"/>
        </w:rPr>
        <w:t>monitor the prisoner remotely from the “execution support room” while non-medical personnel administer the lethal drug by injecting it into a syringe.</w:t>
      </w:r>
    </w:p>
    <w:p w14:paraId="75913585" w14:textId="77777777" w:rsidR="005A6F92" w:rsidRPr="00B41E87" w:rsidRDefault="005A6F92" w:rsidP="005A6F92">
      <w:pPr>
        <w:ind w:firstLine="720"/>
        <w:jc w:val="both"/>
        <w:rPr>
          <w:rFonts w:asciiTheme="majorHAnsi" w:hAnsiTheme="majorHAnsi"/>
          <w:sz w:val="20"/>
          <w:szCs w:val="20"/>
          <w:lang w:val="en"/>
        </w:rPr>
      </w:pPr>
    </w:p>
    <w:p w14:paraId="5EBF2DB8" w14:textId="38B42AFB"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lang w:val="en"/>
        </w:rPr>
        <w:t xml:space="preserve">The petitioners indicated that Mr. Bucklew’s execution with this protocol presents a unique threat of cruel, inhuman, or degrading treatment and even torture. They explained that Mr. Bucklew suffers since infancy from cavernous hemangioma in his neck and head, a blood vessel condition that causes clumps of weakened, malformed vessels to grow in his head, face, and throat, displacing healthy tissue and rupturing under stress. They further explained that Mr. Bucklew also has a massive vascular tumor occupying his nose, throat and airway passages. As a result, petitioners </w:t>
      </w:r>
      <w:r w:rsidR="001E58A0" w:rsidRPr="00B41E87">
        <w:rPr>
          <w:rFonts w:asciiTheme="majorHAnsi" w:hAnsiTheme="majorHAnsi"/>
          <w:sz w:val="20"/>
          <w:szCs w:val="20"/>
          <w:lang w:val="en"/>
        </w:rPr>
        <w:t xml:space="preserve">affirmed that </w:t>
      </w:r>
      <w:r w:rsidRPr="00B41E87">
        <w:rPr>
          <w:rFonts w:asciiTheme="majorHAnsi" w:hAnsiTheme="majorHAnsi"/>
          <w:sz w:val="20"/>
          <w:szCs w:val="20"/>
          <w:lang w:val="en"/>
        </w:rPr>
        <w:t xml:space="preserve">his conditions create a very substantial risk that he will suffer excruciating, even torturous, pain during an execution. Petitioners added that, in light of the medications that Mr. Bucklew takes to manage his medical condition, there is a risk of adverse events resulting from drug interactions. </w:t>
      </w:r>
      <w:r w:rsidR="001E58A0" w:rsidRPr="00B41E87">
        <w:rPr>
          <w:rFonts w:asciiTheme="majorHAnsi" w:hAnsiTheme="majorHAnsi"/>
          <w:sz w:val="20"/>
          <w:szCs w:val="20"/>
          <w:lang w:val="en"/>
        </w:rPr>
        <w:t>In</w:t>
      </w:r>
      <w:r w:rsidRPr="00B41E87">
        <w:rPr>
          <w:rFonts w:asciiTheme="majorHAnsi" w:hAnsiTheme="majorHAnsi"/>
          <w:sz w:val="20"/>
          <w:szCs w:val="20"/>
          <w:lang w:val="en"/>
        </w:rPr>
        <w:t xml:space="preserve"> this respect</w:t>
      </w:r>
      <w:r w:rsidR="001E58A0" w:rsidRPr="00B41E87">
        <w:rPr>
          <w:rFonts w:asciiTheme="majorHAnsi" w:hAnsiTheme="majorHAnsi"/>
          <w:sz w:val="20"/>
          <w:szCs w:val="20"/>
          <w:lang w:val="en"/>
        </w:rPr>
        <w:t>,</w:t>
      </w:r>
      <w:r w:rsidRPr="00B41E87">
        <w:rPr>
          <w:rFonts w:asciiTheme="majorHAnsi" w:hAnsiTheme="majorHAnsi"/>
          <w:sz w:val="20"/>
          <w:szCs w:val="20"/>
          <w:lang w:val="en"/>
        </w:rPr>
        <w:t xml:space="preserve"> they determined that the risks arising from drug interactions and the </w:t>
      </w:r>
      <w:r w:rsidR="00290442" w:rsidRPr="00B41E87">
        <w:rPr>
          <w:rFonts w:asciiTheme="majorHAnsi" w:hAnsiTheme="majorHAnsi"/>
          <w:sz w:val="20"/>
          <w:szCs w:val="20"/>
          <w:lang w:val="en"/>
        </w:rPr>
        <w:t>anesthetic</w:t>
      </w:r>
      <w:r w:rsidR="00DD7518" w:rsidRPr="00B41E87">
        <w:rPr>
          <w:rFonts w:asciiTheme="majorHAnsi" w:hAnsiTheme="majorHAnsi"/>
          <w:sz w:val="20"/>
          <w:szCs w:val="20"/>
          <w:lang w:val="en"/>
        </w:rPr>
        <w:t xml:space="preserve"> </w:t>
      </w:r>
      <w:r w:rsidRPr="00B41E87">
        <w:rPr>
          <w:rFonts w:asciiTheme="majorHAnsi" w:hAnsiTheme="majorHAnsi"/>
          <w:sz w:val="20"/>
          <w:szCs w:val="20"/>
          <w:lang w:val="en"/>
        </w:rPr>
        <w:t xml:space="preserve">effects of pentobarbital are further exacerbated by the use of compounded pentobarbital, which, unlike a manufactured drug, carries no guarantees of its safety, potency, or purity. </w:t>
      </w:r>
    </w:p>
    <w:p w14:paraId="12C6F63A" w14:textId="77777777" w:rsidR="005A6F92" w:rsidRPr="00B41E87" w:rsidRDefault="005A6F92" w:rsidP="005A6F92">
      <w:pPr>
        <w:pStyle w:val="ListParagraph"/>
        <w:rPr>
          <w:rFonts w:asciiTheme="majorHAnsi" w:hAnsiTheme="majorHAnsi"/>
          <w:sz w:val="20"/>
          <w:szCs w:val="20"/>
          <w:lang w:val="en"/>
        </w:rPr>
      </w:pPr>
    </w:p>
    <w:p w14:paraId="49B130BF" w14:textId="77777777"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lang w:val="en"/>
        </w:rPr>
        <w:t xml:space="preserve">The petitioners argued that the state of Missouri has acquired its pentobarbital in a suspect manner, in the absence of any regulation or accountability. They sustained that the Missouri Department of Corrections refuses to disclose any information about the drug’s safety, purity, and potency, and will not even confirm whether the drug is subject to any laboratory testing at all. </w:t>
      </w:r>
    </w:p>
    <w:p w14:paraId="2DA7FB82" w14:textId="77777777" w:rsidR="005A6F92" w:rsidRPr="00B41E87" w:rsidRDefault="005A6F92" w:rsidP="005A6F92">
      <w:pPr>
        <w:pStyle w:val="ListParagraph"/>
        <w:rPr>
          <w:rFonts w:asciiTheme="majorHAnsi" w:hAnsiTheme="majorHAnsi"/>
          <w:sz w:val="20"/>
          <w:szCs w:val="20"/>
          <w:lang w:val="en"/>
        </w:rPr>
      </w:pPr>
    </w:p>
    <w:p w14:paraId="41A043F3" w14:textId="77777777" w:rsidR="004837A8" w:rsidRPr="00B41E87" w:rsidRDefault="004837A8" w:rsidP="005A6F92">
      <w:pPr>
        <w:pStyle w:val="ListParagraph"/>
        <w:rPr>
          <w:rFonts w:asciiTheme="majorHAnsi" w:hAnsiTheme="majorHAnsi"/>
          <w:sz w:val="20"/>
          <w:szCs w:val="20"/>
          <w:lang w:val="en"/>
        </w:rPr>
      </w:pPr>
    </w:p>
    <w:p w14:paraId="20100E72" w14:textId="77777777" w:rsidR="004837A8" w:rsidRPr="00B41E87" w:rsidRDefault="004837A8" w:rsidP="005A6F92">
      <w:pPr>
        <w:pStyle w:val="ListParagraph"/>
        <w:rPr>
          <w:rFonts w:asciiTheme="majorHAnsi" w:hAnsiTheme="majorHAnsi"/>
          <w:sz w:val="20"/>
          <w:szCs w:val="20"/>
          <w:lang w:val="en"/>
        </w:rPr>
      </w:pPr>
    </w:p>
    <w:p w14:paraId="20688830" w14:textId="12A37E32" w:rsidR="005A6F92" w:rsidRPr="00B41E87" w:rsidRDefault="005A6F92" w:rsidP="005A6F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lang w:val="en"/>
        </w:rPr>
        <w:t>The petitioners argued that the secrecy surrounding the use of untested drugs for execution is incompatible with human rights standards because the realization of specific rights imposes a duty of transparency on states</w:t>
      </w:r>
      <w:r w:rsidR="00D02A16" w:rsidRPr="00B41E87">
        <w:rPr>
          <w:rFonts w:asciiTheme="majorHAnsi" w:hAnsiTheme="majorHAnsi"/>
          <w:sz w:val="20"/>
          <w:szCs w:val="20"/>
          <w:lang w:val="en"/>
        </w:rPr>
        <w:t>, and that i</w:t>
      </w:r>
      <w:r w:rsidRPr="00B41E87">
        <w:rPr>
          <w:rFonts w:asciiTheme="majorHAnsi" w:hAnsiTheme="majorHAnsi"/>
          <w:sz w:val="20"/>
          <w:szCs w:val="20"/>
          <w:lang w:val="en"/>
        </w:rPr>
        <w:t xml:space="preserve">t undermines the public’s right to information needed to establish whether deprivation of life is arbitrary or lawful. The petitioners affirmed that while international law does not per se prohibit the death penalty, it does limit the methods that may be used to </w:t>
      </w:r>
      <w:r w:rsidR="00D02A16" w:rsidRPr="00B41E87">
        <w:rPr>
          <w:rFonts w:asciiTheme="majorHAnsi" w:hAnsiTheme="majorHAnsi"/>
          <w:sz w:val="20"/>
          <w:szCs w:val="20"/>
          <w:lang w:val="en"/>
        </w:rPr>
        <w:t xml:space="preserve">carry </w:t>
      </w:r>
      <w:r w:rsidRPr="00B41E87">
        <w:rPr>
          <w:rFonts w:asciiTheme="majorHAnsi" w:hAnsiTheme="majorHAnsi"/>
          <w:sz w:val="20"/>
          <w:szCs w:val="20"/>
          <w:lang w:val="en"/>
        </w:rPr>
        <w:t>it</w:t>
      </w:r>
      <w:r w:rsidR="00D02A16" w:rsidRPr="00B41E87">
        <w:rPr>
          <w:rFonts w:asciiTheme="majorHAnsi" w:hAnsiTheme="majorHAnsi"/>
          <w:sz w:val="20"/>
          <w:szCs w:val="20"/>
          <w:lang w:val="en"/>
        </w:rPr>
        <w:t xml:space="preserve"> out</w:t>
      </w:r>
      <w:r w:rsidRPr="00B41E87">
        <w:rPr>
          <w:rFonts w:asciiTheme="majorHAnsi" w:hAnsiTheme="majorHAnsi"/>
          <w:sz w:val="20"/>
          <w:szCs w:val="20"/>
          <w:lang w:val="en"/>
        </w:rPr>
        <w:t xml:space="preserve">. In their </w:t>
      </w:r>
      <w:r w:rsidR="00D02A16" w:rsidRPr="00B41E87">
        <w:rPr>
          <w:rFonts w:asciiTheme="majorHAnsi" w:hAnsiTheme="majorHAnsi"/>
          <w:sz w:val="20"/>
          <w:szCs w:val="20"/>
          <w:lang w:val="en"/>
        </w:rPr>
        <w:t>view</w:t>
      </w:r>
      <w:r w:rsidRPr="00B41E87">
        <w:rPr>
          <w:rFonts w:asciiTheme="majorHAnsi" w:hAnsiTheme="majorHAnsi"/>
          <w:sz w:val="20"/>
          <w:szCs w:val="20"/>
          <w:lang w:val="en"/>
        </w:rPr>
        <w:t>, countries that choose to retain the death penalty have a clear obligation to disclose the details of their application of the penalty, including the methods and protocols of execution, and must carry out the execution in a manner that “causes the least possible physical and mental suffering.”</w:t>
      </w:r>
    </w:p>
    <w:p w14:paraId="39851B3B" w14:textId="77777777" w:rsidR="00D02A16" w:rsidRPr="00B41E87" w:rsidRDefault="00D02A16" w:rsidP="00D02A16">
      <w:pPr>
        <w:pStyle w:val="ListParagraph"/>
        <w:rPr>
          <w:rFonts w:asciiTheme="majorHAnsi" w:hAnsiTheme="majorHAnsi"/>
          <w:sz w:val="20"/>
          <w:szCs w:val="20"/>
          <w:lang w:val="en"/>
        </w:rPr>
      </w:pPr>
    </w:p>
    <w:p w14:paraId="55AA3001" w14:textId="5F5DD2B3" w:rsidR="00D02A16" w:rsidRPr="00B41E87" w:rsidRDefault="00D02A16" w:rsidP="003E5F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n"/>
        </w:rPr>
      </w:pPr>
      <w:r w:rsidRPr="00B41E87">
        <w:rPr>
          <w:rFonts w:asciiTheme="majorHAnsi" w:hAnsiTheme="majorHAnsi"/>
          <w:sz w:val="20"/>
          <w:szCs w:val="20"/>
        </w:rPr>
        <w:t>Petitioners indicated that the object of the petition is to challenge the following defects in the lethal injection protocol that will be applied in this case: (a) the protocol pose</w:t>
      </w:r>
      <w:r w:rsidR="00036DA8" w:rsidRPr="00B41E87">
        <w:rPr>
          <w:rFonts w:asciiTheme="majorHAnsi" w:hAnsiTheme="majorHAnsi"/>
          <w:sz w:val="20"/>
          <w:szCs w:val="20"/>
        </w:rPr>
        <w:t>s</w:t>
      </w:r>
      <w:r w:rsidRPr="00B41E87">
        <w:rPr>
          <w:rFonts w:asciiTheme="majorHAnsi" w:hAnsiTheme="majorHAnsi"/>
          <w:sz w:val="20"/>
          <w:szCs w:val="20"/>
        </w:rPr>
        <w:t xml:space="preserve"> the risk of excruciating pain; (b) </w:t>
      </w:r>
      <w:r w:rsidR="00036DA8" w:rsidRPr="00B41E87">
        <w:rPr>
          <w:rFonts w:asciiTheme="majorHAnsi" w:hAnsiTheme="majorHAnsi"/>
          <w:sz w:val="20"/>
          <w:szCs w:val="20"/>
        </w:rPr>
        <w:t xml:space="preserve">it is </w:t>
      </w:r>
      <w:r w:rsidRPr="00B41E87">
        <w:rPr>
          <w:rFonts w:asciiTheme="majorHAnsi" w:hAnsiTheme="majorHAnsi"/>
          <w:sz w:val="20"/>
          <w:szCs w:val="20"/>
        </w:rPr>
        <w:t>experimental, shrouded in secrecy and involve</w:t>
      </w:r>
      <w:r w:rsidR="00036DA8" w:rsidRPr="00B41E87">
        <w:rPr>
          <w:rFonts w:asciiTheme="majorHAnsi" w:hAnsiTheme="majorHAnsi"/>
          <w:sz w:val="20"/>
          <w:szCs w:val="20"/>
        </w:rPr>
        <w:t>s</w:t>
      </w:r>
      <w:r w:rsidRPr="00B41E87">
        <w:rPr>
          <w:rFonts w:asciiTheme="majorHAnsi" w:hAnsiTheme="majorHAnsi"/>
          <w:sz w:val="20"/>
          <w:szCs w:val="20"/>
        </w:rPr>
        <w:t xml:space="preserve"> drug combinations that have not been approved by the Food and Drug Administration; and (c) </w:t>
      </w:r>
      <w:r w:rsidR="00036DA8" w:rsidRPr="00B41E87">
        <w:rPr>
          <w:rFonts w:asciiTheme="majorHAnsi" w:hAnsiTheme="majorHAnsi"/>
          <w:sz w:val="20"/>
          <w:szCs w:val="20"/>
        </w:rPr>
        <w:t xml:space="preserve">it is </w:t>
      </w:r>
      <w:r w:rsidRPr="00B41E87">
        <w:rPr>
          <w:rFonts w:asciiTheme="majorHAnsi" w:hAnsiTheme="majorHAnsi"/>
          <w:sz w:val="20"/>
          <w:szCs w:val="20"/>
        </w:rPr>
        <w:t xml:space="preserve">administered by individuals who lack the necessary training. In light of the foregoing, the petitioners asked the Commission to determine </w:t>
      </w:r>
      <w:r w:rsidR="00036DA8" w:rsidRPr="00B41E87">
        <w:rPr>
          <w:rFonts w:asciiTheme="majorHAnsi" w:hAnsiTheme="majorHAnsi"/>
          <w:sz w:val="20"/>
          <w:szCs w:val="20"/>
        </w:rPr>
        <w:t xml:space="preserve">that Mr. Bucklew’s case presents </w:t>
      </w:r>
      <w:r w:rsidRPr="00B41E87">
        <w:rPr>
          <w:rFonts w:asciiTheme="majorHAnsi" w:hAnsiTheme="majorHAnsi"/>
          <w:sz w:val="20"/>
          <w:szCs w:val="20"/>
        </w:rPr>
        <w:t>violations of rights protected under the American Declaration, including the right to life (Article I), security of the person and freedom from cruel, infamous or unusual punishment (Article XXVI), and the rights to a fair trial and due process (Articles XVIII, XXVI).</w:t>
      </w:r>
    </w:p>
    <w:p w14:paraId="7D0068DB" w14:textId="77777777" w:rsidR="00D02A16" w:rsidRPr="00B41E87" w:rsidRDefault="00D02A16" w:rsidP="003E5F88">
      <w:pPr>
        <w:rPr>
          <w:rFonts w:asciiTheme="majorHAnsi" w:hAnsiTheme="majorHAnsi"/>
          <w:sz w:val="20"/>
          <w:szCs w:val="20"/>
        </w:rPr>
      </w:pPr>
    </w:p>
    <w:p w14:paraId="4C447491" w14:textId="77777777" w:rsidR="0035677D" w:rsidRPr="00B41E87" w:rsidRDefault="0035677D" w:rsidP="000444C9">
      <w:pPr>
        <w:pStyle w:val="Heading2"/>
      </w:pPr>
      <w:bookmarkStart w:id="24" w:name="_Toc475546039"/>
      <w:bookmarkStart w:id="25" w:name="_Toc444958128"/>
      <w:bookmarkStart w:id="26" w:name="_Toc433115985"/>
      <w:bookmarkStart w:id="27" w:name="_Toc423514409"/>
      <w:bookmarkStart w:id="28" w:name="_Toc370840843"/>
      <w:bookmarkStart w:id="29" w:name="_Toc370840747"/>
      <w:bookmarkStart w:id="30" w:name="_Toc486276795"/>
      <w:bookmarkStart w:id="31" w:name="_Toc486322736"/>
      <w:bookmarkStart w:id="32" w:name="_Toc511310291"/>
      <w:bookmarkStart w:id="33" w:name="_Toc512265304"/>
      <w:r w:rsidRPr="00B41E87">
        <w:t>Position of the State</w:t>
      </w:r>
      <w:bookmarkEnd w:id="24"/>
      <w:bookmarkEnd w:id="25"/>
      <w:bookmarkEnd w:id="26"/>
      <w:bookmarkEnd w:id="27"/>
      <w:bookmarkEnd w:id="28"/>
      <w:bookmarkEnd w:id="29"/>
      <w:bookmarkEnd w:id="30"/>
      <w:bookmarkEnd w:id="31"/>
      <w:bookmarkEnd w:id="32"/>
      <w:bookmarkEnd w:id="33"/>
    </w:p>
    <w:p w14:paraId="7938CE9E" w14:textId="77777777" w:rsidR="0035677D" w:rsidRPr="00B41E87" w:rsidRDefault="0035677D" w:rsidP="0035677D">
      <w:pPr>
        <w:tabs>
          <w:tab w:val="left" w:pos="1440"/>
        </w:tabs>
        <w:jc w:val="both"/>
        <w:rPr>
          <w:rFonts w:asciiTheme="majorHAnsi" w:hAnsiTheme="majorHAnsi"/>
          <w:sz w:val="20"/>
          <w:szCs w:val="20"/>
        </w:rPr>
      </w:pPr>
    </w:p>
    <w:p w14:paraId="357D7B2A" w14:textId="475DA395" w:rsidR="007B141E" w:rsidRPr="00B41E87" w:rsidRDefault="006E6AA4" w:rsidP="006E6A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B41E87">
        <w:rPr>
          <w:rFonts w:asciiTheme="majorHAnsi" w:hAnsiTheme="majorHAnsi"/>
          <w:sz w:val="20"/>
          <w:szCs w:val="20"/>
        </w:rPr>
        <w:t xml:space="preserve">The State </w:t>
      </w:r>
      <w:r w:rsidRPr="00B41E87">
        <w:rPr>
          <w:rFonts w:asciiTheme="majorHAnsi" w:hAnsiTheme="majorHAnsi"/>
          <w:sz w:val="20"/>
          <w:szCs w:val="20"/>
          <w:lang w:val="en"/>
        </w:rPr>
        <w:t>asked</w:t>
      </w:r>
      <w:r w:rsidRPr="00B41E87">
        <w:rPr>
          <w:rFonts w:asciiTheme="majorHAnsi" w:hAnsiTheme="majorHAnsi"/>
          <w:sz w:val="20"/>
          <w:szCs w:val="20"/>
        </w:rPr>
        <w:t xml:space="preserve"> the Commission to reconsider its decision on the ad</w:t>
      </w:r>
      <w:r w:rsidR="00290442" w:rsidRPr="00B41E87">
        <w:rPr>
          <w:rFonts w:asciiTheme="majorHAnsi" w:hAnsiTheme="majorHAnsi"/>
          <w:sz w:val="20"/>
          <w:szCs w:val="20"/>
        </w:rPr>
        <w:t>missibility of the instant case arguing that it “n</w:t>
      </w:r>
      <w:r w:rsidRPr="00B41E87">
        <w:rPr>
          <w:rFonts w:asciiTheme="majorHAnsi" w:hAnsiTheme="majorHAnsi"/>
          <w:sz w:val="20"/>
          <w:szCs w:val="20"/>
        </w:rPr>
        <w:t xml:space="preserve">ever received a petition under Article 23 of the Commission’s Rules, nor a notice of consideration </w:t>
      </w:r>
      <w:r w:rsidRPr="00B41E87">
        <w:rPr>
          <w:rFonts w:asciiTheme="majorHAnsi" w:hAnsiTheme="majorHAnsi"/>
          <w:i/>
          <w:sz w:val="20"/>
          <w:szCs w:val="20"/>
        </w:rPr>
        <w:t>motu propio</w:t>
      </w:r>
      <w:r w:rsidRPr="00B41E87">
        <w:rPr>
          <w:rFonts w:asciiTheme="majorHAnsi" w:hAnsiTheme="majorHAnsi"/>
          <w:sz w:val="20"/>
          <w:szCs w:val="20"/>
        </w:rPr>
        <w:t xml:space="preserve"> under Article 24</w:t>
      </w:r>
      <w:r w:rsidR="00290442" w:rsidRPr="00B41E87">
        <w:rPr>
          <w:rFonts w:asciiTheme="majorHAnsi" w:hAnsiTheme="majorHAnsi"/>
          <w:sz w:val="20"/>
          <w:szCs w:val="20"/>
        </w:rPr>
        <w:t xml:space="preserve"> (</w:t>
      </w:r>
      <w:r w:rsidRPr="00B41E87">
        <w:rPr>
          <w:rFonts w:asciiTheme="majorHAnsi" w:hAnsiTheme="majorHAnsi"/>
          <w:sz w:val="20"/>
          <w:szCs w:val="20"/>
        </w:rPr>
        <w:t>…</w:t>
      </w:r>
      <w:r w:rsidR="00290442" w:rsidRPr="00B41E87">
        <w:rPr>
          <w:rFonts w:asciiTheme="majorHAnsi" w:hAnsiTheme="majorHAnsi"/>
          <w:sz w:val="20"/>
          <w:szCs w:val="20"/>
        </w:rPr>
        <w:t xml:space="preserve">) </w:t>
      </w:r>
      <w:r w:rsidRPr="00B41E87">
        <w:rPr>
          <w:rFonts w:asciiTheme="majorHAnsi" w:hAnsiTheme="majorHAnsi"/>
          <w:sz w:val="20"/>
          <w:szCs w:val="20"/>
        </w:rPr>
        <w:t>rather the US received a request for precautionary measures</w:t>
      </w:r>
      <w:r w:rsidR="00290442" w:rsidRPr="00B41E87">
        <w:rPr>
          <w:rFonts w:asciiTheme="majorHAnsi" w:hAnsiTheme="majorHAnsi"/>
          <w:sz w:val="20"/>
          <w:szCs w:val="20"/>
        </w:rPr>
        <w:t xml:space="preserve">.” </w:t>
      </w:r>
      <w:r w:rsidR="00CE1067" w:rsidRPr="00B41E87">
        <w:rPr>
          <w:rFonts w:asciiTheme="majorHAnsi" w:hAnsiTheme="majorHAnsi"/>
          <w:sz w:val="20"/>
          <w:szCs w:val="20"/>
        </w:rPr>
        <w:t xml:space="preserve">On this point the </w:t>
      </w:r>
      <w:r w:rsidR="00290442" w:rsidRPr="00B41E87">
        <w:rPr>
          <w:rFonts w:asciiTheme="majorHAnsi" w:hAnsiTheme="majorHAnsi"/>
          <w:sz w:val="20"/>
          <w:szCs w:val="20"/>
        </w:rPr>
        <w:t xml:space="preserve">Commission </w:t>
      </w:r>
      <w:r w:rsidR="00CE1067" w:rsidRPr="00B41E87">
        <w:rPr>
          <w:rFonts w:asciiTheme="majorHAnsi" w:hAnsiTheme="majorHAnsi"/>
          <w:sz w:val="20"/>
          <w:szCs w:val="20"/>
        </w:rPr>
        <w:t xml:space="preserve">notes </w:t>
      </w:r>
      <w:r w:rsidR="00290442" w:rsidRPr="00B41E87">
        <w:rPr>
          <w:rFonts w:asciiTheme="majorHAnsi" w:hAnsiTheme="majorHAnsi"/>
          <w:sz w:val="20"/>
          <w:szCs w:val="20"/>
        </w:rPr>
        <w:t xml:space="preserve">that in its communication of May 20, 2014, it informed the United States </w:t>
      </w:r>
      <w:r w:rsidR="00CE1067" w:rsidRPr="00B41E87">
        <w:rPr>
          <w:rFonts w:asciiTheme="majorHAnsi" w:hAnsiTheme="majorHAnsi"/>
          <w:sz w:val="20"/>
          <w:szCs w:val="20"/>
        </w:rPr>
        <w:t xml:space="preserve">about </w:t>
      </w:r>
      <w:r w:rsidR="00290442" w:rsidRPr="00B41E87">
        <w:rPr>
          <w:rFonts w:asciiTheme="majorHAnsi" w:hAnsiTheme="majorHAnsi"/>
          <w:sz w:val="20"/>
          <w:szCs w:val="20"/>
        </w:rPr>
        <w:t xml:space="preserve">the processing of the petition and granted the timeframe provided in its Rules of Procedure to present allegations on </w:t>
      </w:r>
      <w:r w:rsidR="00CE1067" w:rsidRPr="00B41E87">
        <w:rPr>
          <w:rFonts w:asciiTheme="majorHAnsi" w:hAnsiTheme="majorHAnsi"/>
          <w:sz w:val="20"/>
          <w:szCs w:val="20"/>
        </w:rPr>
        <w:t>its</w:t>
      </w:r>
      <w:r w:rsidR="00290442" w:rsidRPr="00B41E87">
        <w:rPr>
          <w:rFonts w:asciiTheme="majorHAnsi" w:hAnsiTheme="majorHAnsi"/>
          <w:sz w:val="20"/>
          <w:szCs w:val="20"/>
        </w:rPr>
        <w:t xml:space="preserve"> admissibility. </w:t>
      </w:r>
    </w:p>
    <w:p w14:paraId="43F1BB09" w14:textId="77777777" w:rsidR="006E6AA4" w:rsidRPr="00B41E87" w:rsidRDefault="006E6AA4" w:rsidP="007B14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Theme="majorHAnsi" w:hAnsiTheme="majorHAnsi"/>
          <w:sz w:val="20"/>
          <w:szCs w:val="20"/>
        </w:rPr>
      </w:pPr>
    </w:p>
    <w:p w14:paraId="0288DAB9" w14:textId="64394661" w:rsidR="009900B0" w:rsidRPr="00B41E87" w:rsidRDefault="009900B0"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lang w:val="en"/>
        </w:rPr>
        <w:t xml:space="preserve">The State </w:t>
      </w:r>
      <w:r w:rsidR="00CE1067" w:rsidRPr="00B41E87">
        <w:rPr>
          <w:rFonts w:asciiTheme="majorHAnsi" w:hAnsiTheme="majorHAnsi"/>
          <w:sz w:val="20"/>
          <w:szCs w:val="20"/>
          <w:lang w:val="en"/>
        </w:rPr>
        <w:t>maintained</w:t>
      </w:r>
      <w:r w:rsidRPr="00B41E87">
        <w:rPr>
          <w:rFonts w:asciiTheme="majorHAnsi" w:hAnsiTheme="majorHAnsi"/>
          <w:sz w:val="20"/>
          <w:szCs w:val="20"/>
          <w:lang w:val="en"/>
        </w:rPr>
        <w:t xml:space="preserve"> that the American Declaration “is a nonbinding instrument and does not create legal rights or impose legal duties on member states of the Organization of American States.” The State also informed that</w:t>
      </w:r>
      <w:r w:rsidR="00011EA2" w:rsidRPr="00B41E87">
        <w:rPr>
          <w:rFonts w:asciiTheme="majorHAnsi" w:hAnsiTheme="majorHAnsi"/>
          <w:sz w:val="20"/>
          <w:szCs w:val="20"/>
          <w:lang w:val="en"/>
        </w:rPr>
        <w:t>,</w:t>
      </w:r>
      <w:r w:rsidR="00566CFD" w:rsidRPr="00B41E87">
        <w:rPr>
          <w:rFonts w:asciiTheme="majorHAnsi" w:hAnsiTheme="majorHAnsi"/>
          <w:sz w:val="20"/>
          <w:szCs w:val="20"/>
          <w:lang w:val="en"/>
        </w:rPr>
        <w:t xml:space="preserve"> although</w:t>
      </w:r>
      <w:r w:rsidRPr="00B41E87">
        <w:rPr>
          <w:rFonts w:asciiTheme="majorHAnsi" w:hAnsiTheme="majorHAnsi"/>
          <w:sz w:val="20"/>
          <w:szCs w:val="20"/>
          <w:lang w:val="en"/>
        </w:rPr>
        <w:t xml:space="preserve"> it considers precautionary measures </w:t>
      </w:r>
      <w:r w:rsidR="00011EA2" w:rsidRPr="00B41E87">
        <w:rPr>
          <w:rFonts w:asciiTheme="majorHAnsi" w:hAnsiTheme="majorHAnsi"/>
          <w:sz w:val="20"/>
          <w:szCs w:val="20"/>
          <w:lang w:val="en"/>
        </w:rPr>
        <w:t xml:space="preserve">to be a </w:t>
      </w:r>
      <w:r w:rsidRPr="00B41E87">
        <w:rPr>
          <w:rFonts w:asciiTheme="majorHAnsi" w:hAnsiTheme="majorHAnsi"/>
          <w:sz w:val="20"/>
          <w:szCs w:val="20"/>
          <w:lang w:val="en"/>
        </w:rPr>
        <w:t>“nonbinding recommendation</w:t>
      </w:r>
      <w:r w:rsidR="00011EA2" w:rsidRPr="00B41E87">
        <w:rPr>
          <w:rFonts w:asciiTheme="majorHAnsi" w:hAnsiTheme="majorHAnsi"/>
          <w:sz w:val="20"/>
          <w:szCs w:val="20"/>
          <w:lang w:val="en"/>
        </w:rPr>
        <w:t>,</w:t>
      </w:r>
      <w:r w:rsidRPr="00B41E87">
        <w:rPr>
          <w:rFonts w:asciiTheme="majorHAnsi" w:hAnsiTheme="majorHAnsi"/>
          <w:sz w:val="20"/>
          <w:szCs w:val="20"/>
          <w:lang w:val="en"/>
        </w:rPr>
        <w:t xml:space="preserve">” it </w:t>
      </w:r>
      <w:r w:rsidR="00011EA2" w:rsidRPr="00B41E87">
        <w:rPr>
          <w:rFonts w:asciiTheme="majorHAnsi" w:hAnsiTheme="majorHAnsi"/>
          <w:sz w:val="20"/>
          <w:szCs w:val="20"/>
          <w:lang w:val="en"/>
        </w:rPr>
        <w:t xml:space="preserve">transmitted the </w:t>
      </w:r>
      <w:r w:rsidRPr="00B41E87">
        <w:rPr>
          <w:rFonts w:asciiTheme="majorHAnsi" w:hAnsiTheme="majorHAnsi"/>
          <w:sz w:val="20"/>
          <w:szCs w:val="20"/>
          <w:lang w:val="en"/>
        </w:rPr>
        <w:t xml:space="preserve">request to the Governor and Attorney General of Missouri on May 20, 2014. </w:t>
      </w:r>
    </w:p>
    <w:p w14:paraId="573B9AA3" w14:textId="77777777" w:rsidR="009900B0" w:rsidRPr="00B41E87" w:rsidRDefault="009900B0" w:rsidP="009900B0">
      <w:pPr>
        <w:pStyle w:val="ListParagraph"/>
        <w:rPr>
          <w:rFonts w:asciiTheme="majorHAnsi" w:hAnsiTheme="majorHAnsi"/>
          <w:sz w:val="20"/>
          <w:szCs w:val="20"/>
          <w:lang w:val="en"/>
        </w:rPr>
      </w:pPr>
    </w:p>
    <w:p w14:paraId="706C7299" w14:textId="1B6EF98E" w:rsidR="009900B0" w:rsidRPr="00B41E87" w:rsidRDefault="00CE33D0"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lang w:val="en"/>
        </w:rPr>
        <w:t>The Stated argued that the alleged victim ha</w:t>
      </w:r>
      <w:r w:rsidR="00011EA2" w:rsidRPr="00B41E87">
        <w:rPr>
          <w:rFonts w:asciiTheme="majorHAnsi" w:hAnsiTheme="majorHAnsi"/>
          <w:sz w:val="20"/>
          <w:szCs w:val="20"/>
          <w:lang w:val="en"/>
        </w:rPr>
        <w:t>s</w:t>
      </w:r>
      <w:r w:rsidRPr="00B41E87">
        <w:rPr>
          <w:rFonts w:asciiTheme="majorHAnsi" w:hAnsiTheme="majorHAnsi"/>
          <w:sz w:val="20"/>
          <w:szCs w:val="20"/>
          <w:lang w:val="en"/>
        </w:rPr>
        <w:t xml:space="preserve"> ha</w:t>
      </w:r>
      <w:r w:rsidR="00011EA2" w:rsidRPr="00B41E87">
        <w:rPr>
          <w:rFonts w:asciiTheme="majorHAnsi" w:hAnsiTheme="majorHAnsi"/>
          <w:sz w:val="20"/>
          <w:szCs w:val="20"/>
          <w:lang w:val="en"/>
        </w:rPr>
        <w:t>d</w:t>
      </w:r>
      <w:r w:rsidRPr="00B41E87">
        <w:rPr>
          <w:rFonts w:asciiTheme="majorHAnsi" w:hAnsiTheme="majorHAnsi"/>
          <w:sz w:val="20"/>
          <w:szCs w:val="20"/>
          <w:lang w:val="en"/>
        </w:rPr>
        <w:t xml:space="preserve"> access to an extensive domestic judicial review process in which his claims were </w:t>
      </w:r>
      <w:r w:rsidR="00C502C9" w:rsidRPr="00B41E87">
        <w:rPr>
          <w:rFonts w:asciiTheme="majorHAnsi" w:hAnsiTheme="majorHAnsi"/>
          <w:sz w:val="20"/>
          <w:szCs w:val="20"/>
          <w:lang w:val="en"/>
        </w:rPr>
        <w:t xml:space="preserve">reviewed. It </w:t>
      </w:r>
      <w:r w:rsidR="00011EA2" w:rsidRPr="00B41E87">
        <w:rPr>
          <w:rFonts w:asciiTheme="majorHAnsi" w:hAnsiTheme="majorHAnsi"/>
          <w:sz w:val="20"/>
          <w:szCs w:val="20"/>
          <w:lang w:val="en"/>
        </w:rPr>
        <w:t xml:space="preserve">indicated </w:t>
      </w:r>
      <w:r w:rsidR="00C502C9" w:rsidRPr="00B41E87">
        <w:rPr>
          <w:rFonts w:asciiTheme="majorHAnsi" w:hAnsiTheme="majorHAnsi"/>
          <w:sz w:val="20"/>
          <w:szCs w:val="20"/>
          <w:lang w:val="en"/>
        </w:rPr>
        <w:t xml:space="preserve">that the Missouri Supreme Court, after considering </w:t>
      </w:r>
      <w:r w:rsidR="00011EA2" w:rsidRPr="00B41E87">
        <w:rPr>
          <w:rFonts w:asciiTheme="majorHAnsi" w:hAnsiTheme="majorHAnsi"/>
          <w:sz w:val="20"/>
          <w:szCs w:val="20"/>
          <w:lang w:val="en"/>
        </w:rPr>
        <w:t xml:space="preserve">his </w:t>
      </w:r>
      <w:r w:rsidR="00C502C9" w:rsidRPr="00B41E87">
        <w:rPr>
          <w:rFonts w:asciiTheme="majorHAnsi" w:hAnsiTheme="majorHAnsi"/>
          <w:sz w:val="20"/>
          <w:szCs w:val="20"/>
          <w:lang w:val="en"/>
        </w:rPr>
        <w:t xml:space="preserve">claims </w:t>
      </w:r>
      <w:r w:rsidR="00011EA2" w:rsidRPr="00B41E87">
        <w:rPr>
          <w:rFonts w:asciiTheme="majorHAnsi" w:hAnsiTheme="majorHAnsi"/>
          <w:sz w:val="20"/>
          <w:szCs w:val="20"/>
          <w:lang w:val="en"/>
        </w:rPr>
        <w:t xml:space="preserve">raised at that point </w:t>
      </w:r>
      <w:r w:rsidR="00C502C9" w:rsidRPr="00B41E87">
        <w:rPr>
          <w:rFonts w:asciiTheme="majorHAnsi" w:hAnsiTheme="majorHAnsi"/>
          <w:sz w:val="20"/>
          <w:szCs w:val="20"/>
          <w:lang w:val="en"/>
        </w:rPr>
        <w:t xml:space="preserve">and weighing whether capital punishment was disproportionate, affirmed Mr. Bucklew’s convictions on August 25, 1998. </w:t>
      </w:r>
      <w:r w:rsidR="00566CFD" w:rsidRPr="00B41E87">
        <w:rPr>
          <w:rFonts w:asciiTheme="majorHAnsi" w:hAnsiTheme="majorHAnsi"/>
          <w:sz w:val="20"/>
          <w:szCs w:val="20"/>
          <w:lang w:val="en"/>
        </w:rPr>
        <w:t xml:space="preserve">The State also made reference to </w:t>
      </w:r>
      <w:r w:rsidR="005D5010" w:rsidRPr="00B41E87">
        <w:rPr>
          <w:rFonts w:asciiTheme="majorHAnsi" w:hAnsiTheme="majorHAnsi"/>
          <w:sz w:val="20"/>
          <w:szCs w:val="20"/>
          <w:lang w:val="en"/>
        </w:rPr>
        <w:t xml:space="preserve">the applications filed by the alleged victim, including requests for </w:t>
      </w:r>
      <w:r w:rsidR="005D5010" w:rsidRPr="00B41E87">
        <w:rPr>
          <w:rFonts w:asciiTheme="majorHAnsi" w:hAnsiTheme="majorHAnsi"/>
          <w:i/>
          <w:sz w:val="20"/>
          <w:szCs w:val="20"/>
          <w:lang w:val="en"/>
        </w:rPr>
        <w:t>certiorari</w:t>
      </w:r>
      <w:r w:rsidR="00091DA3" w:rsidRPr="00B41E87">
        <w:rPr>
          <w:rFonts w:asciiTheme="majorHAnsi" w:hAnsiTheme="majorHAnsi"/>
          <w:sz w:val="20"/>
          <w:szCs w:val="20"/>
          <w:lang w:val="en"/>
        </w:rPr>
        <w:t xml:space="preserve"> and habeas corpus, as well as the claims pursued by Mr. Bucklew and other death row inmates to challenge the lethal injection protocol in the state of Missouri. </w:t>
      </w:r>
      <w:r w:rsidR="0036430E" w:rsidRPr="00B41E87">
        <w:rPr>
          <w:rFonts w:asciiTheme="majorHAnsi" w:hAnsiTheme="majorHAnsi"/>
          <w:sz w:val="20"/>
          <w:szCs w:val="20"/>
          <w:lang w:val="en"/>
        </w:rPr>
        <w:t xml:space="preserve">It further </w:t>
      </w:r>
      <w:r w:rsidR="00011EA2" w:rsidRPr="00B41E87">
        <w:rPr>
          <w:rFonts w:asciiTheme="majorHAnsi" w:hAnsiTheme="majorHAnsi"/>
          <w:sz w:val="20"/>
          <w:szCs w:val="20"/>
          <w:lang w:val="en"/>
        </w:rPr>
        <w:t xml:space="preserve">referred to </w:t>
      </w:r>
      <w:r w:rsidR="0036430E" w:rsidRPr="00B41E87">
        <w:rPr>
          <w:rFonts w:asciiTheme="majorHAnsi" w:hAnsiTheme="majorHAnsi"/>
          <w:sz w:val="20"/>
          <w:szCs w:val="20"/>
          <w:lang w:val="en"/>
        </w:rPr>
        <w:t>the proceedings that took place in 2014 after an execution date was scheduled by the Missouri Supreme Court for May 21, 2014</w:t>
      </w:r>
      <w:r w:rsidR="00011EA2" w:rsidRPr="00B41E87">
        <w:rPr>
          <w:rFonts w:asciiTheme="majorHAnsi" w:hAnsiTheme="majorHAnsi"/>
          <w:sz w:val="20"/>
          <w:szCs w:val="20"/>
          <w:lang w:val="en"/>
        </w:rPr>
        <w:t>,</w:t>
      </w:r>
      <w:r w:rsidR="00D05A52" w:rsidRPr="00B41E87">
        <w:rPr>
          <w:rFonts w:asciiTheme="majorHAnsi" w:hAnsiTheme="majorHAnsi"/>
          <w:sz w:val="20"/>
          <w:szCs w:val="20"/>
          <w:lang w:val="en"/>
        </w:rPr>
        <w:t xml:space="preserve"> and the stay of execution </w:t>
      </w:r>
      <w:r w:rsidR="00CD458F" w:rsidRPr="00B41E87">
        <w:rPr>
          <w:rFonts w:asciiTheme="majorHAnsi" w:hAnsiTheme="majorHAnsi"/>
          <w:sz w:val="20"/>
          <w:szCs w:val="20"/>
          <w:lang w:val="en"/>
        </w:rPr>
        <w:t xml:space="preserve">that was </w:t>
      </w:r>
      <w:r w:rsidR="00D05A52" w:rsidRPr="00B41E87">
        <w:rPr>
          <w:rFonts w:asciiTheme="majorHAnsi" w:hAnsiTheme="majorHAnsi"/>
          <w:sz w:val="20"/>
          <w:szCs w:val="20"/>
          <w:lang w:val="en"/>
        </w:rPr>
        <w:t xml:space="preserve">later granted. </w:t>
      </w:r>
      <w:r w:rsidR="0036430E" w:rsidRPr="00B41E87">
        <w:rPr>
          <w:rFonts w:asciiTheme="majorHAnsi" w:hAnsiTheme="majorHAnsi"/>
          <w:sz w:val="20"/>
          <w:szCs w:val="20"/>
          <w:lang w:val="en"/>
        </w:rPr>
        <w:t xml:space="preserve"> </w:t>
      </w:r>
    </w:p>
    <w:p w14:paraId="41737E6A" w14:textId="77777777" w:rsidR="00B56516" w:rsidRPr="00B41E87" w:rsidRDefault="00B56516" w:rsidP="00B56516">
      <w:pPr>
        <w:pStyle w:val="ListParagraph"/>
        <w:rPr>
          <w:rFonts w:asciiTheme="majorHAnsi" w:hAnsiTheme="majorHAnsi"/>
          <w:sz w:val="20"/>
          <w:szCs w:val="20"/>
        </w:rPr>
      </w:pPr>
    </w:p>
    <w:p w14:paraId="4C4671E6" w14:textId="45711001" w:rsidR="00A52E8A" w:rsidRPr="00B41E87" w:rsidRDefault="005953BA"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The State all</w:t>
      </w:r>
      <w:r w:rsidR="004472B1" w:rsidRPr="00B41E87">
        <w:rPr>
          <w:rFonts w:asciiTheme="majorHAnsi" w:hAnsiTheme="majorHAnsi"/>
          <w:sz w:val="20"/>
          <w:szCs w:val="20"/>
        </w:rPr>
        <w:t>e</w:t>
      </w:r>
      <w:r w:rsidRPr="00B41E87">
        <w:rPr>
          <w:rFonts w:asciiTheme="majorHAnsi" w:hAnsiTheme="majorHAnsi"/>
          <w:sz w:val="20"/>
          <w:szCs w:val="20"/>
        </w:rPr>
        <w:t xml:space="preserve">ged that any decision on the merits </w:t>
      </w:r>
      <w:r w:rsidR="004472B1" w:rsidRPr="00B41E87">
        <w:rPr>
          <w:rFonts w:asciiTheme="majorHAnsi" w:hAnsiTheme="majorHAnsi"/>
          <w:sz w:val="20"/>
          <w:szCs w:val="20"/>
        </w:rPr>
        <w:t xml:space="preserve">in this case would </w:t>
      </w:r>
      <w:r w:rsidR="00566CFD" w:rsidRPr="00B41E87">
        <w:rPr>
          <w:rFonts w:asciiTheme="majorHAnsi" w:hAnsiTheme="majorHAnsi"/>
          <w:sz w:val="20"/>
          <w:szCs w:val="20"/>
        </w:rPr>
        <w:t xml:space="preserve">entail </w:t>
      </w:r>
      <w:r w:rsidR="00F577A5" w:rsidRPr="00B41E87">
        <w:rPr>
          <w:rFonts w:asciiTheme="majorHAnsi" w:hAnsiTheme="majorHAnsi"/>
          <w:sz w:val="20"/>
          <w:szCs w:val="20"/>
        </w:rPr>
        <w:t>the</w:t>
      </w:r>
      <w:r w:rsidR="004472B1" w:rsidRPr="00B41E87">
        <w:rPr>
          <w:rFonts w:asciiTheme="majorHAnsi" w:hAnsiTheme="majorHAnsi"/>
          <w:sz w:val="20"/>
          <w:szCs w:val="20"/>
        </w:rPr>
        <w:t xml:space="preserve"> fourth instance formula, which prevents the Commission from “freely second-guess</w:t>
      </w:r>
      <w:r w:rsidR="00011EA2" w:rsidRPr="00B41E87">
        <w:rPr>
          <w:rFonts w:asciiTheme="majorHAnsi" w:hAnsiTheme="majorHAnsi"/>
          <w:sz w:val="20"/>
          <w:szCs w:val="20"/>
        </w:rPr>
        <w:t>ing</w:t>
      </w:r>
      <w:r w:rsidR="004472B1" w:rsidRPr="00B41E87">
        <w:rPr>
          <w:rFonts w:asciiTheme="majorHAnsi" w:hAnsiTheme="majorHAnsi"/>
          <w:sz w:val="20"/>
          <w:szCs w:val="20"/>
        </w:rPr>
        <w:t xml:space="preserve"> domestic courts’ legal and evidentiary judgments calls.” In this sense, the State reiterated that the alleged victim has</w:t>
      </w:r>
      <w:r w:rsidR="00F577A5" w:rsidRPr="00B41E87">
        <w:rPr>
          <w:rFonts w:asciiTheme="majorHAnsi" w:hAnsiTheme="majorHAnsi"/>
          <w:sz w:val="20"/>
          <w:szCs w:val="20"/>
        </w:rPr>
        <w:t xml:space="preserve"> had</w:t>
      </w:r>
      <w:r w:rsidR="004472B1" w:rsidRPr="00B41E87">
        <w:rPr>
          <w:rFonts w:asciiTheme="majorHAnsi" w:hAnsiTheme="majorHAnsi"/>
          <w:sz w:val="20"/>
          <w:szCs w:val="20"/>
        </w:rPr>
        <w:t xml:space="preserve"> due process through many opportunities to challenge both his conviction for capital murder and the proposed method </w:t>
      </w:r>
      <w:r w:rsidR="00F577A5" w:rsidRPr="00B41E87">
        <w:rPr>
          <w:rFonts w:asciiTheme="majorHAnsi" w:hAnsiTheme="majorHAnsi"/>
          <w:sz w:val="20"/>
          <w:szCs w:val="20"/>
        </w:rPr>
        <w:t>of execution</w:t>
      </w:r>
      <w:r w:rsidR="004472B1" w:rsidRPr="00B41E87">
        <w:rPr>
          <w:rFonts w:asciiTheme="majorHAnsi" w:hAnsiTheme="majorHAnsi"/>
          <w:sz w:val="20"/>
          <w:szCs w:val="20"/>
        </w:rPr>
        <w:t xml:space="preserve">. </w:t>
      </w:r>
    </w:p>
    <w:p w14:paraId="458C5301" w14:textId="77777777" w:rsidR="00A52E8A" w:rsidRPr="00B41E87" w:rsidRDefault="00A52E8A" w:rsidP="00A52E8A">
      <w:pPr>
        <w:pStyle w:val="ListParagraph"/>
        <w:rPr>
          <w:rFonts w:asciiTheme="majorHAnsi" w:hAnsiTheme="majorHAnsi"/>
          <w:sz w:val="20"/>
          <w:szCs w:val="20"/>
        </w:rPr>
      </w:pPr>
    </w:p>
    <w:p w14:paraId="486A251E" w14:textId="01036CC2" w:rsidR="0036430E" w:rsidRPr="00B41E87" w:rsidRDefault="000323BA"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In addition, the State argued that the claims concerning Missouri’s current protocol and the allegations on the secrecy surrounding such documents, should not be considered either</w:t>
      </w:r>
      <w:r w:rsidR="00517120" w:rsidRPr="00B41E87">
        <w:rPr>
          <w:rFonts w:asciiTheme="majorHAnsi" w:hAnsiTheme="majorHAnsi"/>
          <w:sz w:val="20"/>
          <w:szCs w:val="20"/>
        </w:rPr>
        <w:t>,</w:t>
      </w:r>
      <w:r w:rsidRPr="00B41E87">
        <w:rPr>
          <w:rFonts w:asciiTheme="majorHAnsi" w:hAnsiTheme="majorHAnsi"/>
          <w:sz w:val="20"/>
          <w:szCs w:val="20"/>
        </w:rPr>
        <w:t xml:space="preserve"> given the fourth instance standard as it concern</w:t>
      </w:r>
      <w:r w:rsidR="00A52E8A" w:rsidRPr="00B41E87">
        <w:rPr>
          <w:rFonts w:asciiTheme="majorHAnsi" w:hAnsiTheme="majorHAnsi"/>
          <w:sz w:val="20"/>
          <w:szCs w:val="20"/>
        </w:rPr>
        <w:t>s</w:t>
      </w:r>
      <w:r w:rsidRPr="00B41E87">
        <w:rPr>
          <w:rFonts w:asciiTheme="majorHAnsi" w:hAnsiTheme="majorHAnsi"/>
          <w:sz w:val="20"/>
          <w:szCs w:val="20"/>
        </w:rPr>
        <w:t xml:space="preserve"> matters of domestic law. </w:t>
      </w:r>
      <w:r w:rsidR="00A52E8A" w:rsidRPr="00B41E87">
        <w:rPr>
          <w:rFonts w:asciiTheme="majorHAnsi" w:hAnsiTheme="majorHAnsi"/>
          <w:sz w:val="20"/>
          <w:szCs w:val="20"/>
        </w:rPr>
        <w:t xml:space="preserve">Nonetheless, the State </w:t>
      </w:r>
      <w:r w:rsidR="00011EA2" w:rsidRPr="00B41E87">
        <w:rPr>
          <w:rFonts w:asciiTheme="majorHAnsi" w:hAnsiTheme="majorHAnsi"/>
          <w:sz w:val="20"/>
          <w:szCs w:val="20"/>
        </w:rPr>
        <w:t xml:space="preserve">maintained </w:t>
      </w:r>
      <w:r w:rsidR="00A52E8A" w:rsidRPr="00B41E87">
        <w:rPr>
          <w:rFonts w:asciiTheme="majorHAnsi" w:hAnsiTheme="majorHAnsi"/>
          <w:sz w:val="20"/>
          <w:szCs w:val="20"/>
        </w:rPr>
        <w:t>that there is sufficient public information regarding the details of Missouri’s injection protocol</w:t>
      </w:r>
      <w:r w:rsidR="00011EA2" w:rsidRPr="00B41E87">
        <w:rPr>
          <w:rFonts w:asciiTheme="majorHAnsi" w:hAnsiTheme="majorHAnsi"/>
          <w:sz w:val="20"/>
          <w:szCs w:val="20"/>
        </w:rPr>
        <w:t>,</w:t>
      </w:r>
      <w:r w:rsidR="00A52E8A" w:rsidRPr="00B41E87">
        <w:rPr>
          <w:rFonts w:asciiTheme="majorHAnsi" w:hAnsiTheme="majorHAnsi"/>
          <w:sz w:val="20"/>
          <w:szCs w:val="20"/>
        </w:rPr>
        <w:t xml:space="preserve"> which in fact w</w:t>
      </w:r>
      <w:r w:rsidR="00F577A5" w:rsidRPr="00B41E87">
        <w:rPr>
          <w:rFonts w:asciiTheme="majorHAnsi" w:hAnsiTheme="majorHAnsi"/>
          <w:sz w:val="20"/>
          <w:szCs w:val="20"/>
        </w:rPr>
        <w:t>as</w:t>
      </w:r>
      <w:r w:rsidR="00A52E8A" w:rsidRPr="00B41E87">
        <w:rPr>
          <w:rFonts w:asciiTheme="majorHAnsi" w:hAnsiTheme="majorHAnsi"/>
          <w:sz w:val="20"/>
          <w:szCs w:val="20"/>
        </w:rPr>
        <w:t xml:space="preserve"> taken into account to successfully secure a stay of execution from the U.S. Supreme Court in favor of the alleged victim. </w:t>
      </w:r>
      <w:r w:rsidR="00251ECA" w:rsidRPr="00B41E87">
        <w:rPr>
          <w:rFonts w:asciiTheme="majorHAnsi" w:hAnsiTheme="majorHAnsi"/>
          <w:sz w:val="20"/>
          <w:szCs w:val="20"/>
        </w:rPr>
        <w:t>Therefore,</w:t>
      </w:r>
      <w:r w:rsidR="00A52E8A" w:rsidRPr="00B41E87">
        <w:rPr>
          <w:rFonts w:asciiTheme="majorHAnsi" w:hAnsiTheme="majorHAnsi"/>
          <w:sz w:val="20"/>
          <w:szCs w:val="20"/>
        </w:rPr>
        <w:t xml:space="preserve"> the State considered that the right to due process has not been violated </w:t>
      </w:r>
      <w:r w:rsidR="00011EA2" w:rsidRPr="00B41E87">
        <w:rPr>
          <w:rFonts w:asciiTheme="majorHAnsi" w:hAnsiTheme="majorHAnsi"/>
          <w:sz w:val="20"/>
          <w:szCs w:val="20"/>
        </w:rPr>
        <w:t xml:space="preserve">with respected to the alleged </w:t>
      </w:r>
      <w:r w:rsidR="00A52E8A" w:rsidRPr="00B41E87">
        <w:rPr>
          <w:rFonts w:asciiTheme="majorHAnsi" w:hAnsiTheme="majorHAnsi"/>
          <w:sz w:val="20"/>
          <w:szCs w:val="20"/>
        </w:rPr>
        <w:t>secrecy surrounding Missouri’s protocol.</w:t>
      </w:r>
      <w:r w:rsidR="004472B1" w:rsidRPr="00B41E87">
        <w:rPr>
          <w:rFonts w:asciiTheme="majorHAnsi" w:hAnsiTheme="majorHAnsi"/>
          <w:sz w:val="20"/>
          <w:szCs w:val="20"/>
        </w:rPr>
        <w:t xml:space="preserve"> </w:t>
      </w:r>
    </w:p>
    <w:p w14:paraId="29BB1830" w14:textId="77777777" w:rsidR="00517120" w:rsidRPr="00B41E87" w:rsidRDefault="00517120" w:rsidP="00517120">
      <w:pPr>
        <w:pStyle w:val="ListParagraph"/>
        <w:rPr>
          <w:rFonts w:asciiTheme="majorHAnsi" w:hAnsiTheme="majorHAnsi"/>
          <w:sz w:val="20"/>
          <w:szCs w:val="20"/>
        </w:rPr>
      </w:pPr>
    </w:p>
    <w:p w14:paraId="2306EC01" w14:textId="77777777" w:rsidR="004837A8" w:rsidRPr="00B41E87" w:rsidRDefault="004837A8" w:rsidP="00517120">
      <w:pPr>
        <w:pStyle w:val="ListParagraph"/>
        <w:rPr>
          <w:rFonts w:asciiTheme="majorHAnsi" w:hAnsiTheme="majorHAnsi"/>
          <w:sz w:val="20"/>
          <w:szCs w:val="20"/>
        </w:rPr>
      </w:pPr>
    </w:p>
    <w:p w14:paraId="29C3AD30" w14:textId="4C377F7A" w:rsidR="001A4EF4" w:rsidRPr="00B41E87" w:rsidRDefault="00647CF2"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The State </w:t>
      </w:r>
      <w:r w:rsidR="00011EA2" w:rsidRPr="00B41E87">
        <w:rPr>
          <w:rFonts w:asciiTheme="majorHAnsi" w:hAnsiTheme="majorHAnsi"/>
          <w:sz w:val="20"/>
          <w:szCs w:val="20"/>
        </w:rPr>
        <w:t xml:space="preserve">indicated </w:t>
      </w:r>
      <w:r w:rsidRPr="00B41E87">
        <w:rPr>
          <w:rFonts w:asciiTheme="majorHAnsi" w:hAnsiTheme="majorHAnsi"/>
          <w:sz w:val="20"/>
          <w:szCs w:val="20"/>
        </w:rPr>
        <w:t xml:space="preserve">that international law permits capital punishment when it is duly prescribed for </w:t>
      </w:r>
      <w:r w:rsidR="00011EA2" w:rsidRPr="00B41E87">
        <w:rPr>
          <w:rFonts w:asciiTheme="majorHAnsi" w:hAnsiTheme="majorHAnsi"/>
          <w:sz w:val="20"/>
          <w:szCs w:val="20"/>
        </w:rPr>
        <w:t xml:space="preserve">the </w:t>
      </w:r>
      <w:r w:rsidRPr="00B41E87">
        <w:rPr>
          <w:rFonts w:asciiTheme="majorHAnsi" w:hAnsiTheme="majorHAnsi"/>
          <w:sz w:val="20"/>
          <w:szCs w:val="20"/>
        </w:rPr>
        <w:t>commission of the most serious crimes and carried out by a State in accordance with due process of law and stringent procedural safeguard</w:t>
      </w:r>
      <w:r w:rsidR="00011EA2" w:rsidRPr="00B41E87">
        <w:rPr>
          <w:rFonts w:asciiTheme="majorHAnsi" w:hAnsiTheme="majorHAnsi"/>
          <w:sz w:val="20"/>
          <w:szCs w:val="20"/>
        </w:rPr>
        <w:t>s</w:t>
      </w:r>
      <w:r w:rsidRPr="00B41E87">
        <w:rPr>
          <w:rFonts w:asciiTheme="majorHAnsi" w:hAnsiTheme="majorHAnsi"/>
          <w:sz w:val="20"/>
          <w:szCs w:val="20"/>
        </w:rPr>
        <w:t xml:space="preserve">, as it considers is the situation in the United States. Thus, the State </w:t>
      </w:r>
      <w:r w:rsidR="00011EA2" w:rsidRPr="00B41E87">
        <w:rPr>
          <w:rFonts w:asciiTheme="majorHAnsi" w:hAnsiTheme="majorHAnsi"/>
          <w:sz w:val="20"/>
          <w:szCs w:val="20"/>
        </w:rPr>
        <w:t xml:space="preserve">affirmed </w:t>
      </w:r>
      <w:r w:rsidRPr="00B41E87">
        <w:rPr>
          <w:rFonts w:asciiTheme="majorHAnsi" w:hAnsiTheme="majorHAnsi"/>
          <w:sz w:val="20"/>
          <w:szCs w:val="20"/>
        </w:rPr>
        <w:t>that capital punishment is compatible with the right to life under international law and highlighted that the United State</w:t>
      </w:r>
      <w:r w:rsidR="00011EA2" w:rsidRPr="00B41E87">
        <w:rPr>
          <w:rFonts w:asciiTheme="majorHAnsi" w:hAnsiTheme="majorHAnsi"/>
          <w:sz w:val="20"/>
          <w:szCs w:val="20"/>
        </w:rPr>
        <w:t>s</w:t>
      </w:r>
      <w:r w:rsidRPr="00B41E87">
        <w:rPr>
          <w:rFonts w:asciiTheme="majorHAnsi" w:hAnsiTheme="majorHAnsi"/>
          <w:sz w:val="20"/>
          <w:szCs w:val="20"/>
        </w:rPr>
        <w:t xml:space="preserve"> has not signed or ratified any international convention obligating </w:t>
      </w:r>
      <w:r w:rsidR="00011EA2" w:rsidRPr="00B41E87">
        <w:rPr>
          <w:rFonts w:asciiTheme="majorHAnsi" w:hAnsiTheme="majorHAnsi"/>
          <w:sz w:val="20"/>
          <w:szCs w:val="20"/>
        </w:rPr>
        <w:t xml:space="preserve">it to abolish </w:t>
      </w:r>
      <w:r w:rsidRPr="00B41E87">
        <w:rPr>
          <w:rFonts w:asciiTheme="majorHAnsi" w:hAnsiTheme="majorHAnsi"/>
          <w:sz w:val="20"/>
          <w:szCs w:val="20"/>
        </w:rPr>
        <w:t xml:space="preserve">capital punishment. </w:t>
      </w:r>
    </w:p>
    <w:p w14:paraId="3C3E2D6B" w14:textId="77777777" w:rsidR="001A4EF4" w:rsidRPr="00B41E87" w:rsidRDefault="001A4EF4" w:rsidP="001A4EF4">
      <w:pPr>
        <w:pStyle w:val="ListParagraph"/>
        <w:rPr>
          <w:rFonts w:asciiTheme="majorHAnsi" w:hAnsiTheme="majorHAnsi"/>
          <w:sz w:val="20"/>
          <w:szCs w:val="20"/>
        </w:rPr>
      </w:pPr>
    </w:p>
    <w:p w14:paraId="4E72EB56" w14:textId="5EA241D5" w:rsidR="00517120" w:rsidRPr="00B41E87" w:rsidRDefault="00292B2F" w:rsidP="00BC58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As for lethal injection as </w:t>
      </w:r>
      <w:r w:rsidR="00011EA2" w:rsidRPr="00B41E87">
        <w:rPr>
          <w:rFonts w:asciiTheme="majorHAnsi" w:hAnsiTheme="majorHAnsi"/>
          <w:sz w:val="20"/>
          <w:szCs w:val="20"/>
        </w:rPr>
        <w:t xml:space="preserve">a </w:t>
      </w:r>
      <w:r w:rsidRPr="00B41E87">
        <w:rPr>
          <w:rFonts w:asciiTheme="majorHAnsi" w:hAnsiTheme="majorHAnsi"/>
          <w:sz w:val="20"/>
          <w:szCs w:val="20"/>
        </w:rPr>
        <w:t xml:space="preserve">method of execution, the State alleged that this method has often been adopted as more humane than other methods that have been tried, and that the United Nations Human Rights Committee has found that lethal injection does not violate the International Convent on Civil and Political Rights. </w:t>
      </w:r>
      <w:r w:rsidR="001A7FFE" w:rsidRPr="00B41E87">
        <w:rPr>
          <w:rFonts w:asciiTheme="majorHAnsi" w:hAnsiTheme="majorHAnsi"/>
          <w:sz w:val="20"/>
          <w:szCs w:val="20"/>
        </w:rPr>
        <w:t xml:space="preserve">The State contended that </w:t>
      </w:r>
      <w:r w:rsidRPr="00B41E87">
        <w:rPr>
          <w:rFonts w:asciiTheme="majorHAnsi" w:hAnsiTheme="majorHAnsi"/>
          <w:sz w:val="20"/>
          <w:szCs w:val="20"/>
        </w:rPr>
        <w:t>it should be given a “wide margin of appreciation,” deferring to the discretion of local actors who have to deal with complicated medical an</w:t>
      </w:r>
      <w:r w:rsidR="00145AEA" w:rsidRPr="00B41E87">
        <w:rPr>
          <w:rFonts w:asciiTheme="majorHAnsi" w:hAnsiTheme="majorHAnsi"/>
          <w:sz w:val="20"/>
          <w:szCs w:val="20"/>
        </w:rPr>
        <w:t>d</w:t>
      </w:r>
      <w:r w:rsidRPr="00B41E87">
        <w:rPr>
          <w:rFonts w:asciiTheme="majorHAnsi" w:hAnsiTheme="majorHAnsi"/>
          <w:sz w:val="20"/>
          <w:szCs w:val="20"/>
        </w:rPr>
        <w:t xml:space="preserve"> scientific circumstances and are in </w:t>
      </w:r>
      <w:r w:rsidR="001A7FFE" w:rsidRPr="00B41E87">
        <w:rPr>
          <w:rFonts w:asciiTheme="majorHAnsi" w:hAnsiTheme="majorHAnsi"/>
          <w:sz w:val="20"/>
          <w:szCs w:val="20"/>
        </w:rPr>
        <w:t xml:space="preserve">the best position to </w:t>
      </w:r>
      <w:r w:rsidRPr="00B41E87">
        <w:rPr>
          <w:rFonts w:asciiTheme="majorHAnsi" w:hAnsiTheme="majorHAnsi"/>
          <w:sz w:val="20"/>
          <w:szCs w:val="20"/>
        </w:rPr>
        <w:t>assess</w:t>
      </w:r>
      <w:r w:rsidR="001A7FFE" w:rsidRPr="00B41E87">
        <w:rPr>
          <w:rFonts w:asciiTheme="majorHAnsi" w:hAnsiTheme="majorHAnsi"/>
          <w:sz w:val="20"/>
          <w:szCs w:val="20"/>
        </w:rPr>
        <w:t xml:space="preserve"> such </w:t>
      </w:r>
      <w:r w:rsidRPr="00B41E87">
        <w:rPr>
          <w:rFonts w:asciiTheme="majorHAnsi" w:hAnsiTheme="majorHAnsi"/>
          <w:sz w:val="20"/>
          <w:szCs w:val="20"/>
        </w:rPr>
        <w:t>matter</w:t>
      </w:r>
      <w:r w:rsidR="001A7FFE" w:rsidRPr="00B41E87">
        <w:rPr>
          <w:rFonts w:asciiTheme="majorHAnsi" w:hAnsiTheme="majorHAnsi"/>
          <w:sz w:val="20"/>
          <w:szCs w:val="20"/>
        </w:rPr>
        <w:t>s</w:t>
      </w:r>
      <w:r w:rsidRPr="00B41E87">
        <w:rPr>
          <w:rFonts w:asciiTheme="majorHAnsi" w:hAnsiTheme="majorHAnsi"/>
          <w:sz w:val="20"/>
          <w:szCs w:val="20"/>
        </w:rPr>
        <w:t xml:space="preserve">. </w:t>
      </w:r>
      <w:r w:rsidR="001E00D4" w:rsidRPr="00B41E87">
        <w:rPr>
          <w:rFonts w:asciiTheme="majorHAnsi" w:hAnsiTheme="majorHAnsi"/>
          <w:sz w:val="20"/>
          <w:szCs w:val="20"/>
        </w:rPr>
        <w:t xml:space="preserve">In this sense, the State </w:t>
      </w:r>
      <w:r w:rsidR="001A7FFE" w:rsidRPr="00B41E87">
        <w:rPr>
          <w:rFonts w:asciiTheme="majorHAnsi" w:hAnsiTheme="majorHAnsi"/>
          <w:sz w:val="20"/>
          <w:szCs w:val="20"/>
        </w:rPr>
        <w:t xml:space="preserve">referred to </w:t>
      </w:r>
      <w:r w:rsidR="001A4EF4" w:rsidRPr="00B41E87">
        <w:rPr>
          <w:rFonts w:asciiTheme="majorHAnsi" w:hAnsiTheme="majorHAnsi"/>
          <w:sz w:val="20"/>
          <w:szCs w:val="20"/>
        </w:rPr>
        <w:t xml:space="preserve">domestic </w:t>
      </w:r>
      <w:r w:rsidR="001E00D4" w:rsidRPr="00B41E87">
        <w:rPr>
          <w:rFonts w:asciiTheme="majorHAnsi" w:hAnsiTheme="majorHAnsi"/>
          <w:sz w:val="20"/>
          <w:szCs w:val="20"/>
        </w:rPr>
        <w:t xml:space="preserve">decisions </w:t>
      </w:r>
      <w:r w:rsidR="001A4EF4" w:rsidRPr="00B41E87">
        <w:rPr>
          <w:rFonts w:asciiTheme="majorHAnsi" w:hAnsiTheme="majorHAnsi"/>
          <w:sz w:val="20"/>
          <w:szCs w:val="20"/>
        </w:rPr>
        <w:t>in other death penalty cases</w:t>
      </w:r>
      <w:r w:rsidR="001A7FFE" w:rsidRPr="00B41E87">
        <w:rPr>
          <w:rFonts w:asciiTheme="majorHAnsi" w:hAnsiTheme="majorHAnsi"/>
          <w:sz w:val="20"/>
          <w:szCs w:val="20"/>
        </w:rPr>
        <w:t xml:space="preserve"> which found </w:t>
      </w:r>
      <w:r w:rsidR="001E00D4" w:rsidRPr="00B41E87">
        <w:rPr>
          <w:rFonts w:asciiTheme="majorHAnsi" w:hAnsiTheme="majorHAnsi"/>
          <w:sz w:val="20"/>
          <w:szCs w:val="20"/>
        </w:rPr>
        <w:t>that lethal injection did not constitute cruel and unusual punishment and</w:t>
      </w:r>
      <w:r w:rsidR="001A4EF4" w:rsidRPr="00B41E87">
        <w:rPr>
          <w:rFonts w:asciiTheme="majorHAnsi" w:hAnsiTheme="majorHAnsi"/>
          <w:sz w:val="20"/>
          <w:szCs w:val="20"/>
        </w:rPr>
        <w:t xml:space="preserve"> was</w:t>
      </w:r>
      <w:r w:rsidR="001E00D4" w:rsidRPr="00B41E87">
        <w:rPr>
          <w:rFonts w:asciiTheme="majorHAnsi" w:hAnsiTheme="majorHAnsi"/>
          <w:sz w:val="20"/>
          <w:szCs w:val="20"/>
        </w:rPr>
        <w:t xml:space="preserve"> </w:t>
      </w:r>
      <w:r w:rsidR="001A7FFE" w:rsidRPr="00B41E87">
        <w:rPr>
          <w:rFonts w:asciiTheme="majorHAnsi" w:hAnsiTheme="majorHAnsi"/>
          <w:sz w:val="20"/>
          <w:szCs w:val="20"/>
        </w:rPr>
        <w:t xml:space="preserve">in fact deemed to be </w:t>
      </w:r>
      <w:r w:rsidR="001E00D4" w:rsidRPr="00B41E87">
        <w:rPr>
          <w:rFonts w:asciiTheme="majorHAnsi" w:hAnsiTheme="majorHAnsi"/>
          <w:sz w:val="20"/>
          <w:szCs w:val="20"/>
        </w:rPr>
        <w:t xml:space="preserve">more humane than other methods. </w:t>
      </w:r>
    </w:p>
    <w:p w14:paraId="366BBDF5" w14:textId="33AFE72E" w:rsidR="0035677D" w:rsidRPr="00B41E87" w:rsidRDefault="0035677D" w:rsidP="0035677D">
      <w:pPr>
        <w:ind w:right="720"/>
        <w:jc w:val="both"/>
        <w:rPr>
          <w:rFonts w:asciiTheme="majorHAnsi" w:hAnsiTheme="majorHAnsi"/>
          <w:sz w:val="20"/>
          <w:szCs w:val="20"/>
        </w:rPr>
      </w:pPr>
    </w:p>
    <w:p w14:paraId="1E61C9B7" w14:textId="77777777" w:rsidR="004C14A2" w:rsidRPr="00B41E87" w:rsidRDefault="004C14A2" w:rsidP="004C14A2">
      <w:pPr>
        <w:pStyle w:val="Heading1"/>
        <w:tabs>
          <w:tab w:val="clear" w:pos="4050"/>
          <w:tab w:val="left" w:pos="1440"/>
        </w:tabs>
      </w:pPr>
      <w:bookmarkStart w:id="34" w:name="_Toc511310292"/>
      <w:bookmarkStart w:id="35" w:name="_Toc512265305"/>
      <w:r w:rsidRPr="00B41E87">
        <w:t>PROVEN FACTS</w:t>
      </w:r>
      <w:bookmarkEnd w:id="34"/>
      <w:bookmarkEnd w:id="35"/>
    </w:p>
    <w:p w14:paraId="28844195" w14:textId="77777777" w:rsidR="004C14A2" w:rsidRPr="00B41E87" w:rsidRDefault="004C14A2" w:rsidP="004C14A2">
      <w:pPr>
        <w:tabs>
          <w:tab w:val="left" w:pos="1440"/>
        </w:tabs>
        <w:ind w:left="720"/>
        <w:jc w:val="both"/>
        <w:rPr>
          <w:rFonts w:asciiTheme="majorHAnsi" w:hAnsiTheme="majorHAnsi"/>
          <w:sz w:val="20"/>
          <w:szCs w:val="20"/>
        </w:rPr>
      </w:pPr>
      <w:r w:rsidRPr="00B41E87">
        <w:rPr>
          <w:rFonts w:asciiTheme="majorHAnsi" w:hAnsiTheme="majorHAnsi"/>
          <w:sz w:val="20"/>
          <w:szCs w:val="20"/>
          <w:lang w:val="en"/>
        </w:rPr>
        <w:t xml:space="preserve"> </w:t>
      </w:r>
    </w:p>
    <w:p w14:paraId="74D4AB45" w14:textId="01978BE7" w:rsidR="004C14A2" w:rsidRPr="00B41E87" w:rsidRDefault="004C14A2" w:rsidP="006961C6">
      <w:pPr>
        <w:pStyle w:val="Heading2"/>
        <w:keepNext w:val="0"/>
        <w:numPr>
          <w:ilvl w:val="0"/>
          <w:numId w:val="66"/>
        </w:numPr>
        <w:pBdr>
          <w:top w:val="nil"/>
          <w:left w:val="nil"/>
          <w:bottom w:val="nil"/>
          <w:right w:val="nil"/>
          <w:between w:val="nil"/>
          <w:bar w:val="nil"/>
        </w:pBdr>
        <w:ind w:left="1440" w:hanging="720"/>
        <w:rPr>
          <w:lang w:val="en-US"/>
        </w:rPr>
      </w:pPr>
      <w:bookmarkStart w:id="36" w:name="_Toc511310293"/>
      <w:bookmarkStart w:id="37" w:name="_Toc512265306"/>
      <w:r w:rsidRPr="00B41E87">
        <w:rPr>
          <w:rFonts w:cs="Calibri"/>
          <w:lang w:val="en-US"/>
        </w:rPr>
        <w:t>The</w:t>
      </w:r>
      <w:r w:rsidRPr="00B41E87">
        <w:rPr>
          <w:lang w:val="en-US"/>
        </w:rPr>
        <w:t xml:space="preserve"> </w:t>
      </w:r>
      <w:r w:rsidR="004101BA" w:rsidRPr="00B41E87">
        <w:rPr>
          <w:lang w:val="en-US"/>
        </w:rPr>
        <w:t>application of lethal injection in the S</w:t>
      </w:r>
      <w:r w:rsidRPr="00B41E87">
        <w:rPr>
          <w:lang w:val="en-US"/>
        </w:rPr>
        <w:t>tate of Missouri</w:t>
      </w:r>
      <w:bookmarkEnd w:id="36"/>
      <w:bookmarkEnd w:id="37"/>
      <w:r w:rsidRPr="00B41E87">
        <w:rPr>
          <w:lang w:val="en-US"/>
        </w:rPr>
        <w:t xml:space="preserve"> </w:t>
      </w:r>
    </w:p>
    <w:p w14:paraId="1DBB7479" w14:textId="77777777" w:rsidR="004C14A2" w:rsidRPr="00B41E87" w:rsidRDefault="004C14A2" w:rsidP="004C14A2">
      <w:pPr>
        <w:tabs>
          <w:tab w:val="left" w:pos="1440"/>
        </w:tabs>
        <w:jc w:val="both"/>
        <w:rPr>
          <w:rFonts w:asciiTheme="majorHAnsi" w:hAnsiTheme="majorHAnsi"/>
          <w:sz w:val="20"/>
          <w:szCs w:val="20"/>
        </w:rPr>
      </w:pPr>
    </w:p>
    <w:p w14:paraId="483C61A1" w14:textId="560A9A17" w:rsidR="004C2D0D" w:rsidRPr="00B41E87" w:rsidRDefault="004C2D0D" w:rsidP="004C2D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rPr>
      </w:pPr>
      <w:r w:rsidRPr="00B41E87">
        <w:rPr>
          <w:rFonts w:asciiTheme="majorHAnsi" w:hAnsiTheme="majorHAnsi"/>
          <w:sz w:val="20"/>
        </w:rPr>
        <w:t>The Commission takes note of the Protocol for Preparation and Administration of Chemicals for Lethal Injection of the Missouri Department of Corrections. Under this protocol, the state of Missouri regulates different elements of the preparation and application of the lethal injection, such as: the execution team members, the preparation of chemicals, the intravenous lines, the monitoring of prisoners, the administration of chemicals and the documentation of chemicals</w:t>
      </w:r>
      <w:r w:rsidR="000173B2" w:rsidRPr="00B41E87">
        <w:rPr>
          <w:rFonts w:asciiTheme="majorHAnsi" w:hAnsiTheme="majorHAnsi"/>
          <w:sz w:val="20"/>
        </w:rPr>
        <w:t>.</w:t>
      </w:r>
      <w:r w:rsidRPr="00B41E87">
        <w:rPr>
          <w:rStyle w:val="FootnoteReference"/>
          <w:rFonts w:asciiTheme="majorHAnsi" w:hAnsiTheme="majorHAnsi"/>
          <w:sz w:val="20"/>
        </w:rPr>
        <w:footnoteReference w:id="6"/>
      </w:r>
    </w:p>
    <w:p w14:paraId="4F7A2797" w14:textId="77777777" w:rsidR="004C2D0D" w:rsidRPr="00B41E87" w:rsidRDefault="004C2D0D" w:rsidP="004C2D0D">
      <w:pPr>
        <w:jc w:val="both"/>
        <w:rPr>
          <w:rFonts w:asciiTheme="majorHAnsi" w:hAnsiTheme="majorHAnsi"/>
          <w:sz w:val="20"/>
        </w:rPr>
      </w:pPr>
    </w:p>
    <w:p w14:paraId="1C4DBE59" w14:textId="5F4932C9" w:rsidR="004C2D0D" w:rsidRPr="00B41E87" w:rsidRDefault="004C2D0D" w:rsidP="004C2D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rPr>
      </w:pPr>
      <w:r w:rsidRPr="00B41E87">
        <w:rPr>
          <w:rFonts w:asciiTheme="majorHAnsi" w:hAnsiTheme="majorHAnsi"/>
          <w:sz w:val="20"/>
        </w:rPr>
        <w:tab/>
        <w:t xml:space="preserve">According to the text of the abovementioned protocol, medical personnel </w:t>
      </w:r>
      <w:r w:rsidR="00036DA8" w:rsidRPr="00B41E87">
        <w:rPr>
          <w:rFonts w:asciiTheme="majorHAnsi" w:hAnsiTheme="majorHAnsi"/>
          <w:sz w:val="20"/>
        </w:rPr>
        <w:t>are</w:t>
      </w:r>
      <w:r w:rsidRPr="00B41E87">
        <w:rPr>
          <w:rFonts w:asciiTheme="majorHAnsi" w:hAnsiTheme="majorHAnsi"/>
          <w:sz w:val="20"/>
        </w:rPr>
        <w:t xml:space="preserve"> responsible for the preparation of the lethal chemicals before the execution; for the determination of the most appropriate locations for intravenous (IV) lines and insertion; and for monitoring of the prisoner during the execution</w:t>
      </w:r>
      <w:r w:rsidR="00036DA8" w:rsidRPr="00B41E87">
        <w:rPr>
          <w:rFonts w:asciiTheme="majorHAnsi" w:hAnsiTheme="majorHAnsi"/>
          <w:sz w:val="20"/>
        </w:rPr>
        <w:t>.</w:t>
      </w:r>
      <w:r w:rsidRPr="00B41E87">
        <w:rPr>
          <w:rStyle w:val="FootnoteReference"/>
          <w:rFonts w:asciiTheme="majorHAnsi" w:hAnsiTheme="majorHAnsi"/>
          <w:sz w:val="20"/>
        </w:rPr>
        <w:footnoteReference w:id="7"/>
      </w:r>
      <w:r w:rsidRPr="00B41E87">
        <w:rPr>
          <w:rFonts w:asciiTheme="majorHAnsi" w:hAnsiTheme="majorHAnsi"/>
          <w:sz w:val="20"/>
        </w:rPr>
        <w:t xml:space="preserve"> With regard to the insertion of the IV lines, the protocol calls for two, the primary IV line that may be inserted as a peripheral line or as a central venous line (e.g., femoral, jugular, or subclavian) provided they have appropriate training, education, and experience for that procedure; and the secondary IV line as a peripheral line. The second IV should not be used if the prisoner’s physical condition makes it unduly difficult to insert more than one. </w:t>
      </w:r>
    </w:p>
    <w:p w14:paraId="6D8C24C9" w14:textId="77777777" w:rsidR="004C2D0D" w:rsidRPr="00B41E87" w:rsidRDefault="004C2D0D" w:rsidP="004C2D0D">
      <w:pPr>
        <w:jc w:val="both"/>
        <w:rPr>
          <w:rFonts w:asciiTheme="majorHAnsi" w:hAnsiTheme="majorHAnsi"/>
          <w:sz w:val="20"/>
        </w:rPr>
      </w:pPr>
    </w:p>
    <w:p w14:paraId="346C25A9" w14:textId="31DD6F49" w:rsidR="004C2D0D" w:rsidRPr="00B41E87" w:rsidRDefault="004C2D0D" w:rsidP="004C2D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rPr>
      </w:pPr>
      <w:r w:rsidRPr="00B41E87">
        <w:rPr>
          <w:rFonts w:asciiTheme="majorHAnsi" w:hAnsiTheme="majorHAnsi"/>
          <w:sz w:val="20"/>
        </w:rPr>
        <w:tab/>
        <w:t xml:space="preserve">Additionally, the protocol calls for the execution team to be comprised </w:t>
      </w:r>
      <w:r w:rsidR="00C46774" w:rsidRPr="00B41E87">
        <w:rPr>
          <w:rFonts w:asciiTheme="majorHAnsi" w:hAnsiTheme="majorHAnsi"/>
          <w:sz w:val="20"/>
        </w:rPr>
        <w:t>of</w:t>
      </w:r>
      <w:r w:rsidRPr="00B41E87">
        <w:rPr>
          <w:rFonts w:asciiTheme="majorHAnsi" w:hAnsiTheme="majorHAnsi"/>
          <w:sz w:val="20"/>
        </w:rPr>
        <w:t xml:space="preserve"> department employees and contracted medical personnel including a physician, nurse, and pharmacist. In general terms, it proscribes that </w:t>
      </w:r>
      <w:r w:rsidR="0019385A" w:rsidRPr="00B41E87">
        <w:rPr>
          <w:rFonts w:asciiTheme="majorHAnsi" w:hAnsiTheme="majorHAnsi"/>
          <w:sz w:val="20"/>
        </w:rPr>
        <w:t xml:space="preserve">the team will also include </w:t>
      </w:r>
      <w:r w:rsidRPr="00B41E87">
        <w:rPr>
          <w:rFonts w:asciiTheme="majorHAnsi" w:hAnsiTheme="majorHAnsi"/>
          <w:sz w:val="20"/>
        </w:rPr>
        <w:t>anyone selected by the department director “who provides direct support for the administration of lethal chemicals, including individuals who prescribe, compound, prepare, or otherwise supply the chemicals for use in the lethal injection procedure</w:t>
      </w:r>
      <w:r w:rsidR="0019385A" w:rsidRPr="00B41E87">
        <w:rPr>
          <w:rFonts w:asciiTheme="majorHAnsi" w:hAnsiTheme="majorHAnsi"/>
          <w:sz w:val="20"/>
        </w:rPr>
        <w:t>.</w:t>
      </w:r>
      <w:r w:rsidRPr="00B41E87">
        <w:rPr>
          <w:rFonts w:asciiTheme="majorHAnsi" w:hAnsiTheme="majorHAnsi"/>
          <w:sz w:val="20"/>
        </w:rPr>
        <w:t>”</w:t>
      </w:r>
      <w:r w:rsidRPr="00B41E87">
        <w:rPr>
          <w:rStyle w:val="FootnoteReference"/>
          <w:rFonts w:asciiTheme="majorHAnsi" w:hAnsiTheme="majorHAnsi"/>
          <w:sz w:val="20"/>
        </w:rPr>
        <w:footnoteReference w:id="8"/>
      </w:r>
      <w:r w:rsidRPr="00B41E87">
        <w:rPr>
          <w:rFonts w:asciiTheme="majorHAnsi" w:hAnsiTheme="majorHAnsi"/>
          <w:sz w:val="20"/>
        </w:rPr>
        <w:t xml:space="preserve"> The members of the execution team under the observation of medical personnel are to be responsible for the injection of the chemicals into the prisoner</w:t>
      </w:r>
      <w:r w:rsidR="0019385A" w:rsidRPr="00B41E87">
        <w:rPr>
          <w:rFonts w:asciiTheme="majorHAnsi" w:hAnsiTheme="majorHAnsi"/>
          <w:sz w:val="20"/>
        </w:rPr>
        <w:t>.</w:t>
      </w:r>
      <w:r w:rsidRPr="00B41E87">
        <w:rPr>
          <w:rStyle w:val="FootnoteReference"/>
          <w:rFonts w:asciiTheme="majorHAnsi" w:hAnsiTheme="majorHAnsi"/>
          <w:sz w:val="20"/>
        </w:rPr>
        <w:footnoteReference w:id="9"/>
      </w:r>
      <w:r w:rsidRPr="00B41E87">
        <w:rPr>
          <w:rFonts w:asciiTheme="majorHAnsi" w:hAnsiTheme="majorHAnsi"/>
          <w:sz w:val="20"/>
        </w:rPr>
        <w:t xml:space="preserve"> </w:t>
      </w:r>
    </w:p>
    <w:p w14:paraId="33ED9ACA" w14:textId="77777777" w:rsidR="004C2D0D" w:rsidRPr="00B41E87" w:rsidRDefault="004C2D0D"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14:paraId="5B98ABDE" w14:textId="77777777" w:rsidR="004837A8" w:rsidRPr="00B41E87" w:rsidRDefault="004837A8"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14:paraId="0B0644C2" w14:textId="77777777" w:rsidR="004837A8" w:rsidRPr="00B41E87" w:rsidRDefault="004837A8"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14:paraId="0A88898A" w14:textId="77777777" w:rsidR="004837A8" w:rsidRPr="00B41E87" w:rsidRDefault="004837A8"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14:paraId="33113C6A" w14:textId="77777777" w:rsidR="004837A8" w:rsidRPr="00B41E87" w:rsidRDefault="004837A8"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14:paraId="44ECB611" w14:textId="6935C37E" w:rsidR="004C14A2" w:rsidRPr="00B41E87" w:rsidRDefault="006E573A" w:rsidP="006961C6">
      <w:pPr>
        <w:pStyle w:val="Heading2"/>
        <w:keepNext w:val="0"/>
        <w:numPr>
          <w:ilvl w:val="0"/>
          <w:numId w:val="66"/>
        </w:numPr>
        <w:pBdr>
          <w:top w:val="nil"/>
          <w:left w:val="nil"/>
          <w:bottom w:val="nil"/>
          <w:right w:val="nil"/>
          <w:between w:val="nil"/>
          <w:bar w:val="nil"/>
        </w:pBdr>
        <w:ind w:left="1440" w:hanging="720"/>
        <w:rPr>
          <w:rFonts w:cs="Calibri"/>
          <w:lang w:val="en-US"/>
        </w:rPr>
      </w:pPr>
      <w:bookmarkStart w:id="38" w:name="_Toc511310294"/>
      <w:bookmarkStart w:id="39" w:name="_Toc512265307"/>
      <w:r w:rsidRPr="00B41E87">
        <w:rPr>
          <w:rFonts w:cs="Calibri"/>
          <w:lang w:val="en-US"/>
        </w:rPr>
        <w:lastRenderedPageBreak/>
        <w:t>Russell Bucklew’s</w:t>
      </w:r>
      <w:r w:rsidR="004C14A2" w:rsidRPr="00B41E87">
        <w:rPr>
          <w:rFonts w:cs="Calibri"/>
          <w:lang w:val="en-US"/>
        </w:rPr>
        <w:t xml:space="preserve"> </w:t>
      </w:r>
      <w:r w:rsidRPr="00B41E87">
        <w:rPr>
          <w:rFonts w:cs="Calibri"/>
          <w:lang w:val="en-US"/>
        </w:rPr>
        <w:t xml:space="preserve">criminal </w:t>
      </w:r>
      <w:r w:rsidR="004C14A2" w:rsidRPr="00B41E87">
        <w:rPr>
          <w:rFonts w:cs="Calibri"/>
          <w:lang w:val="en-US"/>
        </w:rPr>
        <w:t xml:space="preserve">conviction </w:t>
      </w:r>
      <w:r w:rsidRPr="00B41E87">
        <w:rPr>
          <w:rFonts w:cs="Calibri"/>
          <w:lang w:val="en-US"/>
        </w:rPr>
        <w:t>and his medical condition</w:t>
      </w:r>
      <w:bookmarkEnd w:id="38"/>
      <w:bookmarkEnd w:id="39"/>
    </w:p>
    <w:p w14:paraId="48117F98" w14:textId="77777777" w:rsidR="004C14A2" w:rsidRPr="00B41E87" w:rsidRDefault="004C14A2" w:rsidP="004C14A2">
      <w:pPr>
        <w:tabs>
          <w:tab w:val="left" w:pos="1440"/>
        </w:tabs>
        <w:ind w:left="720"/>
        <w:jc w:val="both"/>
        <w:rPr>
          <w:rFonts w:asciiTheme="majorHAnsi" w:hAnsiTheme="majorHAnsi" w:cs="Calibri"/>
          <w:sz w:val="20"/>
          <w:szCs w:val="20"/>
        </w:rPr>
      </w:pPr>
    </w:p>
    <w:p w14:paraId="2A5D73B7" w14:textId="170307C8"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libri"/>
          <w:sz w:val="20"/>
          <w:szCs w:val="20"/>
        </w:rPr>
      </w:pPr>
      <w:r w:rsidRPr="00B41E87">
        <w:rPr>
          <w:rFonts w:asciiTheme="majorHAnsi" w:hAnsiTheme="majorHAnsi" w:cs="Calibri"/>
          <w:sz w:val="20"/>
          <w:szCs w:val="20"/>
        </w:rPr>
        <w:t>On May 1997</w:t>
      </w:r>
      <w:r w:rsidR="0019385A" w:rsidRPr="00B41E87">
        <w:rPr>
          <w:rFonts w:asciiTheme="majorHAnsi" w:hAnsiTheme="majorHAnsi" w:cs="Calibri"/>
          <w:sz w:val="20"/>
          <w:szCs w:val="20"/>
        </w:rPr>
        <w:t>,</w:t>
      </w:r>
      <w:r w:rsidRPr="00B41E87">
        <w:rPr>
          <w:rFonts w:asciiTheme="majorHAnsi" w:hAnsiTheme="majorHAnsi" w:cs="Calibri"/>
          <w:sz w:val="20"/>
          <w:szCs w:val="20"/>
        </w:rPr>
        <w:t xml:space="preserve"> Mr. Bucklew was sentenced to death for first degree murder, after a jury trial. He also received prison sentences of 30 years for kidnapping, 30 years for burglary, 30 years for rape, and five years for armed criminal action.</w:t>
      </w:r>
      <w:r w:rsidRPr="00B41E87">
        <w:rPr>
          <w:rStyle w:val="FootnoteReference"/>
          <w:rFonts w:asciiTheme="majorHAnsi" w:hAnsiTheme="majorHAnsi"/>
          <w:sz w:val="20"/>
          <w:szCs w:val="20"/>
        </w:rPr>
        <w:footnoteReference w:id="10"/>
      </w:r>
      <w:r w:rsidRPr="00B41E87">
        <w:rPr>
          <w:rFonts w:asciiTheme="majorHAnsi" w:hAnsiTheme="majorHAnsi" w:cs="Calibri"/>
          <w:sz w:val="20"/>
          <w:szCs w:val="20"/>
        </w:rPr>
        <w:t xml:space="preserve"> Since then, Mr.</w:t>
      </w:r>
      <w:r w:rsidRPr="00B41E87">
        <w:rPr>
          <w:rFonts w:asciiTheme="majorHAnsi" w:hAnsiTheme="majorHAnsi"/>
        </w:rPr>
        <w:t xml:space="preserve"> </w:t>
      </w:r>
      <w:r w:rsidRPr="00B41E87">
        <w:rPr>
          <w:rFonts w:asciiTheme="majorHAnsi" w:hAnsiTheme="majorHAnsi" w:cs="Calibri"/>
          <w:sz w:val="20"/>
          <w:szCs w:val="20"/>
        </w:rPr>
        <w:t xml:space="preserve">Bucklew has been </w:t>
      </w:r>
      <w:r w:rsidR="0003054C" w:rsidRPr="00B41E87">
        <w:rPr>
          <w:rFonts w:asciiTheme="majorHAnsi" w:hAnsiTheme="majorHAnsi" w:cs="Calibri"/>
          <w:sz w:val="20"/>
          <w:szCs w:val="20"/>
        </w:rPr>
        <w:t xml:space="preserve">detained </w:t>
      </w:r>
      <w:r w:rsidRPr="00B41E87">
        <w:rPr>
          <w:rFonts w:asciiTheme="majorHAnsi" w:hAnsiTheme="majorHAnsi" w:cs="Calibri"/>
          <w:sz w:val="20"/>
          <w:szCs w:val="20"/>
        </w:rPr>
        <w:t>at the Potosi Correctional Center in Mineral Point, Missouri.</w:t>
      </w:r>
      <w:r w:rsidRPr="00B41E87">
        <w:rPr>
          <w:rStyle w:val="FootnoteReference"/>
          <w:rFonts w:asciiTheme="majorHAnsi" w:hAnsiTheme="majorHAnsi"/>
          <w:sz w:val="20"/>
          <w:szCs w:val="20"/>
        </w:rPr>
        <w:footnoteReference w:id="11"/>
      </w:r>
      <w:r w:rsidRPr="00B41E87">
        <w:rPr>
          <w:rFonts w:asciiTheme="majorHAnsi" w:hAnsiTheme="majorHAnsi" w:cs="Calibri"/>
          <w:sz w:val="20"/>
          <w:szCs w:val="20"/>
        </w:rPr>
        <w:t xml:space="preserve"> </w:t>
      </w:r>
    </w:p>
    <w:p w14:paraId="5E2D0F32" w14:textId="77777777" w:rsidR="004C14A2" w:rsidRPr="00B41E87" w:rsidRDefault="004C14A2" w:rsidP="004C14A2">
      <w:pPr>
        <w:tabs>
          <w:tab w:val="left" w:pos="1440"/>
        </w:tabs>
        <w:ind w:left="720"/>
        <w:jc w:val="both"/>
        <w:rPr>
          <w:rFonts w:asciiTheme="majorHAnsi" w:hAnsiTheme="majorHAnsi" w:cs="Calibri"/>
          <w:sz w:val="20"/>
          <w:szCs w:val="20"/>
        </w:rPr>
      </w:pPr>
    </w:p>
    <w:p w14:paraId="4DF75C11" w14:textId="40990EE2" w:rsidR="001D246C"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libri"/>
          <w:sz w:val="20"/>
          <w:szCs w:val="20"/>
        </w:rPr>
      </w:pPr>
      <w:r w:rsidRPr="00B41E87">
        <w:rPr>
          <w:rFonts w:asciiTheme="majorHAnsi" w:hAnsiTheme="majorHAnsi" w:cs="Calibri"/>
          <w:sz w:val="20"/>
          <w:szCs w:val="20"/>
        </w:rPr>
        <w:t>The available information indicates that Mr. Bucklew</w:t>
      </w:r>
      <w:r w:rsidR="001D246C" w:rsidRPr="00B41E87">
        <w:rPr>
          <w:rFonts w:asciiTheme="majorHAnsi" w:hAnsiTheme="majorHAnsi" w:cs="Calibri"/>
          <w:sz w:val="20"/>
          <w:szCs w:val="20"/>
        </w:rPr>
        <w:t xml:space="preserve">’s </w:t>
      </w:r>
      <w:r w:rsidR="008F30D3" w:rsidRPr="00B41E87">
        <w:rPr>
          <w:rFonts w:asciiTheme="majorHAnsi" w:hAnsiTheme="majorHAnsi" w:cs="Calibri"/>
          <w:sz w:val="20"/>
          <w:szCs w:val="20"/>
        </w:rPr>
        <w:t>conviction and sentence were affirmed o</w:t>
      </w:r>
      <w:r w:rsidR="00095FE8" w:rsidRPr="00B41E87">
        <w:rPr>
          <w:rFonts w:asciiTheme="majorHAnsi" w:hAnsiTheme="majorHAnsi" w:cs="Calibri"/>
          <w:sz w:val="20"/>
          <w:szCs w:val="20"/>
        </w:rPr>
        <w:t>n</w:t>
      </w:r>
      <w:r w:rsidR="008F30D3" w:rsidRPr="00B41E87">
        <w:rPr>
          <w:rFonts w:asciiTheme="majorHAnsi" w:hAnsiTheme="majorHAnsi" w:cs="Calibri"/>
          <w:sz w:val="20"/>
          <w:szCs w:val="20"/>
        </w:rPr>
        <w:t xml:space="preserve"> direct appeal.</w:t>
      </w:r>
      <w:r w:rsidR="008F30D3" w:rsidRPr="00B41E87">
        <w:rPr>
          <w:rStyle w:val="FootnoteReference"/>
          <w:rFonts w:asciiTheme="majorHAnsi" w:hAnsiTheme="majorHAnsi"/>
          <w:sz w:val="20"/>
          <w:szCs w:val="20"/>
        </w:rPr>
        <w:t xml:space="preserve"> </w:t>
      </w:r>
      <w:r w:rsidR="008F30D3" w:rsidRPr="00B41E87">
        <w:rPr>
          <w:rFonts w:asciiTheme="majorHAnsi" w:hAnsiTheme="majorHAnsi" w:cs="Calibri"/>
          <w:sz w:val="20"/>
          <w:szCs w:val="20"/>
        </w:rPr>
        <w:t xml:space="preserve">Likewise, his petition for post-conviction relief was denied and </w:t>
      </w:r>
      <w:r w:rsidR="0019385A" w:rsidRPr="00B41E87">
        <w:rPr>
          <w:rFonts w:asciiTheme="majorHAnsi" w:hAnsiTheme="majorHAnsi" w:cs="Calibri"/>
          <w:sz w:val="20"/>
          <w:szCs w:val="20"/>
        </w:rPr>
        <w:t xml:space="preserve">this was </w:t>
      </w:r>
      <w:r w:rsidR="008F30D3" w:rsidRPr="00B41E87">
        <w:rPr>
          <w:rFonts w:asciiTheme="majorHAnsi" w:hAnsiTheme="majorHAnsi" w:cs="Calibri"/>
          <w:sz w:val="20"/>
          <w:szCs w:val="20"/>
        </w:rPr>
        <w:t xml:space="preserve">affirmed by the Supreme Court of Missouri. </w:t>
      </w:r>
      <w:r w:rsidR="00D6667E" w:rsidRPr="00B41E87">
        <w:rPr>
          <w:rFonts w:asciiTheme="majorHAnsi" w:hAnsiTheme="majorHAnsi" w:cs="Calibri"/>
          <w:sz w:val="20"/>
          <w:szCs w:val="20"/>
        </w:rPr>
        <w:t xml:space="preserve">Mr. Bucklew also filed a petition for a federal writ of </w:t>
      </w:r>
      <w:r w:rsidR="00D6667E" w:rsidRPr="00B41E87">
        <w:rPr>
          <w:rFonts w:asciiTheme="majorHAnsi" w:hAnsiTheme="majorHAnsi" w:cs="Calibri"/>
          <w:i/>
          <w:sz w:val="20"/>
          <w:szCs w:val="20"/>
        </w:rPr>
        <w:t>habeas corpus</w:t>
      </w:r>
      <w:r w:rsidR="00D6667E" w:rsidRPr="00B41E87">
        <w:rPr>
          <w:rFonts w:asciiTheme="majorHAnsi" w:hAnsiTheme="majorHAnsi" w:cs="Calibri"/>
          <w:sz w:val="20"/>
          <w:szCs w:val="20"/>
        </w:rPr>
        <w:t xml:space="preserve"> which was denied and </w:t>
      </w:r>
      <w:r w:rsidR="0019385A" w:rsidRPr="00B41E87">
        <w:rPr>
          <w:rFonts w:asciiTheme="majorHAnsi" w:hAnsiTheme="majorHAnsi" w:cs="Calibri"/>
          <w:sz w:val="20"/>
          <w:szCs w:val="20"/>
        </w:rPr>
        <w:t xml:space="preserve">this was </w:t>
      </w:r>
      <w:r w:rsidR="00D6667E" w:rsidRPr="00B41E87">
        <w:rPr>
          <w:rFonts w:asciiTheme="majorHAnsi" w:hAnsiTheme="majorHAnsi" w:cs="Calibri"/>
          <w:sz w:val="20"/>
          <w:szCs w:val="20"/>
        </w:rPr>
        <w:t>affirmed by the United States Eight</w:t>
      </w:r>
      <w:r w:rsidR="00A77864" w:rsidRPr="00B41E87">
        <w:rPr>
          <w:rFonts w:asciiTheme="majorHAnsi" w:hAnsiTheme="majorHAnsi" w:cs="Calibri"/>
          <w:sz w:val="20"/>
          <w:szCs w:val="20"/>
        </w:rPr>
        <w:t>h</w:t>
      </w:r>
      <w:r w:rsidR="00D6667E" w:rsidRPr="00B41E87">
        <w:rPr>
          <w:rFonts w:asciiTheme="majorHAnsi" w:hAnsiTheme="majorHAnsi" w:cs="Calibri"/>
          <w:sz w:val="20"/>
          <w:szCs w:val="20"/>
        </w:rPr>
        <w:t xml:space="preserve"> Circuit Court of Appeals. </w:t>
      </w:r>
      <w:r w:rsidR="008C3388" w:rsidRPr="00B41E87">
        <w:rPr>
          <w:rFonts w:asciiTheme="majorHAnsi" w:hAnsiTheme="majorHAnsi" w:cs="Calibri"/>
          <w:sz w:val="20"/>
          <w:szCs w:val="20"/>
        </w:rPr>
        <w:t xml:space="preserve">An application for </w:t>
      </w:r>
      <w:r w:rsidR="008C3388" w:rsidRPr="00B41E87">
        <w:rPr>
          <w:rFonts w:asciiTheme="majorHAnsi" w:hAnsiTheme="majorHAnsi" w:cs="Calibri"/>
          <w:i/>
          <w:sz w:val="20"/>
          <w:szCs w:val="20"/>
        </w:rPr>
        <w:t xml:space="preserve">certiorari </w:t>
      </w:r>
      <w:r w:rsidR="008C3388" w:rsidRPr="00B41E87">
        <w:rPr>
          <w:rFonts w:asciiTheme="majorHAnsi" w:hAnsiTheme="majorHAnsi" w:cs="Calibri"/>
          <w:sz w:val="20"/>
          <w:szCs w:val="20"/>
        </w:rPr>
        <w:t>to the U.S. Supreme Court was denied as well.</w:t>
      </w:r>
      <w:r w:rsidR="008C3388" w:rsidRPr="00B41E87">
        <w:rPr>
          <w:rStyle w:val="FootnoteReference"/>
          <w:rFonts w:asciiTheme="majorHAnsi" w:hAnsiTheme="majorHAnsi"/>
          <w:sz w:val="20"/>
          <w:szCs w:val="20"/>
        </w:rPr>
        <w:footnoteReference w:id="12"/>
      </w:r>
      <w:r w:rsidR="008C3388" w:rsidRPr="00B41E87">
        <w:rPr>
          <w:rFonts w:asciiTheme="majorHAnsi" w:hAnsiTheme="majorHAnsi" w:cs="Calibri"/>
          <w:sz w:val="20"/>
          <w:szCs w:val="20"/>
        </w:rPr>
        <w:t xml:space="preserve"> </w:t>
      </w:r>
    </w:p>
    <w:p w14:paraId="32DB75E7" w14:textId="77777777" w:rsidR="001D246C" w:rsidRPr="00B41E87" w:rsidRDefault="001D246C" w:rsidP="001D246C">
      <w:pPr>
        <w:pStyle w:val="ListParagraph"/>
        <w:rPr>
          <w:rFonts w:asciiTheme="majorHAnsi" w:hAnsiTheme="majorHAnsi" w:cs="Calibri"/>
          <w:sz w:val="20"/>
          <w:szCs w:val="20"/>
        </w:rPr>
      </w:pPr>
    </w:p>
    <w:p w14:paraId="231EFA2B" w14:textId="0C6F79C0" w:rsidR="006E573A" w:rsidRPr="00B41E87" w:rsidRDefault="006E573A" w:rsidP="006E57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libri"/>
          <w:sz w:val="20"/>
          <w:szCs w:val="20"/>
        </w:rPr>
      </w:pPr>
      <w:r w:rsidRPr="00B41E87">
        <w:rPr>
          <w:rFonts w:asciiTheme="majorHAnsi" w:hAnsiTheme="majorHAnsi" w:cs="Calibri"/>
          <w:sz w:val="20"/>
          <w:szCs w:val="20"/>
        </w:rPr>
        <w:t xml:space="preserve">It is not disputed that Mr. Bucklew suffers from a rare and congenital medical condition, </w:t>
      </w:r>
      <w:r w:rsidR="0019385A" w:rsidRPr="00B41E87">
        <w:rPr>
          <w:rFonts w:asciiTheme="majorHAnsi" w:hAnsiTheme="majorHAnsi" w:cs="Calibri"/>
          <w:sz w:val="20"/>
          <w:szCs w:val="20"/>
        </w:rPr>
        <w:t xml:space="preserve">known as </w:t>
      </w:r>
      <w:r w:rsidRPr="00B41E87">
        <w:rPr>
          <w:rFonts w:asciiTheme="majorHAnsi" w:hAnsiTheme="majorHAnsi" w:cs="Calibri"/>
          <w:sz w:val="20"/>
          <w:szCs w:val="20"/>
        </w:rPr>
        <w:t>“cavernous hemangioma.”</w:t>
      </w:r>
      <w:r w:rsidRPr="00B41E87">
        <w:rPr>
          <w:rStyle w:val="FootnoteReference"/>
          <w:rFonts w:asciiTheme="majorHAnsi" w:hAnsiTheme="majorHAnsi"/>
          <w:sz w:val="20"/>
          <w:szCs w:val="20"/>
        </w:rPr>
        <w:footnoteReference w:id="13"/>
      </w:r>
    </w:p>
    <w:p w14:paraId="4033ED2F" w14:textId="77777777" w:rsidR="006E573A" w:rsidRPr="00B41E87" w:rsidRDefault="006E573A" w:rsidP="001D246C">
      <w:pPr>
        <w:pStyle w:val="ListParagraph"/>
        <w:rPr>
          <w:rFonts w:asciiTheme="majorHAnsi" w:hAnsiTheme="majorHAnsi" w:cs="Calibri"/>
          <w:sz w:val="20"/>
          <w:szCs w:val="20"/>
        </w:rPr>
      </w:pPr>
    </w:p>
    <w:p w14:paraId="42F15FB5" w14:textId="7E66BA41" w:rsidR="004C14A2" w:rsidRPr="00B41E87" w:rsidRDefault="00EE5F8A" w:rsidP="006961C6">
      <w:pPr>
        <w:pStyle w:val="Heading2"/>
        <w:keepNext w:val="0"/>
        <w:numPr>
          <w:ilvl w:val="0"/>
          <w:numId w:val="66"/>
        </w:numPr>
        <w:pBdr>
          <w:top w:val="nil"/>
          <w:left w:val="nil"/>
          <w:bottom w:val="nil"/>
          <w:right w:val="nil"/>
          <w:between w:val="nil"/>
          <w:bar w:val="nil"/>
        </w:pBdr>
        <w:ind w:left="1440" w:hanging="720"/>
        <w:rPr>
          <w:rFonts w:cs="Calibri"/>
          <w:lang w:val="en-US"/>
        </w:rPr>
      </w:pPr>
      <w:bookmarkStart w:id="40" w:name="_Toc511310295"/>
      <w:bookmarkStart w:id="41" w:name="_Toc512265308"/>
      <w:r w:rsidRPr="00B41E87">
        <w:rPr>
          <w:rFonts w:cs="Calibri"/>
          <w:lang w:val="en-US"/>
        </w:rPr>
        <w:t xml:space="preserve">Judicial </w:t>
      </w:r>
      <w:r w:rsidR="004C14A2" w:rsidRPr="00B41E87">
        <w:rPr>
          <w:rFonts w:cs="Calibri"/>
          <w:lang w:val="en-US"/>
        </w:rPr>
        <w:t>actions challenging Missouri’s lethal injection protocol</w:t>
      </w:r>
      <w:bookmarkEnd w:id="40"/>
      <w:bookmarkEnd w:id="41"/>
      <w:r w:rsidR="004C14A2" w:rsidRPr="00B41E87">
        <w:rPr>
          <w:rFonts w:cs="Calibri"/>
          <w:lang w:val="en-US"/>
        </w:rPr>
        <w:t xml:space="preserve"> </w:t>
      </w:r>
    </w:p>
    <w:p w14:paraId="40F17A1F" w14:textId="77777777" w:rsidR="004C14A2" w:rsidRPr="00B41E87" w:rsidRDefault="004C14A2" w:rsidP="004C14A2">
      <w:pPr>
        <w:tabs>
          <w:tab w:val="left" w:pos="1440"/>
          <w:tab w:val="num" w:pos="2040"/>
        </w:tabs>
        <w:jc w:val="both"/>
        <w:rPr>
          <w:rFonts w:asciiTheme="majorHAnsi" w:hAnsiTheme="majorHAnsi" w:cs="Calibri"/>
          <w:sz w:val="20"/>
          <w:szCs w:val="20"/>
        </w:rPr>
      </w:pPr>
    </w:p>
    <w:p w14:paraId="5E4D688A" w14:textId="1D036114" w:rsidR="006D7218" w:rsidRPr="00B41E87" w:rsidRDefault="006D7218" w:rsidP="006D7218">
      <w:pPr>
        <w:pStyle w:val="Heading3"/>
        <w:rPr>
          <w:rFonts w:asciiTheme="majorHAnsi" w:hAnsiTheme="majorHAnsi" w:cs="Calibri"/>
        </w:rPr>
      </w:pPr>
      <w:bookmarkStart w:id="42" w:name="_Toc511310296"/>
      <w:bookmarkStart w:id="43" w:name="_Toc512265309"/>
      <w:r w:rsidRPr="00B41E87">
        <w:rPr>
          <w:rFonts w:asciiTheme="majorHAnsi" w:hAnsiTheme="majorHAnsi"/>
        </w:rPr>
        <w:t>Judicial proceedings before 2014</w:t>
      </w:r>
      <w:bookmarkEnd w:id="42"/>
      <w:bookmarkEnd w:id="43"/>
    </w:p>
    <w:p w14:paraId="5AB05D88" w14:textId="77777777" w:rsidR="006D7218" w:rsidRPr="00B41E87" w:rsidRDefault="006D7218" w:rsidP="004C14A2">
      <w:pPr>
        <w:tabs>
          <w:tab w:val="left" w:pos="1440"/>
          <w:tab w:val="num" w:pos="2040"/>
        </w:tabs>
        <w:jc w:val="both"/>
        <w:rPr>
          <w:rFonts w:asciiTheme="majorHAnsi" w:hAnsiTheme="majorHAnsi" w:cs="Calibri"/>
          <w:sz w:val="20"/>
          <w:szCs w:val="20"/>
        </w:rPr>
      </w:pPr>
    </w:p>
    <w:p w14:paraId="3F7769A1" w14:textId="060A221D" w:rsidR="00433213" w:rsidRPr="00B41E87" w:rsidRDefault="00433213" w:rsidP="004332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According to the available information, Mr. </w:t>
      </w:r>
      <w:r w:rsidRPr="00B41E87">
        <w:rPr>
          <w:rFonts w:asciiTheme="majorHAnsi" w:hAnsiTheme="majorHAnsi" w:cs="Calibri"/>
          <w:sz w:val="20"/>
          <w:szCs w:val="20"/>
        </w:rPr>
        <w:t>Bucklew has filed three different judicial</w:t>
      </w:r>
      <w:r w:rsidRPr="00B41E87">
        <w:rPr>
          <w:rFonts w:asciiTheme="majorHAnsi" w:hAnsiTheme="majorHAnsi" w:cs="Calibri"/>
          <w:color w:val="FF0000"/>
          <w:sz w:val="20"/>
          <w:szCs w:val="20"/>
        </w:rPr>
        <w:t xml:space="preserve"> </w:t>
      </w:r>
      <w:r w:rsidRPr="00B41E87">
        <w:rPr>
          <w:rFonts w:asciiTheme="majorHAnsi" w:hAnsiTheme="majorHAnsi" w:cs="Calibri"/>
          <w:sz w:val="20"/>
          <w:szCs w:val="20"/>
        </w:rPr>
        <w:t xml:space="preserve">actions raising allegations regarding the lethal injection protocol in the State of Missouri, as well as specific considerations </w:t>
      </w:r>
      <w:r w:rsidR="0019385A" w:rsidRPr="00B41E87">
        <w:rPr>
          <w:rFonts w:asciiTheme="majorHAnsi" w:hAnsiTheme="majorHAnsi" w:cs="Calibri"/>
          <w:sz w:val="20"/>
          <w:szCs w:val="20"/>
        </w:rPr>
        <w:t xml:space="preserve">as to </w:t>
      </w:r>
      <w:r w:rsidRPr="00B41E87">
        <w:rPr>
          <w:rFonts w:asciiTheme="majorHAnsi" w:hAnsiTheme="majorHAnsi" w:cs="Calibri"/>
          <w:sz w:val="20"/>
          <w:szCs w:val="20"/>
        </w:rPr>
        <w:t xml:space="preserve">his medical condition and the use of certain drugs for the execution.  The Commission does not have </w:t>
      </w:r>
      <w:r w:rsidR="0019385A" w:rsidRPr="00B41E87">
        <w:rPr>
          <w:rFonts w:asciiTheme="majorHAnsi" w:hAnsiTheme="majorHAnsi" w:cs="Calibri"/>
          <w:sz w:val="20"/>
          <w:szCs w:val="20"/>
        </w:rPr>
        <w:t xml:space="preserve">detailed </w:t>
      </w:r>
      <w:r w:rsidRPr="00B41E87">
        <w:rPr>
          <w:rFonts w:asciiTheme="majorHAnsi" w:hAnsiTheme="majorHAnsi" w:cs="Calibri"/>
          <w:sz w:val="20"/>
          <w:szCs w:val="20"/>
        </w:rPr>
        <w:t xml:space="preserve">information </w:t>
      </w:r>
      <w:r w:rsidR="0019385A" w:rsidRPr="00B41E87">
        <w:rPr>
          <w:rFonts w:asciiTheme="majorHAnsi" w:hAnsiTheme="majorHAnsi" w:cs="Calibri"/>
          <w:sz w:val="20"/>
          <w:szCs w:val="20"/>
        </w:rPr>
        <w:t xml:space="preserve">about </w:t>
      </w:r>
      <w:r w:rsidRPr="00B41E87">
        <w:rPr>
          <w:rFonts w:asciiTheme="majorHAnsi" w:hAnsiTheme="majorHAnsi" w:cs="Calibri"/>
          <w:sz w:val="20"/>
          <w:szCs w:val="20"/>
        </w:rPr>
        <w:t xml:space="preserve">the course of these proceedings, as the petitioners and the State only made brief references to them. </w:t>
      </w:r>
      <w:r w:rsidR="0019385A" w:rsidRPr="00B41E87">
        <w:rPr>
          <w:rFonts w:asciiTheme="majorHAnsi" w:hAnsiTheme="majorHAnsi" w:cs="Calibri"/>
          <w:sz w:val="20"/>
          <w:szCs w:val="20"/>
        </w:rPr>
        <w:t>I</w:t>
      </w:r>
      <w:r w:rsidRPr="00B41E87">
        <w:rPr>
          <w:rFonts w:asciiTheme="majorHAnsi" w:hAnsiTheme="majorHAnsi" w:cs="Calibri"/>
          <w:sz w:val="20"/>
          <w:szCs w:val="20"/>
        </w:rPr>
        <w:t xml:space="preserve">n the State´s submission dated March 28, 2016 it presented a brief timeline of </w:t>
      </w:r>
      <w:r w:rsidR="0019385A" w:rsidRPr="00B41E87">
        <w:rPr>
          <w:rFonts w:asciiTheme="majorHAnsi" w:hAnsiTheme="majorHAnsi" w:cs="Calibri"/>
          <w:sz w:val="20"/>
          <w:szCs w:val="20"/>
        </w:rPr>
        <w:t>these</w:t>
      </w:r>
      <w:r w:rsidRPr="00B41E87">
        <w:rPr>
          <w:rFonts w:asciiTheme="majorHAnsi" w:hAnsiTheme="majorHAnsi" w:cs="Calibri"/>
          <w:sz w:val="20"/>
          <w:szCs w:val="20"/>
        </w:rPr>
        <w:t xml:space="preserve"> actions. </w:t>
      </w:r>
    </w:p>
    <w:p w14:paraId="631C1895" w14:textId="77777777" w:rsidR="00433213" w:rsidRPr="00B41E87" w:rsidRDefault="00433213" w:rsidP="004332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bCs/>
          <w:sz w:val="20"/>
          <w:szCs w:val="20"/>
        </w:rPr>
      </w:pPr>
    </w:p>
    <w:p w14:paraId="47E7F6D4" w14:textId="06FFC45D" w:rsidR="00433213" w:rsidRPr="00B41E87" w:rsidRDefault="00433213" w:rsidP="004332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hAnsiTheme="majorHAnsi" w:cs="Calibri"/>
          <w:sz w:val="20"/>
          <w:szCs w:val="20"/>
        </w:rPr>
        <w:t xml:space="preserve">Specifically the State </w:t>
      </w:r>
      <w:r w:rsidR="0019385A" w:rsidRPr="00B41E87">
        <w:rPr>
          <w:rFonts w:asciiTheme="majorHAnsi" w:hAnsiTheme="majorHAnsi" w:cs="Calibri"/>
          <w:sz w:val="20"/>
          <w:szCs w:val="20"/>
        </w:rPr>
        <w:t xml:space="preserve">referred to </w:t>
      </w:r>
      <w:r w:rsidRPr="00B41E87">
        <w:rPr>
          <w:rFonts w:asciiTheme="majorHAnsi" w:hAnsiTheme="majorHAnsi" w:cs="Calibri"/>
          <w:sz w:val="20"/>
          <w:szCs w:val="20"/>
        </w:rPr>
        <w:t>the first suit filed in 2009 before the Missouri District Court by Mr. Bucklew and other death row inmates. According to the State</w:t>
      </w:r>
      <w:r w:rsidR="0019385A" w:rsidRPr="00B41E87">
        <w:rPr>
          <w:rFonts w:asciiTheme="majorHAnsi" w:hAnsiTheme="majorHAnsi" w:cs="Calibri"/>
          <w:sz w:val="20"/>
          <w:szCs w:val="20"/>
        </w:rPr>
        <w:t>,</w:t>
      </w:r>
      <w:r w:rsidRPr="00B41E87">
        <w:rPr>
          <w:rFonts w:asciiTheme="majorHAnsi" w:hAnsiTheme="majorHAnsi" w:cs="Calibri"/>
          <w:sz w:val="20"/>
          <w:szCs w:val="20"/>
        </w:rPr>
        <w:t xml:space="preserve"> this suit challenged the lethal injection protocol in the state of Missouri and claimed that Missouri authorities did not obtain the drugs used in this method lawfully, that they were not prescribed by a licensed practitioner, and that these were not approved by the Federal Food and Drug Administration for use in lethal injections. Specifically this action </w:t>
      </w:r>
      <w:r w:rsidR="0019385A" w:rsidRPr="00B41E87">
        <w:rPr>
          <w:rFonts w:asciiTheme="majorHAnsi" w:hAnsiTheme="majorHAnsi" w:cs="Calibri"/>
          <w:sz w:val="20"/>
          <w:szCs w:val="20"/>
        </w:rPr>
        <w:t xml:space="preserve">sought </w:t>
      </w:r>
      <w:r w:rsidRPr="00B41E87">
        <w:rPr>
          <w:rFonts w:asciiTheme="majorHAnsi" w:hAnsiTheme="majorHAnsi" w:cs="Calibri"/>
          <w:sz w:val="20"/>
          <w:szCs w:val="20"/>
        </w:rPr>
        <w:t>a declaratory judgment that Missouri’s lethal injection violates the Food, Drug and Cosmetic Act (“FDCA”) as well as the Controlled Substances Act (“CSA”).</w:t>
      </w:r>
      <w:r w:rsidRPr="00B41E87">
        <w:rPr>
          <w:rStyle w:val="FootnoteReference"/>
          <w:rFonts w:asciiTheme="majorHAnsi" w:hAnsiTheme="majorHAnsi"/>
          <w:sz w:val="20"/>
          <w:szCs w:val="20"/>
        </w:rPr>
        <w:footnoteReference w:id="14"/>
      </w:r>
      <w:r w:rsidRPr="00B41E87">
        <w:rPr>
          <w:rFonts w:asciiTheme="majorHAnsi" w:hAnsiTheme="majorHAnsi" w:cs="Calibri"/>
          <w:sz w:val="20"/>
          <w:szCs w:val="20"/>
        </w:rPr>
        <w:t xml:space="preserve"> The State indicated that</w:t>
      </w:r>
      <w:r w:rsidR="0019385A" w:rsidRPr="00B41E87">
        <w:rPr>
          <w:rFonts w:asciiTheme="majorHAnsi" w:hAnsiTheme="majorHAnsi" w:cs="Calibri"/>
          <w:sz w:val="20"/>
          <w:szCs w:val="20"/>
        </w:rPr>
        <w:t>,</w:t>
      </w:r>
      <w:r w:rsidRPr="00B41E87">
        <w:rPr>
          <w:rFonts w:asciiTheme="majorHAnsi" w:hAnsiTheme="majorHAnsi" w:cs="Calibri"/>
          <w:sz w:val="20"/>
          <w:szCs w:val="20"/>
        </w:rPr>
        <w:t xml:space="preserve"> o</w:t>
      </w:r>
      <w:r w:rsidRPr="00B41E87">
        <w:rPr>
          <w:rFonts w:asciiTheme="majorHAnsi" w:eastAsia="Times New Roman" w:hAnsiTheme="majorHAnsi"/>
          <w:bCs/>
          <w:sz w:val="20"/>
          <w:szCs w:val="20"/>
        </w:rPr>
        <w:t>n May 19, 2009</w:t>
      </w:r>
      <w:r w:rsidR="0019385A"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the </w:t>
      </w:r>
      <w:r w:rsidR="00FB143F" w:rsidRPr="00B41E87">
        <w:rPr>
          <w:rFonts w:asciiTheme="majorHAnsi" w:eastAsia="Times New Roman" w:hAnsiTheme="majorHAnsi"/>
          <w:bCs/>
          <w:sz w:val="20"/>
          <w:szCs w:val="20"/>
        </w:rPr>
        <w:t>d</w:t>
      </w:r>
      <w:r w:rsidRPr="00B41E87">
        <w:rPr>
          <w:rFonts w:asciiTheme="majorHAnsi" w:eastAsia="Times New Roman" w:hAnsiTheme="majorHAnsi"/>
          <w:bCs/>
          <w:sz w:val="20"/>
          <w:szCs w:val="20"/>
        </w:rPr>
        <w:t xml:space="preserve">istrict </w:t>
      </w:r>
      <w:r w:rsidR="00FB143F" w:rsidRPr="00B41E87">
        <w:rPr>
          <w:rFonts w:asciiTheme="majorHAnsi" w:eastAsia="Times New Roman" w:hAnsiTheme="majorHAnsi"/>
          <w:bCs/>
          <w:sz w:val="20"/>
          <w:szCs w:val="20"/>
        </w:rPr>
        <w:t>c</w:t>
      </w:r>
      <w:r w:rsidRPr="00B41E87">
        <w:rPr>
          <w:rFonts w:asciiTheme="majorHAnsi" w:eastAsia="Times New Roman" w:hAnsiTheme="majorHAnsi"/>
          <w:bCs/>
          <w:sz w:val="20"/>
          <w:szCs w:val="20"/>
        </w:rPr>
        <w:t>ourt decided in favor of the Missouri Department of Corrections.</w:t>
      </w:r>
      <w:r w:rsidRPr="00B41E87">
        <w:rPr>
          <w:rStyle w:val="FootnoteReference"/>
          <w:rFonts w:asciiTheme="majorHAnsi" w:hAnsiTheme="majorHAnsi"/>
          <w:sz w:val="20"/>
          <w:szCs w:val="20"/>
        </w:rPr>
        <w:footnoteReference w:id="15"/>
      </w:r>
      <w:r w:rsidRPr="00B41E87">
        <w:rPr>
          <w:rFonts w:asciiTheme="majorHAnsi" w:eastAsia="Times New Roman" w:hAnsiTheme="majorHAnsi"/>
          <w:bCs/>
          <w:sz w:val="20"/>
          <w:szCs w:val="20"/>
        </w:rPr>
        <w:t xml:space="preserve"> This decision was then appealed to the Eight</w:t>
      </w:r>
      <w:r w:rsidR="0019385A" w:rsidRPr="00B41E87">
        <w:rPr>
          <w:rFonts w:asciiTheme="majorHAnsi" w:eastAsia="Times New Roman" w:hAnsiTheme="majorHAnsi"/>
          <w:bCs/>
          <w:sz w:val="20"/>
          <w:szCs w:val="20"/>
        </w:rPr>
        <w:t>h</w:t>
      </w:r>
      <w:r w:rsidRPr="00B41E87">
        <w:rPr>
          <w:rFonts w:asciiTheme="majorHAnsi" w:eastAsia="Times New Roman" w:hAnsiTheme="majorHAnsi"/>
          <w:bCs/>
          <w:sz w:val="20"/>
          <w:szCs w:val="20"/>
        </w:rPr>
        <w:t xml:space="preserve"> Circuit Court of Appeals which dismissed the complaint considering that the protocol being challenged had changed due to supply issues.</w:t>
      </w:r>
      <w:r w:rsidRPr="00B41E87">
        <w:rPr>
          <w:rStyle w:val="FootnoteReference"/>
          <w:rFonts w:asciiTheme="majorHAnsi" w:hAnsiTheme="majorHAnsi"/>
          <w:sz w:val="20"/>
          <w:szCs w:val="20"/>
        </w:rPr>
        <w:footnoteReference w:id="16"/>
      </w:r>
      <w:r w:rsidRPr="00B41E87">
        <w:rPr>
          <w:rFonts w:asciiTheme="majorHAnsi" w:eastAsia="Times New Roman" w:hAnsiTheme="majorHAnsi"/>
          <w:bCs/>
          <w:sz w:val="20"/>
          <w:szCs w:val="20"/>
        </w:rPr>
        <w:t xml:space="preserve"> In addition, the State mentioned that litigation was </w:t>
      </w:r>
      <w:r w:rsidR="0019385A" w:rsidRPr="00B41E87">
        <w:rPr>
          <w:rFonts w:asciiTheme="majorHAnsi" w:eastAsia="Times New Roman" w:hAnsiTheme="majorHAnsi"/>
          <w:bCs/>
          <w:sz w:val="20"/>
          <w:szCs w:val="20"/>
        </w:rPr>
        <w:t xml:space="preserve">brought </w:t>
      </w:r>
      <w:r w:rsidR="00FB143F" w:rsidRPr="00B41E87">
        <w:rPr>
          <w:rFonts w:asciiTheme="majorHAnsi" w:eastAsia="Times New Roman" w:hAnsiTheme="majorHAnsi"/>
          <w:bCs/>
          <w:sz w:val="20"/>
          <w:szCs w:val="20"/>
        </w:rPr>
        <w:t>to unseal documents in the c</w:t>
      </w:r>
      <w:r w:rsidRPr="00B41E87">
        <w:rPr>
          <w:rFonts w:asciiTheme="majorHAnsi" w:eastAsia="Times New Roman" w:hAnsiTheme="majorHAnsi"/>
          <w:bCs/>
          <w:sz w:val="20"/>
          <w:szCs w:val="20"/>
        </w:rPr>
        <w:t>ourt’s docket</w:t>
      </w:r>
      <w:r w:rsidR="0019385A"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including the deposition of an anesthesiologist, </w:t>
      </w:r>
      <w:r w:rsidR="0019385A" w:rsidRPr="00B41E87">
        <w:rPr>
          <w:rFonts w:asciiTheme="majorHAnsi" w:eastAsia="Times New Roman" w:hAnsiTheme="majorHAnsi"/>
          <w:bCs/>
          <w:sz w:val="20"/>
          <w:szCs w:val="20"/>
        </w:rPr>
        <w:t xml:space="preserve">which the litigants considered could </w:t>
      </w:r>
      <w:r w:rsidRPr="00B41E87">
        <w:rPr>
          <w:rFonts w:asciiTheme="majorHAnsi" w:eastAsia="Times New Roman" w:hAnsiTheme="majorHAnsi"/>
          <w:bCs/>
          <w:sz w:val="20"/>
          <w:szCs w:val="20"/>
        </w:rPr>
        <w:t>reveal key information about Missouri’s execution procedures</w:t>
      </w:r>
      <w:r w:rsidR="0019385A" w:rsidRPr="00B41E87">
        <w:rPr>
          <w:rFonts w:asciiTheme="majorHAnsi" w:eastAsia="Times New Roman" w:hAnsiTheme="majorHAnsi"/>
          <w:bCs/>
          <w:sz w:val="20"/>
          <w:szCs w:val="20"/>
        </w:rPr>
        <w:t>.</w:t>
      </w:r>
      <w:r w:rsidRPr="00B41E87">
        <w:rPr>
          <w:rStyle w:val="FootnoteReference"/>
          <w:rFonts w:asciiTheme="majorHAnsi" w:hAnsiTheme="majorHAnsi"/>
          <w:sz w:val="20"/>
          <w:szCs w:val="20"/>
        </w:rPr>
        <w:footnoteReference w:id="17"/>
      </w:r>
      <w:r w:rsidRPr="00B41E87">
        <w:rPr>
          <w:rFonts w:asciiTheme="majorHAnsi" w:eastAsia="Times New Roman" w:hAnsiTheme="majorHAnsi"/>
          <w:bCs/>
          <w:sz w:val="20"/>
          <w:szCs w:val="20"/>
        </w:rPr>
        <w:t xml:space="preserve"> Lastly, the State said that</w:t>
      </w:r>
      <w:r w:rsidR="0019385A"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on January 6, 2016</w:t>
      </w:r>
      <w:r w:rsidR="0019385A"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the </w:t>
      </w:r>
      <w:r w:rsidR="00FB143F" w:rsidRPr="00B41E87">
        <w:rPr>
          <w:rFonts w:asciiTheme="majorHAnsi" w:eastAsia="Times New Roman" w:hAnsiTheme="majorHAnsi"/>
          <w:bCs/>
          <w:sz w:val="20"/>
          <w:szCs w:val="20"/>
        </w:rPr>
        <w:t>d</w:t>
      </w:r>
      <w:r w:rsidRPr="00B41E87">
        <w:rPr>
          <w:rFonts w:asciiTheme="majorHAnsi" w:eastAsia="Times New Roman" w:hAnsiTheme="majorHAnsi"/>
          <w:bCs/>
          <w:sz w:val="20"/>
          <w:szCs w:val="20"/>
        </w:rPr>
        <w:t xml:space="preserve">istrict </w:t>
      </w:r>
      <w:r w:rsidR="00FB143F" w:rsidRPr="00B41E87">
        <w:rPr>
          <w:rFonts w:asciiTheme="majorHAnsi" w:eastAsia="Times New Roman" w:hAnsiTheme="majorHAnsi"/>
          <w:bCs/>
          <w:sz w:val="20"/>
          <w:szCs w:val="20"/>
        </w:rPr>
        <w:t>c</w:t>
      </w:r>
      <w:r w:rsidRPr="00B41E87">
        <w:rPr>
          <w:rFonts w:asciiTheme="majorHAnsi" w:eastAsia="Times New Roman" w:hAnsiTheme="majorHAnsi"/>
          <w:bCs/>
          <w:sz w:val="20"/>
          <w:szCs w:val="20"/>
        </w:rPr>
        <w:t xml:space="preserve">ourt denied the request to unseal. </w:t>
      </w:r>
    </w:p>
    <w:p w14:paraId="28F4EFAB" w14:textId="77777777" w:rsidR="00433213" w:rsidRPr="00B41E87" w:rsidRDefault="00433213" w:rsidP="004332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bCs/>
          <w:sz w:val="20"/>
          <w:szCs w:val="20"/>
        </w:rPr>
      </w:pPr>
    </w:p>
    <w:p w14:paraId="579B45FE" w14:textId="1D39BD32" w:rsidR="00433213" w:rsidRPr="00B41E87" w:rsidRDefault="0019385A" w:rsidP="004332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lastRenderedPageBreak/>
        <w:t>According to the State, t</w:t>
      </w:r>
      <w:r w:rsidR="00433213" w:rsidRPr="00B41E87">
        <w:rPr>
          <w:rFonts w:asciiTheme="majorHAnsi" w:eastAsia="Times New Roman" w:hAnsiTheme="majorHAnsi"/>
          <w:bCs/>
          <w:sz w:val="20"/>
          <w:szCs w:val="20"/>
        </w:rPr>
        <w:t xml:space="preserve">he second suit was filed by Mr. </w:t>
      </w:r>
      <w:r w:rsidR="00433213" w:rsidRPr="00B41E87">
        <w:rPr>
          <w:rFonts w:asciiTheme="majorHAnsi" w:hAnsiTheme="majorHAnsi" w:cs="Calibri"/>
          <w:sz w:val="20"/>
          <w:szCs w:val="20"/>
        </w:rPr>
        <w:t>Bucklew and a group of death row inmates</w:t>
      </w:r>
      <w:r w:rsidR="00ED4BEA" w:rsidRPr="00B41E87">
        <w:rPr>
          <w:rFonts w:asciiTheme="majorHAnsi" w:hAnsiTheme="majorHAnsi" w:cs="Calibri"/>
          <w:sz w:val="20"/>
          <w:szCs w:val="20"/>
        </w:rPr>
        <w:t xml:space="preserve"> in 2012</w:t>
      </w:r>
      <w:r w:rsidR="00433213" w:rsidRPr="00B41E87">
        <w:rPr>
          <w:rFonts w:asciiTheme="majorHAnsi" w:hAnsiTheme="majorHAnsi" w:cs="Calibri"/>
          <w:sz w:val="20"/>
          <w:szCs w:val="20"/>
        </w:rPr>
        <w:t xml:space="preserve"> against various officials of the Missouri Department of Corrections. It </w:t>
      </w:r>
      <w:r w:rsidR="00ED4BEA" w:rsidRPr="00B41E87">
        <w:rPr>
          <w:rFonts w:asciiTheme="majorHAnsi" w:hAnsiTheme="majorHAnsi" w:cs="Calibri"/>
          <w:sz w:val="20"/>
          <w:szCs w:val="20"/>
        </w:rPr>
        <w:t xml:space="preserve">claimed </w:t>
      </w:r>
      <w:r w:rsidR="00433213" w:rsidRPr="00B41E87">
        <w:rPr>
          <w:rFonts w:asciiTheme="majorHAnsi" w:hAnsiTheme="majorHAnsi" w:cs="Calibri"/>
          <w:sz w:val="20"/>
          <w:szCs w:val="20"/>
        </w:rPr>
        <w:t xml:space="preserve">that Missouri’s execution protocol creates a substantial risk of severe pain constituting cruel and unusual punishment; that the protocol constitutes deliberate indifference to serious medical needs in violation of due process; that the process for setting execution dates denies the inmates access to the courts in violation of due process; that </w:t>
      </w:r>
      <w:r w:rsidR="00ED4BEA" w:rsidRPr="00B41E87">
        <w:rPr>
          <w:rFonts w:asciiTheme="majorHAnsi" w:hAnsiTheme="majorHAnsi" w:cs="Calibri"/>
          <w:sz w:val="20"/>
          <w:szCs w:val="20"/>
        </w:rPr>
        <w:t xml:space="preserve">the </w:t>
      </w:r>
      <w:r w:rsidR="00433213" w:rsidRPr="00B41E87">
        <w:rPr>
          <w:rFonts w:asciiTheme="majorHAnsi" w:hAnsiTheme="majorHAnsi" w:cs="Calibri"/>
          <w:sz w:val="20"/>
          <w:szCs w:val="20"/>
        </w:rPr>
        <w:t>failure to comply with the injection protocol violate</w:t>
      </w:r>
      <w:r w:rsidR="00ED4BEA" w:rsidRPr="00B41E87">
        <w:rPr>
          <w:rFonts w:asciiTheme="majorHAnsi" w:hAnsiTheme="majorHAnsi" w:cs="Calibri"/>
          <w:sz w:val="20"/>
          <w:szCs w:val="20"/>
        </w:rPr>
        <w:t>s</w:t>
      </w:r>
      <w:r w:rsidR="00433213" w:rsidRPr="00B41E87">
        <w:rPr>
          <w:rFonts w:asciiTheme="majorHAnsi" w:hAnsiTheme="majorHAnsi" w:cs="Calibri"/>
          <w:sz w:val="20"/>
          <w:szCs w:val="20"/>
        </w:rPr>
        <w:t xml:space="preserve"> due process and equal protection rights; and that Missouri has concealed information from the public.</w:t>
      </w:r>
      <w:r w:rsidR="00433213" w:rsidRPr="00B41E87">
        <w:rPr>
          <w:rStyle w:val="FootnoteReference"/>
          <w:rFonts w:asciiTheme="majorHAnsi" w:hAnsiTheme="majorHAnsi"/>
          <w:sz w:val="20"/>
          <w:szCs w:val="20"/>
        </w:rPr>
        <w:footnoteReference w:id="18"/>
      </w:r>
      <w:r w:rsidR="00433213" w:rsidRPr="00B41E87">
        <w:rPr>
          <w:rFonts w:asciiTheme="majorHAnsi" w:hAnsiTheme="majorHAnsi" w:cs="Calibri"/>
          <w:sz w:val="20"/>
          <w:szCs w:val="20"/>
        </w:rPr>
        <w:t xml:space="preserve"> </w:t>
      </w:r>
      <w:r w:rsidR="00FB143F" w:rsidRPr="00B41E87">
        <w:rPr>
          <w:rFonts w:asciiTheme="majorHAnsi" w:eastAsia="Times New Roman" w:hAnsiTheme="majorHAnsi"/>
          <w:bCs/>
          <w:sz w:val="20"/>
          <w:szCs w:val="20"/>
        </w:rPr>
        <w:t>On May 2, 2014 the d</w:t>
      </w:r>
      <w:r w:rsidR="00433213" w:rsidRPr="00B41E87">
        <w:rPr>
          <w:rFonts w:asciiTheme="majorHAnsi" w:eastAsia="Times New Roman" w:hAnsiTheme="majorHAnsi"/>
          <w:bCs/>
          <w:sz w:val="20"/>
          <w:szCs w:val="20"/>
        </w:rPr>
        <w:t xml:space="preserve">istrict </w:t>
      </w:r>
      <w:r w:rsidR="00FB143F" w:rsidRPr="00B41E87">
        <w:rPr>
          <w:rFonts w:asciiTheme="majorHAnsi" w:eastAsia="Times New Roman" w:hAnsiTheme="majorHAnsi"/>
          <w:bCs/>
          <w:sz w:val="20"/>
          <w:szCs w:val="20"/>
        </w:rPr>
        <w:t>c</w:t>
      </w:r>
      <w:r w:rsidR="00433213" w:rsidRPr="00B41E87">
        <w:rPr>
          <w:rFonts w:asciiTheme="majorHAnsi" w:eastAsia="Times New Roman" w:hAnsiTheme="majorHAnsi"/>
          <w:bCs/>
          <w:sz w:val="20"/>
          <w:szCs w:val="20"/>
        </w:rPr>
        <w:t xml:space="preserve">ourt dismissed the case. </w:t>
      </w:r>
      <w:r w:rsidR="00ED4BEA" w:rsidRPr="00B41E87">
        <w:rPr>
          <w:rFonts w:asciiTheme="majorHAnsi" w:eastAsia="Times New Roman" w:hAnsiTheme="majorHAnsi"/>
          <w:bCs/>
          <w:sz w:val="20"/>
          <w:szCs w:val="20"/>
        </w:rPr>
        <w:t>T</w:t>
      </w:r>
      <w:r w:rsidR="00433213" w:rsidRPr="00B41E87">
        <w:rPr>
          <w:rFonts w:asciiTheme="majorHAnsi" w:eastAsia="Times New Roman" w:hAnsiTheme="majorHAnsi"/>
          <w:bCs/>
          <w:sz w:val="20"/>
          <w:szCs w:val="20"/>
        </w:rPr>
        <w:t xml:space="preserve">he State affirmed </w:t>
      </w:r>
      <w:r w:rsidR="00ED4BEA" w:rsidRPr="00B41E87">
        <w:rPr>
          <w:rFonts w:asciiTheme="majorHAnsi" w:eastAsia="Times New Roman" w:hAnsiTheme="majorHAnsi"/>
          <w:bCs/>
          <w:sz w:val="20"/>
          <w:szCs w:val="20"/>
        </w:rPr>
        <w:t xml:space="preserve">at that time </w:t>
      </w:r>
      <w:r w:rsidR="00433213" w:rsidRPr="00B41E87">
        <w:rPr>
          <w:rFonts w:asciiTheme="majorHAnsi" w:eastAsia="Times New Roman" w:hAnsiTheme="majorHAnsi"/>
          <w:bCs/>
          <w:sz w:val="20"/>
          <w:szCs w:val="20"/>
        </w:rPr>
        <w:t xml:space="preserve">that litigation was still ongoing on plaintiffs’ motion to unseal documents from the docket for the public. The Commission does not have further information regarding this proceeding. </w:t>
      </w:r>
    </w:p>
    <w:p w14:paraId="7AD8F710" w14:textId="77777777" w:rsidR="00433213" w:rsidRPr="00B41E87" w:rsidRDefault="00433213" w:rsidP="00433213">
      <w:pPr>
        <w:pStyle w:val="ListParagraph"/>
        <w:rPr>
          <w:rFonts w:asciiTheme="majorHAnsi" w:eastAsia="Times New Roman" w:hAnsiTheme="majorHAnsi"/>
          <w:bCs/>
          <w:sz w:val="20"/>
          <w:szCs w:val="20"/>
        </w:rPr>
      </w:pPr>
    </w:p>
    <w:p w14:paraId="708B2030" w14:textId="77777777" w:rsidR="00433213" w:rsidRPr="00B41E87" w:rsidRDefault="00433213" w:rsidP="00433213">
      <w:pPr>
        <w:pStyle w:val="Heading3"/>
        <w:rPr>
          <w:rFonts w:asciiTheme="majorHAnsi" w:hAnsiTheme="majorHAnsi"/>
        </w:rPr>
      </w:pPr>
      <w:bookmarkStart w:id="44" w:name="_Toc511310297"/>
      <w:bookmarkStart w:id="45" w:name="_Toc512265310"/>
      <w:r w:rsidRPr="00B41E87">
        <w:rPr>
          <w:rFonts w:asciiTheme="majorHAnsi" w:hAnsiTheme="majorHAnsi"/>
        </w:rPr>
        <w:t>Judicial proceedings since 2014</w:t>
      </w:r>
      <w:bookmarkEnd w:id="44"/>
      <w:bookmarkEnd w:id="45"/>
      <w:r w:rsidRPr="00B41E87">
        <w:rPr>
          <w:rFonts w:asciiTheme="majorHAnsi" w:hAnsiTheme="majorHAnsi"/>
        </w:rPr>
        <w:t xml:space="preserve"> </w:t>
      </w:r>
    </w:p>
    <w:p w14:paraId="245EC98D" w14:textId="77777777" w:rsidR="00433213" w:rsidRPr="00B41E87" w:rsidRDefault="00433213" w:rsidP="00433213">
      <w:pPr>
        <w:tabs>
          <w:tab w:val="left" w:pos="1440"/>
        </w:tabs>
        <w:ind w:left="720"/>
        <w:jc w:val="both"/>
        <w:rPr>
          <w:rFonts w:asciiTheme="majorHAnsi" w:eastAsia="Times New Roman" w:hAnsiTheme="majorHAnsi"/>
          <w:bCs/>
          <w:sz w:val="20"/>
          <w:szCs w:val="20"/>
        </w:rPr>
      </w:pPr>
    </w:p>
    <w:p w14:paraId="6366E04A" w14:textId="1F602BD2" w:rsidR="00433213" w:rsidRPr="00B41E87" w:rsidRDefault="00433213" w:rsidP="004332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libri"/>
          <w:sz w:val="20"/>
          <w:szCs w:val="20"/>
        </w:rPr>
      </w:pPr>
      <w:r w:rsidRPr="00B41E87">
        <w:rPr>
          <w:rFonts w:asciiTheme="majorHAnsi" w:hAnsiTheme="majorHAnsi" w:cs="Calibri"/>
          <w:sz w:val="20"/>
          <w:szCs w:val="20"/>
        </w:rPr>
        <w:t xml:space="preserve">Both parties referred in detail </w:t>
      </w:r>
      <w:r w:rsidR="001C152E" w:rsidRPr="00B41E87">
        <w:rPr>
          <w:rFonts w:asciiTheme="majorHAnsi" w:hAnsiTheme="majorHAnsi" w:cs="Calibri"/>
          <w:sz w:val="20"/>
          <w:szCs w:val="20"/>
        </w:rPr>
        <w:t xml:space="preserve">to </w:t>
      </w:r>
      <w:r w:rsidRPr="00B41E87">
        <w:rPr>
          <w:rFonts w:asciiTheme="majorHAnsi" w:hAnsiTheme="majorHAnsi" w:cs="Calibri"/>
          <w:sz w:val="20"/>
          <w:szCs w:val="20"/>
        </w:rPr>
        <w:t xml:space="preserve">the judicial proceedings initiated </w:t>
      </w:r>
      <w:r w:rsidR="001C152E" w:rsidRPr="00B41E87">
        <w:rPr>
          <w:rFonts w:asciiTheme="majorHAnsi" w:hAnsiTheme="majorHAnsi" w:cs="Calibri"/>
          <w:sz w:val="20"/>
          <w:szCs w:val="20"/>
        </w:rPr>
        <w:t xml:space="preserve">from </w:t>
      </w:r>
      <w:r w:rsidRPr="00B41E87">
        <w:rPr>
          <w:rFonts w:asciiTheme="majorHAnsi" w:hAnsiTheme="majorHAnsi" w:cs="Calibri"/>
          <w:sz w:val="20"/>
          <w:szCs w:val="20"/>
        </w:rPr>
        <w:t xml:space="preserve">2014 to </w:t>
      </w:r>
      <w:r w:rsidR="001C152E" w:rsidRPr="00B41E87">
        <w:rPr>
          <w:rFonts w:asciiTheme="majorHAnsi" w:hAnsiTheme="majorHAnsi" w:cs="Calibri"/>
          <w:sz w:val="20"/>
          <w:szCs w:val="20"/>
        </w:rPr>
        <w:t xml:space="preserve">the </w:t>
      </w:r>
      <w:r w:rsidRPr="00B41E87">
        <w:rPr>
          <w:rFonts w:asciiTheme="majorHAnsi" w:hAnsiTheme="majorHAnsi" w:cs="Calibri"/>
          <w:sz w:val="20"/>
          <w:szCs w:val="20"/>
        </w:rPr>
        <w:t xml:space="preserve">present </w:t>
      </w:r>
      <w:r w:rsidR="001C152E" w:rsidRPr="00B41E87">
        <w:rPr>
          <w:rFonts w:asciiTheme="majorHAnsi" w:hAnsiTheme="majorHAnsi" w:cs="Calibri"/>
          <w:sz w:val="20"/>
          <w:szCs w:val="20"/>
        </w:rPr>
        <w:t xml:space="preserve">and </w:t>
      </w:r>
      <w:r w:rsidRPr="00B41E87">
        <w:rPr>
          <w:rFonts w:asciiTheme="majorHAnsi" w:hAnsiTheme="majorHAnsi" w:cs="Calibri"/>
          <w:sz w:val="20"/>
          <w:szCs w:val="20"/>
        </w:rPr>
        <w:t xml:space="preserve">which are summarized as follows. </w:t>
      </w:r>
    </w:p>
    <w:p w14:paraId="25609EAC" w14:textId="77777777" w:rsidR="004C14A2" w:rsidRPr="00B41E87" w:rsidRDefault="004C14A2" w:rsidP="00433213">
      <w:pPr>
        <w:tabs>
          <w:tab w:val="left" w:pos="1440"/>
        </w:tabs>
        <w:ind w:left="720"/>
        <w:jc w:val="both"/>
        <w:rPr>
          <w:rFonts w:asciiTheme="majorHAnsi" w:eastAsia="Times New Roman" w:hAnsiTheme="majorHAnsi"/>
          <w:bCs/>
          <w:sz w:val="20"/>
          <w:szCs w:val="20"/>
        </w:rPr>
      </w:pPr>
    </w:p>
    <w:p w14:paraId="06B40547" w14:textId="477DD51B"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libri"/>
          <w:sz w:val="20"/>
          <w:szCs w:val="20"/>
        </w:rPr>
      </w:pPr>
      <w:r w:rsidRPr="00B41E87">
        <w:rPr>
          <w:rFonts w:asciiTheme="majorHAnsi" w:hAnsiTheme="majorHAnsi" w:cs="Calibri"/>
          <w:sz w:val="20"/>
          <w:szCs w:val="20"/>
        </w:rPr>
        <w:t>On April 9, 2014 the Missouri Supreme Court set Mr. Bucklew’s execution for May 21, 2014.</w:t>
      </w:r>
      <w:r w:rsidRPr="00B41E87">
        <w:rPr>
          <w:rStyle w:val="FootnoteReference"/>
          <w:rFonts w:asciiTheme="majorHAnsi" w:hAnsiTheme="majorHAnsi"/>
          <w:sz w:val="20"/>
          <w:szCs w:val="20"/>
        </w:rPr>
        <w:footnoteReference w:id="19"/>
      </w:r>
      <w:r w:rsidRPr="00B41E87">
        <w:rPr>
          <w:rFonts w:asciiTheme="majorHAnsi" w:hAnsiTheme="majorHAnsi" w:cs="Calibri"/>
          <w:sz w:val="20"/>
          <w:szCs w:val="20"/>
        </w:rPr>
        <w:t xml:space="preserve"> </w:t>
      </w:r>
    </w:p>
    <w:p w14:paraId="433B31A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ACC49BD" w14:textId="47CFCDA2" w:rsidR="00235CF0"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On May 9, 2014 Mr. </w:t>
      </w:r>
      <w:r w:rsidRPr="00B41E87">
        <w:rPr>
          <w:rFonts w:asciiTheme="majorHAnsi" w:hAnsiTheme="majorHAnsi" w:cs="Calibri"/>
          <w:sz w:val="20"/>
          <w:szCs w:val="20"/>
        </w:rPr>
        <w:t xml:space="preserve">Bucklew filed a new lawsuit in the United States District Court for the Western District of Missouri, alleging that Missouri’s lethal injection method posed a unique risk to him because of his medical condition. He also sought a preliminary injunction and a stay of execution. </w:t>
      </w:r>
      <w:r w:rsidR="00235CF0" w:rsidRPr="00B41E87">
        <w:rPr>
          <w:rFonts w:asciiTheme="majorHAnsi" w:hAnsiTheme="majorHAnsi" w:cs="Calibri"/>
          <w:sz w:val="20"/>
          <w:szCs w:val="20"/>
        </w:rPr>
        <w:t xml:space="preserve">Among his allegations, Mr. Bucklew claimed that failing to take reasonable and necessary steps to assess the risk he would face during his execution “constitutes deliberate indifference to his serious medical needs and violates his rights under the Eighth Amendment and the Due Process Clause </w:t>
      </w:r>
      <w:r w:rsidR="001C152E" w:rsidRPr="00B41E87">
        <w:rPr>
          <w:rFonts w:asciiTheme="majorHAnsi" w:hAnsiTheme="majorHAnsi" w:cs="Calibri"/>
          <w:sz w:val="20"/>
          <w:szCs w:val="20"/>
        </w:rPr>
        <w:t>of</w:t>
      </w:r>
      <w:r w:rsidR="00235CF0" w:rsidRPr="00B41E87">
        <w:rPr>
          <w:rFonts w:asciiTheme="majorHAnsi" w:hAnsiTheme="majorHAnsi" w:cs="Calibri"/>
          <w:sz w:val="20"/>
          <w:szCs w:val="20"/>
        </w:rPr>
        <w:t xml:space="preserve"> the Fourteenth Amendment.”</w:t>
      </w:r>
      <w:r w:rsidR="00235CF0" w:rsidRPr="00B41E87">
        <w:rPr>
          <w:rStyle w:val="FootnoteReference"/>
          <w:rFonts w:asciiTheme="majorHAnsi" w:hAnsiTheme="majorHAnsi"/>
          <w:sz w:val="20"/>
          <w:szCs w:val="20"/>
        </w:rPr>
        <w:footnoteReference w:id="20"/>
      </w:r>
    </w:p>
    <w:p w14:paraId="09296A33" w14:textId="77777777" w:rsidR="00235CF0" w:rsidRPr="00B41E87" w:rsidRDefault="00235CF0" w:rsidP="00235CF0">
      <w:pPr>
        <w:pStyle w:val="ListParagraph"/>
        <w:rPr>
          <w:rFonts w:asciiTheme="majorHAnsi" w:hAnsiTheme="majorHAnsi" w:cs="Calibri"/>
          <w:sz w:val="20"/>
          <w:szCs w:val="20"/>
        </w:rPr>
      </w:pPr>
    </w:p>
    <w:p w14:paraId="50EC0092" w14:textId="598BAE3F"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hAnsiTheme="majorHAnsi" w:cs="Calibri"/>
          <w:sz w:val="20"/>
          <w:szCs w:val="20"/>
        </w:rPr>
        <w:t xml:space="preserve">On May 19, 2014 the </w:t>
      </w:r>
      <w:r w:rsidR="00FB143F" w:rsidRPr="00B41E87">
        <w:rPr>
          <w:rFonts w:asciiTheme="majorHAnsi" w:hAnsiTheme="majorHAnsi" w:cs="Calibri"/>
          <w:sz w:val="20"/>
          <w:szCs w:val="20"/>
        </w:rPr>
        <w:t>d</w:t>
      </w:r>
      <w:r w:rsidRPr="00B41E87">
        <w:rPr>
          <w:rFonts w:asciiTheme="majorHAnsi" w:hAnsiTheme="majorHAnsi" w:cs="Calibri"/>
          <w:sz w:val="20"/>
          <w:szCs w:val="20"/>
        </w:rPr>
        <w:t xml:space="preserve">istrict </w:t>
      </w:r>
      <w:r w:rsidR="00FB143F" w:rsidRPr="00B41E87">
        <w:rPr>
          <w:rFonts w:asciiTheme="majorHAnsi" w:hAnsiTheme="majorHAnsi" w:cs="Calibri"/>
          <w:sz w:val="20"/>
          <w:szCs w:val="20"/>
        </w:rPr>
        <w:t>c</w:t>
      </w:r>
      <w:r w:rsidRPr="00B41E87">
        <w:rPr>
          <w:rFonts w:asciiTheme="majorHAnsi" w:hAnsiTheme="majorHAnsi" w:cs="Calibri"/>
          <w:sz w:val="20"/>
          <w:szCs w:val="20"/>
        </w:rPr>
        <w:t>ourt denied both motions.</w:t>
      </w:r>
      <w:r w:rsidRPr="00B41E87">
        <w:rPr>
          <w:rStyle w:val="FootnoteReference"/>
          <w:rFonts w:asciiTheme="majorHAnsi" w:hAnsiTheme="majorHAnsi"/>
          <w:sz w:val="20"/>
          <w:szCs w:val="20"/>
        </w:rPr>
        <w:footnoteReference w:id="21"/>
      </w:r>
      <w:r w:rsidRPr="00B41E87">
        <w:rPr>
          <w:rFonts w:asciiTheme="majorHAnsi" w:hAnsiTheme="majorHAnsi" w:cs="Calibri"/>
          <w:sz w:val="20"/>
          <w:szCs w:val="20"/>
        </w:rPr>
        <w:t xml:space="preserve"> </w:t>
      </w:r>
      <w:r w:rsidR="00FB143F" w:rsidRPr="00B41E87">
        <w:rPr>
          <w:rFonts w:asciiTheme="majorHAnsi" w:hAnsiTheme="majorHAnsi" w:cs="Calibri"/>
          <w:sz w:val="20"/>
          <w:szCs w:val="20"/>
        </w:rPr>
        <w:t>In its decision, the c</w:t>
      </w:r>
      <w:r w:rsidR="00235CF0" w:rsidRPr="00B41E87">
        <w:rPr>
          <w:rFonts w:asciiTheme="majorHAnsi" w:hAnsiTheme="majorHAnsi" w:cs="Calibri"/>
          <w:sz w:val="20"/>
          <w:szCs w:val="20"/>
        </w:rPr>
        <w:t xml:space="preserve">ourt reviewed affidavits </w:t>
      </w:r>
      <w:r w:rsidR="001C152E" w:rsidRPr="00B41E87">
        <w:rPr>
          <w:rFonts w:asciiTheme="majorHAnsi" w:hAnsiTheme="majorHAnsi" w:cs="Calibri"/>
          <w:sz w:val="20"/>
          <w:szCs w:val="20"/>
        </w:rPr>
        <w:t xml:space="preserve">from three experts </w:t>
      </w:r>
      <w:r w:rsidR="00235CF0" w:rsidRPr="00B41E87">
        <w:rPr>
          <w:rFonts w:asciiTheme="majorHAnsi" w:hAnsiTheme="majorHAnsi" w:cs="Calibri"/>
          <w:sz w:val="20"/>
          <w:szCs w:val="20"/>
        </w:rPr>
        <w:t xml:space="preserve">submitted by Mr. Bucklew, and found that these were “insufficient to conclude that any adverse consequences [Mr. Bucklew] may suffer rise to the level of unconstitutional pain.” </w:t>
      </w:r>
      <w:r w:rsidR="00FB143F" w:rsidRPr="00B41E87">
        <w:rPr>
          <w:rFonts w:asciiTheme="majorHAnsi" w:hAnsiTheme="majorHAnsi" w:cs="Calibri"/>
          <w:sz w:val="20"/>
          <w:szCs w:val="20"/>
        </w:rPr>
        <w:t>Moreover the c</w:t>
      </w:r>
      <w:r w:rsidR="002A1D24" w:rsidRPr="00B41E87">
        <w:rPr>
          <w:rFonts w:asciiTheme="majorHAnsi" w:hAnsiTheme="majorHAnsi" w:cs="Calibri"/>
          <w:sz w:val="20"/>
          <w:szCs w:val="20"/>
        </w:rPr>
        <w:t>ourt considered that:</w:t>
      </w:r>
    </w:p>
    <w:p w14:paraId="26D6B68E" w14:textId="77777777" w:rsidR="002A1D24" w:rsidRPr="00B41E87" w:rsidRDefault="002A1D24" w:rsidP="002A1D24">
      <w:pPr>
        <w:pStyle w:val="ListParagraph"/>
        <w:rPr>
          <w:rFonts w:asciiTheme="majorHAnsi" w:eastAsia="Times New Roman" w:hAnsiTheme="majorHAnsi"/>
          <w:bCs/>
          <w:sz w:val="20"/>
          <w:szCs w:val="20"/>
        </w:rPr>
      </w:pPr>
    </w:p>
    <w:p w14:paraId="70C49437" w14:textId="1A93A867" w:rsidR="00C87D8F" w:rsidRPr="00B41E87" w:rsidRDefault="002A1D24" w:rsidP="008C37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cs="Arial"/>
          <w:color w:val="000000"/>
          <w:sz w:val="20"/>
          <w:szCs w:val="20"/>
          <w:bdr w:val="none" w:sz="0" w:space="0" w:color="auto"/>
          <w:lang w:eastAsia="es-US"/>
        </w:rPr>
      </w:pPr>
      <w:r w:rsidRPr="00B41E87">
        <w:rPr>
          <w:rStyle w:val="a"/>
          <w:rFonts w:asciiTheme="majorHAnsi" w:hAnsiTheme="majorHAnsi"/>
          <w:color w:val="000000"/>
          <w:sz w:val="20"/>
          <w:szCs w:val="20"/>
          <w:bdr w:val="none" w:sz="0" w:space="0" w:color="auto" w:frame="1"/>
          <w:shd w:val="clear" w:color="auto" w:fill="FFFFFF"/>
        </w:rPr>
        <w:t>Although the affidavits contain words such as “significant” and “substantial risk,” a closer look reveals that the affidavits do not contain the specificity necessary to prevail on an Eighth Amendment claim. For example, when discuss</w:t>
      </w:r>
      <w:r w:rsidRPr="00B41E87">
        <w:rPr>
          <w:rStyle w:val="l6"/>
          <w:rFonts w:asciiTheme="majorHAnsi" w:hAnsiTheme="majorHAnsi"/>
          <w:color w:val="000000"/>
          <w:sz w:val="20"/>
          <w:szCs w:val="20"/>
          <w:bdr w:val="none" w:sz="0" w:space="0" w:color="auto" w:frame="1"/>
          <w:shd w:val="clear" w:color="auto" w:fill="FFFFFF"/>
        </w:rPr>
        <w:t>ing the possibility of adverse </w:t>
      </w:r>
      <w:r w:rsidRPr="00B41E87">
        <w:rPr>
          <w:rStyle w:val="l7"/>
          <w:rFonts w:asciiTheme="majorHAnsi" w:hAnsiTheme="majorHAnsi"/>
          <w:color w:val="000000"/>
          <w:sz w:val="20"/>
          <w:szCs w:val="20"/>
          <w:bdr w:val="none" w:sz="0" w:space="0" w:color="auto" w:frame="1"/>
          <w:shd w:val="clear" w:color="auto" w:fill="FFFFFF"/>
        </w:rPr>
        <w:t xml:space="preserve">drug interactions, </w:t>
      </w:r>
      <w:r w:rsidR="00871D3D" w:rsidRPr="00B41E87">
        <w:rPr>
          <w:rStyle w:val="a"/>
          <w:rFonts w:asciiTheme="majorHAnsi" w:hAnsiTheme="majorHAnsi"/>
          <w:color w:val="000000"/>
          <w:sz w:val="20"/>
          <w:szCs w:val="20"/>
          <w:bdr w:val="none" w:sz="0" w:space="0" w:color="auto" w:frame="1"/>
          <w:shd w:val="clear" w:color="auto" w:fill="FFFFFF"/>
        </w:rPr>
        <w:t>[Expert Z.]</w:t>
      </w:r>
      <w:r w:rsidRPr="00B41E87">
        <w:rPr>
          <w:rStyle w:val="a"/>
          <w:rFonts w:asciiTheme="majorHAnsi" w:hAnsiTheme="majorHAnsi"/>
          <w:color w:val="000000"/>
          <w:sz w:val="20"/>
          <w:szCs w:val="20"/>
          <w:bdr w:val="none" w:sz="0" w:space="0" w:color="auto" w:frame="1"/>
          <w:shd w:val="clear" w:color="auto" w:fill="FFFFFF"/>
        </w:rPr>
        <w:t xml:space="preserve"> fails to explain how the medications could interact to increase Bucklew’s pain. Although he concludes there is a substantial risk that drug interactions could cause pain, he bases this conclusion on the fact that medicat</w:t>
      </w:r>
      <w:r w:rsidRPr="00B41E87">
        <w:rPr>
          <w:rStyle w:val="a"/>
          <w:rFonts w:asciiTheme="majorHAnsi" w:hAnsiTheme="majorHAnsi"/>
          <w:sz w:val="20"/>
          <w:szCs w:val="20"/>
        </w:rPr>
        <w:t xml:space="preserve">ions “may” interact with pentobarbital. When discussing </w:t>
      </w:r>
      <w:r w:rsidRPr="00B41E87">
        <w:rPr>
          <w:rStyle w:val="a"/>
          <w:rFonts w:asciiTheme="majorHAnsi" w:hAnsiTheme="majorHAnsi"/>
          <w:color w:val="000000"/>
          <w:sz w:val="20"/>
          <w:szCs w:val="20"/>
          <w:bdr w:val="none" w:sz="0" w:space="0" w:color="auto" w:frame="1"/>
          <w:shd w:val="clear" w:color="auto" w:fill="FFFFFF"/>
        </w:rPr>
        <w:t>the possibility that the lethal drug will not circulate as intended, t</w:t>
      </w:r>
      <w:r w:rsidRPr="00B41E87">
        <w:rPr>
          <w:rStyle w:val="a"/>
          <w:rFonts w:asciiTheme="majorHAnsi" w:hAnsiTheme="majorHAnsi"/>
          <w:sz w:val="20"/>
          <w:szCs w:val="20"/>
          <w:bdr w:val="none" w:sz="0" w:space="0" w:color="auto" w:frame="1"/>
        </w:rPr>
        <w:t>here is no explanation as to how</w:t>
      </w:r>
      <w:r w:rsidR="00C87D8F" w:rsidRPr="00B41E87">
        <w:rPr>
          <w:rStyle w:val="a"/>
          <w:rFonts w:asciiTheme="majorHAnsi" w:hAnsiTheme="majorHAnsi"/>
          <w:sz w:val="20"/>
          <w:szCs w:val="20"/>
          <w:bdr w:val="none" w:sz="0" w:space="0" w:color="auto" w:frame="1"/>
        </w:rPr>
        <w:t xml:space="preserve"> </w:t>
      </w:r>
      <w:r w:rsidR="00C87D8F" w:rsidRPr="00B41E87">
        <w:rPr>
          <w:rFonts w:asciiTheme="majorHAnsi" w:eastAsia="Times New Roman" w:hAnsiTheme="majorHAnsi"/>
          <w:color w:val="000000"/>
          <w:sz w:val="20"/>
          <w:szCs w:val="20"/>
          <w:bdr w:val="none" w:sz="0" w:space="0" w:color="auto" w:frame="1"/>
          <w:lang w:eastAsia="es-US"/>
        </w:rPr>
        <w:t xml:space="preserve">the drug should circulate or will circulate. Similarly there is no explanation as to how he defines “prolonged” or “extremely painful.” Lastly, the affidavits are void of discussion regarding the length of time Bucklew may suffer pain. […] </w:t>
      </w:r>
      <w:r w:rsidR="00C87D8F" w:rsidRPr="00B41E87">
        <w:rPr>
          <w:rFonts w:asciiTheme="majorHAnsi" w:eastAsia="Times New Roman" w:hAnsiTheme="majorHAnsi"/>
          <w:i/>
          <w:iCs/>
          <w:color w:val="000000"/>
          <w:sz w:val="20"/>
          <w:szCs w:val="20"/>
          <w:bdr w:val="none" w:sz="0" w:space="0" w:color="auto" w:frame="1"/>
          <w:lang w:eastAsia="es-US"/>
        </w:rPr>
        <w:t xml:space="preserve">See Fierro v. Gomez </w:t>
      </w:r>
      <w:r w:rsidR="00C87D8F" w:rsidRPr="00B41E87">
        <w:rPr>
          <w:rFonts w:asciiTheme="majorHAnsi" w:eastAsia="Times New Roman" w:hAnsiTheme="majorHAnsi"/>
          <w:iCs/>
          <w:color w:val="000000"/>
          <w:sz w:val="20"/>
          <w:szCs w:val="20"/>
          <w:bdr w:val="none" w:sz="0" w:space="0" w:color="auto" w:frame="1"/>
          <w:lang w:eastAsia="es-US"/>
        </w:rPr>
        <w:t>[…] (</w:t>
      </w:r>
      <w:r w:rsidR="00C87D8F" w:rsidRPr="00B41E87">
        <w:rPr>
          <w:rFonts w:asciiTheme="majorHAnsi" w:eastAsia="Times New Roman" w:hAnsiTheme="majorHAnsi"/>
          <w:color w:val="000000"/>
          <w:sz w:val="20"/>
          <w:szCs w:val="20"/>
          <w:bdr w:val="none" w:sz="0" w:space="0" w:color="auto" w:frame="1"/>
          <w:lang w:eastAsia="es-US"/>
        </w:rPr>
        <w:t xml:space="preserve">determining that execution by lethal gas is cruel and unusual punishment by considering: (1) the extreme pain an inmate would suffer; (2) the specific length of time this extreme pain lasts; and (3) the substantial risk that an inmate will suffer this extreme pain for several minutes); </w:t>
      </w:r>
      <w:r w:rsidR="00C87D8F" w:rsidRPr="00B41E87">
        <w:rPr>
          <w:rFonts w:asciiTheme="majorHAnsi" w:eastAsia="Times New Roman" w:hAnsiTheme="majorHAnsi"/>
          <w:i/>
          <w:iCs/>
          <w:color w:val="000000"/>
          <w:sz w:val="20"/>
          <w:szCs w:val="20"/>
          <w:bdr w:val="none" w:sz="0" w:space="0" w:color="auto" w:frame="1"/>
          <w:lang w:eastAsia="es-US"/>
        </w:rPr>
        <w:t>see also Brewer v. Landrigan</w:t>
      </w:r>
      <w:r w:rsidR="00C87D8F" w:rsidRPr="00B41E87">
        <w:rPr>
          <w:rFonts w:asciiTheme="majorHAnsi" w:eastAsia="Times New Roman" w:hAnsiTheme="majorHAnsi"/>
          <w:color w:val="000000"/>
          <w:sz w:val="20"/>
          <w:szCs w:val="20"/>
          <w:bdr w:val="none" w:sz="0" w:space="0" w:color="auto" w:frame="1"/>
          <w:lang w:eastAsia="es-US"/>
        </w:rPr>
        <w:t xml:space="preserve">, 131 S. Ct. 445 (2010) (holding that “speculation cannot substitute for evidence that the use of the drug is sure or very likely to cause serious illness and needless suffering”) […] </w:t>
      </w:r>
      <w:r w:rsidR="00C87D8F" w:rsidRPr="00B41E87">
        <w:rPr>
          <w:rFonts w:asciiTheme="majorHAnsi" w:eastAsia="Times New Roman" w:hAnsiTheme="majorHAnsi"/>
          <w:i/>
          <w:iCs/>
          <w:color w:val="000000"/>
          <w:sz w:val="20"/>
          <w:szCs w:val="20"/>
          <w:bdr w:val="none" w:sz="0" w:space="0" w:color="auto" w:frame="1"/>
          <w:lang w:eastAsia="es-US"/>
        </w:rPr>
        <w:t>Whitaker v. Livingston</w:t>
      </w:r>
      <w:r w:rsidR="00C87D8F" w:rsidRPr="00B41E87">
        <w:rPr>
          <w:rFonts w:asciiTheme="majorHAnsi" w:eastAsia="Times New Roman" w:hAnsiTheme="majorHAnsi"/>
          <w:color w:val="000000"/>
          <w:sz w:val="20"/>
          <w:szCs w:val="20"/>
          <w:bdr w:val="none" w:sz="0" w:space="0" w:color="auto" w:frame="1"/>
          <w:lang w:eastAsia="es-US"/>
        </w:rPr>
        <w:t xml:space="preserve">, 732 F.3d 465, 468-69 (5th Cir. 2013)(“It is indeed not unreasonable to assume that if a prisoner has the right to be free from a demonstrated risk of severe pain when compared to a known and available alternative, he ought to have the opportunity to prove the risk of pain and the availability of </w:t>
      </w:r>
      <w:r w:rsidR="00C87D8F" w:rsidRPr="00B41E87">
        <w:rPr>
          <w:rFonts w:asciiTheme="majorHAnsi" w:eastAsia="Times New Roman" w:hAnsiTheme="majorHAnsi"/>
          <w:color w:val="000000"/>
          <w:sz w:val="20"/>
          <w:szCs w:val="20"/>
          <w:bdr w:val="none" w:sz="0" w:space="0" w:color="auto" w:frame="1"/>
          <w:lang w:eastAsia="es-US"/>
        </w:rPr>
        <w:lastRenderedPageBreak/>
        <w:t xml:space="preserve">alternatives. Even so, plaintiffs must point to </w:t>
      </w:r>
      <w:r w:rsidR="00C87D8F" w:rsidRPr="00B41E87">
        <w:rPr>
          <w:rFonts w:asciiTheme="majorHAnsi" w:eastAsia="Times New Roman" w:hAnsiTheme="majorHAnsi"/>
          <w:i/>
          <w:iCs/>
          <w:color w:val="000000"/>
          <w:sz w:val="20"/>
          <w:szCs w:val="20"/>
          <w:bdr w:val="none" w:sz="0" w:space="0" w:color="auto" w:frame="1"/>
          <w:lang w:eastAsia="es-US"/>
        </w:rPr>
        <w:t>some</w:t>
      </w:r>
      <w:r w:rsidR="00C87D8F" w:rsidRPr="00B41E87">
        <w:rPr>
          <w:rFonts w:asciiTheme="majorHAnsi" w:eastAsia="Times New Roman" w:hAnsiTheme="majorHAnsi"/>
          <w:color w:val="000000"/>
          <w:sz w:val="20"/>
          <w:szCs w:val="20"/>
          <w:bdr w:val="none" w:sz="0" w:space="0" w:color="auto" w:frame="1"/>
          <w:lang w:eastAsia="es-US"/>
        </w:rPr>
        <w:t xml:space="preserve"> likelihood that such pain will be severe and that some alternative </w:t>
      </w:r>
      <w:r w:rsidR="00C87D8F" w:rsidRPr="00B41E87">
        <w:rPr>
          <w:rStyle w:val="a"/>
          <w:rFonts w:asciiTheme="majorHAnsi" w:hAnsiTheme="majorHAnsi"/>
          <w:color w:val="000000"/>
          <w:sz w:val="20"/>
          <w:szCs w:val="20"/>
          <w:bdr w:val="none" w:sz="0" w:space="0" w:color="auto" w:frame="1"/>
          <w:shd w:val="clear" w:color="auto" w:fill="FFFFFF"/>
        </w:rPr>
        <w:t>may exist. It is unacceptable to </w:t>
      </w:r>
      <w:r w:rsidR="00C87D8F" w:rsidRPr="00B41E87">
        <w:rPr>
          <w:rStyle w:val="l6"/>
          <w:rFonts w:asciiTheme="majorHAnsi" w:hAnsiTheme="majorHAnsi"/>
          <w:color w:val="000000"/>
          <w:sz w:val="20"/>
          <w:szCs w:val="20"/>
          <w:bdr w:val="none" w:sz="0" w:space="0" w:color="auto" w:frame="1"/>
          <w:shd w:val="clear" w:color="auto" w:fill="FFFFFF"/>
        </w:rPr>
        <w:t>claim that some unspecified amount of time is </w:t>
      </w:r>
      <w:r w:rsidR="00C87D8F" w:rsidRPr="00B41E87">
        <w:rPr>
          <w:rStyle w:val="l7"/>
          <w:rFonts w:asciiTheme="majorHAnsi" w:hAnsiTheme="majorHAnsi"/>
          <w:color w:val="000000"/>
          <w:sz w:val="20"/>
          <w:szCs w:val="20"/>
          <w:bdr w:val="none" w:sz="0" w:space="0" w:color="auto" w:frame="1"/>
          <w:shd w:val="clear" w:color="auto" w:fill="FFFFFF"/>
        </w:rPr>
        <w:t xml:space="preserve">required, just in </w:t>
      </w:r>
      <w:r w:rsidR="00C87D8F" w:rsidRPr="00B41E87">
        <w:rPr>
          <w:rStyle w:val="a"/>
          <w:rFonts w:asciiTheme="majorHAnsi" w:hAnsiTheme="majorHAnsi"/>
          <w:color w:val="000000"/>
          <w:sz w:val="20"/>
          <w:szCs w:val="20"/>
          <w:bdr w:val="none" w:sz="0" w:space="0" w:color="auto" w:frame="1"/>
          <w:shd w:val="clear" w:color="auto" w:fill="FFFFFF"/>
        </w:rPr>
        <w:t>case they might be able to show that there might be some risk of potentially excessive pain</w:t>
      </w:r>
      <w:r w:rsidR="001C152E" w:rsidRPr="00B41E87">
        <w:rPr>
          <w:rStyle w:val="a"/>
          <w:rFonts w:asciiTheme="majorHAnsi" w:hAnsiTheme="majorHAnsi"/>
          <w:color w:val="000000"/>
          <w:sz w:val="20"/>
          <w:szCs w:val="20"/>
          <w:bdr w:val="none" w:sz="0" w:space="0" w:color="auto" w:frame="1"/>
          <w:shd w:val="clear" w:color="auto" w:fill="FFFFFF"/>
        </w:rPr>
        <w:t xml:space="preserve"> .…” </w:t>
      </w:r>
      <w:r w:rsidR="00C87D8F" w:rsidRPr="00B41E87">
        <w:rPr>
          <w:rStyle w:val="a"/>
          <w:rFonts w:asciiTheme="majorHAnsi" w:hAnsiTheme="majorHAnsi"/>
          <w:color w:val="000000"/>
          <w:sz w:val="20"/>
          <w:szCs w:val="20"/>
          <w:bdr w:val="none" w:sz="0" w:space="0" w:color="auto" w:frame="1"/>
          <w:shd w:val="clear" w:color="auto" w:fill="FFFFFF"/>
        </w:rPr>
        <w:t>“[U]nknown unknowns [about the dangerous propensity of a drug used for lethal injection] are insufficient to demonstrate a risk of harm; something more is needed to meet the difficult preliminary-injunction standard.”)</w:t>
      </w:r>
      <w:r w:rsidR="00C87D8F" w:rsidRPr="00B41E87">
        <w:rPr>
          <w:rStyle w:val="FootnoteReference"/>
          <w:rFonts w:asciiTheme="majorHAnsi" w:hAnsiTheme="majorHAnsi"/>
          <w:sz w:val="20"/>
          <w:szCs w:val="20"/>
        </w:rPr>
        <w:footnoteReference w:id="22"/>
      </w:r>
    </w:p>
    <w:p w14:paraId="08DED06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66ED164B" w14:textId="5EA89135"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Mr. </w:t>
      </w:r>
      <w:r w:rsidRPr="00B41E87">
        <w:rPr>
          <w:rFonts w:asciiTheme="majorHAnsi" w:hAnsiTheme="majorHAnsi" w:cs="Calibri"/>
          <w:sz w:val="20"/>
          <w:szCs w:val="20"/>
        </w:rPr>
        <w:t>Bucklew appealed this decision to the United States Court of Appeals for the Eight</w:t>
      </w:r>
      <w:r w:rsidR="001C152E" w:rsidRPr="00B41E87">
        <w:rPr>
          <w:rFonts w:asciiTheme="majorHAnsi" w:hAnsiTheme="majorHAnsi" w:cs="Calibri"/>
          <w:sz w:val="20"/>
          <w:szCs w:val="20"/>
        </w:rPr>
        <w:t>h</w:t>
      </w:r>
      <w:r w:rsidRPr="00B41E87">
        <w:rPr>
          <w:rFonts w:asciiTheme="majorHAnsi" w:hAnsiTheme="majorHAnsi" w:cs="Calibri"/>
          <w:sz w:val="20"/>
          <w:szCs w:val="20"/>
        </w:rPr>
        <w:t xml:space="preserve"> Circuit. </w:t>
      </w:r>
      <w:r w:rsidRPr="00B41E87">
        <w:rPr>
          <w:rFonts w:asciiTheme="majorHAnsi" w:eastAsia="Times New Roman" w:hAnsiTheme="majorHAnsi"/>
          <w:bCs/>
          <w:sz w:val="20"/>
          <w:szCs w:val="20"/>
        </w:rPr>
        <w:t>On May 20, 2014 the Eight</w:t>
      </w:r>
      <w:r w:rsidR="001C152E" w:rsidRPr="00B41E87">
        <w:rPr>
          <w:rFonts w:asciiTheme="majorHAnsi" w:eastAsia="Times New Roman" w:hAnsiTheme="majorHAnsi"/>
          <w:bCs/>
          <w:sz w:val="20"/>
          <w:szCs w:val="20"/>
        </w:rPr>
        <w:t>h</w:t>
      </w:r>
      <w:r w:rsidRPr="00B41E87">
        <w:rPr>
          <w:rFonts w:asciiTheme="majorHAnsi" w:eastAsia="Times New Roman" w:hAnsiTheme="majorHAnsi"/>
          <w:bCs/>
          <w:sz w:val="20"/>
          <w:szCs w:val="20"/>
        </w:rPr>
        <w:t xml:space="preserve"> Circuit initially reversed this decision and granted the stay of execution, the motion </w:t>
      </w:r>
      <w:r w:rsidR="001C152E" w:rsidRPr="00B41E87">
        <w:rPr>
          <w:rFonts w:asciiTheme="majorHAnsi" w:eastAsia="Times New Roman" w:hAnsiTheme="majorHAnsi"/>
          <w:bCs/>
          <w:sz w:val="20"/>
          <w:szCs w:val="20"/>
        </w:rPr>
        <w:t xml:space="preserve">having </w:t>
      </w:r>
      <w:r w:rsidRPr="00B41E87">
        <w:rPr>
          <w:rFonts w:asciiTheme="majorHAnsi" w:eastAsia="Times New Roman" w:hAnsiTheme="majorHAnsi"/>
          <w:bCs/>
          <w:sz w:val="20"/>
          <w:szCs w:val="20"/>
        </w:rPr>
        <w:t>been heard by a three-judge pan</w:t>
      </w:r>
      <w:r w:rsidR="005E16CD" w:rsidRPr="00B41E87">
        <w:rPr>
          <w:rFonts w:asciiTheme="majorHAnsi" w:eastAsia="Times New Roman" w:hAnsiTheme="majorHAnsi"/>
          <w:bCs/>
          <w:sz w:val="20"/>
          <w:szCs w:val="20"/>
        </w:rPr>
        <w:t>el and granted by a vote of 2-1</w:t>
      </w:r>
      <w:r w:rsidRPr="00B41E87">
        <w:rPr>
          <w:rFonts w:asciiTheme="majorHAnsi" w:eastAsia="Times New Roman" w:hAnsiTheme="majorHAnsi"/>
          <w:bCs/>
          <w:sz w:val="20"/>
          <w:szCs w:val="20"/>
        </w:rPr>
        <w:t xml:space="preserve">.   Immediately on the same date, the Eighth Circuit later sitting </w:t>
      </w:r>
      <w:r w:rsidRPr="00B41E87">
        <w:rPr>
          <w:rFonts w:asciiTheme="majorHAnsi" w:eastAsia="Times New Roman" w:hAnsiTheme="majorHAnsi"/>
          <w:bCs/>
          <w:i/>
          <w:sz w:val="20"/>
          <w:szCs w:val="20"/>
        </w:rPr>
        <w:t>en banc</w:t>
      </w:r>
      <w:r w:rsidRPr="00B41E87">
        <w:rPr>
          <w:rFonts w:asciiTheme="majorHAnsi" w:eastAsia="Times New Roman" w:hAnsiTheme="majorHAnsi"/>
          <w:bCs/>
          <w:sz w:val="20"/>
          <w:szCs w:val="20"/>
        </w:rPr>
        <w:t xml:space="preserve"> reversed the ruling of the panel, and decided the execution </w:t>
      </w:r>
      <w:r w:rsidR="001C152E" w:rsidRPr="00B41E87">
        <w:rPr>
          <w:rFonts w:asciiTheme="majorHAnsi" w:eastAsia="Times New Roman" w:hAnsiTheme="majorHAnsi"/>
          <w:bCs/>
          <w:sz w:val="20"/>
          <w:szCs w:val="20"/>
        </w:rPr>
        <w:t>would</w:t>
      </w:r>
      <w:r w:rsidRPr="00B41E87">
        <w:rPr>
          <w:rFonts w:asciiTheme="majorHAnsi" w:eastAsia="Times New Roman" w:hAnsiTheme="majorHAnsi"/>
          <w:bCs/>
          <w:sz w:val="20"/>
          <w:szCs w:val="20"/>
        </w:rPr>
        <w:t xml:space="preserve"> proceed.</w:t>
      </w:r>
      <w:r w:rsidRPr="00B41E87">
        <w:rPr>
          <w:rStyle w:val="FootnoteReference"/>
          <w:rFonts w:asciiTheme="majorHAnsi" w:hAnsiTheme="majorHAnsi"/>
          <w:sz w:val="20"/>
          <w:szCs w:val="20"/>
        </w:rPr>
        <w:footnoteReference w:id="23"/>
      </w:r>
      <w:r w:rsidRPr="00B41E87">
        <w:rPr>
          <w:rFonts w:asciiTheme="majorHAnsi" w:eastAsia="Times New Roman" w:hAnsiTheme="majorHAnsi"/>
          <w:bCs/>
          <w:sz w:val="20"/>
          <w:szCs w:val="20"/>
        </w:rPr>
        <w:t xml:space="preserve">   </w:t>
      </w:r>
    </w:p>
    <w:p w14:paraId="307D1B28"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6FF3CDCA" w14:textId="6D807B25" w:rsidR="004C14A2" w:rsidRPr="00B41E87" w:rsidRDefault="004C14A2" w:rsidP="00F425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Mr. </w:t>
      </w:r>
      <w:r w:rsidRPr="00B41E87">
        <w:rPr>
          <w:rFonts w:asciiTheme="majorHAnsi" w:hAnsiTheme="majorHAnsi" w:cs="Calibri"/>
          <w:sz w:val="20"/>
          <w:szCs w:val="20"/>
        </w:rPr>
        <w:t xml:space="preserve">Bucklew then applied to the U.S. Supreme Court for a stay of execution. On May 21, 2014, the U.S. Supreme Court ordered that the execution be stayed, pending </w:t>
      </w:r>
      <w:r w:rsidR="001C152E" w:rsidRPr="00B41E87">
        <w:rPr>
          <w:rFonts w:asciiTheme="majorHAnsi" w:hAnsiTheme="majorHAnsi" w:cs="Calibri"/>
          <w:sz w:val="20"/>
          <w:szCs w:val="20"/>
        </w:rPr>
        <w:t xml:space="preserve">disposition </w:t>
      </w:r>
      <w:r w:rsidRPr="00B41E87">
        <w:rPr>
          <w:rFonts w:asciiTheme="majorHAnsi" w:hAnsiTheme="majorHAnsi" w:cs="Calibri"/>
          <w:sz w:val="20"/>
          <w:szCs w:val="20"/>
        </w:rPr>
        <w:t xml:space="preserve">of </w:t>
      </w:r>
      <w:r w:rsidR="001C152E" w:rsidRPr="00B41E87">
        <w:rPr>
          <w:rFonts w:asciiTheme="majorHAnsi" w:hAnsiTheme="majorHAnsi" w:cs="Calibri"/>
          <w:sz w:val="20"/>
          <w:szCs w:val="20"/>
        </w:rPr>
        <w:t xml:space="preserve">the </w:t>
      </w:r>
      <w:r w:rsidRPr="00B41E87">
        <w:rPr>
          <w:rFonts w:asciiTheme="majorHAnsi" w:hAnsiTheme="majorHAnsi" w:cs="Calibri"/>
          <w:sz w:val="20"/>
          <w:szCs w:val="20"/>
        </w:rPr>
        <w:t xml:space="preserve">appeal </w:t>
      </w:r>
      <w:r w:rsidR="001C152E" w:rsidRPr="00B41E87">
        <w:rPr>
          <w:rFonts w:asciiTheme="majorHAnsi" w:hAnsiTheme="majorHAnsi" w:cs="Calibri"/>
          <w:sz w:val="20"/>
          <w:szCs w:val="20"/>
        </w:rPr>
        <w:t>by</w:t>
      </w:r>
      <w:r w:rsidRPr="00B41E87">
        <w:rPr>
          <w:rFonts w:asciiTheme="majorHAnsi" w:hAnsiTheme="majorHAnsi" w:cs="Calibri"/>
          <w:sz w:val="20"/>
          <w:szCs w:val="20"/>
        </w:rPr>
        <w:t xml:space="preserve"> the Eight</w:t>
      </w:r>
      <w:r w:rsidR="001C152E" w:rsidRPr="00B41E87">
        <w:rPr>
          <w:rFonts w:asciiTheme="majorHAnsi" w:hAnsiTheme="majorHAnsi" w:cs="Calibri"/>
          <w:sz w:val="20"/>
          <w:szCs w:val="20"/>
        </w:rPr>
        <w:t>h</w:t>
      </w:r>
      <w:r w:rsidRPr="00B41E87">
        <w:rPr>
          <w:rFonts w:asciiTheme="majorHAnsi" w:hAnsiTheme="majorHAnsi" w:cs="Calibri"/>
          <w:sz w:val="20"/>
          <w:szCs w:val="20"/>
        </w:rPr>
        <w:t xml:space="preserve"> Circuit.</w:t>
      </w:r>
      <w:r w:rsidRPr="00B41E87">
        <w:rPr>
          <w:rStyle w:val="FootnoteReference"/>
          <w:rFonts w:asciiTheme="majorHAnsi" w:hAnsiTheme="majorHAnsi"/>
          <w:sz w:val="20"/>
          <w:szCs w:val="20"/>
        </w:rPr>
        <w:footnoteReference w:id="24"/>
      </w:r>
      <w:r w:rsidRPr="00B41E87">
        <w:rPr>
          <w:rFonts w:asciiTheme="majorHAnsi" w:hAnsiTheme="majorHAnsi" w:cs="Calibri"/>
          <w:sz w:val="20"/>
          <w:szCs w:val="20"/>
        </w:rPr>
        <w:t xml:space="preserve"> </w:t>
      </w:r>
    </w:p>
    <w:p w14:paraId="0E72C7F0" w14:textId="77777777" w:rsidR="00F4251C" w:rsidRPr="00B41E87" w:rsidRDefault="00F4251C" w:rsidP="00F4251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bCs/>
          <w:sz w:val="20"/>
          <w:szCs w:val="20"/>
        </w:rPr>
      </w:pPr>
    </w:p>
    <w:p w14:paraId="772AC3E7" w14:textId="2E31443B"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On March 6, 2015 the Eighth Circuit Court ruled that </w:t>
      </w:r>
      <w:r w:rsidR="00EE5EE2" w:rsidRPr="00B41E87">
        <w:rPr>
          <w:rFonts w:asciiTheme="majorHAnsi" w:eastAsia="Times New Roman" w:hAnsiTheme="majorHAnsi"/>
          <w:bCs/>
          <w:sz w:val="20"/>
          <w:szCs w:val="20"/>
        </w:rPr>
        <w:t>in</w:t>
      </w:r>
      <w:r w:rsidRPr="00B41E87">
        <w:rPr>
          <w:rFonts w:asciiTheme="majorHAnsi" w:eastAsia="Times New Roman" w:hAnsiTheme="majorHAnsi"/>
          <w:bCs/>
          <w:sz w:val="20"/>
          <w:szCs w:val="20"/>
        </w:rPr>
        <w:t xml:space="preserve"> dismiss</w:t>
      </w:r>
      <w:r w:rsidR="00EE5EE2" w:rsidRPr="00B41E87">
        <w:rPr>
          <w:rFonts w:asciiTheme="majorHAnsi" w:eastAsia="Times New Roman" w:hAnsiTheme="majorHAnsi"/>
          <w:bCs/>
          <w:sz w:val="20"/>
          <w:szCs w:val="20"/>
        </w:rPr>
        <w:t>ing</w:t>
      </w:r>
      <w:r w:rsidRPr="00B41E87">
        <w:rPr>
          <w:rFonts w:asciiTheme="majorHAnsi" w:eastAsia="Times New Roman" w:hAnsiTheme="majorHAnsi"/>
          <w:bCs/>
          <w:sz w:val="20"/>
          <w:szCs w:val="20"/>
        </w:rPr>
        <w:t xml:space="preserve"> Mr. </w:t>
      </w:r>
      <w:r w:rsidRPr="00B41E87">
        <w:rPr>
          <w:rFonts w:asciiTheme="majorHAnsi" w:hAnsiTheme="majorHAnsi" w:cs="Calibri"/>
          <w:sz w:val="20"/>
          <w:szCs w:val="20"/>
        </w:rPr>
        <w:t>Bucklew’s complaint the federal district court erred “because it was not patently obvious that he could not prevail or that an amendment to the complaint would be futile.”</w:t>
      </w:r>
      <w:r w:rsidRPr="00B41E87">
        <w:rPr>
          <w:rStyle w:val="FootnoteReference"/>
          <w:rFonts w:asciiTheme="majorHAnsi" w:hAnsiTheme="majorHAnsi"/>
          <w:sz w:val="20"/>
          <w:szCs w:val="20"/>
        </w:rPr>
        <w:footnoteReference w:id="25"/>
      </w:r>
      <w:r w:rsidRPr="00B41E87">
        <w:rPr>
          <w:rFonts w:asciiTheme="majorHAnsi" w:hAnsiTheme="majorHAnsi" w:cs="Calibri"/>
          <w:sz w:val="20"/>
          <w:szCs w:val="20"/>
        </w:rPr>
        <w:t xml:space="preserve"> The Eighth Circuit Court </w:t>
      </w:r>
      <w:r w:rsidR="00FB143F" w:rsidRPr="00B41E87">
        <w:rPr>
          <w:rFonts w:asciiTheme="majorHAnsi" w:eastAsia="Times New Roman" w:hAnsiTheme="majorHAnsi"/>
          <w:bCs/>
          <w:sz w:val="20"/>
          <w:szCs w:val="20"/>
        </w:rPr>
        <w:t>remanded the case to the d</w:t>
      </w:r>
      <w:r w:rsidRPr="00B41E87">
        <w:rPr>
          <w:rFonts w:asciiTheme="majorHAnsi" w:eastAsia="Times New Roman" w:hAnsiTheme="majorHAnsi"/>
          <w:bCs/>
          <w:sz w:val="20"/>
          <w:szCs w:val="20"/>
        </w:rPr>
        <w:t xml:space="preserve">istrict </w:t>
      </w:r>
      <w:r w:rsidR="00FB143F" w:rsidRPr="00B41E87">
        <w:rPr>
          <w:rFonts w:asciiTheme="majorHAnsi" w:eastAsia="Times New Roman" w:hAnsiTheme="majorHAnsi"/>
          <w:bCs/>
          <w:sz w:val="20"/>
          <w:szCs w:val="20"/>
        </w:rPr>
        <w:t>c</w:t>
      </w:r>
      <w:r w:rsidRPr="00B41E87">
        <w:rPr>
          <w:rFonts w:asciiTheme="majorHAnsi" w:eastAsia="Times New Roman" w:hAnsiTheme="majorHAnsi"/>
          <w:bCs/>
          <w:sz w:val="20"/>
          <w:szCs w:val="20"/>
        </w:rPr>
        <w:t xml:space="preserve">ourt to further examine </w:t>
      </w:r>
      <w:r w:rsidR="00107193" w:rsidRPr="00B41E87">
        <w:rPr>
          <w:rFonts w:asciiTheme="majorHAnsi" w:eastAsia="Times New Roman" w:hAnsiTheme="majorHAnsi"/>
          <w:bCs/>
          <w:sz w:val="20"/>
          <w:szCs w:val="20"/>
        </w:rPr>
        <w:t>p</w:t>
      </w:r>
      <w:r w:rsidRPr="00B41E87">
        <w:rPr>
          <w:rFonts w:asciiTheme="majorHAnsi" w:eastAsia="Times New Roman" w:hAnsiTheme="majorHAnsi"/>
          <w:bCs/>
          <w:sz w:val="20"/>
          <w:szCs w:val="20"/>
        </w:rPr>
        <w:t>etitioner's proposed alternatives to the current protocol and Missouri's willingness to alter its procedure to accommodate those alternatives. At the time, the State indicated that “this ruling technically ended the Supreme Court's stay of execution, but the Missouri Supreme Court has not set a new date of execution, so the effect has been that of an indefinite stay.”</w:t>
      </w:r>
      <w:r w:rsidRPr="00B41E87">
        <w:rPr>
          <w:rStyle w:val="FootnoteReference"/>
          <w:rFonts w:asciiTheme="majorHAnsi" w:hAnsiTheme="majorHAnsi"/>
          <w:sz w:val="20"/>
          <w:szCs w:val="20"/>
        </w:rPr>
        <w:footnoteReference w:id="26"/>
      </w:r>
    </w:p>
    <w:p w14:paraId="3EAA6922"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2A900CB4" w14:textId="093AA3EB"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After the mandate issued by the Eighth Circuit Court, Mr. Bucklew filed several amended complaints, three of which were dismissed</w:t>
      </w:r>
      <w:r w:rsidR="00EE5EE2" w:rsidRPr="00B41E87">
        <w:rPr>
          <w:rFonts w:asciiTheme="majorHAnsi" w:eastAsia="Times New Roman" w:hAnsiTheme="majorHAnsi"/>
          <w:bCs/>
          <w:sz w:val="20"/>
          <w:szCs w:val="20"/>
        </w:rPr>
        <w:t xml:space="preserve">,  The fourth </w:t>
      </w:r>
      <w:r w:rsidRPr="00B41E87">
        <w:rPr>
          <w:rFonts w:asciiTheme="majorHAnsi" w:eastAsia="Times New Roman" w:hAnsiTheme="majorHAnsi"/>
          <w:bCs/>
          <w:sz w:val="20"/>
          <w:szCs w:val="20"/>
        </w:rPr>
        <w:t xml:space="preserve">amended complaint asserted an </w:t>
      </w:r>
      <w:r w:rsidR="00107193" w:rsidRPr="00B41E87">
        <w:rPr>
          <w:rFonts w:asciiTheme="majorHAnsi" w:eastAsia="Times New Roman" w:hAnsiTheme="majorHAnsi"/>
          <w:bCs/>
          <w:sz w:val="20"/>
          <w:szCs w:val="20"/>
        </w:rPr>
        <w:t>Eight</w:t>
      </w:r>
      <w:r w:rsidR="00EE5EE2" w:rsidRPr="00B41E87">
        <w:rPr>
          <w:rFonts w:asciiTheme="majorHAnsi" w:eastAsia="Times New Roman" w:hAnsiTheme="majorHAnsi"/>
          <w:bCs/>
          <w:sz w:val="20"/>
          <w:szCs w:val="20"/>
        </w:rPr>
        <w:t>h</w:t>
      </w:r>
      <w:r w:rsidR="00107193" w:rsidRPr="00B41E87">
        <w:rPr>
          <w:rFonts w:asciiTheme="majorHAnsi" w:eastAsia="Times New Roman" w:hAnsiTheme="majorHAnsi"/>
          <w:bCs/>
          <w:sz w:val="20"/>
          <w:szCs w:val="20"/>
        </w:rPr>
        <w:t xml:space="preserve"> A</w:t>
      </w:r>
      <w:r w:rsidRPr="00B41E87">
        <w:rPr>
          <w:rFonts w:asciiTheme="majorHAnsi" w:eastAsia="Times New Roman" w:hAnsiTheme="majorHAnsi"/>
          <w:bCs/>
          <w:sz w:val="20"/>
          <w:szCs w:val="20"/>
        </w:rPr>
        <w:t>mendment challenge, alleging that Missouri’s method of execution is unconstitutional if applied to Mr. Bucklew due to his medical condition.</w:t>
      </w:r>
      <w:r w:rsidRPr="00B41E87">
        <w:rPr>
          <w:rFonts w:asciiTheme="majorHAnsi" w:hAnsiTheme="majorHAnsi" w:cs="Calibri"/>
          <w:sz w:val="16"/>
          <w:szCs w:val="16"/>
        </w:rPr>
        <w:t xml:space="preserve"> </w:t>
      </w:r>
      <w:r w:rsidRPr="00B41E87">
        <w:rPr>
          <w:rFonts w:asciiTheme="majorHAnsi" w:eastAsia="Times New Roman" w:hAnsiTheme="majorHAnsi"/>
          <w:bCs/>
          <w:sz w:val="20"/>
          <w:szCs w:val="20"/>
        </w:rPr>
        <w:t xml:space="preserve">Further specific allegations </w:t>
      </w:r>
      <w:r w:rsidR="00EE5EE2" w:rsidRPr="00B41E87">
        <w:rPr>
          <w:rFonts w:asciiTheme="majorHAnsi" w:eastAsia="Times New Roman" w:hAnsiTheme="majorHAnsi"/>
          <w:bCs/>
          <w:sz w:val="20"/>
          <w:szCs w:val="20"/>
        </w:rPr>
        <w:t>in</w:t>
      </w:r>
      <w:r w:rsidRPr="00B41E87">
        <w:rPr>
          <w:rFonts w:asciiTheme="majorHAnsi" w:eastAsia="Times New Roman" w:hAnsiTheme="majorHAnsi"/>
          <w:bCs/>
          <w:sz w:val="20"/>
          <w:szCs w:val="20"/>
        </w:rPr>
        <w:t xml:space="preserve"> this last amend</w:t>
      </w:r>
      <w:r w:rsidR="00EE5EE2" w:rsidRPr="00B41E87">
        <w:rPr>
          <w:rFonts w:asciiTheme="majorHAnsi" w:eastAsia="Times New Roman" w:hAnsiTheme="majorHAnsi"/>
          <w:bCs/>
          <w:sz w:val="20"/>
          <w:szCs w:val="20"/>
        </w:rPr>
        <w:t xml:space="preserve">ed complaint </w:t>
      </w:r>
      <w:r w:rsidRPr="00B41E87">
        <w:rPr>
          <w:rFonts w:asciiTheme="majorHAnsi" w:eastAsia="Times New Roman" w:hAnsiTheme="majorHAnsi"/>
          <w:bCs/>
          <w:sz w:val="20"/>
          <w:szCs w:val="20"/>
        </w:rPr>
        <w:t xml:space="preserve">indicated that using any lethal drug and </w:t>
      </w:r>
      <w:r w:rsidR="00EE5EE2" w:rsidRPr="00B41E87">
        <w:rPr>
          <w:rFonts w:asciiTheme="majorHAnsi" w:eastAsia="Times New Roman" w:hAnsiTheme="majorHAnsi"/>
          <w:bCs/>
          <w:sz w:val="20"/>
          <w:szCs w:val="20"/>
        </w:rPr>
        <w:t xml:space="preserve">carrying out </w:t>
      </w:r>
      <w:r w:rsidRPr="00B41E87">
        <w:rPr>
          <w:rFonts w:asciiTheme="majorHAnsi" w:eastAsia="Times New Roman" w:hAnsiTheme="majorHAnsi"/>
          <w:bCs/>
          <w:sz w:val="20"/>
          <w:szCs w:val="20"/>
        </w:rPr>
        <w:t>the execution by lethal injection will pose “an enormous risk that Mr. Bucklew will suffer extreme, excruciating and prolonged pain- all accompanied by choking and struggling for air.” It was also alleged that allowing Mr. Bucklew the possibility to adjust in the gurney would not be sufficient, as “the stress of the execution may unavoidably cause Mr. Bucklew’s hemangiomas to rupture, leading to hemorrhaging, bleeding in his throat and through his facial orifices, and coughing and choking on his own blood.” In addition, it was requested that a complete set of imaging studies be conducted to fully evaluate and establish the risks involved in the execution by lethal injection considering his medical condition.</w:t>
      </w:r>
      <w:r w:rsidRPr="00B41E87">
        <w:rPr>
          <w:rStyle w:val="FootnoteReference"/>
          <w:rFonts w:asciiTheme="majorHAnsi" w:hAnsiTheme="majorHAnsi"/>
          <w:sz w:val="20"/>
          <w:szCs w:val="20"/>
        </w:rPr>
        <w:footnoteReference w:id="27"/>
      </w:r>
      <w:r w:rsidRPr="00B41E87">
        <w:rPr>
          <w:rFonts w:asciiTheme="majorHAnsi" w:eastAsia="Times New Roman" w:hAnsiTheme="majorHAnsi"/>
          <w:bCs/>
          <w:sz w:val="20"/>
          <w:szCs w:val="20"/>
        </w:rPr>
        <w:t xml:space="preserve"> </w:t>
      </w:r>
    </w:p>
    <w:p w14:paraId="7344169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162306A8" w14:textId="18A4D5FA" w:rsidR="004C14A2" w:rsidRPr="00B41E87" w:rsidRDefault="00FB143F"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On June 15, 2017, the district c</w:t>
      </w:r>
      <w:r w:rsidR="004C14A2" w:rsidRPr="00B41E87">
        <w:rPr>
          <w:rFonts w:asciiTheme="majorHAnsi" w:eastAsia="Times New Roman" w:hAnsiTheme="majorHAnsi"/>
          <w:bCs/>
          <w:sz w:val="20"/>
          <w:szCs w:val="20"/>
        </w:rPr>
        <w:t xml:space="preserve">ourt granted summary judgment at the </w:t>
      </w:r>
      <w:r w:rsidR="004C14A2" w:rsidRPr="00B41E87">
        <w:rPr>
          <w:rFonts w:asciiTheme="majorHAnsi" w:eastAsia="Times New Roman" w:hAnsiTheme="majorHAnsi"/>
          <w:sz w:val="20"/>
          <w:szCs w:val="20"/>
        </w:rPr>
        <w:t>Missouri</w:t>
      </w:r>
      <w:r w:rsidR="004C14A2" w:rsidRPr="00B41E87">
        <w:rPr>
          <w:rFonts w:asciiTheme="majorHAnsi" w:eastAsia="Times New Roman" w:hAnsiTheme="majorHAnsi"/>
          <w:bCs/>
          <w:sz w:val="20"/>
          <w:szCs w:val="20"/>
        </w:rPr>
        <w:t xml:space="preserve"> Department of Corrections’ request, after finding that Mr. </w:t>
      </w:r>
      <w:r w:rsidR="004C14A2" w:rsidRPr="00B41E87">
        <w:rPr>
          <w:rFonts w:asciiTheme="majorHAnsi" w:hAnsiTheme="majorHAnsi" w:cs="Calibri"/>
          <w:sz w:val="20"/>
          <w:szCs w:val="20"/>
        </w:rPr>
        <w:t>Bucklew’s complaint failed to show that execution by nitrogen hypoxia would substantially reduce the risk of pain or suffering.</w:t>
      </w:r>
      <w:r w:rsidR="004C14A2" w:rsidRPr="00B41E87">
        <w:rPr>
          <w:rStyle w:val="FootnoteReference"/>
          <w:rFonts w:asciiTheme="majorHAnsi" w:hAnsiTheme="majorHAnsi"/>
          <w:sz w:val="20"/>
          <w:szCs w:val="20"/>
        </w:rPr>
        <w:footnoteReference w:id="28"/>
      </w:r>
      <w:r w:rsidR="004C14A2" w:rsidRPr="00B41E87">
        <w:rPr>
          <w:rFonts w:asciiTheme="majorHAnsi" w:hAnsiTheme="majorHAnsi" w:cs="Calibri"/>
          <w:sz w:val="20"/>
          <w:szCs w:val="20"/>
        </w:rPr>
        <w:t xml:space="preserve"> </w:t>
      </w:r>
    </w:p>
    <w:p w14:paraId="58C31B3E"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7477AB6" w14:textId="77777777" w:rsidR="004837A8" w:rsidRPr="00B41E87" w:rsidRDefault="004837A8" w:rsidP="004C14A2">
      <w:pPr>
        <w:tabs>
          <w:tab w:val="left" w:pos="1440"/>
        </w:tabs>
        <w:ind w:left="720"/>
        <w:jc w:val="both"/>
        <w:rPr>
          <w:rFonts w:asciiTheme="majorHAnsi" w:eastAsia="Times New Roman" w:hAnsiTheme="majorHAnsi"/>
          <w:bCs/>
          <w:sz w:val="20"/>
          <w:szCs w:val="20"/>
        </w:rPr>
      </w:pPr>
    </w:p>
    <w:p w14:paraId="4FF90CEA" w14:textId="77777777"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hAnsiTheme="majorHAnsi" w:cs="Calibri"/>
          <w:sz w:val="20"/>
          <w:szCs w:val="20"/>
        </w:rPr>
        <w:t xml:space="preserve">A copy of this decision is included in the Commission’s case file. The pertinent parts of the ruling are </w:t>
      </w:r>
      <w:r w:rsidRPr="00B41E87">
        <w:rPr>
          <w:rFonts w:asciiTheme="majorHAnsi" w:eastAsia="Times New Roman" w:hAnsiTheme="majorHAnsi"/>
          <w:bCs/>
          <w:sz w:val="20"/>
          <w:szCs w:val="20"/>
        </w:rPr>
        <w:t>summarized</w:t>
      </w:r>
      <w:r w:rsidRPr="00B41E87">
        <w:rPr>
          <w:rFonts w:asciiTheme="majorHAnsi" w:hAnsiTheme="majorHAnsi" w:cs="Calibri"/>
          <w:sz w:val="20"/>
          <w:szCs w:val="20"/>
        </w:rPr>
        <w:t xml:space="preserve"> as follows.</w:t>
      </w:r>
      <w:r w:rsidRPr="00B41E87">
        <w:rPr>
          <w:rStyle w:val="FootnoteReference"/>
          <w:rFonts w:asciiTheme="majorHAnsi" w:eastAsia="Times New Roman" w:hAnsiTheme="majorHAnsi"/>
          <w:bCs/>
          <w:sz w:val="20"/>
          <w:szCs w:val="20"/>
        </w:rPr>
        <w:footnoteReference w:id="29"/>
      </w:r>
      <w:r w:rsidRPr="00B41E87">
        <w:rPr>
          <w:rFonts w:asciiTheme="majorHAnsi" w:hAnsiTheme="majorHAnsi" w:cs="Calibri"/>
          <w:sz w:val="20"/>
          <w:szCs w:val="20"/>
        </w:rPr>
        <w:t xml:space="preserve">  </w:t>
      </w:r>
    </w:p>
    <w:p w14:paraId="20713C5C"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325569C" w14:textId="49A099F1"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lastRenderedPageBreak/>
        <w:t xml:space="preserve">The decision took into consideration the available information on Missouri’s death penalty protocol, stating that while such information “has not been succinctly described” the parties “implicitly agree” that </w:t>
      </w:r>
      <w:r w:rsidR="00EE5EE2" w:rsidRPr="00B41E87">
        <w:rPr>
          <w:rFonts w:asciiTheme="majorHAnsi" w:eastAsia="Times New Roman" w:hAnsiTheme="majorHAnsi"/>
          <w:bCs/>
          <w:sz w:val="20"/>
          <w:szCs w:val="20"/>
        </w:rPr>
        <w:t xml:space="preserve">it </w:t>
      </w:r>
      <w:r w:rsidRPr="00B41E87">
        <w:rPr>
          <w:rFonts w:asciiTheme="majorHAnsi" w:eastAsia="Times New Roman" w:hAnsiTheme="majorHAnsi"/>
          <w:bCs/>
          <w:sz w:val="20"/>
          <w:szCs w:val="20"/>
        </w:rPr>
        <w:t>involves the intravenous admini</w:t>
      </w:r>
      <w:r w:rsidR="00FB143F" w:rsidRPr="00B41E87">
        <w:rPr>
          <w:rFonts w:asciiTheme="majorHAnsi" w:eastAsia="Times New Roman" w:hAnsiTheme="majorHAnsi"/>
          <w:bCs/>
          <w:sz w:val="20"/>
          <w:szCs w:val="20"/>
        </w:rPr>
        <w:t>stration of pentobarbital. The c</w:t>
      </w:r>
      <w:r w:rsidRPr="00B41E87">
        <w:rPr>
          <w:rFonts w:asciiTheme="majorHAnsi" w:eastAsia="Times New Roman" w:hAnsiTheme="majorHAnsi"/>
          <w:bCs/>
          <w:sz w:val="20"/>
          <w:szCs w:val="20"/>
        </w:rPr>
        <w:t xml:space="preserve">ourt also referred to Mr. </w:t>
      </w:r>
      <w:r w:rsidRPr="00B41E87">
        <w:rPr>
          <w:rFonts w:asciiTheme="majorHAnsi" w:hAnsiTheme="majorHAnsi" w:cs="Calibri"/>
          <w:sz w:val="20"/>
          <w:szCs w:val="20"/>
        </w:rPr>
        <w:t>Bucklew’s medical condition, but stated that from the pertinent parts of the protocol it is confirmed that “a central line in the femoral vein may be used instead of inserting an IV in the peripheral veins.”</w:t>
      </w:r>
      <w:r w:rsidRPr="00B41E87">
        <w:rPr>
          <w:rStyle w:val="FootnoteReference"/>
          <w:rFonts w:asciiTheme="majorHAnsi" w:eastAsia="Times New Roman" w:hAnsiTheme="majorHAnsi"/>
          <w:bCs/>
          <w:sz w:val="20"/>
          <w:szCs w:val="20"/>
        </w:rPr>
        <w:footnoteReference w:id="30"/>
      </w:r>
      <w:r w:rsidRPr="00B41E87">
        <w:rPr>
          <w:rFonts w:asciiTheme="majorHAnsi" w:hAnsiTheme="majorHAnsi" w:cs="Calibri"/>
          <w:sz w:val="20"/>
          <w:szCs w:val="20"/>
        </w:rPr>
        <w:t xml:space="preserve"> It also considered the information on the risk of Mr. Bucklew’s femoral vein rupturing, based on the expert opinion proposed by Mr. Bucklew’s defense, who “testified that the femoral vein is large and capable of ‘taking a fair amount of fluid’ when the central line is properly placed, and the risk of that vein rupturing is ‘unlikely.’</w:t>
      </w:r>
      <w:r w:rsidR="00107193" w:rsidRPr="00B41E87">
        <w:rPr>
          <w:rFonts w:asciiTheme="majorHAnsi" w:hAnsiTheme="majorHAnsi" w:cs="Calibri"/>
          <w:sz w:val="20"/>
          <w:szCs w:val="20"/>
        </w:rPr>
        <w:t>”</w:t>
      </w:r>
      <w:r w:rsidR="00FB143F" w:rsidRPr="00B41E87">
        <w:rPr>
          <w:rFonts w:asciiTheme="majorHAnsi" w:hAnsiTheme="majorHAnsi" w:cs="Calibri"/>
          <w:sz w:val="20"/>
          <w:szCs w:val="20"/>
        </w:rPr>
        <w:t xml:space="preserve"> Based on this expertise, the c</w:t>
      </w:r>
      <w:r w:rsidRPr="00B41E87">
        <w:rPr>
          <w:rFonts w:asciiTheme="majorHAnsi" w:hAnsiTheme="majorHAnsi" w:cs="Calibri"/>
          <w:sz w:val="20"/>
          <w:szCs w:val="20"/>
        </w:rPr>
        <w:t>ourt asserted that “the risk of [Mr. Bucklew’s] veins rupturing was limited to his peripheral veins. According to the expert, there was no reason to believe that Mr. Bucklew’s medical condition “made his femoral vein more susceptible to rupture than might otherwise be expected.”</w:t>
      </w:r>
    </w:p>
    <w:p w14:paraId="3A787990"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ADC4974" w14:textId="15BCB50B"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hAnsiTheme="majorHAnsi" w:cs="Calibri"/>
          <w:sz w:val="20"/>
          <w:szCs w:val="20"/>
        </w:rPr>
        <w:t>In addition and</w:t>
      </w:r>
      <w:r w:rsidR="00FB143F" w:rsidRPr="00B41E87">
        <w:rPr>
          <w:rFonts w:asciiTheme="majorHAnsi" w:hAnsiTheme="majorHAnsi" w:cs="Calibri"/>
          <w:sz w:val="20"/>
          <w:szCs w:val="20"/>
        </w:rPr>
        <w:t xml:space="preserve"> based on the file record, the c</w:t>
      </w:r>
      <w:r w:rsidRPr="00B41E87">
        <w:rPr>
          <w:rFonts w:asciiTheme="majorHAnsi" w:hAnsiTheme="majorHAnsi" w:cs="Calibri"/>
          <w:sz w:val="20"/>
          <w:szCs w:val="20"/>
        </w:rPr>
        <w:t xml:space="preserve">ourt </w:t>
      </w:r>
      <w:r w:rsidR="00107193" w:rsidRPr="00B41E87">
        <w:rPr>
          <w:rFonts w:asciiTheme="majorHAnsi" w:hAnsiTheme="majorHAnsi" w:cs="Calibri"/>
          <w:sz w:val="20"/>
          <w:szCs w:val="20"/>
        </w:rPr>
        <w:t>established</w:t>
      </w:r>
      <w:r w:rsidRPr="00B41E87">
        <w:rPr>
          <w:rFonts w:asciiTheme="majorHAnsi" w:hAnsiTheme="majorHAnsi" w:cs="Calibri"/>
          <w:sz w:val="20"/>
          <w:szCs w:val="20"/>
        </w:rPr>
        <w:t xml:space="preserve"> that Mr. Bucklew’s medical condition “will not affect the flow of chemicals in his bloodstream once they are introduced through the femoral vein, or otherwise affect his expected response to the pentobarbital.” </w:t>
      </w:r>
    </w:p>
    <w:p w14:paraId="2FFAAD3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ED350FF" w14:textId="3FBFB358"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As</w:t>
      </w:r>
      <w:r w:rsidR="00FB143F" w:rsidRPr="00B41E87">
        <w:rPr>
          <w:rFonts w:asciiTheme="majorHAnsi" w:eastAsia="Times New Roman" w:hAnsiTheme="majorHAnsi"/>
          <w:bCs/>
          <w:sz w:val="20"/>
          <w:szCs w:val="20"/>
        </w:rPr>
        <w:t xml:space="preserve"> for the factual disputes, the c</w:t>
      </w:r>
      <w:r w:rsidRPr="00B41E87">
        <w:rPr>
          <w:rFonts w:asciiTheme="majorHAnsi" w:eastAsia="Times New Roman" w:hAnsiTheme="majorHAnsi"/>
          <w:bCs/>
          <w:sz w:val="20"/>
          <w:szCs w:val="20"/>
        </w:rPr>
        <w:t xml:space="preserve">ourt also noted that these involved (i) Mr. </w:t>
      </w:r>
      <w:r w:rsidRPr="00B41E87">
        <w:rPr>
          <w:rFonts w:asciiTheme="majorHAnsi" w:hAnsiTheme="majorHAnsi" w:cs="Calibri"/>
          <w:sz w:val="20"/>
          <w:szCs w:val="20"/>
        </w:rPr>
        <w:t xml:space="preserve">Bucklew’s ability to adjust his breathing once the pentobarbital begins to take effect, since it was </w:t>
      </w:r>
      <w:r w:rsidR="00EE5EE2" w:rsidRPr="00B41E87">
        <w:rPr>
          <w:rFonts w:asciiTheme="majorHAnsi" w:hAnsiTheme="majorHAnsi" w:cs="Calibri"/>
          <w:sz w:val="20"/>
          <w:szCs w:val="20"/>
        </w:rPr>
        <w:t>claimed</w:t>
      </w:r>
      <w:r w:rsidRPr="00B41E87">
        <w:rPr>
          <w:rFonts w:asciiTheme="majorHAnsi" w:hAnsiTheme="majorHAnsi" w:cs="Calibri"/>
          <w:sz w:val="20"/>
          <w:szCs w:val="20"/>
        </w:rPr>
        <w:t xml:space="preserve"> that due to his medical condition he has difficulty breathing while in the “supine position</w:t>
      </w:r>
      <w:r w:rsidR="00EE5EE2" w:rsidRPr="00B41E87">
        <w:rPr>
          <w:rFonts w:asciiTheme="majorHAnsi" w:hAnsiTheme="majorHAnsi" w:cs="Calibri"/>
          <w:sz w:val="20"/>
          <w:szCs w:val="20"/>
        </w:rPr>
        <w:t>,</w:t>
      </w:r>
      <w:r w:rsidRPr="00B41E87">
        <w:rPr>
          <w:rFonts w:asciiTheme="majorHAnsi" w:hAnsiTheme="majorHAnsi" w:cs="Calibri"/>
          <w:sz w:val="20"/>
          <w:szCs w:val="20"/>
        </w:rPr>
        <w:t>” which is the position required for inserting a central line</w:t>
      </w:r>
      <w:r w:rsidR="00EE5EE2" w:rsidRPr="00B41E87">
        <w:rPr>
          <w:rFonts w:asciiTheme="majorHAnsi" w:hAnsiTheme="majorHAnsi" w:cs="Calibri"/>
          <w:sz w:val="20"/>
          <w:szCs w:val="20"/>
        </w:rPr>
        <w:t>:</w:t>
      </w:r>
      <w:r w:rsidRPr="00B41E87">
        <w:rPr>
          <w:rStyle w:val="FootnoteReference"/>
          <w:rFonts w:asciiTheme="majorHAnsi" w:hAnsiTheme="majorHAnsi"/>
          <w:sz w:val="20"/>
          <w:szCs w:val="20"/>
        </w:rPr>
        <w:footnoteReference w:id="31"/>
      </w:r>
      <w:r w:rsidRPr="00B41E87">
        <w:rPr>
          <w:rFonts w:asciiTheme="majorHAnsi" w:hAnsiTheme="majorHAnsi" w:cs="Calibri"/>
          <w:sz w:val="20"/>
          <w:szCs w:val="20"/>
        </w:rPr>
        <w:t xml:space="preserve"> and (ii) how quickly the pentobarbital will deprive Mr. Bucklew “of the ability to sense that he is choking or</w:t>
      </w:r>
      <w:r w:rsidR="00FB143F" w:rsidRPr="00B41E87">
        <w:rPr>
          <w:rFonts w:asciiTheme="majorHAnsi" w:hAnsiTheme="majorHAnsi" w:cs="Calibri"/>
          <w:sz w:val="20"/>
          <w:szCs w:val="20"/>
        </w:rPr>
        <w:t xml:space="preserve"> unable to breathe.” While the c</w:t>
      </w:r>
      <w:r w:rsidRPr="00B41E87">
        <w:rPr>
          <w:rFonts w:asciiTheme="majorHAnsi" w:hAnsiTheme="majorHAnsi" w:cs="Calibri"/>
          <w:sz w:val="20"/>
          <w:szCs w:val="20"/>
        </w:rPr>
        <w:t xml:space="preserve">ourt referred to expert opinions from </w:t>
      </w:r>
      <w:r w:rsidR="00EE5EE2" w:rsidRPr="00B41E87">
        <w:rPr>
          <w:rFonts w:asciiTheme="majorHAnsi" w:hAnsiTheme="majorHAnsi" w:cs="Calibri"/>
          <w:sz w:val="20"/>
          <w:szCs w:val="20"/>
        </w:rPr>
        <w:t xml:space="preserve">both </w:t>
      </w:r>
      <w:r w:rsidRPr="00B41E87">
        <w:rPr>
          <w:rFonts w:asciiTheme="majorHAnsi" w:hAnsiTheme="majorHAnsi" w:cs="Calibri"/>
          <w:sz w:val="20"/>
          <w:szCs w:val="20"/>
        </w:rPr>
        <w:t xml:space="preserve">Mr. Bucklew’s defense and the </w:t>
      </w:r>
      <w:r w:rsidRPr="00B41E87">
        <w:rPr>
          <w:rFonts w:asciiTheme="majorHAnsi" w:eastAsia="Times New Roman" w:hAnsiTheme="majorHAnsi"/>
          <w:sz w:val="20"/>
          <w:szCs w:val="20"/>
        </w:rPr>
        <w:t>Missouri</w:t>
      </w:r>
      <w:r w:rsidRPr="00B41E87">
        <w:rPr>
          <w:rFonts w:asciiTheme="majorHAnsi" w:eastAsia="Times New Roman" w:hAnsiTheme="majorHAnsi"/>
          <w:bCs/>
          <w:sz w:val="20"/>
          <w:szCs w:val="20"/>
        </w:rPr>
        <w:t xml:space="preserve"> Department of Corrections on </w:t>
      </w:r>
      <w:r w:rsidR="00107193" w:rsidRPr="00B41E87">
        <w:rPr>
          <w:rFonts w:asciiTheme="majorHAnsi" w:eastAsia="Times New Roman" w:hAnsiTheme="majorHAnsi"/>
          <w:bCs/>
          <w:sz w:val="20"/>
          <w:szCs w:val="20"/>
        </w:rPr>
        <w:t>this latter point, which were contradictory</w:t>
      </w:r>
      <w:r w:rsidRPr="00B41E87">
        <w:rPr>
          <w:rFonts w:asciiTheme="majorHAnsi" w:eastAsia="Times New Roman" w:hAnsiTheme="majorHAnsi"/>
          <w:bCs/>
          <w:sz w:val="20"/>
          <w:szCs w:val="20"/>
        </w:rPr>
        <w:t>, the decision stated that the issue could not be resolved on summary judgment.</w:t>
      </w:r>
      <w:r w:rsidR="00E94010" w:rsidRPr="00B41E87">
        <w:rPr>
          <w:rStyle w:val="FootnoteReference"/>
          <w:rFonts w:asciiTheme="majorHAnsi" w:eastAsia="Times New Roman" w:hAnsiTheme="majorHAnsi"/>
          <w:bCs/>
          <w:sz w:val="20"/>
          <w:szCs w:val="20"/>
        </w:rPr>
        <w:footnoteReference w:id="32"/>
      </w:r>
      <w:r w:rsidRPr="00B41E87">
        <w:rPr>
          <w:rFonts w:asciiTheme="majorHAnsi" w:eastAsia="Times New Roman" w:hAnsiTheme="majorHAnsi"/>
          <w:bCs/>
          <w:sz w:val="20"/>
          <w:szCs w:val="20"/>
        </w:rPr>
        <w:t xml:space="preserve"> </w:t>
      </w:r>
    </w:p>
    <w:p w14:paraId="66F20FA2" w14:textId="77777777" w:rsidR="0022712C" w:rsidRPr="00B41E87" w:rsidRDefault="0022712C" w:rsidP="002271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bCs/>
          <w:sz w:val="20"/>
          <w:szCs w:val="20"/>
        </w:rPr>
      </w:pPr>
    </w:p>
    <w:p w14:paraId="190562FA" w14:textId="7B53E4FB" w:rsidR="004C14A2" w:rsidRPr="00B41E87" w:rsidRDefault="00FB143F"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In sum, the c</w:t>
      </w:r>
      <w:r w:rsidR="004C14A2" w:rsidRPr="00B41E87">
        <w:rPr>
          <w:rFonts w:asciiTheme="majorHAnsi" w:eastAsia="Times New Roman" w:hAnsiTheme="majorHAnsi"/>
          <w:bCs/>
          <w:sz w:val="20"/>
          <w:szCs w:val="20"/>
        </w:rPr>
        <w:t xml:space="preserve">ourt established that “construing the record in [Mr. </w:t>
      </w:r>
      <w:r w:rsidR="004C14A2" w:rsidRPr="00B41E87">
        <w:rPr>
          <w:rFonts w:asciiTheme="majorHAnsi" w:hAnsiTheme="majorHAnsi" w:cs="Calibri"/>
          <w:sz w:val="20"/>
          <w:szCs w:val="20"/>
        </w:rPr>
        <w:t>Bucklew’s] favor reveals that it could be fifty-two to 240 seconds before the pentobarbital induces a state in which [Mr. Bucklew] could no longer sense that he is choking or unable to breathe.”</w:t>
      </w:r>
    </w:p>
    <w:p w14:paraId="7EB2BF3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2A5DF214" w14:textId="0468161B" w:rsidR="004C14A2" w:rsidRPr="00B41E87" w:rsidRDefault="00FB143F"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As for the legal analysis, the c</w:t>
      </w:r>
      <w:r w:rsidR="004C14A2" w:rsidRPr="00B41E87">
        <w:rPr>
          <w:rFonts w:asciiTheme="majorHAnsi" w:eastAsia="Times New Roman" w:hAnsiTheme="majorHAnsi"/>
          <w:bCs/>
          <w:sz w:val="20"/>
          <w:szCs w:val="20"/>
        </w:rPr>
        <w:t xml:space="preserve">ourt considered the ruling of the Supreme Court in </w:t>
      </w:r>
      <w:r w:rsidR="004C14A2" w:rsidRPr="00B41E87">
        <w:rPr>
          <w:rFonts w:asciiTheme="majorHAnsi" w:eastAsia="Times New Roman" w:hAnsiTheme="majorHAnsi"/>
          <w:bCs/>
          <w:i/>
          <w:sz w:val="20"/>
          <w:szCs w:val="20"/>
        </w:rPr>
        <w:t>Glossip v. Gross</w:t>
      </w:r>
      <w:r w:rsidR="004C14A2" w:rsidRPr="00B41E87">
        <w:rPr>
          <w:rFonts w:asciiTheme="majorHAnsi" w:eastAsia="Times New Roman" w:hAnsiTheme="majorHAnsi"/>
          <w:bCs/>
          <w:sz w:val="20"/>
          <w:szCs w:val="20"/>
        </w:rPr>
        <w:t xml:space="preserve"> on “what a prisoner must establish to succeed on an Eighth Amendment method-of-execution claim</w:t>
      </w:r>
      <w:r w:rsidR="00EA1C1E" w:rsidRPr="00B41E87">
        <w:rPr>
          <w:rFonts w:asciiTheme="majorHAnsi" w:eastAsia="Times New Roman" w:hAnsiTheme="majorHAnsi"/>
          <w:bCs/>
          <w:sz w:val="20"/>
          <w:szCs w:val="20"/>
        </w:rPr>
        <w:t>,</w:t>
      </w:r>
      <w:r w:rsidR="004C14A2" w:rsidRPr="00B41E87">
        <w:rPr>
          <w:rFonts w:asciiTheme="majorHAnsi" w:eastAsia="Times New Roman" w:hAnsiTheme="majorHAnsi"/>
          <w:bCs/>
          <w:sz w:val="20"/>
          <w:szCs w:val="20"/>
        </w:rPr>
        <w:t>” which requires</w:t>
      </w:r>
      <w:r w:rsidR="00EA1C1E" w:rsidRPr="00B41E87">
        <w:rPr>
          <w:rFonts w:asciiTheme="majorHAnsi" w:eastAsia="Times New Roman" w:hAnsiTheme="majorHAnsi"/>
          <w:bCs/>
          <w:sz w:val="20"/>
          <w:szCs w:val="20"/>
        </w:rPr>
        <w:t xml:space="preserve"> him or her</w:t>
      </w:r>
      <w:r w:rsidR="004C14A2" w:rsidRPr="00B41E87">
        <w:rPr>
          <w:rFonts w:asciiTheme="majorHAnsi" w:eastAsia="Times New Roman" w:hAnsiTheme="majorHAnsi"/>
          <w:bCs/>
          <w:sz w:val="20"/>
          <w:szCs w:val="20"/>
        </w:rPr>
        <w:t>: (i) to establish that the method to be utilized “presents a risk that is sure or very likely to cause serious illness and needless suffering, and give rise to sufficiently imminent dangers</w:t>
      </w:r>
      <w:r w:rsidR="00EA1C1E" w:rsidRPr="00B41E87">
        <w:rPr>
          <w:rFonts w:asciiTheme="majorHAnsi" w:eastAsia="Times New Roman" w:hAnsiTheme="majorHAnsi"/>
          <w:bCs/>
          <w:sz w:val="20"/>
          <w:szCs w:val="20"/>
        </w:rPr>
        <w:t>;</w:t>
      </w:r>
      <w:r w:rsidR="004C14A2" w:rsidRPr="00B41E87">
        <w:rPr>
          <w:rFonts w:asciiTheme="majorHAnsi" w:eastAsia="Times New Roman" w:hAnsiTheme="majorHAnsi"/>
          <w:bCs/>
          <w:sz w:val="20"/>
          <w:szCs w:val="20"/>
        </w:rPr>
        <w:t>” (ii) to “identify a known and available alternative method of execution that entails a lesser risk of pain,” this alternative must be “feasible, readily implemented, and in fact significantly reduce [the] substantial risk of severe pain.”</w:t>
      </w:r>
    </w:p>
    <w:p w14:paraId="711CA821"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736AE309" w14:textId="5222ED48"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On the risk of serious illness</w:t>
      </w:r>
      <w:r w:rsidR="00FB143F" w:rsidRPr="00B41E87">
        <w:rPr>
          <w:rFonts w:asciiTheme="majorHAnsi" w:eastAsia="Times New Roman" w:hAnsiTheme="majorHAnsi"/>
          <w:bCs/>
          <w:sz w:val="20"/>
          <w:szCs w:val="20"/>
        </w:rPr>
        <w:t xml:space="preserve"> or suffering, the c</w:t>
      </w:r>
      <w:r w:rsidRPr="00B41E87">
        <w:rPr>
          <w:rFonts w:asciiTheme="majorHAnsi" w:eastAsia="Times New Roman" w:hAnsiTheme="majorHAnsi"/>
          <w:bCs/>
          <w:sz w:val="20"/>
          <w:szCs w:val="20"/>
        </w:rPr>
        <w:t>ourt concluded that inserting the line in Mr. Bucklew’s femoral vein “does not present any risk of serious illness or needless suffering</w:t>
      </w:r>
      <w:r w:rsidR="003F54C2"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and that from the file record </w:t>
      </w:r>
      <w:r w:rsidR="003F54C2" w:rsidRPr="00B41E87">
        <w:rPr>
          <w:rFonts w:asciiTheme="majorHAnsi" w:eastAsia="Times New Roman" w:hAnsiTheme="majorHAnsi"/>
          <w:bCs/>
          <w:sz w:val="20"/>
          <w:szCs w:val="20"/>
        </w:rPr>
        <w:t xml:space="preserve">it </w:t>
      </w:r>
      <w:r w:rsidRPr="00B41E87">
        <w:rPr>
          <w:rFonts w:asciiTheme="majorHAnsi" w:eastAsia="Times New Roman" w:hAnsiTheme="majorHAnsi"/>
          <w:bCs/>
          <w:sz w:val="20"/>
          <w:szCs w:val="20"/>
        </w:rPr>
        <w:t xml:space="preserve">was not possible to establish a “conclusive determination regarding the risk that [Mr. </w:t>
      </w:r>
      <w:r w:rsidRPr="00B41E87">
        <w:rPr>
          <w:rFonts w:asciiTheme="majorHAnsi" w:hAnsiTheme="majorHAnsi" w:cs="Calibri"/>
          <w:sz w:val="20"/>
          <w:szCs w:val="20"/>
        </w:rPr>
        <w:t>Bucklew] will choke and be unable to breathe for a period of time that would violate the Eight</w:t>
      </w:r>
      <w:r w:rsidR="003F54C2" w:rsidRPr="00B41E87">
        <w:rPr>
          <w:rFonts w:asciiTheme="majorHAnsi" w:hAnsiTheme="majorHAnsi" w:cs="Calibri"/>
          <w:sz w:val="20"/>
          <w:szCs w:val="20"/>
        </w:rPr>
        <w:t>h</w:t>
      </w:r>
      <w:r w:rsidRPr="00B41E87">
        <w:rPr>
          <w:rFonts w:asciiTheme="majorHAnsi" w:hAnsiTheme="majorHAnsi" w:cs="Calibri"/>
          <w:sz w:val="20"/>
          <w:szCs w:val="20"/>
        </w:rPr>
        <w:t xml:space="preserve"> Amendment.”</w:t>
      </w:r>
    </w:p>
    <w:p w14:paraId="6694C395"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742019F2" w14:textId="05FBD975"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Among</w:t>
      </w:r>
      <w:r w:rsidR="00FB143F" w:rsidRPr="00B41E87">
        <w:rPr>
          <w:rFonts w:asciiTheme="majorHAnsi" w:hAnsiTheme="majorHAnsi" w:cs="Calibri"/>
          <w:sz w:val="20"/>
          <w:szCs w:val="20"/>
        </w:rPr>
        <w:t xml:space="preserve"> other considerations, the c</w:t>
      </w:r>
      <w:r w:rsidRPr="00B41E87">
        <w:rPr>
          <w:rFonts w:asciiTheme="majorHAnsi" w:hAnsiTheme="majorHAnsi" w:cs="Calibri"/>
          <w:sz w:val="20"/>
          <w:szCs w:val="20"/>
        </w:rPr>
        <w:t xml:space="preserve">ourt noted that Mr. Bucklew was not able to establish a legal argument to discuss the evidence presented by the </w:t>
      </w:r>
      <w:r w:rsidRPr="00B41E87">
        <w:rPr>
          <w:rFonts w:asciiTheme="majorHAnsi" w:eastAsia="Times New Roman" w:hAnsiTheme="majorHAnsi"/>
          <w:sz w:val="20"/>
          <w:szCs w:val="20"/>
        </w:rPr>
        <w:t>Missouri</w:t>
      </w:r>
      <w:r w:rsidRPr="00B41E87">
        <w:rPr>
          <w:rFonts w:asciiTheme="majorHAnsi" w:eastAsia="Times New Roman" w:hAnsiTheme="majorHAnsi"/>
          <w:bCs/>
          <w:sz w:val="20"/>
          <w:szCs w:val="20"/>
        </w:rPr>
        <w:t xml:space="preserve"> Department of Corrections indicating that the line could be inserted in his femoral vein to administer the execution drugs. In this regard, the decision acknowledged that the factual issues raised by Mr. </w:t>
      </w:r>
      <w:r w:rsidRPr="00B41E87">
        <w:rPr>
          <w:rFonts w:asciiTheme="majorHAnsi" w:hAnsiTheme="majorHAnsi" w:cs="Calibri"/>
          <w:sz w:val="20"/>
          <w:szCs w:val="20"/>
        </w:rPr>
        <w:t xml:space="preserve">Bucklew’s allegations addressed the “potential difficulty in locating the femoral vein and the fact that medical personnel might require multiple attempts to locate it… [which as alleged by Mr. Bucklew] will increase his stress, thereby increasing his breathing rate and making </w:t>
      </w:r>
      <w:r w:rsidR="00783830" w:rsidRPr="00B41E87">
        <w:rPr>
          <w:rFonts w:asciiTheme="majorHAnsi" w:hAnsiTheme="majorHAnsi" w:cs="Calibri"/>
          <w:sz w:val="20"/>
          <w:szCs w:val="20"/>
        </w:rPr>
        <w:t>it more likely that he will chok</w:t>
      </w:r>
      <w:r w:rsidRPr="00B41E87">
        <w:rPr>
          <w:rFonts w:asciiTheme="majorHAnsi" w:hAnsiTheme="majorHAnsi" w:cs="Calibri"/>
          <w:sz w:val="20"/>
          <w:szCs w:val="20"/>
        </w:rPr>
        <w:t xml:space="preserve">e.” </w:t>
      </w:r>
      <w:r w:rsidR="00783830" w:rsidRPr="00B41E87">
        <w:rPr>
          <w:rFonts w:asciiTheme="majorHAnsi" w:hAnsiTheme="majorHAnsi" w:cs="Calibri"/>
          <w:sz w:val="20"/>
          <w:szCs w:val="20"/>
        </w:rPr>
        <w:t>T</w:t>
      </w:r>
      <w:r w:rsidR="00FB143F" w:rsidRPr="00B41E87">
        <w:rPr>
          <w:rFonts w:asciiTheme="majorHAnsi" w:hAnsiTheme="majorHAnsi" w:cs="Calibri"/>
          <w:sz w:val="20"/>
          <w:szCs w:val="20"/>
        </w:rPr>
        <w:t>he c</w:t>
      </w:r>
      <w:r w:rsidRPr="00B41E87">
        <w:rPr>
          <w:rFonts w:asciiTheme="majorHAnsi" w:hAnsiTheme="majorHAnsi" w:cs="Calibri"/>
          <w:sz w:val="20"/>
          <w:szCs w:val="20"/>
        </w:rPr>
        <w:t xml:space="preserve">ourt concluded that Mr. Bucklew did not quantify such risks nor did he explain how these facts independently establish that Missouri’s </w:t>
      </w:r>
      <w:r w:rsidR="003F54C2" w:rsidRPr="00B41E87">
        <w:rPr>
          <w:rFonts w:asciiTheme="majorHAnsi" w:hAnsiTheme="majorHAnsi" w:cs="Calibri"/>
          <w:sz w:val="20"/>
          <w:szCs w:val="20"/>
        </w:rPr>
        <w:t xml:space="preserve">current </w:t>
      </w:r>
      <w:r w:rsidRPr="00B41E87">
        <w:rPr>
          <w:rFonts w:asciiTheme="majorHAnsi" w:hAnsiTheme="majorHAnsi" w:cs="Calibri"/>
          <w:sz w:val="20"/>
          <w:szCs w:val="20"/>
        </w:rPr>
        <w:t>protocol presented a risk of serious illness or needless suffering for</w:t>
      </w:r>
      <w:r w:rsidR="00FB143F" w:rsidRPr="00B41E87">
        <w:rPr>
          <w:rFonts w:asciiTheme="majorHAnsi" w:hAnsiTheme="majorHAnsi" w:cs="Calibri"/>
          <w:sz w:val="20"/>
          <w:szCs w:val="20"/>
        </w:rPr>
        <w:t xml:space="preserve"> him. The c</w:t>
      </w:r>
      <w:r w:rsidRPr="00B41E87">
        <w:rPr>
          <w:rFonts w:asciiTheme="majorHAnsi" w:hAnsiTheme="majorHAnsi" w:cs="Calibri"/>
          <w:sz w:val="20"/>
          <w:szCs w:val="20"/>
        </w:rPr>
        <w:t xml:space="preserve">ourt also dismissed this allegation based on its speculative nature and that </w:t>
      </w:r>
      <w:r w:rsidR="003F54C2" w:rsidRPr="00B41E87">
        <w:rPr>
          <w:rFonts w:asciiTheme="majorHAnsi" w:hAnsiTheme="majorHAnsi" w:cs="Calibri"/>
          <w:sz w:val="20"/>
          <w:szCs w:val="20"/>
        </w:rPr>
        <w:t xml:space="preserve">an </w:t>
      </w:r>
      <w:r w:rsidRPr="00B41E87">
        <w:rPr>
          <w:rFonts w:asciiTheme="majorHAnsi" w:hAnsiTheme="majorHAnsi" w:cs="Calibri"/>
          <w:sz w:val="20"/>
          <w:szCs w:val="20"/>
        </w:rPr>
        <w:t>Eighth Amendment claim cannot be ground</w:t>
      </w:r>
      <w:r w:rsidR="003F54C2" w:rsidRPr="00B41E87">
        <w:rPr>
          <w:rFonts w:asciiTheme="majorHAnsi" w:hAnsiTheme="majorHAnsi" w:cs="Calibri"/>
          <w:sz w:val="20"/>
          <w:szCs w:val="20"/>
        </w:rPr>
        <w:t>ed</w:t>
      </w:r>
      <w:r w:rsidRPr="00B41E87">
        <w:rPr>
          <w:rFonts w:asciiTheme="majorHAnsi" w:hAnsiTheme="majorHAnsi" w:cs="Calibri"/>
          <w:sz w:val="20"/>
          <w:szCs w:val="20"/>
        </w:rPr>
        <w:t xml:space="preserve"> on the likelihood </w:t>
      </w:r>
      <w:r w:rsidR="003F54C2" w:rsidRPr="00B41E87">
        <w:rPr>
          <w:rFonts w:asciiTheme="majorHAnsi" w:hAnsiTheme="majorHAnsi" w:cs="Calibri"/>
          <w:sz w:val="20"/>
          <w:szCs w:val="20"/>
        </w:rPr>
        <w:t xml:space="preserve">that </w:t>
      </w:r>
      <w:r w:rsidRPr="00B41E87">
        <w:rPr>
          <w:rFonts w:asciiTheme="majorHAnsi" w:hAnsiTheme="majorHAnsi" w:cs="Calibri"/>
          <w:sz w:val="20"/>
          <w:szCs w:val="20"/>
        </w:rPr>
        <w:t xml:space="preserve">the medical procedure </w:t>
      </w:r>
      <w:r w:rsidR="003F54C2" w:rsidRPr="00B41E87">
        <w:rPr>
          <w:rFonts w:asciiTheme="majorHAnsi" w:hAnsiTheme="majorHAnsi" w:cs="Calibri"/>
          <w:sz w:val="20"/>
          <w:szCs w:val="20"/>
        </w:rPr>
        <w:t xml:space="preserve">would </w:t>
      </w:r>
      <w:r w:rsidRPr="00B41E87">
        <w:rPr>
          <w:rFonts w:asciiTheme="majorHAnsi" w:hAnsiTheme="majorHAnsi" w:cs="Calibri"/>
          <w:sz w:val="20"/>
          <w:szCs w:val="20"/>
        </w:rPr>
        <w:t xml:space="preserve">be performed incorrectly. </w:t>
      </w:r>
    </w:p>
    <w:p w14:paraId="0E904B8F"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50AF5D21" w14:textId="14E7EBE8"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In</w:t>
      </w:r>
      <w:r w:rsidRPr="00B41E87">
        <w:rPr>
          <w:rFonts w:asciiTheme="majorHAnsi" w:hAnsiTheme="majorHAnsi" w:cs="Calibri"/>
          <w:sz w:val="20"/>
          <w:szCs w:val="20"/>
        </w:rPr>
        <w:t xml:space="preserve"> addition, considering the factual dispute </w:t>
      </w:r>
      <w:r w:rsidR="003F54C2" w:rsidRPr="00B41E87">
        <w:rPr>
          <w:rFonts w:asciiTheme="majorHAnsi" w:hAnsiTheme="majorHAnsi" w:cs="Calibri"/>
          <w:sz w:val="20"/>
          <w:szCs w:val="20"/>
        </w:rPr>
        <w:t>as to</w:t>
      </w:r>
      <w:r w:rsidRPr="00B41E87">
        <w:rPr>
          <w:rFonts w:asciiTheme="majorHAnsi" w:hAnsiTheme="majorHAnsi" w:cs="Calibri"/>
          <w:sz w:val="20"/>
          <w:szCs w:val="20"/>
        </w:rPr>
        <w:t xml:space="preserve"> how long Mr. Bucklew will be aware that he is choking or unable to breath</w:t>
      </w:r>
      <w:r w:rsidR="003F54C2" w:rsidRPr="00B41E87">
        <w:rPr>
          <w:rFonts w:asciiTheme="majorHAnsi" w:hAnsiTheme="majorHAnsi" w:cs="Calibri"/>
          <w:sz w:val="20"/>
          <w:szCs w:val="20"/>
        </w:rPr>
        <w:t>e</w:t>
      </w:r>
      <w:r w:rsidRPr="00B41E87">
        <w:rPr>
          <w:rFonts w:asciiTheme="majorHAnsi" w:hAnsiTheme="majorHAnsi" w:cs="Calibri"/>
          <w:sz w:val="20"/>
          <w:szCs w:val="20"/>
        </w:rPr>
        <w:t xml:space="preserve"> but unable to adjust his breathing to remedy this situation after t</w:t>
      </w:r>
      <w:r w:rsidR="00FB143F" w:rsidRPr="00B41E87">
        <w:rPr>
          <w:rFonts w:asciiTheme="majorHAnsi" w:hAnsiTheme="majorHAnsi" w:cs="Calibri"/>
          <w:sz w:val="20"/>
          <w:szCs w:val="20"/>
        </w:rPr>
        <w:t>he drugs are administered, the c</w:t>
      </w:r>
      <w:r w:rsidRPr="00B41E87">
        <w:rPr>
          <w:rFonts w:asciiTheme="majorHAnsi" w:hAnsiTheme="majorHAnsi" w:cs="Calibri"/>
          <w:sz w:val="20"/>
          <w:szCs w:val="20"/>
        </w:rPr>
        <w:t>ourt reiterated that these issues could not be resolved on summary judgment</w:t>
      </w:r>
      <w:r w:rsidR="00FB143F" w:rsidRPr="00B41E87">
        <w:rPr>
          <w:rFonts w:asciiTheme="majorHAnsi" w:hAnsiTheme="majorHAnsi" w:cs="Calibri"/>
          <w:sz w:val="20"/>
          <w:szCs w:val="20"/>
        </w:rPr>
        <w:t xml:space="preserve"> but at trial. The c</w:t>
      </w:r>
      <w:r w:rsidRPr="00B41E87">
        <w:rPr>
          <w:rFonts w:asciiTheme="majorHAnsi" w:hAnsiTheme="majorHAnsi" w:cs="Calibri"/>
          <w:sz w:val="20"/>
          <w:szCs w:val="20"/>
        </w:rPr>
        <w:t xml:space="preserve">ourt stated that “solely for purposes of further discussion, …[it] presume[d] that there is a substantial risk that [Mr. Bucklew] will experience choking and an inability to breathe for up to four minutes.” </w:t>
      </w:r>
    </w:p>
    <w:p w14:paraId="72948CF5"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47F08844" w14:textId="4CA5ECEF"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On the alternative measures </w:t>
      </w:r>
      <w:r w:rsidR="00783830" w:rsidRPr="00B41E87">
        <w:rPr>
          <w:rFonts w:asciiTheme="majorHAnsi" w:eastAsia="Times New Roman" w:hAnsiTheme="majorHAnsi"/>
          <w:bCs/>
          <w:sz w:val="20"/>
          <w:szCs w:val="20"/>
        </w:rPr>
        <w:t>standard</w:t>
      </w:r>
      <w:r w:rsidR="00FB143F" w:rsidRPr="00B41E87">
        <w:rPr>
          <w:rFonts w:asciiTheme="majorHAnsi" w:hAnsiTheme="majorHAnsi" w:cs="Calibri"/>
          <w:sz w:val="20"/>
          <w:szCs w:val="20"/>
        </w:rPr>
        <w:t>, the c</w:t>
      </w:r>
      <w:r w:rsidRPr="00B41E87">
        <w:rPr>
          <w:rFonts w:asciiTheme="majorHAnsi" w:hAnsiTheme="majorHAnsi" w:cs="Calibri"/>
          <w:sz w:val="20"/>
          <w:szCs w:val="20"/>
        </w:rPr>
        <w:t xml:space="preserve">ourt considered Mr. Bucklew’s request that the execution be performed with nitrogen gas-induced hypoxia as he contended that it will “significantly reduce the risks of severe pain and suffering.” Regarding this allegation, Mr. Bucklew also raised opposition to the </w:t>
      </w:r>
      <w:r w:rsidR="00783830" w:rsidRPr="00B41E87">
        <w:rPr>
          <w:rFonts w:asciiTheme="majorHAnsi" w:hAnsiTheme="majorHAnsi" w:cs="Calibri"/>
          <w:sz w:val="20"/>
          <w:szCs w:val="20"/>
        </w:rPr>
        <w:t xml:space="preserve">application of the </w:t>
      </w:r>
      <w:r w:rsidRPr="00B41E87">
        <w:rPr>
          <w:rFonts w:asciiTheme="majorHAnsi" w:hAnsiTheme="majorHAnsi" w:cs="Calibri"/>
          <w:i/>
          <w:sz w:val="20"/>
          <w:szCs w:val="20"/>
        </w:rPr>
        <w:t>Glossip</w:t>
      </w:r>
      <w:r w:rsidR="00783830" w:rsidRPr="00B41E87">
        <w:rPr>
          <w:rFonts w:asciiTheme="majorHAnsi" w:hAnsiTheme="majorHAnsi" w:cs="Calibri"/>
          <w:i/>
          <w:sz w:val="20"/>
          <w:szCs w:val="20"/>
        </w:rPr>
        <w:t xml:space="preserve"> </w:t>
      </w:r>
      <w:r w:rsidR="00783830" w:rsidRPr="00B41E87">
        <w:rPr>
          <w:rFonts w:asciiTheme="majorHAnsi" w:hAnsiTheme="majorHAnsi" w:cs="Calibri"/>
          <w:sz w:val="20"/>
          <w:szCs w:val="20"/>
        </w:rPr>
        <w:t xml:space="preserve">standard to </w:t>
      </w:r>
      <w:r w:rsidRPr="00B41E87">
        <w:rPr>
          <w:rFonts w:asciiTheme="majorHAnsi" w:hAnsiTheme="majorHAnsi" w:cs="Calibri"/>
          <w:sz w:val="20"/>
          <w:szCs w:val="20"/>
        </w:rPr>
        <w:t xml:space="preserve">his case contending that this </w:t>
      </w:r>
      <w:r w:rsidR="00783830" w:rsidRPr="00B41E87">
        <w:rPr>
          <w:rFonts w:asciiTheme="majorHAnsi" w:hAnsiTheme="majorHAnsi" w:cs="Calibri"/>
          <w:sz w:val="20"/>
          <w:szCs w:val="20"/>
        </w:rPr>
        <w:t>judgment</w:t>
      </w:r>
      <w:r w:rsidRPr="00B41E87">
        <w:rPr>
          <w:rFonts w:asciiTheme="majorHAnsi" w:hAnsiTheme="majorHAnsi" w:cs="Calibri"/>
          <w:sz w:val="20"/>
          <w:szCs w:val="20"/>
        </w:rPr>
        <w:t xml:space="preserve"> involved </w:t>
      </w:r>
      <w:r w:rsidR="00E868F3" w:rsidRPr="00B41E87">
        <w:rPr>
          <w:rFonts w:asciiTheme="majorHAnsi" w:hAnsiTheme="majorHAnsi" w:cs="Calibri"/>
          <w:sz w:val="20"/>
          <w:szCs w:val="20"/>
        </w:rPr>
        <w:t>“</w:t>
      </w:r>
      <w:r w:rsidRPr="00B41E87">
        <w:rPr>
          <w:rFonts w:asciiTheme="majorHAnsi" w:hAnsiTheme="majorHAnsi" w:cs="Calibri"/>
          <w:i/>
          <w:sz w:val="20"/>
          <w:szCs w:val="20"/>
        </w:rPr>
        <w:t>facial challenge</w:t>
      </w:r>
      <w:r w:rsidR="00E868F3" w:rsidRPr="00B41E87">
        <w:rPr>
          <w:rFonts w:asciiTheme="majorHAnsi" w:hAnsiTheme="majorHAnsi" w:cs="Calibri"/>
          <w:i/>
          <w:sz w:val="20"/>
          <w:szCs w:val="20"/>
        </w:rPr>
        <w:t>”</w:t>
      </w:r>
      <w:r w:rsidRPr="00B41E87">
        <w:rPr>
          <w:rFonts w:asciiTheme="majorHAnsi" w:hAnsiTheme="majorHAnsi" w:cs="Calibri"/>
          <w:sz w:val="20"/>
          <w:szCs w:val="20"/>
        </w:rPr>
        <w:t xml:space="preserve"> while his case </w:t>
      </w:r>
      <w:r w:rsidR="003F54C2" w:rsidRPr="00B41E87">
        <w:rPr>
          <w:rFonts w:asciiTheme="majorHAnsi" w:hAnsiTheme="majorHAnsi" w:cs="Calibri"/>
          <w:sz w:val="20"/>
          <w:szCs w:val="20"/>
        </w:rPr>
        <w:t xml:space="preserve">presented </w:t>
      </w:r>
      <w:r w:rsidR="00E868F3" w:rsidRPr="00B41E87">
        <w:rPr>
          <w:rFonts w:asciiTheme="majorHAnsi" w:hAnsiTheme="majorHAnsi" w:cs="Calibri"/>
          <w:sz w:val="20"/>
          <w:szCs w:val="20"/>
        </w:rPr>
        <w:t>an “</w:t>
      </w:r>
      <w:r w:rsidRPr="00B41E87">
        <w:rPr>
          <w:rFonts w:asciiTheme="majorHAnsi" w:hAnsiTheme="majorHAnsi" w:cs="Calibri"/>
          <w:i/>
          <w:sz w:val="20"/>
          <w:szCs w:val="20"/>
        </w:rPr>
        <w:t>as-applied challenge</w:t>
      </w:r>
      <w:r w:rsidR="003F54C2" w:rsidRPr="00B41E87">
        <w:rPr>
          <w:rFonts w:asciiTheme="majorHAnsi" w:hAnsiTheme="majorHAnsi" w:cs="Calibri"/>
          <w:i/>
          <w:sz w:val="20"/>
          <w:szCs w:val="20"/>
        </w:rPr>
        <w:t>.</w:t>
      </w:r>
      <w:r w:rsidR="00E868F3" w:rsidRPr="00B41E87">
        <w:rPr>
          <w:rFonts w:asciiTheme="majorHAnsi" w:hAnsiTheme="majorHAnsi" w:cs="Calibri"/>
          <w:i/>
          <w:sz w:val="20"/>
          <w:szCs w:val="20"/>
        </w:rPr>
        <w:t>”</w:t>
      </w:r>
      <w:r w:rsidR="00FB143F" w:rsidRPr="00B41E87">
        <w:rPr>
          <w:rFonts w:asciiTheme="majorHAnsi" w:hAnsiTheme="majorHAnsi" w:cs="Calibri"/>
          <w:sz w:val="20"/>
          <w:szCs w:val="20"/>
        </w:rPr>
        <w:t xml:space="preserve"> The c</w:t>
      </w:r>
      <w:r w:rsidRPr="00B41E87">
        <w:rPr>
          <w:rFonts w:asciiTheme="majorHAnsi" w:hAnsiTheme="majorHAnsi" w:cs="Calibri"/>
          <w:sz w:val="20"/>
          <w:szCs w:val="20"/>
        </w:rPr>
        <w:t xml:space="preserve">ourt </w:t>
      </w:r>
      <w:r w:rsidR="00F2138D" w:rsidRPr="00B41E87">
        <w:rPr>
          <w:rFonts w:asciiTheme="majorHAnsi" w:hAnsiTheme="majorHAnsi" w:cs="Calibri"/>
          <w:sz w:val="20"/>
          <w:szCs w:val="20"/>
        </w:rPr>
        <w:t>dismissed</w:t>
      </w:r>
      <w:r w:rsidRPr="00B41E87">
        <w:rPr>
          <w:rFonts w:asciiTheme="majorHAnsi" w:hAnsiTheme="majorHAnsi" w:cs="Calibri"/>
          <w:sz w:val="20"/>
          <w:szCs w:val="20"/>
        </w:rPr>
        <w:t xml:space="preserve"> this argument deeming there was no distinction set by the </w:t>
      </w:r>
      <w:r w:rsidRPr="00B41E87">
        <w:rPr>
          <w:rFonts w:asciiTheme="majorHAnsi" w:hAnsiTheme="majorHAnsi" w:cs="Calibri"/>
          <w:i/>
          <w:sz w:val="20"/>
          <w:szCs w:val="20"/>
        </w:rPr>
        <w:t>Glossip</w:t>
      </w:r>
      <w:r w:rsidRPr="00B41E87">
        <w:rPr>
          <w:rFonts w:asciiTheme="majorHAnsi" w:hAnsiTheme="majorHAnsi" w:cs="Calibri"/>
          <w:sz w:val="20"/>
          <w:szCs w:val="20"/>
        </w:rPr>
        <w:t xml:space="preserve"> standard between these two possible challenges. </w:t>
      </w:r>
    </w:p>
    <w:p w14:paraId="71A87CE1"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67CBBE52" w14:textId="4006DC2A"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The decision then analyzed two main questions: (i) whether the use of nitrogen gas will cause Mr. </w:t>
      </w:r>
      <w:r w:rsidRPr="00B41E87">
        <w:rPr>
          <w:rFonts w:asciiTheme="majorHAnsi" w:hAnsiTheme="majorHAnsi" w:cs="Calibri"/>
          <w:sz w:val="20"/>
          <w:szCs w:val="20"/>
        </w:rPr>
        <w:t>Bucklew “to become unaware of his choking and breathing difficulties sooner than he would under the current protocol</w:t>
      </w:r>
      <w:r w:rsidR="0047150F" w:rsidRPr="00B41E87">
        <w:rPr>
          <w:rFonts w:asciiTheme="majorHAnsi" w:hAnsiTheme="majorHAnsi" w:cs="Calibri"/>
          <w:sz w:val="20"/>
          <w:szCs w:val="20"/>
        </w:rPr>
        <w:t>,</w:t>
      </w:r>
      <w:r w:rsidRPr="00B41E87">
        <w:rPr>
          <w:rFonts w:asciiTheme="majorHAnsi" w:hAnsiTheme="majorHAnsi" w:cs="Calibri"/>
          <w:sz w:val="20"/>
          <w:szCs w:val="20"/>
        </w:rPr>
        <w:t xml:space="preserve">” which is expected to </w:t>
      </w:r>
      <w:r w:rsidR="0047150F" w:rsidRPr="00B41E87">
        <w:rPr>
          <w:rFonts w:asciiTheme="majorHAnsi" w:hAnsiTheme="majorHAnsi" w:cs="Calibri"/>
          <w:sz w:val="20"/>
          <w:szCs w:val="20"/>
        </w:rPr>
        <w:t xml:space="preserve">cover </w:t>
      </w:r>
      <w:r w:rsidRPr="00B41E87">
        <w:rPr>
          <w:rFonts w:asciiTheme="majorHAnsi" w:hAnsiTheme="majorHAnsi" w:cs="Calibri"/>
          <w:sz w:val="20"/>
          <w:szCs w:val="20"/>
        </w:rPr>
        <w:t xml:space="preserve">four minutes if the pentobarbital is used; and (ii) whether “that difference in time </w:t>
      </w:r>
      <w:r w:rsidR="00FB143F" w:rsidRPr="00B41E87">
        <w:rPr>
          <w:rFonts w:asciiTheme="majorHAnsi" w:hAnsiTheme="majorHAnsi" w:cs="Calibri"/>
          <w:sz w:val="20"/>
          <w:szCs w:val="20"/>
        </w:rPr>
        <w:t>[was] sufficient to permit the c</w:t>
      </w:r>
      <w:r w:rsidRPr="00B41E87">
        <w:rPr>
          <w:rFonts w:asciiTheme="majorHAnsi" w:hAnsiTheme="majorHAnsi" w:cs="Calibri"/>
          <w:sz w:val="20"/>
          <w:szCs w:val="20"/>
        </w:rPr>
        <w:t>ourt to find that nitrogen gas will make a ‘significant’ difference in [Mr. Bucklew</w:t>
      </w:r>
      <w:r w:rsidR="00FB143F" w:rsidRPr="00B41E87">
        <w:rPr>
          <w:rFonts w:asciiTheme="majorHAnsi" w:hAnsiTheme="majorHAnsi" w:cs="Calibri"/>
          <w:sz w:val="20"/>
          <w:szCs w:val="20"/>
        </w:rPr>
        <w:t>] suffering.” Mainly the c</w:t>
      </w:r>
      <w:r w:rsidRPr="00B41E87">
        <w:rPr>
          <w:rFonts w:asciiTheme="majorHAnsi" w:hAnsiTheme="majorHAnsi" w:cs="Calibri"/>
          <w:sz w:val="20"/>
          <w:szCs w:val="20"/>
        </w:rPr>
        <w:t xml:space="preserve">ourt </w:t>
      </w:r>
      <w:r w:rsidR="00D55272" w:rsidRPr="00B41E87">
        <w:rPr>
          <w:rFonts w:asciiTheme="majorHAnsi" w:hAnsiTheme="majorHAnsi" w:cs="Calibri"/>
          <w:sz w:val="20"/>
          <w:szCs w:val="20"/>
        </w:rPr>
        <w:t>considered o</w:t>
      </w:r>
      <w:r w:rsidRPr="00B41E87">
        <w:rPr>
          <w:rFonts w:asciiTheme="majorHAnsi" w:hAnsiTheme="majorHAnsi" w:cs="Calibri"/>
          <w:sz w:val="20"/>
          <w:szCs w:val="20"/>
        </w:rPr>
        <w:t>ne</w:t>
      </w:r>
      <w:r w:rsidR="00D55272" w:rsidRPr="00B41E87">
        <w:rPr>
          <w:rFonts w:asciiTheme="majorHAnsi" w:hAnsiTheme="majorHAnsi" w:cs="Calibri"/>
          <w:sz w:val="20"/>
          <w:szCs w:val="20"/>
        </w:rPr>
        <w:t xml:space="preserve"> of the </w:t>
      </w:r>
      <w:r w:rsidRPr="00B41E87">
        <w:rPr>
          <w:rFonts w:asciiTheme="majorHAnsi" w:hAnsiTheme="majorHAnsi" w:cs="Calibri"/>
          <w:sz w:val="20"/>
          <w:szCs w:val="20"/>
        </w:rPr>
        <w:t>expert opinion</w:t>
      </w:r>
      <w:r w:rsidR="00D55272" w:rsidRPr="00B41E87">
        <w:rPr>
          <w:rFonts w:asciiTheme="majorHAnsi" w:hAnsiTheme="majorHAnsi" w:cs="Calibri"/>
          <w:sz w:val="20"/>
          <w:szCs w:val="20"/>
        </w:rPr>
        <w:t>s based on which it established</w:t>
      </w:r>
      <w:r w:rsidRPr="00B41E87">
        <w:rPr>
          <w:rFonts w:asciiTheme="majorHAnsi" w:hAnsiTheme="majorHAnsi" w:cs="Calibri"/>
          <w:sz w:val="20"/>
          <w:szCs w:val="20"/>
        </w:rPr>
        <w:t xml:space="preserve"> that there was no significant difference between these two methods, nor in the “speed” of their </w:t>
      </w:r>
      <w:r w:rsidR="00FB143F" w:rsidRPr="00B41E87">
        <w:rPr>
          <w:rFonts w:asciiTheme="majorHAnsi" w:hAnsiTheme="majorHAnsi" w:cs="Calibri"/>
          <w:sz w:val="20"/>
          <w:szCs w:val="20"/>
        </w:rPr>
        <w:t>lethal effect. In general, the c</w:t>
      </w:r>
      <w:r w:rsidRPr="00B41E87">
        <w:rPr>
          <w:rFonts w:asciiTheme="majorHAnsi" w:hAnsiTheme="majorHAnsi" w:cs="Calibri"/>
          <w:sz w:val="20"/>
          <w:szCs w:val="20"/>
        </w:rPr>
        <w:t xml:space="preserve">ourt considered that Mr. Bucklew did not </w:t>
      </w:r>
      <w:r w:rsidR="0047150F" w:rsidRPr="00B41E87">
        <w:rPr>
          <w:rFonts w:asciiTheme="majorHAnsi" w:hAnsiTheme="majorHAnsi" w:cs="Calibri"/>
          <w:sz w:val="20"/>
          <w:szCs w:val="20"/>
        </w:rPr>
        <w:t xml:space="preserve">provide </w:t>
      </w:r>
      <w:r w:rsidRPr="00B41E87">
        <w:rPr>
          <w:rFonts w:asciiTheme="majorHAnsi" w:hAnsiTheme="majorHAnsi" w:cs="Calibri"/>
          <w:sz w:val="20"/>
          <w:szCs w:val="20"/>
        </w:rPr>
        <w:t xml:space="preserve">sufficient and competent evidence to support that the effects of nitrogen gas will act faster than pentobarbital. </w:t>
      </w:r>
    </w:p>
    <w:p w14:paraId="0E512FED"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5BA84C4C" w14:textId="7EF2B1E7"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On March 6, 2018, the Eight</w:t>
      </w:r>
      <w:r w:rsidR="0047150F" w:rsidRPr="00B41E87">
        <w:rPr>
          <w:rFonts w:asciiTheme="majorHAnsi" w:eastAsia="Times New Roman" w:hAnsiTheme="majorHAnsi"/>
          <w:bCs/>
          <w:sz w:val="20"/>
          <w:szCs w:val="20"/>
        </w:rPr>
        <w:t>h</w:t>
      </w:r>
      <w:r w:rsidRPr="00B41E87">
        <w:rPr>
          <w:rFonts w:asciiTheme="majorHAnsi" w:eastAsia="Times New Roman" w:hAnsiTheme="majorHAnsi"/>
          <w:bCs/>
          <w:sz w:val="20"/>
          <w:szCs w:val="20"/>
        </w:rPr>
        <w:t xml:space="preserve"> Circuit Court of Appeals affirmed the district court’s grant of summary judgment in favor of the </w:t>
      </w:r>
      <w:r w:rsidRPr="00B41E87">
        <w:rPr>
          <w:rFonts w:asciiTheme="majorHAnsi" w:eastAsia="Times New Roman" w:hAnsiTheme="majorHAnsi"/>
          <w:sz w:val="20"/>
          <w:szCs w:val="20"/>
        </w:rPr>
        <w:t>Missouri</w:t>
      </w:r>
      <w:r w:rsidRPr="00B41E87">
        <w:rPr>
          <w:rFonts w:asciiTheme="majorHAnsi" w:eastAsia="Times New Roman" w:hAnsiTheme="majorHAnsi"/>
          <w:bCs/>
          <w:sz w:val="20"/>
          <w:szCs w:val="20"/>
        </w:rPr>
        <w:t> Department of Corrections, and dismiss</w:t>
      </w:r>
      <w:r w:rsidR="0047150F" w:rsidRPr="00B41E87">
        <w:rPr>
          <w:rFonts w:asciiTheme="majorHAnsi" w:eastAsia="Times New Roman" w:hAnsiTheme="majorHAnsi"/>
          <w:bCs/>
          <w:sz w:val="20"/>
          <w:szCs w:val="20"/>
        </w:rPr>
        <w:t>ed</w:t>
      </w:r>
      <w:r w:rsidRPr="00B41E87">
        <w:rPr>
          <w:rFonts w:asciiTheme="majorHAnsi" w:eastAsia="Times New Roman" w:hAnsiTheme="majorHAnsi"/>
          <w:bCs/>
          <w:sz w:val="20"/>
          <w:szCs w:val="20"/>
        </w:rPr>
        <w:t xml:space="preserve"> Mr. </w:t>
      </w:r>
      <w:r w:rsidRPr="00B41E87">
        <w:rPr>
          <w:rFonts w:asciiTheme="majorHAnsi" w:hAnsiTheme="majorHAnsi" w:cs="Calibri"/>
          <w:sz w:val="20"/>
          <w:szCs w:val="20"/>
        </w:rPr>
        <w:t xml:space="preserve">Bucklew’s challenge to lethal injection in his case. Circuit Judge Colloton </w:t>
      </w:r>
      <w:r w:rsidR="00F0325D" w:rsidRPr="00B41E87">
        <w:rPr>
          <w:rFonts w:asciiTheme="majorHAnsi" w:hAnsiTheme="majorHAnsi" w:cs="Calibri"/>
          <w:sz w:val="20"/>
          <w:szCs w:val="20"/>
        </w:rPr>
        <w:t>dissented</w:t>
      </w:r>
      <w:r w:rsidRPr="00B41E87">
        <w:rPr>
          <w:rFonts w:asciiTheme="majorHAnsi" w:hAnsiTheme="majorHAnsi" w:cs="Calibri"/>
          <w:sz w:val="20"/>
          <w:szCs w:val="20"/>
        </w:rPr>
        <w:t>. The pertinent parts of the ruling</w:t>
      </w:r>
      <w:r w:rsidR="00F0325D" w:rsidRPr="00B41E87">
        <w:rPr>
          <w:rFonts w:asciiTheme="majorHAnsi" w:hAnsiTheme="majorHAnsi" w:cs="Calibri"/>
          <w:sz w:val="20"/>
          <w:szCs w:val="20"/>
        </w:rPr>
        <w:t xml:space="preserve"> and the dissent</w:t>
      </w:r>
      <w:r w:rsidRPr="00B41E87">
        <w:rPr>
          <w:rFonts w:asciiTheme="majorHAnsi" w:hAnsiTheme="majorHAnsi" w:cs="Calibri"/>
          <w:sz w:val="20"/>
          <w:szCs w:val="20"/>
        </w:rPr>
        <w:t xml:space="preserve"> are summarized as follows.</w:t>
      </w:r>
      <w:r w:rsidRPr="00B41E87">
        <w:rPr>
          <w:rStyle w:val="FootnoteReference"/>
          <w:rFonts w:asciiTheme="majorHAnsi" w:hAnsiTheme="majorHAnsi"/>
          <w:sz w:val="20"/>
          <w:szCs w:val="20"/>
        </w:rPr>
        <w:footnoteReference w:id="33"/>
      </w:r>
      <w:r w:rsidRPr="00B41E87">
        <w:rPr>
          <w:rFonts w:asciiTheme="majorHAnsi" w:hAnsiTheme="majorHAnsi" w:cs="Calibri"/>
          <w:sz w:val="20"/>
          <w:szCs w:val="20"/>
        </w:rPr>
        <w:t xml:space="preserve"> </w:t>
      </w:r>
    </w:p>
    <w:p w14:paraId="6283D819"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770624C6" w14:textId="25CEAFB0"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lastRenderedPageBreak/>
        <w:t>The decision centered the debate on whether the Eight</w:t>
      </w:r>
      <w:r w:rsidR="0047150F" w:rsidRPr="00B41E87">
        <w:rPr>
          <w:rFonts w:asciiTheme="majorHAnsi" w:eastAsia="Times New Roman" w:hAnsiTheme="majorHAnsi"/>
          <w:bCs/>
          <w:sz w:val="20"/>
          <w:szCs w:val="20"/>
        </w:rPr>
        <w:t>h</w:t>
      </w:r>
      <w:r w:rsidRPr="00B41E87">
        <w:rPr>
          <w:rFonts w:asciiTheme="majorHAnsi" w:eastAsia="Times New Roman" w:hAnsiTheme="majorHAnsi"/>
          <w:bCs/>
          <w:sz w:val="20"/>
          <w:szCs w:val="20"/>
        </w:rPr>
        <w:t xml:space="preserve"> and Fourteenth Amendments would bar Missouri authorities from employing a procedure that is authorized by Missouri statute to execute Mr. </w:t>
      </w:r>
      <w:r w:rsidR="00FB143F" w:rsidRPr="00B41E87">
        <w:rPr>
          <w:rFonts w:asciiTheme="majorHAnsi" w:hAnsiTheme="majorHAnsi" w:cs="Calibri"/>
          <w:sz w:val="20"/>
          <w:szCs w:val="20"/>
        </w:rPr>
        <w:t>Bucklew. The c</w:t>
      </w:r>
      <w:r w:rsidRPr="00B41E87">
        <w:rPr>
          <w:rFonts w:asciiTheme="majorHAnsi" w:hAnsiTheme="majorHAnsi" w:cs="Calibri"/>
          <w:sz w:val="20"/>
          <w:szCs w:val="20"/>
        </w:rPr>
        <w:t xml:space="preserve">ourt </w:t>
      </w:r>
      <w:r w:rsidR="00F0325D" w:rsidRPr="00B41E87">
        <w:rPr>
          <w:rFonts w:asciiTheme="majorHAnsi" w:hAnsiTheme="majorHAnsi" w:cs="Calibri"/>
          <w:sz w:val="20"/>
          <w:szCs w:val="20"/>
        </w:rPr>
        <w:t xml:space="preserve">analyzed </w:t>
      </w:r>
      <w:r w:rsidRPr="00B41E87">
        <w:rPr>
          <w:rFonts w:asciiTheme="majorHAnsi" w:hAnsiTheme="majorHAnsi" w:cs="Calibri"/>
          <w:sz w:val="20"/>
          <w:szCs w:val="20"/>
        </w:rPr>
        <w:t xml:space="preserve">the information </w:t>
      </w:r>
      <w:r w:rsidR="0047150F" w:rsidRPr="00B41E87">
        <w:rPr>
          <w:rFonts w:asciiTheme="majorHAnsi" w:hAnsiTheme="majorHAnsi" w:cs="Calibri"/>
          <w:sz w:val="20"/>
          <w:szCs w:val="20"/>
        </w:rPr>
        <w:t>from</w:t>
      </w:r>
      <w:r w:rsidRPr="00B41E87">
        <w:rPr>
          <w:rFonts w:asciiTheme="majorHAnsi" w:hAnsiTheme="majorHAnsi" w:cs="Calibri"/>
          <w:sz w:val="20"/>
          <w:szCs w:val="20"/>
        </w:rPr>
        <w:t xml:space="preserve"> the two expert opinions presented by the parties as well as the application of the </w:t>
      </w:r>
      <w:r w:rsidRPr="00B41E87">
        <w:rPr>
          <w:rFonts w:asciiTheme="majorHAnsi" w:hAnsiTheme="majorHAnsi" w:cs="Calibri"/>
          <w:i/>
          <w:sz w:val="20"/>
          <w:szCs w:val="20"/>
        </w:rPr>
        <w:t>Glossip</w:t>
      </w:r>
      <w:r w:rsidRPr="00B41E87">
        <w:rPr>
          <w:rFonts w:asciiTheme="majorHAnsi" w:hAnsiTheme="majorHAnsi" w:cs="Calibri"/>
          <w:sz w:val="20"/>
          <w:szCs w:val="20"/>
        </w:rPr>
        <w:t xml:space="preserve"> standard.  The ruling also noted that</w:t>
      </w:r>
      <w:r w:rsidR="0047150F" w:rsidRPr="00B41E87">
        <w:rPr>
          <w:rFonts w:asciiTheme="majorHAnsi" w:hAnsiTheme="majorHAnsi" w:cs="Calibri"/>
          <w:sz w:val="20"/>
          <w:szCs w:val="20"/>
        </w:rPr>
        <w:t>,</w:t>
      </w:r>
      <w:r w:rsidRPr="00B41E87">
        <w:rPr>
          <w:rFonts w:asciiTheme="majorHAnsi" w:hAnsiTheme="majorHAnsi" w:cs="Calibri"/>
          <w:sz w:val="20"/>
          <w:szCs w:val="20"/>
        </w:rPr>
        <w:t xml:space="preserve"> while the challenged decision declined to rely on the likelihood of needless suffering, it established that Mr. Bucklew failed to provide “adequate evidence” that the alternative method of execution he proposed would “significantly reduce a substantial risk of severe pain.” </w:t>
      </w:r>
    </w:p>
    <w:p w14:paraId="41BDBD23"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270DAF46" w14:textId="54941600"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Considering the issue </w:t>
      </w:r>
      <w:r w:rsidR="0047150F" w:rsidRPr="00B41E87">
        <w:rPr>
          <w:rFonts w:asciiTheme="majorHAnsi" w:eastAsia="Times New Roman" w:hAnsiTheme="majorHAnsi"/>
          <w:bCs/>
          <w:sz w:val="20"/>
          <w:szCs w:val="20"/>
        </w:rPr>
        <w:t>as to</w:t>
      </w:r>
      <w:r w:rsidRPr="00B41E87">
        <w:rPr>
          <w:rFonts w:asciiTheme="majorHAnsi" w:eastAsia="Times New Roman" w:hAnsiTheme="majorHAnsi"/>
          <w:bCs/>
          <w:sz w:val="20"/>
          <w:szCs w:val="20"/>
        </w:rPr>
        <w:t xml:space="preserve"> whether a method of execution would constitute cru</w:t>
      </w:r>
      <w:r w:rsidR="00FB143F" w:rsidRPr="00B41E87">
        <w:rPr>
          <w:rFonts w:asciiTheme="majorHAnsi" w:eastAsia="Times New Roman" w:hAnsiTheme="majorHAnsi"/>
          <w:bCs/>
          <w:sz w:val="20"/>
          <w:szCs w:val="20"/>
        </w:rPr>
        <w:t>el and unusual punishment, the c</w:t>
      </w:r>
      <w:r w:rsidRPr="00B41E87">
        <w:rPr>
          <w:rFonts w:asciiTheme="majorHAnsi" w:eastAsia="Times New Roman" w:hAnsiTheme="majorHAnsi"/>
          <w:bCs/>
          <w:sz w:val="20"/>
          <w:szCs w:val="20"/>
        </w:rPr>
        <w:t>ourt deemed it appropriate to rule on this specific “issue of</w:t>
      </w:r>
      <w:r w:rsidR="00FB143F" w:rsidRPr="00B41E87">
        <w:rPr>
          <w:rFonts w:asciiTheme="majorHAnsi" w:eastAsia="Times New Roman" w:hAnsiTheme="majorHAnsi"/>
          <w:bCs/>
          <w:sz w:val="20"/>
          <w:szCs w:val="20"/>
        </w:rPr>
        <w:t xml:space="preserve"> law” by summary judgment. The c</w:t>
      </w:r>
      <w:r w:rsidRPr="00B41E87">
        <w:rPr>
          <w:rFonts w:asciiTheme="majorHAnsi" w:eastAsia="Times New Roman" w:hAnsiTheme="majorHAnsi"/>
          <w:bCs/>
          <w:sz w:val="20"/>
          <w:szCs w:val="20"/>
        </w:rPr>
        <w:t xml:space="preserve">ourt then </w:t>
      </w:r>
      <w:r w:rsidR="0047150F" w:rsidRPr="00B41E87">
        <w:rPr>
          <w:rFonts w:asciiTheme="majorHAnsi" w:eastAsia="Times New Roman" w:hAnsiTheme="majorHAnsi"/>
          <w:bCs/>
          <w:sz w:val="20"/>
          <w:szCs w:val="20"/>
        </w:rPr>
        <w:t xml:space="preserve">considered </w:t>
      </w:r>
      <w:r w:rsidRPr="00B41E87">
        <w:rPr>
          <w:rFonts w:asciiTheme="majorHAnsi" w:eastAsia="Times New Roman" w:hAnsiTheme="majorHAnsi"/>
          <w:bCs/>
          <w:sz w:val="20"/>
          <w:szCs w:val="20"/>
        </w:rPr>
        <w:t>that:</w:t>
      </w:r>
    </w:p>
    <w:p w14:paraId="5309D5D0" w14:textId="77777777" w:rsidR="004C14A2" w:rsidRPr="00B41E87" w:rsidRDefault="004C14A2" w:rsidP="004C14A2">
      <w:pPr>
        <w:tabs>
          <w:tab w:val="left" w:pos="1080"/>
        </w:tabs>
        <w:ind w:left="720"/>
        <w:jc w:val="both"/>
        <w:rPr>
          <w:rFonts w:asciiTheme="majorHAnsi" w:eastAsia="Times New Roman" w:hAnsiTheme="majorHAnsi"/>
          <w:bCs/>
          <w:sz w:val="20"/>
          <w:szCs w:val="20"/>
        </w:rPr>
      </w:pPr>
    </w:p>
    <w:p w14:paraId="3B5C6E0B" w14:textId="01E55856"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eastAsia="Times New Roman" w:hAnsiTheme="majorHAnsi"/>
          <w:bCs/>
          <w:sz w:val="20"/>
          <w:szCs w:val="20"/>
        </w:rPr>
        <w:t>Nitrogen hypoxia is an authorized method of execution under Missouri Law, but it has not</w:t>
      </w:r>
      <w:r w:rsidR="00F0325D" w:rsidRPr="00B41E87">
        <w:rPr>
          <w:rFonts w:asciiTheme="majorHAnsi" w:eastAsia="Times New Roman" w:hAnsiTheme="majorHAnsi"/>
          <w:bCs/>
          <w:sz w:val="20"/>
          <w:szCs w:val="20"/>
        </w:rPr>
        <w:t xml:space="preserve"> been</w:t>
      </w:r>
      <w:r w:rsidRPr="00B41E87">
        <w:rPr>
          <w:rFonts w:asciiTheme="majorHAnsi" w:eastAsia="Times New Roman" w:hAnsiTheme="majorHAnsi"/>
          <w:bCs/>
          <w:sz w:val="20"/>
          <w:szCs w:val="20"/>
        </w:rPr>
        <w:t xml:space="preserve"> used since 19</w:t>
      </w:r>
      <w:r w:rsidR="00F0325D" w:rsidRPr="00B41E87">
        <w:rPr>
          <w:rFonts w:asciiTheme="majorHAnsi" w:eastAsia="Times New Roman" w:hAnsiTheme="majorHAnsi"/>
          <w:bCs/>
          <w:sz w:val="20"/>
          <w:szCs w:val="20"/>
        </w:rPr>
        <w:t>65</w:t>
      </w:r>
      <w:r w:rsidRPr="00B41E87">
        <w:rPr>
          <w:rFonts w:asciiTheme="majorHAnsi" w:eastAsia="Times New Roman" w:hAnsiTheme="majorHAnsi"/>
          <w:bCs/>
          <w:sz w:val="20"/>
          <w:szCs w:val="20"/>
        </w:rPr>
        <w:t xml:space="preserve"> and does not have a protocol in force for execution by lethal gas;</w:t>
      </w:r>
    </w:p>
    <w:p w14:paraId="63F681E6" w14:textId="16986B8D"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eastAsia="Times New Roman" w:hAnsiTheme="majorHAnsi"/>
          <w:bCs/>
          <w:sz w:val="20"/>
          <w:szCs w:val="20"/>
        </w:rPr>
        <w:t xml:space="preserve">Even though Mr. </w:t>
      </w:r>
      <w:r w:rsidRPr="00B41E87">
        <w:rPr>
          <w:rFonts w:asciiTheme="majorHAnsi" w:hAnsiTheme="majorHAnsi" w:cs="Calibri"/>
          <w:sz w:val="20"/>
          <w:szCs w:val="20"/>
        </w:rPr>
        <w:t>Bucklew was allowed to submit “extensive discovery” regarding his proposed method of execution, given “Missouri’s lack of recent experience such discovery produced little relevant evidence and no evidence that the risk posed by lethal injection is substantial when compared to the risk by lethal gas</w:t>
      </w:r>
      <w:r w:rsidR="0047150F" w:rsidRPr="00B41E87">
        <w:rPr>
          <w:rFonts w:asciiTheme="majorHAnsi" w:hAnsiTheme="majorHAnsi" w:cs="Calibri"/>
          <w:sz w:val="20"/>
          <w:szCs w:val="20"/>
        </w:rPr>
        <w:t>;</w:t>
      </w:r>
      <w:r w:rsidRPr="00B41E87">
        <w:rPr>
          <w:rFonts w:asciiTheme="majorHAnsi" w:hAnsiTheme="majorHAnsi" w:cs="Calibri"/>
          <w:sz w:val="20"/>
          <w:szCs w:val="20"/>
        </w:rPr>
        <w:t>”</w:t>
      </w:r>
    </w:p>
    <w:p w14:paraId="02E22F99" w14:textId="3E3492D9"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Neither</w:t>
      </w:r>
      <w:r w:rsidR="00F0325D" w:rsidRPr="00B41E87">
        <w:rPr>
          <w:rFonts w:asciiTheme="majorHAnsi" w:hAnsiTheme="majorHAnsi" w:cs="Calibri"/>
          <w:sz w:val="20"/>
          <w:szCs w:val="20"/>
        </w:rPr>
        <w:t xml:space="preserve"> the</w:t>
      </w:r>
      <w:r w:rsidRPr="00B41E87">
        <w:rPr>
          <w:rFonts w:asciiTheme="majorHAnsi" w:hAnsiTheme="majorHAnsi" w:cs="Calibri"/>
          <w:sz w:val="20"/>
          <w:szCs w:val="20"/>
        </w:rPr>
        <w:t xml:space="preserve"> assessment provided by Mr. Bucklew’s appointed expert</w:t>
      </w:r>
      <w:r w:rsidR="00F0325D" w:rsidRPr="00B41E87">
        <w:rPr>
          <w:rFonts w:asciiTheme="majorHAnsi" w:hAnsiTheme="majorHAnsi" w:cs="Calibri"/>
          <w:sz w:val="20"/>
          <w:szCs w:val="20"/>
        </w:rPr>
        <w:t xml:space="preserve"> nor the State’s expert were</w:t>
      </w:r>
      <w:r w:rsidRPr="00B41E87">
        <w:rPr>
          <w:rFonts w:asciiTheme="majorHAnsi" w:hAnsiTheme="majorHAnsi" w:cs="Calibri"/>
          <w:sz w:val="20"/>
          <w:szCs w:val="20"/>
        </w:rPr>
        <w:t xml:space="preserve"> conclusive or sufficient to support the use of lethal gas as opposed to lethal injection; </w:t>
      </w:r>
    </w:p>
    <w:p w14:paraId="3A48A84B" w14:textId="5BF9677F"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Comparing both expert opinions at the request of Mr. Bucklew regarding the time it</w:t>
      </w:r>
      <w:r w:rsidR="00CE2196" w:rsidRPr="00B41E87">
        <w:rPr>
          <w:rFonts w:asciiTheme="majorHAnsi" w:hAnsiTheme="majorHAnsi" w:cs="Calibri"/>
          <w:sz w:val="20"/>
          <w:szCs w:val="20"/>
        </w:rPr>
        <w:t xml:space="preserve"> will</w:t>
      </w:r>
      <w:r w:rsidRPr="00B41E87">
        <w:rPr>
          <w:rFonts w:asciiTheme="majorHAnsi" w:hAnsiTheme="majorHAnsi" w:cs="Calibri"/>
          <w:sz w:val="20"/>
          <w:szCs w:val="20"/>
        </w:rPr>
        <w:t xml:space="preserve"> take him to be unconscious or to cause him brain death, the decision establishes that “both methods would result in unconsciousness in approximately the same amount of time</w:t>
      </w:r>
      <w:r w:rsidR="0047150F" w:rsidRPr="00B41E87">
        <w:rPr>
          <w:rFonts w:asciiTheme="majorHAnsi" w:hAnsiTheme="majorHAnsi" w:cs="Calibri"/>
          <w:sz w:val="20"/>
          <w:szCs w:val="20"/>
        </w:rPr>
        <w:t>;</w:t>
      </w:r>
      <w:r w:rsidRPr="00B41E87">
        <w:rPr>
          <w:rFonts w:asciiTheme="majorHAnsi" w:hAnsiTheme="majorHAnsi" w:cs="Calibri"/>
          <w:sz w:val="20"/>
          <w:szCs w:val="20"/>
        </w:rPr>
        <w:t xml:space="preserve">” </w:t>
      </w:r>
    </w:p>
    <w:p w14:paraId="106D296E" w14:textId="6EEE4D27"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Mr. Bucklew’s claim on experiencing choking sensations if lethal injection is used, rests on the proposition that he could not be seated</w:t>
      </w:r>
      <w:r w:rsidR="0047150F" w:rsidRPr="00B41E87">
        <w:rPr>
          <w:rFonts w:asciiTheme="majorHAnsi" w:hAnsiTheme="majorHAnsi" w:cs="Calibri"/>
          <w:sz w:val="20"/>
          <w:szCs w:val="20"/>
        </w:rPr>
        <w:t>,</w:t>
      </w:r>
      <w:r w:rsidRPr="00B41E87">
        <w:rPr>
          <w:rFonts w:asciiTheme="majorHAnsi" w:hAnsiTheme="majorHAnsi" w:cs="Calibri"/>
          <w:sz w:val="20"/>
          <w:szCs w:val="20"/>
        </w:rPr>
        <w:t xml:space="preserve"> which would be possible with lethal gas, but this argument lacks factual support in the record and in particular, there was no assertion </w:t>
      </w:r>
      <w:r w:rsidR="0047150F" w:rsidRPr="00B41E87">
        <w:rPr>
          <w:rFonts w:asciiTheme="majorHAnsi" w:hAnsiTheme="majorHAnsi" w:cs="Calibri"/>
          <w:sz w:val="20"/>
          <w:szCs w:val="20"/>
        </w:rPr>
        <w:t xml:space="preserve">as to </w:t>
      </w:r>
      <w:r w:rsidRPr="00B41E87">
        <w:rPr>
          <w:rFonts w:asciiTheme="majorHAnsi" w:hAnsiTheme="majorHAnsi" w:cs="Calibri"/>
          <w:sz w:val="20"/>
          <w:szCs w:val="20"/>
        </w:rPr>
        <w:t xml:space="preserve">what changes </w:t>
      </w:r>
      <w:r w:rsidR="0047150F" w:rsidRPr="00B41E87">
        <w:rPr>
          <w:rFonts w:asciiTheme="majorHAnsi" w:hAnsiTheme="majorHAnsi" w:cs="Calibri"/>
          <w:sz w:val="20"/>
          <w:szCs w:val="20"/>
        </w:rPr>
        <w:t xml:space="preserve">this </w:t>
      </w:r>
      <w:r w:rsidRPr="00B41E87">
        <w:rPr>
          <w:rFonts w:asciiTheme="majorHAnsi" w:hAnsiTheme="majorHAnsi" w:cs="Calibri"/>
          <w:sz w:val="20"/>
          <w:szCs w:val="20"/>
        </w:rPr>
        <w:t xml:space="preserve">would </w:t>
      </w:r>
      <w:r w:rsidR="0047150F" w:rsidRPr="00B41E87">
        <w:rPr>
          <w:rFonts w:asciiTheme="majorHAnsi" w:hAnsiTheme="majorHAnsi" w:cs="Calibri"/>
          <w:sz w:val="20"/>
          <w:szCs w:val="20"/>
        </w:rPr>
        <w:t>require</w:t>
      </w:r>
      <w:r w:rsidRPr="00B41E87">
        <w:rPr>
          <w:rFonts w:asciiTheme="majorHAnsi" w:hAnsiTheme="majorHAnsi" w:cs="Calibri"/>
          <w:sz w:val="20"/>
          <w:szCs w:val="20"/>
        </w:rPr>
        <w:t xml:space="preserve"> in applying Missouri’s lethal injection protocol in his execution</w:t>
      </w:r>
      <w:r w:rsidR="00CE2196" w:rsidRPr="00B41E87">
        <w:rPr>
          <w:rFonts w:asciiTheme="majorHAnsi" w:hAnsiTheme="majorHAnsi" w:cs="Calibri"/>
          <w:sz w:val="20"/>
          <w:szCs w:val="20"/>
        </w:rPr>
        <w:t>;</w:t>
      </w:r>
      <w:r w:rsidRPr="00B41E87">
        <w:rPr>
          <w:rFonts w:asciiTheme="majorHAnsi" w:hAnsiTheme="majorHAnsi" w:cs="Calibri"/>
          <w:sz w:val="20"/>
          <w:szCs w:val="20"/>
        </w:rPr>
        <w:t xml:space="preserve"> </w:t>
      </w:r>
    </w:p>
    <w:p w14:paraId="46DB25D2" w14:textId="77777777"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The Director of Corrections has the authority to make changes in the execution protocol such as how the primary IV line will be inserted in the central femoral vein or how the gurney will be positioned, if the execution team advises that changes are needed during the preparation;</w:t>
      </w:r>
    </w:p>
    <w:p w14:paraId="6046C05B" w14:textId="7520A808"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 xml:space="preserve">While Mr. Bucklew sought and was denied discovery of the identities of the execution team’s medical members, he never urged the district court to establish a suitable fact-finding procedure for discovery of facts needed for the Director of Corrections to define the as-applied challenge in using the current lethal injection protocol </w:t>
      </w:r>
      <w:r w:rsidR="0047150F" w:rsidRPr="00B41E87">
        <w:rPr>
          <w:rFonts w:asciiTheme="majorHAnsi" w:hAnsiTheme="majorHAnsi" w:cs="Calibri"/>
          <w:sz w:val="20"/>
          <w:szCs w:val="20"/>
        </w:rPr>
        <w:t>on</w:t>
      </w:r>
      <w:r w:rsidRPr="00B41E87">
        <w:rPr>
          <w:rFonts w:asciiTheme="majorHAnsi" w:hAnsiTheme="majorHAnsi" w:cs="Calibri"/>
          <w:sz w:val="20"/>
          <w:szCs w:val="20"/>
        </w:rPr>
        <w:t xml:space="preserve"> him; </w:t>
      </w:r>
    </w:p>
    <w:p w14:paraId="154E3F73" w14:textId="50EDC596"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Whil</w:t>
      </w:r>
      <w:r w:rsidR="0047150F" w:rsidRPr="00B41E87">
        <w:rPr>
          <w:rFonts w:asciiTheme="majorHAnsi" w:hAnsiTheme="majorHAnsi" w:cs="Calibri"/>
          <w:sz w:val="20"/>
          <w:szCs w:val="20"/>
        </w:rPr>
        <w:t>e</w:t>
      </w:r>
      <w:r w:rsidRPr="00B41E87">
        <w:rPr>
          <w:rFonts w:asciiTheme="majorHAnsi" w:hAnsiTheme="majorHAnsi" w:cs="Calibri"/>
          <w:sz w:val="20"/>
          <w:szCs w:val="20"/>
        </w:rPr>
        <w:t xml:space="preserve"> the Director of Corrections had proposed to reposition the gurney during the execution, the record does not disclose whether Mr. Bucklew will in fact be supine during the execution nor does it disclose that a “cut-down” procedure will not be used to place the primary IV line in his central femoral vein, a procedure that was considered unnecessary by the State’s expert; and</w:t>
      </w:r>
      <w:r w:rsidR="00B92F21" w:rsidRPr="00B41E87">
        <w:rPr>
          <w:rFonts w:asciiTheme="majorHAnsi" w:hAnsiTheme="majorHAnsi" w:cs="Calibri"/>
          <w:sz w:val="20"/>
          <w:szCs w:val="20"/>
        </w:rPr>
        <w:t>,</w:t>
      </w:r>
      <w:r w:rsidRPr="00B41E87">
        <w:rPr>
          <w:rFonts w:asciiTheme="majorHAnsi" w:hAnsiTheme="majorHAnsi" w:cs="Calibri"/>
          <w:sz w:val="20"/>
          <w:szCs w:val="20"/>
        </w:rPr>
        <w:t xml:space="preserve">  </w:t>
      </w:r>
    </w:p>
    <w:p w14:paraId="75E4D0D4" w14:textId="7E845E71" w:rsidR="004C14A2" w:rsidRPr="00B41E87" w:rsidRDefault="004C14A2" w:rsidP="006961C6">
      <w:pPr>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jc w:val="both"/>
        <w:rPr>
          <w:rFonts w:asciiTheme="majorHAnsi" w:eastAsia="Times New Roman" w:hAnsiTheme="majorHAnsi"/>
          <w:bCs/>
          <w:sz w:val="20"/>
          <w:szCs w:val="20"/>
        </w:rPr>
      </w:pPr>
      <w:r w:rsidRPr="00B41E87">
        <w:rPr>
          <w:rFonts w:asciiTheme="majorHAnsi" w:hAnsiTheme="majorHAnsi" w:cs="Calibri"/>
          <w:sz w:val="20"/>
          <w:szCs w:val="20"/>
        </w:rPr>
        <w:t>Mr. Bucklew</w:t>
      </w:r>
      <w:r w:rsidR="00B92F21" w:rsidRPr="00B41E87">
        <w:rPr>
          <w:rFonts w:asciiTheme="majorHAnsi" w:hAnsiTheme="majorHAnsi" w:cs="Calibri"/>
          <w:sz w:val="20"/>
          <w:szCs w:val="20"/>
        </w:rPr>
        <w:t>’s</w:t>
      </w:r>
      <w:r w:rsidRPr="00B41E87">
        <w:rPr>
          <w:rFonts w:asciiTheme="majorHAnsi" w:hAnsiTheme="majorHAnsi" w:cs="Calibri"/>
          <w:sz w:val="20"/>
          <w:szCs w:val="20"/>
        </w:rPr>
        <w:t xml:space="preserve"> allegations are based </w:t>
      </w:r>
      <w:r w:rsidR="00B92F21" w:rsidRPr="00B41E87">
        <w:rPr>
          <w:rFonts w:asciiTheme="majorHAnsi" w:hAnsiTheme="majorHAnsi" w:cs="Calibri"/>
          <w:sz w:val="20"/>
          <w:szCs w:val="20"/>
        </w:rPr>
        <w:t>o</w:t>
      </w:r>
      <w:r w:rsidRPr="00B41E87">
        <w:rPr>
          <w:rFonts w:asciiTheme="majorHAnsi" w:hAnsiTheme="majorHAnsi" w:cs="Calibri"/>
          <w:sz w:val="20"/>
          <w:szCs w:val="20"/>
        </w:rPr>
        <w:t>n speculation that the Missouri authorities will employ such risk-increasing procedures.</w:t>
      </w:r>
    </w:p>
    <w:p w14:paraId="662C3BBE"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49FCC310" w14:textId="443CBFAF"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In conclusion a</w:t>
      </w:r>
      <w:r w:rsidR="00FB143F" w:rsidRPr="00B41E87">
        <w:rPr>
          <w:rFonts w:asciiTheme="majorHAnsi" w:eastAsia="Times New Roman" w:hAnsiTheme="majorHAnsi"/>
          <w:bCs/>
          <w:sz w:val="20"/>
          <w:szCs w:val="20"/>
        </w:rPr>
        <w:t>nd based on the foregoing, the c</w:t>
      </w:r>
      <w:r w:rsidRPr="00B41E87">
        <w:rPr>
          <w:rFonts w:asciiTheme="majorHAnsi" w:eastAsia="Times New Roman" w:hAnsiTheme="majorHAnsi"/>
          <w:bCs/>
          <w:sz w:val="20"/>
          <w:szCs w:val="20"/>
        </w:rPr>
        <w:t xml:space="preserve">ourt reaffirmed that there was no basis to conclude Mr. </w:t>
      </w:r>
      <w:r w:rsidRPr="00B41E87">
        <w:rPr>
          <w:rFonts w:asciiTheme="majorHAnsi" w:hAnsiTheme="majorHAnsi" w:cs="Calibri"/>
          <w:sz w:val="20"/>
          <w:szCs w:val="20"/>
        </w:rPr>
        <w:t xml:space="preserve">Bucklew’s “risk of severe pain would be substantially reduced by use of nitrogen hypoxia instead of lethal injection as the method of execution” and </w:t>
      </w:r>
      <w:r w:rsidR="00B92F21" w:rsidRPr="00B41E87">
        <w:rPr>
          <w:rFonts w:asciiTheme="majorHAnsi" w:hAnsiTheme="majorHAnsi" w:cs="Calibri"/>
          <w:sz w:val="20"/>
          <w:szCs w:val="20"/>
        </w:rPr>
        <w:t xml:space="preserve">that he </w:t>
      </w:r>
      <w:r w:rsidRPr="00B41E87">
        <w:rPr>
          <w:rFonts w:asciiTheme="majorHAnsi" w:hAnsiTheme="majorHAnsi" w:cs="Calibri"/>
          <w:sz w:val="20"/>
          <w:szCs w:val="20"/>
        </w:rPr>
        <w:t xml:space="preserve">therefore failed to </w:t>
      </w:r>
      <w:r w:rsidR="00B92F21" w:rsidRPr="00B41E87">
        <w:rPr>
          <w:rFonts w:asciiTheme="majorHAnsi" w:hAnsiTheme="majorHAnsi" w:cs="Calibri"/>
          <w:sz w:val="20"/>
          <w:szCs w:val="20"/>
        </w:rPr>
        <w:t>e</w:t>
      </w:r>
      <w:r w:rsidRPr="00B41E87">
        <w:rPr>
          <w:rFonts w:asciiTheme="majorHAnsi" w:hAnsiTheme="majorHAnsi" w:cs="Calibri"/>
          <w:sz w:val="20"/>
          <w:szCs w:val="20"/>
        </w:rPr>
        <w:t>stablish that lethal injection as applied to him would constitute cruel an</w:t>
      </w:r>
      <w:r w:rsidR="00CE2196" w:rsidRPr="00B41E87">
        <w:rPr>
          <w:rFonts w:asciiTheme="majorHAnsi" w:hAnsiTheme="majorHAnsi" w:cs="Calibri"/>
          <w:sz w:val="20"/>
          <w:szCs w:val="20"/>
        </w:rPr>
        <w:t>d</w:t>
      </w:r>
      <w:r w:rsidRPr="00B41E87">
        <w:rPr>
          <w:rFonts w:asciiTheme="majorHAnsi" w:hAnsiTheme="majorHAnsi" w:cs="Calibri"/>
          <w:sz w:val="20"/>
          <w:szCs w:val="20"/>
        </w:rPr>
        <w:t xml:space="preserve"> unusual punishment under the Eighth and Fourteenth Amendments. </w:t>
      </w:r>
    </w:p>
    <w:p w14:paraId="2C0B126A" w14:textId="77777777" w:rsidR="004C2D0D" w:rsidRPr="00B41E87" w:rsidRDefault="004C2D0D" w:rsidP="004C2D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bCs/>
          <w:sz w:val="20"/>
          <w:szCs w:val="20"/>
        </w:rPr>
      </w:pPr>
    </w:p>
    <w:p w14:paraId="61B28AA4" w14:textId="6FFA14F0" w:rsidR="004C14A2" w:rsidRPr="00B41E87" w:rsidRDefault="00B92F21"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hAnsiTheme="majorHAnsi" w:cs="Calibri"/>
          <w:sz w:val="20"/>
          <w:szCs w:val="20"/>
        </w:rPr>
        <w:t>T</w:t>
      </w:r>
      <w:r w:rsidR="004C14A2" w:rsidRPr="00B41E87">
        <w:rPr>
          <w:rFonts w:asciiTheme="majorHAnsi" w:hAnsiTheme="majorHAnsi" w:cs="Calibri"/>
          <w:sz w:val="20"/>
          <w:szCs w:val="20"/>
        </w:rPr>
        <w:t>he ruling also dismissed Mr. Bucklew’s claim</w:t>
      </w:r>
      <w:r w:rsidRPr="00B41E87">
        <w:rPr>
          <w:rFonts w:asciiTheme="majorHAnsi" w:hAnsiTheme="majorHAnsi" w:cs="Calibri"/>
          <w:sz w:val="20"/>
          <w:szCs w:val="20"/>
        </w:rPr>
        <w:t xml:space="preserve"> for</w:t>
      </w:r>
      <w:r w:rsidR="00CE2196" w:rsidRPr="00B41E87">
        <w:rPr>
          <w:rFonts w:asciiTheme="majorHAnsi" w:hAnsiTheme="majorHAnsi" w:cs="Calibri"/>
          <w:sz w:val="20"/>
          <w:szCs w:val="20"/>
        </w:rPr>
        <w:t xml:space="preserve"> </w:t>
      </w:r>
      <w:r w:rsidR="004C14A2" w:rsidRPr="00B41E87">
        <w:rPr>
          <w:rFonts w:asciiTheme="majorHAnsi" w:hAnsiTheme="majorHAnsi" w:cs="Calibri"/>
          <w:sz w:val="20"/>
          <w:szCs w:val="20"/>
        </w:rPr>
        <w:t>access to background information o</w:t>
      </w:r>
      <w:r w:rsidRPr="00B41E87">
        <w:rPr>
          <w:rFonts w:asciiTheme="majorHAnsi" w:hAnsiTheme="majorHAnsi" w:cs="Calibri"/>
          <w:sz w:val="20"/>
          <w:szCs w:val="20"/>
        </w:rPr>
        <w:t>n</w:t>
      </w:r>
      <w:r w:rsidR="004C14A2" w:rsidRPr="00B41E87">
        <w:rPr>
          <w:rFonts w:asciiTheme="majorHAnsi" w:hAnsiTheme="majorHAnsi" w:cs="Calibri"/>
          <w:sz w:val="20"/>
          <w:szCs w:val="20"/>
        </w:rPr>
        <w:t xml:space="preserve"> the members of the execution team, in particular the technicians’ qualifications, training and experience</w:t>
      </w:r>
      <w:r w:rsidR="009D0058" w:rsidRPr="00B41E87">
        <w:rPr>
          <w:rFonts w:asciiTheme="majorHAnsi" w:hAnsiTheme="majorHAnsi" w:cs="Calibri"/>
          <w:sz w:val="20"/>
          <w:szCs w:val="20"/>
        </w:rPr>
        <w:t xml:space="preserve">. </w:t>
      </w:r>
      <w:r w:rsidR="004C14A2" w:rsidRPr="00B41E87">
        <w:rPr>
          <w:rFonts w:asciiTheme="majorHAnsi" w:hAnsiTheme="majorHAnsi" w:cs="Calibri"/>
          <w:sz w:val="20"/>
          <w:szCs w:val="20"/>
        </w:rPr>
        <w:t>The decision considered that these arguments proceeded from the premise that the State’s personnel “may not be qualified for the positions for which they have been hired” or that they “are incompetent or unqualified to perform their assigned duties.” Mor</w:t>
      </w:r>
      <w:r w:rsidR="00FB143F" w:rsidRPr="00B41E87">
        <w:rPr>
          <w:rFonts w:asciiTheme="majorHAnsi" w:hAnsiTheme="majorHAnsi" w:cs="Calibri"/>
          <w:sz w:val="20"/>
          <w:szCs w:val="20"/>
        </w:rPr>
        <w:t>eover the c</w:t>
      </w:r>
      <w:r w:rsidR="004C14A2" w:rsidRPr="00B41E87">
        <w:rPr>
          <w:rFonts w:asciiTheme="majorHAnsi" w:hAnsiTheme="majorHAnsi" w:cs="Calibri"/>
          <w:sz w:val="20"/>
          <w:szCs w:val="20"/>
        </w:rPr>
        <w:t>ourt recalled that “the potentiality that something may go wrong in an execution does not give rise to an Eight</w:t>
      </w:r>
      <w:r w:rsidRPr="00B41E87">
        <w:rPr>
          <w:rFonts w:asciiTheme="majorHAnsi" w:hAnsiTheme="majorHAnsi" w:cs="Calibri"/>
          <w:sz w:val="20"/>
          <w:szCs w:val="20"/>
        </w:rPr>
        <w:t>h</w:t>
      </w:r>
      <w:r w:rsidR="004C14A2" w:rsidRPr="00B41E87">
        <w:rPr>
          <w:rFonts w:asciiTheme="majorHAnsi" w:hAnsiTheme="majorHAnsi" w:cs="Calibri"/>
          <w:sz w:val="20"/>
          <w:szCs w:val="20"/>
        </w:rPr>
        <w:t xml:space="preserve"> Amendment violation” as “some risk of pain is inherent in any method of execution –no matter how humane- if only from the prospect of error in following the required procedure.” It also evoked its previous decision stating that Mr. Bucklew “may not be permitted to supervise </w:t>
      </w:r>
      <w:r w:rsidR="004C14A2" w:rsidRPr="00B41E87">
        <w:rPr>
          <w:rFonts w:asciiTheme="majorHAnsi" w:hAnsiTheme="majorHAnsi" w:cs="Calibri"/>
          <w:sz w:val="20"/>
          <w:szCs w:val="20"/>
        </w:rPr>
        <w:lastRenderedPageBreak/>
        <w:t xml:space="preserve">every step of the execution process” and that it must be assumed that “those responsible for carrying out the sentence are competent and qualified to do so, and that the procedure will go as intended.” </w:t>
      </w:r>
    </w:p>
    <w:p w14:paraId="197DB02A"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05DC007F" w14:textId="2ED832D5"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bCs/>
          <w:sz w:val="20"/>
          <w:szCs w:val="20"/>
        </w:rPr>
      </w:pPr>
      <w:r w:rsidRPr="00B41E87">
        <w:rPr>
          <w:rFonts w:asciiTheme="majorHAnsi" w:eastAsia="Times New Roman" w:hAnsiTheme="majorHAnsi"/>
          <w:bCs/>
          <w:sz w:val="20"/>
          <w:szCs w:val="20"/>
        </w:rPr>
        <w:t>As for the dissenting opinion of Judge Collon</w:t>
      </w:r>
      <w:r w:rsidR="00B5154B" w:rsidRPr="00B41E87">
        <w:rPr>
          <w:rFonts w:asciiTheme="majorHAnsi" w:eastAsia="Times New Roman" w:hAnsiTheme="majorHAnsi"/>
          <w:bCs/>
          <w:sz w:val="20"/>
          <w:szCs w:val="20"/>
        </w:rPr>
        <w:t>,</w:t>
      </w:r>
      <w:r w:rsidRPr="00B41E87">
        <w:rPr>
          <w:rFonts w:asciiTheme="majorHAnsi" w:eastAsia="Times New Roman" w:hAnsiTheme="majorHAnsi"/>
          <w:bCs/>
          <w:sz w:val="20"/>
          <w:szCs w:val="20"/>
        </w:rPr>
        <w:t xml:space="preserve"> the Commission notes that </w:t>
      </w:r>
      <w:r w:rsidR="00AC22EE" w:rsidRPr="00B41E87">
        <w:rPr>
          <w:rFonts w:asciiTheme="majorHAnsi" w:eastAsia="Times New Roman" w:hAnsiTheme="majorHAnsi"/>
          <w:bCs/>
          <w:sz w:val="20"/>
          <w:szCs w:val="20"/>
        </w:rPr>
        <w:t>it</w:t>
      </w:r>
      <w:r w:rsidRPr="00B41E87">
        <w:rPr>
          <w:rFonts w:asciiTheme="majorHAnsi" w:eastAsia="Times New Roman" w:hAnsiTheme="majorHAnsi"/>
          <w:bCs/>
          <w:sz w:val="20"/>
          <w:szCs w:val="20"/>
        </w:rPr>
        <w:t xml:space="preserve"> was based on the consideration that the case involved “genuine disputes of material fact that require findings of fact by the district court before this dispute can be resolved.” Therefore Judge Collon was of the opinion </w:t>
      </w:r>
      <w:r w:rsidR="003F54C2" w:rsidRPr="00B41E87">
        <w:rPr>
          <w:rFonts w:asciiTheme="majorHAnsi" w:eastAsia="Times New Roman" w:hAnsiTheme="majorHAnsi"/>
          <w:bCs/>
          <w:sz w:val="20"/>
          <w:szCs w:val="20"/>
        </w:rPr>
        <w:t>that the case should be remanded to</w:t>
      </w:r>
      <w:r w:rsidRPr="00B41E87">
        <w:rPr>
          <w:rFonts w:asciiTheme="majorHAnsi" w:eastAsia="Times New Roman" w:hAnsiTheme="majorHAnsi"/>
          <w:bCs/>
          <w:sz w:val="20"/>
          <w:szCs w:val="20"/>
        </w:rPr>
        <w:t xml:space="preserve"> the district court </w:t>
      </w:r>
      <w:r w:rsidR="003F54C2" w:rsidRPr="00B41E87">
        <w:rPr>
          <w:rFonts w:asciiTheme="majorHAnsi" w:eastAsia="Times New Roman" w:hAnsiTheme="majorHAnsi"/>
          <w:bCs/>
          <w:sz w:val="20"/>
          <w:szCs w:val="20"/>
        </w:rPr>
        <w:t xml:space="preserve">to </w:t>
      </w:r>
      <w:r w:rsidRPr="00B41E87">
        <w:rPr>
          <w:rFonts w:asciiTheme="majorHAnsi" w:eastAsia="Times New Roman" w:hAnsiTheme="majorHAnsi"/>
          <w:bCs/>
          <w:sz w:val="20"/>
          <w:szCs w:val="20"/>
        </w:rPr>
        <w:t xml:space="preserve">promptly conduct further proceedings. </w:t>
      </w:r>
    </w:p>
    <w:p w14:paraId="640BB551" w14:textId="77777777" w:rsidR="004C14A2" w:rsidRPr="00B41E87" w:rsidRDefault="004C14A2" w:rsidP="004C14A2">
      <w:pPr>
        <w:tabs>
          <w:tab w:val="left" w:pos="1440"/>
        </w:tabs>
        <w:ind w:left="720"/>
        <w:jc w:val="both"/>
        <w:rPr>
          <w:rFonts w:asciiTheme="majorHAnsi" w:eastAsia="Times New Roman" w:hAnsiTheme="majorHAnsi"/>
          <w:bCs/>
          <w:sz w:val="20"/>
          <w:szCs w:val="20"/>
        </w:rPr>
      </w:pPr>
    </w:p>
    <w:p w14:paraId="3037D292" w14:textId="564A951D" w:rsidR="004C14A2" w:rsidRPr="00B41E87" w:rsidRDefault="004C14A2" w:rsidP="00D608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rPr>
      </w:pPr>
      <w:r w:rsidRPr="00B41E87">
        <w:rPr>
          <w:rFonts w:asciiTheme="majorHAnsi" w:eastAsia="Times New Roman" w:hAnsiTheme="majorHAnsi"/>
          <w:bCs/>
          <w:sz w:val="20"/>
          <w:szCs w:val="20"/>
        </w:rPr>
        <w:t xml:space="preserve">Mr. </w:t>
      </w:r>
      <w:r w:rsidRPr="00B41E87">
        <w:rPr>
          <w:rFonts w:asciiTheme="majorHAnsi" w:hAnsiTheme="majorHAnsi" w:cs="Calibri"/>
          <w:sz w:val="20"/>
          <w:szCs w:val="20"/>
        </w:rPr>
        <w:t xml:space="preserve">Bucklew’s execution </w:t>
      </w:r>
      <w:r w:rsidR="00AC22EE" w:rsidRPr="00B41E87">
        <w:rPr>
          <w:rFonts w:asciiTheme="majorHAnsi" w:hAnsiTheme="majorHAnsi" w:cs="Calibri"/>
          <w:sz w:val="20"/>
          <w:szCs w:val="20"/>
        </w:rPr>
        <w:t>is</w:t>
      </w:r>
      <w:r w:rsidRPr="00B41E87">
        <w:rPr>
          <w:rFonts w:asciiTheme="majorHAnsi" w:hAnsiTheme="majorHAnsi" w:cs="Calibri"/>
          <w:sz w:val="20"/>
          <w:szCs w:val="20"/>
        </w:rPr>
        <w:t xml:space="preserve"> scheduled for March 20, 2018. </w:t>
      </w:r>
    </w:p>
    <w:p w14:paraId="1D1F82A1" w14:textId="77777777" w:rsidR="0035677D" w:rsidRPr="00B41E87" w:rsidRDefault="0035677D" w:rsidP="0035677D">
      <w:pPr>
        <w:tabs>
          <w:tab w:val="left" w:pos="1440"/>
        </w:tabs>
        <w:ind w:left="720"/>
        <w:jc w:val="both"/>
        <w:rPr>
          <w:rFonts w:asciiTheme="majorHAnsi" w:hAnsiTheme="majorHAnsi"/>
          <w:sz w:val="20"/>
          <w:szCs w:val="20"/>
        </w:rPr>
      </w:pPr>
    </w:p>
    <w:p w14:paraId="5CE32065" w14:textId="77777777" w:rsidR="0035677D" w:rsidRPr="00B41E87" w:rsidRDefault="0035677D" w:rsidP="000444C9">
      <w:pPr>
        <w:pStyle w:val="Heading1"/>
      </w:pPr>
      <w:bookmarkStart w:id="46" w:name="_Toc444958132"/>
      <w:bookmarkStart w:id="47" w:name="_Toc457824495"/>
      <w:bookmarkStart w:id="48" w:name="_Toc433115991"/>
      <w:bookmarkStart w:id="49" w:name="_Toc423514424"/>
      <w:bookmarkStart w:id="50" w:name="_Toc475546054"/>
      <w:bookmarkStart w:id="51" w:name="_Toc486276806"/>
      <w:bookmarkStart w:id="52" w:name="_Toc486322757"/>
      <w:bookmarkStart w:id="53" w:name="_Toc511310298"/>
      <w:bookmarkStart w:id="54" w:name="_Toc512265311"/>
      <w:r w:rsidRPr="00B41E87">
        <w:t>ANALYSIS OF LAW</w:t>
      </w:r>
      <w:bookmarkEnd w:id="46"/>
      <w:bookmarkEnd w:id="47"/>
      <w:bookmarkEnd w:id="48"/>
      <w:bookmarkEnd w:id="49"/>
      <w:bookmarkEnd w:id="50"/>
      <w:bookmarkEnd w:id="51"/>
      <w:bookmarkEnd w:id="52"/>
      <w:bookmarkEnd w:id="53"/>
      <w:bookmarkEnd w:id="54"/>
      <w:r w:rsidRPr="00B41E87">
        <w:t xml:space="preserve"> </w:t>
      </w:r>
    </w:p>
    <w:p w14:paraId="105EAE97" w14:textId="77777777" w:rsidR="0035677D" w:rsidRPr="00B41E87" w:rsidRDefault="0035677D" w:rsidP="0035677D">
      <w:pPr>
        <w:shd w:val="clear" w:color="auto" w:fill="FFFFFF"/>
        <w:tabs>
          <w:tab w:val="num" w:pos="1080"/>
          <w:tab w:val="left" w:pos="1440"/>
          <w:tab w:val="num" w:pos="2040"/>
        </w:tabs>
        <w:jc w:val="both"/>
        <w:rPr>
          <w:rFonts w:asciiTheme="majorHAnsi" w:hAnsiTheme="majorHAnsi"/>
          <w:sz w:val="20"/>
          <w:szCs w:val="20"/>
        </w:rPr>
      </w:pPr>
    </w:p>
    <w:p w14:paraId="25F860B7" w14:textId="7ACF0659"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color w:val="000000"/>
          <w:sz w:val="20"/>
          <w:szCs w:val="20"/>
        </w:rPr>
      </w:pPr>
      <w:r w:rsidRPr="00B41E87">
        <w:rPr>
          <w:rFonts w:asciiTheme="majorHAnsi" w:hAnsiTheme="majorHAnsi"/>
          <w:sz w:val="20"/>
          <w:szCs w:val="20"/>
        </w:rPr>
        <w:t xml:space="preserve">Taking into account the arguments of the parties and the proven facts, the Commission will conduct its analysis of law in the following order: i) Preliminary considerations on the IACHR's standard of review in cases </w:t>
      </w:r>
      <w:r w:rsidRPr="00B41E87">
        <w:rPr>
          <w:rFonts w:asciiTheme="majorHAnsi" w:eastAsia="Times New Roman" w:hAnsiTheme="majorHAnsi"/>
          <w:bCs/>
          <w:sz w:val="20"/>
          <w:szCs w:val="20"/>
        </w:rPr>
        <w:t>involving</w:t>
      </w:r>
      <w:r w:rsidRPr="00B41E87">
        <w:rPr>
          <w:rFonts w:asciiTheme="majorHAnsi" w:hAnsiTheme="majorHAnsi"/>
          <w:sz w:val="20"/>
          <w:szCs w:val="20"/>
        </w:rPr>
        <w:t xml:space="preserve"> the death penalty; ii) Right to humane treatment, and not to undergo cruel, degrading, and unusual punishment</w:t>
      </w:r>
      <w:r w:rsidR="007914AD" w:rsidRPr="00B41E87">
        <w:rPr>
          <w:rFonts w:asciiTheme="majorHAnsi" w:hAnsiTheme="majorHAnsi"/>
          <w:sz w:val="20"/>
          <w:szCs w:val="20"/>
        </w:rPr>
        <w:t>,</w:t>
      </w:r>
      <w:r w:rsidRPr="00B41E87">
        <w:rPr>
          <w:rFonts w:asciiTheme="majorHAnsi" w:hAnsiTheme="majorHAnsi"/>
          <w:sz w:val="20"/>
          <w:szCs w:val="20"/>
        </w:rPr>
        <w:t xml:space="preserve"> and right to a fair trial</w:t>
      </w:r>
      <w:r w:rsidR="007914AD" w:rsidRPr="00B41E87">
        <w:rPr>
          <w:rFonts w:asciiTheme="majorHAnsi" w:hAnsiTheme="majorHAnsi"/>
          <w:sz w:val="20"/>
          <w:szCs w:val="20"/>
        </w:rPr>
        <w:t xml:space="preserve"> in relation to </w:t>
      </w:r>
      <w:r w:rsidRPr="00B41E87">
        <w:rPr>
          <w:rFonts w:asciiTheme="majorHAnsi" w:hAnsiTheme="majorHAnsi"/>
          <w:sz w:val="20"/>
          <w:szCs w:val="20"/>
        </w:rPr>
        <w:t>the method of execution and judicial remedies; iii) Right to humane treatment, and not to undergo cruel, degrading, and unusual punishment</w:t>
      </w:r>
      <w:r w:rsidR="007914AD" w:rsidRPr="00B41E87">
        <w:rPr>
          <w:rFonts w:asciiTheme="majorHAnsi" w:hAnsiTheme="majorHAnsi"/>
          <w:sz w:val="20"/>
          <w:szCs w:val="20"/>
        </w:rPr>
        <w:t xml:space="preserve"> in relation to Mr. Bucklew’s </w:t>
      </w:r>
      <w:r w:rsidRPr="00B41E87">
        <w:rPr>
          <w:rFonts w:asciiTheme="majorHAnsi" w:hAnsiTheme="majorHAnsi"/>
          <w:sz w:val="20"/>
          <w:szCs w:val="20"/>
        </w:rPr>
        <w:t xml:space="preserve">time </w:t>
      </w:r>
      <w:r w:rsidR="007914AD" w:rsidRPr="00B41E87">
        <w:rPr>
          <w:rFonts w:asciiTheme="majorHAnsi" w:hAnsiTheme="majorHAnsi"/>
          <w:sz w:val="20"/>
          <w:szCs w:val="20"/>
        </w:rPr>
        <w:t>o</w:t>
      </w:r>
      <w:r w:rsidRPr="00B41E87">
        <w:rPr>
          <w:rFonts w:asciiTheme="majorHAnsi" w:hAnsiTheme="majorHAnsi"/>
          <w:sz w:val="20"/>
          <w:szCs w:val="20"/>
        </w:rPr>
        <w:t xml:space="preserve">n death row; and iv) The right to life and not to receive cruel, infamous, or unusual punishment with respect to </w:t>
      </w:r>
      <w:r w:rsidR="007914AD" w:rsidRPr="00B41E87">
        <w:rPr>
          <w:rFonts w:asciiTheme="majorHAnsi" w:hAnsiTheme="majorHAnsi"/>
          <w:sz w:val="20"/>
          <w:szCs w:val="20"/>
        </w:rPr>
        <w:t xml:space="preserve">an </w:t>
      </w:r>
      <w:r w:rsidRPr="00B41E87">
        <w:rPr>
          <w:rFonts w:asciiTheme="majorHAnsi" w:hAnsiTheme="majorHAnsi"/>
          <w:sz w:val="20"/>
          <w:szCs w:val="20"/>
        </w:rPr>
        <w:t>eventual execution.</w:t>
      </w:r>
    </w:p>
    <w:p w14:paraId="44A319F5"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sz w:val="20"/>
          <w:szCs w:val="20"/>
        </w:rPr>
      </w:pPr>
    </w:p>
    <w:p w14:paraId="40279ECD" w14:textId="77777777" w:rsidR="00370A41" w:rsidRPr="00B41E87" w:rsidRDefault="00370A41" w:rsidP="006961C6">
      <w:pPr>
        <w:pStyle w:val="Heading2"/>
        <w:numPr>
          <w:ilvl w:val="0"/>
          <w:numId w:val="71"/>
        </w:numPr>
      </w:pPr>
      <w:bookmarkStart w:id="55" w:name="_Toc469320050"/>
      <w:bookmarkStart w:id="56" w:name="_Toc511310299"/>
      <w:bookmarkStart w:id="57" w:name="_Toc512265312"/>
      <w:r w:rsidRPr="00B41E87">
        <w:t>Preliminary considerations on the IACHR's standard of review in cases involving the death penalty</w:t>
      </w:r>
      <w:bookmarkEnd w:id="55"/>
      <w:bookmarkEnd w:id="56"/>
      <w:bookmarkEnd w:id="57"/>
    </w:p>
    <w:p w14:paraId="4B03ED4C"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cs="Cambria"/>
          <w:color w:val="000000"/>
          <w:sz w:val="20"/>
          <w:szCs w:val="20"/>
          <w:highlight w:val="yellow"/>
        </w:rPr>
      </w:pPr>
    </w:p>
    <w:p w14:paraId="70B359BE" w14:textId="66BA2C5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Before embarking on its analysis of the merits in the instant case, the Inter-American Commission considers it relevant to reiterate its previous decisions regarding the heightened scrutiny to be </w:t>
      </w:r>
      <w:r w:rsidR="006D5A8D" w:rsidRPr="00B41E87">
        <w:rPr>
          <w:rFonts w:asciiTheme="majorHAnsi" w:hAnsiTheme="majorHAnsi"/>
          <w:sz w:val="20"/>
          <w:szCs w:val="20"/>
        </w:rPr>
        <w:t>applied</w:t>
      </w:r>
      <w:r w:rsidRPr="00B41E87">
        <w:rPr>
          <w:rFonts w:asciiTheme="majorHAnsi" w:hAnsiTheme="majorHAnsi"/>
          <w:sz w:val="20"/>
          <w:szCs w:val="20"/>
        </w:rPr>
        <w:t xml:space="preserve"> in cases involving the death penalty.  The right to life has received broad recognition as the supreme human right and as a </w:t>
      </w:r>
      <w:r w:rsidRPr="00B41E87">
        <w:rPr>
          <w:rFonts w:asciiTheme="majorHAnsi" w:hAnsiTheme="majorHAnsi"/>
          <w:i/>
          <w:sz w:val="20"/>
          <w:szCs w:val="20"/>
        </w:rPr>
        <w:t xml:space="preserve">condition sine qua non </w:t>
      </w:r>
      <w:r w:rsidRPr="00B41E87">
        <w:rPr>
          <w:rFonts w:asciiTheme="majorHAnsi" w:hAnsiTheme="majorHAnsi"/>
          <w:sz w:val="20"/>
          <w:szCs w:val="20"/>
        </w:rPr>
        <w:t xml:space="preserve">for the enjoyment of all other rights. </w:t>
      </w:r>
    </w:p>
    <w:p w14:paraId="2B86C5C3"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6C5D8781"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That gives rise to the particular importance of the IACHR’s obligation to ensure that any deprivation of life that may arise from the enforcement of the death penalty strictly abides by the requirements set forth in the applicable instruments of the Inter-American human rights system, including the American Declaration.</w:t>
      </w:r>
      <w:r w:rsidRPr="00B41E87">
        <w:rPr>
          <w:rStyle w:val="FootnoteReference"/>
          <w:rFonts w:asciiTheme="majorHAnsi" w:hAnsiTheme="majorHAnsi"/>
          <w:sz w:val="20"/>
          <w:szCs w:val="20"/>
        </w:rPr>
        <w:footnoteReference w:id="34"/>
      </w:r>
      <w:r w:rsidRPr="00B41E87">
        <w:rPr>
          <w:rFonts w:asciiTheme="majorHAnsi" w:hAnsiTheme="majorHAnsi"/>
          <w:sz w:val="20"/>
          <w:szCs w:val="20"/>
        </w:rPr>
        <w:t xml:space="preserve"> That heightened scrutiny is consistent with the restrictive approach adopted by other international human rights bodies when analyzing cases that involve the imposition of the death penalty,</w:t>
      </w:r>
      <w:r w:rsidRPr="00B41E87">
        <w:rPr>
          <w:rStyle w:val="FootnoteReference"/>
          <w:rFonts w:asciiTheme="majorHAnsi" w:hAnsiTheme="majorHAnsi"/>
          <w:sz w:val="20"/>
          <w:szCs w:val="20"/>
        </w:rPr>
        <w:footnoteReference w:id="35"/>
      </w:r>
      <w:r w:rsidRPr="00B41E87">
        <w:rPr>
          <w:rFonts w:asciiTheme="majorHAnsi" w:hAnsiTheme="majorHAnsi"/>
          <w:sz w:val="20"/>
          <w:szCs w:val="20"/>
        </w:rPr>
        <w:t xml:space="preserve"> and it has been set out and applied by the Inter-American Commission in previous capital cases brought before it.</w:t>
      </w:r>
      <w:r w:rsidRPr="00B41E87">
        <w:rPr>
          <w:rStyle w:val="FootnoteReference"/>
          <w:rFonts w:asciiTheme="majorHAnsi" w:hAnsiTheme="majorHAnsi"/>
          <w:sz w:val="20"/>
          <w:szCs w:val="20"/>
        </w:rPr>
        <w:t xml:space="preserve"> </w:t>
      </w:r>
      <w:r w:rsidRPr="00B41E87">
        <w:rPr>
          <w:rStyle w:val="FootnoteReference"/>
          <w:rFonts w:asciiTheme="majorHAnsi" w:hAnsiTheme="majorHAnsi"/>
          <w:sz w:val="20"/>
          <w:szCs w:val="20"/>
        </w:rPr>
        <w:footnoteReference w:id="36"/>
      </w:r>
    </w:p>
    <w:p w14:paraId="5B244C82"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sz w:val="20"/>
          <w:szCs w:val="20"/>
        </w:rPr>
      </w:pPr>
    </w:p>
    <w:p w14:paraId="1A97FFC1"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lastRenderedPageBreak/>
        <w:t>As the Inter-American Commission has explained, this standard of review is the necessary consequence of the specific penalty at issue and the right to a fair trial and all attendant due process guarantees, among others.</w:t>
      </w:r>
      <w:r w:rsidRPr="00B41E87">
        <w:rPr>
          <w:rStyle w:val="FootnoteReference"/>
          <w:rFonts w:asciiTheme="majorHAnsi" w:hAnsiTheme="majorHAnsi"/>
          <w:sz w:val="20"/>
          <w:szCs w:val="20"/>
        </w:rPr>
        <w:footnoteReference w:id="37"/>
      </w:r>
      <w:r w:rsidRPr="00B41E87">
        <w:rPr>
          <w:rFonts w:asciiTheme="majorHAnsi" w:hAnsiTheme="majorHAnsi"/>
          <w:sz w:val="20"/>
          <w:szCs w:val="20"/>
        </w:rPr>
        <w:t xml:space="preserve"> In the words of the Commission:</w:t>
      </w:r>
    </w:p>
    <w:p w14:paraId="543B5180"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sz w:val="20"/>
          <w:szCs w:val="20"/>
        </w:rPr>
      </w:pPr>
    </w:p>
    <w:p w14:paraId="02B272CC"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41E87">
        <w:rPr>
          <w:rFonts w:asciiTheme="majorHAnsi" w:hAnsiTheme="majorHAns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B41E87">
        <w:rPr>
          <w:rStyle w:val="FootnoteReference"/>
          <w:rFonts w:asciiTheme="majorHAnsi" w:hAnsiTheme="majorHAnsi"/>
          <w:sz w:val="20"/>
          <w:szCs w:val="20"/>
        </w:rPr>
        <w:footnoteReference w:id="38"/>
      </w:r>
    </w:p>
    <w:p w14:paraId="12EAA0AD"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sz w:val="20"/>
          <w:szCs w:val="20"/>
        </w:rPr>
      </w:pPr>
    </w:p>
    <w:p w14:paraId="4E22D8E7"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bidi="en-US"/>
        </w:rPr>
      </w:pPr>
      <w:r w:rsidRPr="00B41E87">
        <w:rPr>
          <w:rFonts w:asciiTheme="majorHAnsi" w:hAnsiTheme="majorHAnsi"/>
          <w:sz w:val="20"/>
          <w:szCs w:val="20"/>
        </w:rPr>
        <w:t>The Inter-American Commission will therefore review the petitioner’s allegations in the present case with a heightened level of scrutiny, to ensure in particular that the rights to life, due process and fair trial, among others set out in the American Declaration have been respected by the State.  With regard to the legal status of the American Declaration, the IACHR reiterates that:</w:t>
      </w:r>
      <w:r w:rsidRPr="00B41E87">
        <w:rPr>
          <w:rFonts w:asciiTheme="majorHAnsi" w:eastAsiaTheme="minorHAnsi" w:hAnsiTheme="majorHAnsi" w:cs="Tahoma"/>
          <w:color w:val="262626"/>
          <w:sz w:val="20"/>
          <w:szCs w:val="20"/>
          <w:bdr w:val="none" w:sz="0" w:space="0" w:color="auto"/>
          <w:lang w:bidi="en-US"/>
        </w:rPr>
        <w:t xml:space="preserve"> </w:t>
      </w:r>
    </w:p>
    <w:p w14:paraId="29E7EE6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s>
        <w:autoSpaceDE w:val="0"/>
        <w:autoSpaceDN w:val="0"/>
        <w:adjustRightInd w:val="0"/>
        <w:jc w:val="both"/>
        <w:rPr>
          <w:rFonts w:asciiTheme="majorHAnsi" w:hAnsiTheme="majorHAnsi" w:cs="Calibri"/>
          <w:sz w:val="20"/>
          <w:szCs w:val="20"/>
        </w:rPr>
      </w:pPr>
    </w:p>
    <w:p w14:paraId="41B1F97A" w14:textId="77777777" w:rsidR="00370A41" w:rsidRPr="00B41E87" w:rsidRDefault="00370A41" w:rsidP="008C3721">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s>
        <w:autoSpaceDE w:val="0"/>
        <w:autoSpaceDN w:val="0"/>
        <w:adjustRightInd w:val="0"/>
        <w:ind w:left="720" w:right="720"/>
        <w:jc w:val="both"/>
        <w:rPr>
          <w:rFonts w:asciiTheme="majorHAnsi" w:hAnsiTheme="majorHAnsi" w:cs="Calibri"/>
          <w:sz w:val="20"/>
          <w:szCs w:val="20"/>
        </w:rPr>
      </w:pPr>
      <w:r w:rsidRPr="00B41E87">
        <w:rPr>
          <w:rFonts w:asciiTheme="majorHAnsi" w:hAnsiTheme="majorHAnsi"/>
          <w:sz w:val="20"/>
          <w:szCs w:val="20"/>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B41E87">
        <w:rPr>
          <w:rStyle w:val="FootnoteReference"/>
          <w:rFonts w:asciiTheme="majorHAnsi" w:hAnsiTheme="majorHAnsi"/>
          <w:sz w:val="20"/>
          <w:szCs w:val="20"/>
        </w:rPr>
        <w:footnoteReference w:id="39"/>
      </w:r>
    </w:p>
    <w:p w14:paraId="63BC942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jc w:val="both"/>
        <w:rPr>
          <w:rFonts w:asciiTheme="majorHAnsi" w:hAnsiTheme="majorHAnsi"/>
          <w:sz w:val="20"/>
          <w:szCs w:val="20"/>
          <w:lang w:bidi="en-US"/>
        </w:rPr>
      </w:pPr>
    </w:p>
    <w:p w14:paraId="548CD6BD" w14:textId="3DF63B03"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lang w:bidi="en-US"/>
        </w:rPr>
      </w:pPr>
      <w:r w:rsidRPr="00B41E87">
        <w:rPr>
          <w:rFonts w:asciiTheme="majorHAnsi" w:hAnsiTheme="majorHAnsi"/>
          <w:sz w:val="20"/>
          <w:szCs w:val="20"/>
          <w:lang w:bidi="en-US"/>
        </w:rPr>
        <w:t xml:space="preserve">Finally, </w:t>
      </w:r>
      <w:r w:rsidRPr="00B41E87">
        <w:rPr>
          <w:rFonts w:asciiTheme="majorHAnsi" w:hAnsiTheme="majorHAnsi"/>
          <w:sz w:val="20"/>
          <w:szCs w:val="20"/>
        </w:rPr>
        <w:t>and</w:t>
      </w:r>
      <w:r w:rsidRPr="00B41E87">
        <w:rPr>
          <w:rFonts w:asciiTheme="majorHAnsi" w:hAnsiTheme="majorHAnsi"/>
          <w:sz w:val="20"/>
          <w:szCs w:val="20"/>
          <w:lang w:bidi="en-US"/>
        </w:rPr>
        <w:t xml:space="preserve"> bearing in mind the State's position, the Commission recalls that its review does not consist of determining that the death penalty and of itself violates the American Declaration. What this section addresses is the standard of review of the alleged human rights violations in the context of a </w:t>
      </w:r>
      <w:r w:rsidR="006D5A8D" w:rsidRPr="00B41E87">
        <w:rPr>
          <w:rFonts w:asciiTheme="majorHAnsi" w:hAnsiTheme="majorHAnsi"/>
          <w:sz w:val="20"/>
          <w:szCs w:val="20"/>
          <w:lang w:bidi="en-US"/>
        </w:rPr>
        <w:t xml:space="preserve">judicial process </w:t>
      </w:r>
      <w:r w:rsidRPr="00B41E87">
        <w:rPr>
          <w:rFonts w:asciiTheme="majorHAnsi" w:hAnsiTheme="majorHAnsi"/>
          <w:sz w:val="20"/>
          <w:szCs w:val="20"/>
          <w:lang w:bidi="en-US"/>
        </w:rPr>
        <w:t>culminating in the death penalty.</w:t>
      </w:r>
    </w:p>
    <w:p w14:paraId="3A16F570"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1665"/>
          <w:tab w:val="num" w:pos="2040"/>
        </w:tabs>
        <w:ind w:left="720"/>
        <w:jc w:val="both"/>
        <w:rPr>
          <w:rFonts w:asciiTheme="majorHAnsi" w:hAnsiTheme="majorHAnsi"/>
          <w:sz w:val="20"/>
          <w:szCs w:val="20"/>
        </w:rPr>
      </w:pPr>
    </w:p>
    <w:p w14:paraId="1DD2AF4B" w14:textId="53CAD249" w:rsidR="00370A41" w:rsidRPr="00B41E87" w:rsidRDefault="00370A41" w:rsidP="006961C6">
      <w:pPr>
        <w:pStyle w:val="Heading2"/>
        <w:rPr>
          <w:rFonts w:cs="Cambria"/>
          <w:color w:val="000000"/>
        </w:rPr>
      </w:pPr>
      <w:bookmarkStart w:id="58" w:name="_Toc511310300"/>
      <w:bookmarkStart w:id="59" w:name="_Toc512265313"/>
      <w:bookmarkStart w:id="60" w:name="_Toc469320051"/>
      <w:r w:rsidRPr="00B41E87">
        <w:t>Right to humane treatment, and not to undergo cruel, degrading, and unusual punishment and right to a fair trial</w:t>
      </w:r>
      <w:r w:rsidR="006D5A8D" w:rsidRPr="00B41E87">
        <w:t xml:space="preserve"> in relation to </w:t>
      </w:r>
      <w:r w:rsidRPr="00B41E87">
        <w:t>the method of execution and judicial remedies</w:t>
      </w:r>
      <w:bookmarkEnd w:id="58"/>
      <w:bookmarkEnd w:id="59"/>
    </w:p>
    <w:p w14:paraId="369B8F6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mbria"/>
          <w:color w:val="000000"/>
          <w:sz w:val="20"/>
          <w:szCs w:val="20"/>
        </w:rPr>
      </w:pPr>
    </w:p>
    <w:bookmarkEnd w:id="60"/>
    <w:p w14:paraId="08D98DB5" w14:textId="78996D1C"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Article </w:t>
      </w:r>
      <w:r w:rsidRPr="00B41E87">
        <w:rPr>
          <w:rFonts w:asciiTheme="majorHAnsi" w:hAnsiTheme="majorHAnsi"/>
          <w:sz w:val="20"/>
          <w:szCs w:val="20"/>
          <w:lang w:bidi="en-US"/>
        </w:rPr>
        <w:t>XVIII</w:t>
      </w:r>
      <w:r w:rsidRPr="00B41E87">
        <w:rPr>
          <w:rFonts w:asciiTheme="majorHAnsi" w:hAnsiTheme="majorHAnsi"/>
          <w:sz w:val="20"/>
          <w:szCs w:val="20"/>
        </w:rPr>
        <w:t xml:space="preserve"> of the American Declaration establishes the right to </w:t>
      </w:r>
      <w:r w:rsidR="006D5A8D" w:rsidRPr="00B41E87">
        <w:rPr>
          <w:rFonts w:asciiTheme="majorHAnsi" w:hAnsiTheme="majorHAnsi"/>
          <w:sz w:val="20"/>
          <w:szCs w:val="20"/>
        </w:rPr>
        <w:t xml:space="preserve">judicial protection </w:t>
      </w:r>
      <w:r w:rsidRPr="00B41E87">
        <w:rPr>
          <w:rFonts w:asciiTheme="majorHAnsi" w:hAnsiTheme="majorHAnsi"/>
          <w:sz w:val="20"/>
          <w:szCs w:val="20"/>
        </w:rPr>
        <w:t>as follows:</w:t>
      </w:r>
    </w:p>
    <w:p w14:paraId="1D1E1513" w14:textId="77777777" w:rsidR="00370A41" w:rsidRPr="00B41E87" w:rsidRDefault="00370A41" w:rsidP="00370A41">
      <w:pPr>
        <w:tabs>
          <w:tab w:val="left" w:pos="0"/>
          <w:tab w:val="num" w:pos="2040"/>
        </w:tabs>
        <w:jc w:val="both"/>
        <w:rPr>
          <w:rFonts w:asciiTheme="majorHAnsi" w:hAnsiTheme="majorHAnsi"/>
          <w:sz w:val="20"/>
          <w:szCs w:val="20"/>
        </w:rPr>
      </w:pPr>
    </w:p>
    <w:p w14:paraId="261B35D9" w14:textId="77777777" w:rsidR="00370A41" w:rsidRPr="00B41E87" w:rsidRDefault="00370A41" w:rsidP="008C3721">
      <w:pPr>
        <w:ind w:left="720" w:right="720"/>
        <w:jc w:val="both"/>
        <w:rPr>
          <w:rFonts w:asciiTheme="majorHAnsi" w:hAnsiTheme="majorHAnsi"/>
          <w:sz w:val="20"/>
          <w:szCs w:val="20"/>
        </w:rPr>
      </w:pPr>
      <w:r w:rsidRPr="00B41E87">
        <w:rPr>
          <w:rFonts w:asciiTheme="majorHAnsi" w:hAnsiTheme="majorHAnsi"/>
          <w:sz w:val="20"/>
          <w:szCs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14:paraId="7CED854B" w14:textId="77777777" w:rsidR="00370A41" w:rsidRPr="00B41E87" w:rsidRDefault="00370A41" w:rsidP="00370A41">
      <w:pPr>
        <w:ind w:right="720"/>
        <w:jc w:val="both"/>
        <w:rPr>
          <w:rFonts w:asciiTheme="majorHAnsi" w:hAnsiTheme="majorHAnsi"/>
          <w:sz w:val="20"/>
          <w:szCs w:val="20"/>
        </w:rPr>
      </w:pPr>
    </w:p>
    <w:p w14:paraId="4C3B678A" w14:textId="77777777" w:rsidR="004837A8" w:rsidRPr="00B41E87" w:rsidRDefault="004837A8" w:rsidP="00370A41">
      <w:pPr>
        <w:ind w:right="720"/>
        <w:jc w:val="both"/>
        <w:rPr>
          <w:rFonts w:asciiTheme="majorHAnsi" w:hAnsiTheme="majorHAnsi"/>
          <w:sz w:val="20"/>
          <w:szCs w:val="20"/>
        </w:rPr>
      </w:pPr>
    </w:p>
    <w:p w14:paraId="1E0007A8" w14:textId="77777777" w:rsidR="004837A8" w:rsidRPr="00B41E87" w:rsidRDefault="004837A8" w:rsidP="00370A41">
      <w:pPr>
        <w:ind w:right="720"/>
        <w:jc w:val="both"/>
        <w:rPr>
          <w:rFonts w:asciiTheme="majorHAnsi" w:hAnsiTheme="majorHAnsi"/>
          <w:sz w:val="20"/>
          <w:szCs w:val="20"/>
        </w:rPr>
      </w:pPr>
    </w:p>
    <w:p w14:paraId="02326870" w14:textId="77777777" w:rsidR="004837A8" w:rsidRPr="00B41E87" w:rsidRDefault="004837A8" w:rsidP="00370A41">
      <w:pPr>
        <w:ind w:right="720"/>
        <w:jc w:val="both"/>
        <w:rPr>
          <w:rFonts w:asciiTheme="majorHAnsi" w:hAnsiTheme="majorHAnsi"/>
          <w:sz w:val="20"/>
          <w:szCs w:val="20"/>
        </w:rPr>
      </w:pPr>
    </w:p>
    <w:p w14:paraId="3F1F88AE"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Article XXVI of the American Declaration establishes the right to due process as follows: </w:t>
      </w:r>
    </w:p>
    <w:p w14:paraId="37CB4D8F" w14:textId="77777777" w:rsidR="00370A41" w:rsidRPr="00B41E87" w:rsidRDefault="00370A41" w:rsidP="00370A41">
      <w:pPr>
        <w:pStyle w:val="ListParagraph"/>
        <w:rPr>
          <w:rFonts w:asciiTheme="majorHAnsi" w:hAnsiTheme="majorHAnsi"/>
          <w:sz w:val="20"/>
          <w:szCs w:val="20"/>
        </w:rPr>
      </w:pPr>
    </w:p>
    <w:p w14:paraId="64769003" w14:textId="30FBBD97" w:rsidR="00370A41" w:rsidRPr="00B41E87" w:rsidRDefault="00370A41" w:rsidP="00370A41">
      <w:pPr>
        <w:keepNext/>
        <w:ind w:left="720" w:right="720"/>
        <w:jc w:val="both"/>
        <w:rPr>
          <w:rFonts w:asciiTheme="majorHAnsi" w:hAnsiTheme="majorHAnsi"/>
          <w:sz w:val="20"/>
          <w:szCs w:val="20"/>
        </w:rPr>
      </w:pPr>
      <w:r w:rsidRPr="00B41E87">
        <w:rPr>
          <w:rFonts w:asciiTheme="majorHAnsi" w:hAnsiTheme="majorHAnsi"/>
          <w:sz w:val="20"/>
          <w:szCs w:val="20"/>
        </w:rPr>
        <w:t>(…)</w:t>
      </w:r>
      <w:r w:rsidRPr="00B41E87">
        <w:rPr>
          <w:rFonts w:asciiTheme="majorHAnsi" w:hAnsiTheme="majorHAnsi"/>
          <w:sz w:val="20"/>
          <w:szCs w:val="20"/>
        </w:rPr>
        <w:tab/>
        <w:t>Every person accused of an offense has the right (…) not to receive cruel, infamous or unusual punishment.</w:t>
      </w:r>
    </w:p>
    <w:p w14:paraId="337FB894"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
          <w:sz w:val="20"/>
          <w:szCs w:val="20"/>
        </w:rPr>
      </w:pPr>
    </w:p>
    <w:p w14:paraId="45D8D869" w14:textId="592D840D" w:rsidR="00370A41" w:rsidRPr="00B41E87" w:rsidRDefault="00370A41" w:rsidP="006961C6">
      <w:pPr>
        <w:pStyle w:val="Heading3"/>
        <w:rPr>
          <w:rFonts w:asciiTheme="majorHAnsi" w:hAnsiTheme="majorHAnsi"/>
        </w:rPr>
      </w:pPr>
      <w:bookmarkStart w:id="61" w:name="_Toc511310301"/>
      <w:bookmarkStart w:id="62" w:name="_Toc512265314"/>
      <w:r w:rsidRPr="00B41E87">
        <w:rPr>
          <w:rFonts w:asciiTheme="majorHAnsi" w:hAnsiTheme="majorHAnsi"/>
        </w:rPr>
        <w:t>General considerations</w:t>
      </w:r>
      <w:bookmarkEnd w:id="61"/>
      <w:bookmarkEnd w:id="62"/>
    </w:p>
    <w:p w14:paraId="2AF31B66"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4B6ED712" w14:textId="47263003"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sz w:val="20"/>
          <w:szCs w:val="20"/>
          <w:bdr w:val="none" w:sz="0" w:space="0" w:color="auto"/>
        </w:rPr>
      </w:pPr>
      <w:r w:rsidRPr="00B41E87">
        <w:rPr>
          <w:rFonts w:asciiTheme="majorHAnsi" w:hAnsiTheme="majorHAnsi"/>
          <w:sz w:val="20"/>
          <w:szCs w:val="20"/>
        </w:rPr>
        <w:lastRenderedPageBreak/>
        <w:t xml:space="preserve">The Commission </w:t>
      </w:r>
      <w:r w:rsidRPr="00B41E87">
        <w:rPr>
          <w:rFonts w:asciiTheme="majorHAnsi" w:hAnsiTheme="majorHAnsi"/>
          <w:color w:val="212121"/>
          <w:sz w:val="20"/>
          <w:szCs w:val="20"/>
          <w:lang w:val="en"/>
        </w:rPr>
        <w:t>notes that even though the American Declaration does not prohibit the death penalty, the</w:t>
      </w:r>
      <w:r w:rsidR="006D5A8D" w:rsidRPr="00B41E87">
        <w:rPr>
          <w:rFonts w:asciiTheme="majorHAnsi" w:hAnsiTheme="majorHAnsi"/>
          <w:color w:val="212121"/>
          <w:sz w:val="20"/>
          <w:szCs w:val="20"/>
          <w:lang w:val="en"/>
        </w:rPr>
        <w:t xml:space="preserve"> State has </w:t>
      </w:r>
      <w:r w:rsidRPr="00B41E87">
        <w:rPr>
          <w:rFonts w:asciiTheme="majorHAnsi" w:hAnsiTheme="majorHAnsi"/>
          <w:color w:val="212121"/>
          <w:sz w:val="20"/>
          <w:szCs w:val="20"/>
          <w:lang w:val="en"/>
        </w:rPr>
        <w:t xml:space="preserve">a </w:t>
      </w:r>
      <w:r w:rsidR="006D5A8D" w:rsidRPr="00B41E87">
        <w:rPr>
          <w:rFonts w:asciiTheme="majorHAnsi" w:hAnsiTheme="majorHAnsi"/>
          <w:color w:val="212121"/>
          <w:sz w:val="20"/>
          <w:szCs w:val="20"/>
          <w:lang w:val="en"/>
        </w:rPr>
        <w:t xml:space="preserve">heightened </w:t>
      </w:r>
      <w:r w:rsidR="006D5A8D" w:rsidRPr="00B41E87">
        <w:rPr>
          <w:rFonts w:asciiTheme="majorHAnsi" w:eastAsia="Times New Roman" w:hAnsiTheme="majorHAnsi"/>
          <w:sz w:val="20"/>
          <w:szCs w:val="20"/>
          <w:bdr w:val="none" w:sz="0" w:space="0" w:color="auto"/>
        </w:rPr>
        <w:t xml:space="preserve">obligation </w:t>
      </w:r>
      <w:r w:rsidRPr="00B41E87">
        <w:rPr>
          <w:rFonts w:asciiTheme="majorHAnsi" w:eastAsia="Times New Roman" w:hAnsiTheme="majorHAnsi"/>
          <w:sz w:val="20"/>
          <w:szCs w:val="20"/>
          <w:bdr w:val="none" w:sz="0" w:space="0" w:color="auto"/>
        </w:rPr>
        <w:t xml:space="preserve">to ensure that the method of execution does not constitute cruel, infamous or unusual punishment.  In this regard, the U.N. Special Rapporteur on torture and other cruel, inhuman or degrading treatment or punishment </w:t>
      </w:r>
      <w:r w:rsidR="006D5A8D" w:rsidRPr="00B41E87">
        <w:rPr>
          <w:rFonts w:asciiTheme="majorHAnsi" w:eastAsia="Times New Roman" w:hAnsiTheme="majorHAnsi"/>
          <w:sz w:val="20"/>
          <w:szCs w:val="20"/>
          <w:bdr w:val="none" w:sz="0" w:space="0" w:color="auto"/>
        </w:rPr>
        <w:t xml:space="preserve">observed </w:t>
      </w:r>
      <w:r w:rsidRPr="00B41E87">
        <w:rPr>
          <w:rFonts w:asciiTheme="majorHAnsi" w:eastAsia="Times New Roman" w:hAnsiTheme="majorHAnsi"/>
          <w:sz w:val="20"/>
          <w:szCs w:val="20"/>
          <w:bdr w:val="none" w:sz="0" w:space="0" w:color="auto"/>
        </w:rPr>
        <w:t>that “[t]</w:t>
      </w:r>
      <w:r w:rsidRPr="00B41E87">
        <w:rPr>
          <w:rFonts w:asciiTheme="majorHAnsi" w:eastAsia="Times New Roman" w:hAnsiTheme="majorHAnsi" w:cs="TimesNewRomanPS"/>
          <w:color w:val="231F20"/>
          <w:sz w:val="20"/>
          <w:szCs w:val="20"/>
          <w:bdr w:val="none" w:sz="0" w:space="0" w:color="auto"/>
        </w:rPr>
        <w:t xml:space="preserve">he fact that a number of execution methods </w:t>
      </w:r>
      <w:r w:rsidRPr="00B41E87">
        <w:rPr>
          <w:rFonts w:asciiTheme="majorHAnsi" w:hAnsiTheme="majorHAnsi"/>
          <w:sz w:val="20"/>
          <w:szCs w:val="20"/>
        </w:rPr>
        <w:t>have</w:t>
      </w:r>
      <w:r w:rsidRPr="00B41E87">
        <w:rPr>
          <w:rFonts w:asciiTheme="majorHAnsi" w:eastAsia="Times New Roman" w:hAnsiTheme="majorHAnsi" w:cs="TimesNewRomanPS"/>
          <w:color w:val="231F20"/>
          <w:sz w:val="20"/>
          <w:szCs w:val="20"/>
          <w:bdr w:val="none" w:sz="0" w:space="0" w:color="auto"/>
        </w:rPr>
        <w:t xml:space="preser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B41E87">
        <w:rPr>
          <w:rFonts w:asciiTheme="majorHAnsi" w:eastAsia="Times New Roman" w:hAnsiTheme="majorHAnsi"/>
          <w:color w:val="231F20"/>
          <w:sz w:val="20"/>
          <w:szCs w:val="20"/>
          <w:bdr w:val="none" w:sz="0" w:space="0" w:color="auto"/>
          <w:vertAlign w:val="superscript"/>
        </w:rPr>
        <w:footnoteReference w:id="40"/>
      </w:r>
    </w:p>
    <w:p w14:paraId="763D9E2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4E975D1" w14:textId="1EF92360" w:rsidR="00370A41" w:rsidRPr="00B41E87" w:rsidRDefault="006D5A8D"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color w:val="212121"/>
          <w:sz w:val="20"/>
          <w:szCs w:val="20"/>
          <w:lang w:val="en"/>
        </w:rPr>
        <w:t>Along these same lines</w:t>
      </w:r>
      <w:r w:rsidR="00370A41" w:rsidRPr="00B41E87">
        <w:rPr>
          <w:rFonts w:asciiTheme="majorHAnsi" w:hAnsiTheme="majorHAnsi"/>
          <w:color w:val="212121"/>
          <w:sz w:val="20"/>
          <w:szCs w:val="20"/>
          <w:lang w:val="en"/>
        </w:rPr>
        <w:t xml:space="preserve">, </w:t>
      </w:r>
      <w:r w:rsidR="00370A41" w:rsidRPr="00B41E87">
        <w:rPr>
          <w:rFonts w:asciiTheme="majorHAnsi" w:hAnsiTheme="majorHAnsi"/>
          <w:sz w:val="20"/>
          <w:szCs w:val="20"/>
        </w:rPr>
        <w:t xml:space="preserve">various </w:t>
      </w:r>
      <w:r w:rsidRPr="00B41E87">
        <w:rPr>
          <w:rFonts w:asciiTheme="majorHAnsi" w:hAnsiTheme="majorHAnsi"/>
          <w:sz w:val="20"/>
          <w:szCs w:val="20"/>
        </w:rPr>
        <w:t xml:space="preserve">supervisory bodies </w:t>
      </w:r>
      <w:r w:rsidR="00370A41" w:rsidRPr="00B41E87">
        <w:rPr>
          <w:rFonts w:asciiTheme="majorHAnsi" w:hAnsiTheme="majorHAnsi"/>
          <w:sz w:val="20"/>
          <w:szCs w:val="20"/>
        </w:rPr>
        <w:t>have considered that an execution method is incompatible with the right to humane treatment and the prohibition of torture when it is not designed to inflict the least possible suffering</w:t>
      </w:r>
      <w:r w:rsidRPr="00B41E87">
        <w:rPr>
          <w:rFonts w:asciiTheme="majorHAnsi" w:hAnsiTheme="majorHAnsi"/>
          <w:sz w:val="20"/>
          <w:szCs w:val="20"/>
        </w:rPr>
        <w:t>,</w:t>
      </w:r>
      <w:r w:rsidR="00370A41" w:rsidRPr="00B41E87">
        <w:rPr>
          <w:rFonts w:asciiTheme="majorHAnsi" w:hAnsiTheme="majorHAnsi"/>
          <w:sz w:val="20"/>
          <w:szCs w:val="20"/>
          <w:vertAlign w:val="superscript"/>
        </w:rPr>
        <w:footnoteReference w:id="41"/>
      </w:r>
      <w:r w:rsidR="00370A41" w:rsidRPr="00B41E87">
        <w:rPr>
          <w:rFonts w:asciiTheme="majorHAnsi" w:hAnsiTheme="majorHAnsi"/>
          <w:sz w:val="20"/>
          <w:szCs w:val="20"/>
        </w:rPr>
        <w:t xml:space="preserve"> and have raised questions on the compatibility of the method of lethal injection with the prohibition of torture.  </w:t>
      </w:r>
    </w:p>
    <w:p w14:paraId="7B59B48E" w14:textId="77777777" w:rsidR="00370A41" w:rsidRPr="00B41E87" w:rsidRDefault="00370A41" w:rsidP="00370A41">
      <w:pPr>
        <w:pStyle w:val="ListParagraph"/>
        <w:rPr>
          <w:rFonts w:asciiTheme="majorHAnsi" w:hAnsiTheme="majorHAnsi"/>
          <w:sz w:val="20"/>
          <w:szCs w:val="20"/>
        </w:rPr>
      </w:pPr>
    </w:p>
    <w:p w14:paraId="705204F3" w14:textId="77777777" w:rsidR="006D5A8D"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The Special Rapporteur on Extrajudicial, Summary or Arbitrary Executions has indicated with respect to the methods for the execution of the death penalty </w:t>
      </w:r>
      <w:r w:rsidR="006D5A8D" w:rsidRPr="00B41E87">
        <w:rPr>
          <w:rFonts w:asciiTheme="majorHAnsi" w:hAnsiTheme="majorHAnsi"/>
          <w:sz w:val="20"/>
          <w:szCs w:val="20"/>
        </w:rPr>
        <w:t xml:space="preserve">that </w:t>
      </w:r>
    </w:p>
    <w:p w14:paraId="0B0E07AC" w14:textId="77777777" w:rsidR="006D5A8D" w:rsidRPr="00B41E87" w:rsidRDefault="006D5A8D" w:rsidP="006D5A8D">
      <w:pPr>
        <w:pStyle w:val="ListParagraph"/>
        <w:rPr>
          <w:rFonts w:asciiTheme="majorHAnsi" w:hAnsiTheme="majorHAnsi"/>
          <w:sz w:val="20"/>
          <w:szCs w:val="20"/>
        </w:rPr>
      </w:pPr>
    </w:p>
    <w:p w14:paraId="3B709F6D" w14:textId="3110BFBA" w:rsidR="00370A41" w:rsidRPr="00B41E87" w:rsidRDefault="00370A41" w:rsidP="006D5A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rPr>
      </w:pPr>
      <w:r w:rsidRPr="00B41E87">
        <w:rPr>
          <w:rFonts w:asciiTheme="majorHAnsi" w:hAnsiTheme="majorHAnsi"/>
          <w:sz w:val="20"/>
          <w:szCs w:val="20"/>
        </w:rPr>
        <w:t>the extraordinary power conferred on the State to end a person’s life through a firing squad, hanging, lethal injection or other means to kill, poses a dangerous risk of abuse. This power can be kept under control only through the public supervision of the punishment. It is a commonplace that due process serves to protect the accused.  However, due process is also a mechanism through which society ensures that the punishments inflicted on their behalf are fair.</w:t>
      </w:r>
      <w:r w:rsidRPr="00B41E87">
        <w:rPr>
          <w:rStyle w:val="FootnoteReference"/>
          <w:rFonts w:asciiTheme="majorHAnsi" w:hAnsiTheme="majorHAnsi"/>
          <w:sz w:val="20"/>
          <w:szCs w:val="20"/>
        </w:rPr>
        <w:footnoteReference w:id="42"/>
      </w:r>
    </w:p>
    <w:p w14:paraId="6AA0EB8A" w14:textId="77777777" w:rsidR="00370A41" w:rsidRPr="00B41E87" w:rsidRDefault="00370A41" w:rsidP="00370A41">
      <w:pPr>
        <w:tabs>
          <w:tab w:val="left" w:pos="1440"/>
        </w:tabs>
        <w:jc w:val="both"/>
        <w:rPr>
          <w:rFonts w:asciiTheme="majorHAnsi" w:hAnsiTheme="majorHAnsi" w:cs="Arial"/>
          <w:color w:val="222222"/>
          <w:sz w:val="20"/>
          <w:szCs w:val="20"/>
          <w:lang w:val="en"/>
        </w:rPr>
      </w:pPr>
    </w:p>
    <w:p w14:paraId="3A791042" w14:textId="10379852"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Arial"/>
          <w:color w:val="222222"/>
          <w:sz w:val="20"/>
          <w:szCs w:val="20"/>
          <w:lang w:val="en"/>
        </w:rPr>
      </w:pPr>
      <w:r w:rsidRPr="00B41E87">
        <w:rPr>
          <w:rFonts w:asciiTheme="majorHAnsi" w:hAnsiTheme="majorHAnsi" w:cs="Arial"/>
          <w:sz w:val="20"/>
          <w:szCs w:val="20"/>
        </w:rPr>
        <w:t xml:space="preserve">The Human Rights Committee has considered that when the death penalty </w:t>
      </w:r>
      <w:r w:rsidRPr="00B41E87">
        <w:rPr>
          <w:rFonts w:asciiTheme="majorHAnsi" w:hAnsiTheme="majorHAnsi"/>
          <w:sz w:val="20"/>
          <w:szCs w:val="20"/>
        </w:rPr>
        <w:t xml:space="preserve">is applied by a State party for the most serious crimes, it must not only be strictly limited in accordance with </w:t>
      </w:r>
      <w:r w:rsidR="00826ABF" w:rsidRPr="00B41E87">
        <w:rPr>
          <w:rFonts w:asciiTheme="majorHAnsi" w:hAnsiTheme="majorHAnsi"/>
          <w:sz w:val="20"/>
          <w:szCs w:val="20"/>
        </w:rPr>
        <w:t>A</w:t>
      </w:r>
      <w:r w:rsidRPr="00B41E87">
        <w:rPr>
          <w:rFonts w:asciiTheme="majorHAnsi" w:hAnsiTheme="majorHAnsi"/>
          <w:sz w:val="20"/>
          <w:szCs w:val="20"/>
        </w:rPr>
        <w:t xml:space="preserve">rticle 6 </w:t>
      </w:r>
      <w:r w:rsidR="00826ABF" w:rsidRPr="00B41E87">
        <w:rPr>
          <w:rFonts w:asciiTheme="majorHAnsi" w:hAnsiTheme="majorHAnsi"/>
          <w:sz w:val="20"/>
          <w:szCs w:val="20"/>
        </w:rPr>
        <w:t xml:space="preserve">of the International Covenant on Civil and Political Rights (ICCPR) </w:t>
      </w:r>
      <w:r w:rsidRPr="00B41E87">
        <w:rPr>
          <w:rFonts w:asciiTheme="majorHAnsi" w:hAnsiTheme="majorHAnsi"/>
          <w:sz w:val="20"/>
          <w:szCs w:val="20"/>
        </w:rPr>
        <w:t xml:space="preserve">but must </w:t>
      </w:r>
      <w:r w:rsidR="00826ABF" w:rsidRPr="00B41E87">
        <w:rPr>
          <w:rFonts w:asciiTheme="majorHAnsi" w:hAnsiTheme="majorHAnsi"/>
          <w:sz w:val="20"/>
          <w:szCs w:val="20"/>
        </w:rPr>
        <w:t xml:space="preserve">also </w:t>
      </w:r>
      <w:r w:rsidRPr="00B41E87">
        <w:rPr>
          <w:rFonts w:asciiTheme="majorHAnsi" w:hAnsiTheme="majorHAnsi"/>
          <w:sz w:val="20"/>
          <w:szCs w:val="20"/>
        </w:rPr>
        <w:t>be carried out in such a way as to cause the least possible physical and mental suffering.</w:t>
      </w:r>
      <w:r w:rsidRPr="00B41E87">
        <w:rPr>
          <w:rStyle w:val="FootnoteReference"/>
          <w:rFonts w:asciiTheme="majorHAnsi" w:hAnsiTheme="majorHAnsi"/>
          <w:sz w:val="20"/>
          <w:szCs w:val="20"/>
        </w:rPr>
        <w:footnoteReference w:id="43"/>
      </w:r>
      <w:r w:rsidRPr="00B41E87">
        <w:rPr>
          <w:rFonts w:asciiTheme="majorHAnsi" w:hAnsiTheme="majorHAnsi"/>
          <w:sz w:val="20"/>
          <w:szCs w:val="20"/>
        </w:rPr>
        <w:t xml:space="preserve"> The Committee </w:t>
      </w:r>
      <w:r w:rsidRPr="00B41E87">
        <w:rPr>
          <w:rFonts w:asciiTheme="majorHAnsi" w:hAnsiTheme="majorHAnsi" w:cs="Arial"/>
          <w:color w:val="222222"/>
          <w:sz w:val="20"/>
          <w:szCs w:val="20"/>
          <w:lang w:val="en"/>
        </w:rPr>
        <w:t xml:space="preserve">has evaluated the methods of execution of the death penalty in light of the prohibition of torture and cruel, inhuman or degrading treatment provided for in the </w:t>
      </w:r>
      <w:r w:rsidR="00826ABF" w:rsidRPr="00B41E87">
        <w:rPr>
          <w:rFonts w:asciiTheme="majorHAnsi" w:hAnsiTheme="majorHAnsi" w:cs="Arial"/>
          <w:color w:val="222222"/>
          <w:sz w:val="20"/>
          <w:szCs w:val="20"/>
          <w:lang w:val="en"/>
        </w:rPr>
        <w:t xml:space="preserve">ICCPR </w:t>
      </w:r>
      <w:r w:rsidRPr="00B41E87">
        <w:rPr>
          <w:rFonts w:asciiTheme="majorHAnsi" w:hAnsiTheme="majorHAnsi" w:cs="Arial"/>
          <w:color w:val="222222"/>
          <w:sz w:val="20"/>
          <w:szCs w:val="20"/>
          <w:lang w:val="en"/>
        </w:rPr>
        <w:t>and has concluded that the methods of</w:t>
      </w:r>
      <w:r w:rsidRPr="00B41E87">
        <w:rPr>
          <w:rFonts w:asciiTheme="majorHAnsi" w:hAnsiTheme="majorHAnsi" w:cs="Arial"/>
          <w:sz w:val="20"/>
          <w:szCs w:val="20"/>
        </w:rPr>
        <w:t xml:space="preserve"> stoning</w:t>
      </w:r>
      <w:r w:rsidRPr="00B41E87">
        <w:rPr>
          <w:rStyle w:val="FootnoteReference"/>
          <w:rFonts w:asciiTheme="majorHAnsi" w:hAnsiTheme="majorHAnsi" w:cs="Arial"/>
          <w:sz w:val="20"/>
          <w:szCs w:val="20"/>
        </w:rPr>
        <w:footnoteReference w:id="44"/>
      </w:r>
      <w:r w:rsidRPr="00B41E87">
        <w:rPr>
          <w:rFonts w:asciiTheme="majorHAnsi" w:hAnsiTheme="majorHAnsi" w:cs="Arial"/>
          <w:sz w:val="20"/>
          <w:szCs w:val="20"/>
        </w:rPr>
        <w:t>, injection of untested lethal drugs, gas chambers</w:t>
      </w:r>
      <w:r w:rsidR="00826ABF" w:rsidRPr="00B41E87">
        <w:rPr>
          <w:rFonts w:asciiTheme="majorHAnsi" w:hAnsiTheme="majorHAnsi" w:cs="Arial"/>
          <w:sz w:val="20"/>
          <w:szCs w:val="20"/>
        </w:rPr>
        <w:t>,</w:t>
      </w:r>
      <w:r w:rsidRPr="00B41E87">
        <w:rPr>
          <w:rStyle w:val="FootnoteReference"/>
          <w:rFonts w:asciiTheme="majorHAnsi" w:hAnsiTheme="majorHAnsi" w:cs="Arial"/>
          <w:sz w:val="20"/>
          <w:szCs w:val="20"/>
        </w:rPr>
        <w:footnoteReference w:id="45"/>
      </w:r>
      <w:r w:rsidRPr="00B41E87">
        <w:rPr>
          <w:rFonts w:asciiTheme="majorHAnsi" w:hAnsiTheme="majorHAnsi" w:cs="Arial"/>
          <w:sz w:val="20"/>
          <w:szCs w:val="20"/>
        </w:rPr>
        <w:t xml:space="preserve"> burning and burying alive</w:t>
      </w:r>
      <w:r w:rsidR="00826ABF" w:rsidRPr="00B41E87">
        <w:rPr>
          <w:rFonts w:asciiTheme="majorHAnsi" w:hAnsiTheme="majorHAnsi" w:cs="Arial"/>
          <w:sz w:val="20"/>
          <w:szCs w:val="20"/>
        </w:rPr>
        <w:t>,</w:t>
      </w:r>
      <w:r w:rsidRPr="00B41E87">
        <w:rPr>
          <w:rStyle w:val="FootnoteReference"/>
          <w:rFonts w:asciiTheme="majorHAnsi" w:hAnsiTheme="majorHAnsi" w:cs="Arial"/>
          <w:sz w:val="20"/>
          <w:szCs w:val="20"/>
        </w:rPr>
        <w:footnoteReference w:id="46"/>
      </w:r>
      <w:r w:rsidRPr="00B41E87">
        <w:rPr>
          <w:rFonts w:asciiTheme="majorHAnsi" w:hAnsiTheme="majorHAnsi" w:cs="Arial"/>
          <w:sz w:val="20"/>
          <w:szCs w:val="20"/>
        </w:rPr>
        <w:t xml:space="preserve"> and public executions</w:t>
      </w:r>
      <w:r w:rsidRPr="00B41E87">
        <w:rPr>
          <w:rStyle w:val="FootnoteReference"/>
          <w:rFonts w:asciiTheme="majorHAnsi" w:hAnsiTheme="majorHAnsi" w:cs="Arial"/>
          <w:sz w:val="20"/>
          <w:szCs w:val="20"/>
        </w:rPr>
        <w:footnoteReference w:id="47"/>
      </w:r>
      <w:r w:rsidRPr="00B41E87">
        <w:rPr>
          <w:rFonts w:asciiTheme="majorHAnsi" w:hAnsiTheme="majorHAnsi" w:cs="Arial"/>
          <w:sz w:val="20"/>
          <w:szCs w:val="20"/>
        </w:rPr>
        <w:t xml:space="preserve"> are contrary to </w:t>
      </w:r>
      <w:r w:rsidR="00826ABF" w:rsidRPr="00B41E87">
        <w:rPr>
          <w:rFonts w:asciiTheme="majorHAnsi" w:hAnsiTheme="majorHAnsi" w:cs="Arial"/>
          <w:sz w:val="20"/>
          <w:szCs w:val="20"/>
        </w:rPr>
        <w:t>A</w:t>
      </w:r>
      <w:r w:rsidRPr="00B41E87">
        <w:rPr>
          <w:rFonts w:asciiTheme="majorHAnsi" w:hAnsiTheme="majorHAnsi" w:cs="Arial"/>
          <w:sz w:val="20"/>
          <w:szCs w:val="20"/>
        </w:rPr>
        <w:t>rticle 7.</w:t>
      </w:r>
      <w:r w:rsidRPr="00B41E87">
        <w:rPr>
          <w:rStyle w:val="FootnoteReference"/>
          <w:rFonts w:asciiTheme="majorHAnsi" w:hAnsiTheme="majorHAnsi" w:cs="Arial"/>
          <w:sz w:val="20"/>
          <w:szCs w:val="20"/>
        </w:rPr>
        <w:footnoteReference w:id="48"/>
      </w:r>
    </w:p>
    <w:p w14:paraId="517188DF" w14:textId="77777777" w:rsidR="00370A41" w:rsidRPr="00B41E87" w:rsidRDefault="00370A41" w:rsidP="00370A41">
      <w:pPr>
        <w:pStyle w:val="ListParagraph"/>
        <w:rPr>
          <w:rFonts w:asciiTheme="majorHAnsi" w:hAnsiTheme="majorHAnsi"/>
          <w:sz w:val="20"/>
          <w:szCs w:val="20"/>
        </w:rPr>
      </w:pPr>
    </w:p>
    <w:p w14:paraId="5F80FA6D" w14:textId="77777777" w:rsidR="004837A8" w:rsidRPr="00B41E87" w:rsidRDefault="004837A8" w:rsidP="00370A41">
      <w:pPr>
        <w:pStyle w:val="ListParagraph"/>
        <w:rPr>
          <w:rFonts w:asciiTheme="majorHAnsi" w:hAnsiTheme="majorHAnsi"/>
          <w:sz w:val="20"/>
          <w:szCs w:val="20"/>
        </w:rPr>
      </w:pPr>
    </w:p>
    <w:p w14:paraId="0B9CA523" w14:textId="461DF9A1"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Arial"/>
          <w:color w:val="222222"/>
          <w:sz w:val="20"/>
          <w:szCs w:val="20"/>
          <w:lang w:val="en"/>
        </w:rPr>
      </w:pPr>
      <w:r w:rsidRPr="00B41E87">
        <w:rPr>
          <w:rFonts w:asciiTheme="majorHAnsi" w:hAnsiTheme="majorHAnsi"/>
          <w:sz w:val="20"/>
          <w:szCs w:val="20"/>
        </w:rPr>
        <w:t>With regard to the injection of untested lethal drugs, in its concluding observations on the fourth periodic report of the United States, the Human Rights Committee noted with concern reports “about the administration, by some states, of untested lethal drugs to execute prisoners and the withholding of information about such drugs</w:t>
      </w:r>
      <w:r w:rsidR="00826ABF" w:rsidRPr="00B41E87">
        <w:rPr>
          <w:rFonts w:asciiTheme="majorHAnsi" w:hAnsiTheme="majorHAnsi"/>
          <w:sz w:val="20"/>
          <w:szCs w:val="20"/>
        </w:rPr>
        <w:t>.</w:t>
      </w:r>
      <w:r w:rsidRPr="00B41E87">
        <w:rPr>
          <w:rFonts w:asciiTheme="majorHAnsi" w:hAnsiTheme="majorHAnsi"/>
          <w:sz w:val="20"/>
          <w:szCs w:val="20"/>
        </w:rPr>
        <w:t>”</w:t>
      </w:r>
      <w:r w:rsidR="00826ABF" w:rsidRPr="00B41E87">
        <w:rPr>
          <w:rFonts w:asciiTheme="majorHAnsi" w:hAnsiTheme="majorHAnsi"/>
          <w:sz w:val="20"/>
          <w:szCs w:val="20"/>
        </w:rPr>
        <w:t xml:space="preserve"> The Committee </w:t>
      </w:r>
      <w:r w:rsidRPr="00B41E87">
        <w:rPr>
          <w:rFonts w:asciiTheme="majorHAnsi" w:hAnsiTheme="majorHAnsi"/>
          <w:sz w:val="20"/>
          <w:szCs w:val="20"/>
        </w:rPr>
        <w:t xml:space="preserve">recommended </w:t>
      </w:r>
      <w:r w:rsidR="00826ABF" w:rsidRPr="00B41E87">
        <w:rPr>
          <w:rFonts w:asciiTheme="majorHAnsi" w:hAnsiTheme="majorHAnsi"/>
          <w:sz w:val="20"/>
          <w:szCs w:val="20"/>
        </w:rPr>
        <w:t xml:space="preserve">that </w:t>
      </w:r>
      <w:r w:rsidRPr="00B41E87">
        <w:rPr>
          <w:rFonts w:asciiTheme="majorHAnsi" w:hAnsiTheme="majorHAnsi"/>
          <w:sz w:val="20"/>
          <w:szCs w:val="20"/>
        </w:rPr>
        <w:t>the State “ensure that lethal drugs used for executions originate from legal, regulated sources, and are approved by the United States Food and Drug Administration and that information on the origin and composition of such drugs is made available to individuals scheduled for execution</w:t>
      </w:r>
      <w:r w:rsidR="00826ABF" w:rsidRPr="00B41E87">
        <w:rPr>
          <w:rFonts w:asciiTheme="majorHAnsi" w:hAnsiTheme="majorHAnsi"/>
          <w:sz w:val="20"/>
          <w:szCs w:val="20"/>
        </w:rPr>
        <w:t>.</w:t>
      </w:r>
      <w:r w:rsidRPr="00B41E87">
        <w:rPr>
          <w:rFonts w:asciiTheme="majorHAnsi" w:hAnsiTheme="majorHAnsi"/>
          <w:sz w:val="20"/>
          <w:szCs w:val="20"/>
        </w:rPr>
        <w:t>”</w:t>
      </w:r>
      <w:r w:rsidRPr="00B41E87">
        <w:rPr>
          <w:rStyle w:val="FootnoteReference"/>
          <w:rFonts w:asciiTheme="majorHAnsi" w:hAnsiTheme="majorHAnsi"/>
          <w:sz w:val="20"/>
          <w:szCs w:val="20"/>
        </w:rPr>
        <w:footnoteReference w:id="49"/>
      </w:r>
    </w:p>
    <w:p w14:paraId="1377E631" w14:textId="77777777" w:rsidR="00370A41" w:rsidRPr="00B41E87" w:rsidRDefault="00370A41" w:rsidP="00370A41">
      <w:pPr>
        <w:tabs>
          <w:tab w:val="left" w:pos="1440"/>
        </w:tabs>
        <w:jc w:val="both"/>
        <w:rPr>
          <w:rFonts w:asciiTheme="majorHAnsi" w:hAnsiTheme="majorHAnsi" w:cs="Arial"/>
          <w:color w:val="222222"/>
          <w:sz w:val="20"/>
          <w:szCs w:val="20"/>
          <w:lang w:val="en"/>
        </w:rPr>
      </w:pPr>
    </w:p>
    <w:p w14:paraId="79C69B4C" w14:textId="0311F840"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Similarly, the Committee Against Torture has expressed its concerned that death penalty executions in the United States can be accompanied by severe pain and suffering and has called on the State to “carefully review its execution methods, in particular lethal injection, in order to prevent severe pain and suffering.</w:t>
      </w:r>
      <w:r w:rsidR="00826ABF" w:rsidRPr="00B41E87">
        <w:rPr>
          <w:rFonts w:asciiTheme="majorHAnsi" w:hAnsiTheme="majorHAnsi"/>
          <w:sz w:val="20"/>
          <w:szCs w:val="20"/>
        </w:rPr>
        <w:t>”</w:t>
      </w:r>
      <w:r w:rsidRPr="00B41E87">
        <w:rPr>
          <w:rStyle w:val="FootnoteReference"/>
          <w:rFonts w:asciiTheme="majorHAnsi" w:hAnsiTheme="majorHAnsi"/>
          <w:sz w:val="20"/>
          <w:szCs w:val="20"/>
        </w:rPr>
        <w:footnoteReference w:id="50"/>
      </w:r>
    </w:p>
    <w:p w14:paraId="5340A6F9" w14:textId="77777777" w:rsidR="00370A41" w:rsidRPr="00B41E87" w:rsidRDefault="00370A41" w:rsidP="00370A41">
      <w:pPr>
        <w:rPr>
          <w:rFonts w:asciiTheme="majorHAnsi" w:hAnsiTheme="majorHAnsi"/>
          <w:sz w:val="20"/>
          <w:szCs w:val="20"/>
        </w:rPr>
      </w:pPr>
    </w:p>
    <w:p w14:paraId="72527BBD" w14:textId="6B3B11D9"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The Special Rapporteur on torture and other cruel, inhuman or degrading treatment or punishment has considered that the method of lethal injection “as currently administered, does not work as efficiently as intended. Some prisoners take minutes to die and others become very distressed. New studies conclude that even if lethal injection is administered without technical error, those executed may experience suffocation, and therefore the conventional view of lethal injection as peaceful and painless death is questionable</w:t>
      </w:r>
      <w:r w:rsidR="00826ABF" w:rsidRPr="00B41E87">
        <w:rPr>
          <w:rFonts w:asciiTheme="majorHAnsi" w:hAnsiTheme="majorHAnsi"/>
          <w:sz w:val="20"/>
          <w:szCs w:val="20"/>
        </w:rPr>
        <w:t>.</w:t>
      </w:r>
      <w:r w:rsidRPr="00B41E87">
        <w:rPr>
          <w:rFonts w:asciiTheme="majorHAnsi" w:hAnsiTheme="majorHAnsi"/>
          <w:sz w:val="20"/>
          <w:szCs w:val="20"/>
        </w:rPr>
        <w:t>”</w:t>
      </w:r>
      <w:r w:rsidRPr="00B41E87">
        <w:rPr>
          <w:rStyle w:val="FootnoteReference"/>
          <w:rFonts w:asciiTheme="majorHAnsi" w:hAnsiTheme="majorHAnsi"/>
          <w:sz w:val="20"/>
          <w:szCs w:val="20"/>
        </w:rPr>
        <w:footnoteReference w:id="51"/>
      </w:r>
      <w:r w:rsidRPr="00B41E87">
        <w:rPr>
          <w:rFonts w:asciiTheme="majorHAnsi" w:hAnsiTheme="majorHAnsi"/>
          <w:sz w:val="20"/>
          <w:szCs w:val="20"/>
        </w:rPr>
        <w:t xml:space="preserve"> The Special Rapporteur has </w:t>
      </w:r>
      <w:r w:rsidR="00826ABF" w:rsidRPr="00B41E87">
        <w:rPr>
          <w:rFonts w:asciiTheme="majorHAnsi" w:hAnsiTheme="majorHAnsi"/>
          <w:sz w:val="20"/>
          <w:szCs w:val="20"/>
        </w:rPr>
        <w:t xml:space="preserve">underlined </w:t>
      </w:r>
      <w:r w:rsidRPr="00B41E87">
        <w:rPr>
          <w:rFonts w:asciiTheme="majorHAnsi" w:hAnsiTheme="majorHAnsi"/>
          <w:sz w:val="20"/>
          <w:szCs w:val="20"/>
        </w:rPr>
        <w:t xml:space="preserve">that States must ensure that </w:t>
      </w:r>
      <w:r w:rsidR="00826ABF" w:rsidRPr="00B41E87">
        <w:rPr>
          <w:rFonts w:asciiTheme="majorHAnsi" w:hAnsiTheme="majorHAnsi"/>
          <w:sz w:val="20"/>
          <w:szCs w:val="20"/>
        </w:rPr>
        <w:t>the</w:t>
      </w:r>
      <w:r w:rsidRPr="00B41E87">
        <w:rPr>
          <w:rFonts w:asciiTheme="majorHAnsi" w:hAnsiTheme="majorHAnsi"/>
          <w:sz w:val="20"/>
          <w:szCs w:val="20"/>
        </w:rPr>
        <w:t xml:space="preserve"> method of execution employed causes the least possible physical and mental suffering and has the burden of proof of establishing that there are no more humane alternatives available.</w:t>
      </w:r>
      <w:r w:rsidRPr="00B41E87">
        <w:rPr>
          <w:rStyle w:val="FootnoteReference"/>
          <w:rFonts w:asciiTheme="majorHAnsi" w:hAnsiTheme="majorHAnsi"/>
          <w:sz w:val="20"/>
          <w:szCs w:val="20"/>
        </w:rPr>
        <w:t xml:space="preserve"> </w:t>
      </w:r>
      <w:r w:rsidRPr="00B41E87">
        <w:rPr>
          <w:rStyle w:val="FootnoteReference"/>
          <w:rFonts w:asciiTheme="majorHAnsi" w:hAnsiTheme="majorHAnsi"/>
          <w:sz w:val="20"/>
          <w:szCs w:val="20"/>
        </w:rPr>
        <w:footnoteReference w:id="52"/>
      </w:r>
      <w:r w:rsidRPr="00B41E87">
        <w:rPr>
          <w:rFonts w:asciiTheme="majorHAnsi" w:hAnsiTheme="majorHAnsi"/>
          <w:sz w:val="20"/>
          <w:szCs w:val="20"/>
        </w:rPr>
        <w:t xml:space="preserve"> </w:t>
      </w:r>
    </w:p>
    <w:p w14:paraId="61620755"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rPr>
      </w:pPr>
    </w:p>
    <w:p w14:paraId="08C02385" w14:textId="36D5C55E"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sz w:val="20"/>
          <w:szCs w:val="20"/>
          <w:bdr w:val="none" w:sz="0" w:space="0" w:color="auto"/>
        </w:rPr>
      </w:pPr>
      <w:r w:rsidRPr="00B41E87">
        <w:rPr>
          <w:rFonts w:asciiTheme="majorHAnsi" w:eastAsia="Times New Roman" w:hAnsiTheme="majorHAnsi"/>
          <w:sz w:val="20"/>
          <w:szCs w:val="20"/>
          <w:bdr w:val="none" w:sz="0" w:space="0" w:color="auto"/>
        </w:rPr>
        <w:t xml:space="preserve">In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w:t>
      </w:r>
      <w:r w:rsidR="00826ABF" w:rsidRPr="00B41E87">
        <w:rPr>
          <w:rFonts w:asciiTheme="majorHAnsi" w:eastAsia="Times New Roman" w:hAnsiTheme="majorHAnsi"/>
          <w:sz w:val="20"/>
          <w:szCs w:val="20"/>
          <w:bdr w:val="none" w:sz="0" w:space="0" w:color="auto"/>
        </w:rPr>
        <w:t xml:space="preserve">the </w:t>
      </w:r>
      <w:r w:rsidRPr="00B41E87">
        <w:rPr>
          <w:rFonts w:asciiTheme="majorHAnsi" w:eastAsia="Times New Roman" w:hAnsiTheme="majorHAnsi"/>
          <w:sz w:val="20"/>
          <w:szCs w:val="20"/>
          <w:bdr w:val="none" w:sz="0" w:space="0" w:color="auto"/>
        </w:rPr>
        <w:t>case of execution by lethal injection, and the composition of the execution team as well as the training of its members.</w:t>
      </w:r>
      <w:r w:rsidRPr="00B41E87">
        <w:rPr>
          <w:rFonts w:asciiTheme="majorHAnsi" w:eastAsia="Times New Roman" w:hAnsiTheme="majorHAnsi"/>
          <w:sz w:val="20"/>
          <w:szCs w:val="20"/>
          <w:bdr w:val="none" w:sz="0" w:space="0" w:color="auto"/>
          <w:vertAlign w:val="superscript"/>
        </w:rPr>
        <w:footnoteReference w:id="53"/>
      </w:r>
      <w:r w:rsidRPr="00B41E87">
        <w:rPr>
          <w:rFonts w:asciiTheme="majorHAnsi" w:eastAsia="Times New Roman" w:hAnsiTheme="majorHAnsi"/>
          <w:sz w:val="20"/>
          <w:szCs w:val="20"/>
          <w:bdr w:val="none" w:sz="0" w:space="0" w:color="auto"/>
        </w:rPr>
        <w:t xml:space="preserve">  </w:t>
      </w:r>
    </w:p>
    <w:p w14:paraId="4E1F5E6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rPr>
      </w:pPr>
    </w:p>
    <w:p w14:paraId="2475CBB8" w14:textId="08F0C5EA"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eastAsia="Times New Roman" w:hAnsiTheme="majorHAnsi"/>
          <w:sz w:val="20"/>
          <w:szCs w:val="20"/>
          <w:bdr w:val="none" w:sz="0" w:space="0" w:color="auto"/>
        </w:rPr>
      </w:pPr>
      <w:r w:rsidRPr="00B41E87">
        <w:rPr>
          <w:rFonts w:asciiTheme="majorHAnsi" w:eastAsia="Times New Roman" w:hAnsiTheme="majorHAnsi"/>
          <w:sz w:val="20"/>
          <w:szCs w:val="20"/>
          <w:bdr w:val="none" w:sz="0" w:space="0" w:color="auto"/>
        </w:rPr>
        <w:t xml:space="preserve">Any person subjected to the death penalty must have the opportunity to challenge every aspect of the execution procedure and such information is necessary to file a challenge.  The IACHR notes in this regard that the </w:t>
      </w:r>
      <w:r w:rsidR="00826ABF" w:rsidRPr="00B41E87">
        <w:rPr>
          <w:rFonts w:asciiTheme="majorHAnsi" w:eastAsia="Times New Roman" w:hAnsiTheme="majorHAnsi"/>
          <w:sz w:val="20"/>
          <w:szCs w:val="20"/>
          <w:bdr w:val="none" w:sz="0" w:space="0" w:color="auto"/>
        </w:rPr>
        <w:t xml:space="preserve">obligation of the State to provide </w:t>
      </w:r>
      <w:r w:rsidRPr="00B41E87">
        <w:rPr>
          <w:rFonts w:asciiTheme="majorHAnsi" w:eastAsia="Times New Roman" w:hAnsiTheme="majorHAnsi"/>
          <w:sz w:val="20"/>
          <w:szCs w:val="20"/>
          <w:bdr w:val="none" w:sz="0" w:space="0" w:color="auto"/>
        </w:rPr>
        <w:t>due process is not limited to the conviction and post-conviction proceedings.</w:t>
      </w:r>
      <w:r w:rsidRPr="00B41E87">
        <w:rPr>
          <w:rFonts w:asciiTheme="majorHAnsi" w:eastAsia="Times New Roman" w:hAnsiTheme="majorHAnsi"/>
          <w:sz w:val="20"/>
          <w:szCs w:val="20"/>
          <w:bdr w:val="none" w:sz="0" w:space="0" w:color="auto"/>
          <w:vertAlign w:val="superscript"/>
        </w:rPr>
        <w:footnoteReference w:id="54"/>
      </w:r>
      <w:r w:rsidRPr="00B41E87">
        <w:rPr>
          <w:rFonts w:asciiTheme="majorHAnsi" w:eastAsia="Times New Roman" w:hAnsiTheme="majorHAnsi"/>
          <w:sz w:val="20"/>
          <w:szCs w:val="20"/>
          <w:bdr w:val="none" w:sz="0" w:space="0" w:color="auto"/>
        </w:rPr>
        <w:t xml:space="preserve">  </w:t>
      </w:r>
      <w:r w:rsidR="00826ABF" w:rsidRPr="00B41E87">
        <w:rPr>
          <w:rFonts w:asciiTheme="majorHAnsi" w:eastAsia="Times New Roman" w:hAnsiTheme="majorHAnsi"/>
          <w:sz w:val="20"/>
          <w:szCs w:val="20"/>
          <w:bdr w:val="none" w:sz="0" w:space="0" w:color="auto"/>
        </w:rPr>
        <w:t xml:space="preserve">Accordingly, </w:t>
      </w:r>
      <w:r w:rsidRPr="00B41E87">
        <w:rPr>
          <w:rFonts w:asciiTheme="majorHAnsi" w:eastAsia="Times New Roman" w:hAnsiTheme="majorHAnsi"/>
          <w:sz w:val="20"/>
          <w:szCs w:val="20"/>
          <w:bdr w:val="none" w:sz="0" w:space="0" w:color="auto"/>
        </w:rPr>
        <w:t xml:space="preserve">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5615290F" w14:textId="77777777" w:rsidR="00370A41" w:rsidRPr="00B41E87" w:rsidRDefault="00370A41" w:rsidP="00370A41">
      <w:pPr>
        <w:jc w:val="both"/>
        <w:rPr>
          <w:rFonts w:asciiTheme="majorHAnsi" w:hAnsiTheme="majorHAnsi"/>
          <w:b/>
          <w:bCs/>
          <w:sz w:val="20"/>
          <w:szCs w:val="20"/>
        </w:rPr>
      </w:pPr>
    </w:p>
    <w:p w14:paraId="04D50EC7" w14:textId="7AC5DDF1" w:rsidR="00370A41" w:rsidRPr="00B41E87" w:rsidRDefault="00370A41" w:rsidP="006961C6">
      <w:pPr>
        <w:pStyle w:val="Heading3"/>
        <w:rPr>
          <w:rFonts w:asciiTheme="majorHAnsi" w:hAnsiTheme="majorHAnsi"/>
        </w:rPr>
      </w:pPr>
      <w:bookmarkStart w:id="63" w:name="_Toc511310302"/>
      <w:bookmarkStart w:id="64" w:name="_Toc512265315"/>
      <w:r w:rsidRPr="00B41E87">
        <w:rPr>
          <w:rFonts w:asciiTheme="majorHAnsi" w:hAnsiTheme="majorHAnsi"/>
        </w:rPr>
        <w:t>Analysis of the case</w:t>
      </w:r>
      <w:bookmarkEnd w:id="63"/>
      <w:bookmarkEnd w:id="64"/>
    </w:p>
    <w:p w14:paraId="7CA49219" w14:textId="77777777" w:rsidR="00370A41" w:rsidRPr="00B41E87" w:rsidRDefault="00370A41" w:rsidP="00370A41">
      <w:pPr>
        <w:jc w:val="both"/>
        <w:rPr>
          <w:rFonts w:asciiTheme="majorHAnsi" w:hAnsiTheme="majorHAnsi" w:cs="Cambria"/>
          <w:b/>
          <w:color w:val="000000"/>
          <w:sz w:val="20"/>
          <w:szCs w:val="20"/>
        </w:rPr>
      </w:pPr>
    </w:p>
    <w:p w14:paraId="5085D6EC" w14:textId="3289EAE6"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The Commission notes that it is undisputed that Mr. Bucklew, sentenced to </w:t>
      </w:r>
      <w:r w:rsidR="00826ABF" w:rsidRPr="00B41E87">
        <w:rPr>
          <w:rFonts w:asciiTheme="majorHAnsi" w:hAnsiTheme="majorHAnsi" w:cs="Cambria"/>
          <w:color w:val="000000"/>
          <w:sz w:val="20"/>
          <w:szCs w:val="20"/>
        </w:rPr>
        <w:t xml:space="preserve">the </w:t>
      </w:r>
      <w:r w:rsidRPr="00B41E87">
        <w:rPr>
          <w:rFonts w:asciiTheme="majorHAnsi" w:hAnsiTheme="majorHAnsi" w:cs="Cambria"/>
          <w:color w:val="000000"/>
          <w:sz w:val="20"/>
          <w:szCs w:val="20"/>
        </w:rPr>
        <w:t>death penalty in 1997, suffers from “cavern</w:t>
      </w:r>
      <w:r w:rsidR="00826ABF" w:rsidRPr="00B41E87">
        <w:rPr>
          <w:rFonts w:asciiTheme="majorHAnsi" w:hAnsiTheme="majorHAnsi" w:cs="Cambria"/>
          <w:color w:val="000000"/>
          <w:sz w:val="20"/>
          <w:szCs w:val="20"/>
        </w:rPr>
        <w:t>o</w:t>
      </w:r>
      <w:r w:rsidRPr="00B41E87">
        <w:rPr>
          <w:rFonts w:asciiTheme="majorHAnsi" w:hAnsiTheme="majorHAnsi" w:cs="Cambria"/>
          <w:color w:val="000000"/>
          <w:sz w:val="20"/>
          <w:szCs w:val="20"/>
        </w:rPr>
        <w:t>us hemangioma</w:t>
      </w:r>
      <w:r w:rsidR="00826ABF"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a rare and congenital medical condition that causes large tumors of malformed blood vessels to grow on his head, face and neck. These tumors cause difficulty breathing and rupture under stress. The petitioners have argued before the Commission and the </w:t>
      </w:r>
      <w:r w:rsidR="00FF7C8A" w:rsidRPr="00B41E87">
        <w:rPr>
          <w:rFonts w:asciiTheme="majorHAnsi" w:hAnsiTheme="majorHAnsi" w:cs="Cambria"/>
          <w:color w:val="000000"/>
          <w:sz w:val="20"/>
          <w:szCs w:val="20"/>
        </w:rPr>
        <w:t xml:space="preserve">domestic judicial </w:t>
      </w:r>
      <w:r w:rsidRPr="00B41E87">
        <w:rPr>
          <w:rFonts w:asciiTheme="majorHAnsi" w:hAnsiTheme="majorHAnsi" w:cs="Cambria"/>
          <w:color w:val="000000"/>
          <w:sz w:val="20"/>
          <w:szCs w:val="20"/>
        </w:rPr>
        <w:t>authorities that</w:t>
      </w:r>
      <w:r w:rsidR="00FF7C8A"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due to this condition, there is a high risk that </w:t>
      </w:r>
      <w:r w:rsidR="00FF7C8A" w:rsidRPr="00B41E87">
        <w:rPr>
          <w:rFonts w:asciiTheme="majorHAnsi" w:hAnsiTheme="majorHAnsi" w:cs="Cambria"/>
          <w:color w:val="000000"/>
          <w:sz w:val="20"/>
          <w:szCs w:val="20"/>
        </w:rPr>
        <w:t xml:space="preserve">the application of </w:t>
      </w:r>
      <w:r w:rsidRPr="00B41E87">
        <w:rPr>
          <w:rFonts w:asciiTheme="majorHAnsi" w:hAnsiTheme="majorHAnsi" w:cs="Cambria"/>
          <w:color w:val="000000"/>
          <w:sz w:val="20"/>
          <w:szCs w:val="20"/>
        </w:rPr>
        <w:t xml:space="preserve">Missouri’s protocol of execution </w:t>
      </w:r>
      <w:r w:rsidR="00FF7C8A" w:rsidRPr="00B41E87">
        <w:rPr>
          <w:rFonts w:asciiTheme="majorHAnsi" w:hAnsiTheme="majorHAnsi" w:cs="Cambria"/>
          <w:color w:val="000000"/>
          <w:sz w:val="20"/>
          <w:szCs w:val="20"/>
        </w:rPr>
        <w:t>for</w:t>
      </w:r>
      <w:r w:rsidRPr="00B41E87">
        <w:rPr>
          <w:rFonts w:asciiTheme="majorHAnsi" w:hAnsiTheme="majorHAnsi" w:cs="Cambria"/>
          <w:color w:val="000000"/>
          <w:sz w:val="20"/>
          <w:szCs w:val="20"/>
        </w:rPr>
        <w:t xml:space="preserve"> lethal injection will cause excruciating suffering and pain to Mr. Bucklew. Taking into account the standard of the U.S. Supreme Court for these cases, Mr. Bucklew proposed “nitrogen hypoxia” as the alternative that could cause him less pain. As established in the proven facts, domestic judicial proceedings regarding this claim ended on March 6, 2018, with a decision of the Eight Circuit Court of Appeals in favor of the Missouri Department of Corrections and dismissing Mr. Bucklew’s allegations. </w:t>
      </w:r>
      <w:r w:rsidR="00FF7C8A" w:rsidRPr="00B41E87">
        <w:rPr>
          <w:rFonts w:asciiTheme="majorHAnsi" w:hAnsiTheme="majorHAnsi" w:cs="Cambria"/>
          <w:color w:val="000000"/>
          <w:sz w:val="20"/>
          <w:szCs w:val="20"/>
        </w:rPr>
        <w:t xml:space="preserve">As of the date of the present report, </w:t>
      </w:r>
      <w:r w:rsidRPr="00B41E87">
        <w:rPr>
          <w:rFonts w:asciiTheme="majorHAnsi" w:hAnsiTheme="majorHAnsi" w:cs="Cambria"/>
          <w:color w:val="000000"/>
          <w:sz w:val="20"/>
          <w:szCs w:val="20"/>
        </w:rPr>
        <w:t xml:space="preserve">his execution is scheduled for March 20, 2018. </w:t>
      </w:r>
    </w:p>
    <w:p w14:paraId="3992EFBB"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mbria"/>
          <w:b/>
          <w:color w:val="000000"/>
          <w:sz w:val="20"/>
          <w:szCs w:val="20"/>
        </w:rPr>
      </w:pPr>
    </w:p>
    <w:p w14:paraId="5503A429" w14:textId="35A81331"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The IACHR </w:t>
      </w:r>
      <w:r w:rsidR="00FF7C8A" w:rsidRPr="00B41E87">
        <w:rPr>
          <w:rFonts w:asciiTheme="majorHAnsi" w:hAnsiTheme="majorHAnsi" w:cs="Cambria"/>
          <w:color w:val="000000"/>
          <w:sz w:val="20"/>
          <w:szCs w:val="20"/>
        </w:rPr>
        <w:t xml:space="preserve">must </w:t>
      </w:r>
      <w:r w:rsidRPr="00B41E87">
        <w:rPr>
          <w:rFonts w:asciiTheme="majorHAnsi" w:hAnsiTheme="majorHAnsi" w:cs="Cambria"/>
          <w:color w:val="000000"/>
          <w:sz w:val="20"/>
          <w:szCs w:val="20"/>
        </w:rPr>
        <w:t>analyze whether the United States provided an effective judicial remedy to Mr. Bucklew</w:t>
      </w:r>
      <w:r w:rsidR="00FF7C8A"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and whether its actions and omissions during the judicial proceedings were compatible with </w:t>
      </w:r>
      <w:r w:rsidR="00FF7C8A" w:rsidRPr="00B41E87">
        <w:rPr>
          <w:rFonts w:asciiTheme="majorHAnsi" w:hAnsiTheme="majorHAnsi" w:cs="Cambria"/>
          <w:color w:val="000000"/>
          <w:sz w:val="20"/>
          <w:szCs w:val="20"/>
        </w:rPr>
        <w:t xml:space="preserve">its </w:t>
      </w:r>
      <w:r w:rsidRPr="00B41E87">
        <w:rPr>
          <w:rFonts w:asciiTheme="majorHAnsi" w:hAnsiTheme="majorHAnsi" w:cs="Cambria"/>
          <w:color w:val="000000"/>
          <w:sz w:val="20"/>
          <w:szCs w:val="20"/>
        </w:rPr>
        <w:t>international obligations under the American Declaration, including strict compliance with the right not to be sub</w:t>
      </w:r>
      <w:r w:rsidR="00FF7C8A" w:rsidRPr="00B41E87">
        <w:rPr>
          <w:rFonts w:asciiTheme="majorHAnsi" w:hAnsiTheme="majorHAnsi" w:cs="Cambria"/>
          <w:color w:val="000000"/>
          <w:sz w:val="20"/>
          <w:szCs w:val="20"/>
        </w:rPr>
        <w:t>jected</w:t>
      </w:r>
      <w:r w:rsidRPr="00B41E87">
        <w:rPr>
          <w:rFonts w:asciiTheme="majorHAnsi" w:hAnsiTheme="majorHAnsi" w:cs="Cambria"/>
          <w:color w:val="000000"/>
          <w:sz w:val="20"/>
          <w:szCs w:val="20"/>
        </w:rPr>
        <w:t xml:space="preserve"> to torture and </w:t>
      </w:r>
      <w:r w:rsidRPr="00B41E87">
        <w:rPr>
          <w:rFonts w:asciiTheme="majorHAnsi" w:hAnsiTheme="majorHAnsi"/>
          <w:sz w:val="20"/>
          <w:szCs w:val="20"/>
        </w:rPr>
        <w:t>cruel, infamous or unusual punishment.</w:t>
      </w:r>
    </w:p>
    <w:p w14:paraId="07BDA0D3"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b/>
          <w:color w:val="000000"/>
          <w:sz w:val="20"/>
          <w:szCs w:val="20"/>
        </w:rPr>
      </w:pPr>
    </w:p>
    <w:p w14:paraId="10CF6FA9" w14:textId="79E9E7A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lastRenderedPageBreak/>
        <w:t xml:space="preserve">From the judgments of June 15, 2017 and March 6, 2018 described in the proven facts, </w:t>
      </w:r>
      <w:r w:rsidR="00FF7C8A" w:rsidRPr="00B41E87">
        <w:rPr>
          <w:rFonts w:asciiTheme="majorHAnsi" w:hAnsiTheme="majorHAnsi" w:cs="Cambria"/>
          <w:color w:val="000000"/>
          <w:sz w:val="20"/>
          <w:szCs w:val="20"/>
        </w:rPr>
        <w:t xml:space="preserve">the Commission finds that they were clearly decided on the basis of </w:t>
      </w:r>
      <w:r w:rsidRPr="00B41E87">
        <w:rPr>
          <w:rFonts w:asciiTheme="majorHAnsi" w:hAnsiTheme="majorHAnsi" w:cs="Cambria"/>
          <w:color w:val="000000"/>
          <w:sz w:val="20"/>
          <w:szCs w:val="20"/>
        </w:rPr>
        <w:t xml:space="preserve">the standards set out by the U.S. Supreme Court in </w:t>
      </w:r>
      <w:r w:rsidRPr="00B41E87">
        <w:rPr>
          <w:rFonts w:asciiTheme="majorHAnsi" w:hAnsiTheme="majorHAnsi" w:cs="Cambria"/>
          <w:i/>
          <w:color w:val="000000"/>
          <w:sz w:val="20"/>
          <w:szCs w:val="20"/>
        </w:rPr>
        <w:t>Glossip v. Gloss</w:t>
      </w:r>
      <w:r w:rsidRPr="00B41E87">
        <w:rPr>
          <w:rFonts w:asciiTheme="majorHAnsi" w:hAnsiTheme="majorHAnsi" w:cs="Cambria"/>
          <w:color w:val="000000"/>
          <w:sz w:val="20"/>
          <w:szCs w:val="20"/>
        </w:rPr>
        <w:t>. The Commission recalls that according to that judgment, the prisoner has the burden to demonstrate three concurring elements: (i) that the method to be applied “presents a risk that is sure or very likely to cause serious illness and needless suffering and give rise to sufficiently imminent dangers</w:t>
      </w:r>
      <w:r w:rsidR="00FF7C8A"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(ii) the identification of a “known and available alternative method” that entails a lesser risk of pain; and (iii) that </w:t>
      </w:r>
      <w:r w:rsidR="00FF7C8A" w:rsidRPr="00B41E87">
        <w:rPr>
          <w:rFonts w:asciiTheme="majorHAnsi" w:hAnsiTheme="majorHAnsi" w:cs="Cambria"/>
          <w:color w:val="000000"/>
          <w:sz w:val="20"/>
          <w:szCs w:val="20"/>
        </w:rPr>
        <w:t xml:space="preserve">this </w:t>
      </w:r>
      <w:r w:rsidRPr="00B41E87">
        <w:rPr>
          <w:rFonts w:asciiTheme="majorHAnsi" w:hAnsiTheme="majorHAnsi" w:cs="Cambria"/>
          <w:color w:val="000000"/>
          <w:sz w:val="20"/>
          <w:szCs w:val="20"/>
        </w:rPr>
        <w:t xml:space="preserve">alternative is “feasible, readily implemented” and </w:t>
      </w:r>
      <w:r w:rsidR="00FF7C8A" w:rsidRPr="00B41E87">
        <w:rPr>
          <w:rFonts w:asciiTheme="majorHAnsi" w:hAnsiTheme="majorHAnsi" w:cs="Cambria"/>
          <w:color w:val="000000"/>
          <w:sz w:val="20"/>
          <w:szCs w:val="20"/>
        </w:rPr>
        <w:t xml:space="preserve">would </w:t>
      </w:r>
      <w:r w:rsidRPr="00B41E87">
        <w:rPr>
          <w:rFonts w:asciiTheme="majorHAnsi" w:hAnsiTheme="majorHAnsi" w:cs="Cambria"/>
          <w:color w:val="000000"/>
          <w:sz w:val="20"/>
          <w:szCs w:val="20"/>
        </w:rPr>
        <w:t xml:space="preserve">“in fact significantly reduce” the risk of severe pain. </w:t>
      </w:r>
    </w:p>
    <w:p w14:paraId="00FB51EF"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color w:val="000000"/>
          <w:sz w:val="20"/>
          <w:szCs w:val="20"/>
        </w:rPr>
      </w:pPr>
    </w:p>
    <w:p w14:paraId="4482DF64" w14:textId="0A63C20C"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The Commission notes that the burden of argumentation and proof with respect of each of the three elements re</w:t>
      </w:r>
      <w:r w:rsidR="00011391" w:rsidRPr="00B41E87">
        <w:rPr>
          <w:rFonts w:asciiTheme="majorHAnsi" w:hAnsiTheme="majorHAnsi" w:cs="Cambria"/>
          <w:color w:val="000000"/>
          <w:sz w:val="20"/>
          <w:szCs w:val="20"/>
        </w:rPr>
        <w:t xml:space="preserve">sides primarily with </w:t>
      </w:r>
      <w:r w:rsidRPr="00B41E87">
        <w:rPr>
          <w:rFonts w:asciiTheme="majorHAnsi" w:hAnsiTheme="majorHAnsi" w:cs="Cambria"/>
          <w:color w:val="000000"/>
          <w:sz w:val="20"/>
          <w:szCs w:val="20"/>
        </w:rPr>
        <w:t xml:space="preserve">the prisoner, and </w:t>
      </w:r>
      <w:r w:rsidR="00011391" w:rsidRPr="00B41E87">
        <w:rPr>
          <w:rFonts w:asciiTheme="majorHAnsi" w:hAnsiTheme="majorHAnsi" w:cs="Cambria"/>
          <w:color w:val="000000"/>
          <w:sz w:val="20"/>
          <w:szCs w:val="20"/>
        </w:rPr>
        <w:t xml:space="preserve">that the standard to be met to establish </w:t>
      </w:r>
      <w:r w:rsidRPr="00B41E87">
        <w:rPr>
          <w:rFonts w:asciiTheme="majorHAnsi" w:hAnsiTheme="majorHAnsi" w:cs="Cambria"/>
          <w:color w:val="000000"/>
          <w:sz w:val="20"/>
          <w:szCs w:val="20"/>
        </w:rPr>
        <w:t>the three concurring elements jointly considered</w:t>
      </w:r>
      <w:r w:rsidR="00011391" w:rsidRPr="00B41E87">
        <w:rPr>
          <w:rFonts w:asciiTheme="majorHAnsi" w:hAnsiTheme="majorHAnsi" w:cs="Cambria"/>
          <w:color w:val="000000"/>
          <w:sz w:val="20"/>
          <w:szCs w:val="20"/>
        </w:rPr>
        <w:t xml:space="preserve"> is </w:t>
      </w:r>
      <w:r w:rsidR="00B00A8E" w:rsidRPr="00B41E87">
        <w:rPr>
          <w:rFonts w:asciiTheme="majorHAnsi" w:hAnsiTheme="majorHAnsi" w:cs="Cambria"/>
          <w:color w:val="000000"/>
          <w:sz w:val="20"/>
          <w:szCs w:val="20"/>
        </w:rPr>
        <w:t xml:space="preserve">very </w:t>
      </w:r>
      <w:r w:rsidR="00011391" w:rsidRPr="00B41E87">
        <w:rPr>
          <w:rFonts w:asciiTheme="majorHAnsi" w:hAnsiTheme="majorHAnsi" w:cs="Cambria"/>
          <w:color w:val="000000"/>
          <w:sz w:val="20"/>
          <w:szCs w:val="20"/>
        </w:rPr>
        <w:t>high</w:t>
      </w:r>
      <w:r w:rsidRPr="00B41E87">
        <w:rPr>
          <w:rFonts w:asciiTheme="majorHAnsi" w:hAnsiTheme="majorHAnsi" w:cs="Cambria"/>
          <w:color w:val="000000"/>
          <w:sz w:val="20"/>
          <w:szCs w:val="20"/>
        </w:rPr>
        <w:t>. The IACHR considers that the effectiveness of a remedy that imposes such burdens in order to succeed must be analyzed taking into account that</w:t>
      </w:r>
      <w:r w:rsidR="00B00A8E"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in the instant case, access to justice is directly linked to the prohibition of torture and cruel and inhumane punishments. Therefore, it must be analyzed under the undisputed premise that </w:t>
      </w:r>
      <w:r w:rsidR="00B00A8E" w:rsidRPr="00B41E87">
        <w:rPr>
          <w:rFonts w:asciiTheme="majorHAnsi" w:hAnsiTheme="majorHAnsi" w:cs="Cambria"/>
          <w:color w:val="000000"/>
          <w:sz w:val="20"/>
          <w:szCs w:val="20"/>
        </w:rPr>
        <w:t xml:space="preserve">the </w:t>
      </w:r>
      <w:r w:rsidRPr="00B41E87">
        <w:rPr>
          <w:rFonts w:asciiTheme="majorHAnsi" w:hAnsiTheme="majorHAnsi" w:cs="Cambria"/>
          <w:color w:val="000000"/>
          <w:sz w:val="20"/>
          <w:szCs w:val="20"/>
        </w:rPr>
        <w:t xml:space="preserve">prohibition of torture is a peremptory norm of international law. Also, that under the American Declaration </w:t>
      </w:r>
      <w:r w:rsidR="00B00A8E" w:rsidRPr="00B41E87">
        <w:rPr>
          <w:rFonts w:asciiTheme="majorHAnsi" w:hAnsiTheme="majorHAnsi" w:cs="Cambria"/>
          <w:color w:val="000000"/>
          <w:sz w:val="20"/>
          <w:szCs w:val="20"/>
        </w:rPr>
        <w:t xml:space="preserve">and other principal human rights instruments </w:t>
      </w:r>
      <w:r w:rsidRPr="00B41E87">
        <w:rPr>
          <w:rFonts w:asciiTheme="majorHAnsi" w:hAnsiTheme="majorHAnsi" w:cs="Cambria"/>
          <w:color w:val="000000"/>
          <w:sz w:val="20"/>
          <w:szCs w:val="20"/>
        </w:rPr>
        <w:t xml:space="preserve">the use of torture and cruel and inhumane punishment is strictly prohibited. The United States has an obligation to ensure that no such treatment </w:t>
      </w:r>
      <w:r w:rsidR="00B00A8E" w:rsidRPr="00B41E87">
        <w:rPr>
          <w:rFonts w:asciiTheme="majorHAnsi" w:hAnsiTheme="majorHAnsi" w:cs="Cambria"/>
          <w:color w:val="000000"/>
          <w:sz w:val="20"/>
          <w:szCs w:val="20"/>
        </w:rPr>
        <w:t>is</w:t>
      </w:r>
      <w:r w:rsidRPr="00B41E87">
        <w:rPr>
          <w:rFonts w:asciiTheme="majorHAnsi" w:hAnsiTheme="majorHAnsi" w:cs="Cambria"/>
          <w:color w:val="000000"/>
          <w:sz w:val="20"/>
          <w:szCs w:val="20"/>
        </w:rPr>
        <w:t xml:space="preserve"> imposed </w:t>
      </w:r>
      <w:r w:rsidR="00B00A8E" w:rsidRPr="00B41E87">
        <w:rPr>
          <w:rFonts w:asciiTheme="majorHAnsi" w:hAnsiTheme="majorHAnsi" w:cs="Cambria"/>
          <w:color w:val="000000"/>
          <w:sz w:val="20"/>
          <w:szCs w:val="20"/>
        </w:rPr>
        <w:t>on</w:t>
      </w:r>
      <w:r w:rsidRPr="00B41E87">
        <w:rPr>
          <w:rFonts w:asciiTheme="majorHAnsi" w:hAnsiTheme="majorHAnsi" w:cs="Cambria"/>
          <w:color w:val="000000"/>
          <w:sz w:val="20"/>
          <w:szCs w:val="20"/>
        </w:rPr>
        <w:t xml:space="preserve"> persons under its jurisdiction, </w:t>
      </w:r>
      <w:r w:rsidR="00B00A8E" w:rsidRPr="00B41E87">
        <w:rPr>
          <w:rFonts w:asciiTheme="majorHAnsi" w:hAnsiTheme="majorHAnsi" w:cs="Cambria"/>
          <w:color w:val="000000"/>
          <w:sz w:val="20"/>
          <w:szCs w:val="20"/>
        </w:rPr>
        <w:t xml:space="preserve">and this has implications </w:t>
      </w:r>
      <w:r w:rsidRPr="00B41E87">
        <w:rPr>
          <w:rFonts w:asciiTheme="majorHAnsi" w:hAnsiTheme="majorHAnsi" w:cs="Cambria"/>
          <w:color w:val="000000"/>
          <w:sz w:val="20"/>
          <w:szCs w:val="20"/>
        </w:rPr>
        <w:t xml:space="preserve">in the </w:t>
      </w:r>
      <w:r w:rsidR="00B00A8E" w:rsidRPr="00B41E87">
        <w:rPr>
          <w:rFonts w:asciiTheme="majorHAnsi" w:hAnsiTheme="majorHAnsi" w:cs="Cambria"/>
          <w:color w:val="000000"/>
          <w:sz w:val="20"/>
          <w:szCs w:val="20"/>
        </w:rPr>
        <w:t xml:space="preserve">analysis </w:t>
      </w:r>
      <w:r w:rsidRPr="00B41E87">
        <w:rPr>
          <w:rFonts w:asciiTheme="majorHAnsi" w:hAnsiTheme="majorHAnsi" w:cs="Cambria"/>
          <w:color w:val="000000"/>
          <w:sz w:val="20"/>
          <w:szCs w:val="20"/>
        </w:rPr>
        <w:t xml:space="preserve">of judicial proceedings related to methods of execution that could breach </w:t>
      </w:r>
      <w:r w:rsidR="00B00A8E" w:rsidRPr="00B41E87">
        <w:rPr>
          <w:rFonts w:asciiTheme="majorHAnsi" w:hAnsiTheme="majorHAnsi" w:cs="Cambria"/>
          <w:color w:val="000000"/>
          <w:sz w:val="20"/>
          <w:szCs w:val="20"/>
        </w:rPr>
        <w:t xml:space="preserve">that </w:t>
      </w:r>
      <w:r w:rsidRPr="00B41E87">
        <w:rPr>
          <w:rFonts w:asciiTheme="majorHAnsi" w:hAnsiTheme="majorHAnsi" w:cs="Cambria"/>
          <w:color w:val="000000"/>
          <w:sz w:val="20"/>
          <w:szCs w:val="20"/>
        </w:rPr>
        <w:t>obligation.</w:t>
      </w:r>
    </w:p>
    <w:p w14:paraId="6BC0E78D"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color w:val="000000"/>
          <w:sz w:val="20"/>
          <w:szCs w:val="20"/>
        </w:rPr>
      </w:pPr>
    </w:p>
    <w:p w14:paraId="62800AED" w14:textId="2F90A2C8" w:rsidR="00370A41" w:rsidRPr="00B41E87" w:rsidRDefault="00B00A8E"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The fact that the</w:t>
      </w:r>
      <w:r w:rsidR="00370A41" w:rsidRPr="00B41E87">
        <w:rPr>
          <w:rFonts w:asciiTheme="majorHAnsi" w:hAnsiTheme="majorHAnsi" w:cs="Cambria"/>
          <w:color w:val="000000"/>
          <w:sz w:val="20"/>
          <w:szCs w:val="20"/>
        </w:rPr>
        <w:t xml:space="preserve"> United States international obligations</w:t>
      </w:r>
      <w:r w:rsidRPr="00B41E87">
        <w:rPr>
          <w:rFonts w:asciiTheme="majorHAnsi" w:hAnsiTheme="majorHAnsi" w:cs="Cambria"/>
          <w:color w:val="000000"/>
          <w:sz w:val="20"/>
          <w:szCs w:val="20"/>
        </w:rPr>
        <w:t xml:space="preserve"> do not prohibit the death penalty </w:t>
      </w:r>
      <w:r w:rsidR="00370A41" w:rsidRPr="00B41E87">
        <w:rPr>
          <w:rFonts w:asciiTheme="majorHAnsi" w:hAnsiTheme="majorHAnsi" w:cs="Cambria"/>
          <w:color w:val="000000"/>
          <w:sz w:val="20"/>
          <w:szCs w:val="20"/>
        </w:rPr>
        <w:t>does not mean that in can be imposed in a manner that could entail torture or inhumane o</w:t>
      </w:r>
      <w:r w:rsidRPr="00B41E87">
        <w:rPr>
          <w:rFonts w:asciiTheme="majorHAnsi" w:hAnsiTheme="majorHAnsi" w:cs="Cambria"/>
          <w:color w:val="000000"/>
          <w:sz w:val="20"/>
          <w:szCs w:val="20"/>
        </w:rPr>
        <w:t>r</w:t>
      </w:r>
      <w:r w:rsidR="00370A41" w:rsidRPr="00B41E87">
        <w:rPr>
          <w:rFonts w:asciiTheme="majorHAnsi" w:hAnsiTheme="majorHAnsi" w:cs="Cambria"/>
          <w:color w:val="000000"/>
          <w:sz w:val="20"/>
          <w:szCs w:val="20"/>
        </w:rPr>
        <w:t xml:space="preserve"> cruel treatment. </w:t>
      </w:r>
      <w:r w:rsidRPr="00B41E87">
        <w:rPr>
          <w:rFonts w:asciiTheme="majorHAnsi" w:hAnsiTheme="majorHAnsi" w:cs="Cambria"/>
          <w:color w:val="000000"/>
          <w:sz w:val="20"/>
          <w:szCs w:val="20"/>
        </w:rPr>
        <w:t xml:space="preserve">In death penalty cases, in the event that the State becomes aware </w:t>
      </w:r>
      <w:r w:rsidR="00370A41" w:rsidRPr="00B41E87">
        <w:rPr>
          <w:rFonts w:asciiTheme="majorHAnsi" w:hAnsiTheme="majorHAnsi" w:cs="Cambria"/>
          <w:color w:val="000000"/>
          <w:sz w:val="20"/>
          <w:szCs w:val="20"/>
        </w:rPr>
        <w:t xml:space="preserve">that there is a significant risk that the specific method of execution could cause a breach </w:t>
      </w:r>
      <w:r w:rsidRPr="00B41E87">
        <w:rPr>
          <w:rFonts w:asciiTheme="majorHAnsi" w:hAnsiTheme="majorHAnsi" w:cs="Cambria"/>
          <w:color w:val="000000"/>
          <w:sz w:val="20"/>
          <w:szCs w:val="20"/>
        </w:rPr>
        <w:t>of</w:t>
      </w:r>
      <w:r w:rsidR="00370A41" w:rsidRPr="00B41E87">
        <w:rPr>
          <w:rFonts w:asciiTheme="majorHAnsi" w:hAnsiTheme="majorHAnsi" w:cs="Cambria"/>
          <w:color w:val="000000"/>
          <w:sz w:val="20"/>
          <w:szCs w:val="20"/>
        </w:rPr>
        <w:t xml:space="preserve"> its international obligations, including peremptory norms of international law, </w:t>
      </w:r>
      <w:r w:rsidRPr="00B41E87">
        <w:rPr>
          <w:rFonts w:asciiTheme="majorHAnsi" w:hAnsiTheme="majorHAnsi" w:cs="Cambria"/>
          <w:color w:val="000000"/>
          <w:sz w:val="20"/>
          <w:szCs w:val="20"/>
        </w:rPr>
        <w:t xml:space="preserve">it is required </w:t>
      </w:r>
      <w:r w:rsidR="00370A41" w:rsidRPr="00B41E87">
        <w:rPr>
          <w:rFonts w:asciiTheme="majorHAnsi" w:hAnsiTheme="majorHAnsi" w:cs="Cambria"/>
          <w:color w:val="000000"/>
          <w:sz w:val="20"/>
          <w:szCs w:val="20"/>
        </w:rPr>
        <w:t xml:space="preserve">to abstain from </w:t>
      </w:r>
      <w:r w:rsidRPr="00B41E87">
        <w:rPr>
          <w:rFonts w:asciiTheme="majorHAnsi" w:hAnsiTheme="majorHAnsi" w:cs="Cambria"/>
          <w:color w:val="000000"/>
          <w:sz w:val="20"/>
          <w:szCs w:val="20"/>
        </w:rPr>
        <w:t xml:space="preserve">proceeding with the execution under those circumstances, </w:t>
      </w:r>
      <w:r w:rsidR="00370A41" w:rsidRPr="00B41E87">
        <w:rPr>
          <w:rFonts w:asciiTheme="majorHAnsi" w:hAnsiTheme="majorHAnsi" w:cs="Cambria"/>
          <w:color w:val="000000"/>
          <w:sz w:val="20"/>
          <w:szCs w:val="20"/>
        </w:rPr>
        <w:t xml:space="preserve">regardless of </w:t>
      </w:r>
      <w:r w:rsidRPr="00B41E87">
        <w:rPr>
          <w:rFonts w:asciiTheme="majorHAnsi" w:hAnsiTheme="majorHAnsi" w:cs="Cambria"/>
          <w:color w:val="000000"/>
          <w:sz w:val="20"/>
          <w:szCs w:val="20"/>
        </w:rPr>
        <w:t xml:space="preserve">whether there is </w:t>
      </w:r>
      <w:r w:rsidR="00370A41" w:rsidRPr="00B41E87">
        <w:rPr>
          <w:rFonts w:asciiTheme="majorHAnsi" w:hAnsiTheme="majorHAnsi" w:cs="Cambria"/>
          <w:color w:val="000000"/>
          <w:sz w:val="20"/>
          <w:szCs w:val="20"/>
        </w:rPr>
        <w:t xml:space="preserve">an alternative method. </w:t>
      </w:r>
    </w:p>
    <w:p w14:paraId="653005EE"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color w:val="000000"/>
          <w:sz w:val="20"/>
          <w:szCs w:val="20"/>
        </w:rPr>
      </w:pPr>
    </w:p>
    <w:p w14:paraId="7E606183" w14:textId="0928D8AA"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In the instant case, the judicial proceedings described in the proven facts</w:t>
      </w:r>
      <w:r w:rsidR="00FC5939" w:rsidRPr="00B41E87">
        <w:rPr>
          <w:rFonts w:asciiTheme="majorHAnsi" w:hAnsiTheme="majorHAnsi" w:cs="Cambria"/>
          <w:color w:val="000000"/>
          <w:sz w:val="20"/>
          <w:szCs w:val="20"/>
        </w:rPr>
        <w:t xml:space="preserve"> reflect that, since 2014, </w:t>
      </w:r>
      <w:r w:rsidR="004D679E" w:rsidRPr="00B41E87">
        <w:rPr>
          <w:rFonts w:asciiTheme="majorHAnsi" w:hAnsiTheme="majorHAnsi" w:cs="Cambria"/>
          <w:color w:val="000000"/>
          <w:sz w:val="20"/>
          <w:szCs w:val="20"/>
        </w:rPr>
        <w:t xml:space="preserve">Mr. Bucklew’s defense has been presenting </w:t>
      </w:r>
      <w:r w:rsidR="00FC5939" w:rsidRPr="00B41E87">
        <w:rPr>
          <w:rFonts w:asciiTheme="majorHAnsi" w:hAnsiTheme="majorHAnsi" w:cs="Cambria"/>
          <w:color w:val="000000"/>
          <w:sz w:val="20"/>
          <w:szCs w:val="20"/>
        </w:rPr>
        <w:t>information</w:t>
      </w:r>
      <w:r w:rsidRPr="00B41E87">
        <w:rPr>
          <w:rFonts w:asciiTheme="majorHAnsi" w:hAnsiTheme="majorHAnsi" w:cs="Cambria"/>
          <w:color w:val="000000"/>
          <w:sz w:val="20"/>
          <w:szCs w:val="20"/>
        </w:rPr>
        <w:t xml:space="preserve"> on the risk </w:t>
      </w:r>
      <w:r w:rsidR="00FC5939" w:rsidRPr="00B41E87">
        <w:rPr>
          <w:rFonts w:asciiTheme="majorHAnsi" w:hAnsiTheme="majorHAnsi" w:cs="Cambria"/>
          <w:color w:val="000000"/>
          <w:sz w:val="20"/>
          <w:szCs w:val="20"/>
        </w:rPr>
        <w:t xml:space="preserve">that he would suffer </w:t>
      </w:r>
      <w:r w:rsidRPr="00B41E87">
        <w:rPr>
          <w:rFonts w:asciiTheme="majorHAnsi" w:hAnsiTheme="majorHAnsi" w:cs="Cambria"/>
          <w:color w:val="000000"/>
          <w:sz w:val="20"/>
          <w:szCs w:val="20"/>
        </w:rPr>
        <w:t xml:space="preserve">excruciating pain </w:t>
      </w:r>
      <w:r w:rsidR="00FC5939" w:rsidRPr="00B41E87">
        <w:rPr>
          <w:rFonts w:asciiTheme="majorHAnsi" w:hAnsiTheme="majorHAnsi" w:cs="Cambria"/>
          <w:color w:val="000000"/>
          <w:sz w:val="20"/>
          <w:szCs w:val="20"/>
        </w:rPr>
        <w:t xml:space="preserve">upon </w:t>
      </w:r>
      <w:r w:rsidRPr="00B41E87">
        <w:rPr>
          <w:rFonts w:asciiTheme="majorHAnsi" w:hAnsiTheme="majorHAnsi" w:cs="Cambria"/>
          <w:color w:val="000000"/>
          <w:sz w:val="20"/>
          <w:szCs w:val="20"/>
        </w:rPr>
        <w:t xml:space="preserve">the application of Missouri’s protocol of execution </w:t>
      </w:r>
      <w:r w:rsidR="00FC5939" w:rsidRPr="00B41E87">
        <w:rPr>
          <w:rFonts w:asciiTheme="majorHAnsi" w:hAnsiTheme="majorHAnsi" w:cs="Cambria"/>
          <w:color w:val="000000"/>
          <w:sz w:val="20"/>
          <w:szCs w:val="20"/>
        </w:rPr>
        <w:t xml:space="preserve">by </w:t>
      </w:r>
      <w:r w:rsidRPr="00B41E87">
        <w:rPr>
          <w:rFonts w:asciiTheme="majorHAnsi" w:hAnsiTheme="majorHAnsi" w:cs="Cambria"/>
          <w:color w:val="000000"/>
          <w:sz w:val="20"/>
          <w:szCs w:val="20"/>
        </w:rPr>
        <w:t>lethal injection. These arguments were supported by an expert opinion that established that</w:t>
      </w:r>
      <w:r w:rsidR="00103DBC" w:rsidRPr="00B41E87">
        <w:rPr>
          <w:rFonts w:asciiTheme="majorHAnsi" w:hAnsiTheme="majorHAnsi" w:cs="Cambria"/>
          <w:color w:val="000000"/>
          <w:sz w:val="20"/>
          <w:szCs w:val="20"/>
        </w:rPr>
        <w:t xml:space="preserve">, if subjected to execution by the existing protocol for lethal injection, </w:t>
      </w:r>
      <w:r w:rsidRPr="00B41E87">
        <w:rPr>
          <w:rFonts w:asciiTheme="majorHAnsi" w:hAnsiTheme="majorHAnsi" w:cs="Cambria"/>
          <w:color w:val="000000"/>
          <w:sz w:val="20"/>
          <w:szCs w:val="20"/>
        </w:rPr>
        <w:t>during the execution</w:t>
      </w:r>
      <w:r w:rsidR="00103DBC"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Mr. Bucklew “will be aware he is choking on his own blood and in pain before the pentobarbital renders him unconscious and unaware of pain</w:t>
      </w:r>
      <w:r w:rsidR="00103DBC"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The expert indicated that the period of suffering in such circumstances could last up to four minutes. The Commission considers that this particular risk of choking </w:t>
      </w:r>
      <w:r w:rsidR="00103DBC" w:rsidRPr="00B41E87">
        <w:rPr>
          <w:rFonts w:asciiTheme="majorHAnsi" w:hAnsiTheme="majorHAnsi" w:cs="Cambria"/>
          <w:color w:val="000000"/>
          <w:sz w:val="20"/>
          <w:szCs w:val="20"/>
        </w:rPr>
        <w:t>o</w:t>
      </w:r>
      <w:r w:rsidRPr="00B41E87">
        <w:rPr>
          <w:rFonts w:asciiTheme="majorHAnsi" w:hAnsiTheme="majorHAnsi" w:cs="Cambria"/>
          <w:color w:val="000000"/>
          <w:sz w:val="20"/>
          <w:szCs w:val="20"/>
        </w:rPr>
        <w:t>n his own blood, being aware of it, and for a period of up to four minutes, taking in consideration the context of extreme stress and anxiety</w:t>
      </w:r>
      <w:r w:rsidR="00103DBC"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would constitute </w:t>
      </w:r>
      <w:r w:rsidR="00103DBC" w:rsidRPr="00B41E87">
        <w:rPr>
          <w:rFonts w:asciiTheme="majorHAnsi" w:hAnsiTheme="majorHAnsi" w:cs="Cambria"/>
          <w:color w:val="000000"/>
          <w:sz w:val="20"/>
          <w:szCs w:val="20"/>
        </w:rPr>
        <w:t xml:space="preserve">cruel and </w:t>
      </w:r>
      <w:r w:rsidRPr="00B41E87">
        <w:rPr>
          <w:rFonts w:asciiTheme="majorHAnsi" w:hAnsiTheme="majorHAnsi" w:cs="Cambria"/>
          <w:color w:val="000000"/>
          <w:sz w:val="20"/>
          <w:szCs w:val="20"/>
        </w:rPr>
        <w:t xml:space="preserve">inhuman punishment. </w:t>
      </w:r>
      <w:r w:rsidR="00103DBC" w:rsidRPr="00B41E87">
        <w:rPr>
          <w:rFonts w:asciiTheme="majorHAnsi" w:hAnsiTheme="majorHAnsi" w:cs="Cambria"/>
          <w:color w:val="000000"/>
          <w:sz w:val="20"/>
          <w:szCs w:val="20"/>
        </w:rPr>
        <w:t>The</w:t>
      </w:r>
      <w:r w:rsidRPr="00B41E87">
        <w:rPr>
          <w:rFonts w:asciiTheme="majorHAnsi" w:hAnsiTheme="majorHAnsi" w:cs="Cambria"/>
          <w:color w:val="000000"/>
          <w:sz w:val="20"/>
          <w:szCs w:val="20"/>
        </w:rPr>
        <w:t xml:space="preserve"> IACHR finds that the</w:t>
      </w:r>
      <w:r w:rsidR="00103DBC" w:rsidRPr="00B41E87">
        <w:rPr>
          <w:rFonts w:asciiTheme="majorHAnsi" w:hAnsiTheme="majorHAnsi" w:cs="Cambria"/>
          <w:color w:val="000000"/>
          <w:sz w:val="20"/>
          <w:szCs w:val="20"/>
        </w:rPr>
        <w:t xml:space="preserve"> severity of the suffering that would be imposed under such circumstances could amount to </w:t>
      </w:r>
      <w:r w:rsidRPr="00B41E87">
        <w:rPr>
          <w:rFonts w:asciiTheme="majorHAnsi" w:hAnsiTheme="majorHAnsi" w:cs="Cambria"/>
          <w:color w:val="000000"/>
          <w:sz w:val="20"/>
          <w:szCs w:val="20"/>
        </w:rPr>
        <w:t xml:space="preserve">torture.  </w:t>
      </w:r>
    </w:p>
    <w:p w14:paraId="5289C790" w14:textId="77777777" w:rsidR="00370A41" w:rsidRPr="00B41E87" w:rsidRDefault="00370A41" w:rsidP="00370A41">
      <w:pPr>
        <w:pStyle w:val="ListParagraph"/>
        <w:rPr>
          <w:rFonts w:asciiTheme="majorHAnsi" w:hAnsiTheme="majorHAnsi"/>
          <w:sz w:val="20"/>
          <w:szCs w:val="20"/>
        </w:rPr>
      </w:pPr>
    </w:p>
    <w:p w14:paraId="0AB9CB96" w14:textId="152548A4"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The Commission notes that the Missouri Department of Corrections presented another expert opinion challenging, among other issues, the length of </w:t>
      </w:r>
      <w:r w:rsidR="00CA3413" w:rsidRPr="00B41E87">
        <w:rPr>
          <w:rFonts w:asciiTheme="majorHAnsi" w:hAnsiTheme="majorHAnsi" w:cs="Cambria"/>
          <w:color w:val="000000"/>
          <w:sz w:val="20"/>
          <w:szCs w:val="20"/>
        </w:rPr>
        <w:t xml:space="preserve">the </w:t>
      </w:r>
      <w:r w:rsidRPr="00B41E87">
        <w:rPr>
          <w:rFonts w:asciiTheme="majorHAnsi" w:hAnsiTheme="majorHAnsi" w:cs="Cambria"/>
          <w:color w:val="000000"/>
          <w:sz w:val="20"/>
          <w:szCs w:val="20"/>
        </w:rPr>
        <w:t>period of time</w:t>
      </w:r>
      <w:r w:rsidR="00CA3413" w:rsidRPr="00B41E87">
        <w:rPr>
          <w:rFonts w:asciiTheme="majorHAnsi" w:hAnsiTheme="majorHAnsi" w:cs="Cambria"/>
          <w:color w:val="000000"/>
          <w:sz w:val="20"/>
          <w:szCs w:val="20"/>
        </w:rPr>
        <w:t xml:space="preserve"> during which Mr. Bucklew would suffer. </w:t>
      </w:r>
      <w:r w:rsidR="00D80881" w:rsidRPr="00B41E87">
        <w:rPr>
          <w:rFonts w:asciiTheme="majorHAnsi" w:hAnsiTheme="majorHAnsi" w:cs="Cambria"/>
          <w:color w:val="000000"/>
          <w:sz w:val="20"/>
          <w:szCs w:val="20"/>
        </w:rPr>
        <w:t xml:space="preserve">Because the district court ruled in favor of the Department of Corrections at the stage of summary judgment, the factual determinations were not fully litigated. In light of the findings at the stage of summary judgment, both the </w:t>
      </w:r>
      <w:r w:rsidRPr="00B41E87">
        <w:rPr>
          <w:rFonts w:asciiTheme="majorHAnsi" w:hAnsiTheme="majorHAnsi" w:cs="Cambria"/>
          <w:color w:val="000000"/>
          <w:sz w:val="20"/>
          <w:szCs w:val="20"/>
        </w:rPr>
        <w:t xml:space="preserve">district court </w:t>
      </w:r>
      <w:r w:rsidR="00D80881" w:rsidRPr="00B41E87">
        <w:rPr>
          <w:rFonts w:asciiTheme="majorHAnsi" w:hAnsiTheme="majorHAnsi" w:cs="Cambria"/>
          <w:color w:val="000000"/>
          <w:sz w:val="20"/>
          <w:szCs w:val="20"/>
        </w:rPr>
        <w:t xml:space="preserve">and the </w:t>
      </w:r>
      <w:r w:rsidRPr="00B41E87">
        <w:rPr>
          <w:rFonts w:asciiTheme="majorHAnsi" w:hAnsiTheme="majorHAnsi" w:cs="Cambria"/>
          <w:color w:val="000000"/>
          <w:sz w:val="20"/>
          <w:szCs w:val="20"/>
        </w:rPr>
        <w:t>Eight</w:t>
      </w:r>
      <w:r w:rsidR="00CA3413" w:rsidRPr="00B41E87">
        <w:rPr>
          <w:rFonts w:asciiTheme="majorHAnsi" w:hAnsiTheme="majorHAnsi" w:cs="Cambria"/>
          <w:color w:val="000000"/>
          <w:sz w:val="20"/>
          <w:szCs w:val="20"/>
        </w:rPr>
        <w:t>h</w:t>
      </w:r>
      <w:r w:rsidRPr="00B41E87">
        <w:rPr>
          <w:rFonts w:asciiTheme="majorHAnsi" w:hAnsiTheme="majorHAnsi" w:cs="Cambria"/>
          <w:color w:val="000000"/>
          <w:sz w:val="20"/>
          <w:szCs w:val="20"/>
        </w:rPr>
        <w:t xml:space="preserve"> Circuit Court of Appeals </w:t>
      </w:r>
      <w:r w:rsidR="00D80881" w:rsidRPr="00B41E87">
        <w:rPr>
          <w:rFonts w:asciiTheme="majorHAnsi" w:hAnsiTheme="majorHAnsi" w:cs="Cambria"/>
          <w:color w:val="000000"/>
          <w:sz w:val="20"/>
          <w:szCs w:val="20"/>
        </w:rPr>
        <w:t xml:space="preserve">found that Mr. Bucklew’s defense had not sufficiently established </w:t>
      </w:r>
      <w:r w:rsidR="00BE0808" w:rsidRPr="00B41E87">
        <w:rPr>
          <w:rFonts w:asciiTheme="majorHAnsi" w:hAnsiTheme="majorHAnsi" w:cs="Cambria"/>
          <w:color w:val="000000"/>
          <w:sz w:val="20"/>
          <w:szCs w:val="20"/>
        </w:rPr>
        <w:t xml:space="preserve">the risk of needless </w:t>
      </w:r>
      <w:r w:rsidRPr="00B41E87">
        <w:rPr>
          <w:rFonts w:asciiTheme="majorHAnsi" w:hAnsiTheme="majorHAnsi" w:cs="Cambria"/>
          <w:color w:val="000000"/>
          <w:sz w:val="20"/>
          <w:szCs w:val="20"/>
        </w:rPr>
        <w:t xml:space="preserve">suffering </w:t>
      </w:r>
      <w:r w:rsidR="00BE0808" w:rsidRPr="00B41E87">
        <w:rPr>
          <w:rFonts w:asciiTheme="majorHAnsi" w:hAnsiTheme="majorHAnsi" w:cs="Cambria"/>
          <w:color w:val="000000"/>
          <w:sz w:val="20"/>
          <w:szCs w:val="20"/>
        </w:rPr>
        <w:t xml:space="preserve">under the first </w:t>
      </w:r>
      <w:r w:rsidRPr="00B41E87">
        <w:rPr>
          <w:rFonts w:asciiTheme="majorHAnsi" w:hAnsiTheme="majorHAnsi" w:cs="Cambria"/>
          <w:color w:val="000000"/>
          <w:sz w:val="20"/>
          <w:szCs w:val="20"/>
        </w:rPr>
        <w:t xml:space="preserve">requirement </w:t>
      </w:r>
      <w:r w:rsidR="00BE0808" w:rsidRPr="00B41E87">
        <w:rPr>
          <w:rFonts w:asciiTheme="majorHAnsi" w:hAnsiTheme="majorHAnsi" w:cs="Cambria"/>
          <w:color w:val="000000"/>
          <w:sz w:val="20"/>
          <w:szCs w:val="20"/>
        </w:rPr>
        <w:t xml:space="preserve">of </w:t>
      </w:r>
      <w:r w:rsidRPr="00B41E87">
        <w:rPr>
          <w:rFonts w:asciiTheme="majorHAnsi" w:hAnsiTheme="majorHAnsi" w:cs="Cambria"/>
          <w:i/>
          <w:color w:val="000000"/>
          <w:sz w:val="20"/>
          <w:szCs w:val="20"/>
        </w:rPr>
        <w:t>Glossip v. Gloss</w:t>
      </w:r>
      <w:r w:rsidRPr="00B41E87">
        <w:rPr>
          <w:rFonts w:asciiTheme="majorHAnsi" w:hAnsiTheme="majorHAnsi" w:cs="Cambria"/>
          <w:color w:val="000000"/>
          <w:sz w:val="20"/>
          <w:szCs w:val="20"/>
        </w:rPr>
        <w:t xml:space="preserve">. </w:t>
      </w:r>
      <w:r w:rsidR="00D80881" w:rsidRPr="00B41E87">
        <w:rPr>
          <w:rFonts w:asciiTheme="majorHAnsi" w:hAnsiTheme="majorHAnsi" w:cs="Cambria"/>
          <w:color w:val="000000"/>
          <w:sz w:val="20"/>
          <w:szCs w:val="20"/>
        </w:rPr>
        <w:t xml:space="preserve">The </w:t>
      </w:r>
      <w:r w:rsidR="00DF7771" w:rsidRPr="00B41E87">
        <w:rPr>
          <w:rFonts w:asciiTheme="majorHAnsi" w:hAnsiTheme="majorHAnsi" w:cs="Cambria"/>
          <w:color w:val="000000"/>
          <w:sz w:val="20"/>
          <w:szCs w:val="20"/>
        </w:rPr>
        <w:t xml:space="preserve">decisions </w:t>
      </w:r>
      <w:r w:rsidR="00D80881" w:rsidRPr="00B41E87">
        <w:rPr>
          <w:rFonts w:asciiTheme="majorHAnsi" w:hAnsiTheme="majorHAnsi" w:cs="Cambria"/>
          <w:color w:val="000000"/>
          <w:sz w:val="20"/>
          <w:szCs w:val="20"/>
        </w:rPr>
        <w:t xml:space="preserve">of </w:t>
      </w:r>
      <w:r w:rsidRPr="00B41E87">
        <w:rPr>
          <w:rFonts w:asciiTheme="majorHAnsi" w:hAnsiTheme="majorHAnsi" w:cs="Cambria"/>
          <w:color w:val="000000"/>
          <w:sz w:val="20"/>
          <w:szCs w:val="20"/>
        </w:rPr>
        <w:t>June 15, 2017 and March 6, 2018</w:t>
      </w:r>
      <w:r w:rsidR="00D80881" w:rsidRPr="00B41E87">
        <w:rPr>
          <w:rFonts w:asciiTheme="majorHAnsi" w:hAnsiTheme="majorHAnsi" w:cs="Cambria"/>
          <w:color w:val="000000"/>
          <w:sz w:val="20"/>
          <w:szCs w:val="20"/>
        </w:rPr>
        <w:t xml:space="preserve"> indicate that the courts ruled in favor of summary dismissal of the claims without a full trial to explore and resolve </w:t>
      </w:r>
      <w:r w:rsidRPr="00B41E87">
        <w:rPr>
          <w:rFonts w:asciiTheme="majorHAnsi" w:hAnsiTheme="majorHAnsi" w:cs="Cambria"/>
          <w:color w:val="000000"/>
          <w:sz w:val="20"/>
          <w:szCs w:val="20"/>
        </w:rPr>
        <w:t xml:space="preserve">these factual disputes, taking into account that, in any case, Mr. Bucklew failed to </w:t>
      </w:r>
      <w:r w:rsidR="00D80881" w:rsidRPr="00B41E87">
        <w:rPr>
          <w:rFonts w:asciiTheme="majorHAnsi" w:hAnsiTheme="majorHAnsi" w:cs="Cambria"/>
          <w:color w:val="000000"/>
          <w:sz w:val="20"/>
          <w:szCs w:val="20"/>
        </w:rPr>
        <w:t xml:space="preserve">demonstrate the existence of </w:t>
      </w:r>
      <w:r w:rsidRPr="00B41E87">
        <w:rPr>
          <w:rFonts w:asciiTheme="majorHAnsi" w:hAnsiTheme="majorHAnsi" w:cs="Cambria"/>
          <w:color w:val="000000"/>
          <w:sz w:val="20"/>
          <w:szCs w:val="20"/>
        </w:rPr>
        <w:t xml:space="preserve">an alternative that would significantly reduce the level of pain. </w:t>
      </w:r>
    </w:p>
    <w:p w14:paraId="14C3FF07"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mbria"/>
          <w:b/>
          <w:color w:val="000000"/>
          <w:sz w:val="20"/>
          <w:szCs w:val="20"/>
        </w:rPr>
      </w:pPr>
    </w:p>
    <w:p w14:paraId="3E1B7899" w14:textId="652B99B0"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The Commission highlights that the </w:t>
      </w:r>
      <w:r w:rsidR="00B86846" w:rsidRPr="00B41E87">
        <w:rPr>
          <w:rFonts w:asciiTheme="majorHAnsi" w:hAnsiTheme="majorHAnsi" w:cs="Cambria"/>
          <w:color w:val="000000"/>
          <w:sz w:val="20"/>
          <w:szCs w:val="20"/>
        </w:rPr>
        <w:t xml:space="preserve">relevant question under the American Declaration is not </w:t>
      </w:r>
      <w:r w:rsidR="00D80881" w:rsidRPr="00B41E87">
        <w:rPr>
          <w:rFonts w:asciiTheme="majorHAnsi" w:hAnsiTheme="majorHAnsi" w:cs="Cambria"/>
          <w:color w:val="000000"/>
          <w:sz w:val="20"/>
          <w:szCs w:val="20"/>
        </w:rPr>
        <w:t>the relative merits of</w:t>
      </w:r>
      <w:r w:rsidR="00B86846"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 xml:space="preserve">lethal injection </w:t>
      </w:r>
      <w:r w:rsidR="00D80881" w:rsidRPr="00B41E87">
        <w:rPr>
          <w:rFonts w:asciiTheme="majorHAnsi" w:hAnsiTheme="majorHAnsi" w:cs="Cambria"/>
          <w:color w:val="000000"/>
          <w:sz w:val="20"/>
          <w:szCs w:val="20"/>
        </w:rPr>
        <w:t xml:space="preserve">versus </w:t>
      </w:r>
      <w:r w:rsidRPr="00B41E87">
        <w:rPr>
          <w:rFonts w:asciiTheme="majorHAnsi" w:hAnsiTheme="majorHAnsi" w:cs="Cambria"/>
          <w:color w:val="000000"/>
          <w:sz w:val="20"/>
          <w:szCs w:val="20"/>
        </w:rPr>
        <w:t>“nitrogen hypoxia”</w:t>
      </w:r>
      <w:r w:rsidR="00B86846" w:rsidRPr="00B41E87">
        <w:rPr>
          <w:rFonts w:asciiTheme="majorHAnsi" w:hAnsiTheme="majorHAnsi" w:cs="Cambria"/>
          <w:color w:val="000000"/>
          <w:sz w:val="20"/>
          <w:szCs w:val="20"/>
        </w:rPr>
        <w:t xml:space="preserve"> but whether the method </w:t>
      </w:r>
      <w:r w:rsidR="00BE0808" w:rsidRPr="00B41E87">
        <w:rPr>
          <w:rFonts w:asciiTheme="majorHAnsi" w:hAnsiTheme="majorHAnsi" w:cs="Cambria"/>
          <w:color w:val="000000"/>
          <w:sz w:val="20"/>
          <w:szCs w:val="20"/>
        </w:rPr>
        <w:t xml:space="preserve">planned to execute </w:t>
      </w:r>
      <w:r w:rsidR="00B86846" w:rsidRPr="00B41E87">
        <w:rPr>
          <w:rFonts w:asciiTheme="majorHAnsi" w:hAnsiTheme="majorHAnsi" w:cs="Cambria"/>
          <w:color w:val="000000"/>
          <w:sz w:val="20"/>
          <w:szCs w:val="20"/>
        </w:rPr>
        <w:t xml:space="preserve">Mr. Bucklew </w:t>
      </w:r>
      <w:r w:rsidR="00BE0808" w:rsidRPr="00B41E87">
        <w:rPr>
          <w:rFonts w:asciiTheme="majorHAnsi" w:hAnsiTheme="majorHAnsi" w:cs="Cambria"/>
          <w:color w:val="000000"/>
          <w:sz w:val="20"/>
          <w:szCs w:val="20"/>
        </w:rPr>
        <w:t xml:space="preserve">will </w:t>
      </w:r>
      <w:r w:rsidR="00B86846" w:rsidRPr="00B41E87">
        <w:rPr>
          <w:rFonts w:asciiTheme="majorHAnsi" w:hAnsiTheme="majorHAnsi" w:cs="Cambria"/>
          <w:color w:val="000000"/>
          <w:sz w:val="20"/>
          <w:szCs w:val="20"/>
        </w:rPr>
        <w:t>cause cruel and inhuman punishment or torture. Consequently, the</w:t>
      </w:r>
      <w:r w:rsidRPr="00B41E87">
        <w:rPr>
          <w:rFonts w:asciiTheme="majorHAnsi" w:hAnsiTheme="majorHAnsi" w:cs="Cambria"/>
          <w:color w:val="000000"/>
          <w:sz w:val="20"/>
          <w:szCs w:val="20"/>
        </w:rPr>
        <w:t xml:space="preserve"> main issue </w:t>
      </w:r>
      <w:r w:rsidR="00B86846" w:rsidRPr="00B41E87">
        <w:rPr>
          <w:rFonts w:asciiTheme="majorHAnsi" w:hAnsiTheme="majorHAnsi" w:cs="Cambria"/>
          <w:color w:val="000000"/>
          <w:sz w:val="20"/>
          <w:szCs w:val="20"/>
        </w:rPr>
        <w:t xml:space="preserve">for </w:t>
      </w:r>
      <w:r w:rsidRPr="00B41E87">
        <w:rPr>
          <w:rFonts w:asciiTheme="majorHAnsi" w:hAnsiTheme="majorHAnsi" w:cs="Cambria"/>
          <w:color w:val="000000"/>
          <w:sz w:val="20"/>
          <w:szCs w:val="20"/>
        </w:rPr>
        <w:t xml:space="preserve">analysis </w:t>
      </w:r>
      <w:r w:rsidR="00B86846" w:rsidRPr="00B41E87">
        <w:rPr>
          <w:rFonts w:asciiTheme="majorHAnsi" w:hAnsiTheme="majorHAnsi" w:cs="Cambria"/>
          <w:color w:val="000000"/>
          <w:sz w:val="20"/>
          <w:szCs w:val="20"/>
        </w:rPr>
        <w:t xml:space="preserve">in light of the </w:t>
      </w:r>
      <w:r w:rsidRPr="00B41E87">
        <w:rPr>
          <w:rFonts w:asciiTheme="majorHAnsi" w:hAnsiTheme="majorHAnsi" w:cs="Cambria"/>
          <w:color w:val="000000"/>
          <w:sz w:val="20"/>
          <w:szCs w:val="20"/>
        </w:rPr>
        <w:t xml:space="preserve">prohibition of </w:t>
      </w:r>
      <w:r w:rsidR="00B86846" w:rsidRPr="00B41E87">
        <w:rPr>
          <w:rFonts w:asciiTheme="majorHAnsi" w:hAnsiTheme="majorHAnsi" w:cs="Cambria"/>
          <w:color w:val="000000"/>
          <w:sz w:val="20"/>
          <w:szCs w:val="20"/>
        </w:rPr>
        <w:t xml:space="preserve">cruel </w:t>
      </w:r>
      <w:r w:rsidRPr="00B41E87">
        <w:rPr>
          <w:rFonts w:asciiTheme="majorHAnsi" w:hAnsiTheme="majorHAnsi" w:cs="Cambria"/>
          <w:color w:val="000000"/>
          <w:sz w:val="20"/>
          <w:szCs w:val="20"/>
        </w:rPr>
        <w:t>and inhuman punishment</w:t>
      </w:r>
      <w:r w:rsidR="00B86846" w:rsidRPr="00B41E87">
        <w:rPr>
          <w:rFonts w:asciiTheme="majorHAnsi" w:hAnsiTheme="majorHAnsi" w:cs="Cambria"/>
          <w:color w:val="000000"/>
          <w:sz w:val="20"/>
          <w:szCs w:val="20"/>
        </w:rPr>
        <w:t xml:space="preserve"> and torture </w:t>
      </w:r>
      <w:r w:rsidRPr="00B41E87">
        <w:rPr>
          <w:rFonts w:asciiTheme="majorHAnsi" w:hAnsiTheme="majorHAnsi" w:cs="Cambria"/>
          <w:color w:val="000000"/>
          <w:sz w:val="20"/>
          <w:szCs w:val="20"/>
        </w:rPr>
        <w:t xml:space="preserve">is precisely the “factual disputes” with regard to the level and likelihood of suffering that execution </w:t>
      </w:r>
      <w:r w:rsidR="00B86846" w:rsidRPr="00B41E87">
        <w:rPr>
          <w:rFonts w:asciiTheme="majorHAnsi" w:hAnsiTheme="majorHAnsi" w:cs="Cambria"/>
          <w:color w:val="000000"/>
          <w:sz w:val="20"/>
          <w:szCs w:val="20"/>
        </w:rPr>
        <w:t xml:space="preserve">by means of </w:t>
      </w:r>
      <w:r w:rsidRPr="00B41E87">
        <w:rPr>
          <w:rFonts w:asciiTheme="majorHAnsi" w:hAnsiTheme="majorHAnsi" w:cs="Cambria"/>
          <w:color w:val="000000"/>
          <w:sz w:val="20"/>
          <w:szCs w:val="20"/>
        </w:rPr>
        <w:t xml:space="preserve">lethal injection </w:t>
      </w:r>
      <w:r w:rsidR="00141CA0" w:rsidRPr="00B41E87">
        <w:rPr>
          <w:rFonts w:asciiTheme="majorHAnsi" w:hAnsiTheme="majorHAnsi" w:cs="Cambria"/>
          <w:color w:val="000000"/>
          <w:sz w:val="20"/>
          <w:szCs w:val="20"/>
        </w:rPr>
        <w:t>w</w:t>
      </w:r>
      <w:r w:rsidRPr="00B41E87">
        <w:rPr>
          <w:rFonts w:asciiTheme="majorHAnsi" w:hAnsiTheme="majorHAnsi" w:cs="Cambria"/>
          <w:color w:val="000000"/>
          <w:sz w:val="20"/>
          <w:szCs w:val="20"/>
        </w:rPr>
        <w:t>ould cause to Mr. Bucklew. The IACHR reiterates that</w:t>
      </w:r>
      <w:r w:rsidR="00BE0808"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under peremptory norms of international human rights </w:t>
      </w:r>
      <w:r w:rsidR="00141CA0" w:rsidRPr="00B41E87">
        <w:rPr>
          <w:rFonts w:asciiTheme="majorHAnsi" w:hAnsiTheme="majorHAnsi" w:cs="Cambria"/>
          <w:color w:val="000000"/>
          <w:sz w:val="20"/>
          <w:szCs w:val="20"/>
        </w:rPr>
        <w:t xml:space="preserve">law and as reflected in the </w:t>
      </w:r>
      <w:r w:rsidRPr="00B41E87">
        <w:rPr>
          <w:rFonts w:asciiTheme="majorHAnsi" w:hAnsiTheme="majorHAnsi" w:cs="Cambria"/>
          <w:color w:val="000000"/>
          <w:sz w:val="20"/>
          <w:szCs w:val="20"/>
        </w:rPr>
        <w:t xml:space="preserve">American Declaration, the United States has the duty to abstain from carrying out an execution when there is </w:t>
      </w:r>
      <w:r w:rsidRPr="00B41E87">
        <w:rPr>
          <w:rFonts w:asciiTheme="majorHAnsi" w:hAnsiTheme="majorHAnsi" w:cs="Cambria"/>
          <w:color w:val="000000"/>
          <w:sz w:val="20"/>
          <w:szCs w:val="20"/>
        </w:rPr>
        <w:lastRenderedPageBreak/>
        <w:t xml:space="preserve">significant risk that it </w:t>
      </w:r>
      <w:r w:rsidR="00141CA0" w:rsidRPr="00B41E87">
        <w:rPr>
          <w:rFonts w:asciiTheme="majorHAnsi" w:hAnsiTheme="majorHAnsi" w:cs="Cambria"/>
          <w:color w:val="000000"/>
          <w:sz w:val="20"/>
          <w:szCs w:val="20"/>
        </w:rPr>
        <w:t>w</w:t>
      </w:r>
      <w:r w:rsidRPr="00B41E87">
        <w:rPr>
          <w:rFonts w:asciiTheme="majorHAnsi" w:hAnsiTheme="majorHAnsi" w:cs="Cambria"/>
          <w:color w:val="000000"/>
          <w:sz w:val="20"/>
          <w:szCs w:val="20"/>
        </w:rPr>
        <w:t>ould breach the prohibition of cruel and inhuman treatment</w:t>
      </w:r>
      <w:r w:rsidR="00141CA0" w:rsidRPr="00B41E87">
        <w:rPr>
          <w:rFonts w:asciiTheme="majorHAnsi" w:hAnsiTheme="majorHAnsi" w:cs="Cambria"/>
          <w:color w:val="000000"/>
          <w:sz w:val="20"/>
          <w:szCs w:val="20"/>
        </w:rPr>
        <w:t xml:space="preserve"> or torture.  Compliance with this duty</w:t>
      </w:r>
      <w:r w:rsidRPr="00B41E87">
        <w:rPr>
          <w:rFonts w:asciiTheme="majorHAnsi" w:hAnsiTheme="majorHAnsi" w:cs="Cambria"/>
          <w:color w:val="000000"/>
          <w:sz w:val="20"/>
          <w:szCs w:val="20"/>
        </w:rPr>
        <w:t xml:space="preserve"> cannot be conditioned </w:t>
      </w:r>
      <w:r w:rsidR="00141CA0" w:rsidRPr="00B41E87">
        <w:rPr>
          <w:rFonts w:asciiTheme="majorHAnsi" w:hAnsiTheme="majorHAnsi" w:cs="Cambria"/>
          <w:color w:val="000000"/>
          <w:sz w:val="20"/>
          <w:szCs w:val="20"/>
        </w:rPr>
        <w:t>on</w:t>
      </w:r>
      <w:r w:rsidRPr="00B41E87">
        <w:rPr>
          <w:rFonts w:asciiTheme="majorHAnsi" w:hAnsiTheme="majorHAnsi" w:cs="Cambria"/>
          <w:color w:val="000000"/>
          <w:sz w:val="20"/>
          <w:szCs w:val="20"/>
        </w:rPr>
        <w:t xml:space="preserve"> the existence of “alternatives</w:t>
      </w:r>
      <w:r w:rsidR="00B86846" w:rsidRPr="00B41E87">
        <w:rPr>
          <w:rFonts w:asciiTheme="majorHAnsi" w:hAnsiTheme="majorHAnsi" w:cs="Cambria"/>
          <w:color w:val="000000"/>
          <w:sz w:val="20"/>
          <w:szCs w:val="20"/>
        </w:rPr>
        <w:t>.</w:t>
      </w:r>
      <w:r w:rsidRPr="00B41E87">
        <w:rPr>
          <w:rFonts w:asciiTheme="majorHAnsi" w:hAnsiTheme="majorHAnsi" w:cs="Cambria"/>
          <w:color w:val="000000"/>
          <w:sz w:val="20"/>
          <w:szCs w:val="20"/>
        </w:rPr>
        <w:t>”</w:t>
      </w:r>
      <w:r w:rsidR="00340A6A"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 xml:space="preserve"> </w:t>
      </w:r>
    </w:p>
    <w:p w14:paraId="3EEE633E"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color w:val="000000"/>
          <w:sz w:val="20"/>
          <w:szCs w:val="20"/>
        </w:rPr>
      </w:pPr>
    </w:p>
    <w:p w14:paraId="54B3DC1D" w14:textId="77777777" w:rsidR="00340A6A" w:rsidRPr="00B41E87" w:rsidRDefault="00370A41" w:rsidP="00BE08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In this case, a very concrete risk of extreme suffering was presented to </w:t>
      </w:r>
      <w:r w:rsidR="00CA3413" w:rsidRPr="00B41E87">
        <w:rPr>
          <w:rFonts w:asciiTheme="majorHAnsi" w:hAnsiTheme="majorHAnsi" w:cs="Cambria"/>
          <w:color w:val="000000"/>
          <w:sz w:val="20"/>
          <w:szCs w:val="20"/>
        </w:rPr>
        <w:t xml:space="preserve">the </w:t>
      </w:r>
      <w:r w:rsidRPr="00B41E87">
        <w:rPr>
          <w:rFonts w:asciiTheme="majorHAnsi" w:hAnsiTheme="majorHAnsi" w:cs="Cambria"/>
          <w:color w:val="000000"/>
          <w:sz w:val="20"/>
          <w:szCs w:val="20"/>
        </w:rPr>
        <w:t xml:space="preserve">courts by means of allegations and an expert opinion on the particular situation of Mr. Bucklew. Under international law, judicial authorities had the obligation to respond with due diligence to </w:t>
      </w:r>
      <w:r w:rsidR="00CA3413" w:rsidRPr="00B41E87">
        <w:rPr>
          <w:rFonts w:asciiTheme="majorHAnsi" w:hAnsiTheme="majorHAnsi" w:cs="Cambria"/>
          <w:color w:val="000000"/>
          <w:sz w:val="20"/>
          <w:szCs w:val="20"/>
        </w:rPr>
        <w:t xml:space="preserve">fully consider that </w:t>
      </w:r>
      <w:r w:rsidRPr="00B41E87">
        <w:rPr>
          <w:rFonts w:asciiTheme="majorHAnsi" w:hAnsiTheme="majorHAnsi" w:cs="Cambria"/>
          <w:color w:val="000000"/>
          <w:sz w:val="20"/>
          <w:szCs w:val="20"/>
        </w:rPr>
        <w:t xml:space="preserve">risk before authorizing that execution </w:t>
      </w:r>
      <w:r w:rsidR="00CA3413" w:rsidRPr="00B41E87">
        <w:rPr>
          <w:rFonts w:asciiTheme="majorHAnsi" w:hAnsiTheme="majorHAnsi" w:cs="Cambria"/>
          <w:color w:val="000000"/>
          <w:sz w:val="20"/>
          <w:szCs w:val="20"/>
        </w:rPr>
        <w:t>could proceed</w:t>
      </w:r>
      <w:r w:rsidRPr="00B41E87">
        <w:rPr>
          <w:rFonts w:asciiTheme="majorHAnsi" w:hAnsiTheme="majorHAnsi" w:cs="Cambria"/>
          <w:color w:val="000000"/>
          <w:sz w:val="20"/>
          <w:szCs w:val="20"/>
        </w:rPr>
        <w:t xml:space="preserve">. </w:t>
      </w:r>
      <w:r w:rsidR="00BE0808" w:rsidRPr="00B41E87">
        <w:rPr>
          <w:rFonts w:asciiTheme="majorHAnsi" w:hAnsiTheme="majorHAnsi" w:cs="Cambria"/>
          <w:color w:val="000000"/>
          <w:sz w:val="20"/>
          <w:szCs w:val="20"/>
        </w:rPr>
        <w:t xml:space="preserve">The district court identified the existence of factual disputes regarding the extent to which and length of time during which Mr. Bucklew would be aware of choking and being unable to breathe and that those disputes could not be resolved </w:t>
      </w:r>
      <w:r w:rsidR="00B36B27" w:rsidRPr="00B41E87">
        <w:rPr>
          <w:rFonts w:asciiTheme="majorHAnsi" w:hAnsiTheme="majorHAnsi" w:cs="Cambria"/>
          <w:color w:val="000000"/>
          <w:sz w:val="20"/>
          <w:szCs w:val="20"/>
        </w:rPr>
        <w:t xml:space="preserve">on summary judgment but only through a trial. For purposes of analysis, the district court </w:t>
      </w:r>
      <w:r w:rsidR="00B36B27" w:rsidRPr="00B41E87">
        <w:rPr>
          <w:rFonts w:asciiTheme="majorHAnsi" w:hAnsiTheme="majorHAnsi" w:cs="Calibri"/>
          <w:sz w:val="20"/>
          <w:szCs w:val="20"/>
        </w:rPr>
        <w:t xml:space="preserve">“presume[d] that there is a substantial risk that [Mr. Bucklew] will experience choking and an inability to breathe for up to four minutes.” </w:t>
      </w:r>
      <w:r w:rsidR="00DF7771" w:rsidRPr="00B41E87">
        <w:rPr>
          <w:rFonts w:asciiTheme="majorHAnsi" w:hAnsiTheme="majorHAnsi" w:cs="Calibri"/>
          <w:sz w:val="20"/>
          <w:szCs w:val="20"/>
        </w:rPr>
        <w:t>T</w:t>
      </w:r>
      <w:r w:rsidR="00B36B27" w:rsidRPr="00B41E87">
        <w:rPr>
          <w:rFonts w:asciiTheme="majorHAnsi" w:hAnsiTheme="majorHAnsi" w:cs="Calibri"/>
          <w:sz w:val="20"/>
          <w:szCs w:val="20"/>
        </w:rPr>
        <w:t>he domestic courts, while</w:t>
      </w:r>
      <w:r w:rsidR="00CA3413"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accepting the existence of a specific risk in the particular situation of Mr. Bucklew</w:t>
      </w:r>
      <w:r w:rsidR="00B86846" w:rsidRPr="00B41E87">
        <w:rPr>
          <w:rFonts w:asciiTheme="majorHAnsi" w:hAnsiTheme="majorHAnsi" w:cs="Cambria"/>
          <w:color w:val="000000"/>
          <w:sz w:val="20"/>
          <w:szCs w:val="20"/>
        </w:rPr>
        <w:t>,</w:t>
      </w:r>
      <w:r w:rsidRPr="00B41E87">
        <w:rPr>
          <w:rFonts w:asciiTheme="majorHAnsi" w:hAnsiTheme="majorHAnsi" w:cs="Cambria"/>
          <w:color w:val="000000"/>
          <w:sz w:val="20"/>
          <w:szCs w:val="20"/>
        </w:rPr>
        <w:t xml:space="preserve"> and expressly recognizing </w:t>
      </w:r>
      <w:r w:rsidR="00CA3413" w:rsidRPr="00B41E87">
        <w:rPr>
          <w:rFonts w:asciiTheme="majorHAnsi" w:hAnsiTheme="majorHAnsi" w:cs="Cambria"/>
          <w:color w:val="000000"/>
          <w:sz w:val="20"/>
          <w:szCs w:val="20"/>
        </w:rPr>
        <w:t xml:space="preserve">that </w:t>
      </w:r>
      <w:r w:rsidR="00B86846" w:rsidRPr="00B41E87">
        <w:rPr>
          <w:rFonts w:asciiTheme="majorHAnsi" w:hAnsiTheme="majorHAnsi" w:cs="Cambria"/>
          <w:color w:val="000000"/>
          <w:sz w:val="20"/>
          <w:szCs w:val="20"/>
        </w:rPr>
        <w:t xml:space="preserve">key </w:t>
      </w:r>
      <w:r w:rsidR="00CA3413" w:rsidRPr="00B41E87">
        <w:rPr>
          <w:rFonts w:asciiTheme="majorHAnsi" w:hAnsiTheme="majorHAnsi" w:cs="Cambria"/>
          <w:color w:val="000000"/>
          <w:sz w:val="20"/>
          <w:szCs w:val="20"/>
        </w:rPr>
        <w:t xml:space="preserve">factual questions could not be </w:t>
      </w:r>
      <w:r w:rsidR="00B86846" w:rsidRPr="00B41E87">
        <w:rPr>
          <w:rFonts w:asciiTheme="majorHAnsi" w:hAnsiTheme="majorHAnsi" w:cs="Cambria"/>
          <w:color w:val="000000"/>
          <w:sz w:val="20"/>
          <w:szCs w:val="20"/>
        </w:rPr>
        <w:t xml:space="preserve">fully </w:t>
      </w:r>
      <w:r w:rsidR="00CA3413" w:rsidRPr="00B41E87">
        <w:rPr>
          <w:rFonts w:asciiTheme="majorHAnsi" w:hAnsiTheme="majorHAnsi" w:cs="Cambria"/>
          <w:color w:val="000000"/>
          <w:sz w:val="20"/>
          <w:szCs w:val="20"/>
        </w:rPr>
        <w:t xml:space="preserve">resolved by </w:t>
      </w:r>
      <w:r w:rsidRPr="00B41E87">
        <w:rPr>
          <w:rFonts w:asciiTheme="majorHAnsi" w:hAnsiTheme="majorHAnsi" w:cs="Cambria"/>
          <w:color w:val="000000"/>
          <w:sz w:val="20"/>
          <w:szCs w:val="20"/>
        </w:rPr>
        <w:t>means of a summary judgment</w:t>
      </w:r>
      <w:r w:rsidR="00B36B27"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 xml:space="preserve">decided to proceed with the execution </w:t>
      </w:r>
      <w:r w:rsidR="00B36B27" w:rsidRPr="00B41E87">
        <w:rPr>
          <w:rFonts w:asciiTheme="majorHAnsi" w:hAnsiTheme="majorHAnsi" w:cs="Cambria"/>
          <w:color w:val="000000"/>
          <w:sz w:val="20"/>
          <w:szCs w:val="20"/>
        </w:rPr>
        <w:t xml:space="preserve">because Mr. </w:t>
      </w:r>
      <w:r w:rsidR="00CA3413" w:rsidRPr="00B41E87">
        <w:rPr>
          <w:rFonts w:asciiTheme="majorHAnsi" w:hAnsiTheme="majorHAnsi" w:cs="Cambria"/>
          <w:color w:val="000000"/>
          <w:sz w:val="20"/>
          <w:szCs w:val="20"/>
        </w:rPr>
        <w:t>Bucklew’s defense had failed to establish the existence of a</w:t>
      </w:r>
      <w:r w:rsidR="00DF7771" w:rsidRPr="00B41E87">
        <w:rPr>
          <w:rFonts w:asciiTheme="majorHAnsi" w:hAnsiTheme="majorHAnsi" w:cs="Cambria"/>
          <w:color w:val="000000"/>
          <w:sz w:val="20"/>
          <w:szCs w:val="20"/>
        </w:rPr>
        <w:t>n</w:t>
      </w:r>
      <w:r w:rsidR="00B36B27" w:rsidRPr="00B41E87">
        <w:rPr>
          <w:rFonts w:asciiTheme="majorHAnsi" w:hAnsiTheme="majorHAnsi" w:cs="Cambria"/>
          <w:color w:val="000000"/>
          <w:sz w:val="20"/>
          <w:szCs w:val="20"/>
        </w:rPr>
        <w:t xml:space="preserve"> </w:t>
      </w:r>
      <w:r w:rsidRPr="00B41E87">
        <w:rPr>
          <w:rFonts w:asciiTheme="majorHAnsi" w:hAnsiTheme="majorHAnsi" w:cs="Cambria"/>
          <w:color w:val="000000"/>
          <w:sz w:val="20"/>
          <w:szCs w:val="20"/>
        </w:rPr>
        <w:t>alternative</w:t>
      </w:r>
      <w:r w:rsidR="00B36B27" w:rsidRPr="00B41E87">
        <w:rPr>
          <w:rFonts w:asciiTheme="majorHAnsi" w:hAnsiTheme="majorHAnsi" w:cs="Cambria"/>
          <w:color w:val="000000"/>
          <w:sz w:val="20"/>
          <w:szCs w:val="20"/>
        </w:rPr>
        <w:t xml:space="preserve"> method</w:t>
      </w:r>
      <w:r w:rsidR="00DF7771" w:rsidRPr="00B41E87">
        <w:rPr>
          <w:rFonts w:asciiTheme="majorHAnsi" w:hAnsiTheme="majorHAnsi" w:cs="Cambria"/>
          <w:color w:val="000000"/>
          <w:sz w:val="20"/>
          <w:szCs w:val="20"/>
        </w:rPr>
        <w:t xml:space="preserve"> that would reduce the suffering</w:t>
      </w:r>
      <w:r w:rsidR="00CA3413" w:rsidRPr="00B41E87">
        <w:rPr>
          <w:rFonts w:asciiTheme="majorHAnsi" w:hAnsiTheme="majorHAnsi" w:cs="Cambria"/>
          <w:color w:val="000000"/>
          <w:sz w:val="20"/>
          <w:szCs w:val="20"/>
        </w:rPr>
        <w:t xml:space="preserve">. </w:t>
      </w:r>
    </w:p>
    <w:p w14:paraId="6D1972A8" w14:textId="77777777" w:rsidR="00340A6A" w:rsidRPr="00B41E87" w:rsidRDefault="00340A6A" w:rsidP="00340A6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mbria"/>
          <w:b/>
          <w:color w:val="000000"/>
          <w:sz w:val="20"/>
          <w:szCs w:val="20"/>
        </w:rPr>
      </w:pPr>
    </w:p>
    <w:p w14:paraId="5A621D4F" w14:textId="6A8568BD" w:rsidR="00370A41" w:rsidRPr="00B41E87" w:rsidRDefault="00B86846" w:rsidP="00BE08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The Commission considers that the summary dismissal of such claims demonstrates a </w:t>
      </w:r>
      <w:r w:rsidR="00CA3413" w:rsidRPr="00B41E87">
        <w:rPr>
          <w:rFonts w:asciiTheme="majorHAnsi" w:hAnsiTheme="majorHAnsi" w:cs="Cambria"/>
          <w:color w:val="000000"/>
          <w:sz w:val="20"/>
          <w:szCs w:val="20"/>
        </w:rPr>
        <w:t xml:space="preserve">failure to act with due diligence to fully examine </w:t>
      </w:r>
      <w:r w:rsidR="00B36B27" w:rsidRPr="00B41E87">
        <w:rPr>
          <w:rFonts w:asciiTheme="majorHAnsi" w:hAnsiTheme="majorHAnsi" w:cs="Cambria"/>
          <w:color w:val="000000"/>
          <w:sz w:val="20"/>
          <w:szCs w:val="20"/>
        </w:rPr>
        <w:t xml:space="preserve">them </w:t>
      </w:r>
      <w:r w:rsidR="00CA3413" w:rsidRPr="00B41E87">
        <w:rPr>
          <w:rFonts w:asciiTheme="majorHAnsi" w:hAnsiTheme="majorHAnsi" w:cs="Cambria"/>
          <w:color w:val="000000"/>
          <w:sz w:val="20"/>
          <w:szCs w:val="20"/>
        </w:rPr>
        <w:t>in light of</w:t>
      </w:r>
      <w:r w:rsidR="00370A41" w:rsidRPr="00B41E87">
        <w:rPr>
          <w:rFonts w:asciiTheme="majorHAnsi" w:hAnsiTheme="majorHAnsi" w:cs="Cambria"/>
          <w:color w:val="000000"/>
          <w:sz w:val="20"/>
          <w:szCs w:val="20"/>
        </w:rPr>
        <w:t xml:space="preserve"> the prohibition of torture and cruel and inhuman punishment. </w:t>
      </w:r>
      <w:r w:rsidR="00340A6A" w:rsidRPr="00B41E87">
        <w:rPr>
          <w:rFonts w:asciiTheme="majorHAnsi" w:hAnsiTheme="majorHAnsi" w:cs="Cambria"/>
          <w:color w:val="000000"/>
          <w:sz w:val="20"/>
          <w:szCs w:val="20"/>
        </w:rPr>
        <w:t xml:space="preserve"> The Commission also observes that the standards applied effectively condition the granting of relief from a situation of cruel and inhuman treatment on a showing by the person concerned of a feasible alternative that will cause less suffering. </w:t>
      </w:r>
      <w:r w:rsidR="00A13317" w:rsidRPr="00B41E87">
        <w:rPr>
          <w:rFonts w:asciiTheme="majorHAnsi" w:hAnsiTheme="majorHAnsi" w:cs="Cambria"/>
          <w:color w:val="000000"/>
          <w:sz w:val="20"/>
          <w:szCs w:val="20"/>
        </w:rPr>
        <w:t xml:space="preserve">What is required is a process that fully explores the possibility of the risk of cruel and inhuman suffering.  Both the conditionality and the placing of the burden of proof on the affected person are inconsistent with the guarantees required from an OAS Member State.  </w:t>
      </w:r>
    </w:p>
    <w:p w14:paraId="010B4D19"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mbria"/>
          <w:b/>
          <w:color w:val="000000"/>
          <w:sz w:val="20"/>
          <w:szCs w:val="20"/>
        </w:rPr>
      </w:pPr>
    </w:p>
    <w:p w14:paraId="2999730D" w14:textId="1741B072"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Cambria"/>
          <w:b/>
          <w:color w:val="000000"/>
          <w:sz w:val="20"/>
          <w:szCs w:val="20"/>
        </w:rPr>
      </w:pPr>
      <w:r w:rsidRPr="00B41E87">
        <w:rPr>
          <w:rFonts w:asciiTheme="majorHAnsi" w:hAnsiTheme="majorHAnsi" w:cs="Cambria"/>
          <w:color w:val="000000"/>
          <w:sz w:val="20"/>
          <w:szCs w:val="20"/>
        </w:rPr>
        <w:t xml:space="preserve">Taking into account the considerations above, the Commission concludes that the United States did not provide Mr. Bucklew with effective access to </w:t>
      </w:r>
      <w:r w:rsidR="00CA3413" w:rsidRPr="00B41E87">
        <w:rPr>
          <w:rFonts w:asciiTheme="majorHAnsi" w:hAnsiTheme="majorHAnsi" w:cs="Cambria"/>
          <w:color w:val="000000"/>
          <w:sz w:val="20"/>
          <w:szCs w:val="20"/>
        </w:rPr>
        <w:t>judicial protection</w:t>
      </w:r>
      <w:r w:rsidRPr="00B41E87">
        <w:rPr>
          <w:rFonts w:asciiTheme="majorHAnsi" w:hAnsiTheme="majorHAnsi" w:cs="Cambria"/>
          <w:color w:val="000000"/>
          <w:sz w:val="20"/>
          <w:szCs w:val="20"/>
        </w:rPr>
        <w:t xml:space="preserve"> with regard to his right to be free from torture and cruel and inhuman punishment in the context of the application of lethal injection as the method of execution. Therefore, the Commission establishes that the State is responsible for the violation of </w:t>
      </w:r>
      <w:r w:rsidR="00CA3413" w:rsidRPr="00B41E87">
        <w:rPr>
          <w:rFonts w:asciiTheme="majorHAnsi" w:hAnsiTheme="majorHAnsi" w:cs="Cambria"/>
          <w:color w:val="000000"/>
          <w:sz w:val="20"/>
          <w:szCs w:val="20"/>
        </w:rPr>
        <w:t>A</w:t>
      </w:r>
      <w:r w:rsidRPr="00B41E87">
        <w:rPr>
          <w:rFonts w:asciiTheme="majorHAnsi" w:hAnsiTheme="majorHAnsi" w:cs="Cambria"/>
          <w:color w:val="000000"/>
          <w:sz w:val="20"/>
          <w:szCs w:val="20"/>
        </w:rPr>
        <w:t xml:space="preserve">rticles XVIII and XXVI of the American Declaration to the detriment of Mr. Bucklew. </w:t>
      </w:r>
    </w:p>
    <w:p w14:paraId="5A5B6D31" w14:textId="77777777" w:rsidR="008C029A" w:rsidRPr="00B41E87" w:rsidRDefault="008C029A" w:rsidP="008C02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Theme="majorHAnsi" w:eastAsia="Calibri" w:hAnsiTheme="majorHAnsi"/>
          <w:b/>
          <w:bCs/>
          <w:sz w:val="20"/>
          <w:szCs w:val="20"/>
          <w:bdr w:val="none" w:sz="0" w:space="0" w:color="auto"/>
        </w:rPr>
      </w:pPr>
      <w:bookmarkStart w:id="65" w:name="_Toc469320060"/>
    </w:p>
    <w:p w14:paraId="7EDF91B0" w14:textId="6E94B7C8" w:rsidR="00370A41" w:rsidRPr="00B41E87" w:rsidRDefault="00370A41" w:rsidP="006961C6">
      <w:pPr>
        <w:pStyle w:val="Heading2"/>
        <w:rPr>
          <w:rFonts w:eastAsia="Calibri"/>
          <w:bdr w:val="none" w:sz="0" w:space="0" w:color="auto"/>
        </w:rPr>
      </w:pPr>
      <w:bookmarkStart w:id="66" w:name="_Toc511310303"/>
      <w:bookmarkStart w:id="67" w:name="_Toc512265316"/>
      <w:r w:rsidRPr="00B41E87">
        <w:rPr>
          <w:rFonts w:eastAsia="Calibri"/>
          <w:bdr w:val="none" w:sz="0" w:space="0" w:color="auto"/>
        </w:rPr>
        <w:t xml:space="preserve">Right of protection against arbitrary arrest, to humane treatment, and not to undergo cruel, </w:t>
      </w:r>
      <w:r w:rsidRPr="00B41E87">
        <w:t>infamous</w:t>
      </w:r>
      <w:r w:rsidRPr="00B41E87">
        <w:rPr>
          <w:rFonts w:eastAsia="Calibri"/>
          <w:bdr w:val="none" w:sz="0" w:space="0" w:color="auto"/>
        </w:rPr>
        <w:t>, or unusual punishment, with respect to the deprivation of liberty on death row</w:t>
      </w:r>
      <w:bookmarkEnd w:id="65"/>
      <w:bookmarkEnd w:id="66"/>
      <w:bookmarkEnd w:id="67"/>
    </w:p>
    <w:p w14:paraId="61E4FBB8" w14:textId="77777777" w:rsidR="00370A41" w:rsidRPr="00B41E87" w:rsidRDefault="00370A41" w:rsidP="00370A41">
      <w:pPr>
        <w:widowControl w:val="0"/>
        <w:tabs>
          <w:tab w:val="left" w:pos="360"/>
        </w:tabs>
        <w:suppressAutoHyphens/>
        <w:jc w:val="both"/>
        <w:rPr>
          <w:rFonts w:asciiTheme="majorHAnsi" w:hAnsiTheme="majorHAnsi"/>
          <w:b/>
          <w:sz w:val="20"/>
          <w:szCs w:val="20"/>
        </w:rPr>
      </w:pPr>
    </w:p>
    <w:p w14:paraId="28999DEF" w14:textId="7CF6475A" w:rsidR="00370A41" w:rsidRPr="00B41E87" w:rsidRDefault="008A6F26" w:rsidP="008A6F26">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20"/>
        <w:jc w:val="both"/>
        <w:rPr>
          <w:rFonts w:asciiTheme="majorHAnsi" w:hAnsiTheme="majorHAnsi"/>
          <w:bCs/>
          <w:sz w:val="20"/>
          <w:szCs w:val="20"/>
        </w:rPr>
      </w:pPr>
      <w:r w:rsidRPr="00B41E87">
        <w:rPr>
          <w:rFonts w:asciiTheme="majorHAnsi" w:hAnsiTheme="majorHAnsi"/>
          <w:sz w:val="20"/>
          <w:szCs w:val="20"/>
        </w:rPr>
        <w:t xml:space="preserve">As indicated above, Article XXVI of the American Declaration establishes that “Every person accused of an offense has the right (…) not to receive cruel, infamous or unusual punishment.” </w:t>
      </w:r>
      <w:r w:rsidR="00370A41" w:rsidRPr="00B41E87">
        <w:rPr>
          <w:rFonts w:asciiTheme="majorHAnsi" w:hAnsiTheme="majorHAnsi"/>
          <w:sz w:val="20"/>
          <w:szCs w:val="20"/>
        </w:rPr>
        <w:t xml:space="preserve"> </w:t>
      </w:r>
    </w:p>
    <w:p w14:paraId="284C965E"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Fonts w:asciiTheme="majorHAnsi" w:hAnsiTheme="majorHAnsi"/>
          <w:b/>
          <w:sz w:val="20"/>
          <w:szCs w:val="20"/>
        </w:rPr>
      </w:pPr>
    </w:p>
    <w:p w14:paraId="1D316500" w14:textId="3C51CFD5"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bCs/>
          <w:sz w:val="20"/>
          <w:szCs w:val="20"/>
        </w:rPr>
      </w:pPr>
      <w:r w:rsidRPr="00B41E87">
        <w:rPr>
          <w:rFonts w:asciiTheme="majorHAnsi" w:hAnsiTheme="majorHAnsi"/>
          <w:sz w:val="20"/>
          <w:szCs w:val="20"/>
        </w:rPr>
        <w:t xml:space="preserve">In both international human rights law and comparative law, the issue of long term deprivation of liberty on death row, known as the </w:t>
      </w:r>
      <w:r w:rsidRPr="00B41E87">
        <w:rPr>
          <w:rFonts w:asciiTheme="majorHAnsi" w:hAnsiTheme="majorHAnsi"/>
          <w:i/>
          <w:sz w:val="20"/>
          <w:szCs w:val="20"/>
        </w:rPr>
        <w:t>death row phenomenon,</w:t>
      </w:r>
      <w:r w:rsidRPr="00B41E87">
        <w:rPr>
          <w:rFonts w:asciiTheme="majorHAnsi" w:hAnsiTheme="majorHAnsi"/>
          <w:sz w:val="20"/>
          <w:szCs w:val="20"/>
        </w:rPr>
        <w:t xml:space="preserve"> has been developed for decades, in light of the prohibition of cruel, inhuman, or degrading punishment in constitutions and in multiple international treaties, including the American Declaration of the Rights and Duties of Man (Articles XXV and XXVI). Bearing in mind the equivalent nature of the protections envisaged in this regard in the American Declaration and other international instruments, the Commission considers it relevant to cite a number of developments that have taken place in </w:t>
      </w:r>
      <w:r w:rsidR="000B5A54" w:rsidRPr="00B41E87">
        <w:rPr>
          <w:rFonts w:asciiTheme="majorHAnsi" w:hAnsiTheme="majorHAnsi"/>
          <w:sz w:val="20"/>
          <w:szCs w:val="20"/>
        </w:rPr>
        <w:t>the i</w:t>
      </w:r>
      <w:r w:rsidRPr="00B41E87">
        <w:rPr>
          <w:rFonts w:asciiTheme="majorHAnsi" w:hAnsiTheme="majorHAnsi"/>
          <w:sz w:val="20"/>
          <w:szCs w:val="20"/>
        </w:rPr>
        <w:t xml:space="preserve">nter-American and other protection systems, including the regional and United Nations systems. </w:t>
      </w:r>
    </w:p>
    <w:p w14:paraId="0AFC641B"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firstLine="720"/>
        <w:jc w:val="both"/>
        <w:rPr>
          <w:rFonts w:asciiTheme="majorHAnsi" w:hAnsiTheme="majorHAnsi"/>
          <w:bCs/>
          <w:sz w:val="20"/>
          <w:szCs w:val="20"/>
        </w:rPr>
      </w:pPr>
    </w:p>
    <w:p w14:paraId="0F990EA4"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To start with, the Commission takes note of the concept of the </w:t>
      </w:r>
      <w:r w:rsidRPr="00B41E87">
        <w:rPr>
          <w:rFonts w:asciiTheme="majorHAnsi" w:hAnsiTheme="majorHAnsi"/>
          <w:i/>
          <w:sz w:val="20"/>
          <w:szCs w:val="20"/>
        </w:rPr>
        <w:t xml:space="preserve">death row phenomenon </w:t>
      </w:r>
      <w:r w:rsidRPr="00B41E87">
        <w:rPr>
          <w:rFonts w:asciiTheme="majorHAnsi" w:hAnsiTheme="majorHAnsi"/>
          <w:sz w:val="20"/>
          <w:szCs w:val="20"/>
        </w:rPr>
        <w:t xml:space="preserve">that the United Nations Special Rapporteur on torture and other cruel, inhuman or degrading treatment or punishment has taken into consideration: </w:t>
      </w:r>
    </w:p>
    <w:p w14:paraId="7DD37135" w14:textId="77777777" w:rsidR="00370A41" w:rsidRPr="00B41E87" w:rsidRDefault="00370A41" w:rsidP="00370A41">
      <w:pPr>
        <w:pStyle w:val="ListParagraph"/>
        <w:rPr>
          <w:rFonts w:asciiTheme="majorHAnsi" w:hAnsiTheme="majorHAnsi"/>
          <w:sz w:val="20"/>
          <w:szCs w:val="20"/>
        </w:rPr>
      </w:pPr>
    </w:p>
    <w:p w14:paraId="33AAF0F8"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bCs/>
          <w:sz w:val="20"/>
          <w:szCs w:val="20"/>
        </w:rPr>
      </w:pPr>
      <w:r w:rsidRPr="00B41E87">
        <w:rPr>
          <w:rFonts w:asciiTheme="majorHAnsi" w:hAnsiTheme="majorHAnsi"/>
          <w:sz w:val="20"/>
          <w:szCs w:val="20"/>
        </w:rPr>
        <w:t>(…) it consists of a combination of circumstances that produce severe mental trauma and physical deterioration in prisoners under sentence of death.</w:t>
      </w:r>
      <w:r w:rsidRPr="00B41E87">
        <w:rPr>
          <w:rFonts w:asciiTheme="majorHAnsi" w:hAnsiTheme="majorHAnsi"/>
          <w:sz w:val="20"/>
          <w:szCs w:val="20"/>
          <w:vertAlign w:val="superscript"/>
        </w:rPr>
        <w:footnoteReference w:id="55"/>
      </w:r>
      <w:r w:rsidRPr="00B41E87">
        <w:rPr>
          <w:rFonts w:asciiTheme="majorHAnsi" w:hAnsiTheme="majorHAnsi"/>
          <w:sz w:val="20"/>
          <w:szCs w:val="20"/>
        </w:rPr>
        <w:t xml:space="preserve"> Those circumstances include </w:t>
      </w:r>
      <w:r w:rsidRPr="00B41E87">
        <w:rPr>
          <w:rFonts w:asciiTheme="majorHAnsi" w:hAnsiTheme="majorHAnsi"/>
          <w:sz w:val="20"/>
          <w:szCs w:val="20"/>
        </w:rPr>
        <w:lastRenderedPageBreak/>
        <w:t>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B41E87">
        <w:rPr>
          <w:rFonts w:asciiTheme="majorHAnsi" w:hAnsiTheme="majorHAnsi"/>
          <w:sz w:val="20"/>
          <w:szCs w:val="20"/>
          <w:vertAlign w:val="superscript"/>
        </w:rPr>
        <w:footnoteReference w:id="56"/>
      </w:r>
    </w:p>
    <w:p w14:paraId="3FEB3788" w14:textId="77777777" w:rsidR="00370A41" w:rsidRPr="00B41E87" w:rsidRDefault="00370A41" w:rsidP="00370A41">
      <w:pPr>
        <w:ind w:firstLine="720"/>
        <w:jc w:val="both"/>
        <w:rPr>
          <w:rFonts w:asciiTheme="majorHAnsi" w:hAnsiTheme="majorHAnsi"/>
          <w:sz w:val="20"/>
          <w:szCs w:val="20"/>
        </w:rPr>
      </w:pPr>
    </w:p>
    <w:p w14:paraId="3DBE234A"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Style w:val="sb8d990e2"/>
          <w:rFonts w:asciiTheme="majorHAnsi" w:hAnsiTheme="majorHAnsi"/>
          <w:sz w:val="20"/>
          <w:szCs w:val="20"/>
        </w:rPr>
      </w:pPr>
      <w:r w:rsidRPr="00B41E87">
        <w:rPr>
          <w:rFonts w:asciiTheme="majorHAnsi" w:hAnsiTheme="majorHAnsi"/>
          <w:sz w:val="20"/>
          <w:szCs w:val="20"/>
        </w:rPr>
        <w:t xml:space="preserve">In the case of </w:t>
      </w:r>
      <w:r w:rsidRPr="00B41E87">
        <w:rPr>
          <w:rFonts w:asciiTheme="majorHAnsi" w:hAnsiTheme="majorHAnsi"/>
          <w:i/>
          <w:sz w:val="20"/>
          <w:szCs w:val="20"/>
        </w:rPr>
        <w:t xml:space="preserve">Soering vs.  The United Kingdom, </w:t>
      </w:r>
      <w:r w:rsidRPr="00B41E87">
        <w:rPr>
          <w:rFonts w:asciiTheme="majorHAnsi" w:hAnsiTheme="majorHAnsi"/>
          <w:sz w:val="20"/>
          <w:szCs w:val="20"/>
        </w:rPr>
        <w:t xml:space="preserve">the European Court of Human Rights, in its interpretation of the norm banning cruel, inhuman, and unusual punishment and in reference to </w:t>
      </w:r>
      <w:r w:rsidRPr="00B41E87">
        <w:rPr>
          <w:rStyle w:val="sb8d990e2"/>
          <w:rFonts w:asciiTheme="majorHAnsi" w:hAnsiTheme="majorHAnsi"/>
          <w:sz w:val="20"/>
          <w:szCs w:val="20"/>
        </w:rPr>
        <w:t xml:space="preserve">the death penalty, pointed out that: </w:t>
      </w:r>
    </w:p>
    <w:p w14:paraId="425CA147"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Theme="majorHAnsi" w:hAnsiTheme="majorHAnsi"/>
          <w:sz w:val="20"/>
          <w:szCs w:val="20"/>
        </w:rPr>
      </w:pPr>
    </w:p>
    <w:p w14:paraId="76A400FF" w14:textId="77777777" w:rsidR="00370A41" w:rsidRPr="00B41E87" w:rsidRDefault="00370A41" w:rsidP="00370A41">
      <w:pPr>
        <w:pStyle w:val="ListParagraph"/>
        <w:ind w:right="720"/>
        <w:jc w:val="both"/>
        <w:rPr>
          <w:rStyle w:val="sb8d990e2"/>
          <w:rFonts w:asciiTheme="majorHAnsi" w:hAnsiTheme="majorHAnsi"/>
          <w:sz w:val="20"/>
          <w:szCs w:val="20"/>
        </w:rPr>
      </w:pPr>
      <w:r w:rsidRPr="00B41E87">
        <w:rPr>
          <w:rStyle w:val="sb8d990e2"/>
          <w:rFonts w:asciiTheme="majorHAnsi" w:hAnsiTheme="majorHAnsi"/>
          <w:sz w:val="20"/>
          <w:szCs w:val="20"/>
        </w:rPr>
        <w:t>The manner in which it is imposed or executed, the personal circumstances of the condemned person and a disproportionality to the gravity of the crime committed, as well as the conditions of detention awaiting execution, are examples of factors capable of bringing the treatment or punishment received by the condemned person within the proscription under Article 3.</w:t>
      </w:r>
      <w:r w:rsidRPr="00B41E87">
        <w:rPr>
          <w:rStyle w:val="FootnoteReference"/>
          <w:rFonts w:asciiTheme="majorHAnsi" w:hAnsiTheme="majorHAnsi"/>
          <w:sz w:val="20"/>
          <w:szCs w:val="20"/>
        </w:rPr>
        <w:t xml:space="preserve"> </w:t>
      </w:r>
      <w:r w:rsidRPr="00B41E87">
        <w:rPr>
          <w:rStyle w:val="FootnoteReference"/>
          <w:rFonts w:asciiTheme="majorHAnsi" w:hAnsiTheme="majorHAnsi"/>
          <w:sz w:val="20"/>
          <w:szCs w:val="20"/>
        </w:rPr>
        <w:footnoteReference w:id="57"/>
      </w:r>
      <w:r w:rsidRPr="00B41E87">
        <w:rPr>
          <w:rStyle w:val="sb8d990e2"/>
          <w:rFonts w:asciiTheme="majorHAnsi" w:hAnsiTheme="majorHAnsi"/>
          <w:sz w:val="20"/>
          <w:szCs w:val="20"/>
        </w:rPr>
        <w:t xml:space="preserve"> </w:t>
      </w:r>
    </w:p>
    <w:p w14:paraId="0CC73F89"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Theme="majorHAnsi" w:hAnsiTheme="majorHAnsi"/>
          <w:sz w:val="20"/>
          <w:szCs w:val="20"/>
        </w:rPr>
      </w:pPr>
    </w:p>
    <w:p w14:paraId="52DD18DA" w14:textId="560F8B3E"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Style w:val="sb8d990e2"/>
          <w:rFonts w:asciiTheme="majorHAnsi" w:hAnsiTheme="majorHAnsi"/>
          <w:sz w:val="20"/>
          <w:szCs w:val="20"/>
        </w:rPr>
      </w:pPr>
      <w:r w:rsidRPr="00B41E87">
        <w:rPr>
          <w:rStyle w:val="sb8d990e2"/>
          <w:rFonts w:asciiTheme="majorHAnsi" w:hAnsiTheme="majorHAnsi"/>
          <w:sz w:val="20"/>
          <w:szCs w:val="20"/>
        </w:rPr>
        <w:t xml:space="preserve">The European Court was referring to an average of six to eight years on death row from imposition of the penalty </w:t>
      </w:r>
      <w:r w:rsidRPr="00B41E87">
        <w:rPr>
          <w:rFonts w:asciiTheme="majorHAnsi" w:hAnsiTheme="majorHAnsi"/>
          <w:sz w:val="20"/>
          <w:szCs w:val="20"/>
        </w:rPr>
        <w:t>to</w:t>
      </w:r>
      <w:r w:rsidRPr="00B41E87">
        <w:rPr>
          <w:rStyle w:val="sb8d990e2"/>
          <w:rFonts w:asciiTheme="majorHAnsi" w:hAnsiTheme="majorHAnsi"/>
          <w:sz w:val="20"/>
          <w:szCs w:val="20"/>
        </w:rPr>
        <w:t xml:space="preserve"> execution and it </w:t>
      </w:r>
      <w:r w:rsidR="00FC75DD" w:rsidRPr="00B41E87">
        <w:rPr>
          <w:rStyle w:val="sb8d990e2"/>
          <w:rFonts w:asciiTheme="majorHAnsi" w:hAnsiTheme="majorHAnsi"/>
          <w:sz w:val="20"/>
          <w:szCs w:val="20"/>
        </w:rPr>
        <w:t xml:space="preserve">noted that </w:t>
      </w:r>
      <w:r w:rsidRPr="00B41E87">
        <w:rPr>
          <w:rStyle w:val="sb8d990e2"/>
          <w:rFonts w:asciiTheme="majorHAnsi" w:hAnsiTheme="majorHAnsi"/>
          <w:sz w:val="20"/>
          <w:szCs w:val="20"/>
        </w:rPr>
        <w:t xml:space="preserve">proceedings and appeals subsequent to the imposition of the death penalty themselves have a bearing on the time </w:t>
      </w:r>
      <w:r w:rsidR="00FC75DD" w:rsidRPr="00B41E87">
        <w:rPr>
          <w:rStyle w:val="sb8d990e2"/>
          <w:rFonts w:asciiTheme="majorHAnsi" w:hAnsiTheme="majorHAnsi"/>
          <w:sz w:val="20"/>
          <w:szCs w:val="20"/>
        </w:rPr>
        <w:t xml:space="preserve">spent </w:t>
      </w:r>
      <w:r w:rsidRPr="00B41E87">
        <w:rPr>
          <w:rStyle w:val="sb8d990e2"/>
          <w:rFonts w:asciiTheme="majorHAnsi" w:hAnsiTheme="majorHAnsi"/>
          <w:sz w:val="20"/>
          <w:szCs w:val="20"/>
        </w:rPr>
        <w:t xml:space="preserve">on death row. </w:t>
      </w:r>
      <w:r w:rsidR="00FC75DD" w:rsidRPr="00B41E87">
        <w:rPr>
          <w:rStyle w:val="sb8d990e2"/>
          <w:rFonts w:asciiTheme="majorHAnsi" w:hAnsiTheme="majorHAnsi"/>
          <w:sz w:val="20"/>
          <w:szCs w:val="20"/>
        </w:rPr>
        <w:t>T</w:t>
      </w:r>
      <w:r w:rsidRPr="00B41E87">
        <w:rPr>
          <w:rStyle w:val="sb8d990e2"/>
          <w:rFonts w:asciiTheme="majorHAnsi" w:hAnsiTheme="majorHAnsi"/>
          <w:sz w:val="20"/>
          <w:szCs w:val="20"/>
        </w:rPr>
        <w:t xml:space="preserve">he </w:t>
      </w:r>
      <w:r w:rsidRPr="00B41E87">
        <w:rPr>
          <w:rFonts w:asciiTheme="majorHAnsi" w:hAnsiTheme="majorHAnsi"/>
          <w:sz w:val="20"/>
          <w:szCs w:val="20"/>
        </w:rPr>
        <w:t>European</w:t>
      </w:r>
      <w:r w:rsidRPr="00B41E87">
        <w:rPr>
          <w:rStyle w:val="sb8d990e2"/>
          <w:rFonts w:asciiTheme="majorHAnsi" w:hAnsiTheme="majorHAnsi"/>
          <w:sz w:val="20"/>
          <w:szCs w:val="20"/>
        </w:rPr>
        <w:t xml:space="preserve"> Court </w:t>
      </w:r>
      <w:r w:rsidR="00FC75DD" w:rsidRPr="00B41E87">
        <w:rPr>
          <w:rStyle w:val="sb8d990e2"/>
          <w:rFonts w:asciiTheme="majorHAnsi" w:hAnsiTheme="majorHAnsi"/>
          <w:sz w:val="20"/>
          <w:szCs w:val="20"/>
        </w:rPr>
        <w:t xml:space="preserve">nonetheless </w:t>
      </w:r>
      <w:r w:rsidRPr="00B41E87">
        <w:rPr>
          <w:rStyle w:val="sb8d990e2"/>
          <w:rFonts w:asciiTheme="majorHAnsi" w:hAnsiTheme="majorHAnsi"/>
          <w:sz w:val="20"/>
          <w:szCs w:val="20"/>
        </w:rPr>
        <w:t xml:space="preserve">stated that: </w:t>
      </w:r>
    </w:p>
    <w:p w14:paraId="070F31E0"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Theme="majorHAnsi" w:hAnsiTheme="majorHAnsi"/>
          <w:sz w:val="20"/>
          <w:szCs w:val="20"/>
        </w:rPr>
      </w:pPr>
    </w:p>
    <w:p w14:paraId="6CF90735"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 just as some lapse of time between sentence and execution is inevitable if appeal safeguards are to be provided to the condemned person, so it is equally part of human nature that the person will cling to life by exploiting those safeguards to the full. However well-intentioned and even potentially beneficial is the provision of the complex of post-sentence procedures in Virginia, the consequence is that the condemned prisoner has to endure for many years the conditions on death row and the anguish and mounting tension of living in the ever-present shadow of death.</w:t>
      </w:r>
      <w:r w:rsidRPr="00B41E87">
        <w:rPr>
          <w:rFonts w:asciiTheme="majorHAnsi" w:hAnsiTheme="majorHAnsi"/>
          <w:sz w:val="20"/>
          <w:szCs w:val="20"/>
          <w:vertAlign w:val="superscript"/>
        </w:rPr>
        <w:t xml:space="preserve"> </w:t>
      </w:r>
      <w:r w:rsidRPr="00B41E87">
        <w:rPr>
          <w:rFonts w:asciiTheme="majorHAnsi" w:hAnsiTheme="majorHAnsi"/>
          <w:sz w:val="20"/>
          <w:szCs w:val="20"/>
          <w:vertAlign w:val="superscript"/>
        </w:rPr>
        <w:footnoteReference w:id="58"/>
      </w:r>
    </w:p>
    <w:p w14:paraId="28967C3C"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ab/>
      </w:r>
    </w:p>
    <w:p w14:paraId="3028C691"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w:t>
      </w:r>
    </w:p>
    <w:p w14:paraId="27566811"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 xml:space="preserve">For any prisoner condemned to death, some element of delay between imposition and execution of the sentence and the experience of severe stress in conditions necessary for strict incarceration are inevitable. </w:t>
      </w:r>
    </w:p>
    <w:p w14:paraId="38E32147"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p>
    <w:p w14:paraId="7C80771B"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w:t>
      </w:r>
    </w:p>
    <w:p w14:paraId="6766509A" w14:textId="77777777" w:rsidR="00370A41" w:rsidRPr="00B41E87" w:rsidRDefault="00370A41" w:rsidP="00B41E8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720" w:right="720"/>
        <w:jc w:val="both"/>
        <w:rPr>
          <w:rFonts w:asciiTheme="majorHAnsi" w:hAnsiTheme="majorHAnsi"/>
          <w:sz w:val="20"/>
          <w:szCs w:val="20"/>
        </w:rPr>
      </w:pPr>
      <w:r w:rsidRPr="00B41E87">
        <w:rPr>
          <w:rFonts w:asciiTheme="majorHAnsi" w:hAnsiTheme="majorHAnsi"/>
          <w:sz w:val="20"/>
          <w:szCs w:val="20"/>
        </w:rPr>
        <w:t>However, in the Court’s view, having regard to the very long period of time spent on death row in such extreme conditions, with the ever present and mounting anguish of awaiting execution of the death penalty, and to the personal circumstances of the applicant, especially his age and mental state at the time of the offence, the applicant’s extradition to the United States would expose him to a real risk of treatment going beyond the threshold set by Article 3.</w:t>
      </w:r>
      <w:r w:rsidRPr="00B41E87">
        <w:rPr>
          <w:rFonts w:asciiTheme="majorHAnsi" w:hAnsiTheme="majorHAnsi"/>
          <w:sz w:val="20"/>
          <w:szCs w:val="20"/>
          <w:vertAlign w:val="superscript"/>
        </w:rPr>
        <w:footnoteReference w:id="59"/>
      </w:r>
    </w:p>
    <w:p w14:paraId="5B2EFF48"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Theme="majorHAnsi" w:hAnsiTheme="majorHAnsi"/>
          <w:sz w:val="20"/>
          <w:szCs w:val="20"/>
        </w:rPr>
      </w:pPr>
    </w:p>
    <w:p w14:paraId="3504571B" w14:textId="1F4DDCB6"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Style w:val="sb8d990e2"/>
          <w:rFonts w:asciiTheme="majorHAnsi" w:hAnsiTheme="majorHAnsi"/>
          <w:sz w:val="20"/>
          <w:szCs w:val="20"/>
        </w:rPr>
        <w:t>Furthermore</w:t>
      </w:r>
      <w:r w:rsidRPr="00B41E87">
        <w:rPr>
          <w:rFonts w:asciiTheme="majorHAnsi" w:hAnsiTheme="majorHAnsi"/>
          <w:sz w:val="20"/>
          <w:szCs w:val="20"/>
        </w:rPr>
        <w:t xml:space="preserve">, in a comparative law context, the Commission notes that </w:t>
      </w:r>
      <w:r w:rsidR="00FC75DD" w:rsidRPr="00B41E87">
        <w:rPr>
          <w:rFonts w:asciiTheme="majorHAnsi" w:hAnsiTheme="majorHAnsi"/>
          <w:sz w:val="20"/>
          <w:szCs w:val="20"/>
        </w:rPr>
        <w:t xml:space="preserve">in 1993 </w:t>
      </w:r>
      <w:r w:rsidRPr="00B41E87">
        <w:rPr>
          <w:rFonts w:asciiTheme="majorHAnsi" w:hAnsiTheme="majorHAnsi"/>
          <w:sz w:val="20"/>
          <w:szCs w:val="20"/>
        </w:rPr>
        <w:t xml:space="preserve">the Privy Council of the British House of Lords </w:t>
      </w:r>
      <w:r w:rsidR="00FC75DD" w:rsidRPr="00B41E87">
        <w:rPr>
          <w:rFonts w:asciiTheme="majorHAnsi" w:hAnsiTheme="majorHAnsi"/>
          <w:sz w:val="20"/>
          <w:szCs w:val="20"/>
        </w:rPr>
        <w:t xml:space="preserve">ruled </w:t>
      </w:r>
      <w:r w:rsidRPr="00B41E87">
        <w:rPr>
          <w:rFonts w:asciiTheme="majorHAnsi" w:hAnsiTheme="majorHAnsi"/>
          <w:sz w:val="20"/>
          <w:szCs w:val="20"/>
        </w:rPr>
        <w:t xml:space="preserve">on the issue of the </w:t>
      </w:r>
      <w:r w:rsidRPr="00B41E87">
        <w:rPr>
          <w:rFonts w:asciiTheme="majorHAnsi" w:hAnsiTheme="majorHAnsi"/>
          <w:i/>
          <w:sz w:val="20"/>
          <w:szCs w:val="20"/>
        </w:rPr>
        <w:t xml:space="preserve">death row phenomenon </w:t>
      </w:r>
      <w:r w:rsidRPr="00B41E87">
        <w:rPr>
          <w:rFonts w:asciiTheme="majorHAnsi" w:hAnsiTheme="majorHAnsi"/>
          <w:sz w:val="20"/>
          <w:szCs w:val="20"/>
        </w:rPr>
        <w:t xml:space="preserve">in the </w:t>
      </w:r>
      <w:r w:rsidRPr="00B41E87">
        <w:rPr>
          <w:rFonts w:asciiTheme="majorHAnsi" w:hAnsiTheme="majorHAnsi"/>
          <w:i/>
          <w:sz w:val="20"/>
          <w:szCs w:val="20"/>
        </w:rPr>
        <w:t>Pratt and Morgan v. Jamaica</w:t>
      </w:r>
      <w:r w:rsidRPr="00B41E87">
        <w:rPr>
          <w:rFonts w:asciiTheme="majorHAnsi" w:hAnsiTheme="majorHAnsi"/>
          <w:sz w:val="20"/>
          <w:szCs w:val="20"/>
        </w:rPr>
        <w:t xml:space="preserve"> case, that:</w:t>
      </w:r>
    </w:p>
    <w:p w14:paraId="028E7A82"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Theme="majorHAnsi" w:hAnsiTheme="majorHAnsi"/>
          <w:sz w:val="20"/>
          <w:szCs w:val="20"/>
        </w:rPr>
      </w:pPr>
    </w:p>
    <w:p w14:paraId="2EFE7C95"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Tahoma"/>
          <w:sz w:val="20"/>
          <w:szCs w:val="20"/>
          <w:bdr w:val="none" w:sz="0" w:space="0" w:color="auto"/>
        </w:rPr>
      </w:pPr>
      <w:r w:rsidRPr="00B41E87">
        <w:rPr>
          <w:rFonts w:asciiTheme="majorHAnsi" w:eastAsia="Calibri" w:hAnsiTheme="majorHAnsi"/>
          <w:sz w:val="20"/>
          <w:szCs w:val="20"/>
          <w:bdr w:val="none" w:sz="0" w:space="0" w:color="auto"/>
        </w:rPr>
        <w:t xml:space="preserve">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save his life through use of the appellate procedure. If the appellate procedure enables the prisoner to prolong the appellate hearings over a period of years, the fault is to be attributed to the appellate system </w:t>
      </w:r>
      <w:r w:rsidRPr="00B41E87">
        <w:rPr>
          <w:rFonts w:asciiTheme="majorHAnsi" w:eastAsia="Calibri" w:hAnsiTheme="majorHAnsi"/>
          <w:sz w:val="20"/>
          <w:szCs w:val="20"/>
          <w:bdr w:val="none" w:sz="0" w:space="0" w:color="auto"/>
        </w:rPr>
        <w:lastRenderedPageBreak/>
        <w:t>that permits such delay and not to the prisoner who takes advantage of it. Appellate procedures that echo down the years are not compatible with capital punishment. The death row phenomenon must not become established as a part of our jurisprudence.</w:t>
      </w:r>
    </w:p>
    <w:p w14:paraId="73FE322D"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Tahoma"/>
          <w:sz w:val="20"/>
          <w:szCs w:val="20"/>
          <w:bdr w:val="none" w:sz="0" w:space="0" w:color="auto"/>
        </w:rPr>
      </w:pPr>
    </w:p>
    <w:p w14:paraId="79D7D537"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Arial"/>
          <w:sz w:val="20"/>
          <w:szCs w:val="20"/>
          <w:bdr w:val="none" w:sz="0" w:space="0" w:color="auto"/>
        </w:rPr>
      </w:pPr>
      <w:r w:rsidRPr="00B41E87">
        <w:rPr>
          <w:rFonts w:asciiTheme="majorHAnsi" w:eastAsia="Calibri" w:hAnsiTheme="majorHAnsi"/>
          <w:sz w:val="20"/>
          <w:szCs w:val="20"/>
          <w:bdr w:val="none" w:sz="0" w:space="0" w:color="auto"/>
        </w:rPr>
        <w:t>(…)</w:t>
      </w:r>
    </w:p>
    <w:p w14:paraId="681B9C55"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Arial"/>
          <w:sz w:val="20"/>
          <w:szCs w:val="20"/>
          <w:bdr w:val="none" w:sz="0" w:space="0" w:color="auto"/>
        </w:rPr>
      </w:pPr>
    </w:p>
    <w:p w14:paraId="064964BD"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Tahoma"/>
          <w:sz w:val="20"/>
          <w:szCs w:val="20"/>
          <w:bdr w:val="none" w:sz="0" w:space="0" w:color="auto"/>
        </w:rPr>
      </w:pPr>
      <w:r w:rsidRPr="00B41E87">
        <w:rPr>
          <w:rFonts w:asciiTheme="majorHAnsi" w:eastAsia="Calibri" w:hAnsiTheme="majorHAnsi"/>
          <w:sz w:val="20"/>
          <w:szCs w:val="20"/>
          <w:bdr w:val="none" w:sz="0" w:space="0" w:color="auto"/>
        </w:rPr>
        <w:t>The total period of delay is shocking and now amounts to almost fourteen years. It is double the time that the European Court of Human Rights considered would be an infringement of Article 3 of the European Convention and their Lordships can have no doubt that an execution would now be an infringement of section 17(1) of the Jamaican Constitution.</w:t>
      </w:r>
    </w:p>
    <w:p w14:paraId="48AA63CD"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Tahoma"/>
          <w:sz w:val="20"/>
          <w:szCs w:val="20"/>
          <w:bdr w:val="none" w:sz="0" w:space="0" w:color="auto"/>
        </w:rPr>
      </w:pPr>
      <w:r w:rsidRPr="00B41E87">
        <w:rPr>
          <w:rFonts w:asciiTheme="majorHAnsi" w:eastAsia="Calibri" w:hAnsiTheme="majorHAnsi"/>
          <w:sz w:val="20"/>
          <w:szCs w:val="20"/>
          <w:bdr w:val="none" w:sz="0" w:space="0" w:color="auto"/>
        </w:rPr>
        <w:t> </w:t>
      </w:r>
    </w:p>
    <w:p w14:paraId="4BC391B4"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Arial"/>
          <w:sz w:val="20"/>
          <w:szCs w:val="20"/>
          <w:bdr w:val="none" w:sz="0" w:space="0" w:color="auto"/>
        </w:rPr>
      </w:pPr>
      <w:r w:rsidRPr="00B41E87">
        <w:rPr>
          <w:rFonts w:asciiTheme="majorHAnsi" w:eastAsia="Calibri" w:hAnsiTheme="majorHAnsi"/>
          <w:sz w:val="20"/>
          <w:szCs w:val="20"/>
          <w:bdr w:val="none" w:sz="0" w:space="0" w:color="auto"/>
        </w:rPr>
        <w:t xml:space="preserve">To execute these men now after holding them in custody in an agony of suspense for so many years would be inhuman punishment within the meaning of section 17(1). </w:t>
      </w:r>
    </w:p>
    <w:p w14:paraId="28B98540"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Arial"/>
          <w:sz w:val="20"/>
          <w:szCs w:val="20"/>
          <w:bdr w:val="none" w:sz="0" w:space="0" w:color="auto"/>
        </w:rPr>
      </w:pPr>
    </w:p>
    <w:p w14:paraId="7039C070" w14:textId="77777777" w:rsidR="00370A41" w:rsidRPr="00B41E87" w:rsidRDefault="00370A41" w:rsidP="00370A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Calibri" w:hAnsiTheme="majorHAnsi" w:cs="Tahoma"/>
          <w:sz w:val="20"/>
          <w:szCs w:val="20"/>
          <w:bdr w:val="none" w:sz="0" w:space="0" w:color="auto"/>
        </w:rPr>
      </w:pPr>
      <w:r w:rsidRPr="00B41E87">
        <w:rPr>
          <w:rFonts w:asciiTheme="majorHAnsi" w:eastAsia="Calibri" w:hAnsiTheme="majorHAnsi"/>
          <w:sz w:val="20"/>
          <w:szCs w:val="20"/>
          <w:bdr w:val="none" w:sz="0" w:space="0" w:color="auto"/>
        </w:rPr>
        <w:t>(…)</w:t>
      </w:r>
    </w:p>
    <w:p w14:paraId="729880DF"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Calibri" w:hAnsiTheme="majorHAnsi"/>
          <w:sz w:val="20"/>
          <w:szCs w:val="20"/>
          <w:bdr w:val="none" w:sz="0" w:space="0" w:color="auto"/>
        </w:rPr>
      </w:pPr>
      <w:r w:rsidRPr="00B41E87">
        <w:rPr>
          <w:rFonts w:asciiTheme="majorHAnsi" w:eastAsia="Calibri" w:hAnsiTheme="majorHAnsi"/>
          <w:sz w:val="20"/>
          <w:szCs w:val="20"/>
          <w:bdr w:val="none" w:sz="0" w:space="0" w:color="auto"/>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B41E87">
        <w:rPr>
          <w:rFonts w:asciiTheme="majorHAnsi" w:eastAsia="Calibri" w:hAnsiTheme="majorHAnsi"/>
          <w:sz w:val="20"/>
          <w:szCs w:val="20"/>
          <w:bdr w:val="none" w:sz="0" w:space="0" w:color="auto"/>
          <w:vertAlign w:val="superscript"/>
        </w:rPr>
        <w:footnoteReference w:id="60"/>
      </w:r>
    </w:p>
    <w:p w14:paraId="5F94D256"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Cs/>
          <w:sz w:val="20"/>
          <w:szCs w:val="20"/>
        </w:rPr>
      </w:pPr>
    </w:p>
    <w:p w14:paraId="6B5619A9" w14:textId="5E85BF26"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bCs/>
          <w:sz w:val="20"/>
          <w:szCs w:val="20"/>
        </w:rPr>
      </w:pPr>
      <w:r w:rsidRPr="00B41E87">
        <w:rPr>
          <w:rFonts w:asciiTheme="majorHAnsi" w:hAnsiTheme="majorHAnsi"/>
          <w:sz w:val="20"/>
          <w:szCs w:val="20"/>
        </w:rPr>
        <w:t>In the same vein, the Supreme Court of Uganda considered in 2009 that "to execute a person after a delay of three years in conditions that were not acceptable by Ugandan standards would amount to cruel, inhuman punishment.”</w:t>
      </w:r>
      <w:r w:rsidRPr="00B41E87">
        <w:rPr>
          <w:rStyle w:val="FootnoteReference"/>
          <w:rFonts w:asciiTheme="majorHAnsi" w:hAnsiTheme="majorHAnsi"/>
          <w:sz w:val="20"/>
          <w:szCs w:val="20"/>
        </w:rPr>
        <w:footnoteReference w:id="61"/>
      </w:r>
      <w:r w:rsidRPr="00B41E87">
        <w:rPr>
          <w:rFonts w:asciiTheme="majorHAnsi" w:hAnsiTheme="majorHAnsi"/>
          <w:sz w:val="20"/>
          <w:szCs w:val="20"/>
        </w:rPr>
        <w:t xml:space="preserve"> For its part, the Supreme Court of Zimbabwe has pointed out since 1993 that "having regard to </w:t>
      </w:r>
      <w:r w:rsidRPr="00B41E87">
        <w:rPr>
          <w:rStyle w:val="sb8d990e2"/>
          <w:rFonts w:asciiTheme="majorHAnsi" w:hAnsiTheme="majorHAnsi"/>
          <w:sz w:val="20"/>
          <w:szCs w:val="20"/>
        </w:rPr>
        <w:t>judicial</w:t>
      </w:r>
      <w:r w:rsidRPr="00B41E87">
        <w:rPr>
          <w:rFonts w:asciiTheme="majorHAnsi" w:hAnsiTheme="majorHAnsi"/>
          <w:sz w:val="20"/>
          <w:szCs w:val="20"/>
        </w:rPr>
        <w:t xml:space="preserve"> and academic consensus concerning the death row phenomenon, the prolonged delays and the harsh conditions of incarceration, a sufficient degree of seriousness had been attained to entitle the applicant to invoke the protection concerning the prohibition of torture and inhuman or degrading punishment." That Supreme Court maintained that "52 and 72 months, respectively, on death row constituted a violation of the prohibition of torture and would render an actual execution unconstitutional."</w:t>
      </w:r>
      <w:r w:rsidRPr="00B41E87">
        <w:rPr>
          <w:rStyle w:val="FootnoteReference"/>
          <w:rFonts w:asciiTheme="majorHAnsi" w:hAnsiTheme="majorHAnsi"/>
          <w:sz w:val="20"/>
          <w:szCs w:val="20"/>
        </w:rPr>
        <w:footnoteReference w:id="62"/>
      </w:r>
      <w:r w:rsidRPr="00B41E87">
        <w:rPr>
          <w:rFonts w:asciiTheme="majorHAnsi" w:eastAsia="Calibri" w:hAnsiTheme="majorHAnsi"/>
          <w:bCs/>
          <w:sz w:val="20"/>
          <w:szCs w:val="20"/>
          <w:bdr w:val="none" w:sz="0" w:space="0" w:color="auto"/>
        </w:rPr>
        <w:t xml:space="preserve"> </w:t>
      </w:r>
    </w:p>
    <w:p w14:paraId="6123623A"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bCs/>
          <w:sz w:val="20"/>
          <w:szCs w:val="20"/>
        </w:rPr>
      </w:pPr>
    </w:p>
    <w:p w14:paraId="257C3266" w14:textId="5A8918A2"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bCs/>
          <w:i/>
          <w:sz w:val="20"/>
          <w:szCs w:val="20"/>
        </w:rPr>
      </w:pPr>
      <w:r w:rsidRPr="00B41E87">
        <w:rPr>
          <w:rFonts w:asciiTheme="majorHAnsi" w:hAnsiTheme="majorHAnsi"/>
          <w:sz w:val="20"/>
          <w:szCs w:val="20"/>
        </w:rPr>
        <w:t xml:space="preserve">As established under proven facts, Russell Bucklew has been deprived of his liberty on death row from 1997 </w:t>
      </w:r>
      <w:r w:rsidR="00B97FDF" w:rsidRPr="00B41E87">
        <w:rPr>
          <w:rFonts w:asciiTheme="majorHAnsi" w:hAnsiTheme="majorHAnsi"/>
          <w:sz w:val="20"/>
          <w:szCs w:val="20"/>
        </w:rPr>
        <w:t>t</w:t>
      </w:r>
      <w:r w:rsidRPr="00B41E87">
        <w:rPr>
          <w:rFonts w:asciiTheme="majorHAnsi" w:hAnsiTheme="majorHAnsi"/>
          <w:sz w:val="20"/>
          <w:szCs w:val="20"/>
        </w:rPr>
        <w:t>o the date o</w:t>
      </w:r>
      <w:r w:rsidR="00B97FDF" w:rsidRPr="00B41E87">
        <w:rPr>
          <w:rFonts w:asciiTheme="majorHAnsi" w:hAnsiTheme="majorHAnsi"/>
          <w:sz w:val="20"/>
          <w:szCs w:val="20"/>
        </w:rPr>
        <w:t xml:space="preserve">f </w:t>
      </w:r>
      <w:r w:rsidRPr="00B41E87">
        <w:rPr>
          <w:rFonts w:asciiTheme="majorHAnsi" w:hAnsiTheme="majorHAnsi"/>
          <w:sz w:val="20"/>
          <w:szCs w:val="20"/>
        </w:rPr>
        <w:t>th</w:t>
      </w:r>
      <w:r w:rsidR="00B97FDF" w:rsidRPr="00B41E87">
        <w:rPr>
          <w:rFonts w:asciiTheme="majorHAnsi" w:hAnsiTheme="majorHAnsi"/>
          <w:sz w:val="20"/>
          <w:szCs w:val="20"/>
        </w:rPr>
        <w:t xml:space="preserve">e present </w:t>
      </w:r>
      <w:r w:rsidRPr="00B41E87">
        <w:rPr>
          <w:rFonts w:asciiTheme="majorHAnsi" w:hAnsiTheme="majorHAnsi"/>
          <w:sz w:val="20"/>
          <w:szCs w:val="20"/>
        </w:rPr>
        <w:t>report, i.e., for more than 20 years.</w:t>
      </w:r>
      <w:r w:rsidRPr="00B41E87">
        <w:rPr>
          <w:rFonts w:asciiTheme="majorHAnsi" w:hAnsiTheme="majorHAnsi"/>
          <w:bCs/>
          <w:sz w:val="20"/>
          <w:szCs w:val="20"/>
        </w:rPr>
        <w:t xml:space="preserve"> </w:t>
      </w:r>
      <w:r w:rsidRPr="00B41E87">
        <w:rPr>
          <w:rFonts w:asciiTheme="majorHAnsi" w:hAnsiTheme="majorHAnsi"/>
          <w:sz w:val="20"/>
          <w:szCs w:val="20"/>
        </w:rPr>
        <w:t>The Commission notes that the time spent by Russell Bucklew on death row greatly exceeds the length of time that other international and domestic courts have characterized as cruel, inhuman, and degrading treatment. The very fact of spending 20 years on death row is, by any account, excessive and inhuman.</w:t>
      </w:r>
      <w:r w:rsidRPr="00B41E87">
        <w:rPr>
          <w:rFonts w:asciiTheme="majorHAnsi" w:hAnsiTheme="majorHAnsi"/>
          <w:bCs/>
          <w:i/>
          <w:sz w:val="20"/>
          <w:szCs w:val="20"/>
        </w:rPr>
        <w:t xml:space="preserve"> </w:t>
      </w:r>
      <w:r w:rsidRPr="00B41E87">
        <w:rPr>
          <w:rFonts w:asciiTheme="majorHAnsi" w:hAnsiTheme="majorHAnsi"/>
          <w:sz w:val="20"/>
          <w:szCs w:val="20"/>
        </w:rPr>
        <w:t>Consequently, the United States is responsible for violating, to the detriment of Russell Bucklew, the right to humane treatment, and not to receive cruel, infamous, or unusual punishment established in Article XXVI of the American Declaration.</w:t>
      </w:r>
      <w:r w:rsidRPr="00B41E87">
        <w:rPr>
          <w:rFonts w:asciiTheme="majorHAnsi" w:hAnsiTheme="majorHAnsi"/>
          <w:b/>
          <w:sz w:val="20"/>
          <w:szCs w:val="20"/>
        </w:rPr>
        <w:t xml:space="preserve">  </w:t>
      </w:r>
    </w:p>
    <w:p w14:paraId="28A6390A" w14:textId="77777777" w:rsidR="00370A41" w:rsidRPr="00B41E87" w:rsidRDefault="00370A41" w:rsidP="00370A41">
      <w:pPr>
        <w:pStyle w:val="ListParagraph"/>
        <w:rPr>
          <w:rFonts w:asciiTheme="majorHAnsi" w:hAnsiTheme="majorHAnsi"/>
          <w:bCs/>
          <w:sz w:val="20"/>
          <w:szCs w:val="20"/>
          <w:highlight w:val="yellow"/>
        </w:rPr>
      </w:pPr>
    </w:p>
    <w:p w14:paraId="0BE70123" w14:textId="77777777" w:rsidR="00370A41" w:rsidRPr="00B41E87" w:rsidRDefault="00370A41" w:rsidP="006961C6">
      <w:pPr>
        <w:pStyle w:val="Heading2"/>
      </w:pPr>
      <w:bookmarkStart w:id="68" w:name="_Toc469320066"/>
      <w:bookmarkStart w:id="69" w:name="_Toc511310304"/>
      <w:bookmarkStart w:id="70" w:name="_Toc512265317"/>
      <w:r w:rsidRPr="00B41E87">
        <w:t>The right to life and not to receive cruel, infamous, or unusual punishment with respect to the eventual execution of Russell Bucklew</w:t>
      </w:r>
      <w:bookmarkEnd w:id="68"/>
      <w:bookmarkEnd w:id="69"/>
      <w:bookmarkEnd w:id="70"/>
    </w:p>
    <w:p w14:paraId="382360A6"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Theme="majorHAnsi" w:hAnsiTheme="majorHAnsi"/>
          <w:bCs/>
          <w:sz w:val="20"/>
          <w:szCs w:val="20"/>
          <w:highlight w:val="yellow"/>
        </w:rPr>
      </w:pPr>
    </w:p>
    <w:p w14:paraId="6D952691" w14:textId="3864D09F" w:rsidR="00370A41" w:rsidRPr="00B41E87" w:rsidRDefault="00370A41" w:rsidP="00B97F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 w:val="left" w:pos="9360"/>
        </w:tabs>
        <w:ind w:left="0" w:firstLine="720"/>
        <w:jc w:val="both"/>
        <w:rPr>
          <w:rFonts w:asciiTheme="majorHAnsi" w:hAnsiTheme="majorHAnsi"/>
          <w:bCs/>
          <w:sz w:val="20"/>
          <w:szCs w:val="20"/>
        </w:rPr>
      </w:pPr>
      <w:r w:rsidRPr="00B41E87">
        <w:rPr>
          <w:rFonts w:asciiTheme="majorHAnsi" w:hAnsiTheme="majorHAnsi"/>
          <w:sz w:val="20"/>
          <w:szCs w:val="20"/>
        </w:rPr>
        <w:t xml:space="preserve">Article I of the American Declaration sets forth the right to life, liberty and personal security, as follows: </w:t>
      </w:r>
      <w:r w:rsidR="00B97FDF" w:rsidRPr="00B41E87">
        <w:rPr>
          <w:rFonts w:asciiTheme="majorHAnsi" w:hAnsiTheme="majorHAnsi"/>
          <w:sz w:val="20"/>
          <w:szCs w:val="20"/>
        </w:rPr>
        <w:t>“</w:t>
      </w:r>
      <w:r w:rsidRPr="00B41E87">
        <w:rPr>
          <w:rFonts w:asciiTheme="majorHAnsi" w:hAnsiTheme="majorHAnsi"/>
          <w:sz w:val="20"/>
          <w:szCs w:val="20"/>
          <w:shd w:val="clear" w:color="auto" w:fill="FFFFFF"/>
        </w:rPr>
        <w:t>Every human being has the right to life, liberty and the security of his person.</w:t>
      </w:r>
      <w:r w:rsidR="00B97FDF" w:rsidRPr="00B41E87">
        <w:rPr>
          <w:rFonts w:asciiTheme="majorHAnsi" w:hAnsiTheme="majorHAnsi"/>
          <w:sz w:val="20"/>
          <w:szCs w:val="20"/>
          <w:shd w:val="clear" w:color="auto" w:fill="FFFFFF"/>
        </w:rPr>
        <w:t xml:space="preserve">” </w:t>
      </w:r>
      <w:r w:rsidRPr="00B41E87">
        <w:rPr>
          <w:rFonts w:asciiTheme="majorHAnsi" w:hAnsiTheme="majorHAnsi"/>
          <w:sz w:val="20"/>
          <w:szCs w:val="20"/>
        </w:rPr>
        <w:t xml:space="preserve">The Commission already cited the relevant part of Article XXVI which also applies to the analysis in this section. </w:t>
      </w:r>
    </w:p>
    <w:p w14:paraId="0DF57806"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Theme="majorHAnsi" w:hAnsiTheme="majorHAnsi"/>
          <w:bCs/>
          <w:sz w:val="20"/>
          <w:szCs w:val="20"/>
        </w:rPr>
      </w:pPr>
    </w:p>
    <w:p w14:paraId="1D0A2EA9"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The Commission reiterates that it is not competent to review judgments handed down by domestic courts acting within their spheres of competence and with due judicial guarantees.  In principle that is because the IACHR does not have the authority to superimpose its own interpretations on the assessment of facts made by national courts. The fourth instance formula, however, does not preclude the Commission from considering a case in which the petitioner's allegations entail a possible violation of any of the rights set forth </w:t>
      </w:r>
      <w:r w:rsidRPr="00B41E87">
        <w:rPr>
          <w:rFonts w:asciiTheme="majorHAnsi" w:hAnsiTheme="majorHAnsi"/>
          <w:sz w:val="20"/>
          <w:szCs w:val="20"/>
        </w:rPr>
        <w:lastRenderedPageBreak/>
        <w:t>in the Declaration.</w:t>
      </w:r>
      <w:r w:rsidRPr="00B41E87">
        <w:rPr>
          <w:rStyle w:val="FootnoteReference"/>
          <w:rFonts w:asciiTheme="majorHAnsi" w:hAnsiTheme="majorHAnsi"/>
          <w:sz w:val="20"/>
          <w:szCs w:val="20"/>
        </w:rPr>
        <w:footnoteReference w:id="63"/>
      </w:r>
      <w:r w:rsidRPr="00B41E87">
        <w:rPr>
          <w:rFonts w:asciiTheme="majorHAnsi" w:hAnsiTheme="majorHAnsi"/>
          <w:sz w:val="20"/>
          <w:szCs w:val="20"/>
        </w:rPr>
        <w:t xml:space="preserve">  This authority is heightened in cases involving imposition of the death penalty, given its irreversibility. </w:t>
      </w:r>
    </w:p>
    <w:p w14:paraId="2AACD0E1" w14:textId="77777777" w:rsidR="00370A41" w:rsidRPr="00B41E87" w:rsidRDefault="00370A41" w:rsidP="00370A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ind w:firstLine="720"/>
        <w:jc w:val="both"/>
        <w:rPr>
          <w:rFonts w:asciiTheme="majorHAnsi" w:hAnsiTheme="majorHAnsi"/>
          <w:bCs/>
          <w:sz w:val="20"/>
          <w:szCs w:val="20"/>
        </w:rPr>
      </w:pPr>
    </w:p>
    <w:p w14:paraId="42D60627" w14:textId="3FF8BAF1"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w:t>
      </w:r>
      <w:r w:rsidR="00340A6A" w:rsidRPr="00B41E87">
        <w:rPr>
          <w:rFonts w:asciiTheme="majorHAnsi" w:hAnsiTheme="majorHAnsi"/>
          <w:sz w:val="20"/>
          <w:szCs w:val="20"/>
        </w:rPr>
        <w:t xml:space="preserve">requirements </w:t>
      </w:r>
      <w:r w:rsidRPr="00B41E87">
        <w:rPr>
          <w:rFonts w:asciiTheme="majorHAnsi" w:hAnsiTheme="majorHAnsi"/>
          <w:sz w:val="20"/>
          <w:szCs w:val="20"/>
        </w:rPr>
        <w:t>of the American Declaration.</w:t>
      </w:r>
      <w:r w:rsidRPr="00B41E87">
        <w:rPr>
          <w:rStyle w:val="FootnoteReference"/>
          <w:rFonts w:asciiTheme="majorHAnsi" w:hAnsiTheme="majorHAnsi"/>
          <w:sz w:val="20"/>
          <w:szCs w:val="20"/>
        </w:rPr>
        <w:footnoteReference w:id="64"/>
      </w:r>
    </w:p>
    <w:p w14:paraId="27B6EBC6" w14:textId="77777777" w:rsidR="00370A41" w:rsidRPr="00B41E87" w:rsidRDefault="00370A41" w:rsidP="00370A4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F7FCA18" w14:textId="22DD14A9"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Throughout this report, the Commission established that Mr. Bucklew did not have access to a</w:t>
      </w:r>
      <w:r w:rsidR="00340A6A" w:rsidRPr="00B41E87">
        <w:rPr>
          <w:rFonts w:asciiTheme="majorHAnsi" w:hAnsiTheme="majorHAnsi"/>
          <w:sz w:val="20"/>
          <w:szCs w:val="20"/>
        </w:rPr>
        <w:t xml:space="preserve">n effective </w:t>
      </w:r>
      <w:r w:rsidRPr="00B41E87">
        <w:rPr>
          <w:rFonts w:asciiTheme="majorHAnsi" w:hAnsiTheme="majorHAnsi"/>
          <w:sz w:val="20"/>
          <w:szCs w:val="20"/>
        </w:rPr>
        <w:t xml:space="preserve">judicial remedy to challenge the method of execution and its specific </w:t>
      </w:r>
      <w:r w:rsidR="00340A6A" w:rsidRPr="00B41E87">
        <w:rPr>
          <w:rFonts w:asciiTheme="majorHAnsi" w:hAnsiTheme="majorHAnsi"/>
          <w:sz w:val="20"/>
          <w:szCs w:val="20"/>
        </w:rPr>
        <w:t xml:space="preserve">consequences for </w:t>
      </w:r>
      <w:r w:rsidRPr="00B41E87">
        <w:rPr>
          <w:rFonts w:asciiTheme="majorHAnsi" w:hAnsiTheme="majorHAnsi"/>
          <w:sz w:val="20"/>
          <w:szCs w:val="20"/>
        </w:rPr>
        <w:t xml:space="preserve">his right to humane treatment and not to receive cruel, infamous or unusual punishment. The Commission also established that </w:t>
      </w:r>
      <w:r w:rsidR="00340A6A" w:rsidRPr="00B41E87">
        <w:rPr>
          <w:rFonts w:asciiTheme="majorHAnsi" w:hAnsiTheme="majorHAnsi"/>
          <w:sz w:val="20"/>
          <w:szCs w:val="20"/>
        </w:rPr>
        <w:t xml:space="preserve">this </w:t>
      </w:r>
      <w:r w:rsidRPr="00B41E87">
        <w:rPr>
          <w:rFonts w:asciiTheme="majorHAnsi" w:hAnsiTheme="majorHAnsi"/>
          <w:sz w:val="20"/>
          <w:szCs w:val="20"/>
        </w:rPr>
        <w:t xml:space="preserve">violation was particularly serious, taking into account the actual risk of excruciating suffering in the event of the application of the lethal injection protocol. Moreover, the Commission already established that the more than 20 years that Mr. Bucklew has been in death row </w:t>
      </w:r>
      <w:r w:rsidR="00340A6A" w:rsidRPr="00B41E87">
        <w:rPr>
          <w:rFonts w:asciiTheme="majorHAnsi" w:hAnsiTheme="majorHAnsi"/>
          <w:sz w:val="20"/>
          <w:szCs w:val="20"/>
        </w:rPr>
        <w:t xml:space="preserve">constitute </w:t>
      </w:r>
      <w:r w:rsidRPr="00B41E87">
        <w:rPr>
          <w:rFonts w:asciiTheme="majorHAnsi" w:hAnsiTheme="majorHAnsi"/>
          <w:sz w:val="20"/>
          <w:szCs w:val="20"/>
        </w:rPr>
        <w:t xml:space="preserve">cruel and inhuman treatment.  </w:t>
      </w:r>
    </w:p>
    <w:p w14:paraId="5478D947" w14:textId="77777777" w:rsidR="00370A41" w:rsidRPr="00B41E87" w:rsidRDefault="00370A41" w:rsidP="00370A41">
      <w:pPr>
        <w:pStyle w:val="ListParagraph"/>
        <w:rPr>
          <w:rFonts w:asciiTheme="majorHAnsi" w:hAnsiTheme="majorHAnsi"/>
          <w:sz w:val="20"/>
          <w:szCs w:val="20"/>
        </w:rPr>
      </w:pPr>
    </w:p>
    <w:p w14:paraId="3B345B79" w14:textId="5FCA0B9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B41E87">
        <w:rPr>
          <w:rStyle w:val="FootnoteReference"/>
          <w:rFonts w:asciiTheme="majorHAnsi" w:hAnsiTheme="majorHAnsi"/>
          <w:sz w:val="20"/>
          <w:szCs w:val="20"/>
        </w:rPr>
        <w:footnoteReference w:id="65"/>
      </w:r>
      <w:r w:rsidRPr="00B41E87">
        <w:rPr>
          <w:rFonts w:asciiTheme="majorHAnsi" w:hAnsiTheme="majorHAnsi"/>
          <w:sz w:val="20"/>
          <w:szCs w:val="20"/>
        </w:rPr>
        <w:t xml:space="preserve"> Also, taking into account the specific circumstances of this case, the Commission considers sufficiently established that the execution of Mr. Bucklew, taking into account his medical condition, presents a </w:t>
      </w:r>
      <w:r w:rsidR="00340A6A" w:rsidRPr="00B41E87">
        <w:rPr>
          <w:rFonts w:asciiTheme="majorHAnsi" w:hAnsiTheme="majorHAnsi"/>
          <w:sz w:val="20"/>
          <w:szCs w:val="20"/>
        </w:rPr>
        <w:t xml:space="preserve">substantial </w:t>
      </w:r>
      <w:r w:rsidRPr="00B41E87">
        <w:rPr>
          <w:rFonts w:asciiTheme="majorHAnsi" w:hAnsiTheme="majorHAnsi"/>
          <w:sz w:val="20"/>
          <w:szCs w:val="20"/>
        </w:rPr>
        <w:t xml:space="preserve">risk of </w:t>
      </w:r>
      <w:r w:rsidR="00340A6A" w:rsidRPr="00B41E87">
        <w:rPr>
          <w:rFonts w:asciiTheme="majorHAnsi" w:hAnsiTheme="majorHAnsi"/>
          <w:sz w:val="20"/>
          <w:szCs w:val="20"/>
        </w:rPr>
        <w:t xml:space="preserve">imposing </w:t>
      </w:r>
      <w:r w:rsidRPr="00B41E87">
        <w:rPr>
          <w:rFonts w:asciiTheme="majorHAnsi" w:hAnsiTheme="majorHAnsi"/>
          <w:sz w:val="20"/>
          <w:szCs w:val="20"/>
        </w:rPr>
        <w:t>cruel and inhuman</w:t>
      </w:r>
      <w:r w:rsidR="00340A6A" w:rsidRPr="00B41E87">
        <w:rPr>
          <w:rFonts w:asciiTheme="majorHAnsi" w:hAnsiTheme="majorHAnsi"/>
          <w:sz w:val="20"/>
          <w:szCs w:val="20"/>
        </w:rPr>
        <w:t xml:space="preserve"> suffering</w:t>
      </w:r>
      <w:r w:rsidRPr="00B41E87">
        <w:rPr>
          <w:rFonts w:asciiTheme="majorHAnsi" w:hAnsiTheme="majorHAnsi"/>
          <w:sz w:val="20"/>
          <w:szCs w:val="20"/>
        </w:rPr>
        <w:t xml:space="preserve">.  </w:t>
      </w:r>
    </w:p>
    <w:p w14:paraId="62A61343" w14:textId="77777777" w:rsidR="00370A41" w:rsidRPr="00B41E87" w:rsidRDefault="00370A41" w:rsidP="00370A41">
      <w:pPr>
        <w:pStyle w:val="ListParagraph"/>
        <w:rPr>
          <w:rFonts w:asciiTheme="majorHAnsi" w:hAnsiTheme="majorHAnsi"/>
          <w:sz w:val="20"/>
          <w:szCs w:val="20"/>
          <w:lang w:val="en"/>
        </w:rPr>
      </w:pPr>
    </w:p>
    <w:p w14:paraId="183DD72C" w14:textId="7777777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lang w:val="en"/>
        </w:rPr>
        <w:t xml:space="preserve">In light of the foregoing and taking into account the determinations made throughout this report, the IACHR concludes that the execution of Russell Bucklew would constitute a serious violation of his rights to life and </w:t>
      </w:r>
      <w:r w:rsidRPr="00B41E87">
        <w:rPr>
          <w:rFonts w:asciiTheme="majorHAnsi" w:hAnsiTheme="majorHAnsi"/>
          <w:sz w:val="20"/>
          <w:szCs w:val="20"/>
        </w:rPr>
        <w:t>not to receive cruel, infamous, or unusual punishment established in Articles I and XXVI of the American Declaration.</w:t>
      </w:r>
    </w:p>
    <w:p w14:paraId="2236A9EB" w14:textId="77777777" w:rsidR="00051BEC" w:rsidRPr="00B41E87" w:rsidRDefault="00051BEC" w:rsidP="00051BEC">
      <w:pPr>
        <w:pStyle w:val="ListParagraph"/>
        <w:rPr>
          <w:rFonts w:asciiTheme="majorHAnsi" w:hAnsiTheme="majorHAnsi"/>
          <w:sz w:val="20"/>
          <w:szCs w:val="20"/>
        </w:rPr>
      </w:pPr>
    </w:p>
    <w:p w14:paraId="26216009" w14:textId="063B1294" w:rsidR="00051BEC" w:rsidRPr="00B41E87" w:rsidRDefault="00051BEC" w:rsidP="00051BEC">
      <w:pPr>
        <w:pStyle w:val="Heading1"/>
        <w:rPr>
          <w:lang w:val="es-CO"/>
        </w:rPr>
      </w:pPr>
      <w:bookmarkStart w:id="71" w:name="_Toc511310305"/>
      <w:bookmarkStart w:id="72" w:name="_Toc512265318"/>
      <w:r w:rsidRPr="00B41E87">
        <w:rPr>
          <w:lang w:val="es-CO"/>
        </w:rPr>
        <w:t>REPORT No. 28/18</w:t>
      </w:r>
      <w:bookmarkEnd w:id="71"/>
      <w:bookmarkEnd w:id="72"/>
    </w:p>
    <w:p w14:paraId="696DED91" w14:textId="77777777" w:rsidR="00051BEC" w:rsidRPr="00B41E87" w:rsidRDefault="00051BEC" w:rsidP="00051B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Arial"/>
          <w:sz w:val="20"/>
          <w:szCs w:val="20"/>
          <w:lang w:val="es-ES_tradnl"/>
        </w:rPr>
      </w:pPr>
    </w:p>
    <w:p w14:paraId="393FCBA3" w14:textId="5150B152" w:rsidR="00051BEC" w:rsidRPr="00B41E87" w:rsidRDefault="00051BEC"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On March 18, 2018 the Commission electronically approved Report No. 28/18 on the merits of this matter, with the following recommendations to the State: </w:t>
      </w:r>
    </w:p>
    <w:p w14:paraId="21966894" w14:textId="77777777" w:rsidR="00051BEC" w:rsidRPr="00B41E87" w:rsidRDefault="00051BEC" w:rsidP="00051B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2DC20DBB" w14:textId="77777777" w:rsidR="00051BEC" w:rsidRPr="00B41E87" w:rsidRDefault="00051BEC" w:rsidP="00051BEC">
      <w:pPr>
        <w:pStyle w:val="ListParagraph"/>
        <w:tabs>
          <w:tab w:val="left" w:pos="720"/>
        </w:tabs>
        <w:ind w:left="0" w:firstLine="720"/>
        <w:jc w:val="both"/>
        <w:rPr>
          <w:rFonts w:asciiTheme="majorHAnsi" w:hAnsiTheme="majorHAnsi" w:cs="Arial"/>
          <w:color w:val="auto"/>
          <w:sz w:val="20"/>
          <w:szCs w:val="20"/>
          <w:lang w:val="en"/>
        </w:rPr>
      </w:pPr>
      <w:r w:rsidRPr="00B41E87">
        <w:rPr>
          <w:rFonts w:asciiTheme="majorHAnsi" w:hAnsiTheme="majorHAnsi"/>
          <w:sz w:val="20"/>
          <w:szCs w:val="20"/>
        </w:rPr>
        <w:t>1.</w:t>
      </w:r>
      <w:r w:rsidRPr="00B41E87">
        <w:rPr>
          <w:rFonts w:asciiTheme="majorHAnsi" w:hAnsiTheme="majorHAnsi"/>
          <w:sz w:val="20"/>
          <w:szCs w:val="20"/>
        </w:rPr>
        <w:tab/>
      </w:r>
      <w:r w:rsidRPr="00B41E87">
        <w:rPr>
          <w:rFonts w:asciiTheme="majorHAnsi" w:hAnsiTheme="majorHAnsi"/>
          <w:color w:val="auto"/>
          <w:sz w:val="20"/>
          <w:szCs w:val="20"/>
        </w:rPr>
        <w:t xml:space="preserve">Grant Russell Bucklew effective relief. </w:t>
      </w:r>
      <w:r w:rsidRPr="00B41E87">
        <w:rPr>
          <w:rFonts w:asciiTheme="majorHAnsi" w:hAnsiTheme="majorHAnsi" w:cs="Arial"/>
          <w:color w:val="auto"/>
          <w:sz w:val="20"/>
          <w:szCs w:val="20"/>
          <w:lang w:val="en"/>
        </w:rPr>
        <w:t>Taking into account the conclusions of the IACHR on the lack of an effective remedy to challenge the method of execution, the time Russell Bucklew has already been held on death row, his rare medical condition and the significant risk, due to that condition, that his execution would cause excessive suffering incompatible with the American Declaration, the Commission recommends that his sentence be commuted, that he be transferred out of death row, and that the State ensure that his conditions of detention are compatible with his human dignity.</w:t>
      </w:r>
    </w:p>
    <w:p w14:paraId="0895837F" w14:textId="77777777" w:rsidR="00051BEC" w:rsidRPr="00B41E87" w:rsidRDefault="00051BEC" w:rsidP="00051BEC">
      <w:pPr>
        <w:pStyle w:val="ListParagraph"/>
        <w:tabs>
          <w:tab w:val="left" w:pos="0"/>
        </w:tabs>
        <w:ind w:left="0" w:firstLine="720"/>
        <w:jc w:val="both"/>
        <w:rPr>
          <w:rFonts w:asciiTheme="majorHAnsi" w:hAnsiTheme="majorHAnsi"/>
          <w:sz w:val="20"/>
          <w:szCs w:val="20"/>
          <w:lang w:val="en"/>
        </w:rPr>
      </w:pPr>
    </w:p>
    <w:p w14:paraId="6AE25A54" w14:textId="77777777" w:rsidR="00051BEC" w:rsidRPr="00B41E87" w:rsidRDefault="00051BEC" w:rsidP="00051BEC">
      <w:pPr>
        <w:pStyle w:val="ListParagraph"/>
        <w:tabs>
          <w:tab w:val="left" w:pos="0"/>
        </w:tabs>
        <w:ind w:left="0" w:firstLine="720"/>
        <w:jc w:val="both"/>
        <w:rPr>
          <w:rFonts w:asciiTheme="majorHAnsi" w:hAnsiTheme="majorHAnsi"/>
          <w:sz w:val="20"/>
          <w:szCs w:val="20"/>
        </w:rPr>
      </w:pPr>
      <w:r w:rsidRPr="00B41E87">
        <w:rPr>
          <w:rFonts w:asciiTheme="majorHAnsi" w:hAnsiTheme="majorHAnsi"/>
          <w:sz w:val="20"/>
          <w:szCs w:val="20"/>
        </w:rPr>
        <w:t>2.</w:t>
      </w:r>
      <w:r w:rsidRPr="00B41E87">
        <w:rPr>
          <w:rFonts w:asciiTheme="majorHAnsi" w:hAnsiTheme="majorHAnsi"/>
          <w:sz w:val="20"/>
          <w:szCs w:val="20"/>
        </w:rPr>
        <w:tab/>
        <w:t xml:space="preserve">Review its laws, procedures, and practices to ensure that the persons sentenced to the death penalty have access to effective judicial remedies to challenge the possible impact of the method of execution on their fundamental rights in accordance with the standards set forth in this merits report. </w:t>
      </w:r>
    </w:p>
    <w:p w14:paraId="08B03564" w14:textId="77777777" w:rsidR="00051BEC" w:rsidRPr="00B41E87" w:rsidRDefault="00051BEC" w:rsidP="00051BEC">
      <w:pPr>
        <w:pStyle w:val="ListParagraph"/>
        <w:tabs>
          <w:tab w:val="left" w:pos="0"/>
        </w:tabs>
        <w:ind w:left="0" w:firstLine="720"/>
        <w:jc w:val="both"/>
        <w:rPr>
          <w:rFonts w:asciiTheme="majorHAnsi" w:hAnsiTheme="majorHAnsi" w:cs="Calibri"/>
          <w:sz w:val="20"/>
          <w:szCs w:val="20"/>
        </w:rPr>
      </w:pPr>
    </w:p>
    <w:p w14:paraId="6AFCEDF4" w14:textId="77777777" w:rsidR="00051BEC" w:rsidRPr="00B41E87" w:rsidRDefault="00051BEC" w:rsidP="00051BEC">
      <w:pPr>
        <w:pStyle w:val="ListParagraph"/>
        <w:tabs>
          <w:tab w:val="left" w:pos="0"/>
        </w:tabs>
        <w:ind w:left="0" w:firstLine="720"/>
        <w:jc w:val="both"/>
        <w:rPr>
          <w:rFonts w:asciiTheme="majorHAnsi" w:hAnsiTheme="majorHAnsi"/>
          <w:sz w:val="20"/>
          <w:szCs w:val="20"/>
        </w:rPr>
      </w:pPr>
      <w:r w:rsidRPr="00B41E87">
        <w:rPr>
          <w:rFonts w:asciiTheme="majorHAnsi" w:hAnsiTheme="majorHAnsi"/>
          <w:sz w:val="20"/>
          <w:szCs w:val="20"/>
        </w:rPr>
        <w:t xml:space="preserve">3. </w:t>
      </w:r>
      <w:r w:rsidRPr="00B41E87">
        <w:rPr>
          <w:rFonts w:asciiTheme="majorHAnsi" w:hAnsiTheme="majorHAnsi"/>
          <w:sz w:val="20"/>
          <w:szCs w:val="20"/>
        </w:rPr>
        <w:tab/>
        <w:t>Given the violations of the American Declaration the IACHR has established in the present case and in others involving application of the death penalty, the Inter-American Commission also recommends to the United States that it adopt a moratorium on the execution of persons sentenced to death.</w:t>
      </w:r>
      <w:r w:rsidRPr="00B41E87">
        <w:rPr>
          <w:rStyle w:val="FootnoteReference"/>
          <w:rFonts w:asciiTheme="majorHAnsi" w:hAnsiTheme="majorHAnsi"/>
          <w:sz w:val="20"/>
          <w:szCs w:val="20"/>
        </w:rPr>
        <w:footnoteReference w:id="66"/>
      </w:r>
    </w:p>
    <w:p w14:paraId="52EEC9D7" w14:textId="77777777" w:rsidR="00051BEC" w:rsidRPr="00B41E87" w:rsidRDefault="00051BEC" w:rsidP="00051B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0BF83B92" w14:textId="43E43678" w:rsidR="00051BEC" w:rsidRPr="00B41E87" w:rsidRDefault="00051BEC" w:rsidP="00051BEC">
      <w:pPr>
        <w:pStyle w:val="Heading1"/>
        <w:rPr>
          <w:b w:val="0"/>
          <w:lang w:val="en-US"/>
        </w:rPr>
      </w:pPr>
      <w:bookmarkStart w:id="73" w:name="_Toc511310306"/>
      <w:bookmarkStart w:id="74" w:name="_Toc512265319"/>
      <w:r w:rsidRPr="00B41E87">
        <w:t xml:space="preserve">ACTIONS SUBSEQUENT TO REPORT No. </w:t>
      </w:r>
      <w:r w:rsidRPr="00B41E87">
        <w:rPr>
          <w:lang w:val="en-US"/>
        </w:rPr>
        <w:t>28/18</w:t>
      </w:r>
      <w:bookmarkEnd w:id="73"/>
      <w:bookmarkEnd w:id="74"/>
    </w:p>
    <w:p w14:paraId="4D120A2F" w14:textId="77777777" w:rsidR="00051BEC" w:rsidRPr="00B41E87" w:rsidRDefault="00051BEC" w:rsidP="00051BEC">
      <w:pPr>
        <w:pStyle w:val="ListParagraph"/>
        <w:rPr>
          <w:rFonts w:asciiTheme="majorHAnsi" w:hAnsiTheme="majorHAnsi"/>
          <w:sz w:val="20"/>
          <w:szCs w:val="20"/>
        </w:rPr>
      </w:pPr>
    </w:p>
    <w:p w14:paraId="481D851D" w14:textId="19BAE99E" w:rsidR="00051BEC" w:rsidRPr="00B41E87" w:rsidRDefault="001B1E67"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lastRenderedPageBreak/>
        <w:t>At the time, report 28/18 was approved, t</w:t>
      </w:r>
      <w:r w:rsidR="00051BEC" w:rsidRPr="00B41E87">
        <w:rPr>
          <w:rFonts w:asciiTheme="majorHAnsi" w:hAnsiTheme="majorHAnsi"/>
          <w:sz w:val="20"/>
          <w:szCs w:val="20"/>
        </w:rPr>
        <w:t xml:space="preserve">he execution of Russell Bucklew was scheduled for March 20, 2018. </w:t>
      </w:r>
    </w:p>
    <w:p w14:paraId="2F8893C9" w14:textId="77777777" w:rsidR="00051BEC" w:rsidRPr="00B41E87" w:rsidRDefault="00051BEC" w:rsidP="00051B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rPr>
      </w:pPr>
      <w:r w:rsidRPr="00B41E87">
        <w:rPr>
          <w:rFonts w:asciiTheme="majorHAnsi" w:hAnsiTheme="majorHAnsi"/>
          <w:sz w:val="20"/>
          <w:szCs w:val="20"/>
        </w:rPr>
        <w:t xml:space="preserve"> </w:t>
      </w:r>
    </w:p>
    <w:p w14:paraId="7A6CA67F" w14:textId="7D7D1BA5" w:rsidR="00051BEC" w:rsidRPr="00B41E87" w:rsidRDefault="00051BEC"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On March 19, 2018 the Commission transmitted the report to the State, and in accordance with the conclusions </w:t>
      </w:r>
      <w:r w:rsidR="001B1E67" w:rsidRPr="00B41E87">
        <w:rPr>
          <w:rFonts w:asciiTheme="majorHAnsi" w:hAnsiTheme="majorHAnsi"/>
          <w:sz w:val="20"/>
          <w:szCs w:val="20"/>
        </w:rPr>
        <w:t>issued in that</w:t>
      </w:r>
      <w:r w:rsidRPr="00B41E87">
        <w:rPr>
          <w:rFonts w:asciiTheme="majorHAnsi" w:hAnsiTheme="majorHAnsi"/>
          <w:sz w:val="20"/>
          <w:szCs w:val="20"/>
        </w:rPr>
        <w:t xml:space="preserve"> report, it urged the State to stay the execution of Mr. Bucklew scheduled for the next day. The IACHR requested the State </w:t>
      </w:r>
      <w:r w:rsidR="001B1E67" w:rsidRPr="00B41E87">
        <w:rPr>
          <w:rFonts w:asciiTheme="majorHAnsi" w:hAnsiTheme="majorHAnsi"/>
          <w:sz w:val="20"/>
          <w:szCs w:val="20"/>
        </w:rPr>
        <w:t>by the next day,</w:t>
      </w:r>
      <w:r w:rsidRPr="00B41E87">
        <w:rPr>
          <w:rFonts w:asciiTheme="majorHAnsi" w:hAnsiTheme="majorHAnsi"/>
          <w:sz w:val="20"/>
          <w:szCs w:val="20"/>
        </w:rPr>
        <w:t xml:space="preserve"> to present information on the measures taken to comply with the recommendations set for</w:t>
      </w:r>
      <w:r w:rsidR="00C84B03" w:rsidRPr="00B41E87">
        <w:rPr>
          <w:rFonts w:asciiTheme="majorHAnsi" w:hAnsiTheme="majorHAnsi"/>
          <w:sz w:val="20"/>
          <w:szCs w:val="20"/>
        </w:rPr>
        <w:t xml:space="preserve">th </w:t>
      </w:r>
      <w:r w:rsidRPr="00B41E87">
        <w:rPr>
          <w:rFonts w:asciiTheme="majorHAnsi" w:hAnsiTheme="majorHAnsi"/>
          <w:sz w:val="20"/>
          <w:szCs w:val="20"/>
        </w:rPr>
        <w:t xml:space="preserve">in the report. </w:t>
      </w:r>
    </w:p>
    <w:p w14:paraId="353C61A7" w14:textId="77777777" w:rsidR="00051BEC" w:rsidRPr="00B41E87" w:rsidRDefault="00051BEC" w:rsidP="00051BEC">
      <w:pPr>
        <w:pStyle w:val="ListParagraph"/>
        <w:rPr>
          <w:rFonts w:asciiTheme="majorHAnsi" w:hAnsiTheme="majorHAnsi"/>
          <w:sz w:val="20"/>
          <w:szCs w:val="20"/>
        </w:rPr>
      </w:pPr>
    </w:p>
    <w:p w14:paraId="259A4F3A" w14:textId="78D79400" w:rsidR="00051BEC" w:rsidRPr="00B41E87" w:rsidRDefault="00467364"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On March 20, 2018 the State presented a note in response to Report No. 28/18 indicating that it had taken under advisement the “nonbinding recommendations” set forth in the report, and informed that it had forwarded the report to the Governor and Attorney General of Missouri for their consideration. </w:t>
      </w:r>
    </w:p>
    <w:p w14:paraId="2BDE294E" w14:textId="77777777" w:rsidR="00051BEC" w:rsidRPr="00B41E87" w:rsidRDefault="00051BEC" w:rsidP="00051B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20"/>
          <w:szCs w:val="20"/>
        </w:rPr>
      </w:pPr>
    </w:p>
    <w:p w14:paraId="0155B0E0" w14:textId="614F4B53" w:rsidR="00467364" w:rsidRPr="00B41E87" w:rsidRDefault="00467364"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According to </w:t>
      </w:r>
      <w:r w:rsidR="001B1E67" w:rsidRPr="00B41E87">
        <w:rPr>
          <w:rFonts w:asciiTheme="majorHAnsi" w:hAnsiTheme="majorHAnsi"/>
          <w:sz w:val="20"/>
          <w:szCs w:val="20"/>
        </w:rPr>
        <w:t>publicly available</w:t>
      </w:r>
      <w:r w:rsidRPr="00B41E87">
        <w:rPr>
          <w:rFonts w:asciiTheme="majorHAnsi" w:hAnsiTheme="majorHAnsi"/>
          <w:sz w:val="20"/>
          <w:szCs w:val="20"/>
        </w:rPr>
        <w:t xml:space="preserve"> information of public knowledge, on March 20, 2018 the U.S. Federal Supreme Court stayed the execution of Mr. Bucklew scheduled for that same date, pending the resolution of a </w:t>
      </w:r>
      <w:r w:rsidRPr="00B41E87">
        <w:rPr>
          <w:rFonts w:asciiTheme="majorHAnsi" w:hAnsiTheme="majorHAnsi"/>
          <w:i/>
          <w:sz w:val="20"/>
          <w:szCs w:val="20"/>
        </w:rPr>
        <w:t>writ of certiorari</w:t>
      </w:r>
      <w:r w:rsidRPr="00B41E87">
        <w:rPr>
          <w:rFonts w:asciiTheme="majorHAnsi" w:hAnsiTheme="majorHAnsi"/>
          <w:sz w:val="20"/>
          <w:szCs w:val="20"/>
        </w:rPr>
        <w:t xml:space="preserve">. </w:t>
      </w:r>
      <w:r w:rsidR="001B1E67" w:rsidRPr="00B41E87">
        <w:rPr>
          <w:rFonts w:asciiTheme="majorHAnsi" w:hAnsiTheme="majorHAnsi"/>
          <w:sz w:val="20"/>
          <w:szCs w:val="20"/>
        </w:rPr>
        <w:t>As of</w:t>
      </w:r>
      <w:r w:rsidR="0067260A" w:rsidRPr="00B41E87">
        <w:rPr>
          <w:rFonts w:asciiTheme="majorHAnsi" w:hAnsiTheme="majorHAnsi"/>
          <w:sz w:val="20"/>
          <w:szCs w:val="20"/>
        </w:rPr>
        <w:t xml:space="preserve"> </w:t>
      </w:r>
      <w:r w:rsidRPr="00B41E87">
        <w:rPr>
          <w:rFonts w:asciiTheme="majorHAnsi" w:hAnsiTheme="majorHAnsi"/>
          <w:sz w:val="20"/>
          <w:szCs w:val="20"/>
        </w:rPr>
        <w:t xml:space="preserve">the date of approval of this final report on the merits, a hearing within that proceeding </w:t>
      </w:r>
      <w:r w:rsidR="00A6377A" w:rsidRPr="00B41E87">
        <w:rPr>
          <w:rFonts w:asciiTheme="majorHAnsi" w:hAnsiTheme="majorHAnsi"/>
          <w:sz w:val="20"/>
          <w:szCs w:val="20"/>
        </w:rPr>
        <w:t xml:space="preserve">remains </w:t>
      </w:r>
      <w:r w:rsidRPr="00B41E87">
        <w:rPr>
          <w:rFonts w:asciiTheme="majorHAnsi" w:hAnsiTheme="majorHAnsi"/>
          <w:sz w:val="20"/>
          <w:szCs w:val="20"/>
        </w:rPr>
        <w:t>scheduled for April 13, 2018.</w:t>
      </w:r>
      <w:r w:rsidRPr="00B41E87">
        <w:rPr>
          <w:rStyle w:val="FootnoteReference"/>
          <w:rFonts w:asciiTheme="majorHAnsi" w:hAnsiTheme="majorHAnsi"/>
          <w:sz w:val="20"/>
          <w:szCs w:val="20"/>
          <w:lang w:val="es-ES"/>
        </w:rPr>
        <w:footnoteReference w:id="67"/>
      </w:r>
    </w:p>
    <w:p w14:paraId="7E5D1B85" w14:textId="77777777" w:rsidR="00BD6399" w:rsidRPr="00B41E87" w:rsidRDefault="00BD6399" w:rsidP="00BD6399">
      <w:pPr>
        <w:pStyle w:val="ListParagraph"/>
        <w:rPr>
          <w:rFonts w:asciiTheme="majorHAnsi" w:hAnsiTheme="majorHAnsi"/>
          <w:sz w:val="20"/>
          <w:szCs w:val="20"/>
        </w:rPr>
      </w:pPr>
    </w:p>
    <w:p w14:paraId="73C1DA0F" w14:textId="42F6F14D" w:rsidR="00BD6399" w:rsidRPr="00B41E87" w:rsidRDefault="00BD6399" w:rsidP="00BD6399">
      <w:pPr>
        <w:pStyle w:val="Heading1"/>
        <w:rPr>
          <w:b w:val="0"/>
          <w:lang w:val="en-US"/>
        </w:rPr>
      </w:pPr>
      <w:bookmarkStart w:id="75" w:name="_Toc512265320"/>
      <w:r w:rsidRPr="00B41E87">
        <w:t xml:space="preserve">REPORT No. </w:t>
      </w:r>
      <w:r w:rsidRPr="00B41E87">
        <w:rPr>
          <w:lang w:val="en-US"/>
        </w:rPr>
        <w:t>30/18</w:t>
      </w:r>
      <w:bookmarkEnd w:id="75"/>
    </w:p>
    <w:p w14:paraId="6ED7667C" w14:textId="77777777" w:rsidR="00BD6399" w:rsidRPr="00B41E87" w:rsidRDefault="00BD6399" w:rsidP="00BD6399">
      <w:pPr>
        <w:pStyle w:val="ListParagraph"/>
        <w:rPr>
          <w:rFonts w:asciiTheme="majorHAnsi" w:hAnsiTheme="majorHAnsi"/>
          <w:sz w:val="20"/>
          <w:szCs w:val="20"/>
        </w:rPr>
      </w:pPr>
    </w:p>
    <w:p w14:paraId="1AC78439" w14:textId="35F30C31" w:rsidR="00BD6399" w:rsidRPr="00B41E87" w:rsidRDefault="00BD6399" w:rsidP="00051B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On April 11, 2018 the Commission approved its Report No. 30/18 containing the final conclusions and recommendations. As set forth in Article 42.7 of its Rules of Procedure, on April 12, 2018 the Commission transmitted the report to the parties with a time period of one week to present information on the measures taken to comply with the final recommendations. </w:t>
      </w:r>
    </w:p>
    <w:p w14:paraId="4F6F3201" w14:textId="77777777" w:rsidR="00467364" w:rsidRPr="00B41E87" w:rsidRDefault="00467364" w:rsidP="00467364">
      <w:pPr>
        <w:pStyle w:val="ListParagraph"/>
        <w:rPr>
          <w:rFonts w:asciiTheme="majorHAnsi" w:hAnsiTheme="majorHAnsi"/>
          <w:sz w:val="20"/>
          <w:szCs w:val="20"/>
        </w:rPr>
      </w:pPr>
    </w:p>
    <w:p w14:paraId="2C21AEC1" w14:textId="5DBADFA9" w:rsidR="00BD6399" w:rsidRPr="00B41E87" w:rsidRDefault="00BD6399" w:rsidP="00BD6399">
      <w:pPr>
        <w:pStyle w:val="Heading1"/>
      </w:pPr>
      <w:bookmarkStart w:id="76" w:name="_Toc512265321"/>
      <w:r w:rsidRPr="00B41E87">
        <w:t>ACTIONS SUBSEQUENT TO REPORT No. 30/18</w:t>
      </w:r>
      <w:bookmarkEnd w:id="76"/>
    </w:p>
    <w:p w14:paraId="0F0C1629" w14:textId="77777777" w:rsidR="00BD6399" w:rsidRPr="00B41E87" w:rsidRDefault="00BD6399" w:rsidP="00BD6399">
      <w:pPr>
        <w:rPr>
          <w:rFonts w:asciiTheme="majorHAnsi" w:hAnsiTheme="majorHAnsi"/>
          <w:lang w:val="en"/>
        </w:rPr>
      </w:pPr>
    </w:p>
    <w:p w14:paraId="13C74AE9" w14:textId="4B0B83DE" w:rsidR="00BD6399" w:rsidRPr="00B41E87" w:rsidRDefault="00BD6399" w:rsidP="00BD63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 w:val="num" w:pos="72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To the date of approval of the instant report </w:t>
      </w:r>
      <w:r w:rsidR="008C33FC" w:rsidRPr="00B41E87">
        <w:rPr>
          <w:rFonts w:asciiTheme="majorHAnsi" w:hAnsiTheme="majorHAnsi"/>
          <w:sz w:val="20"/>
          <w:szCs w:val="20"/>
        </w:rPr>
        <w:t xml:space="preserve">the Commission did not receive information from the parties. According to publicly available information of public knowledge, the hearing within the proceeding referred in paragraph 102 was rescheduled for April </w:t>
      </w:r>
      <w:r w:rsidR="00753322" w:rsidRPr="00B41E87">
        <w:rPr>
          <w:rFonts w:asciiTheme="majorHAnsi" w:hAnsiTheme="majorHAnsi"/>
          <w:sz w:val="20"/>
          <w:szCs w:val="20"/>
        </w:rPr>
        <w:t xml:space="preserve">27, </w:t>
      </w:r>
      <w:r w:rsidR="008C33FC" w:rsidRPr="00B41E87">
        <w:rPr>
          <w:rFonts w:asciiTheme="majorHAnsi" w:hAnsiTheme="majorHAnsi"/>
          <w:sz w:val="20"/>
          <w:szCs w:val="20"/>
        </w:rPr>
        <w:t>2018.</w:t>
      </w:r>
      <w:r w:rsidR="008C33FC" w:rsidRPr="00B41E87">
        <w:rPr>
          <w:rStyle w:val="FootnoteReference"/>
          <w:rFonts w:asciiTheme="majorHAnsi" w:hAnsiTheme="majorHAnsi"/>
          <w:sz w:val="20"/>
          <w:szCs w:val="20"/>
          <w:lang w:val="es-ES"/>
        </w:rPr>
        <w:footnoteReference w:id="68"/>
      </w:r>
      <w:r w:rsidR="008C33FC" w:rsidRPr="00B41E87">
        <w:rPr>
          <w:rFonts w:asciiTheme="majorHAnsi" w:hAnsiTheme="majorHAnsi"/>
          <w:sz w:val="20"/>
          <w:szCs w:val="20"/>
        </w:rPr>
        <w:t xml:space="preserve"> </w:t>
      </w:r>
    </w:p>
    <w:p w14:paraId="2D44313D" w14:textId="030F270A" w:rsidR="002D6454" w:rsidRPr="00B41E87" w:rsidRDefault="002D6454">
      <w:pPr>
        <w:rPr>
          <w:rFonts w:asciiTheme="majorHAnsi" w:eastAsia="Cambria" w:hAnsiTheme="majorHAnsi" w:cs="Cambria"/>
          <w:color w:val="000000"/>
          <w:sz w:val="20"/>
          <w:szCs w:val="20"/>
          <w:u w:color="000000"/>
          <w:lang w:eastAsia="es-ES"/>
        </w:rPr>
      </w:pPr>
      <w:r w:rsidRPr="00B41E87">
        <w:rPr>
          <w:rFonts w:asciiTheme="majorHAnsi" w:hAnsiTheme="majorHAnsi"/>
          <w:sz w:val="20"/>
          <w:szCs w:val="20"/>
        </w:rPr>
        <w:br w:type="page"/>
      </w:r>
    </w:p>
    <w:p w14:paraId="7759678C" w14:textId="77777777" w:rsidR="00BD6399" w:rsidRPr="00B41E87" w:rsidRDefault="00BD6399" w:rsidP="00467364">
      <w:pPr>
        <w:pStyle w:val="ListParagraph"/>
        <w:rPr>
          <w:rFonts w:asciiTheme="majorHAnsi" w:hAnsiTheme="majorHAnsi"/>
          <w:sz w:val="20"/>
          <w:szCs w:val="20"/>
        </w:rPr>
      </w:pPr>
    </w:p>
    <w:p w14:paraId="66AE387F" w14:textId="54E31D87" w:rsidR="00370A41" w:rsidRPr="00B41E87" w:rsidRDefault="00467364" w:rsidP="006961C6">
      <w:pPr>
        <w:pStyle w:val="Heading1"/>
      </w:pPr>
      <w:bookmarkStart w:id="77" w:name="_Toc469320067"/>
      <w:bookmarkStart w:id="78" w:name="_Toc511310307"/>
      <w:bookmarkStart w:id="79" w:name="_Toc512265322"/>
      <w:r w:rsidRPr="00B41E87">
        <w:t xml:space="preserve">FINAL </w:t>
      </w:r>
      <w:r w:rsidR="00370A41" w:rsidRPr="00B41E87">
        <w:t>CONCLUSIONS AND RECOMMENDATIONS</w:t>
      </w:r>
      <w:bookmarkEnd w:id="77"/>
      <w:bookmarkEnd w:id="78"/>
      <w:bookmarkEnd w:id="79"/>
    </w:p>
    <w:p w14:paraId="44BA43F1" w14:textId="77777777" w:rsidR="00370A41" w:rsidRPr="00B41E87" w:rsidRDefault="00370A41" w:rsidP="00370A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00"/>
        <w:jc w:val="both"/>
        <w:rPr>
          <w:rFonts w:asciiTheme="majorHAnsi" w:hAnsiTheme="majorHAnsi"/>
          <w:sz w:val="20"/>
          <w:szCs w:val="20"/>
        </w:rPr>
      </w:pPr>
    </w:p>
    <w:p w14:paraId="47FBADEF" w14:textId="502F6FDC" w:rsidR="00467364" w:rsidRPr="00B41E87" w:rsidRDefault="00467364" w:rsidP="0046736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From the available information </w:t>
      </w:r>
      <w:r w:rsidR="00A6377A" w:rsidRPr="00B41E87">
        <w:rPr>
          <w:rFonts w:asciiTheme="majorHAnsi" w:hAnsiTheme="majorHAnsi"/>
          <w:sz w:val="20"/>
          <w:szCs w:val="20"/>
        </w:rPr>
        <w:t>as of</w:t>
      </w:r>
      <w:r w:rsidRPr="00B41E87">
        <w:rPr>
          <w:rFonts w:asciiTheme="majorHAnsi" w:hAnsiTheme="majorHAnsi"/>
          <w:sz w:val="20"/>
          <w:szCs w:val="20"/>
        </w:rPr>
        <w:t xml:space="preserve"> the date of the approval of th</w:t>
      </w:r>
      <w:r w:rsidR="002C0C10" w:rsidRPr="00B41E87">
        <w:rPr>
          <w:rFonts w:asciiTheme="majorHAnsi" w:hAnsiTheme="majorHAnsi"/>
          <w:sz w:val="20"/>
          <w:szCs w:val="20"/>
        </w:rPr>
        <w:t>e present</w:t>
      </w:r>
      <w:r w:rsidRPr="00B41E87">
        <w:rPr>
          <w:rFonts w:asciiTheme="majorHAnsi" w:hAnsiTheme="majorHAnsi"/>
          <w:sz w:val="20"/>
          <w:szCs w:val="20"/>
        </w:rPr>
        <w:t xml:space="preserve"> report, the Commission </w:t>
      </w:r>
      <w:r w:rsidR="002C0C10" w:rsidRPr="00B41E87">
        <w:rPr>
          <w:rFonts w:asciiTheme="majorHAnsi" w:hAnsiTheme="majorHAnsi"/>
          <w:sz w:val="20"/>
          <w:szCs w:val="20"/>
        </w:rPr>
        <w:t>observes</w:t>
      </w:r>
      <w:r w:rsidRPr="00B41E87">
        <w:rPr>
          <w:rFonts w:asciiTheme="majorHAnsi" w:hAnsiTheme="majorHAnsi"/>
          <w:sz w:val="20"/>
          <w:szCs w:val="20"/>
        </w:rPr>
        <w:t xml:space="preserve"> that the United States has not complied with the recommendations </w:t>
      </w:r>
      <w:r w:rsidR="002C0C10" w:rsidRPr="00B41E87">
        <w:rPr>
          <w:rFonts w:asciiTheme="majorHAnsi" w:hAnsiTheme="majorHAnsi"/>
          <w:sz w:val="20"/>
          <w:szCs w:val="20"/>
        </w:rPr>
        <w:t xml:space="preserve">set forth in the merits report, and that the matter is under consideration by the U.S. Supreme Court. </w:t>
      </w:r>
    </w:p>
    <w:p w14:paraId="1D4C732E" w14:textId="77777777" w:rsidR="00467364" w:rsidRPr="00B41E87" w:rsidRDefault="00467364" w:rsidP="0046736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38CD4C4B" w14:textId="11851638" w:rsidR="00370A41" w:rsidRPr="00B41E87" w:rsidRDefault="0067260A"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Therefore, b</w:t>
      </w:r>
      <w:r w:rsidR="00370A41" w:rsidRPr="00B41E87">
        <w:rPr>
          <w:rFonts w:asciiTheme="majorHAnsi" w:hAnsiTheme="majorHAnsi"/>
          <w:sz w:val="20"/>
          <w:szCs w:val="20"/>
        </w:rPr>
        <w:t xml:space="preserve">ased on the considerations </w:t>
      </w:r>
      <w:r w:rsidR="002C0C10" w:rsidRPr="00B41E87">
        <w:rPr>
          <w:rFonts w:asciiTheme="majorHAnsi" w:hAnsiTheme="majorHAnsi"/>
          <w:sz w:val="20"/>
          <w:szCs w:val="20"/>
        </w:rPr>
        <w:t xml:space="preserve">of law and fact </w:t>
      </w:r>
      <w:r w:rsidR="00C84B03" w:rsidRPr="00B41E87">
        <w:rPr>
          <w:rFonts w:asciiTheme="majorHAnsi" w:hAnsiTheme="majorHAnsi"/>
          <w:sz w:val="20"/>
          <w:szCs w:val="20"/>
        </w:rPr>
        <w:t>established</w:t>
      </w:r>
      <w:r w:rsidR="00370A41" w:rsidRPr="00B41E87">
        <w:rPr>
          <w:rFonts w:asciiTheme="majorHAnsi" w:hAnsiTheme="majorHAnsi"/>
          <w:sz w:val="20"/>
          <w:szCs w:val="20"/>
        </w:rPr>
        <w:t xml:space="preserve"> in this report, the Inter-American Commission </w:t>
      </w:r>
      <w:r w:rsidRPr="00B41E87">
        <w:rPr>
          <w:rFonts w:asciiTheme="majorHAnsi" w:hAnsiTheme="majorHAnsi"/>
          <w:sz w:val="20"/>
          <w:szCs w:val="20"/>
        </w:rPr>
        <w:t>reiterates</w:t>
      </w:r>
      <w:r w:rsidR="00370A41" w:rsidRPr="00B41E87">
        <w:rPr>
          <w:rFonts w:asciiTheme="majorHAnsi" w:hAnsiTheme="majorHAnsi"/>
          <w:sz w:val="20"/>
          <w:szCs w:val="20"/>
        </w:rPr>
        <w:t xml:space="preserve"> that the United States is responsible for violating Articles I (right to life, liberty, personal security and integrity), XVIII (right to a fair trial) and XXVI (right to due process of law) of the American Declaration to the detriment of Russell Bucklew. If Russell Bucklew were to be executed, the State would also be responsible for a serious and irreparable violation of the fundamental rights to life </w:t>
      </w:r>
      <w:r w:rsidR="00370A41" w:rsidRPr="00B41E87">
        <w:rPr>
          <w:rFonts w:asciiTheme="majorHAnsi" w:hAnsiTheme="majorHAnsi"/>
          <w:sz w:val="20"/>
          <w:szCs w:val="20"/>
          <w:lang w:val="en"/>
        </w:rPr>
        <w:t xml:space="preserve">and </w:t>
      </w:r>
      <w:r w:rsidR="00370A41" w:rsidRPr="00B41E87">
        <w:rPr>
          <w:rFonts w:asciiTheme="majorHAnsi" w:hAnsiTheme="majorHAnsi"/>
          <w:sz w:val="20"/>
          <w:szCs w:val="20"/>
        </w:rPr>
        <w:t>not to receive cruel, infamous, or unusual punishment protected by Articles I and XXVI of the American Declaration.</w:t>
      </w:r>
    </w:p>
    <w:p w14:paraId="36F4A79F" w14:textId="77777777" w:rsidR="00370A41" w:rsidRPr="00B41E87" w:rsidRDefault="00370A41" w:rsidP="00370A4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p>
    <w:p w14:paraId="62CF5873" w14:textId="5ACABD97" w:rsidR="00370A41" w:rsidRPr="00B41E87" w:rsidRDefault="00370A41" w:rsidP="00370A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cs="Arial"/>
          <w:sz w:val="20"/>
          <w:szCs w:val="20"/>
        </w:rPr>
      </w:pPr>
      <w:r w:rsidRPr="00B41E87">
        <w:rPr>
          <w:rFonts w:asciiTheme="majorHAnsi" w:hAnsiTheme="majorHAnsi"/>
          <w:sz w:val="20"/>
          <w:szCs w:val="20"/>
        </w:rPr>
        <w:t xml:space="preserve">Russell Bucklew is the beneficiary of precautionary measures adopted by the Inter-American Commission under Article 25 of its Rules of Procedure. The Inter-American Commission </w:t>
      </w:r>
      <w:r w:rsidR="00B5154B" w:rsidRPr="00B41E87">
        <w:rPr>
          <w:rFonts w:asciiTheme="majorHAnsi" w:hAnsiTheme="majorHAnsi"/>
          <w:sz w:val="20"/>
          <w:szCs w:val="20"/>
        </w:rPr>
        <w:t xml:space="preserve">reaffirms to the State that </w:t>
      </w:r>
      <w:r w:rsidRPr="00B41E87">
        <w:rPr>
          <w:rFonts w:asciiTheme="majorHAnsi" w:hAnsiTheme="majorHAnsi"/>
          <w:sz w:val="20"/>
          <w:szCs w:val="20"/>
        </w:rPr>
        <w:t xml:space="preserve">carrying out a death sentence in </w:t>
      </w:r>
      <w:r w:rsidR="00B5154B" w:rsidRPr="00B41E87">
        <w:rPr>
          <w:rFonts w:asciiTheme="majorHAnsi" w:hAnsiTheme="majorHAnsi"/>
          <w:sz w:val="20"/>
          <w:szCs w:val="20"/>
        </w:rPr>
        <w:t xml:space="preserve">the </w:t>
      </w:r>
      <w:r w:rsidRPr="00B41E87">
        <w:rPr>
          <w:rFonts w:asciiTheme="majorHAnsi" w:hAnsiTheme="majorHAnsi"/>
          <w:sz w:val="20"/>
          <w:szCs w:val="20"/>
        </w:rPr>
        <w:t xml:space="preserve">circumstances </w:t>
      </w:r>
      <w:r w:rsidR="00B5154B" w:rsidRPr="00B41E87">
        <w:rPr>
          <w:rFonts w:asciiTheme="majorHAnsi" w:hAnsiTheme="majorHAnsi"/>
          <w:sz w:val="20"/>
          <w:szCs w:val="20"/>
        </w:rPr>
        <w:t xml:space="preserve">of the present case </w:t>
      </w:r>
      <w:r w:rsidRPr="00B41E87">
        <w:rPr>
          <w:rFonts w:asciiTheme="majorHAnsi" w:hAnsiTheme="majorHAnsi"/>
          <w:sz w:val="20"/>
          <w:szCs w:val="20"/>
        </w:rPr>
        <w:t xml:space="preserve">would not only cause irreparable harm to the person but would also deny his right to petition the Inter-American human rights system and to obtain an effective result, and that such a measure </w:t>
      </w:r>
      <w:r w:rsidR="00B5154B" w:rsidRPr="00B41E87">
        <w:rPr>
          <w:rFonts w:asciiTheme="majorHAnsi" w:hAnsiTheme="majorHAnsi"/>
          <w:sz w:val="20"/>
          <w:szCs w:val="20"/>
        </w:rPr>
        <w:t xml:space="preserve">would be </w:t>
      </w:r>
      <w:r w:rsidRPr="00B41E87">
        <w:rPr>
          <w:rFonts w:asciiTheme="majorHAnsi" w:hAnsiTheme="majorHAnsi"/>
          <w:sz w:val="20"/>
          <w:szCs w:val="20"/>
        </w:rPr>
        <w:t xml:space="preserve">contrary to the fundamental human rights obligations of </w:t>
      </w:r>
      <w:r w:rsidR="00B5154B" w:rsidRPr="00B41E87">
        <w:rPr>
          <w:rFonts w:asciiTheme="majorHAnsi" w:hAnsiTheme="majorHAnsi"/>
          <w:sz w:val="20"/>
          <w:szCs w:val="20"/>
        </w:rPr>
        <w:t xml:space="preserve">the United States as </w:t>
      </w:r>
      <w:r w:rsidRPr="00B41E87">
        <w:rPr>
          <w:rFonts w:asciiTheme="majorHAnsi" w:hAnsiTheme="majorHAnsi"/>
          <w:sz w:val="20"/>
          <w:szCs w:val="20"/>
        </w:rPr>
        <w:t xml:space="preserve">a member </w:t>
      </w:r>
      <w:r w:rsidR="00B5154B" w:rsidRPr="00B41E87">
        <w:rPr>
          <w:rFonts w:asciiTheme="majorHAnsi" w:hAnsiTheme="majorHAnsi"/>
          <w:sz w:val="20"/>
          <w:szCs w:val="20"/>
        </w:rPr>
        <w:t xml:space="preserve">of the OAS </w:t>
      </w:r>
      <w:r w:rsidRPr="00B41E87">
        <w:rPr>
          <w:rFonts w:asciiTheme="majorHAnsi" w:hAnsiTheme="majorHAnsi"/>
          <w:sz w:val="20"/>
          <w:szCs w:val="20"/>
        </w:rPr>
        <w:t>pursuant to the Charter of the Organization and the instruments deriving from it.</w:t>
      </w:r>
      <w:r w:rsidRPr="00B41E87">
        <w:rPr>
          <w:rStyle w:val="FootnoteReference"/>
          <w:rFonts w:asciiTheme="majorHAnsi" w:hAnsiTheme="majorHAnsi"/>
          <w:sz w:val="20"/>
          <w:szCs w:val="20"/>
        </w:rPr>
        <w:footnoteReference w:id="69"/>
      </w:r>
    </w:p>
    <w:p w14:paraId="47811DE0" w14:textId="77777777" w:rsidR="00370A41" w:rsidRPr="00B41E87" w:rsidRDefault="00370A41" w:rsidP="00370A41">
      <w:pPr>
        <w:pStyle w:val="ListParagraph"/>
        <w:ind w:left="1500"/>
        <w:jc w:val="both"/>
        <w:rPr>
          <w:rFonts w:asciiTheme="majorHAnsi" w:hAnsiTheme="majorHAnsi" w:cs="Arial"/>
          <w:sz w:val="20"/>
          <w:szCs w:val="20"/>
        </w:rPr>
      </w:pPr>
    </w:p>
    <w:p w14:paraId="3F63FC02" w14:textId="77777777" w:rsidR="00370A41" w:rsidRPr="00B41E87" w:rsidRDefault="00370A41" w:rsidP="006961C6">
      <w:pPr>
        <w:ind w:firstLine="720"/>
        <w:jc w:val="both"/>
        <w:rPr>
          <w:rFonts w:asciiTheme="majorHAnsi" w:hAnsiTheme="majorHAnsi"/>
          <w:sz w:val="20"/>
          <w:szCs w:val="20"/>
        </w:rPr>
      </w:pPr>
      <w:r w:rsidRPr="00B41E87">
        <w:rPr>
          <w:rFonts w:asciiTheme="majorHAnsi" w:hAnsiTheme="majorHAnsi"/>
          <w:sz w:val="20"/>
          <w:szCs w:val="20"/>
        </w:rPr>
        <w:t>Accordingly,</w:t>
      </w:r>
    </w:p>
    <w:p w14:paraId="79C7A633" w14:textId="77777777" w:rsidR="00370A41" w:rsidRPr="00B41E87" w:rsidRDefault="00370A41" w:rsidP="00370A41">
      <w:pPr>
        <w:pStyle w:val="ListParagraph"/>
        <w:ind w:left="1500"/>
        <w:jc w:val="both"/>
        <w:rPr>
          <w:rFonts w:asciiTheme="majorHAnsi" w:hAnsiTheme="majorHAnsi"/>
          <w:color w:val="auto"/>
          <w:sz w:val="20"/>
          <w:szCs w:val="20"/>
        </w:rPr>
      </w:pPr>
    </w:p>
    <w:p w14:paraId="7B3FEBAF" w14:textId="19CB63E6" w:rsidR="00370A41" w:rsidRPr="00B41E87" w:rsidRDefault="00370A41" w:rsidP="00370A41">
      <w:pPr>
        <w:pStyle w:val="ListParagraph"/>
        <w:ind w:left="0" w:firstLine="720"/>
        <w:jc w:val="both"/>
        <w:rPr>
          <w:rFonts w:asciiTheme="majorHAnsi" w:hAnsiTheme="majorHAnsi" w:cs="Arial"/>
          <w:b/>
          <w:sz w:val="20"/>
          <w:szCs w:val="20"/>
        </w:rPr>
      </w:pPr>
      <w:r w:rsidRPr="00B41E87">
        <w:rPr>
          <w:rFonts w:asciiTheme="majorHAnsi" w:hAnsiTheme="majorHAnsi"/>
          <w:b/>
          <w:sz w:val="20"/>
          <w:szCs w:val="20"/>
        </w:rPr>
        <w:t xml:space="preserve">THE INTER-AMERICAN COMMISSION ON HUMAN RIGHTS </w:t>
      </w:r>
      <w:r w:rsidR="00E832D2" w:rsidRPr="00B41E87">
        <w:rPr>
          <w:rFonts w:asciiTheme="majorHAnsi" w:hAnsiTheme="majorHAnsi"/>
          <w:b/>
          <w:sz w:val="20"/>
        </w:rPr>
        <w:t xml:space="preserve">REITERATES ITS RECOMMENDATIONS TO </w:t>
      </w:r>
      <w:r w:rsidRPr="00B41E87">
        <w:rPr>
          <w:rFonts w:asciiTheme="majorHAnsi" w:hAnsiTheme="majorHAnsi"/>
          <w:b/>
          <w:sz w:val="20"/>
          <w:szCs w:val="20"/>
        </w:rPr>
        <w:t>THE UNITED STATES:</w:t>
      </w:r>
    </w:p>
    <w:p w14:paraId="5E418DD6" w14:textId="77777777" w:rsidR="00370A41" w:rsidRPr="00B41E87" w:rsidRDefault="00370A41" w:rsidP="00370A41">
      <w:pPr>
        <w:pStyle w:val="ListParagraph"/>
        <w:tabs>
          <w:tab w:val="left" w:pos="0"/>
        </w:tabs>
        <w:ind w:left="0" w:firstLine="720"/>
        <w:jc w:val="both"/>
        <w:rPr>
          <w:rFonts w:asciiTheme="majorHAnsi" w:hAnsiTheme="majorHAnsi" w:cs="Arial"/>
          <w:b/>
          <w:sz w:val="20"/>
          <w:szCs w:val="20"/>
        </w:rPr>
      </w:pPr>
    </w:p>
    <w:p w14:paraId="13EB2EED" w14:textId="36C2FB02" w:rsidR="00370A41" w:rsidRPr="00B41E87" w:rsidRDefault="00370A41" w:rsidP="00370A41">
      <w:pPr>
        <w:pStyle w:val="ListParagraph"/>
        <w:tabs>
          <w:tab w:val="left" w:pos="720"/>
        </w:tabs>
        <w:ind w:left="0" w:firstLine="720"/>
        <w:jc w:val="both"/>
        <w:rPr>
          <w:rFonts w:asciiTheme="majorHAnsi" w:hAnsiTheme="majorHAnsi" w:cs="Arial"/>
          <w:color w:val="auto"/>
          <w:sz w:val="20"/>
          <w:szCs w:val="20"/>
          <w:lang w:val="en"/>
        </w:rPr>
      </w:pPr>
      <w:r w:rsidRPr="00B41E87">
        <w:rPr>
          <w:rFonts w:asciiTheme="majorHAnsi" w:hAnsiTheme="majorHAnsi"/>
          <w:sz w:val="20"/>
          <w:szCs w:val="20"/>
        </w:rPr>
        <w:t>1.</w:t>
      </w:r>
      <w:r w:rsidRPr="00B41E87">
        <w:rPr>
          <w:rFonts w:asciiTheme="majorHAnsi" w:hAnsiTheme="majorHAnsi"/>
          <w:sz w:val="20"/>
          <w:szCs w:val="20"/>
        </w:rPr>
        <w:tab/>
      </w:r>
      <w:r w:rsidRPr="00B41E87">
        <w:rPr>
          <w:rFonts w:asciiTheme="majorHAnsi" w:hAnsiTheme="majorHAnsi"/>
          <w:color w:val="auto"/>
          <w:sz w:val="20"/>
          <w:szCs w:val="20"/>
        </w:rPr>
        <w:t xml:space="preserve">Grant Russell Bucklew effective relief. </w:t>
      </w:r>
      <w:r w:rsidRPr="00B41E87">
        <w:rPr>
          <w:rFonts w:asciiTheme="majorHAnsi" w:hAnsiTheme="majorHAnsi" w:cs="Arial"/>
          <w:color w:val="auto"/>
          <w:sz w:val="20"/>
          <w:szCs w:val="20"/>
          <w:lang w:val="en"/>
        </w:rPr>
        <w:t xml:space="preserve">Taking into account the conclusions of the IACHR on the lack of an effective remedy to challenge the method of execution, the time Russell Bucklew has </w:t>
      </w:r>
      <w:r w:rsidR="000C4F28" w:rsidRPr="00B41E87">
        <w:rPr>
          <w:rFonts w:asciiTheme="majorHAnsi" w:hAnsiTheme="majorHAnsi" w:cs="Arial"/>
          <w:color w:val="auto"/>
          <w:sz w:val="20"/>
          <w:szCs w:val="20"/>
          <w:lang w:val="en"/>
        </w:rPr>
        <w:t xml:space="preserve">already </w:t>
      </w:r>
      <w:r w:rsidRPr="00B41E87">
        <w:rPr>
          <w:rFonts w:asciiTheme="majorHAnsi" w:hAnsiTheme="majorHAnsi" w:cs="Arial"/>
          <w:color w:val="auto"/>
          <w:sz w:val="20"/>
          <w:szCs w:val="20"/>
          <w:lang w:val="en"/>
        </w:rPr>
        <w:t xml:space="preserve">been held on death row, his rare medical condition and the significant risk, due to </w:t>
      </w:r>
      <w:r w:rsidR="000C4F28" w:rsidRPr="00B41E87">
        <w:rPr>
          <w:rFonts w:asciiTheme="majorHAnsi" w:hAnsiTheme="majorHAnsi" w:cs="Arial"/>
          <w:color w:val="auto"/>
          <w:sz w:val="20"/>
          <w:szCs w:val="20"/>
          <w:lang w:val="en"/>
        </w:rPr>
        <w:t>that</w:t>
      </w:r>
      <w:r w:rsidRPr="00B41E87">
        <w:rPr>
          <w:rFonts w:asciiTheme="majorHAnsi" w:hAnsiTheme="majorHAnsi" w:cs="Arial"/>
          <w:color w:val="auto"/>
          <w:sz w:val="20"/>
          <w:szCs w:val="20"/>
          <w:lang w:val="en"/>
        </w:rPr>
        <w:t xml:space="preserve"> condition, that his execution would cause excessive suffering incompatible with the American Declaration, the Commission recommends that his sentence be commuted, that he be transferred out of death row</w:t>
      </w:r>
      <w:r w:rsidR="000C4F28" w:rsidRPr="00B41E87">
        <w:rPr>
          <w:rFonts w:asciiTheme="majorHAnsi" w:hAnsiTheme="majorHAnsi" w:cs="Arial"/>
          <w:color w:val="auto"/>
          <w:sz w:val="20"/>
          <w:szCs w:val="20"/>
          <w:lang w:val="en"/>
        </w:rPr>
        <w:t>,</w:t>
      </w:r>
      <w:r w:rsidRPr="00B41E87">
        <w:rPr>
          <w:rFonts w:asciiTheme="majorHAnsi" w:hAnsiTheme="majorHAnsi" w:cs="Arial"/>
          <w:color w:val="auto"/>
          <w:sz w:val="20"/>
          <w:szCs w:val="20"/>
          <w:lang w:val="en"/>
        </w:rPr>
        <w:t xml:space="preserve"> and that the State ensure that his conditions of detention are compatible with his human dignity.</w:t>
      </w:r>
    </w:p>
    <w:p w14:paraId="4073E7F4" w14:textId="77777777" w:rsidR="00370A41" w:rsidRPr="00B41E87" w:rsidRDefault="00370A41" w:rsidP="00370A41">
      <w:pPr>
        <w:pStyle w:val="ListParagraph"/>
        <w:tabs>
          <w:tab w:val="left" w:pos="0"/>
        </w:tabs>
        <w:ind w:left="0" w:firstLine="720"/>
        <w:jc w:val="both"/>
        <w:rPr>
          <w:rFonts w:asciiTheme="majorHAnsi" w:hAnsiTheme="majorHAnsi"/>
          <w:sz w:val="20"/>
          <w:szCs w:val="20"/>
          <w:lang w:val="en"/>
        </w:rPr>
      </w:pPr>
    </w:p>
    <w:p w14:paraId="39965BC6" w14:textId="4A2034AC" w:rsidR="00370A41" w:rsidRPr="00B41E87" w:rsidRDefault="00370A41" w:rsidP="00370A41">
      <w:pPr>
        <w:pStyle w:val="ListParagraph"/>
        <w:tabs>
          <w:tab w:val="left" w:pos="0"/>
        </w:tabs>
        <w:ind w:left="0" w:firstLine="720"/>
        <w:jc w:val="both"/>
        <w:rPr>
          <w:rFonts w:asciiTheme="majorHAnsi" w:hAnsiTheme="majorHAnsi"/>
          <w:sz w:val="20"/>
          <w:szCs w:val="20"/>
        </w:rPr>
      </w:pPr>
      <w:r w:rsidRPr="00B41E87">
        <w:rPr>
          <w:rFonts w:asciiTheme="majorHAnsi" w:hAnsiTheme="majorHAnsi"/>
          <w:sz w:val="20"/>
          <w:szCs w:val="20"/>
        </w:rPr>
        <w:t>2.</w:t>
      </w:r>
      <w:r w:rsidRPr="00B41E87">
        <w:rPr>
          <w:rFonts w:asciiTheme="majorHAnsi" w:hAnsiTheme="majorHAnsi"/>
          <w:sz w:val="20"/>
          <w:szCs w:val="20"/>
        </w:rPr>
        <w:tab/>
        <w:t xml:space="preserve">Review its laws, procedures, and practices to ensure that the persons sentenced to </w:t>
      </w:r>
      <w:r w:rsidR="000C4F28" w:rsidRPr="00B41E87">
        <w:rPr>
          <w:rFonts w:asciiTheme="majorHAnsi" w:hAnsiTheme="majorHAnsi"/>
          <w:sz w:val="20"/>
          <w:szCs w:val="20"/>
        </w:rPr>
        <w:t xml:space="preserve">the </w:t>
      </w:r>
      <w:r w:rsidRPr="00B41E87">
        <w:rPr>
          <w:rFonts w:asciiTheme="majorHAnsi" w:hAnsiTheme="majorHAnsi"/>
          <w:sz w:val="20"/>
          <w:szCs w:val="20"/>
        </w:rPr>
        <w:t xml:space="preserve">death penalty have access to effective judicial remedies to challenge the possible </w:t>
      </w:r>
      <w:r w:rsidR="000C4F28" w:rsidRPr="00B41E87">
        <w:rPr>
          <w:rFonts w:asciiTheme="majorHAnsi" w:hAnsiTheme="majorHAnsi"/>
          <w:sz w:val="20"/>
          <w:szCs w:val="20"/>
        </w:rPr>
        <w:t xml:space="preserve">impact </w:t>
      </w:r>
      <w:r w:rsidRPr="00B41E87">
        <w:rPr>
          <w:rFonts w:asciiTheme="majorHAnsi" w:hAnsiTheme="majorHAnsi"/>
          <w:sz w:val="20"/>
          <w:szCs w:val="20"/>
        </w:rPr>
        <w:t xml:space="preserve">of the method of execution </w:t>
      </w:r>
      <w:r w:rsidR="000C4F28" w:rsidRPr="00B41E87">
        <w:rPr>
          <w:rFonts w:asciiTheme="majorHAnsi" w:hAnsiTheme="majorHAnsi"/>
          <w:sz w:val="20"/>
          <w:szCs w:val="20"/>
        </w:rPr>
        <w:t>o</w:t>
      </w:r>
      <w:r w:rsidRPr="00B41E87">
        <w:rPr>
          <w:rFonts w:asciiTheme="majorHAnsi" w:hAnsiTheme="majorHAnsi"/>
          <w:sz w:val="20"/>
          <w:szCs w:val="20"/>
        </w:rPr>
        <w:t>n their fundamental rights</w:t>
      </w:r>
      <w:r w:rsidR="000C4F28" w:rsidRPr="00B41E87">
        <w:rPr>
          <w:rFonts w:asciiTheme="majorHAnsi" w:hAnsiTheme="majorHAnsi"/>
          <w:sz w:val="20"/>
          <w:szCs w:val="20"/>
        </w:rPr>
        <w:t xml:space="preserve"> in accordance with </w:t>
      </w:r>
      <w:r w:rsidRPr="00B41E87">
        <w:rPr>
          <w:rFonts w:asciiTheme="majorHAnsi" w:hAnsiTheme="majorHAnsi"/>
          <w:sz w:val="20"/>
          <w:szCs w:val="20"/>
        </w:rPr>
        <w:t xml:space="preserve">the standards set forth in this merits report. </w:t>
      </w:r>
    </w:p>
    <w:p w14:paraId="584B967E" w14:textId="77777777" w:rsidR="00370A41" w:rsidRPr="00B41E87" w:rsidRDefault="00370A41" w:rsidP="00370A41">
      <w:pPr>
        <w:pStyle w:val="ListParagraph"/>
        <w:tabs>
          <w:tab w:val="left" w:pos="0"/>
        </w:tabs>
        <w:ind w:left="0" w:firstLine="720"/>
        <w:jc w:val="both"/>
        <w:rPr>
          <w:rFonts w:asciiTheme="majorHAnsi" w:hAnsiTheme="majorHAnsi" w:cs="Calibri"/>
          <w:sz w:val="20"/>
          <w:szCs w:val="20"/>
        </w:rPr>
      </w:pPr>
    </w:p>
    <w:p w14:paraId="66D93843" w14:textId="781E4660" w:rsidR="00370A41" w:rsidRPr="00B41E87" w:rsidRDefault="00370A41" w:rsidP="00370A41">
      <w:pPr>
        <w:pStyle w:val="ListParagraph"/>
        <w:tabs>
          <w:tab w:val="left" w:pos="0"/>
        </w:tabs>
        <w:ind w:left="0" w:firstLine="720"/>
        <w:jc w:val="both"/>
        <w:rPr>
          <w:rFonts w:asciiTheme="majorHAnsi" w:hAnsiTheme="majorHAnsi"/>
          <w:sz w:val="20"/>
          <w:szCs w:val="20"/>
        </w:rPr>
      </w:pPr>
      <w:r w:rsidRPr="00B41E87">
        <w:rPr>
          <w:rFonts w:asciiTheme="majorHAnsi" w:hAnsiTheme="majorHAnsi"/>
          <w:sz w:val="20"/>
          <w:szCs w:val="20"/>
        </w:rPr>
        <w:t xml:space="preserve">3. </w:t>
      </w:r>
      <w:r w:rsidRPr="00B41E87">
        <w:rPr>
          <w:rFonts w:asciiTheme="majorHAnsi" w:hAnsiTheme="majorHAnsi"/>
          <w:sz w:val="20"/>
          <w:szCs w:val="20"/>
        </w:rPr>
        <w:tab/>
        <w:t xml:space="preserve">Given the violations of the American Declaration the IACHR has established in the present case and in others involving application of the death penalty, the Inter-American Commission also recommends to the United States that it adopt a moratorium on </w:t>
      </w:r>
      <w:r w:rsidR="000C4F28" w:rsidRPr="00B41E87">
        <w:rPr>
          <w:rFonts w:asciiTheme="majorHAnsi" w:hAnsiTheme="majorHAnsi"/>
          <w:sz w:val="20"/>
          <w:szCs w:val="20"/>
        </w:rPr>
        <w:t xml:space="preserve">the </w:t>
      </w:r>
      <w:r w:rsidRPr="00B41E87">
        <w:rPr>
          <w:rFonts w:asciiTheme="majorHAnsi" w:hAnsiTheme="majorHAnsi"/>
          <w:sz w:val="20"/>
          <w:szCs w:val="20"/>
        </w:rPr>
        <w:t>execution of persons sentenced to death.</w:t>
      </w:r>
      <w:r w:rsidRPr="00B41E87">
        <w:rPr>
          <w:rStyle w:val="FootnoteReference"/>
          <w:rFonts w:asciiTheme="majorHAnsi" w:hAnsiTheme="majorHAnsi"/>
          <w:sz w:val="20"/>
          <w:szCs w:val="20"/>
        </w:rPr>
        <w:footnoteReference w:id="70"/>
      </w:r>
    </w:p>
    <w:p w14:paraId="4EC401F9" w14:textId="3BE6598D" w:rsidR="002D6454" w:rsidRPr="00B41E87" w:rsidRDefault="002D6454">
      <w:pPr>
        <w:rPr>
          <w:rFonts w:asciiTheme="majorHAnsi" w:hAnsiTheme="majorHAnsi"/>
          <w:sz w:val="20"/>
        </w:rPr>
      </w:pPr>
      <w:r w:rsidRPr="00B41E87">
        <w:rPr>
          <w:rFonts w:asciiTheme="majorHAnsi" w:hAnsiTheme="majorHAnsi"/>
          <w:sz w:val="20"/>
        </w:rPr>
        <w:br w:type="page"/>
      </w:r>
    </w:p>
    <w:p w14:paraId="0F065203" w14:textId="77777777" w:rsidR="009938A6" w:rsidRPr="00B41E87" w:rsidRDefault="009938A6" w:rsidP="009938A6">
      <w:pPr>
        <w:ind w:left="720"/>
        <w:jc w:val="both"/>
        <w:rPr>
          <w:rFonts w:asciiTheme="majorHAnsi" w:hAnsiTheme="majorHAnsi"/>
          <w:sz w:val="20"/>
        </w:rPr>
      </w:pPr>
    </w:p>
    <w:p w14:paraId="05086A84" w14:textId="1A0BD7E4" w:rsidR="008C33FC" w:rsidRPr="00B41E87" w:rsidRDefault="008C33FC" w:rsidP="008C33FC">
      <w:pPr>
        <w:pStyle w:val="Heading1"/>
      </w:pPr>
      <w:bookmarkStart w:id="80" w:name="_Toc512265323"/>
      <w:r w:rsidRPr="00B41E87">
        <w:t>PUBLICATION</w:t>
      </w:r>
      <w:bookmarkEnd w:id="80"/>
    </w:p>
    <w:p w14:paraId="2EEAEE98" w14:textId="77777777" w:rsidR="008C33FC" w:rsidRPr="00B41E87" w:rsidRDefault="008C33FC" w:rsidP="008C33F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00"/>
        <w:jc w:val="both"/>
        <w:rPr>
          <w:rFonts w:asciiTheme="majorHAnsi" w:hAnsiTheme="majorHAnsi"/>
          <w:sz w:val="20"/>
          <w:szCs w:val="20"/>
        </w:rPr>
      </w:pPr>
    </w:p>
    <w:p w14:paraId="28912F6B" w14:textId="0B7C3E79" w:rsidR="009938A6" w:rsidRPr="00B41E87" w:rsidRDefault="008C33FC" w:rsidP="008C33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1440"/>
          <w:tab w:val="num" w:pos="2040"/>
        </w:tabs>
        <w:ind w:left="0" w:firstLine="720"/>
        <w:jc w:val="both"/>
        <w:rPr>
          <w:rFonts w:asciiTheme="majorHAnsi" w:hAnsiTheme="majorHAnsi"/>
          <w:sz w:val="20"/>
          <w:szCs w:val="20"/>
        </w:rPr>
      </w:pPr>
      <w:r w:rsidRPr="00B41E87">
        <w:rPr>
          <w:rFonts w:asciiTheme="majorHAnsi" w:hAnsiTheme="majorHAnsi"/>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3241DF39" w14:textId="77777777" w:rsidR="00497928" w:rsidRPr="00B41E87" w:rsidRDefault="00497928" w:rsidP="00497928">
      <w:pPr>
        <w:ind w:left="720"/>
        <w:jc w:val="both"/>
        <w:rPr>
          <w:rFonts w:asciiTheme="majorHAnsi" w:hAnsiTheme="majorHAnsi"/>
          <w:sz w:val="20"/>
        </w:rPr>
      </w:pPr>
    </w:p>
    <w:p w14:paraId="241D6932" w14:textId="72BCFDD1" w:rsidR="00497928" w:rsidRPr="00B41E87" w:rsidRDefault="00497928" w:rsidP="00497928">
      <w:pPr>
        <w:suppressAutoHyphens/>
        <w:ind w:firstLine="720"/>
        <w:jc w:val="both"/>
        <w:rPr>
          <w:rFonts w:asciiTheme="majorHAnsi" w:hAnsiTheme="majorHAnsi"/>
          <w:spacing w:val="-2"/>
          <w:sz w:val="20"/>
        </w:rPr>
      </w:pPr>
      <w:r w:rsidRPr="00B41E87">
        <w:rPr>
          <w:rFonts w:asciiTheme="majorHAnsi" w:hAnsiTheme="majorHAnsi"/>
          <w:spacing w:val="-2"/>
          <w:sz w:val="20"/>
        </w:rPr>
        <w:t xml:space="preserve">Approved by the Inter-American Commission on Human Rights in the city of Santo Domingo, </w:t>
      </w:r>
      <w:r w:rsidR="00B41E87" w:rsidRPr="00B41E87">
        <w:rPr>
          <w:rFonts w:asciiTheme="majorHAnsi" w:hAnsiTheme="majorHAnsi"/>
          <w:spacing w:val="-2"/>
          <w:sz w:val="20"/>
        </w:rPr>
        <w:t>Dominican Republic</w:t>
      </w:r>
      <w:r w:rsidRPr="00B41E87">
        <w:rPr>
          <w:rFonts w:asciiTheme="majorHAnsi" w:hAnsiTheme="majorHAnsi"/>
          <w:spacing w:val="-2"/>
          <w:sz w:val="20"/>
        </w:rPr>
        <w:t>, on the 10</w:t>
      </w:r>
      <w:r w:rsidR="00B41E87" w:rsidRPr="00B41E87">
        <w:rPr>
          <w:rFonts w:asciiTheme="majorHAnsi" w:hAnsiTheme="majorHAnsi"/>
          <w:spacing w:val="-2"/>
          <w:sz w:val="20"/>
          <w:vertAlign w:val="superscript"/>
        </w:rPr>
        <w:t>th</w:t>
      </w:r>
      <w:r w:rsidRPr="00B41E87">
        <w:rPr>
          <w:rFonts w:asciiTheme="majorHAnsi" w:hAnsiTheme="majorHAnsi"/>
          <w:spacing w:val="-2"/>
          <w:sz w:val="20"/>
        </w:rPr>
        <w:t xml:space="preserve"> day of the month of May, 2018. (Signed): </w:t>
      </w:r>
      <w:r w:rsidRPr="00B41E87">
        <w:rPr>
          <w:rFonts w:asciiTheme="majorHAnsi" w:hAnsiTheme="majorHAnsi" w:cs="Arial"/>
          <w:noProof/>
          <w:spacing w:val="-2"/>
          <w:sz w:val="20"/>
        </w:rPr>
        <w:t>Margarette May Macaulay</w:t>
      </w:r>
      <w:r w:rsidRPr="00B41E87">
        <w:rPr>
          <w:rFonts w:asciiTheme="majorHAnsi" w:hAnsiTheme="majorHAnsi"/>
          <w:spacing w:val="-2"/>
          <w:sz w:val="20"/>
        </w:rPr>
        <w:t xml:space="preserve">, </w:t>
      </w:r>
      <w:r w:rsidRPr="00B41E87">
        <w:rPr>
          <w:rFonts w:asciiTheme="majorHAnsi" w:hAnsiTheme="majorHAnsi"/>
          <w:sz w:val="20"/>
        </w:rPr>
        <w:t>President;</w:t>
      </w:r>
      <w:r w:rsidRPr="00B41E87">
        <w:rPr>
          <w:rFonts w:asciiTheme="majorHAnsi" w:hAnsiTheme="majorHAnsi" w:cs="Arial"/>
          <w:noProof/>
          <w:spacing w:val="-2"/>
          <w:sz w:val="20"/>
        </w:rPr>
        <w:t xml:space="preserve"> </w:t>
      </w:r>
      <w:r w:rsidRPr="00B41E87">
        <w:rPr>
          <w:rFonts w:asciiTheme="majorHAnsi" w:hAnsiTheme="majorHAnsi"/>
          <w:spacing w:val="-2"/>
          <w:sz w:val="20"/>
        </w:rPr>
        <w:t xml:space="preserve">Esmeralda E. Arosemena Bernal de Troitiño, </w:t>
      </w:r>
      <w:r w:rsidRPr="00B41E87">
        <w:rPr>
          <w:rFonts w:asciiTheme="majorHAnsi" w:hAnsiTheme="majorHAnsi" w:cs="Arial"/>
          <w:sz w:val="20"/>
        </w:rPr>
        <w:t>First Vice President;</w:t>
      </w:r>
      <w:r w:rsidRPr="00B41E87">
        <w:rPr>
          <w:rFonts w:asciiTheme="majorHAnsi" w:hAnsiTheme="majorHAnsi" w:cs="Arial"/>
          <w:noProof/>
          <w:spacing w:val="-2"/>
          <w:sz w:val="20"/>
        </w:rPr>
        <w:t xml:space="preserve"> Luis Ernesto Vargas Silva, Second Vice President;</w:t>
      </w:r>
      <w:r w:rsidRPr="00B41E87">
        <w:rPr>
          <w:rFonts w:asciiTheme="majorHAnsi" w:hAnsiTheme="majorHAnsi"/>
          <w:sz w:val="20"/>
        </w:rPr>
        <w:t xml:space="preserve"> </w:t>
      </w:r>
      <w:r w:rsidRPr="00B41E87">
        <w:rPr>
          <w:rFonts w:asciiTheme="majorHAnsi" w:hAnsiTheme="majorHAnsi" w:cs="Arial"/>
          <w:noProof/>
          <w:spacing w:val="-2"/>
          <w:sz w:val="20"/>
        </w:rPr>
        <w:t xml:space="preserve">Francisco José Eguiguren Praeli, Joel Hernández García and Antonia Urrejola, </w:t>
      </w:r>
      <w:r w:rsidRPr="00B41E87">
        <w:rPr>
          <w:rFonts w:asciiTheme="majorHAnsi" w:hAnsiTheme="majorHAnsi"/>
          <w:spacing w:val="-2"/>
          <w:sz w:val="20"/>
        </w:rPr>
        <w:t>Commissioners.</w:t>
      </w:r>
    </w:p>
    <w:p w14:paraId="175974B0" w14:textId="77777777" w:rsidR="00497928" w:rsidRPr="00B41E87" w:rsidRDefault="00497928" w:rsidP="00497928">
      <w:pPr>
        <w:tabs>
          <w:tab w:val="left" w:pos="2820"/>
        </w:tabs>
        <w:suppressAutoHyphens/>
        <w:ind w:firstLine="720"/>
        <w:jc w:val="both"/>
        <w:rPr>
          <w:rFonts w:asciiTheme="majorHAnsi" w:hAnsiTheme="majorHAnsi"/>
          <w:spacing w:val="-2"/>
          <w:sz w:val="20"/>
        </w:rPr>
      </w:pPr>
    </w:p>
    <w:sectPr w:rsidR="00497928" w:rsidRPr="00B41E87"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87BB8" w14:textId="77777777" w:rsidR="008556FF" w:rsidRDefault="008556FF" w:rsidP="00036A8A">
      <w:r>
        <w:separator/>
      </w:r>
    </w:p>
  </w:endnote>
  <w:endnote w:type="continuationSeparator" w:id="0">
    <w:p w14:paraId="5A9AC2D0" w14:textId="77777777" w:rsidR="008556FF" w:rsidRDefault="008556F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762BD" w14:textId="77777777" w:rsidR="001A4C11" w:rsidRDefault="001A4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14BC8FAD" w14:textId="77777777" w:rsidR="003E6AF7" w:rsidRPr="006311DA" w:rsidRDefault="003E6AF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85E5F">
          <w:rPr>
            <w:noProof/>
            <w:sz w:val="16"/>
          </w:rPr>
          <w:t>2</w:t>
        </w:r>
        <w:r w:rsidRPr="006311DA">
          <w:rPr>
            <w:noProof/>
            <w:sz w:val="16"/>
          </w:rPr>
          <w:fldChar w:fldCharType="end"/>
        </w:r>
      </w:p>
    </w:sdtContent>
  </w:sdt>
  <w:p w14:paraId="20E08F0E" w14:textId="77777777" w:rsidR="003E6AF7" w:rsidRDefault="003E6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EC45" w14:textId="77777777" w:rsidR="003E6AF7" w:rsidRDefault="003E6AF7">
    <w:pPr>
      <w:pStyle w:val="Footer"/>
      <w:jc w:val="center"/>
    </w:pPr>
  </w:p>
  <w:p w14:paraId="031418AB" w14:textId="77777777" w:rsidR="003E6AF7" w:rsidRDefault="003E6A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14:paraId="501D470D" w14:textId="77777777" w:rsidR="003E6AF7" w:rsidRDefault="003E6A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3B9372" w14:textId="77777777" w:rsidR="003E6AF7" w:rsidRDefault="003E6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1F793" w14:textId="77777777" w:rsidR="008556FF" w:rsidRPr="00036A8A" w:rsidRDefault="008556F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FE15A5C" w14:textId="77777777" w:rsidR="008556FF" w:rsidRPr="00036A8A" w:rsidRDefault="008556FF" w:rsidP="00036A8A">
      <w:pPr>
        <w:rPr>
          <w:rFonts w:asciiTheme="majorHAnsi" w:hAnsiTheme="majorHAnsi"/>
          <w:sz w:val="16"/>
          <w:szCs w:val="16"/>
        </w:rPr>
      </w:pPr>
      <w:r w:rsidRPr="00036A8A">
        <w:rPr>
          <w:rFonts w:asciiTheme="majorHAnsi" w:hAnsiTheme="majorHAnsi"/>
          <w:sz w:val="16"/>
          <w:szCs w:val="16"/>
        </w:rPr>
        <w:separator/>
      </w:r>
    </w:p>
    <w:p w14:paraId="735441DA" w14:textId="77777777" w:rsidR="008556FF" w:rsidRPr="00036A8A" w:rsidRDefault="008556F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0BDD3E0" w14:textId="77777777" w:rsidR="008556FF" w:rsidRPr="0093441A" w:rsidRDefault="008556F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3FC7226" w14:textId="09B344AE"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petition was initially lodged on behalf of Mr. Bucklew and Charles Warner. This report concerns the situation of Mr. Bucklew. The case of Mr. Warner is still under consideration by the IACHR. </w:t>
      </w:r>
    </w:p>
  </w:footnote>
  <w:footnote w:id="3">
    <w:p w14:paraId="0E41895F" w14:textId="4B5B027D"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54/14. Petition 684-14. Admissibility. Russell Bucklew and Charles Warner. United States. July 21, 2014. </w:t>
      </w:r>
    </w:p>
  </w:footnote>
  <w:footnote w:id="4">
    <w:p w14:paraId="2EEE8B72" w14:textId="689E003F"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On May 20, 2014, the Commission adopted Resolution 14/14 requesting the Government of the United States to take precautionary measures regarding this matter. Pursuant to Article 25 of its Rules of Procedure, the Commission requested </w:t>
      </w:r>
      <w:r w:rsidRPr="008C3721">
        <w:rPr>
          <w:rFonts w:asciiTheme="majorHAnsi" w:hAnsiTheme="majorHAnsi" w:cs="Tahoma"/>
          <w:color w:val="auto"/>
          <w:sz w:val="16"/>
          <w:szCs w:val="16"/>
        </w:rPr>
        <w:t>the government of the United States to refrain from executing Russell Bucklew until the IACHR ruled on the merits of the individual petition filed on his behalf.</w:t>
      </w:r>
      <w:r w:rsidRPr="008C3721">
        <w:rPr>
          <w:rFonts w:asciiTheme="majorHAnsi" w:hAnsiTheme="majorHAnsi"/>
          <w:color w:val="auto"/>
          <w:sz w:val="16"/>
          <w:szCs w:val="16"/>
        </w:rPr>
        <w:t xml:space="preserve"> Available at: </w:t>
      </w:r>
      <w:hyperlink r:id="rId1" w:history="1">
        <w:r w:rsidRPr="008C3721">
          <w:rPr>
            <w:rStyle w:val="Hyperlink"/>
            <w:rFonts w:asciiTheme="majorHAnsi" w:hAnsiTheme="majorHAnsi"/>
            <w:color w:val="auto"/>
            <w:sz w:val="16"/>
            <w:szCs w:val="16"/>
          </w:rPr>
          <w:t>http://www.oas.org/en/iachr/decisions/pdf/2014/MC177-14-EN.pdf</w:t>
        </w:r>
      </w:hyperlink>
      <w:r w:rsidRPr="008C3721">
        <w:rPr>
          <w:rFonts w:asciiTheme="majorHAnsi" w:hAnsiTheme="majorHAnsi"/>
          <w:color w:val="auto"/>
          <w:sz w:val="16"/>
          <w:szCs w:val="16"/>
        </w:rPr>
        <w:t xml:space="preserve">.  </w:t>
      </w:r>
    </w:p>
  </w:footnote>
  <w:footnote w:id="5">
    <w:p w14:paraId="5A25335E" w14:textId="789B9B54"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On the same date, the IACHR sent this information to the State and, given the urgency, requested its observations within a period of two days. The IACHR did not receive the observations of the United States. </w:t>
      </w:r>
    </w:p>
  </w:footnote>
  <w:footnote w:id="6">
    <w:p w14:paraId="73550F03"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Missouri Department of Corrections. Preparation and Administration of Chemicals for Lethal Injection. Available at: </w:t>
      </w:r>
      <w:hyperlink r:id="rId2" w:history="1">
        <w:r w:rsidRPr="008C3721">
          <w:rPr>
            <w:rStyle w:val="Hyperlink"/>
            <w:rFonts w:asciiTheme="majorHAnsi" w:hAnsiTheme="majorHAnsi"/>
            <w:color w:val="auto"/>
            <w:sz w:val="16"/>
            <w:szCs w:val="16"/>
          </w:rPr>
          <w:t>https://deathpenaltyinfo.org/files/pdf/ExecutionProtocols/MissouriProtocol10.18.2013.pdf</w:t>
        </w:r>
      </w:hyperlink>
      <w:r w:rsidRPr="008C3721">
        <w:rPr>
          <w:rFonts w:asciiTheme="majorHAnsi" w:hAnsiTheme="majorHAnsi"/>
          <w:color w:val="auto"/>
          <w:sz w:val="16"/>
          <w:szCs w:val="16"/>
        </w:rPr>
        <w:t xml:space="preserve">. </w:t>
      </w:r>
    </w:p>
  </w:footnote>
  <w:footnote w:id="7">
    <w:p w14:paraId="212DC972"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Missouri Department of Corrections. Preparation and Administration of Chemicals for Lethal Injection. Available at: </w:t>
      </w:r>
      <w:hyperlink r:id="rId3" w:history="1">
        <w:r w:rsidRPr="008C3721">
          <w:rPr>
            <w:rStyle w:val="Hyperlink"/>
            <w:rFonts w:asciiTheme="majorHAnsi" w:hAnsiTheme="majorHAnsi"/>
            <w:color w:val="auto"/>
            <w:sz w:val="16"/>
            <w:szCs w:val="16"/>
          </w:rPr>
          <w:t>https://deathpenaltyinfo.org/files/pdf/ExecutionProtocols/MissouriProtocol10.18.2013.pdf</w:t>
        </w:r>
      </w:hyperlink>
      <w:r w:rsidRPr="008C3721">
        <w:rPr>
          <w:rFonts w:asciiTheme="majorHAnsi" w:hAnsiTheme="majorHAnsi"/>
          <w:color w:val="auto"/>
          <w:sz w:val="16"/>
          <w:szCs w:val="16"/>
        </w:rPr>
        <w:t>.</w:t>
      </w:r>
    </w:p>
  </w:footnote>
  <w:footnote w:id="8">
    <w:p w14:paraId="7495EEB5"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Missouri Department of Corrections. Preparation and Administration of Chemicals for Lethal Injection. Available at: </w:t>
      </w:r>
      <w:hyperlink r:id="rId4" w:history="1">
        <w:r w:rsidRPr="008C3721">
          <w:rPr>
            <w:rStyle w:val="Hyperlink"/>
            <w:rFonts w:asciiTheme="majorHAnsi" w:hAnsiTheme="majorHAnsi"/>
            <w:color w:val="auto"/>
            <w:sz w:val="16"/>
            <w:szCs w:val="16"/>
          </w:rPr>
          <w:t>https://deathpenaltyinfo.org/files/pdf/ExecutionProtocols/MissouriProtocol10.18.2013.pdf</w:t>
        </w:r>
      </w:hyperlink>
      <w:r w:rsidRPr="008C3721">
        <w:rPr>
          <w:rFonts w:asciiTheme="majorHAnsi" w:hAnsiTheme="majorHAnsi"/>
          <w:color w:val="auto"/>
          <w:sz w:val="16"/>
          <w:szCs w:val="16"/>
        </w:rPr>
        <w:t>.</w:t>
      </w:r>
    </w:p>
  </w:footnote>
  <w:footnote w:id="9">
    <w:p w14:paraId="36F37CDB"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Missouri Department of Corrections. Preparation and Administration of Chemicals for Lethal Injection. Available at: </w:t>
      </w:r>
      <w:hyperlink r:id="rId5" w:history="1">
        <w:r w:rsidRPr="008C3721">
          <w:rPr>
            <w:rStyle w:val="Hyperlink"/>
            <w:rFonts w:asciiTheme="majorHAnsi" w:hAnsiTheme="majorHAnsi"/>
            <w:color w:val="auto"/>
            <w:sz w:val="16"/>
            <w:szCs w:val="16"/>
          </w:rPr>
          <w:t>https://deathpenaltyinfo.org/files/pdf/ExecutionProtocols/MissouriProtocol10.18.2013.pdf</w:t>
        </w:r>
      </w:hyperlink>
      <w:r w:rsidRPr="008C3721">
        <w:rPr>
          <w:rFonts w:asciiTheme="majorHAnsi" w:hAnsiTheme="majorHAnsi"/>
          <w:color w:val="auto"/>
          <w:sz w:val="16"/>
          <w:szCs w:val="16"/>
        </w:rPr>
        <w:t>.</w:t>
      </w:r>
    </w:p>
  </w:footnote>
  <w:footnote w:id="10">
    <w:p w14:paraId="3A27FD36"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p.2. See also: Bucklew v. Lombardi, No. 14-8000-CV-W-BP.</w:t>
      </w:r>
    </w:p>
  </w:footnote>
  <w:footnote w:id="11">
    <w:p w14:paraId="2B29DD9B"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Initial petition before the IACHR, p. 6. </w:t>
      </w:r>
    </w:p>
  </w:footnote>
  <w:footnote w:id="12">
    <w:p w14:paraId="257CFD18" w14:textId="775E294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Initial petition before the IACHR; State’s submission dated March 28, 2016; and Bucklew v. Precythe, No. 17-3052, 2018 WL 1163360.</w:t>
      </w:r>
    </w:p>
  </w:footnote>
  <w:footnote w:id="13">
    <w:p w14:paraId="76701225"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Initial petition before the IACHR, p. 2. The petitioner explained that “carvernous hemangioma is a blood vessel condition that causes large tumors of malformed blood vessels to grow on Mr. Bucklew’s head, face, and neck. Stricken with this condition since childhood, Mr. Bucklew frequently endures severe pain, nausea, dizziness and difficulty breathing. The tumors are so large that the blood vessels within them are distended and weak. Under stress, they rupture. His airway is compromised by a vascular tumor.” Petitioner’s submission dated March 14, 2018, p. 2. See also: Bucklew v. Lombardi, No. 14-8000-CV-W-BP.</w:t>
      </w:r>
    </w:p>
  </w:footnote>
  <w:footnote w:id="14">
    <w:p w14:paraId="7CB76E51"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State cited: </w:t>
      </w:r>
      <w:r w:rsidRPr="008C3721">
        <w:rPr>
          <w:rFonts w:asciiTheme="majorHAnsi" w:eastAsia="Times New Roman" w:hAnsiTheme="majorHAnsi"/>
          <w:bCs/>
          <w:color w:val="auto"/>
          <w:sz w:val="16"/>
          <w:szCs w:val="16"/>
        </w:rPr>
        <w:t xml:space="preserve">Ringo v. Lombardi, No. 09-4095-CV-C-NKL, 2009 WL 1406980, at *1(W.D. Mo. May 19, 2009). </w:t>
      </w:r>
      <w:r w:rsidRPr="008C3721">
        <w:rPr>
          <w:rFonts w:asciiTheme="majorHAnsi" w:hAnsiTheme="majorHAnsi"/>
          <w:color w:val="auto"/>
          <w:sz w:val="16"/>
          <w:szCs w:val="16"/>
        </w:rPr>
        <w:t xml:space="preserve">State’s submission dated March 28, 2016. </w:t>
      </w:r>
    </w:p>
  </w:footnote>
  <w:footnote w:id="15">
    <w:p w14:paraId="241007CC"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State cited: </w:t>
      </w:r>
      <w:r w:rsidRPr="008C3721">
        <w:rPr>
          <w:rFonts w:asciiTheme="majorHAnsi" w:eastAsia="Times New Roman" w:hAnsiTheme="majorHAnsi"/>
          <w:bCs/>
          <w:color w:val="auto"/>
          <w:sz w:val="16"/>
          <w:szCs w:val="16"/>
        </w:rPr>
        <w:t xml:space="preserve">Ringo v. Lombardi, No. 09-4095-CV-C-NKL, 2009 WL 1406980, at *1(W.D. Mo. May 19, 2009). </w:t>
      </w:r>
      <w:r w:rsidRPr="008C3721">
        <w:rPr>
          <w:rFonts w:asciiTheme="majorHAnsi" w:hAnsiTheme="majorHAnsi"/>
          <w:color w:val="auto"/>
          <w:sz w:val="16"/>
          <w:szCs w:val="16"/>
        </w:rPr>
        <w:t xml:space="preserve">State’s submission dated March 28, 2016. </w:t>
      </w:r>
    </w:p>
  </w:footnote>
  <w:footnote w:id="16">
    <w:p w14:paraId="1607E604"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State cited: </w:t>
      </w:r>
      <w:r w:rsidRPr="008C3721">
        <w:rPr>
          <w:rFonts w:asciiTheme="majorHAnsi" w:eastAsia="Times New Roman" w:hAnsiTheme="majorHAnsi"/>
          <w:bCs/>
          <w:color w:val="auto"/>
          <w:sz w:val="16"/>
          <w:szCs w:val="16"/>
        </w:rPr>
        <w:t xml:space="preserve">Ringo v. Lombardi, 677 F.3d 793 (8th Cir. 2012). </w:t>
      </w:r>
      <w:r w:rsidRPr="008C3721">
        <w:rPr>
          <w:rFonts w:asciiTheme="majorHAnsi" w:hAnsiTheme="majorHAnsi"/>
          <w:color w:val="auto"/>
          <w:sz w:val="16"/>
          <w:szCs w:val="16"/>
        </w:rPr>
        <w:t xml:space="preserve">State’s submission dated March 28, 2016. </w:t>
      </w:r>
    </w:p>
  </w:footnote>
  <w:footnote w:id="17">
    <w:p w14:paraId="480FF72D"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w:t>
      </w:r>
    </w:p>
  </w:footnote>
  <w:footnote w:id="18">
    <w:p w14:paraId="278A5D61"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p.4. </w:t>
      </w:r>
    </w:p>
  </w:footnote>
  <w:footnote w:id="19">
    <w:p w14:paraId="056B3F0A"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Initial petition before the IACHR, p. 6. </w:t>
      </w:r>
    </w:p>
  </w:footnote>
  <w:footnote w:id="20">
    <w:p w14:paraId="76338B2D" w14:textId="09DAE3F5"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p.4 and petitioners’ submission dated February 4, 2015, p. 8. They cited: Bucklew v. Lombardi, No. 14-8000-CV-W-BP, 2014. </w:t>
      </w:r>
    </w:p>
  </w:footnote>
  <w:footnote w:id="21">
    <w:p w14:paraId="7E5E2398" w14:textId="3DD35756"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p.4 and petitioners’ submission dated February 4, 2015, p. 8. They cited: Bucklew v. Lombardi, No. 14-8000-CV-W-BP, 2014. </w:t>
      </w:r>
    </w:p>
  </w:footnote>
  <w:footnote w:id="22">
    <w:p w14:paraId="1EB95902" w14:textId="29AF157C" w:rsidR="003E6AF7" w:rsidRPr="008A4E83"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A4E83">
        <w:rPr>
          <w:rFonts w:asciiTheme="majorHAnsi" w:hAnsiTheme="majorHAnsi"/>
          <w:color w:val="auto"/>
          <w:sz w:val="16"/>
          <w:szCs w:val="16"/>
        </w:rPr>
        <w:t xml:space="preserve"> Bucklew v. Lombardi, No. 14-8000-CV-W-BP, 2014. </w:t>
      </w:r>
    </w:p>
  </w:footnote>
  <w:footnote w:id="23">
    <w:p w14:paraId="7C886A90" w14:textId="36CACCF4"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p.4 and petitioner’s submission dated February 4, 2015, p. 8. They cited: </w:t>
      </w:r>
      <w:r w:rsidRPr="008C3721">
        <w:rPr>
          <w:rFonts w:asciiTheme="majorHAnsi" w:eastAsia="Times New Roman" w:hAnsiTheme="majorHAnsi"/>
          <w:bCs/>
          <w:color w:val="auto"/>
          <w:sz w:val="16"/>
          <w:szCs w:val="16"/>
        </w:rPr>
        <w:t>Bucklew v. Lombardi, 565 F. App'x 562, 564 (8th Cir.), opinion vacated on rehearing en banc (May 20, 2014); and Bucklew v. Lombardi, 565 F. App'x 562 (8thCir. 2014), rev' den banc (mem.).</w:t>
      </w:r>
    </w:p>
  </w:footnote>
  <w:footnote w:id="24">
    <w:p w14:paraId="186D0955" w14:textId="1D2576E6" w:rsidR="003E6AF7" w:rsidRPr="008C3721" w:rsidRDefault="003E6AF7" w:rsidP="008C37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State’s submission dated March 28, 2016, p.4 and petitioner’s submission dated February 4, 2015, p. 4. They cited: </w:t>
      </w:r>
      <w:r w:rsidRPr="008C3721">
        <w:rPr>
          <w:rFonts w:asciiTheme="majorHAnsi" w:hAnsiTheme="majorHAnsi" w:cs="Calibri"/>
          <w:sz w:val="16"/>
          <w:szCs w:val="16"/>
        </w:rPr>
        <w:t xml:space="preserve">Bucklew v. Lombardi, 134 S. Ct. 2333 (2014). </w:t>
      </w:r>
      <w:r w:rsidRPr="008C3721">
        <w:rPr>
          <w:rFonts w:asciiTheme="majorHAnsi" w:eastAsia="Times New Roman" w:hAnsiTheme="majorHAnsi"/>
          <w:bCs/>
          <w:sz w:val="16"/>
          <w:szCs w:val="16"/>
        </w:rPr>
        <w:t xml:space="preserve">572 U.S. Order 13A1153 (May 21, 2014) (staying the case and denying certiorari); Order, Bucklew v. Missouri, Case No. 13-10165 (U.S. May 20, 2014); and Bucklew v. Lombardi, Case No. 14-2163 (8th Cir. May 20, 2014). </w:t>
      </w:r>
    </w:p>
  </w:footnote>
  <w:footnote w:id="25">
    <w:p w14:paraId="2A0BAE77" w14:textId="2BC7C79E"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Petitioners’ submission dated March 14, 2018, p. 1. </w:t>
      </w:r>
    </w:p>
  </w:footnote>
  <w:footnote w:id="26">
    <w:p w14:paraId="1D30C1A2"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State’s submission dated March 28, 2016, p.5. </w:t>
      </w:r>
    </w:p>
  </w:footnote>
  <w:footnote w:id="27">
    <w:p w14:paraId="72811261"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Bucklew v. Precythe, No. 17-3052, 2018 WL 1163360.</w:t>
      </w:r>
    </w:p>
  </w:footnote>
  <w:footnote w:id="28">
    <w:p w14:paraId="5CAB0BB9"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Petitioner’s submission dated March 14, 2018, p. 2. </w:t>
      </w:r>
    </w:p>
  </w:footnote>
  <w:footnote w:id="29">
    <w:p w14:paraId="28ED950B" w14:textId="77777777" w:rsidR="003E6AF7" w:rsidRPr="008C3721" w:rsidRDefault="003E6AF7" w:rsidP="008C3721">
      <w:pPr>
        <w:pStyle w:val="FootnoteText"/>
        <w:ind w:firstLine="720"/>
        <w:jc w:val="both"/>
        <w:rPr>
          <w:rFonts w:asciiTheme="majorHAnsi" w:hAnsiTheme="majorHAnsi"/>
          <w:color w:val="auto"/>
          <w:sz w:val="16"/>
          <w:szCs w:val="16"/>
          <w:lang w:val="es-US"/>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lang w:val="es-US"/>
        </w:rPr>
        <w:t xml:space="preserve"> Bucklew v. Lombardi, No. 14-8000-CV-W-BP. </w:t>
      </w:r>
    </w:p>
  </w:footnote>
  <w:footnote w:id="30">
    <w:p w14:paraId="3D7BA2DC"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Court noted that this scenario was “assuming that an IV could be placed [in the peripheral veins] in the first place” considering the agreement from the parties that because of the “cavernous hemangioma” Mr. Bucklew’s peripheral veins cannot be used for the execution because “of the risk that they will rupture.” </w:t>
      </w:r>
    </w:p>
  </w:footnote>
  <w:footnote w:id="31">
    <w:p w14:paraId="4B239FEC" w14:textId="6A0ED623"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On this point, the decision recalled that “when required to be on his back [Mr. Bucklew] can adjust his breathing so that he can remain in that position” for instance as it was possible for him “to lie on his back approximately an hour while undergoing an MRI.” Bucklew v. Lombardi, No. 14-8000-CV-W-BP.</w:t>
      </w:r>
    </w:p>
  </w:footnote>
  <w:footnote w:id="32">
    <w:p w14:paraId="16662804" w14:textId="1165BAF9" w:rsidR="003E6AF7" w:rsidRPr="008C3721" w:rsidRDefault="003E6AF7" w:rsidP="008C3721">
      <w:pPr>
        <w:pStyle w:val="xmsonormal"/>
        <w:spacing w:before="0" w:beforeAutospacing="0" w:after="0" w:afterAutospacing="0"/>
        <w:ind w:firstLine="720"/>
        <w:jc w:val="both"/>
        <w:rPr>
          <w:rFonts w:asciiTheme="majorHAnsi" w:hAnsiTheme="majorHAnsi"/>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The pertinent parts of these expert opinions are referred to in the decision of </w:t>
      </w:r>
      <w:r w:rsidRPr="008C3721">
        <w:rPr>
          <w:rFonts w:asciiTheme="majorHAnsi" w:hAnsiTheme="majorHAnsi"/>
          <w:bCs/>
          <w:sz w:val="16"/>
          <w:szCs w:val="16"/>
        </w:rPr>
        <w:t>the Eighth Circuit Court of Appeals dated March 6, 2018</w:t>
      </w:r>
      <w:r w:rsidRPr="008C3721">
        <w:rPr>
          <w:rFonts w:asciiTheme="majorHAnsi" w:hAnsiTheme="majorHAnsi"/>
          <w:sz w:val="16"/>
          <w:szCs w:val="16"/>
        </w:rPr>
        <w:t>:</w:t>
      </w:r>
    </w:p>
    <w:p w14:paraId="2334DC63" w14:textId="77777777" w:rsidR="003E6AF7" w:rsidRDefault="003E6AF7" w:rsidP="008C3721">
      <w:pPr>
        <w:pStyle w:val="xmsonormal"/>
        <w:spacing w:before="0" w:beforeAutospacing="0" w:after="0" w:afterAutospacing="0"/>
        <w:ind w:left="720" w:right="720"/>
        <w:jc w:val="both"/>
        <w:rPr>
          <w:rFonts w:asciiTheme="majorHAnsi" w:hAnsiTheme="majorHAnsi" w:cs="Tahoma"/>
          <w:sz w:val="16"/>
          <w:szCs w:val="16"/>
        </w:rPr>
      </w:pPr>
    </w:p>
    <w:p w14:paraId="4DA8C7DB" w14:textId="4C06CA85" w:rsidR="003E6AF7" w:rsidRPr="008C3721" w:rsidRDefault="003E6AF7" w:rsidP="008C3721">
      <w:pPr>
        <w:pStyle w:val="xmsonormal"/>
        <w:spacing w:before="0" w:beforeAutospacing="0" w:after="0" w:afterAutospacing="0"/>
        <w:ind w:left="720" w:right="720"/>
        <w:jc w:val="both"/>
        <w:rPr>
          <w:rFonts w:asciiTheme="majorHAnsi" w:hAnsiTheme="majorHAnsi" w:cs="Tahoma"/>
          <w:sz w:val="16"/>
          <w:szCs w:val="16"/>
        </w:rPr>
      </w:pPr>
      <w:r w:rsidRPr="008C3721">
        <w:rPr>
          <w:rFonts w:asciiTheme="majorHAnsi" w:hAnsiTheme="majorHAnsi" w:cs="Tahoma"/>
          <w:sz w:val="16"/>
          <w:szCs w:val="16"/>
        </w:rPr>
        <w:t xml:space="preserve">Bucklew´s expert opined that his condition will cause him to experience severe choking and suffocation during execution by lethal injection. When Bucklew is supine, gravity pulls the hemangioma tumor into his throat which causes his breathing to be labored and the tumor to rupture and bleed. When conscious, Bucklew can “adjust” his breathing with repeated swallowing that prevents the tumor from blocking his airway. But during the “twilight stage” of a lethal injection execution, [expert] Dr. Zivot opined that Bucklew will be aware he is choking on his own blood and in pain before the pentobarbital renders him unconscious and unaware of pain. Based on a study of lethal injections in horses, Dr. Zivot estimated there could be a period as short as 52 seconds and as long as 240 seconds when Bucklew is conscious but immobile and unable to adjust his breathing; his attempts to breath will create friction, causing the tumor to bleed and possibly hemorrhage. In Dr. Zivot´s opinion, there is a “very, very high likelihood” that Bucklew will suffer “choking complications, including visible hemorrhaging,” if he is executed by </w:t>
      </w:r>
      <w:r w:rsidRPr="008C3721">
        <w:rPr>
          <w:rFonts w:asciiTheme="majorHAnsi" w:hAnsiTheme="majorHAnsi" w:cs="Tahoma"/>
          <w:i/>
          <w:iCs/>
          <w:sz w:val="16"/>
          <w:szCs w:val="16"/>
        </w:rPr>
        <w:t>any</w:t>
      </w:r>
      <w:r w:rsidRPr="008C3721">
        <w:rPr>
          <w:rFonts w:asciiTheme="majorHAnsi" w:hAnsiTheme="majorHAnsi" w:cs="Tahoma"/>
          <w:sz w:val="16"/>
          <w:szCs w:val="16"/>
        </w:rPr>
        <w:t xml:space="preserve"> means of lethal injection, including using the drug pentobarbital. </w:t>
      </w:r>
    </w:p>
    <w:p w14:paraId="0A4C20B9" w14:textId="77777777" w:rsidR="003E6AF7" w:rsidRDefault="003E6AF7" w:rsidP="008C3721">
      <w:pPr>
        <w:pStyle w:val="xmsonormal"/>
        <w:spacing w:before="0" w:beforeAutospacing="0" w:after="0" w:afterAutospacing="0"/>
        <w:ind w:left="720" w:right="720"/>
        <w:jc w:val="both"/>
        <w:rPr>
          <w:rFonts w:asciiTheme="majorHAnsi" w:hAnsiTheme="majorHAnsi" w:cs="Tahoma"/>
          <w:sz w:val="16"/>
          <w:szCs w:val="16"/>
        </w:rPr>
      </w:pPr>
    </w:p>
    <w:p w14:paraId="38933503" w14:textId="48555609" w:rsidR="003E6AF7" w:rsidRPr="008C3721" w:rsidRDefault="003E6AF7" w:rsidP="008C3721">
      <w:pPr>
        <w:pStyle w:val="xmsonormal"/>
        <w:spacing w:before="0" w:beforeAutospacing="0" w:after="0" w:afterAutospacing="0"/>
        <w:ind w:left="720" w:right="720"/>
        <w:jc w:val="both"/>
        <w:rPr>
          <w:rFonts w:asciiTheme="majorHAnsi" w:hAnsiTheme="majorHAnsi" w:cs="Tahoma"/>
          <w:sz w:val="16"/>
          <w:szCs w:val="16"/>
        </w:rPr>
      </w:pPr>
      <w:r w:rsidRPr="008C3721">
        <w:rPr>
          <w:rFonts w:asciiTheme="majorHAnsi" w:hAnsiTheme="majorHAnsi" w:cs="Tahoma"/>
          <w:sz w:val="16"/>
          <w:szCs w:val="16"/>
        </w:rPr>
        <w:t xml:space="preserve">According to [Missouri Department of Corrections, expert] Dr. Antognini, pentobarbital causes death by “producing rapid, deep unconscious[ness], respiratory depression, followed by…complete absence of respiration, decreased oxygen levels, slowing of the heart, and then the heart stopping.” In contrast to Dr. Zivot, Dr. Antognini opined that pentobarbital would cause “rapid and deep unconsciousness” within 20-30 seconds of entering Bucklew´s blood stream, rendering him insensate to bleeding and choking sensations. Dr. Antognini also challenged Dr. Zivot´s opinion that a supine Bucklew, unable to adjust his breathing, will be aware he is choking on his own blood and in pain from the tumor blocking his airway before the pentobarbital renders him unconscious. Dr. Antognini noted that, between 2000 and 2003, Bucklew underwent general anesthesia eight times, at least once in a supine position. In December 2016, Bucklew lay supine for over an hour undergoing an MRI, with no more than discomfort. The MRI revealed that his tumor had slightly shrunk since 2010. </w:t>
      </w:r>
    </w:p>
    <w:p w14:paraId="259012FB" w14:textId="77777777" w:rsidR="003E6AF7" w:rsidRDefault="003E6AF7" w:rsidP="008C3721">
      <w:pPr>
        <w:pStyle w:val="xmsonormal"/>
        <w:spacing w:before="0" w:beforeAutospacing="0" w:after="0" w:afterAutospacing="0"/>
        <w:ind w:right="720" w:firstLine="720"/>
        <w:jc w:val="both"/>
        <w:rPr>
          <w:rFonts w:asciiTheme="majorHAnsi" w:hAnsiTheme="majorHAnsi" w:cs="Tahoma"/>
          <w:sz w:val="16"/>
          <w:szCs w:val="16"/>
        </w:rPr>
      </w:pPr>
    </w:p>
    <w:p w14:paraId="21DFFE07" w14:textId="02657A14" w:rsidR="003E6AF7" w:rsidRPr="008C3721" w:rsidRDefault="003E6AF7" w:rsidP="008C3721">
      <w:pPr>
        <w:pStyle w:val="xmsonormal"/>
        <w:spacing w:before="0" w:beforeAutospacing="0" w:after="0" w:afterAutospacing="0"/>
        <w:ind w:right="720" w:firstLine="720"/>
        <w:jc w:val="both"/>
        <w:rPr>
          <w:rFonts w:asciiTheme="majorHAnsi" w:hAnsiTheme="majorHAnsi" w:cs="Tahoma"/>
          <w:sz w:val="16"/>
          <w:szCs w:val="16"/>
        </w:rPr>
      </w:pPr>
      <w:r w:rsidRPr="008C3721">
        <w:rPr>
          <w:rFonts w:asciiTheme="majorHAnsi" w:hAnsiTheme="majorHAnsi" w:cs="Tahoma"/>
          <w:sz w:val="16"/>
          <w:szCs w:val="16"/>
        </w:rPr>
        <w:t xml:space="preserve">See: </w:t>
      </w:r>
      <w:r w:rsidRPr="008C3721">
        <w:rPr>
          <w:rFonts w:asciiTheme="majorHAnsi" w:hAnsiTheme="majorHAnsi"/>
          <w:sz w:val="16"/>
          <w:szCs w:val="16"/>
        </w:rPr>
        <w:t xml:space="preserve">Bucklew v. Precythe, No. 17-3052, 2018 WL 1163360. </w:t>
      </w:r>
    </w:p>
    <w:p w14:paraId="7F0579B7" w14:textId="0509FB5E" w:rsidR="003E6AF7" w:rsidRPr="008C3721" w:rsidRDefault="003E6AF7" w:rsidP="008C3721">
      <w:pPr>
        <w:pStyle w:val="FootnoteText"/>
        <w:ind w:firstLine="720"/>
        <w:rPr>
          <w:rFonts w:asciiTheme="majorHAnsi" w:hAnsiTheme="majorHAnsi"/>
          <w:color w:val="auto"/>
          <w:sz w:val="16"/>
          <w:szCs w:val="16"/>
        </w:rPr>
      </w:pPr>
    </w:p>
  </w:footnote>
  <w:footnote w:id="33">
    <w:p w14:paraId="30BAFDF2"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Bucklew v. Precythe, No. 17-3052, 2018 WL 1163360.</w:t>
      </w:r>
    </w:p>
  </w:footnote>
  <w:footnote w:id="34">
    <w:p w14:paraId="2A776005"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in this respect, IACHR, The death penalty in the Inter-American System of Human Rights: From restrictions to abolition, OEA/Ser.L/V/II.Doc. 68, December 31, 2011.</w:t>
      </w:r>
    </w:p>
  </w:footnote>
  <w:footnote w:id="35">
    <w:p w14:paraId="40AB5E3B"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for example: I/A Court H. R., Advisory Opinion OC-16/99 (October 1, 1999), </w:t>
      </w:r>
      <w:r w:rsidRPr="008C3721">
        <w:rPr>
          <w:rFonts w:asciiTheme="majorHAnsi" w:hAnsiTheme="majorHAnsi"/>
          <w:i/>
          <w:color w:val="auto"/>
          <w:sz w:val="16"/>
          <w:szCs w:val="16"/>
        </w:rPr>
        <w:t>The Right to Information on Consular Assistance in the Framework of the Guarantees of the Due Process of Law</w:t>
      </w:r>
      <w:r w:rsidRPr="008C3721">
        <w:rPr>
          <w:rFonts w:asciiTheme="majorHAnsi" w:hAnsiTheme="majorHAnsi"/>
          <w:color w:val="auto"/>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r w:rsidRPr="008C3721">
        <w:rPr>
          <w:rFonts w:asciiTheme="majorHAnsi" w:hAnsiTheme="majorHAnsi"/>
          <w:i/>
          <w:color w:val="auto"/>
          <w:sz w:val="16"/>
          <w:szCs w:val="16"/>
        </w:rPr>
        <w:t>Baboheram-Adhin et al. v. Suriname</w:t>
      </w:r>
      <w:r w:rsidRPr="008C3721">
        <w:rPr>
          <w:rFonts w:asciiTheme="majorHAnsi" w:hAnsiTheme="majorHAnsi"/>
          <w:color w:val="auto"/>
          <w:sz w:val="16"/>
          <w:szCs w:val="16"/>
        </w:rPr>
        <w:t>,</w:t>
      </w:r>
      <w:r w:rsidRPr="008C3721">
        <w:rPr>
          <w:rFonts w:asciiTheme="majorHAnsi" w:hAnsiTheme="majorHAnsi"/>
          <w:i/>
          <w:color w:val="auto"/>
          <w:sz w:val="16"/>
          <w:szCs w:val="16"/>
        </w:rPr>
        <w:t xml:space="preserve"> </w:t>
      </w:r>
      <w:r w:rsidRPr="008C3721">
        <w:rPr>
          <w:rFonts w:asciiTheme="majorHAnsi" w:hAnsiTheme="majorHAnsi"/>
          <w:color w:val="auto"/>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8C3721">
        <w:rPr>
          <w:rFonts w:asciiTheme="majorHAnsi" w:hAnsiTheme="majorHAnsi"/>
          <w:i/>
          <w:color w:val="auto"/>
          <w:sz w:val="16"/>
          <w:szCs w:val="16"/>
        </w:rPr>
        <w:t>Report of the United Nations Special Rapporteur on Extrajudicial Executions</w:t>
      </w:r>
      <w:r w:rsidRPr="008C3721">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(“the Ndiaye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36">
    <w:p w14:paraId="094AE30A"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11/15, Case 12.833, Merits (Publication), Felix Rocha Diaz, United States, March 23, 2015, para. 54; Report No. 44/14, Case 12.873, Merits (Publication), Edgar Tamayo Arias, United States, July 17, 2014, para. 127;</w:t>
      </w:r>
      <w:r w:rsidRPr="008C3721">
        <w:rPr>
          <w:rFonts w:asciiTheme="majorHAnsi" w:hAnsiTheme="majorHAnsi"/>
          <w:i/>
          <w:color w:val="auto"/>
          <w:sz w:val="16"/>
          <w:szCs w:val="16"/>
        </w:rPr>
        <w:t xml:space="preserve"> </w:t>
      </w:r>
      <w:r w:rsidRPr="008C3721">
        <w:rPr>
          <w:rFonts w:asciiTheme="majorHAnsi" w:hAnsiTheme="majorHAnsi"/>
          <w:color w:val="auto"/>
          <w:sz w:val="16"/>
          <w:szCs w:val="16"/>
        </w:rPr>
        <w:t>Report No. 57/96, Andrews, United States, IACHR Annual Report 1997, paras. 170-171.</w:t>
      </w:r>
    </w:p>
  </w:footnote>
  <w:footnote w:id="37">
    <w:p w14:paraId="18F4B5CD" w14:textId="77777777" w:rsidR="003E6AF7" w:rsidRPr="008C3721" w:rsidRDefault="003E6AF7" w:rsidP="008C3721">
      <w:pPr>
        <w:autoSpaceDE w:val="0"/>
        <w:autoSpaceDN w:val="0"/>
        <w:adjustRightInd w:val="0"/>
        <w:ind w:firstLine="720"/>
        <w:jc w:val="both"/>
        <w:rPr>
          <w:rFonts w:asciiTheme="majorHAnsi" w:hAnsiTheme="majorHAnsi"/>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IACHR, The death penalty in the Inter-American System of Human Rights: From restrictions to abolition, OEA/Ser.L/V/II.Doc. 68, December 31, 2011, para. 41.</w:t>
      </w:r>
    </w:p>
  </w:footnote>
  <w:footnote w:id="38">
    <w:p w14:paraId="7EEF31AA" w14:textId="77777777" w:rsidR="003E6AF7" w:rsidRPr="008C3721" w:rsidRDefault="003E6AF7" w:rsidP="008C3721">
      <w:pPr>
        <w:autoSpaceDE w:val="0"/>
        <w:autoSpaceDN w:val="0"/>
        <w:adjustRightInd w:val="0"/>
        <w:ind w:firstLine="720"/>
        <w:jc w:val="both"/>
        <w:rPr>
          <w:rFonts w:asciiTheme="majorHAnsi" w:hAnsiTheme="majorHAnsi"/>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IACHR, Report No. 78/07, Case 12.265, Merits (Publication), Chad Roger Goodman, The Bahamas, October 15, 2007, para. 34.</w:t>
      </w:r>
    </w:p>
  </w:footnote>
  <w:footnote w:id="39">
    <w:p w14:paraId="39514FCD"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44/14, Case 12,873, Report on Merits (Publication), Edgar Tamayo Arias, United States, July 17, 2014, para. 214.</w:t>
      </w:r>
    </w:p>
  </w:footnote>
  <w:footnote w:id="40">
    <w:p w14:paraId="7F6F4DDA"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The death penalty and the absolute prohibition of Torture and Cruel, Inhuman, and Degrading Treatment or Punishment, Juan E. Mendez, Human Right Brief, Volume 20, Issue 1, Article 1, p. 3. </w:t>
      </w:r>
    </w:p>
  </w:footnote>
  <w:footnote w:id="41">
    <w:p w14:paraId="6C0A90FD"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In that respect, guideline xi) of the “UE Guidelines on Death Penalty” establishes that “Where capital punishment occurs, it shall be carried out so as to inflict the minimum possible suffering. It may not be carried out in public or in any other degrading manner </w:t>
      </w:r>
      <w:hyperlink r:id="rId6" w:history="1">
        <w:r w:rsidRPr="008C3721">
          <w:rPr>
            <w:rStyle w:val="Hyperlink"/>
            <w:rFonts w:asciiTheme="majorHAnsi" w:hAnsiTheme="majorHAnsi"/>
            <w:color w:val="auto"/>
            <w:sz w:val="16"/>
            <w:szCs w:val="16"/>
          </w:rPr>
          <w:t>EU Guidelines on the Death Penalty: revised and updated version.</w:t>
        </w:r>
      </w:hyperlink>
    </w:p>
  </w:footnote>
  <w:footnote w:id="42">
    <w:p w14:paraId="6C693038"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A/HRC/30/18, Human Rights Council, Capital punishment and the implementation of the safeguards guaranteeing protection of the rights of those facing the death penalty, Yearly supplement of the Secretary-General to his quinquennial report on capital punishment, para. 50.</w:t>
      </w:r>
    </w:p>
  </w:footnote>
  <w:footnote w:id="43">
    <w:p w14:paraId="1A6BCD5B" w14:textId="7333838F"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Human Rights Committee, General Comment No: 20: Article 7 (Prohibition of Torture, or Other Cruel, Inhuman or Degrading Treatment or Punishment), 10 March 1992, para. 6. </w:t>
      </w:r>
    </w:p>
  </w:footnote>
  <w:footnote w:id="44">
    <w:p w14:paraId="34B1DD06"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Human Rights Committee, Concluding Observations: Iran (2011), para. 12.  </w:t>
      </w:r>
    </w:p>
  </w:footnote>
  <w:footnote w:id="45">
    <w:p w14:paraId="2678F52A"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Human Rights Committee, Communication No. 469/1991, Ng v Canada, Views adopted on 5 Nov 1993, para. 16.4.  </w:t>
      </w:r>
    </w:p>
  </w:footnote>
  <w:footnote w:id="46">
    <w:p w14:paraId="096218C3"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Human Rights Committee, Malawi Africa Association v Mauritania, Report of the ACHPR of 11 May 2000, para. 120.  </w:t>
      </w:r>
    </w:p>
  </w:footnote>
  <w:footnote w:id="47">
    <w:p w14:paraId="135CB5C7"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Concluding Observations: Democratic Republic of Korea (2001), para. 13.  </w:t>
      </w:r>
    </w:p>
  </w:footnote>
  <w:footnote w:id="48">
    <w:p w14:paraId="66B64AF6" w14:textId="47CA20AE" w:rsidR="003E6AF7" w:rsidRPr="008C3721" w:rsidRDefault="003E6AF7" w:rsidP="008C3721">
      <w:pPr>
        <w:pStyle w:val="Defaul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See Human Rights Committee, Draft General Comment No.36 on Article 6 of the International Covenant on Civil and Political Rights, on the right to life, para 44.  </w:t>
      </w:r>
    </w:p>
  </w:footnote>
  <w:footnote w:id="49">
    <w:p w14:paraId="7A66BDFE" w14:textId="30547B4B"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Human Rights Committee, Concluding observations on the fourth periodic report of the United States of America, CCPR/C/USA/CO/4, para. 8.</w:t>
      </w:r>
    </w:p>
  </w:footnote>
  <w:footnote w:id="50">
    <w:p w14:paraId="5293B86D" w14:textId="77777777" w:rsidR="003E6AF7" w:rsidRPr="008C3721" w:rsidRDefault="003E6AF7" w:rsidP="008C3721">
      <w:pPr>
        <w:pStyle w:val="Heading2"/>
        <w:numPr>
          <w:ilvl w:val="0"/>
          <w:numId w:val="0"/>
        </w:numPr>
        <w:ind w:firstLine="720"/>
        <w:rPr>
          <w:b w:val="0"/>
          <w:sz w:val="16"/>
          <w:szCs w:val="16"/>
        </w:rPr>
      </w:pPr>
      <w:r w:rsidRPr="008C3721">
        <w:rPr>
          <w:rStyle w:val="FootnoteReference"/>
          <w:b w:val="0"/>
          <w:sz w:val="16"/>
          <w:szCs w:val="16"/>
        </w:rPr>
        <w:footnoteRef/>
      </w:r>
      <w:r w:rsidRPr="008C3721">
        <w:rPr>
          <w:b w:val="0"/>
          <w:sz w:val="16"/>
          <w:szCs w:val="16"/>
        </w:rPr>
        <w:t xml:space="preserve"> Committee against Torture, Conclusions and recommendations of the Committee against Torture, United States of America, 25 July 2006, CAT/C/USA/CO/2, para. 31.</w:t>
      </w:r>
    </w:p>
  </w:footnote>
  <w:footnote w:id="51">
    <w:p w14:paraId="081710E2" w14:textId="2616E4CD" w:rsidR="003E6AF7" w:rsidRPr="008C3721" w:rsidRDefault="003E6AF7" w:rsidP="008C3721">
      <w:pPr>
        <w:autoSpaceDE w:val="0"/>
        <w:autoSpaceDN w:val="0"/>
        <w:adjustRightInd w:val="0"/>
        <w:ind w:firstLine="720"/>
        <w:jc w:val="both"/>
        <w:rPr>
          <w:rFonts w:asciiTheme="majorHAnsi" w:hAnsiTheme="majorHAnsi"/>
          <w:bCs/>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Interim Report of the </w:t>
      </w:r>
      <w:r w:rsidRPr="008C3721">
        <w:rPr>
          <w:rFonts w:asciiTheme="majorHAnsi" w:hAnsiTheme="majorHAnsi"/>
          <w:bCs/>
          <w:sz w:val="16"/>
          <w:szCs w:val="16"/>
        </w:rPr>
        <w:t>Special Rapporteur on torture and other cruel, inhuman or degrading treatment or punishment, A/67/229, 9 August 2012, para. 38.</w:t>
      </w:r>
    </w:p>
  </w:footnote>
  <w:footnote w:id="52">
    <w:p w14:paraId="77EF5510" w14:textId="77777777" w:rsidR="003E6AF7" w:rsidRPr="008C3721" w:rsidRDefault="003E6AF7" w:rsidP="008C3721">
      <w:pPr>
        <w:autoSpaceDE w:val="0"/>
        <w:autoSpaceDN w:val="0"/>
        <w:adjustRightInd w:val="0"/>
        <w:ind w:firstLine="720"/>
        <w:jc w:val="both"/>
        <w:rPr>
          <w:rFonts w:asciiTheme="majorHAnsi" w:hAnsiTheme="majorHAnsi"/>
          <w:bCs/>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Interim Report of the </w:t>
      </w:r>
      <w:r w:rsidRPr="008C3721">
        <w:rPr>
          <w:rFonts w:asciiTheme="majorHAnsi" w:hAnsiTheme="majorHAnsi"/>
          <w:bCs/>
          <w:sz w:val="16"/>
          <w:szCs w:val="16"/>
        </w:rPr>
        <w:t>Special Rapporteur on torture and other cruel, inhuman or degrading treatment or punishment, A/67/229, 9 August 2012, para. 80 (b).</w:t>
      </w:r>
    </w:p>
  </w:footnote>
  <w:footnote w:id="53">
    <w:p w14:paraId="339F3209"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53/13, Case 12.864, Merits (Publication), Ivan Teleguz, United States, July 15, 2013, para. 123.</w:t>
      </w:r>
    </w:p>
  </w:footnote>
  <w:footnote w:id="54">
    <w:p w14:paraId="7D4F5A68"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53/13, Case 12.864, Merits (Publication), Ivan Teleguz, United States, July 15, 2013, para. 123.</w:t>
      </w:r>
    </w:p>
  </w:footnote>
  <w:footnote w:id="55">
    <w:p w14:paraId="684C517F" w14:textId="483A79E9" w:rsidR="003E6AF7" w:rsidRPr="008C3721" w:rsidRDefault="003E6AF7" w:rsidP="008C3721">
      <w:pPr>
        <w:pStyle w:val="FootnoteText"/>
        <w:tabs>
          <w:tab w:val="right" w:pos="0"/>
          <w:tab w:val="left" w:pos="180"/>
          <w:tab w:val="left" w:pos="900"/>
        </w:tabs>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United Nations. Report of the Special Rapporteur on torture and other cruel, inhuman or degrading treatment of punishment.  9 August 2012. A/67/279, para 42. Citing: Patrick Hudson, “Does the death row phenomenon violate a prisoner’s rights under international law?” </w:t>
      </w:r>
      <w:r w:rsidRPr="008C3721">
        <w:rPr>
          <w:rFonts w:asciiTheme="majorHAnsi" w:hAnsiTheme="majorHAnsi"/>
          <w:i/>
          <w:color w:val="auto"/>
          <w:sz w:val="16"/>
          <w:szCs w:val="16"/>
        </w:rPr>
        <w:t>European Journal of International Law</w:t>
      </w:r>
      <w:r w:rsidRPr="008C3721">
        <w:rPr>
          <w:rFonts w:asciiTheme="majorHAnsi" w:hAnsiTheme="majorHAnsi"/>
          <w:color w:val="auto"/>
          <w:sz w:val="16"/>
          <w:szCs w:val="16"/>
        </w:rPr>
        <w:t>, vol. 11, No. 4 (2000), pp. 834-837.</w:t>
      </w:r>
    </w:p>
  </w:footnote>
  <w:footnote w:id="56">
    <w:p w14:paraId="52DF6FF2" w14:textId="77777777" w:rsidR="003E6AF7" w:rsidRPr="008C3721" w:rsidRDefault="003E6AF7" w:rsidP="008C3721">
      <w:pPr>
        <w:pStyle w:val="FootnoteText"/>
        <w:ind w:firstLine="720"/>
        <w:jc w:val="both"/>
        <w:rPr>
          <w:rFonts w:asciiTheme="majorHAnsi" w:hAnsiTheme="majorHAnsi"/>
          <w:color w:val="auto"/>
          <w:sz w:val="16"/>
          <w:szCs w:val="16"/>
          <w:highlight w:val="yellow"/>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United Nations. Report of the Special Rapporteur on torture and other cruel, inhuman or degrading treatment of punishment.  9 August 2012. A/67/279. para 42.</w:t>
      </w:r>
    </w:p>
  </w:footnote>
  <w:footnote w:id="57">
    <w:p w14:paraId="60D66596" w14:textId="77777777" w:rsidR="003E6AF7" w:rsidRPr="008C3721" w:rsidRDefault="003E6AF7" w:rsidP="008C3721">
      <w:pPr>
        <w:pStyle w:val="FootnoteText"/>
        <w:tabs>
          <w:tab w:val="right" w:pos="540"/>
          <w:tab w:val="left" w:pos="900"/>
        </w:tabs>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ECtHR. Case of Soering v. The United Kingdom. Report No. 14038/88. Judgment, July 7, 1989. para. 104.</w:t>
      </w:r>
    </w:p>
  </w:footnote>
  <w:footnote w:id="58">
    <w:p w14:paraId="1C04210F" w14:textId="77777777" w:rsidR="003E6AF7" w:rsidRPr="008C3721" w:rsidRDefault="003E6AF7" w:rsidP="008C3721">
      <w:pPr>
        <w:pStyle w:val="FootnoteText"/>
        <w:tabs>
          <w:tab w:val="right" w:pos="540"/>
          <w:tab w:val="left" w:pos="900"/>
        </w:tabs>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ECtHR. Case of Soering v. The United Kingdom. Report No. 14038/88. Judgment, July 7, 1989. para. 106.</w:t>
      </w:r>
    </w:p>
  </w:footnote>
  <w:footnote w:id="59">
    <w:p w14:paraId="6574EFB3" w14:textId="77777777" w:rsidR="003E6AF7" w:rsidRPr="008C3721" w:rsidRDefault="003E6AF7" w:rsidP="008C3721">
      <w:pPr>
        <w:pStyle w:val="FootnoteText"/>
        <w:tabs>
          <w:tab w:val="right" w:pos="540"/>
          <w:tab w:val="left" w:pos="900"/>
        </w:tabs>
        <w:ind w:firstLine="720"/>
        <w:jc w:val="both"/>
        <w:rPr>
          <w:rFonts w:asciiTheme="majorHAnsi" w:hAnsiTheme="majorHAnsi"/>
          <w:color w:val="auto"/>
          <w:sz w:val="16"/>
          <w:szCs w:val="16"/>
          <w:highlight w:val="yellow"/>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ECtHR. Case of Soering v. The United Kingdom. Report No. 14038/88. Judgment, July 7, 1989. para. 111.</w:t>
      </w:r>
    </w:p>
  </w:footnote>
  <w:footnote w:id="60">
    <w:p w14:paraId="521C8928" w14:textId="77777777" w:rsidR="003E6AF7" w:rsidRPr="008C3721" w:rsidRDefault="003E6AF7" w:rsidP="008C3721">
      <w:pPr>
        <w:widowControl w:val="0"/>
        <w:autoSpaceDE w:val="0"/>
        <w:autoSpaceDN w:val="0"/>
        <w:adjustRightInd w:val="0"/>
        <w:ind w:firstLine="720"/>
        <w:jc w:val="both"/>
        <w:rPr>
          <w:rFonts w:asciiTheme="majorHAnsi" w:hAnsiTheme="majorHAnsi" w:cs="Arial"/>
          <w:bCs/>
          <w:sz w:val="16"/>
          <w:szCs w:val="16"/>
        </w:rPr>
      </w:pPr>
      <w:r w:rsidRPr="008C3721">
        <w:rPr>
          <w:rStyle w:val="FootnoteReference"/>
          <w:rFonts w:asciiTheme="majorHAnsi" w:hAnsiTheme="majorHAnsi"/>
          <w:sz w:val="16"/>
          <w:szCs w:val="16"/>
        </w:rPr>
        <w:footnoteRef/>
      </w:r>
      <w:r w:rsidRPr="008C3721">
        <w:rPr>
          <w:rFonts w:asciiTheme="majorHAnsi" w:hAnsiTheme="majorHAnsi"/>
          <w:sz w:val="16"/>
          <w:szCs w:val="16"/>
        </w:rPr>
        <w:t xml:space="preserve"> Pratt and Morgan v. The Attorney General for Jamaica and another (Jamaica) [1993] UKPC 1 (2nd November, 1993), paragraphs 73, 74, 75, and 84. </w:t>
      </w:r>
    </w:p>
  </w:footnote>
  <w:footnote w:id="61">
    <w:p w14:paraId="2BC6A949"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Supreme Court of Uganda in </w:t>
      </w:r>
      <w:r w:rsidRPr="008C3721">
        <w:rPr>
          <w:rFonts w:asciiTheme="majorHAnsi" w:hAnsiTheme="majorHAnsi"/>
          <w:i/>
          <w:color w:val="auto"/>
          <w:sz w:val="16"/>
          <w:szCs w:val="16"/>
        </w:rPr>
        <w:t>Attorney General v. Susan Kigula</w:t>
      </w:r>
      <w:r w:rsidRPr="008C3721">
        <w:rPr>
          <w:rFonts w:asciiTheme="majorHAnsi" w:hAnsiTheme="majorHAnsi"/>
          <w:color w:val="auto"/>
          <w:sz w:val="16"/>
          <w:szCs w:val="16"/>
        </w:rPr>
        <w:t xml:space="preserve"> and 417 others (Constitutional Appeal No. 3 of 2006), 2009.</w:t>
      </w:r>
    </w:p>
  </w:footnote>
  <w:footnote w:id="62">
    <w:p w14:paraId="7F59229E"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Judgment of the Supreme Court of Zimbabwe of 24 June 1993 in </w:t>
      </w:r>
      <w:r w:rsidRPr="008C3721">
        <w:rPr>
          <w:rFonts w:asciiTheme="majorHAnsi" w:hAnsiTheme="majorHAnsi"/>
          <w:i/>
          <w:color w:val="auto"/>
          <w:sz w:val="16"/>
          <w:szCs w:val="16"/>
        </w:rPr>
        <w:t>Catholic Commissioner for Justice and Peace in Zimbabwe v. Attorney General</w:t>
      </w:r>
      <w:r w:rsidRPr="008C3721">
        <w:rPr>
          <w:rFonts w:asciiTheme="majorHAnsi" w:hAnsiTheme="majorHAnsi"/>
          <w:color w:val="auto"/>
          <w:sz w:val="16"/>
          <w:szCs w:val="16"/>
        </w:rPr>
        <w:t xml:space="preserve"> (4) SA 239 (ZS).</w:t>
      </w:r>
    </w:p>
  </w:footnote>
  <w:footnote w:id="63">
    <w:p w14:paraId="19920415"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w:t>
      </w:r>
      <w:r w:rsidRPr="008C3721">
        <w:rPr>
          <w:rFonts w:asciiTheme="majorHAnsi" w:hAnsiTheme="majorHAnsi"/>
          <w:i/>
          <w:color w:val="auto"/>
          <w:sz w:val="16"/>
          <w:szCs w:val="16"/>
        </w:rPr>
        <w:t>mutatis mutandis</w:t>
      </w:r>
      <w:r w:rsidRPr="008C3721">
        <w:rPr>
          <w:rFonts w:asciiTheme="majorHAnsi" w:hAnsiTheme="majorHAnsi"/>
          <w:color w:val="auto"/>
          <w:sz w:val="16"/>
          <w:szCs w:val="16"/>
        </w:rPr>
        <w:t xml:space="preserve">, IACHR, Report No. 57/96, Case 11.139, William Andrews, United States, December 6, 1996. </w:t>
      </w:r>
    </w:p>
  </w:footnote>
  <w:footnote w:id="64">
    <w:p w14:paraId="11B356B3"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53/13, Case 12.864, Merits (Publication), Iván Teleguz, United States, July 15, 2013, para. 129.</w:t>
      </w:r>
    </w:p>
  </w:footnote>
  <w:footnote w:id="65">
    <w:p w14:paraId="2811C5EE"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IACHR, Report No. 11/15, Case 12.833, Merits (Publication), Félix Rocha Díaz, United States, March 23, 2015, para. 106.</w:t>
      </w:r>
    </w:p>
  </w:footnote>
  <w:footnote w:id="66">
    <w:p w14:paraId="0441A56D" w14:textId="77777777" w:rsidR="003E6AF7" w:rsidRPr="008C3721" w:rsidRDefault="003E6AF7" w:rsidP="00051BEC">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67">
    <w:p w14:paraId="2199F7F7" w14:textId="77777777" w:rsidR="003E6AF7" w:rsidRPr="00051BEC" w:rsidRDefault="003E6AF7" w:rsidP="00467364">
      <w:pPr>
        <w:pStyle w:val="FootnoteText"/>
        <w:ind w:firstLine="720"/>
        <w:jc w:val="both"/>
        <w:rPr>
          <w:rFonts w:asciiTheme="majorHAnsi" w:hAnsiTheme="majorHAnsi"/>
          <w:sz w:val="16"/>
          <w:szCs w:val="16"/>
        </w:rPr>
      </w:pPr>
      <w:r w:rsidRPr="00A71B34">
        <w:rPr>
          <w:rStyle w:val="FootnoteReference"/>
          <w:rFonts w:asciiTheme="majorHAnsi" w:hAnsiTheme="majorHAnsi"/>
          <w:sz w:val="16"/>
          <w:szCs w:val="16"/>
        </w:rPr>
        <w:footnoteRef/>
      </w:r>
      <w:r w:rsidRPr="00A71B34">
        <w:rPr>
          <w:rFonts w:asciiTheme="majorHAnsi" w:hAnsiTheme="majorHAnsi"/>
          <w:sz w:val="16"/>
          <w:szCs w:val="16"/>
        </w:rPr>
        <w:t xml:space="preserve"> See: </w:t>
      </w:r>
      <w:hyperlink r:id="rId7" w:history="1">
        <w:r w:rsidRPr="00A71B34">
          <w:rPr>
            <w:rStyle w:val="Hyperlink"/>
            <w:rFonts w:asciiTheme="majorHAnsi" w:hAnsiTheme="majorHAnsi"/>
            <w:sz w:val="16"/>
            <w:szCs w:val="16"/>
          </w:rPr>
          <w:t>https://www.supremecourt.gov/search.aspx?filename=/docket/docketfiles/html/public/17-8151.html</w:t>
        </w:r>
      </w:hyperlink>
      <w:r w:rsidRPr="00051BEC">
        <w:rPr>
          <w:rFonts w:asciiTheme="majorHAnsi" w:hAnsiTheme="majorHAnsi"/>
          <w:sz w:val="16"/>
          <w:szCs w:val="16"/>
        </w:rPr>
        <w:t xml:space="preserve"> </w:t>
      </w:r>
    </w:p>
  </w:footnote>
  <w:footnote w:id="68">
    <w:p w14:paraId="4ECBFE09" w14:textId="77777777" w:rsidR="003E6AF7" w:rsidRPr="00051BEC" w:rsidRDefault="003E6AF7" w:rsidP="008C33FC">
      <w:pPr>
        <w:pStyle w:val="FootnoteText"/>
        <w:ind w:firstLine="720"/>
        <w:jc w:val="both"/>
        <w:rPr>
          <w:rFonts w:asciiTheme="majorHAnsi" w:hAnsiTheme="majorHAnsi"/>
          <w:sz w:val="16"/>
          <w:szCs w:val="16"/>
        </w:rPr>
      </w:pPr>
      <w:r w:rsidRPr="00A71B34">
        <w:rPr>
          <w:rStyle w:val="FootnoteReference"/>
          <w:rFonts w:asciiTheme="majorHAnsi" w:hAnsiTheme="majorHAnsi"/>
          <w:sz w:val="16"/>
          <w:szCs w:val="16"/>
        </w:rPr>
        <w:footnoteRef/>
      </w:r>
      <w:r w:rsidRPr="00A71B34">
        <w:rPr>
          <w:rFonts w:asciiTheme="majorHAnsi" w:hAnsiTheme="majorHAnsi"/>
          <w:sz w:val="16"/>
          <w:szCs w:val="16"/>
        </w:rPr>
        <w:t xml:space="preserve"> See: </w:t>
      </w:r>
      <w:hyperlink r:id="rId8" w:history="1">
        <w:r w:rsidRPr="00A71B34">
          <w:rPr>
            <w:rStyle w:val="Hyperlink"/>
            <w:rFonts w:asciiTheme="majorHAnsi" w:hAnsiTheme="majorHAnsi"/>
            <w:sz w:val="16"/>
            <w:szCs w:val="16"/>
          </w:rPr>
          <w:t>https://www.supremecourt.gov/search.aspx?filename=/docket/docketfiles/html/public/17-8151.html</w:t>
        </w:r>
      </w:hyperlink>
      <w:r w:rsidRPr="00051BEC">
        <w:rPr>
          <w:rFonts w:asciiTheme="majorHAnsi" w:hAnsiTheme="majorHAnsi"/>
          <w:sz w:val="16"/>
          <w:szCs w:val="16"/>
        </w:rPr>
        <w:t xml:space="preserve"> </w:t>
      </w:r>
    </w:p>
  </w:footnote>
  <w:footnote w:id="69">
    <w:p w14:paraId="4CE2F814"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IACHR, Report No. 81/11, Case 12.776, Merits, Jeffrey Timothy Landrigan, United States, July 21, 2011, para. 66; Report No. 52/01, Case No. 12.243, Juan Raúl Garza, United States, Annual Report of the IACHR 2000, para. 117; IACHR, </w:t>
      </w:r>
      <w:r w:rsidRPr="008C3721">
        <w:rPr>
          <w:rFonts w:asciiTheme="majorHAnsi" w:hAnsiTheme="majorHAnsi"/>
          <w:i/>
          <w:color w:val="auto"/>
          <w:sz w:val="16"/>
          <w:szCs w:val="16"/>
        </w:rPr>
        <w:t>Fifth Report on the Situation of Human Rights in Guatemala</w:t>
      </w:r>
      <w:r w:rsidRPr="008C3721">
        <w:rPr>
          <w:rFonts w:asciiTheme="majorHAnsi" w:hAnsiTheme="majorHAnsi"/>
          <w:color w:val="auto"/>
          <w:sz w:val="16"/>
          <w:szCs w:val="16"/>
        </w:rPr>
        <w:t xml:space="preserve">, Doc.OEA/Ser.L/V/II.11doc.21rev. (April 6, 2001) paras. 71 and 72. See also: International Court of Justice, </w:t>
      </w:r>
      <w:r w:rsidRPr="008C3721">
        <w:rPr>
          <w:rFonts w:asciiTheme="majorHAnsi" w:hAnsiTheme="majorHAnsi"/>
          <w:i/>
          <w:color w:val="auto"/>
          <w:sz w:val="16"/>
          <w:szCs w:val="16"/>
        </w:rPr>
        <w:t>Case re. the Vienna Convention on Consular Relations (Germany v. United States of America)</w:t>
      </w:r>
      <w:r w:rsidRPr="008C3721">
        <w:rPr>
          <w:rFonts w:asciiTheme="majorHAnsi" w:hAnsiTheme="majorHAnsi"/>
          <w:color w:val="auto"/>
          <w:sz w:val="16"/>
          <w:szCs w:val="16"/>
        </w:rPr>
        <w:t xml:space="preserve">, Request for the Indication of Provisional Measures, Order of March 3, 1999, General List, No. 104, paras. 22-28; United Nations Human Rights Committee, </w:t>
      </w:r>
      <w:r w:rsidRPr="008C3721">
        <w:rPr>
          <w:rFonts w:asciiTheme="majorHAnsi" w:hAnsiTheme="majorHAnsi"/>
          <w:i/>
          <w:color w:val="auto"/>
          <w:sz w:val="16"/>
          <w:szCs w:val="16"/>
        </w:rPr>
        <w:t>Dante Piandiong et al. v. Philippines</w:t>
      </w:r>
      <w:r w:rsidRPr="008C3721">
        <w:rPr>
          <w:rFonts w:asciiTheme="majorHAnsi" w:hAnsiTheme="majorHAnsi"/>
          <w:color w:val="auto"/>
          <w:sz w:val="16"/>
          <w:szCs w:val="16"/>
        </w:rPr>
        <w:t>, Communication No. 869/1999, UN Doc. CCPR/C/70/D/869.</w:t>
      </w:r>
    </w:p>
  </w:footnote>
  <w:footnote w:id="70">
    <w:p w14:paraId="3A53EF15" w14:textId="77777777" w:rsidR="003E6AF7" w:rsidRPr="008C3721" w:rsidRDefault="003E6AF7" w:rsidP="008C3721">
      <w:pPr>
        <w:pStyle w:val="FootnoteText"/>
        <w:ind w:firstLine="720"/>
        <w:jc w:val="both"/>
        <w:rPr>
          <w:rFonts w:asciiTheme="majorHAnsi" w:hAnsiTheme="majorHAnsi"/>
          <w:color w:val="auto"/>
          <w:sz w:val="16"/>
          <w:szCs w:val="16"/>
        </w:rPr>
      </w:pPr>
      <w:r w:rsidRPr="008C3721">
        <w:rPr>
          <w:rStyle w:val="FootnoteReference"/>
          <w:rFonts w:asciiTheme="majorHAnsi" w:hAnsiTheme="majorHAnsi"/>
          <w:color w:val="auto"/>
          <w:sz w:val="16"/>
          <w:szCs w:val="16"/>
        </w:rPr>
        <w:footnoteRef/>
      </w:r>
      <w:r w:rsidRPr="008C372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0C4A" w14:textId="77777777" w:rsidR="003E6AF7" w:rsidRDefault="003E6AF7" w:rsidP="00FB016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6B24933" w14:textId="77777777" w:rsidR="003E6AF7" w:rsidRDefault="003E6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EE45" w14:textId="77777777" w:rsidR="003E6AF7" w:rsidRDefault="003E6AF7" w:rsidP="002C1641">
    <w:pPr>
      <w:pStyle w:val="Header"/>
      <w:tabs>
        <w:tab w:val="clear" w:pos="4320"/>
        <w:tab w:val="clear" w:pos="8640"/>
      </w:tabs>
      <w:jc w:val="center"/>
      <w:rPr>
        <w:sz w:val="22"/>
        <w:szCs w:val="22"/>
      </w:rPr>
    </w:pPr>
    <w:r>
      <w:rPr>
        <w:noProof/>
        <w:sz w:val="22"/>
        <w:szCs w:val="22"/>
      </w:rPr>
      <w:drawing>
        <wp:inline distT="0" distB="0" distL="0" distR="0" wp14:anchorId="220A7643" wp14:editId="0667B5F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11189AF" w14:textId="77777777" w:rsidR="003E6AF7" w:rsidRPr="00EC7D62" w:rsidRDefault="008556FF" w:rsidP="002C1641">
    <w:pPr>
      <w:pStyle w:val="Header"/>
      <w:tabs>
        <w:tab w:val="clear" w:pos="4320"/>
        <w:tab w:val="clear" w:pos="8640"/>
      </w:tabs>
      <w:jc w:val="center"/>
      <w:rPr>
        <w:sz w:val="22"/>
        <w:szCs w:val="22"/>
      </w:rPr>
    </w:pPr>
    <w:r>
      <w:rPr>
        <w:sz w:val="22"/>
        <w:szCs w:val="22"/>
      </w:rPr>
      <w:pict w14:anchorId="53BCA57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75EF" w14:textId="77777777" w:rsidR="001A4C11" w:rsidRDefault="001A4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6BEB0" w14:textId="77777777" w:rsidR="00B41E87" w:rsidRDefault="00B41E87" w:rsidP="00B41E87">
    <w:pPr>
      <w:pStyle w:val="Header"/>
      <w:tabs>
        <w:tab w:val="clear" w:pos="4320"/>
        <w:tab w:val="clear" w:pos="8640"/>
      </w:tabs>
      <w:jc w:val="center"/>
      <w:rPr>
        <w:sz w:val="22"/>
        <w:szCs w:val="22"/>
      </w:rPr>
    </w:pPr>
    <w:r>
      <w:rPr>
        <w:noProof/>
        <w:sz w:val="22"/>
        <w:szCs w:val="22"/>
      </w:rPr>
      <w:drawing>
        <wp:inline distT="0" distB="0" distL="0" distR="0" wp14:anchorId="0F7912DE" wp14:editId="32D57D2E">
          <wp:extent cx="2209800" cy="117396"/>
          <wp:effectExtent l="0" t="0" r="0" b="0"/>
          <wp:docPr id="6" name="Picture 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11E38E2" w14:textId="77777777" w:rsidR="00B41E87" w:rsidRPr="00EC7D62" w:rsidRDefault="00B41E87" w:rsidP="00B41E87">
    <w:pPr>
      <w:pStyle w:val="Header"/>
      <w:tabs>
        <w:tab w:val="clear" w:pos="4320"/>
        <w:tab w:val="clear" w:pos="8640"/>
      </w:tabs>
      <w:jc w:val="center"/>
      <w:rPr>
        <w:sz w:val="22"/>
        <w:szCs w:val="22"/>
      </w:rPr>
    </w:pPr>
    <w:r>
      <w:rPr>
        <w:sz w:val="22"/>
        <w:szCs w:val="22"/>
      </w:rPr>
      <w:pict w14:anchorId="6BB576AD">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BB7"/>
    <w:multiLevelType w:val="hybridMultilevel"/>
    <w:tmpl w:val="A884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33670A"/>
    <w:multiLevelType w:val="multilevel"/>
    <w:tmpl w:val="866A13C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B41DDB"/>
    <w:multiLevelType w:val="hybridMultilevel"/>
    <w:tmpl w:val="4FB8BD3A"/>
    <w:lvl w:ilvl="0" w:tplc="F8186230">
      <w:start w:val="1"/>
      <w:numFmt w:val="upperRoman"/>
      <w:lvlText w:val="%1."/>
      <w:lvlJc w:val="left"/>
      <w:pPr>
        <w:ind w:left="1080" w:hanging="72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0424"/>
    <w:multiLevelType w:val="hybridMultilevel"/>
    <w:tmpl w:val="EF44CA72"/>
    <w:lvl w:ilvl="0" w:tplc="045A36B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C61D90"/>
    <w:multiLevelType w:val="hybridMultilevel"/>
    <w:tmpl w:val="A19C79DC"/>
    <w:lvl w:ilvl="0" w:tplc="27B830F4">
      <w:start w:val="1"/>
      <w:numFmt w:val="decimal"/>
      <w:lvlText w:val="%1."/>
      <w:lvlJc w:val="left"/>
      <w:pPr>
        <w:tabs>
          <w:tab w:val="num" w:pos="1260"/>
        </w:tabs>
        <w:ind w:left="126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806BE5"/>
    <w:multiLevelType w:val="hybridMultilevel"/>
    <w:tmpl w:val="E1F032C8"/>
    <w:lvl w:ilvl="0" w:tplc="6F521D48">
      <w:start w:val="1"/>
      <w:numFmt w:val="upperLetter"/>
      <w:lvlText w:val="%1."/>
      <w:lvlJc w:val="left"/>
      <w:pPr>
        <w:ind w:left="1080" w:hanging="360"/>
      </w:pPr>
      <w:rPr>
        <w:rFonts w:eastAsia="Arial Unicode M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1E669B"/>
    <w:multiLevelType w:val="hybridMultilevel"/>
    <w:tmpl w:val="5672AE9A"/>
    <w:lvl w:ilvl="0" w:tplc="557A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5DD54DE"/>
    <w:multiLevelType w:val="hybridMultilevel"/>
    <w:tmpl w:val="BC302916"/>
    <w:lvl w:ilvl="0" w:tplc="AEB2881A">
      <w:start w:val="1"/>
      <w:numFmt w:val="decimal"/>
      <w:lvlText w:val="%1."/>
      <w:lvlJc w:val="left"/>
      <w:pPr>
        <w:tabs>
          <w:tab w:val="num" w:pos="1755"/>
        </w:tabs>
        <w:ind w:left="1755" w:hanging="765"/>
      </w:pPr>
      <w:rPr>
        <w:rFonts w:asciiTheme="majorHAnsi" w:hAnsiTheme="majorHAnsi"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B91501"/>
    <w:multiLevelType w:val="hybridMultilevel"/>
    <w:tmpl w:val="F4400692"/>
    <w:lvl w:ilvl="0" w:tplc="7A1C09C6">
      <w:start w:val="1"/>
      <w:numFmt w:val="decimal"/>
      <w:lvlText w:val="%1."/>
      <w:lvlJc w:val="left"/>
      <w:pPr>
        <w:tabs>
          <w:tab w:val="num" w:pos="1080"/>
        </w:tabs>
        <w:ind w:left="1080" w:hanging="360"/>
      </w:pPr>
      <w:rPr>
        <w:rFonts w:ascii="Cambria" w:hAnsi="Cambria" w:cs="Times New Roman" w:hint="default"/>
        <w:b w:val="0"/>
        <w:i w:val="0"/>
        <w:sz w:val="20"/>
        <w:szCs w:val="2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6A101BB"/>
    <w:multiLevelType w:val="hybridMultilevel"/>
    <w:tmpl w:val="DB90A17C"/>
    <w:lvl w:ilvl="0" w:tplc="9612C312">
      <w:start w:val="1"/>
      <w:numFmt w:val="upperRoman"/>
      <w:pStyle w:val="Heading1"/>
      <w:lvlText w:val="%1."/>
      <w:lvlJc w:val="left"/>
      <w:pPr>
        <w:tabs>
          <w:tab w:val="num" w:pos="1440"/>
        </w:tabs>
        <w:ind w:left="1440" w:hanging="720"/>
      </w:pPr>
      <w:rPr>
        <w:rFonts w:cs="Times New Roman" w:hint="default"/>
        <w:b/>
      </w:rPr>
    </w:lvl>
    <w:lvl w:ilvl="1" w:tplc="9C805652">
      <w:start w:val="1"/>
      <w:numFmt w:val="decimal"/>
      <w:pStyle w:val="Heading3"/>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60325A"/>
    <w:multiLevelType w:val="multilevel"/>
    <w:tmpl w:val="587848F8"/>
    <w:lvl w:ilvl="0">
      <w:start w:val="1"/>
      <w:numFmt w:val="decimal"/>
      <w:lvlText w:val="%1."/>
      <w:lvlJc w:val="left"/>
      <w:pPr>
        <w:ind w:left="108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CC36F6"/>
    <w:multiLevelType w:val="hybridMultilevel"/>
    <w:tmpl w:val="3414408A"/>
    <w:lvl w:ilvl="0" w:tplc="6A4A0238">
      <w:start w:val="1"/>
      <w:numFmt w:val="decimal"/>
      <w:lvlText w:val="%1."/>
      <w:lvlJc w:val="left"/>
      <w:pPr>
        <w:tabs>
          <w:tab w:val="num" w:pos="2160"/>
        </w:tabs>
        <w:ind w:left="2160" w:hanging="1440"/>
      </w:pPr>
      <w:rPr>
        <w:rFonts w:ascii="Univers" w:hAnsi="Univers"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78C47F72">
      <w:start w:val="1"/>
      <w:numFmt w:val="upperLetter"/>
      <w:lvlText w:val="%3."/>
      <w:lvlJc w:val="left"/>
      <w:pPr>
        <w:tabs>
          <w:tab w:val="num" w:pos="1620"/>
        </w:tabs>
        <w:ind w:left="1620" w:hanging="720"/>
      </w:pPr>
      <w:rPr>
        <w:rFonts w:cs="Times New Roman" w:hint="default"/>
        <w:b/>
        <w:i w:val="0"/>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0"/>
  </w:num>
  <w:num w:numId="4">
    <w:abstractNumId w:val="24"/>
  </w:num>
  <w:num w:numId="5">
    <w:abstractNumId w:val="54"/>
  </w:num>
  <w:num w:numId="6">
    <w:abstractNumId w:val="29"/>
  </w:num>
  <w:num w:numId="7">
    <w:abstractNumId w:val="8"/>
  </w:num>
  <w:num w:numId="8">
    <w:abstractNumId w:val="19"/>
  </w:num>
  <w:num w:numId="9">
    <w:abstractNumId w:val="47"/>
  </w:num>
  <w:num w:numId="10">
    <w:abstractNumId w:val="1"/>
  </w:num>
  <w:num w:numId="11">
    <w:abstractNumId w:val="42"/>
  </w:num>
  <w:num w:numId="12">
    <w:abstractNumId w:val="43"/>
  </w:num>
  <w:num w:numId="13">
    <w:abstractNumId w:val="49"/>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3"/>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53"/>
  </w:num>
  <w:num w:numId="42">
    <w:abstractNumId w:val="56"/>
  </w:num>
  <w:num w:numId="43">
    <w:abstractNumId w:val="57"/>
  </w:num>
  <w:num w:numId="44">
    <w:abstractNumId w:val="58"/>
  </w:num>
  <w:num w:numId="45">
    <w:abstractNumId w:val="59"/>
  </w:num>
  <w:num w:numId="46">
    <w:abstractNumId w:val="62"/>
  </w:num>
  <w:num w:numId="47">
    <w:abstractNumId w:val="63"/>
  </w:num>
  <w:num w:numId="48">
    <w:abstractNumId w:val="64"/>
  </w:num>
  <w:num w:numId="49">
    <w:abstractNumId w:val="65"/>
  </w:num>
  <w:num w:numId="50">
    <w:abstractNumId w:val="67"/>
  </w:num>
  <w:num w:numId="51">
    <w:abstractNumId w:val="23"/>
  </w:num>
  <w:num w:numId="52">
    <w:abstractNumId w:val="46"/>
  </w:num>
  <w:num w:numId="53">
    <w:abstractNumId w:val="51"/>
  </w:num>
  <w:num w:numId="54">
    <w:abstractNumId w:val="55"/>
  </w:num>
  <w:num w:numId="55">
    <w:abstractNumId w:val="32"/>
  </w:num>
  <w:num w:numId="56">
    <w:abstractNumId w:val="31"/>
  </w:num>
  <w:num w:numId="57">
    <w:abstractNumId w:val="7"/>
    <w:lvlOverride w:ilvl="0">
      <w:startOverride w:val="1"/>
    </w:lvlOverride>
  </w:num>
  <w:num w:numId="58">
    <w:abstractNumId w:val="22"/>
  </w:num>
  <w:num w:numId="59">
    <w:abstractNumId w:val="52"/>
  </w:num>
  <w:num w:numId="60">
    <w:abstractNumId w:val="6"/>
  </w:num>
  <w:num w:numId="61">
    <w:abstractNumId w:val="39"/>
  </w:num>
  <w:num w:numId="62">
    <w:abstractNumId w:val="31"/>
    <w:lvlOverride w:ilvl="0">
      <w:startOverride w:val="1"/>
    </w:lvlOverride>
  </w:num>
  <w:num w:numId="63">
    <w:abstractNumId w:val="31"/>
    <w:lvlOverride w:ilvl="0">
      <w:startOverride w:val="1"/>
    </w:lvlOverride>
  </w:num>
  <w:num w:numId="64">
    <w:abstractNumId w:val="31"/>
    <w:lvlOverride w:ilvl="0">
      <w:startOverride w:val="1"/>
    </w:lvlOverride>
  </w:num>
  <w:num w:numId="65">
    <w:abstractNumId w:val="0"/>
  </w:num>
  <w:num w:numId="66">
    <w:abstractNumId w:val="34"/>
  </w:num>
  <w:num w:numId="67">
    <w:abstractNumId w:val="50"/>
  </w:num>
  <w:num w:numId="68">
    <w:abstractNumId w:val="48"/>
  </w:num>
  <w:num w:numId="69">
    <w:abstractNumId w:val="14"/>
  </w:num>
  <w:num w:numId="70">
    <w:abstractNumId w:val="61"/>
  </w:num>
  <w:num w:numId="71">
    <w:abstractNumId w:val="31"/>
    <w:lvlOverride w:ilvl="0">
      <w:startOverride w:val="1"/>
    </w:lvlOverride>
  </w:num>
  <w:num w:numId="72">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1391"/>
    <w:rsid w:val="00011EA2"/>
    <w:rsid w:val="000173B2"/>
    <w:rsid w:val="0001788C"/>
    <w:rsid w:val="0003054C"/>
    <w:rsid w:val="000323BA"/>
    <w:rsid w:val="00036A8A"/>
    <w:rsid w:val="00036DA8"/>
    <w:rsid w:val="00040C3A"/>
    <w:rsid w:val="00043501"/>
    <w:rsid w:val="000444C9"/>
    <w:rsid w:val="00051BEC"/>
    <w:rsid w:val="00052A3E"/>
    <w:rsid w:val="000542FB"/>
    <w:rsid w:val="00060251"/>
    <w:rsid w:val="000639C0"/>
    <w:rsid w:val="00070F3A"/>
    <w:rsid w:val="000716C5"/>
    <w:rsid w:val="00075E23"/>
    <w:rsid w:val="00083B3E"/>
    <w:rsid w:val="00091DA3"/>
    <w:rsid w:val="00092F32"/>
    <w:rsid w:val="0009344A"/>
    <w:rsid w:val="00095FE8"/>
    <w:rsid w:val="00097A79"/>
    <w:rsid w:val="000A575F"/>
    <w:rsid w:val="000B5A54"/>
    <w:rsid w:val="000B7000"/>
    <w:rsid w:val="000C4F28"/>
    <w:rsid w:val="000D10DB"/>
    <w:rsid w:val="000E1A90"/>
    <w:rsid w:val="000E6FA3"/>
    <w:rsid w:val="000F5542"/>
    <w:rsid w:val="00103DBC"/>
    <w:rsid w:val="00107193"/>
    <w:rsid w:val="00116F23"/>
    <w:rsid w:val="001176BE"/>
    <w:rsid w:val="00125518"/>
    <w:rsid w:val="0013104F"/>
    <w:rsid w:val="00137EBA"/>
    <w:rsid w:val="00141CA0"/>
    <w:rsid w:val="00145AEA"/>
    <w:rsid w:val="00145EDC"/>
    <w:rsid w:val="00156E26"/>
    <w:rsid w:val="00164AC9"/>
    <w:rsid w:val="00167A34"/>
    <w:rsid w:val="001744A6"/>
    <w:rsid w:val="0018037F"/>
    <w:rsid w:val="0018045C"/>
    <w:rsid w:val="0019385A"/>
    <w:rsid w:val="001A4C11"/>
    <w:rsid w:val="001A4EF4"/>
    <w:rsid w:val="001A5F27"/>
    <w:rsid w:val="001A7870"/>
    <w:rsid w:val="001A7FFE"/>
    <w:rsid w:val="001B1E67"/>
    <w:rsid w:val="001C03A1"/>
    <w:rsid w:val="001C152E"/>
    <w:rsid w:val="001C1B41"/>
    <w:rsid w:val="001D01A1"/>
    <w:rsid w:val="001D246C"/>
    <w:rsid w:val="001D6D4E"/>
    <w:rsid w:val="001E00D4"/>
    <w:rsid w:val="001E58A0"/>
    <w:rsid w:val="00201DE6"/>
    <w:rsid w:val="0020411B"/>
    <w:rsid w:val="0020677C"/>
    <w:rsid w:val="002109ED"/>
    <w:rsid w:val="00210E0E"/>
    <w:rsid w:val="0022712C"/>
    <w:rsid w:val="002302DD"/>
    <w:rsid w:val="002343AE"/>
    <w:rsid w:val="00235CF0"/>
    <w:rsid w:val="002427FE"/>
    <w:rsid w:val="00247403"/>
    <w:rsid w:val="00247542"/>
    <w:rsid w:val="00251ECA"/>
    <w:rsid w:val="00257893"/>
    <w:rsid w:val="00266092"/>
    <w:rsid w:val="00266B61"/>
    <w:rsid w:val="0026712A"/>
    <w:rsid w:val="002704DB"/>
    <w:rsid w:val="00273FFC"/>
    <w:rsid w:val="002761BE"/>
    <w:rsid w:val="002776A5"/>
    <w:rsid w:val="00290442"/>
    <w:rsid w:val="00292B2F"/>
    <w:rsid w:val="002A1D24"/>
    <w:rsid w:val="002B10C1"/>
    <w:rsid w:val="002B6957"/>
    <w:rsid w:val="002C0C10"/>
    <w:rsid w:val="002C1641"/>
    <w:rsid w:val="002D535B"/>
    <w:rsid w:val="002D6454"/>
    <w:rsid w:val="002D7EA2"/>
    <w:rsid w:val="002E15DF"/>
    <w:rsid w:val="002E187C"/>
    <w:rsid w:val="002E6E57"/>
    <w:rsid w:val="00301075"/>
    <w:rsid w:val="00302733"/>
    <w:rsid w:val="00311A4F"/>
    <w:rsid w:val="00314078"/>
    <w:rsid w:val="003216E0"/>
    <w:rsid w:val="00322450"/>
    <w:rsid w:val="003246B5"/>
    <w:rsid w:val="0032611F"/>
    <w:rsid w:val="0033169F"/>
    <w:rsid w:val="00333B09"/>
    <w:rsid w:val="00340A6A"/>
    <w:rsid w:val="003414AC"/>
    <w:rsid w:val="00356185"/>
    <w:rsid w:val="0035677D"/>
    <w:rsid w:val="00360380"/>
    <w:rsid w:val="0036430E"/>
    <w:rsid w:val="00370A41"/>
    <w:rsid w:val="00386CF0"/>
    <w:rsid w:val="003B0461"/>
    <w:rsid w:val="003C32BC"/>
    <w:rsid w:val="003C41B4"/>
    <w:rsid w:val="003E5F88"/>
    <w:rsid w:val="003E5F8E"/>
    <w:rsid w:val="003E6AF7"/>
    <w:rsid w:val="003F1BBF"/>
    <w:rsid w:val="003F54C2"/>
    <w:rsid w:val="00402EE0"/>
    <w:rsid w:val="00405613"/>
    <w:rsid w:val="004101BA"/>
    <w:rsid w:val="004165C2"/>
    <w:rsid w:val="00433213"/>
    <w:rsid w:val="00445D9B"/>
    <w:rsid w:val="004460DC"/>
    <w:rsid w:val="004472B1"/>
    <w:rsid w:val="00450A4A"/>
    <w:rsid w:val="00456C1F"/>
    <w:rsid w:val="004666FB"/>
    <w:rsid w:val="00467364"/>
    <w:rsid w:val="00467B7E"/>
    <w:rsid w:val="0047150F"/>
    <w:rsid w:val="004837A8"/>
    <w:rsid w:val="004848AD"/>
    <w:rsid w:val="004924E1"/>
    <w:rsid w:val="0049419D"/>
    <w:rsid w:val="00497928"/>
    <w:rsid w:val="004A0E9E"/>
    <w:rsid w:val="004B2762"/>
    <w:rsid w:val="004B5254"/>
    <w:rsid w:val="004B7EB6"/>
    <w:rsid w:val="004C14A2"/>
    <w:rsid w:val="004C2592"/>
    <w:rsid w:val="004C2D0D"/>
    <w:rsid w:val="004C4B62"/>
    <w:rsid w:val="004D6025"/>
    <w:rsid w:val="004D679E"/>
    <w:rsid w:val="004D72BC"/>
    <w:rsid w:val="004F33E9"/>
    <w:rsid w:val="004F7353"/>
    <w:rsid w:val="00501399"/>
    <w:rsid w:val="00507BC4"/>
    <w:rsid w:val="00510717"/>
    <w:rsid w:val="005128E4"/>
    <w:rsid w:val="00517120"/>
    <w:rsid w:val="00525560"/>
    <w:rsid w:val="005357A6"/>
    <w:rsid w:val="00544C49"/>
    <w:rsid w:val="0054757E"/>
    <w:rsid w:val="0056463A"/>
    <w:rsid w:val="00566CFD"/>
    <w:rsid w:val="005673B9"/>
    <w:rsid w:val="0057402A"/>
    <w:rsid w:val="005771D0"/>
    <w:rsid w:val="0059191A"/>
    <w:rsid w:val="005921FF"/>
    <w:rsid w:val="00593AB3"/>
    <w:rsid w:val="005953BA"/>
    <w:rsid w:val="005A0CC2"/>
    <w:rsid w:val="005A6D0E"/>
    <w:rsid w:val="005A6F92"/>
    <w:rsid w:val="005B222D"/>
    <w:rsid w:val="005B25A9"/>
    <w:rsid w:val="005B52B0"/>
    <w:rsid w:val="005B6806"/>
    <w:rsid w:val="005C00F9"/>
    <w:rsid w:val="005C4225"/>
    <w:rsid w:val="005C61C0"/>
    <w:rsid w:val="005D5010"/>
    <w:rsid w:val="005E16CD"/>
    <w:rsid w:val="005E3F91"/>
    <w:rsid w:val="005F0F33"/>
    <w:rsid w:val="00600DEB"/>
    <w:rsid w:val="00613027"/>
    <w:rsid w:val="00617763"/>
    <w:rsid w:val="00622330"/>
    <w:rsid w:val="006236C9"/>
    <w:rsid w:val="00627C9F"/>
    <w:rsid w:val="00630573"/>
    <w:rsid w:val="006311DA"/>
    <w:rsid w:val="006311E9"/>
    <w:rsid w:val="00632354"/>
    <w:rsid w:val="00642810"/>
    <w:rsid w:val="00647CF2"/>
    <w:rsid w:val="00652333"/>
    <w:rsid w:val="0067260A"/>
    <w:rsid w:val="0068009E"/>
    <w:rsid w:val="006961C6"/>
    <w:rsid w:val="006A17D2"/>
    <w:rsid w:val="006A4E94"/>
    <w:rsid w:val="006A73E6"/>
    <w:rsid w:val="006B2D5C"/>
    <w:rsid w:val="006C4EB1"/>
    <w:rsid w:val="006D5A8D"/>
    <w:rsid w:val="006D7218"/>
    <w:rsid w:val="006E0166"/>
    <w:rsid w:val="006E286C"/>
    <w:rsid w:val="006E573A"/>
    <w:rsid w:val="006E6AA4"/>
    <w:rsid w:val="006E7B34"/>
    <w:rsid w:val="00701B24"/>
    <w:rsid w:val="00705B8C"/>
    <w:rsid w:val="0073181C"/>
    <w:rsid w:val="00745899"/>
    <w:rsid w:val="00750881"/>
    <w:rsid w:val="00753322"/>
    <w:rsid w:val="007607C4"/>
    <w:rsid w:val="0076643F"/>
    <w:rsid w:val="00771635"/>
    <w:rsid w:val="00783830"/>
    <w:rsid w:val="00787E4D"/>
    <w:rsid w:val="007914AD"/>
    <w:rsid w:val="00793044"/>
    <w:rsid w:val="007A2F70"/>
    <w:rsid w:val="007B141E"/>
    <w:rsid w:val="007C3334"/>
    <w:rsid w:val="007C52BB"/>
    <w:rsid w:val="007D2B98"/>
    <w:rsid w:val="007F272E"/>
    <w:rsid w:val="007F70F8"/>
    <w:rsid w:val="0080208B"/>
    <w:rsid w:val="00803F1C"/>
    <w:rsid w:val="0080600E"/>
    <w:rsid w:val="00817612"/>
    <w:rsid w:val="008234E2"/>
    <w:rsid w:val="00826ABF"/>
    <w:rsid w:val="00836FAA"/>
    <w:rsid w:val="00837C45"/>
    <w:rsid w:val="00837F05"/>
    <w:rsid w:val="00845532"/>
    <w:rsid w:val="00853419"/>
    <w:rsid w:val="008556FF"/>
    <w:rsid w:val="00871D3D"/>
    <w:rsid w:val="0087598A"/>
    <w:rsid w:val="00897E12"/>
    <w:rsid w:val="008A225C"/>
    <w:rsid w:val="008A4E83"/>
    <w:rsid w:val="008A6F26"/>
    <w:rsid w:val="008A7E90"/>
    <w:rsid w:val="008B574E"/>
    <w:rsid w:val="008B6D01"/>
    <w:rsid w:val="008C029A"/>
    <w:rsid w:val="008C3388"/>
    <w:rsid w:val="008C33FC"/>
    <w:rsid w:val="008C3721"/>
    <w:rsid w:val="008D43BA"/>
    <w:rsid w:val="008E3759"/>
    <w:rsid w:val="008E5618"/>
    <w:rsid w:val="008F30D3"/>
    <w:rsid w:val="009041DC"/>
    <w:rsid w:val="009104B4"/>
    <w:rsid w:val="00915218"/>
    <w:rsid w:val="00925FCD"/>
    <w:rsid w:val="00927252"/>
    <w:rsid w:val="0093441A"/>
    <w:rsid w:val="00954BF7"/>
    <w:rsid w:val="0096706E"/>
    <w:rsid w:val="00976291"/>
    <w:rsid w:val="00981FBA"/>
    <w:rsid w:val="00984B4E"/>
    <w:rsid w:val="009900B0"/>
    <w:rsid w:val="009938A6"/>
    <w:rsid w:val="009B381B"/>
    <w:rsid w:val="009D0058"/>
    <w:rsid w:val="009D695A"/>
    <w:rsid w:val="009D7611"/>
    <w:rsid w:val="009E53DE"/>
    <w:rsid w:val="009E5480"/>
    <w:rsid w:val="00A10AC4"/>
    <w:rsid w:val="00A13317"/>
    <w:rsid w:val="00A13B8B"/>
    <w:rsid w:val="00A1445F"/>
    <w:rsid w:val="00A26F60"/>
    <w:rsid w:val="00A35D53"/>
    <w:rsid w:val="00A43458"/>
    <w:rsid w:val="00A528D1"/>
    <w:rsid w:val="00A52E8A"/>
    <w:rsid w:val="00A53E34"/>
    <w:rsid w:val="00A554F9"/>
    <w:rsid w:val="00A56026"/>
    <w:rsid w:val="00A60C89"/>
    <w:rsid w:val="00A6377A"/>
    <w:rsid w:val="00A66BE5"/>
    <w:rsid w:val="00A71B34"/>
    <w:rsid w:val="00A77864"/>
    <w:rsid w:val="00A85E5F"/>
    <w:rsid w:val="00AA7F1D"/>
    <w:rsid w:val="00AC22EE"/>
    <w:rsid w:val="00AD37C1"/>
    <w:rsid w:val="00AD4AEB"/>
    <w:rsid w:val="00AD66D5"/>
    <w:rsid w:val="00AE66EC"/>
    <w:rsid w:val="00AE6F91"/>
    <w:rsid w:val="00AF5571"/>
    <w:rsid w:val="00B00A8E"/>
    <w:rsid w:val="00B11576"/>
    <w:rsid w:val="00B11F1F"/>
    <w:rsid w:val="00B167E9"/>
    <w:rsid w:val="00B1708D"/>
    <w:rsid w:val="00B20383"/>
    <w:rsid w:val="00B314DB"/>
    <w:rsid w:val="00B31EBE"/>
    <w:rsid w:val="00B36B27"/>
    <w:rsid w:val="00B3718B"/>
    <w:rsid w:val="00B41E87"/>
    <w:rsid w:val="00B4632A"/>
    <w:rsid w:val="00B5154B"/>
    <w:rsid w:val="00B56516"/>
    <w:rsid w:val="00B86846"/>
    <w:rsid w:val="00B90D19"/>
    <w:rsid w:val="00B92F21"/>
    <w:rsid w:val="00B97095"/>
    <w:rsid w:val="00B97FDF"/>
    <w:rsid w:val="00BA26D9"/>
    <w:rsid w:val="00BA276C"/>
    <w:rsid w:val="00BA636F"/>
    <w:rsid w:val="00BA76CC"/>
    <w:rsid w:val="00BB306F"/>
    <w:rsid w:val="00BB3426"/>
    <w:rsid w:val="00BC580D"/>
    <w:rsid w:val="00BC63D5"/>
    <w:rsid w:val="00BD232B"/>
    <w:rsid w:val="00BD45C0"/>
    <w:rsid w:val="00BD4B89"/>
    <w:rsid w:val="00BD6399"/>
    <w:rsid w:val="00BE002B"/>
    <w:rsid w:val="00BE0808"/>
    <w:rsid w:val="00BE7759"/>
    <w:rsid w:val="00C014A0"/>
    <w:rsid w:val="00C06A8F"/>
    <w:rsid w:val="00C169C7"/>
    <w:rsid w:val="00C21762"/>
    <w:rsid w:val="00C24543"/>
    <w:rsid w:val="00C256A2"/>
    <w:rsid w:val="00C31DFC"/>
    <w:rsid w:val="00C3492D"/>
    <w:rsid w:val="00C42C77"/>
    <w:rsid w:val="00C46774"/>
    <w:rsid w:val="00C502C9"/>
    <w:rsid w:val="00C55560"/>
    <w:rsid w:val="00C62945"/>
    <w:rsid w:val="00C66B72"/>
    <w:rsid w:val="00C72E25"/>
    <w:rsid w:val="00C84B03"/>
    <w:rsid w:val="00C87A51"/>
    <w:rsid w:val="00C87D8F"/>
    <w:rsid w:val="00C9567A"/>
    <w:rsid w:val="00CA3413"/>
    <w:rsid w:val="00CB2660"/>
    <w:rsid w:val="00CC5E90"/>
    <w:rsid w:val="00CD046C"/>
    <w:rsid w:val="00CD458F"/>
    <w:rsid w:val="00CE1067"/>
    <w:rsid w:val="00CE2196"/>
    <w:rsid w:val="00CE33D0"/>
    <w:rsid w:val="00CE5199"/>
    <w:rsid w:val="00CE5EC6"/>
    <w:rsid w:val="00CE66D5"/>
    <w:rsid w:val="00CF54A4"/>
    <w:rsid w:val="00D02A16"/>
    <w:rsid w:val="00D05A52"/>
    <w:rsid w:val="00D27770"/>
    <w:rsid w:val="00D320EE"/>
    <w:rsid w:val="00D32B85"/>
    <w:rsid w:val="00D34786"/>
    <w:rsid w:val="00D40A1E"/>
    <w:rsid w:val="00D42817"/>
    <w:rsid w:val="00D55272"/>
    <w:rsid w:val="00D6085E"/>
    <w:rsid w:val="00D6667E"/>
    <w:rsid w:val="00D707A8"/>
    <w:rsid w:val="00D712D3"/>
    <w:rsid w:val="00D71422"/>
    <w:rsid w:val="00D7145E"/>
    <w:rsid w:val="00D7558D"/>
    <w:rsid w:val="00D80881"/>
    <w:rsid w:val="00D81D92"/>
    <w:rsid w:val="00D93446"/>
    <w:rsid w:val="00D93D94"/>
    <w:rsid w:val="00DA398F"/>
    <w:rsid w:val="00DA7B5F"/>
    <w:rsid w:val="00DD23BC"/>
    <w:rsid w:val="00DD4154"/>
    <w:rsid w:val="00DD7518"/>
    <w:rsid w:val="00DE4E65"/>
    <w:rsid w:val="00DF0D5C"/>
    <w:rsid w:val="00DF6789"/>
    <w:rsid w:val="00DF7771"/>
    <w:rsid w:val="00DF7917"/>
    <w:rsid w:val="00E267D6"/>
    <w:rsid w:val="00E43130"/>
    <w:rsid w:val="00E43157"/>
    <w:rsid w:val="00E533FF"/>
    <w:rsid w:val="00E55142"/>
    <w:rsid w:val="00E67264"/>
    <w:rsid w:val="00E709B3"/>
    <w:rsid w:val="00E73F58"/>
    <w:rsid w:val="00E832D2"/>
    <w:rsid w:val="00E832F9"/>
    <w:rsid w:val="00E85311"/>
    <w:rsid w:val="00E868F3"/>
    <w:rsid w:val="00E8789F"/>
    <w:rsid w:val="00E94010"/>
    <w:rsid w:val="00E96776"/>
    <w:rsid w:val="00E97B71"/>
    <w:rsid w:val="00EA1C1E"/>
    <w:rsid w:val="00EB454D"/>
    <w:rsid w:val="00EB707E"/>
    <w:rsid w:val="00ED4BEA"/>
    <w:rsid w:val="00EE0C76"/>
    <w:rsid w:val="00EE3522"/>
    <w:rsid w:val="00EE5EE2"/>
    <w:rsid w:val="00EE5F8A"/>
    <w:rsid w:val="00EF0952"/>
    <w:rsid w:val="00EF385D"/>
    <w:rsid w:val="00EF619B"/>
    <w:rsid w:val="00F00B55"/>
    <w:rsid w:val="00F0325D"/>
    <w:rsid w:val="00F137EE"/>
    <w:rsid w:val="00F1380F"/>
    <w:rsid w:val="00F14F0E"/>
    <w:rsid w:val="00F2138D"/>
    <w:rsid w:val="00F24C29"/>
    <w:rsid w:val="00F253CC"/>
    <w:rsid w:val="00F305CD"/>
    <w:rsid w:val="00F4251C"/>
    <w:rsid w:val="00F56BA5"/>
    <w:rsid w:val="00F577A5"/>
    <w:rsid w:val="00F644E6"/>
    <w:rsid w:val="00F87320"/>
    <w:rsid w:val="00F9653B"/>
    <w:rsid w:val="00FA6E50"/>
    <w:rsid w:val="00FB0164"/>
    <w:rsid w:val="00FB143F"/>
    <w:rsid w:val="00FB62CF"/>
    <w:rsid w:val="00FC262B"/>
    <w:rsid w:val="00FC3EB4"/>
    <w:rsid w:val="00FC5939"/>
    <w:rsid w:val="00FC6C58"/>
    <w:rsid w:val="00FC75DD"/>
    <w:rsid w:val="00FE6B45"/>
    <w:rsid w:val="00FF5851"/>
    <w:rsid w:val="00FF7B79"/>
    <w:rsid w:val="00FF7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2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444C9"/>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outlineLvl w:val="0"/>
    </w:pPr>
    <w:rPr>
      <w:rFonts w:asciiTheme="majorHAnsi" w:eastAsiaTheme="majorEastAsia" w:hAnsiTheme="majorHAnsi" w:cstheme="majorBidi"/>
      <w:b/>
      <w:bCs/>
      <w:sz w:val="20"/>
      <w:szCs w:val="20"/>
      <w:lang w:val="en"/>
    </w:rPr>
  </w:style>
  <w:style w:type="paragraph" w:styleId="Heading2">
    <w:name w:val="heading 2"/>
    <w:basedOn w:val="Normal"/>
    <w:next w:val="Normal"/>
    <w:link w:val="Heading2Char"/>
    <w:uiPriority w:val="9"/>
    <w:unhideWhenUsed/>
    <w:qFormat/>
    <w:rsid w:val="000444C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heme="majorEastAsia" w:hAnsiTheme="majorHAnsi" w:cstheme="majorBidi"/>
      <w:b/>
      <w:bCs/>
      <w:sz w:val="20"/>
      <w:szCs w:val="20"/>
      <w:lang w:val="en"/>
    </w:rPr>
  </w:style>
  <w:style w:type="paragraph" w:styleId="Heading3">
    <w:name w:val="heading 3"/>
    <w:basedOn w:val="Normal"/>
    <w:next w:val="Normal"/>
    <w:link w:val="Heading3Char"/>
    <w:uiPriority w:val="9"/>
    <w:unhideWhenUsed/>
    <w:qFormat/>
    <w:rsid w:val="000444C9"/>
    <w:pPr>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outlineLvl w:val="2"/>
    </w:pPr>
    <w:rPr>
      <w:rFonts w:ascii="Cambria" w:eastAsia="Times New Roman" w:hAnsi="Cambria" w:cs="Arial"/>
      <w:b/>
      <w:bCs/>
      <w:sz w:val="20"/>
      <w:szCs w:val="20"/>
      <w:bdr w:val="none" w:sz="0" w:space="0" w:color="auto"/>
      <w:lang w:val="en"/>
    </w:rPr>
  </w:style>
  <w:style w:type="paragraph" w:styleId="Heading4">
    <w:name w:val="heading 4"/>
    <w:basedOn w:val="Normal"/>
    <w:next w:val="Normal"/>
    <w:link w:val="Heading4Char"/>
    <w:uiPriority w:val="9"/>
    <w:semiHidden/>
    <w:unhideWhenUsed/>
    <w:qFormat/>
    <w:rsid w:val="005646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444C9"/>
    <w:rPr>
      <w:rFonts w:asciiTheme="majorHAnsi" w:eastAsiaTheme="majorEastAsia" w:hAnsiTheme="majorHAnsi" w:cstheme="majorBidi"/>
      <w:b/>
      <w:bCs/>
      <w:lang w:val="en"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2109ED"/>
    <w:pPr>
      <w:tabs>
        <w:tab w:val="left" w:pos="720"/>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0444C9"/>
    <w:rPr>
      <w:rFonts w:asciiTheme="majorHAnsi" w:eastAsiaTheme="majorEastAsia" w:hAnsiTheme="majorHAnsi" w:cstheme="majorBidi"/>
      <w:b/>
      <w:bCs/>
      <w:lang w:val="en" w:eastAsia="en-US"/>
    </w:rPr>
  </w:style>
  <w:style w:type="paragraph" w:styleId="TOCHeading">
    <w:name w:val="TOC Heading"/>
    <w:basedOn w:val="Heading1"/>
    <w:next w:val="Normal"/>
    <w:uiPriority w:val="39"/>
    <w:unhideWhenUsed/>
    <w:qFormat/>
    <w:rsid w:val="0035677D"/>
    <w:pPr>
      <w:numPr>
        <w:numId w:val="0"/>
      </w:numPr>
      <w:outlineLvl w:val="9"/>
    </w:pPr>
  </w:style>
  <w:style w:type="character" w:customStyle="1" w:styleId="Heading3Char">
    <w:name w:val="Heading 3 Char"/>
    <w:basedOn w:val="DefaultParagraphFont"/>
    <w:link w:val="Heading3"/>
    <w:uiPriority w:val="9"/>
    <w:rsid w:val="000444C9"/>
    <w:rPr>
      <w:rFonts w:ascii="Cambria" w:eastAsia="Times New Roman" w:hAnsi="Cambria" w:cs="Arial"/>
      <w:b/>
      <w:bCs/>
      <w:bdr w:val="none" w:sz="0" w:space="0" w:color="auto"/>
      <w:lang w:val="en" w:eastAsia="en-US"/>
    </w:rPr>
  </w:style>
  <w:style w:type="paragraph" w:styleId="NormalWeb">
    <w:name w:val="Normal (Web)"/>
    <w:aliases w:val="Normal (Web) Char1,Normal (Web) Char Char,Normal (Web) Char1 Char,Normal (Web) Char Char Char"/>
    <w:basedOn w:val="Normal"/>
    <w:uiPriority w:val="99"/>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5677D"/>
    <w:rPr>
      <w:b/>
      <w:bCs/>
    </w:rPr>
  </w:style>
  <w:style w:type="paragraph" w:styleId="BodyText3">
    <w:name w:val="Body Text 3"/>
    <w:basedOn w:val="Normal"/>
    <w:link w:val="BodyText3Char"/>
    <w:rsid w:val="0035677D"/>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5677D"/>
    <w:rPr>
      <w:rFonts w:eastAsia="Times New Roman"/>
      <w:sz w:val="16"/>
      <w:szCs w:val="16"/>
      <w:bdr w:val="none" w:sz="0" w:space="0" w:color="auto"/>
      <w:lang w:val="en-US" w:eastAsia="en-US"/>
    </w:rPr>
  </w:style>
  <w:style w:type="character" w:styleId="Emphasis">
    <w:name w:val="Emphasis"/>
    <w:qFormat/>
    <w:rsid w:val="0035677D"/>
    <w:rPr>
      <w:i/>
      <w:iCs/>
    </w:rPr>
  </w:style>
  <w:style w:type="character" w:customStyle="1" w:styleId="ListParagraphChar">
    <w:name w:val="List Paragraph Char"/>
    <w:aliases w:val="Párrafo de lista1 Char,List Paragraph1 Char,Colorful List - Accent 11 Char,List Paragraph11 Char,List Paragraph2 Char"/>
    <w:link w:val="ListParagraph"/>
    <w:locked/>
    <w:rsid w:val="0035677D"/>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35677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F33E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bdr w:val="none" w:sz="0" w:space="0" w:color="auto"/>
      <w:vertAlign w:val="superscript"/>
    </w:rPr>
  </w:style>
  <w:style w:type="character" w:customStyle="1" w:styleId="Heading4Char">
    <w:name w:val="Heading 4 Char"/>
    <w:basedOn w:val="DefaultParagraphFont"/>
    <w:link w:val="Heading4"/>
    <w:uiPriority w:val="9"/>
    <w:semiHidden/>
    <w:rsid w:val="0056463A"/>
    <w:rPr>
      <w:rFonts w:asciiTheme="majorHAnsi" w:eastAsiaTheme="majorEastAsia" w:hAnsiTheme="majorHAnsi" w:cstheme="majorBidi"/>
      <w:b/>
      <w:bCs/>
      <w:i/>
      <w:iCs/>
      <w:color w:val="4F81BD" w:themeColor="accent1"/>
      <w:sz w:val="24"/>
      <w:szCs w:val="24"/>
      <w:lang w:val="en-US" w:eastAsia="en-US"/>
    </w:rPr>
  </w:style>
  <w:style w:type="character" w:customStyle="1" w:styleId="a">
    <w:name w:val="a"/>
    <w:basedOn w:val="DefaultParagraphFont"/>
    <w:rsid w:val="002A1D24"/>
  </w:style>
  <w:style w:type="character" w:customStyle="1" w:styleId="l6">
    <w:name w:val="l6"/>
    <w:basedOn w:val="DefaultParagraphFont"/>
    <w:rsid w:val="002A1D24"/>
  </w:style>
  <w:style w:type="character" w:customStyle="1" w:styleId="l7">
    <w:name w:val="l7"/>
    <w:basedOn w:val="DefaultParagraphFont"/>
    <w:rsid w:val="002A1D24"/>
  </w:style>
  <w:style w:type="paragraph" w:customStyle="1" w:styleId="xmsonormal">
    <w:name w:val="x_msonormal"/>
    <w:basedOn w:val="Normal"/>
    <w:rsid w:val="00E940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b8d990e2">
    <w:name w:val="sb8d990e2"/>
    <w:rsid w:val="00370A41"/>
  </w:style>
  <w:style w:type="paragraph" w:customStyle="1" w:styleId="Default">
    <w:name w:val="Default"/>
    <w:rsid w:val="00370A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paragraph" w:customStyle="1" w:styleId="Heading410pt">
    <w:name w:val="Heading 4 + 10 pt"/>
    <w:basedOn w:val="Heading3"/>
    <w:rsid w:val="00467364"/>
    <w:pPr>
      <w:numPr>
        <w:ilvl w:val="3"/>
        <w:numId w:val="72"/>
      </w:numPr>
    </w:pPr>
    <w:rPr>
      <w:rFonts w:asciiTheme="majorHAnsi" w:eastAsia="Cambria" w:hAnsiTheme="majorHAnsi" w:cs="Cambria"/>
      <w:bCs w:val="0"/>
      <w:color w:val="00000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87953">
      <w:bodyDiv w:val="1"/>
      <w:marLeft w:val="0"/>
      <w:marRight w:val="0"/>
      <w:marTop w:val="0"/>
      <w:marBottom w:val="0"/>
      <w:divBdr>
        <w:top w:val="none" w:sz="0" w:space="0" w:color="auto"/>
        <w:left w:val="none" w:sz="0" w:space="0" w:color="auto"/>
        <w:bottom w:val="none" w:sz="0" w:space="0" w:color="auto"/>
        <w:right w:val="none" w:sz="0" w:space="0" w:color="auto"/>
      </w:divBdr>
    </w:div>
    <w:div w:id="14764851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3050285">
      <w:bodyDiv w:val="1"/>
      <w:marLeft w:val="120"/>
      <w:marRight w:val="120"/>
      <w:marTop w:val="0"/>
      <w:marBottom w:val="120"/>
      <w:divBdr>
        <w:top w:val="none" w:sz="0" w:space="0" w:color="auto"/>
        <w:left w:val="none" w:sz="0" w:space="0" w:color="auto"/>
        <w:bottom w:val="none" w:sz="0" w:space="0" w:color="auto"/>
        <w:right w:val="none" w:sz="0" w:space="0" w:color="auto"/>
      </w:divBdr>
      <w:divsChild>
        <w:div w:id="1116560859">
          <w:marLeft w:val="0"/>
          <w:marRight w:val="0"/>
          <w:marTop w:val="0"/>
          <w:marBottom w:val="0"/>
          <w:divBdr>
            <w:top w:val="none" w:sz="0" w:space="0" w:color="auto"/>
            <w:left w:val="none" w:sz="0" w:space="0" w:color="auto"/>
            <w:bottom w:val="none" w:sz="0" w:space="0" w:color="auto"/>
            <w:right w:val="none" w:sz="0" w:space="0" w:color="auto"/>
          </w:divBdr>
          <w:divsChild>
            <w:div w:id="385682758">
              <w:marLeft w:val="0"/>
              <w:marRight w:val="0"/>
              <w:marTop w:val="0"/>
              <w:marBottom w:val="0"/>
              <w:divBdr>
                <w:top w:val="none" w:sz="0" w:space="0" w:color="auto"/>
                <w:left w:val="none" w:sz="0" w:space="0" w:color="auto"/>
                <w:bottom w:val="none" w:sz="0" w:space="0" w:color="auto"/>
                <w:right w:val="none" w:sz="0" w:space="0" w:color="auto"/>
              </w:divBdr>
              <w:divsChild>
                <w:div w:id="20462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12209">
      <w:bodyDiv w:val="1"/>
      <w:marLeft w:val="0"/>
      <w:marRight w:val="0"/>
      <w:marTop w:val="0"/>
      <w:marBottom w:val="0"/>
      <w:divBdr>
        <w:top w:val="none" w:sz="0" w:space="0" w:color="auto"/>
        <w:left w:val="none" w:sz="0" w:space="0" w:color="auto"/>
        <w:bottom w:val="none" w:sz="0" w:space="0" w:color="auto"/>
        <w:right w:val="none" w:sz="0" w:space="0" w:color="auto"/>
      </w:divBdr>
      <w:divsChild>
        <w:div w:id="1759211367">
          <w:marLeft w:val="0"/>
          <w:marRight w:val="0"/>
          <w:marTop w:val="0"/>
          <w:marBottom w:val="0"/>
          <w:divBdr>
            <w:top w:val="none" w:sz="0" w:space="0" w:color="auto"/>
            <w:left w:val="none" w:sz="0" w:space="0" w:color="auto"/>
            <w:bottom w:val="none" w:sz="0" w:space="0" w:color="auto"/>
            <w:right w:val="none" w:sz="0" w:space="0" w:color="auto"/>
          </w:divBdr>
        </w:div>
        <w:div w:id="2089302216">
          <w:marLeft w:val="0"/>
          <w:marRight w:val="0"/>
          <w:marTop w:val="0"/>
          <w:marBottom w:val="0"/>
          <w:divBdr>
            <w:top w:val="none" w:sz="0" w:space="0" w:color="auto"/>
            <w:left w:val="none" w:sz="0" w:space="0" w:color="auto"/>
            <w:bottom w:val="none" w:sz="0" w:space="0" w:color="auto"/>
            <w:right w:val="none" w:sz="0" w:space="0" w:color="auto"/>
          </w:divBdr>
        </w:div>
        <w:div w:id="1774545052">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2078436231">
          <w:marLeft w:val="0"/>
          <w:marRight w:val="0"/>
          <w:marTop w:val="0"/>
          <w:marBottom w:val="0"/>
          <w:divBdr>
            <w:top w:val="none" w:sz="0" w:space="0" w:color="auto"/>
            <w:left w:val="none" w:sz="0" w:space="0" w:color="auto"/>
            <w:bottom w:val="none" w:sz="0" w:space="0" w:color="auto"/>
            <w:right w:val="none" w:sz="0" w:space="0" w:color="auto"/>
          </w:divBdr>
        </w:div>
        <w:div w:id="907108641">
          <w:marLeft w:val="0"/>
          <w:marRight w:val="0"/>
          <w:marTop w:val="0"/>
          <w:marBottom w:val="0"/>
          <w:divBdr>
            <w:top w:val="none" w:sz="0" w:space="0" w:color="auto"/>
            <w:left w:val="none" w:sz="0" w:space="0" w:color="auto"/>
            <w:bottom w:val="none" w:sz="0" w:space="0" w:color="auto"/>
            <w:right w:val="none" w:sz="0" w:space="0" w:color="auto"/>
          </w:divBdr>
        </w:div>
        <w:div w:id="1618562970">
          <w:marLeft w:val="0"/>
          <w:marRight w:val="0"/>
          <w:marTop w:val="0"/>
          <w:marBottom w:val="0"/>
          <w:divBdr>
            <w:top w:val="none" w:sz="0" w:space="0" w:color="auto"/>
            <w:left w:val="none" w:sz="0" w:space="0" w:color="auto"/>
            <w:bottom w:val="none" w:sz="0" w:space="0" w:color="auto"/>
            <w:right w:val="none" w:sz="0" w:space="0" w:color="auto"/>
          </w:divBdr>
        </w:div>
        <w:div w:id="1689410306">
          <w:marLeft w:val="0"/>
          <w:marRight w:val="0"/>
          <w:marTop w:val="0"/>
          <w:marBottom w:val="0"/>
          <w:divBdr>
            <w:top w:val="none" w:sz="0" w:space="0" w:color="auto"/>
            <w:left w:val="none" w:sz="0" w:space="0" w:color="auto"/>
            <w:bottom w:val="none" w:sz="0" w:space="0" w:color="auto"/>
            <w:right w:val="none" w:sz="0" w:space="0" w:color="auto"/>
          </w:divBdr>
        </w:div>
        <w:div w:id="1978219128">
          <w:marLeft w:val="0"/>
          <w:marRight w:val="0"/>
          <w:marTop w:val="0"/>
          <w:marBottom w:val="0"/>
          <w:divBdr>
            <w:top w:val="none" w:sz="0" w:space="0" w:color="auto"/>
            <w:left w:val="none" w:sz="0" w:space="0" w:color="auto"/>
            <w:bottom w:val="none" w:sz="0" w:space="0" w:color="auto"/>
            <w:right w:val="none" w:sz="0" w:space="0" w:color="auto"/>
          </w:divBdr>
        </w:div>
        <w:div w:id="733045316">
          <w:marLeft w:val="0"/>
          <w:marRight w:val="0"/>
          <w:marTop w:val="0"/>
          <w:marBottom w:val="0"/>
          <w:divBdr>
            <w:top w:val="none" w:sz="0" w:space="0" w:color="auto"/>
            <w:left w:val="none" w:sz="0" w:space="0" w:color="auto"/>
            <w:bottom w:val="none" w:sz="0" w:space="0" w:color="auto"/>
            <w:right w:val="none" w:sz="0" w:space="0" w:color="auto"/>
          </w:divBdr>
        </w:div>
        <w:div w:id="1746146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supremecourt.gov/search.aspx?filename=/docket/docketfiles/html/public/17-8151.html" TargetMode="External"/><Relationship Id="rId3" Type="http://schemas.openxmlformats.org/officeDocument/2006/relationships/hyperlink" Target="https://deathpenaltyinfo.org/files/pdf/ExecutionProtocols/MissouriProtocol10.18.2013.pdf" TargetMode="External"/><Relationship Id="rId7" Type="http://schemas.openxmlformats.org/officeDocument/2006/relationships/hyperlink" Target="https://www.supremecourt.gov/search.aspx?filename=/docket/docketfiles/html/public/17-8151.html" TargetMode="External"/><Relationship Id="rId2" Type="http://schemas.openxmlformats.org/officeDocument/2006/relationships/hyperlink" Target="https://deathpenaltyinfo.org/files/pdf/ExecutionProtocols/MissouriProtocol10.18.2013.pdf" TargetMode="External"/><Relationship Id="rId1" Type="http://schemas.openxmlformats.org/officeDocument/2006/relationships/hyperlink" Target="http://www.oas.org/en/iachr/decisions/pdf/2014/MC177-14-EN.pdf" TargetMode="External"/><Relationship Id="rId6" Type="http://schemas.openxmlformats.org/officeDocument/2006/relationships/hyperlink" Target="http://www.consilium.europa.eu/uedocs/cmsUpload/10015.en08.pdf" TargetMode="External"/><Relationship Id="rId5" Type="http://schemas.openxmlformats.org/officeDocument/2006/relationships/hyperlink" Target="https://deathpenaltyinfo.org/files/pdf/ExecutionProtocols/MissouriProtocol10.18.2013.pdf" TargetMode="External"/><Relationship Id="rId4" Type="http://schemas.openxmlformats.org/officeDocument/2006/relationships/hyperlink" Target="https://deathpenaltyinfo.org/files/pdf/ExecutionProtocols/MissouriProtocol10.18.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FD20-1581-4044-ADAD-E2B3B1BA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11618</Words>
  <Characters>66226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71/18</dc:title>
  <dc:creator/>
  <cp:lastModifiedBy/>
  <cp:revision>1</cp:revision>
  <dcterms:created xsi:type="dcterms:W3CDTF">2019-03-05T21:01:00Z</dcterms:created>
  <dcterms:modified xsi:type="dcterms:W3CDTF">2019-03-05T21:02:00Z</dcterms:modified>
</cp:coreProperties>
</file>