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0852878D" w:rsidR="00040C3A" w:rsidRPr="00505E83" w:rsidRDefault="006311DA"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463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r w:rsidR="00505E83" w:rsidRPr="00505E83">
        <w:rPr>
          <w:rFonts w:asciiTheme="majorHAnsi" w:hAnsiTheme="majorHAnsi" w:cs="Univers"/>
          <w:b/>
          <w:bCs/>
          <w:sz w:val="22"/>
          <w:szCs w:val="22"/>
        </w:rPr>
        <w:t>Pt,</w:t>
      </w:r>
    </w:p>
    <w:p w14:paraId="2FBBC331" w14:textId="77777777" w:rsidR="00040C3A" w:rsidRPr="00505E83" w:rsidRDefault="00040C3A" w:rsidP="00040C3A">
      <w:pPr>
        <w:tabs>
          <w:tab w:val="center" w:pos="5400"/>
        </w:tabs>
        <w:suppressAutoHyphens/>
        <w:jc w:val="both"/>
        <w:rPr>
          <w:rFonts w:asciiTheme="majorHAnsi" w:hAnsiTheme="majorHAnsi"/>
          <w:sz w:val="22"/>
          <w:szCs w:val="22"/>
        </w:rPr>
      </w:pPr>
    </w:p>
    <w:p w14:paraId="513C008C" w14:textId="77777777" w:rsidR="00040C3A" w:rsidRPr="00505E83" w:rsidRDefault="00040C3A" w:rsidP="00040C3A">
      <w:pPr>
        <w:tabs>
          <w:tab w:val="center" w:pos="5400"/>
        </w:tabs>
        <w:suppressAutoHyphens/>
        <w:jc w:val="both"/>
        <w:rPr>
          <w:rFonts w:asciiTheme="majorHAnsi" w:hAnsiTheme="majorHAnsi"/>
          <w:sz w:val="22"/>
          <w:szCs w:val="22"/>
        </w:rPr>
      </w:pPr>
    </w:p>
    <w:p w14:paraId="05EDDB39" w14:textId="77777777" w:rsidR="005128E4" w:rsidRPr="00505E83" w:rsidRDefault="005128E4" w:rsidP="00040C3A">
      <w:pPr>
        <w:tabs>
          <w:tab w:val="center" w:pos="5400"/>
        </w:tabs>
        <w:suppressAutoHyphens/>
        <w:rPr>
          <w:rFonts w:asciiTheme="majorHAnsi" w:hAnsiTheme="majorHAnsi"/>
          <w:sz w:val="22"/>
          <w:szCs w:val="22"/>
        </w:rPr>
      </w:pPr>
    </w:p>
    <w:p w14:paraId="10FFBD73" w14:textId="77777777" w:rsidR="005128E4" w:rsidRPr="00505E83" w:rsidRDefault="005128E4" w:rsidP="00040C3A">
      <w:pPr>
        <w:tabs>
          <w:tab w:val="center" w:pos="5400"/>
        </w:tabs>
        <w:suppressAutoHyphens/>
        <w:rPr>
          <w:rFonts w:asciiTheme="majorHAnsi" w:hAnsiTheme="majorHAnsi"/>
          <w:sz w:val="22"/>
          <w:szCs w:val="22"/>
        </w:rPr>
      </w:pPr>
    </w:p>
    <w:p w14:paraId="3E13B0E8" w14:textId="77777777" w:rsidR="005128E4" w:rsidRPr="00505E83" w:rsidRDefault="005128E4" w:rsidP="00040C3A">
      <w:pPr>
        <w:tabs>
          <w:tab w:val="center" w:pos="5400"/>
        </w:tabs>
        <w:suppressAutoHyphens/>
        <w:rPr>
          <w:rFonts w:asciiTheme="majorHAnsi" w:hAnsiTheme="majorHAnsi"/>
          <w:sz w:val="22"/>
          <w:szCs w:val="22"/>
        </w:rPr>
      </w:pPr>
    </w:p>
    <w:p w14:paraId="14767CBD" w14:textId="77777777" w:rsidR="00040C3A" w:rsidRPr="00505E83" w:rsidRDefault="00040C3A" w:rsidP="005128E4">
      <w:pPr>
        <w:tabs>
          <w:tab w:val="center" w:pos="5400"/>
        </w:tabs>
        <w:suppressAutoHyphens/>
        <w:jc w:val="center"/>
        <w:rPr>
          <w:rFonts w:asciiTheme="majorHAnsi" w:hAnsiTheme="majorHAnsi"/>
          <w:sz w:val="22"/>
          <w:szCs w:val="22"/>
        </w:rPr>
      </w:pPr>
    </w:p>
    <w:p w14:paraId="209C2AF0" w14:textId="77777777" w:rsidR="00040C3A" w:rsidRPr="00505E83" w:rsidRDefault="00040C3A" w:rsidP="005128E4">
      <w:pPr>
        <w:tabs>
          <w:tab w:val="center" w:pos="5400"/>
        </w:tabs>
        <w:suppressAutoHyphens/>
        <w:jc w:val="center"/>
        <w:rPr>
          <w:rFonts w:asciiTheme="majorHAnsi" w:hAnsiTheme="majorHAnsi"/>
          <w:sz w:val="22"/>
          <w:szCs w:val="22"/>
        </w:rPr>
      </w:pPr>
    </w:p>
    <w:p w14:paraId="22280F95" w14:textId="77777777" w:rsidR="005B52B0" w:rsidRPr="00505E83" w:rsidRDefault="005B52B0" w:rsidP="005128E4">
      <w:pPr>
        <w:tabs>
          <w:tab w:val="center" w:pos="5400"/>
        </w:tabs>
        <w:suppressAutoHyphens/>
        <w:jc w:val="center"/>
        <w:rPr>
          <w:rFonts w:asciiTheme="majorHAnsi" w:hAnsiTheme="majorHAnsi"/>
          <w:sz w:val="22"/>
          <w:szCs w:val="22"/>
        </w:rPr>
      </w:pPr>
    </w:p>
    <w:p w14:paraId="75EA8B29" w14:textId="77777777" w:rsidR="005B52B0" w:rsidRPr="00505E83" w:rsidRDefault="005B52B0" w:rsidP="005128E4">
      <w:pPr>
        <w:tabs>
          <w:tab w:val="center" w:pos="5400"/>
        </w:tabs>
        <w:suppressAutoHyphens/>
        <w:jc w:val="center"/>
        <w:rPr>
          <w:rFonts w:asciiTheme="majorHAnsi" w:hAnsiTheme="majorHAnsi"/>
          <w:sz w:val="22"/>
          <w:szCs w:val="22"/>
        </w:rPr>
      </w:pPr>
    </w:p>
    <w:p w14:paraId="41E9A166" w14:textId="77777777" w:rsidR="005B52B0" w:rsidRPr="00505E83" w:rsidRDefault="005B52B0" w:rsidP="005128E4">
      <w:pPr>
        <w:tabs>
          <w:tab w:val="center" w:pos="5400"/>
        </w:tabs>
        <w:suppressAutoHyphens/>
        <w:jc w:val="center"/>
        <w:rPr>
          <w:rFonts w:asciiTheme="majorHAnsi" w:hAnsiTheme="majorHAnsi"/>
          <w:sz w:val="22"/>
          <w:szCs w:val="22"/>
        </w:rPr>
      </w:pPr>
    </w:p>
    <w:p w14:paraId="3AE1A97C" w14:textId="77777777" w:rsidR="00040C3A" w:rsidRPr="00505E83" w:rsidRDefault="00040C3A" w:rsidP="00040C3A">
      <w:pPr>
        <w:tabs>
          <w:tab w:val="center" w:pos="5400"/>
        </w:tabs>
        <w:suppressAutoHyphens/>
        <w:jc w:val="center"/>
        <w:rPr>
          <w:rFonts w:asciiTheme="majorHAnsi" w:hAnsiTheme="majorHAnsi"/>
          <w:sz w:val="22"/>
          <w:szCs w:val="22"/>
        </w:rPr>
      </w:pPr>
    </w:p>
    <w:p w14:paraId="7E2FD54E" w14:textId="77777777" w:rsidR="00040C3A" w:rsidRPr="00505E83" w:rsidRDefault="00040C3A" w:rsidP="00040C3A">
      <w:pPr>
        <w:tabs>
          <w:tab w:val="center" w:pos="5400"/>
        </w:tabs>
        <w:suppressAutoHyphens/>
        <w:jc w:val="center"/>
        <w:rPr>
          <w:rFonts w:asciiTheme="majorHAnsi" w:hAnsiTheme="majorHAnsi"/>
          <w:sz w:val="22"/>
          <w:szCs w:val="22"/>
        </w:rPr>
      </w:pPr>
    </w:p>
    <w:p w14:paraId="0C171AAF" w14:textId="77777777" w:rsidR="00040C3A" w:rsidRPr="00505E83" w:rsidRDefault="00040C3A" w:rsidP="00040C3A">
      <w:pPr>
        <w:tabs>
          <w:tab w:val="center" w:pos="5400"/>
        </w:tabs>
        <w:suppressAutoHyphens/>
        <w:jc w:val="center"/>
        <w:rPr>
          <w:rFonts w:asciiTheme="majorHAnsi" w:hAnsiTheme="majorHAnsi"/>
          <w:sz w:val="22"/>
          <w:szCs w:val="22"/>
        </w:rPr>
      </w:pPr>
    </w:p>
    <w:p w14:paraId="6D675D19" w14:textId="77777777" w:rsidR="00040C3A" w:rsidRPr="00505E83"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E713A" w14:textId="7726E369" w:rsidR="005358E2" w:rsidRPr="00F33779" w:rsidRDefault="005358E2" w:rsidP="00B7629B">
                            <w:pPr>
                              <w:spacing w:after="120"/>
                              <w:rPr>
                                <w:rFonts w:ascii="Cambria" w:hAnsi="Cambria" w:cs="Arial"/>
                                <w:b/>
                                <w:bCs/>
                                <w:color w:val="0D0D0D"/>
                                <w:sz w:val="36"/>
                              </w:rPr>
                            </w:pPr>
                            <w:r>
                              <w:rPr>
                                <w:rFonts w:ascii="Cambria" w:hAnsi="Cambria" w:cs="Arial"/>
                                <w:b/>
                                <w:bCs/>
                                <w:color w:val="0D0D0D"/>
                                <w:sz w:val="36"/>
                                <w:lang w:val="en"/>
                              </w:rPr>
                              <w:t xml:space="preserve">REPORT </w:t>
                            </w:r>
                            <w:r>
                              <w:rPr>
                                <w:rFonts w:ascii="Cambria" w:hAnsi="Cambria" w:cs="Arial"/>
                                <w:b/>
                                <w:bCs/>
                                <w:color w:val="0D0D0D"/>
                                <w:sz w:val="36"/>
                                <w:szCs w:val="40"/>
                                <w:lang w:val="en"/>
                              </w:rPr>
                              <w:t>No.</w:t>
                            </w:r>
                            <w:r>
                              <w:rPr>
                                <w:rFonts w:ascii="Cambria" w:hAnsi="Cambria" w:cs="Arial"/>
                                <w:b/>
                                <w:bCs/>
                                <w:color w:val="0D0D0D"/>
                                <w:sz w:val="36"/>
                                <w:lang w:val="en"/>
                              </w:rPr>
                              <w:t xml:space="preserve"> </w:t>
                            </w:r>
                            <w:r w:rsidR="009473E2">
                              <w:rPr>
                                <w:rFonts w:ascii="Cambria" w:hAnsi="Cambria" w:cs="Arial"/>
                                <w:b/>
                                <w:bCs/>
                                <w:color w:val="0D0D0D"/>
                                <w:sz w:val="36"/>
                                <w:lang w:val="en"/>
                              </w:rPr>
                              <w:t>221</w:t>
                            </w:r>
                            <w:r>
                              <w:rPr>
                                <w:rFonts w:ascii="Cambria" w:hAnsi="Cambria" w:cs="Arial"/>
                                <w:b/>
                                <w:bCs/>
                                <w:color w:val="0D0D0D"/>
                                <w:sz w:val="36"/>
                                <w:lang w:val="en"/>
                              </w:rPr>
                              <w:t>/19</w:t>
                            </w:r>
                          </w:p>
                          <w:p w14:paraId="472A9776" w14:textId="77777777" w:rsidR="005358E2" w:rsidRPr="00F33779" w:rsidRDefault="005358E2" w:rsidP="00B7629B">
                            <w:pPr>
                              <w:spacing w:after="120"/>
                              <w:rPr>
                                <w:rFonts w:ascii="Cambria" w:hAnsi="Cambria" w:cs="Arial"/>
                                <w:b/>
                                <w:color w:val="0D0D0D"/>
                                <w:sz w:val="36"/>
                              </w:rPr>
                            </w:pPr>
                            <w:r>
                              <w:rPr>
                                <w:rFonts w:ascii="Cambria" w:hAnsi="Cambria" w:cs="Arial"/>
                                <w:b/>
                                <w:bCs/>
                                <w:color w:val="0D0D0D"/>
                                <w:sz w:val="36"/>
                                <w:lang w:val="en"/>
                              </w:rPr>
                              <w:t xml:space="preserve">PETITION 1396-10 </w:t>
                            </w:r>
                          </w:p>
                          <w:p w14:paraId="48015818" w14:textId="77777777" w:rsidR="005358E2" w:rsidRPr="00F33779" w:rsidRDefault="005358E2" w:rsidP="00B7629B">
                            <w:pPr>
                              <w:spacing w:after="120"/>
                              <w:rPr>
                                <w:rFonts w:ascii="Cambria" w:hAnsi="Cambria" w:cs="Arial"/>
                                <w:color w:val="0D0D0D"/>
                              </w:rPr>
                            </w:pPr>
                            <w:r>
                              <w:rPr>
                                <w:rFonts w:ascii="Cambria" w:hAnsi="Cambria" w:cs="Arial"/>
                                <w:color w:val="0D0D0D"/>
                                <w:lang w:val="en"/>
                              </w:rPr>
                              <w:t>REPORT ON ADMISSIBILITY</w:t>
                            </w:r>
                          </w:p>
                          <w:p w14:paraId="769D5C78" w14:textId="77777777" w:rsidR="005358E2" w:rsidRPr="00F33779" w:rsidRDefault="005358E2" w:rsidP="00B7629B">
                            <w:pPr>
                              <w:spacing w:after="120"/>
                              <w:rPr>
                                <w:rFonts w:ascii="Cambria" w:hAnsi="Cambria" w:cs="Arial"/>
                                <w:color w:val="0D0D0D"/>
                              </w:rPr>
                            </w:pPr>
                            <w:bookmarkStart w:id="0" w:name="_ftnref1"/>
                          </w:p>
                          <w:p w14:paraId="0DF159F0" w14:textId="77777777" w:rsidR="005358E2" w:rsidRPr="00B7629B" w:rsidRDefault="005358E2" w:rsidP="00B7629B">
                            <w:pPr>
                              <w:spacing w:after="120"/>
                              <w:rPr>
                                <w:rFonts w:ascii="Cambria" w:hAnsi="Cambria" w:cs="Arial"/>
                                <w:color w:val="0D0D0D"/>
                                <w:lang w:val="es-US"/>
                              </w:rPr>
                            </w:pPr>
                            <w:r w:rsidRPr="00B7629B">
                              <w:rPr>
                                <w:rFonts w:ascii="Cambria" w:hAnsi="Cambria" w:cs="Arial"/>
                                <w:color w:val="0D0D0D"/>
                                <w:lang w:val="es-US"/>
                              </w:rPr>
                              <w:t>FRANCISCO POMPEYO RAMOS MARRAU</w:t>
                            </w:r>
                          </w:p>
                          <w:bookmarkEnd w:id="0"/>
                          <w:p w14:paraId="7F1406DA" w14:textId="77777777" w:rsidR="005358E2" w:rsidRPr="00B7629B" w:rsidRDefault="005358E2" w:rsidP="00B7629B">
                            <w:pPr>
                              <w:spacing w:after="120"/>
                              <w:rPr>
                                <w:rFonts w:ascii="Cambria" w:hAnsi="Cambria" w:cs="Arial"/>
                                <w:color w:val="0D0D0D"/>
                                <w:lang w:val="es-US"/>
                              </w:rPr>
                            </w:pPr>
                            <w:r w:rsidRPr="00B7629B">
                              <w:rPr>
                                <w:rFonts w:ascii="Cambria" w:hAnsi="Cambria" w:cs="Arial"/>
                                <w:color w:val="0D0D0D"/>
                                <w:lang w:val="es-US"/>
                              </w:rPr>
                              <w:t>ARGENTINA</w:t>
                            </w:r>
                          </w:p>
                          <w:p w14:paraId="67476ECA" w14:textId="10A948E7" w:rsidR="005B52B0" w:rsidRPr="00B7629B" w:rsidRDefault="005B52B0" w:rsidP="00261E08">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495E713A" w14:textId="7726E369" w:rsidR="005358E2" w:rsidRPr="00F33779" w:rsidRDefault="005358E2" w:rsidP="00B7629B">
                      <w:pPr>
                        <w:spacing w:after="120"/>
                        <w:rPr>
                          <w:rFonts w:ascii="Cambria" w:hAnsi="Cambria" w:cs="Arial"/>
                          <w:b/>
                          <w:bCs/>
                          <w:color w:val="0D0D0D"/>
                          <w:sz w:val="36"/>
                        </w:rPr>
                      </w:pPr>
                      <w:r>
                        <w:rPr>
                          <w:rFonts w:ascii="Cambria" w:hAnsi="Cambria" w:cs="Arial"/>
                          <w:b/>
                          <w:bCs/>
                          <w:color w:val="0D0D0D"/>
                          <w:sz w:val="36"/>
                          <w:lang w:val="en"/>
                        </w:rPr>
                        <w:t xml:space="preserve">REPORT </w:t>
                      </w:r>
                      <w:r>
                        <w:rPr>
                          <w:rFonts w:ascii="Cambria" w:hAnsi="Cambria" w:cs="Arial"/>
                          <w:b/>
                          <w:bCs/>
                          <w:color w:val="0D0D0D"/>
                          <w:sz w:val="36"/>
                          <w:szCs w:val="40"/>
                          <w:lang w:val="en"/>
                        </w:rPr>
                        <w:t>No.</w:t>
                      </w:r>
                      <w:r>
                        <w:rPr>
                          <w:rFonts w:ascii="Cambria" w:hAnsi="Cambria" w:cs="Arial"/>
                          <w:b/>
                          <w:bCs/>
                          <w:color w:val="0D0D0D"/>
                          <w:sz w:val="36"/>
                          <w:lang w:val="en"/>
                        </w:rPr>
                        <w:t xml:space="preserve"> </w:t>
                      </w:r>
                      <w:r w:rsidR="009473E2">
                        <w:rPr>
                          <w:rFonts w:ascii="Cambria" w:hAnsi="Cambria" w:cs="Arial"/>
                          <w:b/>
                          <w:bCs/>
                          <w:color w:val="0D0D0D"/>
                          <w:sz w:val="36"/>
                          <w:lang w:val="en"/>
                        </w:rPr>
                        <w:t>221</w:t>
                      </w:r>
                      <w:r>
                        <w:rPr>
                          <w:rFonts w:ascii="Cambria" w:hAnsi="Cambria" w:cs="Arial"/>
                          <w:b/>
                          <w:bCs/>
                          <w:color w:val="0D0D0D"/>
                          <w:sz w:val="36"/>
                          <w:lang w:val="en"/>
                        </w:rPr>
                        <w:t>/19</w:t>
                      </w:r>
                    </w:p>
                    <w:p w14:paraId="472A9776" w14:textId="77777777" w:rsidR="005358E2" w:rsidRPr="00F33779" w:rsidRDefault="005358E2" w:rsidP="00B7629B">
                      <w:pPr>
                        <w:spacing w:after="120"/>
                        <w:rPr>
                          <w:rFonts w:ascii="Cambria" w:hAnsi="Cambria" w:cs="Arial"/>
                          <w:b/>
                          <w:color w:val="0D0D0D"/>
                          <w:sz w:val="36"/>
                        </w:rPr>
                      </w:pPr>
                      <w:r>
                        <w:rPr>
                          <w:rFonts w:ascii="Cambria" w:hAnsi="Cambria" w:cs="Arial"/>
                          <w:b/>
                          <w:bCs/>
                          <w:color w:val="0D0D0D"/>
                          <w:sz w:val="36"/>
                          <w:lang w:val="en"/>
                        </w:rPr>
                        <w:t xml:space="preserve">PETITION 1396-10 </w:t>
                      </w:r>
                    </w:p>
                    <w:p w14:paraId="48015818" w14:textId="77777777" w:rsidR="005358E2" w:rsidRPr="00F33779" w:rsidRDefault="005358E2" w:rsidP="00B7629B">
                      <w:pPr>
                        <w:spacing w:after="120"/>
                        <w:rPr>
                          <w:rFonts w:ascii="Cambria" w:hAnsi="Cambria" w:cs="Arial"/>
                          <w:color w:val="0D0D0D"/>
                        </w:rPr>
                      </w:pPr>
                      <w:r>
                        <w:rPr>
                          <w:rFonts w:ascii="Cambria" w:hAnsi="Cambria" w:cs="Arial"/>
                          <w:color w:val="0D0D0D"/>
                          <w:lang w:val="en"/>
                        </w:rPr>
                        <w:t>REPORT ON ADMISSIBILITY</w:t>
                      </w:r>
                    </w:p>
                    <w:p w14:paraId="769D5C78" w14:textId="77777777" w:rsidR="005358E2" w:rsidRPr="00F33779" w:rsidRDefault="005358E2" w:rsidP="00B7629B">
                      <w:pPr>
                        <w:spacing w:after="120"/>
                        <w:rPr>
                          <w:rFonts w:ascii="Cambria" w:hAnsi="Cambria" w:cs="Arial"/>
                          <w:color w:val="0D0D0D"/>
                        </w:rPr>
                      </w:pPr>
                      <w:bookmarkStart w:id="1" w:name="_ftnref1"/>
                    </w:p>
                    <w:p w14:paraId="0DF159F0" w14:textId="77777777" w:rsidR="005358E2" w:rsidRPr="00B7629B" w:rsidRDefault="005358E2" w:rsidP="00B7629B">
                      <w:pPr>
                        <w:spacing w:after="120"/>
                        <w:rPr>
                          <w:rFonts w:ascii="Cambria" w:hAnsi="Cambria" w:cs="Arial"/>
                          <w:color w:val="0D0D0D"/>
                          <w:lang w:val="es-US"/>
                        </w:rPr>
                      </w:pPr>
                      <w:r w:rsidRPr="00B7629B">
                        <w:rPr>
                          <w:rFonts w:ascii="Cambria" w:hAnsi="Cambria" w:cs="Arial"/>
                          <w:color w:val="0D0D0D"/>
                          <w:lang w:val="es-US"/>
                        </w:rPr>
                        <w:t>FRANCISCO POMPEYO RAMOS MARRAU</w:t>
                      </w:r>
                    </w:p>
                    <w:bookmarkEnd w:id="1"/>
                    <w:p w14:paraId="7F1406DA" w14:textId="77777777" w:rsidR="005358E2" w:rsidRPr="00B7629B" w:rsidRDefault="005358E2" w:rsidP="00B7629B">
                      <w:pPr>
                        <w:spacing w:after="120"/>
                        <w:rPr>
                          <w:rFonts w:ascii="Cambria" w:hAnsi="Cambria" w:cs="Arial"/>
                          <w:color w:val="0D0D0D"/>
                          <w:lang w:val="es-US"/>
                        </w:rPr>
                      </w:pPr>
                      <w:r w:rsidRPr="00B7629B">
                        <w:rPr>
                          <w:rFonts w:ascii="Cambria" w:hAnsi="Cambria" w:cs="Arial"/>
                          <w:color w:val="0D0D0D"/>
                          <w:lang w:val="es-US"/>
                        </w:rPr>
                        <w:t>ARGENTINA</w:t>
                      </w:r>
                    </w:p>
                    <w:p w14:paraId="67476ECA" w14:textId="10A948E7" w:rsidR="005B52B0" w:rsidRPr="00B7629B" w:rsidRDefault="005B52B0" w:rsidP="00261E08">
                      <w:pPr>
                        <w:spacing w:line="276" w:lineRule="auto"/>
                        <w:rPr>
                          <w:rFonts w:asciiTheme="majorHAnsi" w:hAnsiTheme="majorHAnsi"/>
                          <w:color w:val="0D0D0D" w:themeColor="text1" w:themeTint="F2"/>
                          <w:lang w:val="es-U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67AEA54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7D78D641" w:rsidR="00627C9F" w:rsidRPr="009473E2" w:rsidRDefault="009E566A" w:rsidP="00B7629B">
                            <w:pPr>
                              <w:spacing w:line="360" w:lineRule="auto"/>
                              <w:jc w:val="right"/>
                              <w:rPr>
                                <w:rFonts w:asciiTheme="minorHAnsi" w:hAnsiTheme="minorHAnsi"/>
                                <w:color w:val="FFFFFF" w:themeColor="background1"/>
                                <w:sz w:val="22"/>
                                <w:lang w:val="pt-BR"/>
                              </w:rPr>
                            </w:pPr>
                            <w:r w:rsidRPr="009473E2">
                              <w:rPr>
                                <w:rFonts w:asciiTheme="minorHAnsi" w:hAnsiTheme="minorHAnsi"/>
                                <w:color w:val="FFFFFF" w:themeColor="background1"/>
                                <w:sz w:val="22"/>
                                <w:lang w:val="pt-BR"/>
                              </w:rPr>
                              <w:t>OEA/Ser.L/V/II.</w:t>
                            </w:r>
                          </w:p>
                          <w:p w14:paraId="2B86BB36" w14:textId="27C29EA4" w:rsidR="00627C9F" w:rsidRPr="009473E2" w:rsidRDefault="00CA6577" w:rsidP="00B7629B">
                            <w:pPr>
                              <w:spacing w:line="360" w:lineRule="auto"/>
                              <w:jc w:val="right"/>
                              <w:rPr>
                                <w:rFonts w:asciiTheme="minorHAnsi" w:hAnsiTheme="minorHAnsi"/>
                                <w:color w:val="FFFFFF" w:themeColor="background1"/>
                                <w:sz w:val="22"/>
                                <w:lang w:val="pt-BR"/>
                              </w:rPr>
                            </w:pPr>
                            <w:r w:rsidRPr="009473E2">
                              <w:rPr>
                                <w:rFonts w:asciiTheme="minorHAnsi" w:hAnsiTheme="minorHAnsi"/>
                                <w:color w:val="FFFFFF" w:themeColor="background1"/>
                                <w:sz w:val="22"/>
                                <w:lang w:val="pt-BR"/>
                              </w:rPr>
                              <w:t xml:space="preserve">Doc. </w:t>
                            </w:r>
                            <w:r w:rsidR="009473E2" w:rsidRPr="009473E2">
                              <w:rPr>
                                <w:rFonts w:asciiTheme="minorHAnsi" w:hAnsiTheme="minorHAnsi"/>
                                <w:color w:val="FFFFFF" w:themeColor="background1"/>
                                <w:sz w:val="22"/>
                                <w:lang w:val="pt-BR"/>
                              </w:rPr>
                              <w:t>248</w:t>
                            </w:r>
                          </w:p>
                          <w:p w14:paraId="6AC8D657" w14:textId="195FC1E9" w:rsidR="00627C9F" w:rsidRPr="009473E2" w:rsidRDefault="00022CF5" w:rsidP="00B7629B">
                            <w:pPr>
                              <w:spacing w:line="360" w:lineRule="auto"/>
                              <w:jc w:val="right"/>
                              <w:rPr>
                                <w:rFonts w:asciiTheme="minorHAnsi" w:hAnsiTheme="minorHAnsi"/>
                                <w:color w:val="FFFFFF" w:themeColor="background1"/>
                                <w:sz w:val="22"/>
                              </w:rPr>
                            </w:pPr>
                            <w:r w:rsidRPr="009473E2">
                              <w:rPr>
                                <w:rFonts w:asciiTheme="minorHAnsi" w:hAnsiTheme="minorHAnsi"/>
                                <w:color w:val="FFFFFF" w:themeColor="background1"/>
                                <w:sz w:val="22"/>
                                <w:lang w:val="pt-BR"/>
                              </w:rPr>
                              <w:t xml:space="preserve"> </w:t>
                            </w:r>
                            <w:r w:rsidR="009473E2" w:rsidRPr="009473E2">
                              <w:rPr>
                                <w:rFonts w:asciiTheme="minorHAnsi" w:hAnsiTheme="minorHAnsi"/>
                                <w:color w:val="FFFFFF" w:themeColor="background1"/>
                                <w:sz w:val="22"/>
                              </w:rPr>
                              <w:t>24 October</w:t>
                            </w:r>
                            <w:r w:rsidR="000C4365" w:rsidRPr="009473E2">
                              <w:rPr>
                                <w:rFonts w:asciiTheme="minorHAnsi" w:hAnsiTheme="minorHAnsi"/>
                                <w:color w:val="FFFFFF" w:themeColor="background1"/>
                                <w:sz w:val="22"/>
                              </w:rPr>
                              <w:t xml:space="preserve"> </w:t>
                            </w:r>
                            <w:r w:rsidR="009473E2" w:rsidRPr="009473E2">
                              <w:rPr>
                                <w:rFonts w:asciiTheme="minorHAnsi" w:hAnsiTheme="minorHAnsi"/>
                                <w:color w:val="FFFFFF" w:themeColor="background1"/>
                                <w:sz w:val="22"/>
                              </w:rPr>
                              <w:t>2019</w:t>
                            </w:r>
                          </w:p>
                          <w:p w14:paraId="35D3ABA3" w14:textId="37E21B0D" w:rsidR="00627C9F" w:rsidRPr="009473E2" w:rsidRDefault="00627C9F" w:rsidP="00B7629B">
                            <w:pPr>
                              <w:spacing w:line="360" w:lineRule="auto"/>
                              <w:jc w:val="right"/>
                              <w:rPr>
                                <w:rFonts w:asciiTheme="minorHAnsi" w:hAnsiTheme="minorHAnsi"/>
                                <w:color w:val="FFFFFF" w:themeColor="background1"/>
                                <w:sz w:val="22"/>
                              </w:rPr>
                            </w:pPr>
                            <w:r w:rsidRPr="009473E2">
                              <w:rPr>
                                <w:rFonts w:asciiTheme="minorHAnsi" w:hAnsiTheme="minorHAnsi"/>
                                <w:color w:val="FFFFFF" w:themeColor="background1"/>
                                <w:sz w:val="22"/>
                              </w:rPr>
                              <w:t>Original:</w:t>
                            </w:r>
                            <w:r w:rsidR="002C1641" w:rsidRPr="009473E2">
                              <w:rPr>
                                <w:rFonts w:asciiTheme="minorHAnsi" w:hAnsiTheme="minorHAnsi"/>
                                <w:color w:val="FFFFFF" w:themeColor="background1"/>
                                <w:sz w:val="22"/>
                              </w:rPr>
                              <w:t xml:space="preserve"> </w:t>
                            </w:r>
                            <w:r w:rsidR="00F42B71" w:rsidRPr="009473E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7D78D641" w:rsidR="00627C9F" w:rsidRPr="009473E2" w:rsidRDefault="009E566A" w:rsidP="00B7629B">
                      <w:pPr>
                        <w:spacing w:line="360" w:lineRule="auto"/>
                        <w:jc w:val="right"/>
                        <w:rPr>
                          <w:rFonts w:asciiTheme="minorHAnsi" w:hAnsiTheme="minorHAnsi"/>
                          <w:color w:val="FFFFFF" w:themeColor="background1"/>
                          <w:sz w:val="22"/>
                          <w:lang w:val="pt-BR"/>
                        </w:rPr>
                      </w:pPr>
                      <w:r w:rsidRPr="009473E2">
                        <w:rPr>
                          <w:rFonts w:asciiTheme="minorHAnsi" w:hAnsiTheme="minorHAnsi"/>
                          <w:color w:val="FFFFFF" w:themeColor="background1"/>
                          <w:sz w:val="22"/>
                          <w:lang w:val="pt-BR"/>
                        </w:rPr>
                        <w:t>OEA/Ser.L/V/II.</w:t>
                      </w:r>
                    </w:p>
                    <w:p w14:paraId="2B86BB36" w14:textId="27C29EA4" w:rsidR="00627C9F" w:rsidRPr="009473E2" w:rsidRDefault="00CA6577" w:rsidP="00B7629B">
                      <w:pPr>
                        <w:spacing w:line="360" w:lineRule="auto"/>
                        <w:jc w:val="right"/>
                        <w:rPr>
                          <w:rFonts w:asciiTheme="minorHAnsi" w:hAnsiTheme="minorHAnsi"/>
                          <w:color w:val="FFFFFF" w:themeColor="background1"/>
                          <w:sz w:val="22"/>
                          <w:lang w:val="pt-BR"/>
                        </w:rPr>
                      </w:pPr>
                      <w:r w:rsidRPr="009473E2">
                        <w:rPr>
                          <w:rFonts w:asciiTheme="minorHAnsi" w:hAnsiTheme="minorHAnsi"/>
                          <w:color w:val="FFFFFF" w:themeColor="background1"/>
                          <w:sz w:val="22"/>
                          <w:lang w:val="pt-BR"/>
                        </w:rPr>
                        <w:t xml:space="preserve">Doc. </w:t>
                      </w:r>
                      <w:r w:rsidR="009473E2" w:rsidRPr="009473E2">
                        <w:rPr>
                          <w:rFonts w:asciiTheme="minorHAnsi" w:hAnsiTheme="minorHAnsi"/>
                          <w:color w:val="FFFFFF" w:themeColor="background1"/>
                          <w:sz w:val="22"/>
                          <w:lang w:val="pt-BR"/>
                        </w:rPr>
                        <w:t>248</w:t>
                      </w:r>
                    </w:p>
                    <w:p w14:paraId="6AC8D657" w14:textId="195FC1E9" w:rsidR="00627C9F" w:rsidRPr="009473E2" w:rsidRDefault="00022CF5" w:rsidP="00B7629B">
                      <w:pPr>
                        <w:spacing w:line="360" w:lineRule="auto"/>
                        <w:jc w:val="right"/>
                        <w:rPr>
                          <w:rFonts w:asciiTheme="minorHAnsi" w:hAnsiTheme="minorHAnsi"/>
                          <w:color w:val="FFFFFF" w:themeColor="background1"/>
                          <w:sz w:val="22"/>
                        </w:rPr>
                      </w:pPr>
                      <w:r w:rsidRPr="009473E2">
                        <w:rPr>
                          <w:rFonts w:asciiTheme="minorHAnsi" w:hAnsiTheme="minorHAnsi"/>
                          <w:color w:val="FFFFFF" w:themeColor="background1"/>
                          <w:sz w:val="22"/>
                          <w:lang w:val="pt-BR"/>
                        </w:rPr>
                        <w:t xml:space="preserve"> </w:t>
                      </w:r>
                      <w:r w:rsidR="009473E2" w:rsidRPr="009473E2">
                        <w:rPr>
                          <w:rFonts w:asciiTheme="minorHAnsi" w:hAnsiTheme="minorHAnsi"/>
                          <w:color w:val="FFFFFF" w:themeColor="background1"/>
                          <w:sz w:val="22"/>
                        </w:rPr>
                        <w:t>24 October</w:t>
                      </w:r>
                      <w:r w:rsidR="000C4365" w:rsidRPr="009473E2">
                        <w:rPr>
                          <w:rFonts w:asciiTheme="minorHAnsi" w:hAnsiTheme="minorHAnsi"/>
                          <w:color w:val="FFFFFF" w:themeColor="background1"/>
                          <w:sz w:val="22"/>
                        </w:rPr>
                        <w:t xml:space="preserve"> </w:t>
                      </w:r>
                      <w:r w:rsidR="009473E2" w:rsidRPr="009473E2">
                        <w:rPr>
                          <w:rFonts w:asciiTheme="minorHAnsi" w:hAnsiTheme="minorHAnsi"/>
                          <w:color w:val="FFFFFF" w:themeColor="background1"/>
                          <w:sz w:val="22"/>
                        </w:rPr>
                        <w:t>2019</w:t>
                      </w:r>
                    </w:p>
                    <w:p w14:paraId="35D3ABA3" w14:textId="37E21B0D" w:rsidR="00627C9F" w:rsidRPr="009473E2" w:rsidRDefault="00627C9F" w:rsidP="00B7629B">
                      <w:pPr>
                        <w:spacing w:line="360" w:lineRule="auto"/>
                        <w:jc w:val="right"/>
                        <w:rPr>
                          <w:rFonts w:asciiTheme="minorHAnsi" w:hAnsiTheme="minorHAnsi"/>
                          <w:color w:val="FFFFFF" w:themeColor="background1"/>
                          <w:sz w:val="22"/>
                        </w:rPr>
                      </w:pPr>
                      <w:r w:rsidRPr="009473E2">
                        <w:rPr>
                          <w:rFonts w:asciiTheme="minorHAnsi" w:hAnsiTheme="minorHAnsi"/>
                          <w:color w:val="FFFFFF" w:themeColor="background1"/>
                          <w:sz w:val="22"/>
                        </w:rPr>
                        <w:t>Original:</w:t>
                      </w:r>
                      <w:r w:rsidR="002C1641" w:rsidRPr="009473E2">
                        <w:rPr>
                          <w:rFonts w:asciiTheme="minorHAnsi" w:hAnsiTheme="minorHAnsi"/>
                          <w:color w:val="FFFFFF" w:themeColor="background1"/>
                          <w:sz w:val="22"/>
                        </w:rPr>
                        <w:t xml:space="preserve"> </w:t>
                      </w:r>
                      <w:r w:rsidR="00F42B71" w:rsidRPr="009473E2">
                        <w:rPr>
                          <w:rFonts w:asciiTheme="minorHAnsi" w:hAnsiTheme="minorHAnsi"/>
                          <w:color w:val="FFFFFF" w:themeColor="background1"/>
                          <w:sz w:val="22"/>
                        </w:rPr>
                        <w:t>Spanish</w:t>
                      </w:r>
                    </w:p>
                  </w:txbxContent>
                </v:textbox>
              </v:shape>
            </w:pict>
          </mc:Fallback>
        </mc:AlternateContent>
      </w:r>
    </w:p>
    <w:p w14:paraId="316B8AC2" w14:textId="77777777" w:rsidR="00040C3A" w:rsidRPr="00505E83" w:rsidRDefault="00040C3A" w:rsidP="00040C3A">
      <w:pPr>
        <w:tabs>
          <w:tab w:val="center" w:pos="5400"/>
        </w:tabs>
        <w:suppressAutoHyphens/>
        <w:jc w:val="center"/>
        <w:rPr>
          <w:rFonts w:asciiTheme="majorHAnsi" w:hAnsiTheme="majorHAnsi"/>
          <w:sz w:val="22"/>
          <w:szCs w:val="22"/>
        </w:rPr>
      </w:pPr>
    </w:p>
    <w:p w14:paraId="05B705ED" w14:textId="77777777" w:rsidR="00040C3A" w:rsidRPr="00505E83" w:rsidRDefault="00040C3A" w:rsidP="00040C3A">
      <w:pPr>
        <w:tabs>
          <w:tab w:val="center" w:pos="5400"/>
        </w:tabs>
        <w:suppressAutoHyphens/>
        <w:jc w:val="center"/>
        <w:rPr>
          <w:rFonts w:asciiTheme="majorHAnsi" w:hAnsiTheme="majorHAnsi" w:cs="Arial"/>
          <w:sz w:val="22"/>
          <w:szCs w:val="22"/>
        </w:rPr>
      </w:pPr>
    </w:p>
    <w:p w14:paraId="596B1995" w14:textId="77777777" w:rsidR="00040C3A" w:rsidRPr="00505E83" w:rsidRDefault="00040C3A" w:rsidP="00040C3A">
      <w:pPr>
        <w:tabs>
          <w:tab w:val="center" w:pos="5400"/>
        </w:tabs>
        <w:suppressAutoHyphens/>
        <w:jc w:val="center"/>
        <w:rPr>
          <w:rFonts w:asciiTheme="majorHAnsi" w:hAnsiTheme="majorHAnsi"/>
          <w:sz w:val="22"/>
          <w:szCs w:val="22"/>
        </w:rPr>
      </w:pPr>
    </w:p>
    <w:p w14:paraId="7CC143B7" w14:textId="77777777" w:rsidR="00040C3A" w:rsidRPr="00505E83" w:rsidRDefault="00040C3A" w:rsidP="00040C3A">
      <w:pPr>
        <w:tabs>
          <w:tab w:val="center" w:pos="5400"/>
        </w:tabs>
        <w:suppressAutoHyphens/>
        <w:jc w:val="center"/>
        <w:rPr>
          <w:rFonts w:asciiTheme="majorHAnsi" w:hAnsiTheme="majorHAnsi"/>
          <w:sz w:val="22"/>
          <w:szCs w:val="22"/>
        </w:rPr>
      </w:pPr>
    </w:p>
    <w:p w14:paraId="1D4FB47A" w14:textId="77777777" w:rsidR="00040C3A" w:rsidRPr="00505E83" w:rsidRDefault="00040C3A" w:rsidP="00040C3A">
      <w:pPr>
        <w:tabs>
          <w:tab w:val="center" w:pos="5400"/>
        </w:tabs>
        <w:suppressAutoHyphens/>
        <w:jc w:val="center"/>
        <w:rPr>
          <w:rFonts w:asciiTheme="majorHAnsi" w:hAnsiTheme="majorHAnsi"/>
          <w:sz w:val="22"/>
          <w:szCs w:val="22"/>
        </w:rPr>
      </w:pPr>
    </w:p>
    <w:p w14:paraId="15CB5C81" w14:textId="77777777" w:rsidR="00040C3A" w:rsidRPr="00505E83" w:rsidRDefault="00040C3A" w:rsidP="00040C3A">
      <w:pPr>
        <w:tabs>
          <w:tab w:val="center" w:pos="5400"/>
        </w:tabs>
        <w:suppressAutoHyphens/>
        <w:jc w:val="center"/>
        <w:rPr>
          <w:rFonts w:asciiTheme="majorHAnsi" w:hAnsiTheme="majorHAnsi"/>
          <w:sz w:val="22"/>
          <w:szCs w:val="22"/>
        </w:rPr>
      </w:pPr>
    </w:p>
    <w:p w14:paraId="35A86C79" w14:textId="77777777" w:rsidR="005128E4" w:rsidRPr="00505E83" w:rsidRDefault="005128E4" w:rsidP="00040C3A">
      <w:pPr>
        <w:tabs>
          <w:tab w:val="center" w:pos="5400"/>
        </w:tabs>
        <w:suppressAutoHyphens/>
        <w:jc w:val="center"/>
        <w:rPr>
          <w:rFonts w:asciiTheme="majorHAnsi" w:hAnsiTheme="majorHAnsi"/>
          <w:sz w:val="22"/>
          <w:szCs w:val="22"/>
        </w:rPr>
      </w:pPr>
    </w:p>
    <w:p w14:paraId="19562CDC" w14:textId="77777777" w:rsidR="00040C3A" w:rsidRPr="00505E83" w:rsidRDefault="00040C3A" w:rsidP="00040C3A">
      <w:pPr>
        <w:tabs>
          <w:tab w:val="center" w:pos="5400"/>
        </w:tabs>
        <w:suppressAutoHyphens/>
        <w:jc w:val="center"/>
        <w:rPr>
          <w:rFonts w:asciiTheme="majorHAnsi" w:hAnsiTheme="majorHAnsi"/>
          <w:sz w:val="22"/>
          <w:szCs w:val="22"/>
        </w:rPr>
      </w:pPr>
    </w:p>
    <w:p w14:paraId="1A03B1AA" w14:textId="77777777" w:rsidR="005128E4" w:rsidRPr="00505E83" w:rsidRDefault="005128E4" w:rsidP="00040C3A">
      <w:pPr>
        <w:tabs>
          <w:tab w:val="center" w:pos="5400"/>
        </w:tabs>
        <w:suppressAutoHyphens/>
        <w:jc w:val="center"/>
        <w:rPr>
          <w:rFonts w:asciiTheme="majorHAnsi" w:hAnsiTheme="majorHAnsi"/>
          <w:sz w:val="22"/>
          <w:szCs w:val="22"/>
        </w:rPr>
      </w:pPr>
    </w:p>
    <w:p w14:paraId="1AC39403" w14:textId="77777777" w:rsidR="005128E4" w:rsidRPr="00505E83" w:rsidRDefault="005128E4" w:rsidP="00040C3A">
      <w:pPr>
        <w:tabs>
          <w:tab w:val="center" w:pos="5400"/>
        </w:tabs>
        <w:suppressAutoHyphens/>
        <w:jc w:val="center"/>
        <w:rPr>
          <w:rFonts w:asciiTheme="majorHAnsi" w:hAnsiTheme="majorHAnsi"/>
          <w:sz w:val="22"/>
          <w:szCs w:val="22"/>
        </w:rPr>
      </w:pPr>
    </w:p>
    <w:p w14:paraId="5C11F4FB" w14:textId="77777777" w:rsidR="005128E4" w:rsidRPr="00505E83" w:rsidRDefault="005128E4" w:rsidP="00040C3A">
      <w:pPr>
        <w:tabs>
          <w:tab w:val="center" w:pos="5400"/>
        </w:tabs>
        <w:suppressAutoHyphens/>
        <w:jc w:val="center"/>
        <w:rPr>
          <w:rFonts w:asciiTheme="majorHAnsi" w:hAnsiTheme="majorHAnsi"/>
          <w:sz w:val="22"/>
          <w:szCs w:val="22"/>
        </w:rPr>
      </w:pPr>
    </w:p>
    <w:p w14:paraId="37F01C5F" w14:textId="77777777" w:rsidR="00040C3A" w:rsidRPr="00505E83" w:rsidRDefault="00040C3A" w:rsidP="00040C3A">
      <w:pPr>
        <w:tabs>
          <w:tab w:val="center" w:pos="5400"/>
        </w:tabs>
        <w:suppressAutoHyphens/>
        <w:jc w:val="center"/>
        <w:rPr>
          <w:rFonts w:asciiTheme="majorHAnsi" w:hAnsiTheme="majorHAnsi"/>
          <w:sz w:val="22"/>
          <w:szCs w:val="22"/>
        </w:rPr>
      </w:pPr>
    </w:p>
    <w:p w14:paraId="117D4487" w14:textId="77777777" w:rsidR="00040C3A" w:rsidRPr="00505E83" w:rsidRDefault="00040C3A" w:rsidP="00040C3A">
      <w:pPr>
        <w:tabs>
          <w:tab w:val="center" w:pos="5400"/>
        </w:tabs>
        <w:suppressAutoHyphens/>
        <w:jc w:val="center"/>
        <w:rPr>
          <w:rFonts w:asciiTheme="majorHAnsi" w:hAnsiTheme="majorHAnsi"/>
          <w:sz w:val="22"/>
          <w:szCs w:val="22"/>
        </w:rPr>
      </w:pPr>
    </w:p>
    <w:p w14:paraId="0DBAA49F" w14:textId="77777777" w:rsidR="002C1641" w:rsidRPr="00505E83" w:rsidRDefault="002C1641" w:rsidP="00040C3A">
      <w:pPr>
        <w:tabs>
          <w:tab w:val="center" w:pos="5400"/>
        </w:tabs>
        <w:suppressAutoHyphens/>
        <w:jc w:val="center"/>
        <w:rPr>
          <w:rFonts w:asciiTheme="majorHAnsi" w:hAnsiTheme="majorHAnsi"/>
          <w:sz w:val="18"/>
          <w:szCs w:val="22"/>
        </w:rPr>
      </w:pPr>
    </w:p>
    <w:p w14:paraId="4C4A165E" w14:textId="77777777" w:rsidR="002C1641" w:rsidRPr="00505E83" w:rsidRDefault="002C1641" w:rsidP="00040C3A">
      <w:pPr>
        <w:tabs>
          <w:tab w:val="center" w:pos="5400"/>
        </w:tabs>
        <w:suppressAutoHyphens/>
        <w:jc w:val="center"/>
        <w:rPr>
          <w:rFonts w:asciiTheme="majorHAnsi" w:hAnsiTheme="majorHAnsi"/>
          <w:sz w:val="18"/>
          <w:szCs w:val="22"/>
        </w:rPr>
      </w:pPr>
    </w:p>
    <w:p w14:paraId="5148ED3D" w14:textId="77777777" w:rsidR="002C1641" w:rsidRPr="00505E83" w:rsidRDefault="002C1641" w:rsidP="00040C3A">
      <w:pPr>
        <w:tabs>
          <w:tab w:val="center" w:pos="5400"/>
        </w:tabs>
        <w:suppressAutoHyphens/>
        <w:jc w:val="center"/>
        <w:rPr>
          <w:rFonts w:asciiTheme="majorHAnsi" w:hAnsiTheme="majorHAnsi"/>
          <w:sz w:val="18"/>
          <w:szCs w:val="22"/>
        </w:rPr>
      </w:pPr>
    </w:p>
    <w:p w14:paraId="75C215DF" w14:textId="77777777" w:rsidR="002C1641" w:rsidRPr="00505E83" w:rsidRDefault="002C1641" w:rsidP="00040C3A">
      <w:pPr>
        <w:tabs>
          <w:tab w:val="center" w:pos="5400"/>
        </w:tabs>
        <w:suppressAutoHyphens/>
        <w:jc w:val="center"/>
        <w:rPr>
          <w:rFonts w:asciiTheme="majorHAnsi" w:hAnsiTheme="majorHAnsi"/>
          <w:sz w:val="18"/>
          <w:szCs w:val="22"/>
        </w:rPr>
      </w:pPr>
    </w:p>
    <w:p w14:paraId="31CE0E9D" w14:textId="77777777" w:rsidR="002C1641" w:rsidRPr="00505E83" w:rsidRDefault="002C1641" w:rsidP="00040C3A">
      <w:pPr>
        <w:tabs>
          <w:tab w:val="center" w:pos="5400"/>
        </w:tabs>
        <w:suppressAutoHyphens/>
        <w:jc w:val="center"/>
        <w:rPr>
          <w:rFonts w:asciiTheme="majorHAnsi" w:hAnsiTheme="majorHAnsi"/>
          <w:sz w:val="18"/>
          <w:szCs w:val="22"/>
        </w:rPr>
      </w:pPr>
    </w:p>
    <w:p w14:paraId="49136797" w14:textId="77777777" w:rsidR="002C1641" w:rsidRPr="00505E83" w:rsidRDefault="002C1641" w:rsidP="00040C3A">
      <w:pPr>
        <w:tabs>
          <w:tab w:val="center" w:pos="5400"/>
        </w:tabs>
        <w:suppressAutoHyphens/>
        <w:jc w:val="center"/>
        <w:rPr>
          <w:rFonts w:asciiTheme="majorHAnsi" w:hAnsiTheme="majorHAnsi"/>
          <w:sz w:val="18"/>
          <w:szCs w:val="22"/>
        </w:rPr>
      </w:pPr>
    </w:p>
    <w:p w14:paraId="0879DB6F" w14:textId="77777777" w:rsidR="002C1641" w:rsidRPr="00505E83" w:rsidRDefault="002C1641" w:rsidP="00040C3A">
      <w:pPr>
        <w:tabs>
          <w:tab w:val="center" w:pos="5400"/>
        </w:tabs>
        <w:suppressAutoHyphens/>
        <w:jc w:val="center"/>
        <w:rPr>
          <w:rFonts w:asciiTheme="majorHAnsi" w:hAnsiTheme="majorHAnsi"/>
          <w:sz w:val="18"/>
          <w:szCs w:val="22"/>
        </w:rPr>
      </w:pPr>
    </w:p>
    <w:p w14:paraId="45E3E10E" w14:textId="77777777" w:rsidR="002C1641" w:rsidRPr="00505E83" w:rsidRDefault="002C1641" w:rsidP="00040C3A">
      <w:pPr>
        <w:tabs>
          <w:tab w:val="center" w:pos="5400"/>
        </w:tabs>
        <w:suppressAutoHyphens/>
        <w:jc w:val="center"/>
        <w:rPr>
          <w:rFonts w:asciiTheme="majorHAnsi" w:hAnsiTheme="majorHAnsi"/>
          <w:sz w:val="18"/>
          <w:szCs w:val="22"/>
        </w:rPr>
      </w:pPr>
    </w:p>
    <w:p w14:paraId="523DA49C" w14:textId="77777777" w:rsidR="002C1641" w:rsidRPr="00505E83" w:rsidRDefault="002C1641" w:rsidP="00040C3A">
      <w:pPr>
        <w:tabs>
          <w:tab w:val="center" w:pos="5400"/>
        </w:tabs>
        <w:suppressAutoHyphens/>
        <w:jc w:val="center"/>
        <w:rPr>
          <w:rFonts w:asciiTheme="majorHAnsi" w:hAnsiTheme="majorHAnsi"/>
          <w:sz w:val="18"/>
          <w:szCs w:val="22"/>
        </w:rPr>
      </w:pPr>
    </w:p>
    <w:p w14:paraId="21E0DC4D" w14:textId="77777777" w:rsidR="002C1641" w:rsidRPr="00505E83" w:rsidRDefault="002C1641" w:rsidP="00040C3A">
      <w:pPr>
        <w:tabs>
          <w:tab w:val="center" w:pos="5400"/>
        </w:tabs>
        <w:suppressAutoHyphens/>
        <w:jc w:val="center"/>
        <w:rPr>
          <w:rFonts w:asciiTheme="majorHAnsi" w:hAnsiTheme="majorHAnsi"/>
          <w:sz w:val="18"/>
          <w:szCs w:val="22"/>
        </w:rPr>
      </w:pPr>
    </w:p>
    <w:p w14:paraId="4A703177" w14:textId="77777777" w:rsidR="002C1641" w:rsidRPr="00505E83" w:rsidRDefault="002C1641" w:rsidP="00040C3A">
      <w:pPr>
        <w:tabs>
          <w:tab w:val="center" w:pos="5400"/>
        </w:tabs>
        <w:suppressAutoHyphens/>
        <w:jc w:val="center"/>
        <w:rPr>
          <w:rFonts w:asciiTheme="majorHAnsi" w:hAnsiTheme="majorHAnsi"/>
          <w:sz w:val="18"/>
          <w:szCs w:val="22"/>
        </w:rPr>
      </w:pPr>
    </w:p>
    <w:p w14:paraId="4D26849C" w14:textId="77777777" w:rsidR="002C1641" w:rsidRPr="00505E83" w:rsidRDefault="002C1641" w:rsidP="00040C3A">
      <w:pPr>
        <w:tabs>
          <w:tab w:val="center" w:pos="5400"/>
        </w:tabs>
        <w:suppressAutoHyphens/>
        <w:jc w:val="center"/>
        <w:rPr>
          <w:rFonts w:asciiTheme="majorHAnsi" w:hAnsiTheme="majorHAnsi"/>
          <w:sz w:val="18"/>
          <w:szCs w:val="22"/>
        </w:rPr>
      </w:pPr>
    </w:p>
    <w:p w14:paraId="59BA4177" w14:textId="77777777" w:rsidR="002C1641" w:rsidRPr="00505E83"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75B9D92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89A63" w14:textId="1D01CE3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9473E2">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on </w:t>
                            </w:r>
                            <w:r w:rsidR="009473E2">
                              <w:rPr>
                                <w:rFonts w:asciiTheme="majorHAnsi" w:hAnsiTheme="majorHAnsi"/>
                                <w:color w:val="0D0D0D" w:themeColor="text1" w:themeTint="F2"/>
                                <w:sz w:val="18"/>
                                <w:szCs w:val="20"/>
                              </w:rPr>
                              <w:t>October 24,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1AA89A63" w14:textId="1D01CE3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9473E2">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on </w:t>
                      </w:r>
                      <w:r w:rsidR="009473E2">
                        <w:rPr>
                          <w:rFonts w:asciiTheme="majorHAnsi" w:hAnsiTheme="majorHAnsi"/>
                          <w:color w:val="0D0D0D" w:themeColor="text1" w:themeTint="F2"/>
                          <w:sz w:val="18"/>
                          <w:szCs w:val="20"/>
                        </w:rPr>
                        <w:t>October 24, 2019.</w:t>
                      </w:r>
                    </w:p>
                  </w:txbxContent>
                </v:textbox>
              </v:shape>
            </w:pict>
          </mc:Fallback>
        </mc:AlternateContent>
      </w:r>
    </w:p>
    <w:p w14:paraId="596E688A" w14:textId="77777777" w:rsidR="002C1641" w:rsidRPr="00505E83" w:rsidRDefault="002C1641" w:rsidP="00040C3A">
      <w:pPr>
        <w:tabs>
          <w:tab w:val="center" w:pos="5400"/>
        </w:tabs>
        <w:suppressAutoHyphens/>
        <w:jc w:val="center"/>
        <w:rPr>
          <w:rFonts w:asciiTheme="majorHAnsi" w:hAnsiTheme="majorHAnsi"/>
          <w:sz w:val="18"/>
          <w:szCs w:val="22"/>
        </w:rPr>
      </w:pPr>
    </w:p>
    <w:p w14:paraId="7BAD6F10" w14:textId="77777777" w:rsidR="002C1641" w:rsidRPr="00505E83" w:rsidRDefault="002C1641" w:rsidP="00040C3A">
      <w:pPr>
        <w:tabs>
          <w:tab w:val="center" w:pos="5400"/>
        </w:tabs>
        <w:suppressAutoHyphens/>
        <w:jc w:val="center"/>
        <w:rPr>
          <w:rFonts w:asciiTheme="majorHAnsi" w:hAnsiTheme="majorHAnsi"/>
          <w:sz w:val="18"/>
          <w:szCs w:val="22"/>
        </w:rPr>
      </w:pPr>
    </w:p>
    <w:p w14:paraId="478ABF75" w14:textId="77777777" w:rsidR="002C1641" w:rsidRPr="00505E83" w:rsidRDefault="002C1641" w:rsidP="00040C3A">
      <w:pPr>
        <w:tabs>
          <w:tab w:val="center" w:pos="5400"/>
        </w:tabs>
        <w:suppressAutoHyphens/>
        <w:jc w:val="center"/>
        <w:rPr>
          <w:rFonts w:asciiTheme="majorHAnsi" w:hAnsiTheme="majorHAnsi"/>
          <w:sz w:val="18"/>
          <w:szCs w:val="22"/>
        </w:rPr>
      </w:pPr>
    </w:p>
    <w:p w14:paraId="30DFD514" w14:textId="77777777" w:rsidR="002C1641" w:rsidRPr="00505E83" w:rsidRDefault="002C1641" w:rsidP="00040C3A">
      <w:pPr>
        <w:tabs>
          <w:tab w:val="center" w:pos="5400"/>
        </w:tabs>
        <w:suppressAutoHyphens/>
        <w:jc w:val="center"/>
        <w:rPr>
          <w:rFonts w:asciiTheme="majorHAnsi" w:hAnsiTheme="majorHAnsi"/>
          <w:sz w:val="18"/>
          <w:szCs w:val="22"/>
        </w:rPr>
      </w:pPr>
    </w:p>
    <w:p w14:paraId="15FE377C" w14:textId="3B65B522" w:rsidR="002C1641" w:rsidRPr="00505E83" w:rsidRDefault="002C1641" w:rsidP="00040C3A">
      <w:pPr>
        <w:tabs>
          <w:tab w:val="center" w:pos="5400"/>
        </w:tabs>
        <w:suppressAutoHyphens/>
        <w:jc w:val="center"/>
        <w:rPr>
          <w:rFonts w:asciiTheme="majorHAnsi" w:hAnsiTheme="majorHAnsi"/>
          <w:sz w:val="18"/>
          <w:szCs w:val="22"/>
        </w:rPr>
      </w:pPr>
    </w:p>
    <w:p w14:paraId="54A35402" w14:textId="14BEA949" w:rsidR="002C1641" w:rsidRPr="00505E83" w:rsidRDefault="002C1641" w:rsidP="00040C3A">
      <w:pPr>
        <w:tabs>
          <w:tab w:val="center" w:pos="5400"/>
        </w:tabs>
        <w:suppressAutoHyphens/>
        <w:jc w:val="center"/>
        <w:rPr>
          <w:rFonts w:asciiTheme="majorHAnsi" w:hAnsiTheme="majorHAnsi"/>
          <w:sz w:val="18"/>
          <w:szCs w:val="22"/>
        </w:rPr>
      </w:pPr>
    </w:p>
    <w:p w14:paraId="18DAA0E7" w14:textId="71710ACA" w:rsidR="002C1641" w:rsidRPr="00505E83" w:rsidRDefault="009473E2"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5CD4A1E" wp14:editId="4130E045">
                <wp:simplePos x="0" y="0"/>
                <wp:positionH relativeFrom="column">
                  <wp:posOffset>1209675</wp:posOffset>
                </wp:positionH>
                <wp:positionV relativeFrom="paragraph">
                  <wp:posOffset>71240</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2E2DFFC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473E2">
                              <w:rPr>
                                <w:rFonts w:asciiTheme="majorHAnsi" w:hAnsiTheme="majorHAnsi"/>
                                <w:color w:val="595959" w:themeColor="text1" w:themeTint="A6"/>
                                <w:sz w:val="18"/>
                              </w:rPr>
                              <w:t>221</w:t>
                            </w:r>
                            <w:r w:rsidR="00022CF5">
                              <w:rPr>
                                <w:rFonts w:asciiTheme="majorHAnsi" w:hAnsiTheme="majorHAnsi"/>
                                <w:color w:val="595959" w:themeColor="text1" w:themeTint="A6"/>
                                <w:sz w:val="18"/>
                              </w:rPr>
                              <w:t>/</w:t>
                            </w:r>
                            <w:r w:rsidR="009473E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Petition</w:t>
                            </w:r>
                            <w:r w:rsidR="009473E2">
                              <w:rPr>
                                <w:rFonts w:asciiTheme="majorHAnsi" w:hAnsiTheme="majorHAnsi"/>
                                <w:color w:val="595959" w:themeColor="text1" w:themeTint="A6"/>
                                <w:sz w:val="18"/>
                              </w:rPr>
                              <w:t>1396-10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9473E2" w:rsidRPr="009473E2">
                              <w:rPr>
                                <w:rFonts w:ascii="Cambria" w:hAnsi="Cambria"/>
                                <w:color w:val="595959"/>
                                <w:sz w:val="18"/>
                                <w:szCs w:val="18"/>
                                <w:lang w:val="es-ES_tradnl"/>
                              </w:rPr>
                              <w:t xml:space="preserve"> </w:t>
                            </w:r>
                            <w:r w:rsidR="009473E2">
                              <w:rPr>
                                <w:rFonts w:ascii="Cambria" w:hAnsi="Cambria"/>
                                <w:color w:val="595959"/>
                                <w:sz w:val="18"/>
                                <w:szCs w:val="18"/>
                                <w:lang w:val="es-ES_tradnl"/>
                              </w:rPr>
                              <w:t>Francisco Pompeyo Ramos Marrau</w:t>
                            </w:r>
                            <w:r w:rsidR="009473E2" w:rsidRPr="00F33779">
                              <w:rPr>
                                <w:rFonts w:ascii="Cambria" w:hAnsi="Cambria"/>
                                <w:color w:val="595959"/>
                                <w:sz w:val="18"/>
                                <w:szCs w:val="18"/>
                                <w:lang w:val="es-ES_tradnl"/>
                              </w:rPr>
                              <w:t xml:space="preserve">. </w:t>
                            </w:r>
                            <w:r w:rsidR="009473E2">
                              <w:rPr>
                                <w:rFonts w:ascii="Cambria" w:hAnsi="Cambria"/>
                                <w:color w:val="595959"/>
                                <w:sz w:val="18"/>
                                <w:szCs w:val="18"/>
                                <w:lang w:val="es-ES_tradnl"/>
                              </w:rPr>
                              <w:t>Argentina</w:t>
                            </w:r>
                            <w:r w:rsidR="009473E2" w:rsidRPr="00F33779">
                              <w:rPr>
                                <w:rFonts w:ascii="Cambria" w:hAnsi="Cambria"/>
                                <w:color w:val="595959"/>
                                <w:sz w:val="18"/>
                                <w:szCs w:val="18"/>
                                <w:lang w:val="es-ES_tradnl"/>
                              </w:rPr>
                              <w:t>.</w:t>
                            </w:r>
                            <w:r w:rsidR="00022CF5">
                              <w:rPr>
                                <w:rFonts w:asciiTheme="majorHAnsi" w:hAnsiTheme="majorHAnsi"/>
                                <w:color w:val="595959" w:themeColor="text1" w:themeTint="A6"/>
                                <w:sz w:val="18"/>
                              </w:rPr>
                              <w:t xml:space="preserve"> </w:t>
                            </w:r>
                            <w:r w:rsidR="009473E2">
                              <w:rPr>
                                <w:rFonts w:asciiTheme="majorHAnsi" w:hAnsiTheme="majorHAnsi"/>
                                <w:color w:val="595959" w:themeColor="text1" w:themeTint="A6"/>
                                <w:sz w:val="18"/>
                              </w:rPr>
                              <w:t>October 24,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5.6pt;width:379.8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" filled="f" stroked="f" strokeweight=".5pt">
                <v:textbox>
                  <w:txbxContent>
                    <w:p w14:paraId="580EB527" w14:textId="2E2DFFC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473E2">
                        <w:rPr>
                          <w:rFonts w:asciiTheme="majorHAnsi" w:hAnsiTheme="majorHAnsi"/>
                          <w:color w:val="595959" w:themeColor="text1" w:themeTint="A6"/>
                          <w:sz w:val="18"/>
                        </w:rPr>
                        <w:t>221</w:t>
                      </w:r>
                      <w:r w:rsidR="00022CF5">
                        <w:rPr>
                          <w:rFonts w:asciiTheme="majorHAnsi" w:hAnsiTheme="majorHAnsi"/>
                          <w:color w:val="595959" w:themeColor="text1" w:themeTint="A6"/>
                          <w:sz w:val="18"/>
                        </w:rPr>
                        <w:t>/</w:t>
                      </w:r>
                      <w:r w:rsidR="009473E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Petition</w:t>
                      </w:r>
                      <w:r w:rsidR="009473E2">
                        <w:rPr>
                          <w:rFonts w:asciiTheme="majorHAnsi" w:hAnsiTheme="majorHAnsi"/>
                          <w:color w:val="595959" w:themeColor="text1" w:themeTint="A6"/>
                          <w:sz w:val="18"/>
                        </w:rPr>
                        <w:t>1396-10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9473E2" w:rsidRPr="009473E2">
                        <w:rPr>
                          <w:rFonts w:ascii="Cambria" w:hAnsi="Cambria"/>
                          <w:color w:val="595959"/>
                          <w:sz w:val="18"/>
                          <w:szCs w:val="18"/>
                          <w:lang w:val="es-ES_tradnl"/>
                        </w:rPr>
                        <w:t xml:space="preserve"> </w:t>
                      </w:r>
                      <w:r w:rsidR="009473E2">
                        <w:rPr>
                          <w:rFonts w:ascii="Cambria" w:hAnsi="Cambria"/>
                          <w:color w:val="595959"/>
                          <w:sz w:val="18"/>
                          <w:szCs w:val="18"/>
                          <w:lang w:val="es-ES_tradnl"/>
                        </w:rPr>
                        <w:t>Francisco Pompeyo Ramos Marrau</w:t>
                      </w:r>
                      <w:r w:rsidR="009473E2" w:rsidRPr="00F33779">
                        <w:rPr>
                          <w:rFonts w:ascii="Cambria" w:hAnsi="Cambria"/>
                          <w:color w:val="595959"/>
                          <w:sz w:val="18"/>
                          <w:szCs w:val="18"/>
                          <w:lang w:val="es-ES_tradnl"/>
                        </w:rPr>
                        <w:t xml:space="preserve">. </w:t>
                      </w:r>
                      <w:r w:rsidR="009473E2">
                        <w:rPr>
                          <w:rFonts w:ascii="Cambria" w:hAnsi="Cambria"/>
                          <w:color w:val="595959"/>
                          <w:sz w:val="18"/>
                          <w:szCs w:val="18"/>
                          <w:lang w:val="es-ES_tradnl"/>
                        </w:rPr>
                        <w:t>Argentina</w:t>
                      </w:r>
                      <w:r w:rsidR="009473E2" w:rsidRPr="00F33779">
                        <w:rPr>
                          <w:rFonts w:ascii="Cambria" w:hAnsi="Cambria"/>
                          <w:color w:val="595959"/>
                          <w:sz w:val="18"/>
                          <w:szCs w:val="18"/>
                          <w:lang w:val="es-ES_tradnl"/>
                        </w:rPr>
                        <w:t>.</w:t>
                      </w:r>
                      <w:r w:rsidR="00022CF5">
                        <w:rPr>
                          <w:rFonts w:asciiTheme="majorHAnsi" w:hAnsiTheme="majorHAnsi"/>
                          <w:color w:val="595959" w:themeColor="text1" w:themeTint="A6"/>
                          <w:sz w:val="18"/>
                        </w:rPr>
                        <w:t xml:space="preserve"> </w:t>
                      </w:r>
                      <w:r w:rsidR="009473E2">
                        <w:rPr>
                          <w:rFonts w:asciiTheme="majorHAnsi" w:hAnsiTheme="majorHAnsi"/>
                          <w:color w:val="595959" w:themeColor="text1" w:themeTint="A6"/>
                          <w:sz w:val="18"/>
                        </w:rPr>
                        <w:t>October 24, 2019</w:t>
                      </w:r>
                      <w:r w:rsidR="00F621C3">
                        <w:rPr>
                          <w:rFonts w:asciiTheme="majorHAnsi" w:hAnsiTheme="majorHAnsi"/>
                          <w:color w:val="595959" w:themeColor="text1" w:themeTint="A6"/>
                          <w:sz w:val="18"/>
                        </w:rPr>
                        <w:t>.</w:t>
                      </w:r>
                    </w:p>
                  </w:txbxContent>
                </v:textbox>
              </v:shape>
            </w:pict>
          </mc:Fallback>
        </mc:AlternateContent>
      </w:r>
    </w:p>
    <w:p w14:paraId="165B7F09" w14:textId="77777777" w:rsidR="003C32BC" w:rsidRPr="003C32BC" w:rsidRDefault="003C32BC" w:rsidP="003C32BC">
      <w:pPr>
        <w:tabs>
          <w:tab w:val="center" w:pos="5400"/>
        </w:tabs>
        <w:suppressAutoHyphens/>
        <w:jc w:val="center"/>
        <w:rPr>
          <w:rFonts w:asciiTheme="majorHAnsi" w:hAnsiTheme="majorHAnsi"/>
          <w:sz w:val="18"/>
          <w:szCs w:val="22"/>
        </w:rPr>
      </w:pPr>
    </w:p>
    <w:p w14:paraId="4F2529D3"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45D4886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5E5421C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77777777" w:rsidR="003C32BC" w:rsidRDefault="003C32BC">
                            <w:r>
                              <w:rPr>
                                <w:noProof/>
                              </w:rPr>
                              <w:drawing>
                                <wp:inline distT="0" distB="0" distL="0" distR="0" wp14:anchorId="7A3C94EC" wp14:editId="012A267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3673E8D" w14:textId="77777777" w:rsidR="003C32BC" w:rsidRDefault="003C32BC">
                      <w:r>
                        <w:rPr>
                          <w:noProof/>
                        </w:rPr>
                        <w:drawing>
                          <wp:inline distT="0" distB="0" distL="0" distR="0" wp14:anchorId="7A3C94EC" wp14:editId="012A267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FC26E4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2D076EAF" w:rsidR="00F621C3" w:rsidRDefault="00592718" w:rsidP="00FC49A6">
      <w:pPr>
        <w:pStyle w:val="ListParagraph"/>
        <w:numPr>
          <w:ilvl w:val="0"/>
          <w:numId w:val="108"/>
        </w:numPr>
        <w:ind w:left="0" w:firstLine="720"/>
        <w:jc w:val="both"/>
        <w:rPr>
          <w:rFonts w:asciiTheme="majorHAnsi" w:hAnsiTheme="majorHAnsi"/>
          <w:b/>
          <w:bCs/>
          <w:sz w:val="19"/>
          <w:szCs w:val="19"/>
        </w:rPr>
      </w:pPr>
      <w:r w:rsidRPr="00C454A5">
        <w:rPr>
          <w:rFonts w:asciiTheme="majorHAnsi" w:hAnsiTheme="majorHAnsi"/>
          <w:b/>
          <w:bCs/>
          <w:sz w:val="19"/>
          <w:szCs w:val="19"/>
        </w:rPr>
        <w:lastRenderedPageBreak/>
        <w:t>INFORMATION ABOUT THE PETITION</w:t>
      </w:r>
      <w:r w:rsidR="00F621C3" w:rsidRPr="00C454A5">
        <w:rPr>
          <w:rFonts w:asciiTheme="majorHAnsi" w:hAnsiTheme="majorHAnsi"/>
          <w:b/>
          <w:bCs/>
          <w:sz w:val="19"/>
          <w:szCs w:val="19"/>
        </w:rPr>
        <w:t xml:space="preserve"> </w:t>
      </w:r>
    </w:p>
    <w:p w14:paraId="6EFEB53D" w14:textId="77777777" w:rsidR="00FC49A6" w:rsidRPr="00C454A5" w:rsidRDefault="00FC49A6" w:rsidP="00FC49A6">
      <w:pPr>
        <w:pStyle w:val="ListParagraph"/>
        <w:jc w:val="both"/>
        <w:rPr>
          <w:rFonts w:asciiTheme="majorHAnsi" w:hAnsiTheme="majorHAnsi"/>
          <w:b/>
          <w:bCs/>
          <w:sz w:val="19"/>
          <w:szCs w:val="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358E2" w:rsidRPr="003A5566" w14:paraId="0D1CC739" w14:textId="77777777" w:rsidTr="005358E2">
        <w:tc>
          <w:tcPr>
            <w:tcW w:w="2790" w:type="dxa"/>
            <w:tcBorders>
              <w:top w:val="single" w:sz="4" w:space="0" w:color="auto"/>
              <w:bottom w:val="single" w:sz="6" w:space="0" w:color="auto"/>
            </w:tcBorders>
            <w:shd w:val="clear" w:color="auto" w:fill="67AE3C"/>
            <w:vAlign w:val="center"/>
          </w:tcPr>
          <w:p w14:paraId="3914A250"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vAlign w:val="center"/>
          </w:tcPr>
          <w:p w14:paraId="4CCEE07E" w14:textId="18FCCB2C" w:rsidR="005358E2" w:rsidRPr="003A5566" w:rsidRDefault="005358E2" w:rsidP="005358E2">
            <w:pPr>
              <w:jc w:val="both"/>
              <w:rPr>
                <w:rFonts w:asciiTheme="majorHAnsi" w:hAnsiTheme="majorHAnsi"/>
                <w:sz w:val="19"/>
                <w:szCs w:val="19"/>
              </w:rPr>
            </w:pPr>
            <w:r>
              <w:rPr>
                <w:rFonts w:ascii="Cambria" w:hAnsi="Cambria"/>
                <w:sz w:val="20"/>
                <w:szCs w:val="20"/>
                <w:lang w:val="en"/>
              </w:rPr>
              <w:t>Elena Carmen Moreno and Myriam Carsen</w:t>
            </w:r>
          </w:p>
        </w:tc>
      </w:tr>
      <w:tr w:rsidR="005358E2" w:rsidRPr="003A5566" w14:paraId="4A730984" w14:textId="77777777" w:rsidTr="005358E2">
        <w:tc>
          <w:tcPr>
            <w:tcW w:w="2790" w:type="dxa"/>
            <w:tcBorders>
              <w:top w:val="single" w:sz="6" w:space="0" w:color="auto"/>
              <w:bottom w:val="single" w:sz="6" w:space="0" w:color="auto"/>
            </w:tcBorders>
            <w:shd w:val="clear" w:color="auto" w:fill="67AE3C"/>
            <w:vAlign w:val="center"/>
          </w:tcPr>
          <w:p w14:paraId="241395B3"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vAlign w:val="center"/>
          </w:tcPr>
          <w:p w14:paraId="5749300A" w14:textId="350B096A" w:rsidR="005358E2" w:rsidRPr="003A5566" w:rsidRDefault="005358E2" w:rsidP="005358E2">
            <w:pPr>
              <w:jc w:val="both"/>
              <w:rPr>
                <w:rFonts w:asciiTheme="majorHAnsi" w:hAnsiTheme="majorHAnsi"/>
                <w:bCs/>
                <w:sz w:val="19"/>
                <w:szCs w:val="19"/>
              </w:rPr>
            </w:pPr>
            <w:r>
              <w:rPr>
                <w:rFonts w:ascii="Cambria" w:hAnsi="Cambria"/>
                <w:sz w:val="20"/>
                <w:szCs w:val="20"/>
                <w:lang w:val="en"/>
              </w:rPr>
              <w:t>Francisco Pompeyo Ramos Marrau</w:t>
            </w:r>
          </w:p>
        </w:tc>
      </w:tr>
      <w:tr w:rsidR="005358E2" w:rsidRPr="003A5566" w14:paraId="03D81EE5" w14:textId="77777777" w:rsidTr="005358E2">
        <w:tc>
          <w:tcPr>
            <w:tcW w:w="2790" w:type="dxa"/>
            <w:tcBorders>
              <w:top w:val="single" w:sz="6" w:space="0" w:color="auto"/>
              <w:bottom w:val="single" w:sz="6" w:space="0" w:color="auto"/>
            </w:tcBorders>
            <w:shd w:val="clear" w:color="auto" w:fill="67AE3C"/>
            <w:vAlign w:val="center"/>
          </w:tcPr>
          <w:p w14:paraId="3A40F361"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vAlign w:val="center"/>
          </w:tcPr>
          <w:p w14:paraId="7357C2C5" w14:textId="0374E45B" w:rsidR="005358E2" w:rsidRPr="003A5566" w:rsidRDefault="005358E2" w:rsidP="005358E2">
            <w:pPr>
              <w:jc w:val="both"/>
              <w:rPr>
                <w:rFonts w:asciiTheme="majorHAnsi" w:hAnsiTheme="majorHAnsi"/>
                <w:bCs/>
                <w:sz w:val="19"/>
                <w:szCs w:val="19"/>
              </w:rPr>
            </w:pPr>
            <w:r>
              <w:rPr>
                <w:rFonts w:ascii="Cambria" w:hAnsi="Cambria"/>
                <w:sz w:val="20"/>
                <w:szCs w:val="20"/>
                <w:lang w:val="en"/>
              </w:rPr>
              <w:t>Argentina</w:t>
            </w:r>
          </w:p>
        </w:tc>
      </w:tr>
      <w:tr w:rsidR="005358E2" w:rsidRPr="003A5566" w14:paraId="61049B38" w14:textId="77777777" w:rsidTr="005358E2">
        <w:tc>
          <w:tcPr>
            <w:tcW w:w="2790" w:type="dxa"/>
            <w:tcBorders>
              <w:top w:val="single" w:sz="6" w:space="0" w:color="auto"/>
              <w:bottom w:val="single" w:sz="6" w:space="0" w:color="auto"/>
            </w:tcBorders>
            <w:shd w:val="clear" w:color="auto" w:fill="67AE3C"/>
            <w:vAlign w:val="center"/>
          </w:tcPr>
          <w:p w14:paraId="1525F7A2"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vAlign w:val="center"/>
          </w:tcPr>
          <w:p w14:paraId="6087A561" w14:textId="0B150DE3" w:rsidR="005358E2" w:rsidRPr="003A5566" w:rsidRDefault="005358E2" w:rsidP="005358E2">
            <w:pPr>
              <w:jc w:val="both"/>
              <w:rPr>
                <w:rFonts w:asciiTheme="majorHAnsi" w:hAnsiTheme="majorHAnsi"/>
                <w:sz w:val="19"/>
                <w:szCs w:val="19"/>
              </w:rPr>
            </w:pPr>
            <w:r>
              <w:rPr>
                <w:rFonts w:ascii="Cambria" w:hAnsi="Cambria"/>
                <w:sz w:val="20"/>
                <w:szCs w:val="20"/>
                <w:lang w:val="en"/>
              </w:rPr>
              <w:t>Articles 1 (obligation to respect rights), 8 (fair trial), 24 (equal protection), and 25 (judicial protection) of the American Convention on Human Rights</w:t>
            </w:r>
            <w:r>
              <w:rPr>
                <w:rStyle w:val="FootnoteReference"/>
                <w:rFonts w:ascii="Cambria" w:hAnsi="Cambria"/>
                <w:sz w:val="20"/>
                <w:szCs w:val="20"/>
                <w:lang w:val="en"/>
              </w:rPr>
              <w:footnoteReference w:id="2"/>
            </w:r>
          </w:p>
        </w:tc>
      </w:tr>
    </w:tbl>
    <w:p w14:paraId="287476F4" w14:textId="77777777" w:rsidR="00FC49A6" w:rsidRDefault="00FC49A6" w:rsidP="00FC49A6">
      <w:pPr>
        <w:pStyle w:val="ListParagraph"/>
        <w:jc w:val="both"/>
        <w:rPr>
          <w:rFonts w:asciiTheme="majorHAnsi" w:hAnsiTheme="majorHAnsi"/>
          <w:b/>
          <w:bCs/>
          <w:sz w:val="19"/>
          <w:szCs w:val="19"/>
        </w:rPr>
      </w:pPr>
    </w:p>
    <w:p w14:paraId="08C39C2C" w14:textId="7344506C" w:rsidR="00F621C3" w:rsidRDefault="00F621C3" w:rsidP="00FC49A6">
      <w:pPr>
        <w:pStyle w:val="ListParagraph"/>
        <w:numPr>
          <w:ilvl w:val="0"/>
          <w:numId w:val="108"/>
        </w:numPr>
        <w:ind w:left="0" w:firstLine="720"/>
        <w:jc w:val="both"/>
        <w:rPr>
          <w:rFonts w:asciiTheme="majorHAnsi" w:hAnsiTheme="majorHAnsi"/>
          <w:b/>
          <w:bCs/>
          <w:sz w:val="19"/>
          <w:szCs w:val="19"/>
        </w:rPr>
      </w:pPr>
      <w:r w:rsidRPr="00C454A5">
        <w:rPr>
          <w:rFonts w:asciiTheme="majorHAnsi" w:hAnsiTheme="majorHAnsi"/>
          <w:b/>
          <w:bCs/>
          <w:sz w:val="19"/>
          <w:szCs w:val="19"/>
        </w:rPr>
        <w:t>PROCE</w:t>
      </w:r>
      <w:r w:rsidR="00321AFD" w:rsidRPr="00C454A5">
        <w:rPr>
          <w:rFonts w:asciiTheme="majorHAnsi" w:hAnsiTheme="majorHAnsi"/>
          <w:b/>
          <w:bCs/>
          <w:sz w:val="19"/>
          <w:szCs w:val="19"/>
        </w:rPr>
        <w:t>EDINGS</w:t>
      </w:r>
      <w:r w:rsidRPr="00C454A5">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p w14:paraId="17044722" w14:textId="77777777" w:rsidR="00FC49A6" w:rsidRPr="00C454A5" w:rsidRDefault="00FC49A6" w:rsidP="00FC49A6">
      <w:pPr>
        <w:pStyle w:val="ListParagraph"/>
        <w:jc w:val="both"/>
        <w:rPr>
          <w:rFonts w:asciiTheme="majorHAnsi" w:hAnsiTheme="majorHAnsi"/>
          <w:b/>
          <w:bCs/>
          <w:sz w:val="19"/>
          <w:szCs w:val="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358E2" w:rsidRPr="003A5566" w14:paraId="6DA75E12" w14:textId="77777777" w:rsidTr="005358E2">
        <w:tc>
          <w:tcPr>
            <w:tcW w:w="2790" w:type="dxa"/>
            <w:tcBorders>
              <w:top w:val="single" w:sz="6" w:space="0" w:color="auto"/>
              <w:bottom w:val="single" w:sz="6" w:space="0" w:color="auto"/>
            </w:tcBorders>
            <w:shd w:val="clear" w:color="auto" w:fill="67AE3C"/>
            <w:vAlign w:val="center"/>
          </w:tcPr>
          <w:p w14:paraId="534AFBE1" w14:textId="5263BA27" w:rsidR="005358E2" w:rsidRPr="000E1AE8" w:rsidRDefault="005358E2" w:rsidP="005358E2">
            <w:pPr>
              <w:jc w:val="center"/>
              <w:rPr>
                <w:rFonts w:asciiTheme="majorHAnsi" w:hAnsiTheme="majorHAnsi"/>
                <w:bCs/>
                <w:color w:val="FFFFFF" w:themeColor="background1"/>
                <w:sz w:val="19"/>
                <w:szCs w:val="19"/>
              </w:rPr>
            </w:pPr>
            <w:r w:rsidRPr="000E1AE8">
              <w:rPr>
                <w:rFonts w:asciiTheme="majorHAnsi" w:hAnsiTheme="majorHAnsi"/>
                <w:bCs/>
                <w:color w:val="FFFFFF" w:themeColor="background1"/>
                <w:sz w:val="19"/>
                <w:szCs w:val="19"/>
              </w:rPr>
              <w:t>Date of receipt</w:t>
            </w:r>
          </w:p>
        </w:tc>
        <w:tc>
          <w:tcPr>
            <w:tcW w:w="6570" w:type="dxa"/>
            <w:vAlign w:val="center"/>
          </w:tcPr>
          <w:p w14:paraId="17EE72B3" w14:textId="132C655A" w:rsidR="005358E2" w:rsidRPr="003A5566" w:rsidRDefault="005358E2" w:rsidP="005358E2">
            <w:pPr>
              <w:jc w:val="both"/>
              <w:rPr>
                <w:rFonts w:asciiTheme="majorHAnsi" w:hAnsiTheme="majorHAnsi"/>
                <w:bCs/>
                <w:sz w:val="19"/>
                <w:szCs w:val="19"/>
              </w:rPr>
            </w:pPr>
            <w:r>
              <w:rPr>
                <w:rFonts w:ascii="Cambria" w:hAnsi="Cambria"/>
                <w:sz w:val="20"/>
                <w:szCs w:val="20"/>
                <w:lang w:val="en"/>
              </w:rPr>
              <w:t>October 5, 2010</w:t>
            </w:r>
          </w:p>
        </w:tc>
      </w:tr>
      <w:tr w:rsidR="005358E2" w:rsidRPr="003A5566" w14:paraId="070BC314" w14:textId="77777777" w:rsidTr="005358E2">
        <w:tc>
          <w:tcPr>
            <w:tcW w:w="2790" w:type="dxa"/>
            <w:tcBorders>
              <w:top w:val="single" w:sz="6" w:space="0" w:color="auto"/>
              <w:bottom w:val="single" w:sz="6" w:space="0" w:color="auto"/>
            </w:tcBorders>
            <w:shd w:val="clear" w:color="auto" w:fill="67AE3C"/>
            <w:vAlign w:val="center"/>
          </w:tcPr>
          <w:p w14:paraId="1B91C5C6" w14:textId="77777777" w:rsidR="005358E2" w:rsidRPr="000E1AE8" w:rsidRDefault="005358E2" w:rsidP="005358E2">
            <w:pPr>
              <w:jc w:val="center"/>
              <w:rPr>
                <w:rFonts w:asciiTheme="majorHAnsi" w:hAnsiTheme="majorHAnsi"/>
                <w:bCs/>
                <w:color w:val="FFFFFF" w:themeColor="background1"/>
                <w:sz w:val="19"/>
                <w:szCs w:val="19"/>
              </w:rPr>
            </w:pPr>
            <w:r w:rsidRPr="000E1AE8">
              <w:rPr>
                <w:rFonts w:asciiTheme="majorHAnsi" w:hAnsiTheme="majorHAnsi"/>
                <w:color w:val="FFFFFF" w:themeColor="background1"/>
                <w:sz w:val="19"/>
                <w:szCs w:val="19"/>
              </w:rPr>
              <w:t>Notification of the petition</w:t>
            </w:r>
          </w:p>
        </w:tc>
        <w:tc>
          <w:tcPr>
            <w:tcW w:w="6570" w:type="dxa"/>
            <w:vAlign w:val="center"/>
          </w:tcPr>
          <w:p w14:paraId="3BE91232" w14:textId="2938DDBA" w:rsidR="005358E2" w:rsidRPr="003A5566" w:rsidRDefault="005358E2" w:rsidP="005358E2">
            <w:pPr>
              <w:jc w:val="both"/>
              <w:rPr>
                <w:rFonts w:asciiTheme="majorHAnsi" w:hAnsiTheme="majorHAnsi"/>
                <w:bCs/>
                <w:sz w:val="19"/>
                <w:szCs w:val="19"/>
              </w:rPr>
            </w:pPr>
            <w:r>
              <w:rPr>
                <w:rFonts w:ascii="Cambria" w:hAnsi="Cambria"/>
                <w:sz w:val="20"/>
                <w:szCs w:val="20"/>
                <w:lang w:val="en"/>
              </w:rPr>
              <w:t>January 9, 2017</w:t>
            </w:r>
          </w:p>
        </w:tc>
      </w:tr>
      <w:tr w:rsidR="005358E2" w:rsidRPr="003A5566" w14:paraId="3063240C" w14:textId="77777777" w:rsidTr="005358E2">
        <w:trPr>
          <w:trHeight w:val="264"/>
        </w:trPr>
        <w:tc>
          <w:tcPr>
            <w:tcW w:w="2790" w:type="dxa"/>
            <w:tcBorders>
              <w:top w:val="single" w:sz="6" w:space="0" w:color="auto"/>
              <w:bottom w:val="single" w:sz="6" w:space="0" w:color="auto"/>
            </w:tcBorders>
            <w:shd w:val="clear" w:color="auto" w:fill="67AE3C"/>
            <w:vAlign w:val="center"/>
          </w:tcPr>
          <w:p w14:paraId="69479C3F" w14:textId="77777777" w:rsidR="005358E2" w:rsidRPr="000E1AE8" w:rsidRDefault="005358E2" w:rsidP="005358E2">
            <w:pPr>
              <w:jc w:val="center"/>
              <w:rPr>
                <w:rFonts w:asciiTheme="majorHAnsi" w:hAnsiTheme="majorHAnsi"/>
                <w:bCs/>
                <w:color w:val="FFFFFF" w:themeColor="background1"/>
                <w:sz w:val="19"/>
                <w:szCs w:val="19"/>
              </w:rPr>
            </w:pPr>
            <w:r w:rsidRPr="000E1AE8">
              <w:rPr>
                <w:rFonts w:asciiTheme="majorHAnsi" w:hAnsiTheme="majorHAnsi"/>
                <w:color w:val="FFFFFF" w:themeColor="background1"/>
                <w:sz w:val="19"/>
                <w:szCs w:val="19"/>
              </w:rPr>
              <w:t>State’s first response</w:t>
            </w:r>
          </w:p>
        </w:tc>
        <w:tc>
          <w:tcPr>
            <w:tcW w:w="6570" w:type="dxa"/>
            <w:vAlign w:val="center"/>
          </w:tcPr>
          <w:p w14:paraId="7FA7BF18" w14:textId="059EEC9C" w:rsidR="005358E2" w:rsidRPr="003A5566" w:rsidRDefault="005358E2" w:rsidP="005358E2">
            <w:pPr>
              <w:jc w:val="both"/>
              <w:rPr>
                <w:rFonts w:asciiTheme="majorHAnsi" w:hAnsiTheme="majorHAnsi"/>
                <w:bCs/>
                <w:sz w:val="19"/>
                <w:szCs w:val="19"/>
              </w:rPr>
            </w:pPr>
            <w:r>
              <w:rPr>
                <w:rFonts w:ascii="Cambria" w:hAnsi="Cambria"/>
                <w:sz w:val="20"/>
                <w:szCs w:val="20"/>
                <w:lang w:val="en"/>
              </w:rPr>
              <w:t>August 3, 2017</w:t>
            </w:r>
          </w:p>
        </w:tc>
      </w:tr>
      <w:tr w:rsidR="005358E2" w:rsidRPr="003A5566" w14:paraId="158C8FCC" w14:textId="77777777" w:rsidTr="005358E2">
        <w:tc>
          <w:tcPr>
            <w:tcW w:w="2790" w:type="dxa"/>
            <w:tcBorders>
              <w:top w:val="single" w:sz="6" w:space="0" w:color="auto"/>
              <w:bottom w:val="single" w:sz="6" w:space="0" w:color="auto"/>
            </w:tcBorders>
            <w:shd w:val="clear" w:color="auto" w:fill="67AE3C"/>
            <w:vAlign w:val="center"/>
          </w:tcPr>
          <w:p w14:paraId="666ABE64" w14:textId="77777777" w:rsidR="005358E2" w:rsidRPr="000E1AE8" w:rsidRDefault="005358E2" w:rsidP="005358E2">
            <w:pPr>
              <w:jc w:val="center"/>
              <w:rPr>
                <w:rFonts w:asciiTheme="majorHAnsi" w:hAnsiTheme="majorHAnsi"/>
                <w:bCs/>
                <w:color w:val="FFFFFF" w:themeColor="background1"/>
                <w:sz w:val="19"/>
                <w:szCs w:val="19"/>
              </w:rPr>
            </w:pPr>
            <w:r w:rsidRPr="000E1AE8">
              <w:rPr>
                <w:rFonts w:asciiTheme="majorHAnsi" w:hAnsiTheme="majorHAnsi"/>
                <w:bCs/>
                <w:color w:val="FFFFFF" w:themeColor="background1"/>
                <w:sz w:val="19"/>
                <w:szCs w:val="19"/>
              </w:rPr>
              <w:t>Additional observations from the petitioner</w:t>
            </w:r>
          </w:p>
        </w:tc>
        <w:tc>
          <w:tcPr>
            <w:tcW w:w="6570" w:type="dxa"/>
            <w:vAlign w:val="center"/>
          </w:tcPr>
          <w:p w14:paraId="7993A915" w14:textId="3CE7CD73" w:rsidR="005358E2" w:rsidRPr="003A5566" w:rsidRDefault="005358E2" w:rsidP="005358E2">
            <w:pPr>
              <w:jc w:val="both"/>
              <w:rPr>
                <w:rFonts w:asciiTheme="majorHAnsi" w:hAnsiTheme="majorHAnsi"/>
                <w:bCs/>
                <w:sz w:val="19"/>
                <w:szCs w:val="19"/>
              </w:rPr>
            </w:pPr>
            <w:r>
              <w:rPr>
                <w:rFonts w:ascii="Cambria" w:hAnsi="Cambria"/>
                <w:sz w:val="20"/>
                <w:szCs w:val="20"/>
                <w:lang w:val="en"/>
              </w:rPr>
              <w:t>January 2 and September 4, 2013; June 5, 2015; June 8, 2016; October 10, 2017; October 3, 2018</w:t>
            </w:r>
          </w:p>
        </w:tc>
      </w:tr>
      <w:tr w:rsidR="005358E2" w:rsidRPr="003A5566" w14:paraId="66F06CFA" w14:textId="77777777" w:rsidTr="005358E2">
        <w:tc>
          <w:tcPr>
            <w:tcW w:w="2790" w:type="dxa"/>
            <w:tcBorders>
              <w:top w:val="single" w:sz="6" w:space="0" w:color="auto"/>
              <w:bottom w:val="single" w:sz="6" w:space="0" w:color="auto"/>
            </w:tcBorders>
            <w:shd w:val="clear" w:color="auto" w:fill="67AE3C"/>
            <w:vAlign w:val="center"/>
          </w:tcPr>
          <w:p w14:paraId="4C7541F3" w14:textId="77777777" w:rsidR="005358E2" w:rsidRPr="000E1AE8" w:rsidRDefault="005358E2" w:rsidP="005358E2">
            <w:pPr>
              <w:jc w:val="center"/>
              <w:rPr>
                <w:rFonts w:asciiTheme="majorHAnsi" w:hAnsiTheme="majorHAnsi"/>
                <w:bCs/>
                <w:color w:val="FFFFFF" w:themeColor="background1"/>
                <w:sz w:val="19"/>
                <w:szCs w:val="19"/>
              </w:rPr>
            </w:pPr>
            <w:r w:rsidRPr="000E1AE8">
              <w:rPr>
                <w:rFonts w:asciiTheme="majorHAnsi" w:hAnsiTheme="majorHAnsi"/>
                <w:bCs/>
                <w:color w:val="FFFFFF" w:themeColor="background1"/>
                <w:sz w:val="19"/>
                <w:szCs w:val="19"/>
              </w:rPr>
              <w:t>Additional observations from the State</w:t>
            </w:r>
          </w:p>
        </w:tc>
        <w:tc>
          <w:tcPr>
            <w:tcW w:w="6570" w:type="dxa"/>
            <w:vAlign w:val="center"/>
          </w:tcPr>
          <w:p w14:paraId="651D4079" w14:textId="23C19822" w:rsidR="005358E2" w:rsidRPr="003A5566" w:rsidRDefault="005358E2" w:rsidP="005358E2">
            <w:pPr>
              <w:jc w:val="both"/>
              <w:rPr>
                <w:rFonts w:asciiTheme="majorHAnsi" w:hAnsiTheme="majorHAnsi"/>
                <w:bCs/>
                <w:sz w:val="19"/>
                <w:szCs w:val="19"/>
              </w:rPr>
            </w:pPr>
            <w:r>
              <w:rPr>
                <w:rFonts w:ascii="Cambria" w:hAnsi="Cambria"/>
                <w:sz w:val="20"/>
                <w:szCs w:val="20"/>
                <w:lang w:val="en"/>
              </w:rPr>
              <w:t>November 27, 2017</w:t>
            </w:r>
          </w:p>
        </w:tc>
      </w:tr>
    </w:tbl>
    <w:p w14:paraId="38F6AE90" w14:textId="77777777" w:rsidR="00FC49A6" w:rsidRDefault="00FC49A6" w:rsidP="00FC49A6">
      <w:pPr>
        <w:pStyle w:val="ListParagraph"/>
        <w:jc w:val="both"/>
        <w:rPr>
          <w:rFonts w:asciiTheme="majorHAnsi" w:hAnsiTheme="majorHAnsi"/>
          <w:b/>
          <w:bCs/>
          <w:sz w:val="19"/>
          <w:szCs w:val="19"/>
        </w:rPr>
      </w:pPr>
    </w:p>
    <w:p w14:paraId="3091AFE0" w14:textId="22AF6E30" w:rsidR="00F621C3" w:rsidRDefault="00F621C3" w:rsidP="00FC49A6">
      <w:pPr>
        <w:pStyle w:val="ListParagraph"/>
        <w:numPr>
          <w:ilvl w:val="0"/>
          <w:numId w:val="108"/>
        </w:numPr>
        <w:ind w:left="0" w:firstLine="720"/>
        <w:jc w:val="both"/>
        <w:rPr>
          <w:rFonts w:asciiTheme="majorHAnsi" w:hAnsiTheme="majorHAnsi"/>
          <w:b/>
          <w:bCs/>
          <w:sz w:val="19"/>
          <w:szCs w:val="19"/>
        </w:rPr>
      </w:pPr>
      <w:r w:rsidRPr="00C454A5">
        <w:rPr>
          <w:rFonts w:asciiTheme="majorHAnsi" w:hAnsiTheme="majorHAnsi"/>
          <w:b/>
          <w:bCs/>
          <w:sz w:val="19"/>
          <w:szCs w:val="19"/>
        </w:rPr>
        <w:t xml:space="preserve">COMPETENCE </w:t>
      </w:r>
    </w:p>
    <w:p w14:paraId="6A93897A" w14:textId="77777777" w:rsidR="00FC49A6" w:rsidRPr="00C454A5" w:rsidRDefault="00FC49A6" w:rsidP="00FC49A6">
      <w:pPr>
        <w:pStyle w:val="ListParagraph"/>
        <w:jc w:val="both"/>
        <w:rPr>
          <w:rFonts w:asciiTheme="majorHAnsi" w:hAnsiTheme="majorHAnsi"/>
          <w:b/>
          <w:bCs/>
          <w:sz w:val="19"/>
          <w:szCs w:val="19"/>
        </w:rPr>
      </w:pP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4"/>
        <w:gridCol w:w="6621"/>
      </w:tblGrid>
      <w:tr w:rsidR="005358E2" w:rsidRPr="003A5566" w14:paraId="684F4233" w14:textId="77777777" w:rsidTr="005358E2">
        <w:trPr>
          <w:cantSplit/>
        </w:trPr>
        <w:tc>
          <w:tcPr>
            <w:tcW w:w="2764" w:type="dxa"/>
            <w:tcBorders>
              <w:top w:val="single" w:sz="4" w:space="0" w:color="auto"/>
              <w:bottom w:val="single" w:sz="6" w:space="0" w:color="auto"/>
            </w:tcBorders>
            <w:shd w:val="clear" w:color="auto" w:fill="67AE3C"/>
            <w:vAlign w:val="center"/>
          </w:tcPr>
          <w:p w14:paraId="60150448" w14:textId="782606C6" w:rsidR="005358E2" w:rsidRPr="003A5566" w:rsidRDefault="005358E2" w:rsidP="005358E2">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1" w:type="dxa"/>
            <w:vAlign w:val="center"/>
          </w:tcPr>
          <w:p w14:paraId="7020EEBD" w14:textId="248C541F" w:rsidR="005358E2" w:rsidRPr="003A5566" w:rsidRDefault="005358E2" w:rsidP="005358E2">
            <w:pPr>
              <w:rPr>
                <w:rFonts w:asciiTheme="majorHAnsi" w:hAnsiTheme="majorHAnsi"/>
                <w:bCs/>
                <w:sz w:val="19"/>
                <w:szCs w:val="19"/>
              </w:rPr>
            </w:pPr>
            <w:r>
              <w:rPr>
                <w:rFonts w:ascii="Cambria" w:hAnsi="Cambria"/>
                <w:sz w:val="20"/>
                <w:szCs w:val="19"/>
                <w:lang w:val="en"/>
              </w:rPr>
              <w:t>Yes</w:t>
            </w:r>
          </w:p>
        </w:tc>
      </w:tr>
      <w:tr w:rsidR="005358E2" w:rsidRPr="003A5566" w14:paraId="6438DD58" w14:textId="77777777" w:rsidTr="005358E2">
        <w:trPr>
          <w:cantSplit/>
        </w:trPr>
        <w:tc>
          <w:tcPr>
            <w:tcW w:w="2764" w:type="dxa"/>
            <w:tcBorders>
              <w:top w:val="single" w:sz="6" w:space="0" w:color="auto"/>
              <w:bottom w:val="single" w:sz="6" w:space="0" w:color="auto"/>
            </w:tcBorders>
            <w:shd w:val="clear" w:color="auto" w:fill="67AE3C"/>
            <w:vAlign w:val="center"/>
          </w:tcPr>
          <w:p w14:paraId="43AB8B19" w14:textId="65DEC992"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1" w:type="dxa"/>
            <w:vAlign w:val="center"/>
          </w:tcPr>
          <w:p w14:paraId="042797E8" w14:textId="3683E9DA" w:rsidR="005358E2" w:rsidRPr="003A5566" w:rsidRDefault="005358E2" w:rsidP="005358E2">
            <w:pPr>
              <w:rPr>
                <w:rFonts w:asciiTheme="majorHAnsi" w:hAnsiTheme="majorHAnsi"/>
                <w:bCs/>
                <w:sz w:val="19"/>
                <w:szCs w:val="19"/>
              </w:rPr>
            </w:pPr>
            <w:r>
              <w:rPr>
                <w:rFonts w:ascii="Cambria" w:hAnsi="Cambria"/>
                <w:sz w:val="20"/>
                <w:szCs w:val="19"/>
                <w:lang w:val="en"/>
              </w:rPr>
              <w:t>Yes</w:t>
            </w:r>
          </w:p>
        </w:tc>
      </w:tr>
      <w:tr w:rsidR="005358E2" w:rsidRPr="003A5566" w14:paraId="5140C2B6" w14:textId="77777777" w:rsidTr="005358E2">
        <w:trPr>
          <w:cantSplit/>
        </w:trPr>
        <w:tc>
          <w:tcPr>
            <w:tcW w:w="2764" w:type="dxa"/>
            <w:tcBorders>
              <w:top w:val="single" w:sz="6" w:space="0" w:color="auto"/>
              <w:bottom w:val="single" w:sz="6" w:space="0" w:color="auto"/>
            </w:tcBorders>
            <w:shd w:val="clear" w:color="auto" w:fill="67AE3C"/>
            <w:vAlign w:val="center"/>
          </w:tcPr>
          <w:p w14:paraId="74905820" w14:textId="46F2CAE5"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 xml:space="preserve">Ratione </w:t>
            </w:r>
            <w:r>
              <w:rPr>
                <w:rFonts w:asciiTheme="majorHAnsi" w:hAnsiTheme="majorHAnsi"/>
                <w:bCs/>
                <w:i/>
                <w:color w:val="FFFFFF" w:themeColor="background1"/>
                <w:sz w:val="19"/>
                <w:szCs w:val="19"/>
              </w:rPr>
              <w:t>temporis</w:t>
            </w:r>
          </w:p>
        </w:tc>
        <w:tc>
          <w:tcPr>
            <w:tcW w:w="6621" w:type="dxa"/>
            <w:vAlign w:val="center"/>
          </w:tcPr>
          <w:p w14:paraId="2AE26DD6" w14:textId="7DAF19B2" w:rsidR="005358E2" w:rsidRPr="003A5566" w:rsidRDefault="005358E2" w:rsidP="005358E2">
            <w:pPr>
              <w:rPr>
                <w:rFonts w:asciiTheme="majorHAnsi" w:hAnsiTheme="majorHAnsi"/>
                <w:bCs/>
                <w:sz w:val="19"/>
                <w:szCs w:val="19"/>
              </w:rPr>
            </w:pPr>
            <w:r>
              <w:rPr>
                <w:rFonts w:ascii="Cambria" w:hAnsi="Cambria"/>
                <w:sz w:val="20"/>
                <w:szCs w:val="19"/>
                <w:lang w:val="en"/>
              </w:rPr>
              <w:t>Yes</w:t>
            </w:r>
          </w:p>
        </w:tc>
      </w:tr>
      <w:tr w:rsidR="005358E2" w:rsidRPr="003A5566" w14:paraId="33238134" w14:textId="77777777" w:rsidTr="005358E2">
        <w:trPr>
          <w:cantSplit/>
        </w:trPr>
        <w:tc>
          <w:tcPr>
            <w:tcW w:w="2764" w:type="dxa"/>
            <w:tcBorders>
              <w:top w:val="single" w:sz="6" w:space="0" w:color="auto"/>
              <w:bottom w:val="single" w:sz="6" w:space="0" w:color="auto"/>
            </w:tcBorders>
            <w:shd w:val="clear" w:color="auto" w:fill="67AE3C"/>
            <w:vAlign w:val="center"/>
          </w:tcPr>
          <w:p w14:paraId="3C7AAFE9" w14:textId="6B5E993E"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1" w:type="dxa"/>
            <w:vAlign w:val="center"/>
          </w:tcPr>
          <w:p w14:paraId="4A9D8795" w14:textId="4179C922" w:rsidR="005358E2" w:rsidRPr="003A5566" w:rsidRDefault="005358E2" w:rsidP="005358E2">
            <w:pPr>
              <w:jc w:val="both"/>
              <w:rPr>
                <w:rFonts w:asciiTheme="majorHAnsi" w:hAnsiTheme="majorHAnsi"/>
                <w:bCs/>
                <w:sz w:val="19"/>
                <w:szCs w:val="19"/>
              </w:rPr>
            </w:pPr>
            <w:r>
              <w:rPr>
                <w:rFonts w:ascii="Cambria" w:hAnsi="Cambria"/>
                <w:sz w:val="20"/>
                <w:szCs w:val="19"/>
                <w:lang w:val="en"/>
              </w:rPr>
              <w:t>Yes, American Convention (deposit of ratification instrument on September 5, 1984)</w:t>
            </w:r>
          </w:p>
        </w:tc>
      </w:tr>
    </w:tbl>
    <w:p w14:paraId="36053DE0" w14:textId="77777777" w:rsidR="00FC49A6" w:rsidRDefault="00FC49A6" w:rsidP="00FC49A6">
      <w:pPr>
        <w:pStyle w:val="ListParagraph"/>
        <w:jc w:val="both"/>
        <w:rPr>
          <w:rFonts w:asciiTheme="majorHAnsi" w:hAnsiTheme="majorHAnsi"/>
          <w:b/>
          <w:bCs/>
          <w:sz w:val="19"/>
          <w:szCs w:val="19"/>
        </w:rPr>
      </w:pPr>
    </w:p>
    <w:p w14:paraId="742070CB" w14:textId="148F8CED" w:rsidR="00F621C3" w:rsidRDefault="00F621C3" w:rsidP="00FC49A6">
      <w:pPr>
        <w:pStyle w:val="ListParagraph"/>
        <w:numPr>
          <w:ilvl w:val="0"/>
          <w:numId w:val="108"/>
        </w:numPr>
        <w:ind w:left="0" w:firstLine="720"/>
        <w:jc w:val="both"/>
        <w:rPr>
          <w:rFonts w:asciiTheme="majorHAnsi" w:hAnsiTheme="majorHAnsi"/>
          <w:b/>
          <w:bCs/>
          <w:sz w:val="19"/>
          <w:szCs w:val="19"/>
        </w:rPr>
      </w:pPr>
      <w:r w:rsidRPr="00C454A5">
        <w:rPr>
          <w:rFonts w:asciiTheme="majorHAnsi" w:hAnsiTheme="majorHAnsi"/>
          <w:b/>
          <w:bCs/>
          <w:sz w:val="19"/>
          <w:szCs w:val="19"/>
        </w:rPr>
        <w:t xml:space="preserve">DUPLICATION OF PROCEDURES AND INTERNATIONAL </w:t>
      </w:r>
      <w:r w:rsidRPr="00C454A5">
        <w:rPr>
          <w:rFonts w:asciiTheme="majorHAnsi" w:hAnsiTheme="majorHAnsi"/>
          <w:b/>
          <w:bCs/>
          <w:i/>
          <w:sz w:val="19"/>
          <w:szCs w:val="19"/>
        </w:rPr>
        <w:t>RES JUDICATA</w:t>
      </w:r>
      <w:r w:rsidRPr="00C454A5">
        <w:rPr>
          <w:rFonts w:asciiTheme="majorHAnsi" w:hAnsiTheme="majorHAnsi"/>
          <w:b/>
          <w:bCs/>
          <w:sz w:val="19"/>
          <w:szCs w:val="19"/>
        </w:rPr>
        <w:t>, COLORABLE CLAIM, EXHAUSTION OF DOMESTIC REMEDIES AND TIMELINESS OF THE PETITION</w:t>
      </w:r>
    </w:p>
    <w:p w14:paraId="022385C2" w14:textId="77777777" w:rsidR="00FC49A6" w:rsidRPr="00C454A5" w:rsidRDefault="00FC49A6" w:rsidP="00FC49A6">
      <w:pPr>
        <w:pStyle w:val="ListParagraph"/>
        <w:jc w:val="both"/>
        <w:rPr>
          <w:rFonts w:asciiTheme="majorHAnsi" w:hAnsiTheme="majorHAnsi"/>
          <w:b/>
          <w:bCs/>
          <w:sz w:val="19"/>
          <w:szCs w:val="19"/>
        </w:rPr>
      </w:pP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5358E2" w:rsidRPr="003A5566" w14:paraId="47EC0E6D" w14:textId="77777777" w:rsidTr="005358E2">
        <w:trPr>
          <w:cantSplit/>
        </w:trPr>
        <w:tc>
          <w:tcPr>
            <w:tcW w:w="2767" w:type="dxa"/>
            <w:tcBorders>
              <w:top w:val="single" w:sz="4" w:space="0" w:color="auto"/>
              <w:bottom w:val="single" w:sz="6" w:space="0" w:color="auto"/>
            </w:tcBorders>
            <w:shd w:val="clear" w:color="auto" w:fill="67AE3C"/>
            <w:vAlign w:val="center"/>
          </w:tcPr>
          <w:p w14:paraId="1B9411D6"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4A078C01" w14:textId="57EA4113" w:rsidR="005358E2" w:rsidRPr="003A5566" w:rsidRDefault="005358E2" w:rsidP="005358E2">
            <w:pPr>
              <w:jc w:val="both"/>
              <w:rPr>
                <w:rFonts w:asciiTheme="majorHAnsi" w:hAnsiTheme="majorHAnsi"/>
                <w:bCs/>
                <w:sz w:val="19"/>
                <w:szCs w:val="19"/>
              </w:rPr>
            </w:pPr>
            <w:r>
              <w:rPr>
                <w:rFonts w:ascii="Cambria" w:hAnsi="Cambria"/>
                <w:sz w:val="20"/>
                <w:szCs w:val="19"/>
                <w:lang w:val="en"/>
              </w:rPr>
              <w:t>No</w:t>
            </w:r>
          </w:p>
        </w:tc>
      </w:tr>
      <w:tr w:rsidR="005358E2" w:rsidRPr="003A5566" w14:paraId="2E3D009A" w14:textId="77777777" w:rsidTr="005358E2">
        <w:trPr>
          <w:cantSplit/>
        </w:trPr>
        <w:tc>
          <w:tcPr>
            <w:tcW w:w="2767" w:type="dxa"/>
            <w:tcBorders>
              <w:top w:val="single" w:sz="6" w:space="0" w:color="auto"/>
              <w:bottom w:val="single" w:sz="6" w:space="0" w:color="auto"/>
            </w:tcBorders>
            <w:shd w:val="clear" w:color="auto" w:fill="67AE3C"/>
            <w:vAlign w:val="center"/>
          </w:tcPr>
          <w:p w14:paraId="45F253F9" w14:textId="77777777" w:rsidR="005358E2" w:rsidRPr="003A5566" w:rsidRDefault="005358E2" w:rsidP="005358E2">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0601E6F1" w14:textId="56DFD798" w:rsidR="005358E2" w:rsidRPr="003A5566" w:rsidRDefault="005358E2" w:rsidP="005358E2">
            <w:pPr>
              <w:jc w:val="both"/>
              <w:rPr>
                <w:rFonts w:asciiTheme="majorHAnsi" w:hAnsiTheme="majorHAnsi"/>
                <w:bCs/>
                <w:sz w:val="19"/>
                <w:szCs w:val="19"/>
              </w:rPr>
            </w:pPr>
            <w:r>
              <w:rPr>
                <w:rFonts w:ascii="Cambria" w:hAnsi="Cambria"/>
                <w:sz w:val="20"/>
                <w:szCs w:val="20"/>
                <w:lang w:val="en"/>
              </w:rPr>
              <w:t xml:space="preserve">Articles 8 (fair </w:t>
            </w:r>
            <w:r w:rsidR="00454C79">
              <w:rPr>
                <w:rFonts w:ascii="Cambria" w:hAnsi="Cambria"/>
                <w:sz w:val="20"/>
                <w:szCs w:val="20"/>
                <w:lang w:val="en"/>
              </w:rPr>
              <w:t>trial</w:t>
            </w:r>
            <w:r>
              <w:rPr>
                <w:rFonts w:ascii="Cambria" w:hAnsi="Cambria"/>
                <w:sz w:val="20"/>
                <w:szCs w:val="20"/>
                <w:lang w:val="en"/>
              </w:rPr>
              <w:t>) and 25 (judicial protection) of the American Convention, in relation to its Article 1.1</w:t>
            </w:r>
          </w:p>
        </w:tc>
      </w:tr>
      <w:tr w:rsidR="005358E2" w:rsidRPr="003A5566" w14:paraId="77899B94" w14:textId="77777777" w:rsidTr="005358E2">
        <w:trPr>
          <w:cantSplit/>
        </w:trPr>
        <w:tc>
          <w:tcPr>
            <w:tcW w:w="2767" w:type="dxa"/>
            <w:tcBorders>
              <w:top w:val="single" w:sz="6" w:space="0" w:color="auto"/>
              <w:bottom w:val="single" w:sz="6" w:space="0" w:color="auto"/>
            </w:tcBorders>
            <w:shd w:val="clear" w:color="auto" w:fill="67AE3C"/>
            <w:vAlign w:val="center"/>
          </w:tcPr>
          <w:p w14:paraId="754CDE32"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73719D55" w14:textId="3B138AA1" w:rsidR="005358E2" w:rsidRPr="003A5566" w:rsidRDefault="005358E2" w:rsidP="005358E2">
            <w:pPr>
              <w:rPr>
                <w:rFonts w:asciiTheme="majorHAnsi" w:hAnsiTheme="majorHAnsi"/>
                <w:bCs/>
                <w:sz w:val="19"/>
                <w:szCs w:val="19"/>
              </w:rPr>
            </w:pPr>
            <w:r>
              <w:rPr>
                <w:rFonts w:ascii="Cambria" w:hAnsi="Cambria"/>
                <w:sz w:val="20"/>
                <w:szCs w:val="19"/>
                <w:lang w:val="en"/>
              </w:rPr>
              <w:t>Yes; April 7, 2010</w:t>
            </w:r>
          </w:p>
        </w:tc>
      </w:tr>
      <w:tr w:rsidR="005358E2" w:rsidRPr="003A5566" w14:paraId="4F59B7C5" w14:textId="77777777" w:rsidTr="005358E2">
        <w:trPr>
          <w:cantSplit/>
        </w:trPr>
        <w:tc>
          <w:tcPr>
            <w:tcW w:w="2767" w:type="dxa"/>
            <w:tcBorders>
              <w:top w:val="single" w:sz="6" w:space="0" w:color="auto"/>
              <w:bottom w:val="single" w:sz="6" w:space="0" w:color="auto"/>
            </w:tcBorders>
            <w:shd w:val="clear" w:color="auto" w:fill="67AE3C"/>
            <w:vAlign w:val="center"/>
          </w:tcPr>
          <w:p w14:paraId="75227E17" w14:textId="77777777" w:rsidR="005358E2" w:rsidRPr="003A5566" w:rsidRDefault="005358E2" w:rsidP="005358E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6C3BF4E4" w14:textId="77BA11FC" w:rsidR="005358E2" w:rsidRPr="003A5566" w:rsidRDefault="005358E2" w:rsidP="005358E2">
            <w:pPr>
              <w:rPr>
                <w:rFonts w:asciiTheme="majorHAnsi" w:hAnsiTheme="majorHAnsi"/>
                <w:bCs/>
                <w:sz w:val="19"/>
                <w:szCs w:val="19"/>
              </w:rPr>
            </w:pPr>
            <w:r>
              <w:rPr>
                <w:rFonts w:ascii="Cambria" w:hAnsi="Cambria"/>
                <w:sz w:val="20"/>
                <w:szCs w:val="19"/>
                <w:lang w:val="en"/>
              </w:rPr>
              <w:t>Yes; October 5, 2010</w:t>
            </w:r>
          </w:p>
        </w:tc>
      </w:tr>
    </w:tbl>
    <w:p w14:paraId="45E72453" w14:textId="77777777" w:rsidR="00FC49A6" w:rsidRDefault="00FC49A6" w:rsidP="00FC49A6">
      <w:pPr>
        <w:pStyle w:val="ListParagraph"/>
        <w:jc w:val="both"/>
        <w:rPr>
          <w:rFonts w:asciiTheme="majorHAnsi" w:hAnsiTheme="majorHAnsi"/>
          <w:b/>
          <w:sz w:val="20"/>
          <w:szCs w:val="20"/>
        </w:rPr>
      </w:pPr>
    </w:p>
    <w:p w14:paraId="3FEBD323" w14:textId="36554B01" w:rsidR="00F621C3" w:rsidRPr="00C454A5" w:rsidRDefault="003D6EE0" w:rsidP="00FC49A6">
      <w:pPr>
        <w:pStyle w:val="ListParagraph"/>
        <w:numPr>
          <w:ilvl w:val="0"/>
          <w:numId w:val="108"/>
        </w:numPr>
        <w:ind w:left="0" w:firstLine="720"/>
        <w:jc w:val="both"/>
        <w:rPr>
          <w:rFonts w:asciiTheme="majorHAnsi" w:hAnsiTheme="majorHAnsi"/>
          <w:b/>
          <w:sz w:val="20"/>
          <w:szCs w:val="20"/>
        </w:rPr>
      </w:pPr>
      <w:r w:rsidRPr="00C454A5">
        <w:rPr>
          <w:rFonts w:asciiTheme="majorHAnsi" w:hAnsiTheme="majorHAnsi"/>
          <w:b/>
          <w:sz w:val="20"/>
          <w:szCs w:val="20"/>
        </w:rPr>
        <w:t xml:space="preserve">SUMMARY OF </w:t>
      </w:r>
      <w:r w:rsidR="00706858" w:rsidRPr="00C454A5">
        <w:rPr>
          <w:rFonts w:asciiTheme="majorHAnsi" w:hAnsiTheme="majorHAnsi"/>
          <w:b/>
          <w:sz w:val="20"/>
          <w:szCs w:val="20"/>
        </w:rPr>
        <w:t xml:space="preserve">ALLEGED </w:t>
      </w:r>
      <w:r w:rsidR="00F621C3" w:rsidRPr="00C454A5">
        <w:rPr>
          <w:rFonts w:asciiTheme="majorHAnsi" w:hAnsiTheme="majorHAnsi"/>
          <w:b/>
          <w:sz w:val="20"/>
          <w:szCs w:val="20"/>
        </w:rPr>
        <w:t xml:space="preserve">FACTS </w:t>
      </w:r>
    </w:p>
    <w:p w14:paraId="4F695C0B" w14:textId="77777777" w:rsidR="00FC49A6" w:rsidRPr="00FC49A6" w:rsidRDefault="00FC49A6" w:rsidP="00FC49A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049D8191" w14:textId="0A6F6E86" w:rsidR="005358E2" w:rsidRPr="000841FA" w:rsidRDefault="000841FA" w:rsidP="00FC4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841FA">
        <w:rPr>
          <w:rFonts w:ascii="Cambria" w:hAnsi="Cambria"/>
          <w:sz w:val="20"/>
          <w:szCs w:val="20"/>
          <w:lang w:val="en"/>
        </w:rPr>
        <w:t xml:space="preserve">The petitioners argue that </w:t>
      </w:r>
      <w:r w:rsidR="005358E2" w:rsidRPr="000841FA">
        <w:rPr>
          <w:rFonts w:ascii="Cambria" w:hAnsi="Cambria"/>
          <w:sz w:val="20"/>
          <w:szCs w:val="20"/>
          <w:lang w:val="en"/>
        </w:rPr>
        <w:t>the alleged victim</w:t>
      </w:r>
      <w:r w:rsidRPr="000841FA">
        <w:rPr>
          <w:rFonts w:ascii="Cambria" w:hAnsi="Cambria"/>
          <w:sz w:val="20"/>
          <w:szCs w:val="20"/>
          <w:lang w:val="en"/>
        </w:rPr>
        <w:t>, Francisco Ramos Marrau,</w:t>
      </w:r>
      <w:r w:rsidR="005358E2" w:rsidRPr="000841FA">
        <w:rPr>
          <w:rFonts w:ascii="Cambria" w:hAnsi="Cambria"/>
          <w:sz w:val="20"/>
          <w:szCs w:val="20"/>
          <w:lang w:val="en"/>
        </w:rPr>
        <w:t xml:space="preserve"> </w:t>
      </w:r>
      <w:r w:rsidRPr="000841FA">
        <w:rPr>
          <w:rFonts w:ascii="Cambria" w:hAnsi="Cambria"/>
          <w:sz w:val="20"/>
          <w:szCs w:val="20"/>
          <w:lang w:val="en"/>
        </w:rPr>
        <w:t>was</w:t>
      </w:r>
      <w:r w:rsidR="005358E2" w:rsidRPr="000841FA">
        <w:rPr>
          <w:rFonts w:ascii="Cambria" w:hAnsi="Cambria"/>
          <w:sz w:val="20"/>
          <w:szCs w:val="20"/>
          <w:lang w:val="en"/>
        </w:rPr>
        <w:t xml:space="preserve"> forced into exile </w:t>
      </w:r>
      <w:r w:rsidRPr="000841FA">
        <w:rPr>
          <w:rFonts w:ascii="Cambria" w:hAnsi="Cambria"/>
          <w:sz w:val="20"/>
          <w:szCs w:val="20"/>
          <w:lang w:val="en"/>
        </w:rPr>
        <w:t xml:space="preserve">with his family in the face of threats and </w:t>
      </w:r>
      <w:r w:rsidR="005358E2" w:rsidRPr="000841FA">
        <w:rPr>
          <w:rFonts w:ascii="Cambria" w:hAnsi="Cambria"/>
          <w:sz w:val="20"/>
          <w:szCs w:val="20"/>
          <w:lang w:val="en"/>
        </w:rPr>
        <w:t>harassment</w:t>
      </w:r>
      <w:r w:rsidRPr="000841FA">
        <w:rPr>
          <w:rFonts w:ascii="Cambria" w:hAnsi="Cambria"/>
          <w:sz w:val="20"/>
          <w:szCs w:val="20"/>
          <w:lang w:val="en"/>
        </w:rPr>
        <w:t xml:space="preserve"> during the military dictatorship in Argentina,</w:t>
      </w:r>
      <w:r w:rsidR="005358E2" w:rsidRPr="000841FA">
        <w:rPr>
          <w:rFonts w:ascii="Cambria" w:hAnsi="Cambria"/>
          <w:sz w:val="20"/>
          <w:szCs w:val="20"/>
          <w:lang w:val="en"/>
        </w:rPr>
        <w:t xml:space="preserve"> </w:t>
      </w:r>
      <w:r w:rsidRPr="000841FA">
        <w:rPr>
          <w:rFonts w:ascii="Cambria" w:hAnsi="Cambria"/>
          <w:sz w:val="20"/>
          <w:szCs w:val="20"/>
          <w:lang w:val="en"/>
        </w:rPr>
        <w:t xml:space="preserve">due to his participation </w:t>
      </w:r>
      <w:r w:rsidR="005358E2" w:rsidRPr="000841FA">
        <w:rPr>
          <w:rFonts w:ascii="Cambria" w:hAnsi="Cambria"/>
          <w:sz w:val="20"/>
          <w:szCs w:val="20"/>
          <w:lang w:val="en"/>
        </w:rPr>
        <w:t>in labor union claims.</w:t>
      </w:r>
      <w:r w:rsidR="005358E2" w:rsidRPr="000841FA">
        <w:rPr>
          <w:rStyle w:val="FootnoteReference"/>
          <w:rFonts w:ascii="Cambria" w:hAnsi="Cambria"/>
          <w:sz w:val="20"/>
          <w:szCs w:val="20"/>
          <w:lang w:val="en"/>
        </w:rPr>
        <w:footnoteReference w:id="4"/>
      </w:r>
      <w:r w:rsidR="005358E2" w:rsidRPr="000841FA">
        <w:rPr>
          <w:rFonts w:ascii="Cambria" w:hAnsi="Cambria"/>
          <w:sz w:val="20"/>
          <w:szCs w:val="20"/>
          <w:lang w:val="en"/>
        </w:rPr>
        <w:t xml:space="preserve"> </w:t>
      </w:r>
    </w:p>
    <w:p w14:paraId="271909E9" w14:textId="77777777" w:rsidR="000841FA" w:rsidRPr="000841FA" w:rsidRDefault="000841FA" w:rsidP="00FC49A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9805D36" w14:textId="62AE3C79" w:rsidR="005358E2" w:rsidRPr="005F0D4E" w:rsidRDefault="005358E2" w:rsidP="00FC4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The petitioners </w:t>
      </w:r>
      <w:r w:rsidR="009866F6">
        <w:rPr>
          <w:rFonts w:ascii="Cambria" w:hAnsi="Cambria"/>
          <w:sz w:val="20"/>
          <w:szCs w:val="20"/>
          <w:lang w:val="en"/>
        </w:rPr>
        <w:t xml:space="preserve">maintain </w:t>
      </w:r>
      <w:r>
        <w:rPr>
          <w:rFonts w:ascii="Cambria" w:hAnsi="Cambria"/>
          <w:sz w:val="20"/>
          <w:szCs w:val="20"/>
          <w:lang w:val="en"/>
        </w:rPr>
        <w:t xml:space="preserve">that Mr. Ramos Marrau participated in several “opposition” activities, </w:t>
      </w:r>
      <w:r w:rsidR="009866F6">
        <w:rPr>
          <w:rFonts w:ascii="Cambria" w:hAnsi="Cambria"/>
          <w:sz w:val="20"/>
          <w:szCs w:val="20"/>
          <w:lang w:val="en"/>
        </w:rPr>
        <w:t xml:space="preserve">in particular as a result of his condition as a worker </w:t>
      </w:r>
      <w:r>
        <w:rPr>
          <w:rFonts w:ascii="Cambria" w:hAnsi="Cambria"/>
          <w:sz w:val="20"/>
          <w:szCs w:val="20"/>
          <w:lang w:val="en"/>
        </w:rPr>
        <w:t xml:space="preserve">at </w:t>
      </w:r>
      <w:r w:rsidRPr="00D7423A">
        <w:rPr>
          <w:rFonts w:ascii="Cambria" w:hAnsi="Cambria"/>
          <w:i/>
          <w:iCs/>
          <w:sz w:val="20"/>
          <w:szCs w:val="20"/>
          <w:lang w:val="en"/>
        </w:rPr>
        <w:t>Galletitas LIA</w:t>
      </w:r>
      <w:r w:rsidR="009866F6">
        <w:rPr>
          <w:rFonts w:ascii="Cambria" w:hAnsi="Cambria"/>
          <w:sz w:val="20"/>
          <w:szCs w:val="20"/>
          <w:lang w:val="en"/>
        </w:rPr>
        <w:t xml:space="preserve"> factory</w:t>
      </w:r>
      <w:r w:rsidR="00402D1F">
        <w:rPr>
          <w:rFonts w:ascii="Cambria" w:hAnsi="Cambria"/>
          <w:sz w:val="20"/>
          <w:szCs w:val="20"/>
          <w:lang w:val="en"/>
        </w:rPr>
        <w:t xml:space="preserve"> demanding</w:t>
      </w:r>
      <w:r>
        <w:rPr>
          <w:rFonts w:ascii="Cambria" w:hAnsi="Cambria"/>
          <w:sz w:val="20"/>
          <w:szCs w:val="20"/>
          <w:lang w:val="en"/>
        </w:rPr>
        <w:t xml:space="preserve"> better working conditions</w:t>
      </w:r>
      <w:r w:rsidR="009866F6">
        <w:rPr>
          <w:rFonts w:ascii="Cambria" w:hAnsi="Cambria"/>
          <w:sz w:val="20"/>
          <w:szCs w:val="20"/>
          <w:lang w:val="en"/>
        </w:rPr>
        <w:t xml:space="preserve"> during 1975</w:t>
      </w:r>
      <w:r>
        <w:rPr>
          <w:rFonts w:ascii="Cambria" w:hAnsi="Cambria"/>
          <w:sz w:val="20"/>
          <w:szCs w:val="20"/>
          <w:lang w:val="en"/>
        </w:rPr>
        <w:t xml:space="preserve">. In 1976, </w:t>
      </w:r>
      <w:r w:rsidR="00DA7C0A">
        <w:rPr>
          <w:rFonts w:ascii="Cambria" w:hAnsi="Cambria"/>
          <w:sz w:val="20"/>
          <w:szCs w:val="20"/>
          <w:lang w:val="en"/>
        </w:rPr>
        <w:t xml:space="preserve">due to the threats, disappearances and dismissals of his coworkers </w:t>
      </w:r>
      <w:r w:rsidR="000E1AE8">
        <w:rPr>
          <w:rFonts w:ascii="Cambria" w:hAnsi="Cambria"/>
          <w:sz w:val="20"/>
          <w:szCs w:val="20"/>
          <w:lang w:val="en"/>
        </w:rPr>
        <w:t xml:space="preserve">and </w:t>
      </w:r>
      <w:r w:rsidR="00DA7C0A">
        <w:rPr>
          <w:rFonts w:ascii="Cambria" w:hAnsi="Cambria"/>
          <w:sz w:val="20"/>
          <w:szCs w:val="20"/>
          <w:lang w:val="en"/>
        </w:rPr>
        <w:t>to his own dismissal and arrest</w:t>
      </w:r>
      <w:r>
        <w:rPr>
          <w:rFonts w:ascii="Cambria" w:hAnsi="Cambria"/>
          <w:sz w:val="20"/>
          <w:szCs w:val="20"/>
          <w:lang w:val="en"/>
        </w:rPr>
        <w:t xml:space="preserve">, the alleged victim and his family </w:t>
      </w:r>
      <w:r w:rsidR="00821FB2">
        <w:rPr>
          <w:rFonts w:ascii="Cambria" w:hAnsi="Cambria"/>
          <w:sz w:val="20"/>
          <w:szCs w:val="20"/>
          <w:lang w:val="en"/>
        </w:rPr>
        <w:t>were forced into internal displacement</w:t>
      </w:r>
      <w:r w:rsidR="00DA7C0A">
        <w:rPr>
          <w:rFonts w:ascii="Cambria" w:hAnsi="Cambria"/>
          <w:sz w:val="20"/>
          <w:szCs w:val="20"/>
          <w:lang w:val="en"/>
        </w:rPr>
        <w:t xml:space="preserve"> until, according to the information presented, </w:t>
      </w:r>
      <w:r>
        <w:rPr>
          <w:rFonts w:ascii="Cambria" w:hAnsi="Cambria"/>
          <w:sz w:val="20"/>
          <w:szCs w:val="20"/>
          <w:lang w:val="en"/>
        </w:rPr>
        <w:t>armed persons (state agents allegedly) broke into his</w:t>
      </w:r>
      <w:r w:rsidR="005F0D4E">
        <w:rPr>
          <w:rFonts w:ascii="Cambria" w:hAnsi="Cambria"/>
          <w:sz w:val="20"/>
          <w:szCs w:val="20"/>
          <w:lang w:val="en"/>
        </w:rPr>
        <w:t xml:space="preserve"> home</w:t>
      </w:r>
      <w:r>
        <w:rPr>
          <w:rFonts w:ascii="Cambria" w:hAnsi="Cambria"/>
          <w:sz w:val="20"/>
          <w:szCs w:val="20"/>
          <w:lang w:val="en"/>
        </w:rPr>
        <w:t xml:space="preserve">, </w:t>
      </w:r>
      <w:r w:rsidR="005F0D4E">
        <w:rPr>
          <w:rFonts w:ascii="Cambria" w:hAnsi="Cambria"/>
          <w:sz w:val="20"/>
          <w:szCs w:val="20"/>
          <w:lang w:val="en"/>
        </w:rPr>
        <w:t xml:space="preserve">and burned </w:t>
      </w:r>
      <w:r>
        <w:rPr>
          <w:rFonts w:ascii="Cambria" w:hAnsi="Cambria"/>
          <w:sz w:val="20"/>
          <w:szCs w:val="20"/>
          <w:lang w:val="en"/>
        </w:rPr>
        <w:t xml:space="preserve">his property. </w:t>
      </w:r>
      <w:r w:rsidR="005F0D4E">
        <w:rPr>
          <w:rFonts w:ascii="Cambria" w:hAnsi="Cambria"/>
          <w:sz w:val="20"/>
          <w:szCs w:val="20"/>
          <w:lang w:val="en"/>
        </w:rPr>
        <w:t xml:space="preserve">The petitioners describe that </w:t>
      </w:r>
      <w:r>
        <w:rPr>
          <w:rFonts w:ascii="Cambria" w:hAnsi="Cambria"/>
          <w:sz w:val="20"/>
          <w:szCs w:val="20"/>
          <w:lang w:val="en"/>
        </w:rPr>
        <w:t xml:space="preserve">in 1977, the alleged victim and his family moved to </w:t>
      </w:r>
      <w:r>
        <w:rPr>
          <w:rFonts w:ascii="Cambria" w:hAnsi="Cambria"/>
          <w:sz w:val="20"/>
          <w:szCs w:val="20"/>
          <w:lang w:val="en"/>
        </w:rPr>
        <w:lastRenderedPageBreak/>
        <w:t xml:space="preserve">Sao Paulo, Brazil, </w:t>
      </w:r>
      <w:r w:rsidR="005F0D4E">
        <w:rPr>
          <w:rFonts w:ascii="Cambria" w:hAnsi="Cambria"/>
          <w:sz w:val="20"/>
          <w:szCs w:val="20"/>
          <w:lang w:val="en"/>
        </w:rPr>
        <w:t xml:space="preserve">where they were </w:t>
      </w:r>
      <w:r>
        <w:rPr>
          <w:rFonts w:ascii="Cambria" w:hAnsi="Cambria"/>
          <w:sz w:val="20"/>
          <w:szCs w:val="20"/>
          <w:lang w:val="en"/>
        </w:rPr>
        <w:t xml:space="preserve">arrested and put under house arrest by members of “death squads.” Finally, the petitioners claim that thanks to the Evangelical Church program for the politically persecuted in Argentina, on July 8, 1977, the UNHCR granted refugee status to the alleged victim and his family and resettled them in Germany on September 11, 1977. According to the petition, Mr. Ramos returned to Argentina in July 2004. </w:t>
      </w:r>
    </w:p>
    <w:p w14:paraId="09E8FEEE" w14:textId="77777777" w:rsidR="005F0D4E" w:rsidRDefault="005F0D4E" w:rsidP="00FC49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C84A9AC" w14:textId="7DC2D8C4" w:rsidR="005358E2" w:rsidRPr="00850B6E" w:rsidRDefault="005358E2" w:rsidP="00FC4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The petitioners claim that in December 2005 the alleged victim filed an application </w:t>
      </w:r>
      <w:r w:rsidR="005F0D4E">
        <w:rPr>
          <w:rFonts w:ascii="Cambria" w:hAnsi="Cambria"/>
          <w:sz w:val="20"/>
          <w:szCs w:val="20"/>
          <w:lang w:val="en"/>
        </w:rPr>
        <w:t xml:space="preserve">before </w:t>
      </w:r>
      <w:r>
        <w:rPr>
          <w:rFonts w:ascii="Cambria" w:hAnsi="Cambria"/>
          <w:sz w:val="20"/>
          <w:szCs w:val="20"/>
          <w:lang w:val="en"/>
        </w:rPr>
        <w:t>the Ministry of Justice seeking compensation under Law 24</w:t>
      </w:r>
      <w:r w:rsidR="00E7400E">
        <w:rPr>
          <w:rFonts w:ascii="Cambria" w:hAnsi="Cambria"/>
          <w:sz w:val="20"/>
          <w:szCs w:val="20"/>
          <w:lang w:val="en"/>
        </w:rPr>
        <w:t>.</w:t>
      </w:r>
      <w:r>
        <w:rPr>
          <w:rFonts w:ascii="Cambria" w:hAnsi="Cambria"/>
          <w:sz w:val="20"/>
          <w:szCs w:val="20"/>
          <w:lang w:val="en"/>
        </w:rPr>
        <w:t xml:space="preserve">043 on the grounds of his enforced exile, </w:t>
      </w:r>
      <w:r w:rsidR="005F0D4E">
        <w:rPr>
          <w:rFonts w:ascii="Cambria" w:hAnsi="Cambria"/>
          <w:sz w:val="20"/>
          <w:szCs w:val="20"/>
          <w:lang w:val="en"/>
        </w:rPr>
        <w:t xml:space="preserve">which </w:t>
      </w:r>
      <w:r>
        <w:rPr>
          <w:rFonts w:ascii="Cambria" w:hAnsi="Cambria"/>
          <w:sz w:val="20"/>
          <w:szCs w:val="20"/>
          <w:lang w:val="en"/>
        </w:rPr>
        <w:t>it was dismissed by Resolution No. 830 on April 11, 2008. They argue that in the said decision, the administrative authorities established that from July 8, 1977</w:t>
      </w:r>
      <w:r w:rsidR="00E7400E">
        <w:rPr>
          <w:rFonts w:ascii="Cambria" w:hAnsi="Cambria"/>
          <w:sz w:val="20"/>
          <w:szCs w:val="20"/>
          <w:lang w:val="en"/>
        </w:rPr>
        <w:t>,</w:t>
      </w:r>
      <w:r>
        <w:rPr>
          <w:rFonts w:ascii="Cambria" w:hAnsi="Cambria"/>
          <w:sz w:val="20"/>
          <w:szCs w:val="20"/>
          <w:lang w:val="en"/>
        </w:rPr>
        <w:t xml:space="preserve"> to November 13, 1984</w:t>
      </w:r>
      <w:r w:rsidR="00A57B18">
        <w:rPr>
          <w:rFonts w:ascii="Cambria" w:hAnsi="Cambria"/>
          <w:sz w:val="20"/>
          <w:szCs w:val="20"/>
          <w:lang w:val="en"/>
        </w:rPr>
        <w:t>,</w:t>
      </w:r>
      <w:r>
        <w:rPr>
          <w:rFonts w:ascii="Cambria" w:hAnsi="Cambria"/>
          <w:sz w:val="20"/>
          <w:szCs w:val="20"/>
          <w:lang w:val="en"/>
        </w:rPr>
        <w:t xml:space="preserve"> the alleged victim was under an international protection scheme. The petitioners explain, however, that the dismissal was based on the Treasury Attorney General’s interpretation of the scope of Law 24</w:t>
      </w:r>
      <w:r w:rsidR="00E7400E">
        <w:rPr>
          <w:rFonts w:ascii="Cambria" w:hAnsi="Cambria"/>
          <w:sz w:val="20"/>
          <w:szCs w:val="20"/>
          <w:lang w:val="en"/>
        </w:rPr>
        <w:t>.</w:t>
      </w:r>
      <w:r w:rsidR="00850B6E">
        <w:rPr>
          <w:rFonts w:ascii="Cambria" w:hAnsi="Cambria"/>
          <w:sz w:val="20"/>
          <w:szCs w:val="20"/>
          <w:lang w:val="en"/>
        </w:rPr>
        <w:t xml:space="preserve">043 in Ruling No. 146-06 which explains </w:t>
      </w:r>
      <w:r>
        <w:rPr>
          <w:rFonts w:ascii="Cambria" w:hAnsi="Cambria"/>
          <w:sz w:val="20"/>
          <w:szCs w:val="20"/>
          <w:lang w:val="en"/>
        </w:rPr>
        <w:t xml:space="preserve">that compensation for exile applies </w:t>
      </w:r>
      <w:r w:rsidR="00850B6E">
        <w:rPr>
          <w:rFonts w:ascii="Cambria" w:hAnsi="Cambria"/>
          <w:sz w:val="20"/>
          <w:szCs w:val="20"/>
          <w:lang w:val="en"/>
        </w:rPr>
        <w:t xml:space="preserve">only </w:t>
      </w:r>
      <w:r>
        <w:rPr>
          <w:rFonts w:ascii="Cambria" w:hAnsi="Cambria"/>
          <w:sz w:val="20"/>
          <w:szCs w:val="20"/>
          <w:lang w:val="en"/>
        </w:rPr>
        <w:t>when this has been preceded by a situation of deprivation of liberty</w:t>
      </w:r>
      <w:r w:rsidR="00850B6E">
        <w:rPr>
          <w:rFonts w:ascii="Cambria" w:hAnsi="Cambria"/>
          <w:sz w:val="20"/>
          <w:szCs w:val="20"/>
          <w:lang w:val="en"/>
        </w:rPr>
        <w:t>, at variance with the Argentine Supreme Court of Justice (“the Supreme Court” or “the CSJN”) interpretation</w:t>
      </w:r>
      <w:r>
        <w:rPr>
          <w:rFonts w:ascii="Cambria" w:hAnsi="Cambria"/>
          <w:sz w:val="20"/>
          <w:szCs w:val="20"/>
          <w:lang w:val="en"/>
        </w:rPr>
        <w:t>. Therefore, the petitioners contend that the Ministry of Justice and Human Rights disregarded not only the jurisprudence of the CSJN but also the numerous decisions granting compensation for exiles</w:t>
      </w:r>
      <w:r w:rsidR="0076285F">
        <w:rPr>
          <w:rFonts w:ascii="Cambria" w:hAnsi="Cambria"/>
          <w:sz w:val="20"/>
          <w:szCs w:val="20"/>
          <w:lang w:val="en"/>
        </w:rPr>
        <w:t xml:space="preserve"> in several cases</w:t>
      </w:r>
      <w:r>
        <w:rPr>
          <w:rFonts w:ascii="Cambria" w:hAnsi="Cambria"/>
          <w:sz w:val="20"/>
          <w:szCs w:val="20"/>
          <w:lang w:val="en"/>
        </w:rPr>
        <w:t xml:space="preserve">. </w:t>
      </w:r>
    </w:p>
    <w:p w14:paraId="365C701C" w14:textId="77777777" w:rsidR="00850B6E" w:rsidRDefault="00850B6E" w:rsidP="00FC49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86E0925" w14:textId="1DD3BB54" w:rsidR="005358E2" w:rsidRPr="00952263" w:rsidRDefault="005358E2" w:rsidP="00FC4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rPr>
      </w:pPr>
      <w:r>
        <w:rPr>
          <w:rFonts w:ascii="Cambria" w:hAnsi="Cambria"/>
          <w:sz w:val="20"/>
          <w:szCs w:val="20"/>
          <w:lang w:val="en"/>
        </w:rPr>
        <w:t>The petitioners allege that on May 16, 2008, the alleged victim lodged an appeal before the National Court of Appeals for Contentious</w:t>
      </w:r>
      <w:r w:rsidR="004E4EC7">
        <w:rPr>
          <w:rFonts w:ascii="Cambria" w:hAnsi="Cambria"/>
          <w:sz w:val="20"/>
          <w:szCs w:val="20"/>
          <w:lang w:val="en"/>
        </w:rPr>
        <w:t xml:space="preserve"> </w:t>
      </w:r>
      <w:r>
        <w:rPr>
          <w:rFonts w:ascii="Cambria" w:hAnsi="Cambria"/>
          <w:sz w:val="20"/>
          <w:szCs w:val="20"/>
          <w:lang w:val="en"/>
        </w:rPr>
        <w:t>Administrative Matters (</w:t>
      </w:r>
      <w:r w:rsidRPr="0007109A">
        <w:rPr>
          <w:rFonts w:ascii="Cambria" w:hAnsi="Cambria"/>
          <w:i/>
          <w:iCs/>
          <w:sz w:val="20"/>
          <w:szCs w:val="20"/>
        </w:rPr>
        <w:t>Cámara Nacional de Apelaciones en lo Contencioso Administrativo</w:t>
      </w:r>
      <w:r>
        <w:rPr>
          <w:rFonts w:ascii="Cambria" w:hAnsi="Cambria"/>
          <w:sz w:val="20"/>
          <w:szCs w:val="20"/>
          <w:lang w:val="en"/>
        </w:rPr>
        <w:t xml:space="preserve">) to challenge the illegal and arbitrary interpretation of Resolution No. 830 as a matter of law. In this regard, they note that on May 19, 2009, the </w:t>
      </w:r>
      <w:r w:rsidR="0076285F">
        <w:rPr>
          <w:rFonts w:ascii="Cambria" w:hAnsi="Cambria"/>
          <w:sz w:val="20"/>
          <w:szCs w:val="20"/>
          <w:lang w:val="en"/>
        </w:rPr>
        <w:t>Chamber</w:t>
      </w:r>
      <w:r>
        <w:rPr>
          <w:rFonts w:ascii="Cambria" w:hAnsi="Cambria"/>
          <w:sz w:val="20"/>
          <w:szCs w:val="20"/>
          <w:lang w:val="en"/>
        </w:rPr>
        <w:t xml:space="preserve"> </w:t>
      </w:r>
      <w:r w:rsidR="0076285F">
        <w:rPr>
          <w:rFonts w:ascii="Cambria" w:hAnsi="Cambria"/>
          <w:sz w:val="20"/>
          <w:szCs w:val="20"/>
          <w:lang w:val="en"/>
        </w:rPr>
        <w:t xml:space="preserve">IV </w:t>
      </w:r>
      <w:r>
        <w:rPr>
          <w:rFonts w:ascii="Cambria" w:hAnsi="Cambria"/>
          <w:sz w:val="20"/>
          <w:szCs w:val="20"/>
          <w:lang w:val="en"/>
        </w:rPr>
        <w:t xml:space="preserve">of the National Court </w:t>
      </w:r>
      <w:r w:rsidR="0076285F">
        <w:rPr>
          <w:rFonts w:ascii="Cambria" w:hAnsi="Cambria"/>
          <w:sz w:val="20"/>
          <w:szCs w:val="20"/>
          <w:lang w:val="en"/>
        </w:rPr>
        <w:t xml:space="preserve">of Appeals </w:t>
      </w:r>
      <w:r>
        <w:rPr>
          <w:rFonts w:ascii="Cambria" w:hAnsi="Cambria"/>
          <w:sz w:val="20"/>
          <w:szCs w:val="20"/>
          <w:lang w:val="en"/>
        </w:rPr>
        <w:t xml:space="preserve">upheld the </w:t>
      </w:r>
      <w:r w:rsidR="0076285F">
        <w:rPr>
          <w:rFonts w:ascii="Cambria" w:hAnsi="Cambria"/>
          <w:sz w:val="20"/>
          <w:szCs w:val="20"/>
          <w:lang w:val="en"/>
        </w:rPr>
        <w:t xml:space="preserve">ministerial decision of dismissal which, in its text, </w:t>
      </w:r>
      <w:r>
        <w:rPr>
          <w:rFonts w:ascii="Cambria" w:hAnsi="Cambria"/>
          <w:sz w:val="20"/>
          <w:szCs w:val="20"/>
          <w:lang w:val="en"/>
        </w:rPr>
        <w:t>disregarded the facts alleged and the probative value of the refugee certificate</w:t>
      </w:r>
      <w:r w:rsidR="00750ECE">
        <w:rPr>
          <w:rFonts w:ascii="Cambria" w:hAnsi="Cambria"/>
          <w:sz w:val="20"/>
          <w:szCs w:val="20"/>
          <w:lang w:val="en"/>
        </w:rPr>
        <w:t xml:space="preserve"> granted by UNHCR</w:t>
      </w:r>
      <w:r>
        <w:rPr>
          <w:rFonts w:ascii="Cambria" w:hAnsi="Cambria"/>
          <w:sz w:val="20"/>
          <w:szCs w:val="20"/>
          <w:lang w:val="en"/>
        </w:rPr>
        <w:t>. Lastly, they allege that, as a result, on June 24, 2</w:t>
      </w:r>
      <w:r w:rsidR="00750ECE">
        <w:rPr>
          <w:rFonts w:ascii="Cambria" w:hAnsi="Cambria"/>
          <w:sz w:val="20"/>
          <w:szCs w:val="20"/>
          <w:lang w:val="en"/>
        </w:rPr>
        <w:t xml:space="preserve">009, the alleged victim filed an extraordinary </w:t>
      </w:r>
      <w:r>
        <w:rPr>
          <w:rFonts w:ascii="Cambria" w:hAnsi="Cambria"/>
          <w:sz w:val="20"/>
          <w:szCs w:val="20"/>
          <w:lang w:val="en"/>
        </w:rPr>
        <w:t xml:space="preserve">federal appeal </w:t>
      </w:r>
      <w:r w:rsidR="00750ECE">
        <w:rPr>
          <w:rFonts w:ascii="Cambria" w:hAnsi="Cambria"/>
          <w:sz w:val="20"/>
          <w:szCs w:val="20"/>
          <w:lang w:val="en"/>
        </w:rPr>
        <w:t xml:space="preserve">before </w:t>
      </w:r>
      <w:r>
        <w:rPr>
          <w:rFonts w:ascii="Cambria" w:hAnsi="Cambria"/>
          <w:sz w:val="20"/>
          <w:szCs w:val="20"/>
          <w:lang w:val="en"/>
        </w:rPr>
        <w:t>the Supreme Court</w:t>
      </w:r>
      <w:r w:rsidR="00750ECE">
        <w:rPr>
          <w:rFonts w:ascii="Cambria" w:hAnsi="Cambria"/>
          <w:sz w:val="20"/>
          <w:szCs w:val="20"/>
          <w:lang w:val="en"/>
        </w:rPr>
        <w:t xml:space="preserve"> of Justice</w:t>
      </w:r>
      <w:r>
        <w:rPr>
          <w:rFonts w:ascii="Cambria" w:hAnsi="Cambria"/>
          <w:sz w:val="20"/>
          <w:szCs w:val="20"/>
          <w:lang w:val="en"/>
        </w:rPr>
        <w:t xml:space="preserve"> whereby he raised the scope of Law No. </w:t>
      </w:r>
      <w:r w:rsidR="00E7400E">
        <w:rPr>
          <w:rFonts w:ascii="Cambria" w:hAnsi="Cambria"/>
          <w:sz w:val="20"/>
          <w:szCs w:val="20"/>
          <w:lang w:val="en"/>
        </w:rPr>
        <w:t>24.043</w:t>
      </w:r>
      <w:r w:rsidR="00750ECE">
        <w:rPr>
          <w:rFonts w:ascii="Cambria" w:hAnsi="Cambria"/>
          <w:sz w:val="20"/>
          <w:szCs w:val="20"/>
          <w:lang w:val="en"/>
        </w:rPr>
        <w:t xml:space="preserve">, as well as </w:t>
      </w:r>
      <w:r w:rsidR="00EC3E74">
        <w:rPr>
          <w:rFonts w:ascii="Cambria" w:hAnsi="Cambria"/>
          <w:sz w:val="20"/>
          <w:szCs w:val="20"/>
          <w:lang w:val="en"/>
        </w:rPr>
        <w:t>claimed</w:t>
      </w:r>
      <w:r>
        <w:rPr>
          <w:rFonts w:ascii="Cambria" w:hAnsi="Cambria"/>
          <w:sz w:val="20"/>
          <w:szCs w:val="20"/>
          <w:lang w:val="en"/>
        </w:rPr>
        <w:t xml:space="preserve"> </w:t>
      </w:r>
      <w:r w:rsidR="00750ECE">
        <w:rPr>
          <w:rFonts w:ascii="Cambria" w:hAnsi="Cambria"/>
          <w:sz w:val="20"/>
          <w:szCs w:val="20"/>
          <w:lang w:val="en"/>
        </w:rPr>
        <w:t xml:space="preserve">various arbitrariness on the part of the </w:t>
      </w:r>
      <w:r>
        <w:rPr>
          <w:rFonts w:ascii="Cambria" w:hAnsi="Cambria"/>
          <w:sz w:val="20"/>
          <w:szCs w:val="20"/>
          <w:lang w:val="en"/>
        </w:rPr>
        <w:t xml:space="preserve">administrative officials </w:t>
      </w:r>
      <w:r w:rsidR="00750ECE">
        <w:rPr>
          <w:rFonts w:ascii="Cambria" w:hAnsi="Cambria"/>
          <w:sz w:val="20"/>
          <w:szCs w:val="20"/>
          <w:lang w:val="en"/>
        </w:rPr>
        <w:t xml:space="preserve">and </w:t>
      </w:r>
      <w:r>
        <w:rPr>
          <w:rFonts w:ascii="Cambria" w:hAnsi="Cambria"/>
          <w:sz w:val="20"/>
          <w:szCs w:val="20"/>
          <w:lang w:val="en"/>
        </w:rPr>
        <w:t>the violation of the principle of equal</w:t>
      </w:r>
      <w:r w:rsidR="007818A6">
        <w:rPr>
          <w:rFonts w:ascii="Cambria" w:hAnsi="Cambria"/>
          <w:sz w:val="20"/>
          <w:szCs w:val="20"/>
          <w:lang w:val="en"/>
        </w:rPr>
        <w:t xml:space="preserve"> protection of the law</w:t>
      </w:r>
      <w:r w:rsidR="008C6C7F">
        <w:rPr>
          <w:rFonts w:ascii="Cambria" w:hAnsi="Cambria"/>
          <w:sz w:val="20"/>
          <w:szCs w:val="20"/>
          <w:lang w:val="en"/>
        </w:rPr>
        <w:t xml:space="preserve">, and the right </w:t>
      </w:r>
      <w:r w:rsidR="00750ECE">
        <w:rPr>
          <w:rFonts w:ascii="Cambria" w:hAnsi="Cambria"/>
          <w:sz w:val="20"/>
          <w:szCs w:val="20"/>
          <w:lang w:val="en"/>
        </w:rPr>
        <w:t>to defense</w:t>
      </w:r>
      <w:r>
        <w:rPr>
          <w:rFonts w:ascii="Cambria" w:hAnsi="Cambria"/>
          <w:sz w:val="20"/>
          <w:szCs w:val="20"/>
          <w:lang w:val="en"/>
        </w:rPr>
        <w:t xml:space="preserve">. While on October 8, 2009, the Supreme Court granted the </w:t>
      </w:r>
      <w:r w:rsidR="00F50246">
        <w:rPr>
          <w:rFonts w:ascii="Cambria" w:hAnsi="Cambria"/>
          <w:sz w:val="20"/>
          <w:szCs w:val="20"/>
          <w:lang w:val="en"/>
        </w:rPr>
        <w:t xml:space="preserve">extraordinary </w:t>
      </w:r>
      <w:r>
        <w:rPr>
          <w:rFonts w:ascii="Cambria" w:hAnsi="Cambria"/>
          <w:sz w:val="20"/>
          <w:szCs w:val="20"/>
          <w:lang w:val="en"/>
        </w:rPr>
        <w:t>appeal, on March 23, 2010</w:t>
      </w:r>
      <w:r w:rsidR="00A57B18">
        <w:rPr>
          <w:rFonts w:ascii="Cambria" w:hAnsi="Cambria"/>
          <w:sz w:val="20"/>
          <w:szCs w:val="20"/>
          <w:lang w:val="en"/>
        </w:rPr>
        <w:t>,</w:t>
      </w:r>
      <w:r>
        <w:rPr>
          <w:rFonts w:ascii="Cambria" w:hAnsi="Cambria"/>
          <w:sz w:val="20"/>
          <w:szCs w:val="20"/>
          <w:lang w:val="en"/>
        </w:rPr>
        <w:t xml:space="preserve"> the same court declared that the remedy had been granted wrongly, for it did not meet the requirement on the number of lines per page under article 1 of </w:t>
      </w:r>
      <w:r w:rsidR="00E84DCF">
        <w:rPr>
          <w:rFonts w:ascii="Cambria" w:hAnsi="Cambria"/>
          <w:sz w:val="20"/>
          <w:szCs w:val="20"/>
          <w:lang w:val="en"/>
        </w:rPr>
        <w:t>R</w:t>
      </w:r>
      <w:r>
        <w:rPr>
          <w:rFonts w:ascii="Cambria" w:hAnsi="Cambria"/>
          <w:sz w:val="20"/>
          <w:szCs w:val="20"/>
          <w:lang w:val="en"/>
        </w:rPr>
        <w:t>ule</w:t>
      </w:r>
      <w:r w:rsidR="00E84DCF">
        <w:rPr>
          <w:rFonts w:ascii="Cambria" w:hAnsi="Cambria"/>
          <w:sz w:val="20"/>
          <w:szCs w:val="20"/>
          <w:lang w:val="en"/>
        </w:rPr>
        <w:t xml:space="preserve"> No. </w:t>
      </w:r>
      <w:r>
        <w:rPr>
          <w:rFonts w:ascii="Cambria" w:hAnsi="Cambria"/>
          <w:sz w:val="20"/>
          <w:szCs w:val="20"/>
          <w:lang w:val="en"/>
        </w:rPr>
        <w:t>4/2007. The petitioners were notified on April 7, 2010. The</w:t>
      </w:r>
      <w:r w:rsidR="00EC3E74">
        <w:rPr>
          <w:rFonts w:ascii="Cambria" w:hAnsi="Cambria"/>
          <w:sz w:val="20"/>
          <w:szCs w:val="20"/>
          <w:lang w:val="en"/>
        </w:rPr>
        <w:t>y</w:t>
      </w:r>
      <w:r>
        <w:rPr>
          <w:rFonts w:ascii="Cambria" w:hAnsi="Cambria"/>
          <w:sz w:val="20"/>
          <w:szCs w:val="20"/>
          <w:lang w:val="en"/>
        </w:rPr>
        <w:t xml:space="preserve"> indicate that </w:t>
      </w:r>
      <w:r w:rsidR="00F50246">
        <w:rPr>
          <w:rFonts w:ascii="Cambria" w:hAnsi="Cambria"/>
          <w:sz w:val="20"/>
          <w:szCs w:val="20"/>
          <w:lang w:val="en"/>
        </w:rPr>
        <w:t xml:space="preserve">at the time the complaint was </w:t>
      </w:r>
      <w:r w:rsidR="00F50246" w:rsidRPr="00952263">
        <w:rPr>
          <w:rFonts w:ascii="Cambria" w:hAnsi="Cambria"/>
          <w:sz w:val="20"/>
          <w:szCs w:val="20"/>
          <w:lang w:val="en"/>
        </w:rPr>
        <w:t xml:space="preserve">filed </w:t>
      </w:r>
      <w:r w:rsidR="00952263" w:rsidRPr="00952263">
        <w:rPr>
          <w:rFonts w:ascii="Cambria" w:hAnsi="Cambria"/>
          <w:sz w:val="20"/>
          <w:szCs w:val="20"/>
          <w:lang w:val="en"/>
        </w:rPr>
        <w:t>–and</w:t>
      </w:r>
      <w:r w:rsidRPr="00952263">
        <w:rPr>
          <w:rFonts w:ascii="Cambria" w:hAnsi="Cambria"/>
          <w:sz w:val="20"/>
          <w:szCs w:val="20"/>
          <w:lang w:val="en"/>
        </w:rPr>
        <w:t xml:space="preserve"> before the CSJN</w:t>
      </w:r>
      <w:r w:rsidR="00EC3E74" w:rsidRPr="00952263">
        <w:rPr>
          <w:rFonts w:ascii="Cambria" w:hAnsi="Cambria"/>
          <w:sz w:val="20"/>
          <w:szCs w:val="20"/>
          <w:lang w:val="en"/>
        </w:rPr>
        <w:t xml:space="preserve"> </w:t>
      </w:r>
      <w:r w:rsidRPr="00952263">
        <w:rPr>
          <w:rFonts w:ascii="Cambria" w:hAnsi="Cambria"/>
          <w:sz w:val="20"/>
          <w:szCs w:val="20"/>
          <w:lang w:val="en"/>
        </w:rPr>
        <w:t xml:space="preserve">ruled on the matter—, </w:t>
      </w:r>
      <w:r w:rsidR="00E85F90" w:rsidRPr="00952263">
        <w:rPr>
          <w:rFonts w:ascii="Cambria" w:hAnsi="Cambria"/>
          <w:sz w:val="20"/>
          <w:szCs w:val="20"/>
          <w:lang w:val="en"/>
        </w:rPr>
        <w:t>he</w:t>
      </w:r>
      <w:r w:rsidR="00F50246" w:rsidRPr="00952263">
        <w:rPr>
          <w:rFonts w:ascii="Cambria" w:hAnsi="Cambria"/>
          <w:sz w:val="20"/>
          <w:szCs w:val="20"/>
          <w:lang w:val="en"/>
        </w:rPr>
        <w:t xml:space="preserve"> presented the same brief of filing the extraordinary federal appeal with the </w:t>
      </w:r>
      <w:r w:rsidRPr="00952263">
        <w:rPr>
          <w:rFonts w:ascii="Cambria" w:hAnsi="Cambria"/>
          <w:sz w:val="20"/>
          <w:szCs w:val="20"/>
          <w:lang w:val="en"/>
        </w:rPr>
        <w:t xml:space="preserve">layout of 26 lines per page, without </w:t>
      </w:r>
      <w:r w:rsidR="00F50246" w:rsidRPr="00952263">
        <w:rPr>
          <w:rFonts w:ascii="Cambria" w:hAnsi="Cambria"/>
          <w:sz w:val="20"/>
          <w:szCs w:val="20"/>
          <w:lang w:val="en"/>
        </w:rPr>
        <w:t xml:space="preserve">modifying </w:t>
      </w:r>
      <w:r w:rsidRPr="00952263">
        <w:rPr>
          <w:rFonts w:ascii="Cambria" w:hAnsi="Cambria"/>
          <w:sz w:val="20"/>
          <w:szCs w:val="20"/>
          <w:lang w:val="en"/>
        </w:rPr>
        <w:t xml:space="preserve">its content or exceeding the length established </w:t>
      </w:r>
      <w:r w:rsidR="00952263" w:rsidRPr="00952263">
        <w:rPr>
          <w:rFonts w:ascii="Cambria" w:hAnsi="Cambria"/>
          <w:sz w:val="20"/>
          <w:szCs w:val="20"/>
          <w:lang w:val="en"/>
        </w:rPr>
        <w:t>for the treatment of said judicial appeals</w:t>
      </w:r>
      <w:r w:rsidRPr="00952263">
        <w:rPr>
          <w:rFonts w:ascii="Cambria" w:hAnsi="Cambria"/>
          <w:sz w:val="20"/>
          <w:szCs w:val="20"/>
          <w:lang w:val="en"/>
        </w:rPr>
        <w:t xml:space="preserve">. However, the court </w:t>
      </w:r>
      <w:r w:rsidR="00F50246" w:rsidRPr="00952263">
        <w:rPr>
          <w:rFonts w:ascii="Cambria" w:hAnsi="Cambria"/>
          <w:sz w:val="20"/>
          <w:szCs w:val="20"/>
          <w:lang w:val="en"/>
        </w:rPr>
        <w:t>ordered its return</w:t>
      </w:r>
      <w:r w:rsidRPr="00952263">
        <w:rPr>
          <w:rFonts w:ascii="Cambria" w:hAnsi="Cambria"/>
          <w:sz w:val="20"/>
          <w:szCs w:val="20"/>
          <w:lang w:val="en"/>
        </w:rPr>
        <w:t xml:space="preserve">, </w:t>
      </w:r>
      <w:r w:rsidR="00E97D29">
        <w:rPr>
          <w:rFonts w:ascii="Cambria" w:hAnsi="Cambria"/>
          <w:sz w:val="20"/>
          <w:szCs w:val="20"/>
          <w:lang w:val="en"/>
        </w:rPr>
        <w:t>preventing its correction</w:t>
      </w:r>
      <w:r w:rsidRPr="00952263">
        <w:rPr>
          <w:rFonts w:ascii="Cambria" w:hAnsi="Cambria"/>
          <w:sz w:val="20"/>
          <w:szCs w:val="20"/>
          <w:lang w:val="en"/>
        </w:rPr>
        <w:t xml:space="preserve">. </w:t>
      </w:r>
    </w:p>
    <w:p w14:paraId="3C640198" w14:textId="77777777" w:rsidR="00F50246" w:rsidRDefault="00F50246" w:rsidP="00FC49A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4061AC3B" w14:textId="3B1BA5D9" w:rsidR="005358E2" w:rsidRPr="00D401C8" w:rsidRDefault="005358E2" w:rsidP="00FC4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In the processing of this petition, Mr. Ramos Marrau informed </w:t>
      </w:r>
      <w:r w:rsidR="00206FD6">
        <w:rPr>
          <w:rFonts w:ascii="Cambria" w:hAnsi="Cambria"/>
          <w:sz w:val="20"/>
          <w:szCs w:val="20"/>
          <w:lang w:val="en"/>
        </w:rPr>
        <w:t xml:space="preserve">the IACHR </w:t>
      </w:r>
      <w:r>
        <w:rPr>
          <w:rFonts w:ascii="Cambria" w:hAnsi="Cambria"/>
          <w:sz w:val="20"/>
          <w:szCs w:val="20"/>
          <w:lang w:val="en"/>
        </w:rPr>
        <w:t xml:space="preserve">of Resolution No. 324 of March 6, 2015, issued by the Ministry of Justice and Human Rights on the granting of compensation under Law </w:t>
      </w:r>
      <w:r w:rsidR="00E7400E">
        <w:rPr>
          <w:rFonts w:ascii="Cambria" w:hAnsi="Cambria"/>
          <w:sz w:val="20"/>
          <w:szCs w:val="20"/>
          <w:lang w:val="en"/>
        </w:rPr>
        <w:t>24.043</w:t>
      </w:r>
      <w:r w:rsidR="00E97D29">
        <w:rPr>
          <w:rFonts w:ascii="Cambria" w:hAnsi="Cambria"/>
          <w:sz w:val="20"/>
          <w:szCs w:val="20"/>
          <w:lang w:val="en"/>
        </w:rPr>
        <w:t xml:space="preserve"> and its amendments</w:t>
      </w:r>
      <w:r>
        <w:rPr>
          <w:rFonts w:ascii="Cambria" w:hAnsi="Cambria"/>
          <w:sz w:val="20"/>
          <w:szCs w:val="20"/>
          <w:lang w:val="en"/>
        </w:rPr>
        <w:t>, by virtue of the application of Law 26</w:t>
      </w:r>
      <w:r w:rsidR="00206FD6">
        <w:rPr>
          <w:rFonts w:ascii="Cambria" w:hAnsi="Cambria"/>
          <w:sz w:val="20"/>
          <w:szCs w:val="20"/>
        </w:rPr>
        <w:t>.</w:t>
      </w:r>
      <w:r w:rsidRPr="00206FD6">
        <w:rPr>
          <w:rFonts w:ascii="Cambria" w:hAnsi="Cambria"/>
          <w:sz w:val="20"/>
          <w:szCs w:val="20"/>
          <w:lang w:val="en"/>
        </w:rPr>
        <w:t>564</w:t>
      </w:r>
      <w:r w:rsidR="00D07CE1">
        <w:rPr>
          <w:rFonts w:ascii="Cambria" w:hAnsi="Cambria"/>
          <w:sz w:val="20"/>
          <w:szCs w:val="20"/>
          <w:lang w:val="en"/>
        </w:rPr>
        <w:t xml:space="preserve"> and Law 26.913</w:t>
      </w:r>
      <w:r w:rsidRPr="00206FD6">
        <w:rPr>
          <w:rFonts w:ascii="Cambria" w:hAnsi="Cambria"/>
          <w:sz w:val="20"/>
          <w:szCs w:val="20"/>
          <w:lang w:val="en"/>
        </w:rPr>
        <w:t xml:space="preserve">, following his </w:t>
      </w:r>
      <w:r w:rsidR="00206FD6">
        <w:rPr>
          <w:rFonts w:ascii="Cambria" w:hAnsi="Cambria"/>
          <w:sz w:val="20"/>
          <w:szCs w:val="20"/>
          <w:lang w:val="en"/>
        </w:rPr>
        <w:t xml:space="preserve">request </w:t>
      </w:r>
      <w:r w:rsidRPr="00FC49A6">
        <w:rPr>
          <w:rFonts w:ascii="Cambria" w:hAnsi="Cambria"/>
          <w:sz w:val="20"/>
          <w:szCs w:val="20"/>
          <w:lang w:val="en"/>
        </w:rPr>
        <w:t xml:space="preserve">for compensation for </w:t>
      </w:r>
      <w:r w:rsidR="00D401C8" w:rsidRPr="00FC49A6">
        <w:rPr>
          <w:rFonts w:ascii="Cambria" w:hAnsi="Cambria"/>
          <w:sz w:val="20"/>
          <w:szCs w:val="20"/>
          <w:lang w:val="en"/>
        </w:rPr>
        <w:t xml:space="preserve">his detention in the periods between August 22, 1972 and </w:t>
      </w:r>
      <w:r w:rsidRPr="00FC49A6">
        <w:rPr>
          <w:rFonts w:ascii="Cambria" w:hAnsi="Cambria"/>
          <w:sz w:val="20"/>
          <w:szCs w:val="20"/>
          <w:lang w:val="en"/>
        </w:rPr>
        <w:t xml:space="preserve">March 17, 1973, </w:t>
      </w:r>
      <w:r w:rsidR="00D401C8" w:rsidRPr="00FC49A6">
        <w:rPr>
          <w:rFonts w:ascii="Cambria" w:hAnsi="Cambria"/>
          <w:sz w:val="20"/>
          <w:szCs w:val="20"/>
          <w:lang w:val="en"/>
        </w:rPr>
        <w:t xml:space="preserve">and between </w:t>
      </w:r>
      <w:r w:rsidRPr="00FC49A6">
        <w:rPr>
          <w:rFonts w:ascii="Cambria" w:hAnsi="Cambria"/>
          <w:sz w:val="20"/>
          <w:szCs w:val="20"/>
          <w:lang w:val="en"/>
        </w:rPr>
        <w:t>July 11-13, and in October 1977</w:t>
      </w:r>
      <w:r w:rsidR="00D401C8" w:rsidRPr="00FC49A6">
        <w:rPr>
          <w:rFonts w:ascii="Cambria" w:hAnsi="Cambria"/>
          <w:sz w:val="20"/>
          <w:szCs w:val="20"/>
          <w:lang w:val="en"/>
        </w:rPr>
        <w:t xml:space="preserve">. </w:t>
      </w:r>
      <w:r w:rsidR="00D401C8">
        <w:rPr>
          <w:rFonts w:ascii="Cambria" w:hAnsi="Cambria"/>
          <w:sz w:val="20"/>
          <w:szCs w:val="20"/>
          <w:lang w:val="en"/>
        </w:rPr>
        <w:t>Therefore, the petitioners</w:t>
      </w:r>
      <w:r w:rsidRPr="00206FD6">
        <w:rPr>
          <w:rFonts w:ascii="Cambria" w:hAnsi="Cambria"/>
          <w:sz w:val="20"/>
          <w:szCs w:val="20"/>
          <w:lang w:val="en"/>
        </w:rPr>
        <w:t xml:space="preserve"> affirm that the State declared his persecution proved and granted compensation for one day of detention, postponing “the analysis of the other periods until relevant proof is submitted.” </w:t>
      </w:r>
    </w:p>
    <w:p w14:paraId="49DE5394" w14:textId="77777777" w:rsidR="00D401C8" w:rsidRPr="00206FD6" w:rsidRDefault="00D401C8" w:rsidP="00FC49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E191A76" w14:textId="4B9B93B3" w:rsidR="005358E2" w:rsidRDefault="005358E2" w:rsidP="00FC49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The State expresses its concern over the untimely notification of the petition, as the petition was notified almost six years after the initial filing. </w:t>
      </w:r>
      <w:r w:rsidR="00C014CD">
        <w:rPr>
          <w:rFonts w:ascii="Cambria" w:hAnsi="Cambria"/>
          <w:sz w:val="20"/>
          <w:szCs w:val="20"/>
          <w:lang w:val="en"/>
        </w:rPr>
        <w:t>It</w:t>
      </w:r>
      <w:r>
        <w:rPr>
          <w:rFonts w:ascii="Cambria" w:hAnsi="Cambria"/>
          <w:sz w:val="20"/>
          <w:szCs w:val="20"/>
          <w:lang w:val="en"/>
        </w:rPr>
        <w:t xml:space="preserve"> also alleges </w:t>
      </w:r>
      <w:r w:rsidR="00D401C8">
        <w:rPr>
          <w:rFonts w:ascii="Cambria" w:hAnsi="Cambria"/>
          <w:sz w:val="20"/>
          <w:szCs w:val="20"/>
          <w:lang w:val="en"/>
        </w:rPr>
        <w:t>that the domestic remedies were unduly exhausted</w:t>
      </w:r>
      <w:r w:rsidR="00706088">
        <w:rPr>
          <w:rFonts w:ascii="Cambria" w:hAnsi="Cambria"/>
          <w:sz w:val="20"/>
          <w:szCs w:val="20"/>
          <w:lang w:val="en"/>
        </w:rPr>
        <w:t xml:space="preserve">, given that </w:t>
      </w:r>
      <w:r>
        <w:rPr>
          <w:rFonts w:ascii="Cambria" w:hAnsi="Cambria"/>
          <w:sz w:val="20"/>
          <w:szCs w:val="20"/>
          <w:lang w:val="en"/>
        </w:rPr>
        <w:t xml:space="preserve">the </w:t>
      </w:r>
      <w:r w:rsidR="00D401C8">
        <w:rPr>
          <w:rFonts w:ascii="Cambria" w:hAnsi="Cambria"/>
          <w:sz w:val="20"/>
          <w:szCs w:val="20"/>
          <w:lang w:val="en"/>
        </w:rPr>
        <w:t xml:space="preserve">extraordinary federal </w:t>
      </w:r>
      <w:r>
        <w:rPr>
          <w:rFonts w:ascii="Cambria" w:hAnsi="Cambria"/>
          <w:sz w:val="20"/>
          <w:szCs w:val="20"/>
          <w:lang w:val="en"/>
        </w:rPr>
        <w:t xml:space="preserve">appeal lodged </w:t>
      </w:r>
      <w:r w:rsidR="00D401C8">
        <w:rPr>
          <w:rFonts w:ascii="Cambria" w:hAnsi="Cambria"/>
          <w:sz w:val="20"/>
          <w:szCs w:val="20"/>
          <w:lang w:val="en"/>
        </w:rPr>
        <w:t>before</w:t>
      </w:r>
      <w:r>
        <w:rPr>
          <w:rFonts w:ascii="Cambria" w:hAnsi="Cambria"/>
          <w:sz w:val="20"/>
          <w:szCs w:val="20"/>
          <w:lang w:val="en"/>
        </w:rPr>
        <w:t xml:space="preserve"> the Supreme Court of Justice, </w:t>
      </w:r>
      <w:r w:rsidR="00A46EAD">
        <w:rPr>
          <w:rFonts w:ascii="Cambria" w:hAnsi="Cambria"/>
          <w:sz w:val="20"/>
          <w:szCs w:val="20"/>
          <w:lang w:val="en"/>
        </w:rPr>
        <w:t xml:space="preserve">despite </w:t>
      </w:r>
      <w:r w:rsidR="00D401C8">
        <w:rPr>
          <w:rFonts w:ascii="Cambria" w:hAnsi="Cambria"/>
          <w:sz w:val="20"/>
          <w:szCs w:val="20"/>
          <w:lang w:val="en"/>
        </w:rPr>
        <w:t xml:space="preserve">it </w:t>
      </w:r>
      <w:r w:rsidR="00A46EAD">
        <w:rPr>
          <w:rFonts w:ascii="Cambria" w:hAnsi="Cambria"/>
          <w:sz w:val="20"/>
          <w:szCs w:val="20"/>
          <w:lang w:val="en"/>
        </w:rPr>
        <w:t xml:space="preserve">being </w:t>
      </w:r>
      <w:r>
        <w:rPr>
          <w:rFonts w:ascii="Cambria" w:hAnsi="Cambria"/>
          <w:sz w:val="20"/>
          <w:szCs w:val="20"/>
          <w:lang w:val="en"/>
        </w:rPr>
        <w:t xml:space="preserve">appropriate and effective </w:t>
      </w:r>
      <w:r w:rsidR="00706088">
        <w:rPr>
          <w:rFonts w:ascii="Cambria" w:hAnsi="Cambria"/>
          <w:sz w:val="20"/>
          <w:szCs w:val="20"/>
          <w:lang w:val="en"/>
        </w:rPr>
        <w:t xml:space="preserve">resource </w:t>
      </w:r>
      <w:r>
        <w:rPr>
          <w:rFonts w:ascii="Cambria" w:hAnsi="Cambria"/>
          <w:sz w:val="20"/>
          <w:szCs w:val="20"/>
          <w:lang w:val="en"/>
        </w:rPr>
        <w:t xml:space="preserve">to </w:t>
      </w:r>
      <w:r w:rsidR="00706088">
        <w:rPr>
          <w:rFonts w:ascii="Cambria" w:hAnsi="Cambria"/>
          <w:sz w:val="20"/>
          <w:szCs w:val="20"/>
          <w:lang w:val="en"/>
        </w:rPr>
        <w:t xml:space="preserve">remedy </w:t>
      </w:r>
      <w:r>
        <w:rPr>
          <w:rFonts w:ascii="Cambria" w:hAnsi="Cambria"/>
          <w:sz w:val="20"/>
          <w:szCs w:val="20"/>
          <w:lang w:val="en"/>
        </w:rPr>
        <w:t xml:space="preserve">the alleged violation, was dismissed on account of formal defects exclusively attributable to Mr. Ramos Marrau. </w:t>
      </w:r>
      <w:r w:rsidR="008312A6">
        <w:rPr>
          <w:rFonts w:ascii="Cambria" w:hAnsi="Cambria"/>
          <w:sz w:val="20"/>
          <w:szCs w:val="20"/>
          <w:lang w:val="en"/>
        </w:rPr>
        <w:t>The State</w:t>
      </w:r>
      <w:r>
        <w:rPr>
          <w:rFonts w:ascii="Cambria" w:hAnsi="Cambria"/>
          <w:sz w:val="20"/>
          <w:szCs w:val="20"/>
          <w:lang w:val="en"/>
        </w:rPr>
        <w:t xml:space="preserve"> further </w:t>
      </w:r>
      <w:r w:rsidR="00706088">
        <w:rPr>
          <w:rFonts w:ascii="Cambria" w:hAnsi="Cambria"/>
          <w:sz w:val="20"/>
          <w:szCs w:val="20"/>
          <w:lang w:val="en"/>
        </w:rPr>
        <w:t xml:space="preserve">claims that the alleged victim had at his disposal </w:t>
      </w:r>
      <w:r>
        <w:rPr>
          <w:rFonts w:ascii="Cambria" w:hAnsi="Cambria"/>
          <w:sz w:val="20"/>
          <w:szCs w:val="20"/>
          <w:lang w:val="en"/>
        </w:rPr>
        <w:t xml:space="preserve">the ordinary system of </w:t>
      </w:r>
      <w:r w:rsidR="00D70B5D">
        <w:rPr>
          <w:rFonts w:ascii="Cambria" w:hAnsi="Cambria"/>
          <w:sz w:val="20"/>
          <w:szCs w:val="20"/>
          <w:lang w:val="en"/>
        </w:rPr>
        <w:t>court-ordered</w:t>
      </w:r>
      <w:r w:rsidR="00D27380">
        <w:rPr>
          <w:rFonts w:ascii="Cambria" w:hAnsi="Cambria"/>
          <w:sz w:val="20"/>
          <w:szCs w:val="20"/>
          <w:lang w:val="en"/>
        </w:rPr>
        <w:t xml:space="preserve"> </w:t>
      </w:r>
      <w:r w:rsidR="00547160">
        <w:rPr>
          <w:rFonts w:ascii="Cambria" w:hAnsi="Cambria"/>
          <w:sz w:val="20"/>
          <w:szCs w:val="20"/>
          <w:lang w:val="en"/>
        </w:rPr>
        <w:t>reparation</w:t>
      </w:r>
      <w:r w:rsidR="00D70B5D">
        <w:rPr>
          <w:rFonts w:ascii="Cambria" w:hAnsi="Cambria"/>
          <w:sz w:val="20"/>
          <w:szCs w:val="20"/>
          <w:lang w:val="en"/>
        </w:rPr>
        <w:t>s</w:t>
      </w:r>
      <w:r w:rsidR="00CD2A88">
        <w:rPr>
          <w:rFonts w:ascii="Cambria" w:hAnsi="Cambria"/>
          <w:sz w:val="20"/>
          <w:szCs w:val="20"/>
          <w:lang w:val="en"/>
        </w:rPr>
        <w:t xml:space="preserve"> </w:t>
      </w:r>
      <w:r w:rsidR="00706088">
        <w:rPr>
          <w:rFonts w:ascii="Cambria" w:hAnsi="Cambria"/>
          <w:sz w:val="20"/>
          <w:szCs w:val="20"/>
          <w:lang w:val="en"/>
        </w:rPr>
        <w:t xml:space="preserve">through an action </w:t>
      </w:r>
      <w:r w:rsidR="00CD2A88">
        <w:rPr>
          <w:rFonts w:ascii="Cambria" w:hAnsi="Cambria"/>
          <w:sz w:val="20"/>
          <w:szCs w:val="20"/>
          <w:lang w:val="en"/>
        </w:rPr>
        <w:t xml:space="preserve">for damages </w:t>
      </w:r>
      <w:r>
        <w:rPr>
          <w:rFonts w:ascii="Cambria" w:hAnsi="Cambria"/>
          <w:sz w:val="20"/>
          <w:szCs w:val="20"/>
          <w:lang w:val="en"/>
        </w:rPr>
        <w:t xml:space="preserve">against the State. It </w:t>
      </w:r>
      <w:r w:rsidR="00C37EFF">
        <w:rPr>
          <w:rFonts w:ascii="Cambria" w:hAnsi="Cambria"/>
          <w:sz w:val="20"/>
          <w:szCs w:val="20"/>
          <w:lang w:val="en"/>
        </w:rPr>
        <w:t>insists</w:t>
      </w:r>
      <w:r>
        <w:rPr>
          <w:rFonts w:ascii="Cambria" w:hAnsi="Cambria"/>
          <w:sz w:val="20"/>
          <w:szCs w:val="20"/>
          <w:lang w:val="en"/>
        </w:rPr>
        <w:t xml:space="preserve"> that the alleged victim </w:t>
      </w:r>
      <w:r w:rsidR="00D27380">
        <w:rPr>
          <w:rFonts w:ascii="Cambria" w:hAnsi="Cambria"/>
          <w:sz w:val="20"/>
          <w:szCs w:val="20"/>
          <w:lang w:val="en"/>
        </w:rPr>
        <w:t>has</w:t>
      </w:r>
      <w:r>
        <w:rPr>
          <w:rFonts w:ascii="Cambria" w:hAnsi="Cambria"/>
          <w:sz w:val="20"/>
          <w:szCs w:val="20"/>
          <w:lang w:val="en"/>
        </w:rPr>
        <w:t xml:space="preserve"> not raise</w:t>
      </w:r>
      <w:r w:rsidR="00D27380">
        <w:rPr>
          <w:rFonts w:ascii="Cambria" w:hAnsi="Cambria"/>
          <w:sz w:val="20"/>
          <w:szCs w:val="20"/>
          <w:lang w:val="en"/>
        </w:rPr>
        <w:t>d</w:t>
      </w:r>
      <w:r>
        <w:rPr>
          <w:rFonts w:ascii="Cambria" w:hAnsi="Cambria"/>
          <w:sz w:val="20"/>
          <w:szCs w:val="20"/>
          <w:lang w:val="en"/>
        </w:rPr>
        <w:t xml:space="preserve"> any situation that constitutes a violation of a human right protected in the Convention, and that it is evident that he seeks that the Commission work as a fourth instance of jurisdiction. </w:t>
      </w:r>
    </w:p>
    <w:p w14:paraId="24192890" w14:textId="77777777" w:rsidR="005358E2" w:rsidRPr="00ED2B6D" w:rsidRDefault="005358E2" w:rsidP="00FC49A6">
      <w:pPr>
        <w:suppressAutoHyphens/>
        <w:ind w:left="720"/>
        <w:jc w:val="both"/>
        <w:rPr>
          <w:rFonts w:ascii="Cambria" w:hAnsi="Cambria"/>
          <w:sz w:val="20"/>
          <w:szCs w:val="20"/>
        </w:rPr>
      </w:pPr>
    </w:p>
    <w:p w14:paraId="24A8B3F7" w14:textId="77777777" w:rsidR="009473E2" w:rsidRDefault="009473E2">
      <w:pPr>
        <w:rPr>
          <w:rFonts w:ascii="Cambria" w:eastAsia="Cambria" w:hAnsi="Cambria" w:cs="Cambria"/>
          <w:b/>
          <w:bCs/>
          <w:color w:val="000000"/>
          <w:sz w:val="20"/>
          <w:szCs w:val="20"/>
          <w:u w:color="000000"/>
          <w:lang w:val="en" w:eastAsia="es-ES"/>
        </w:rPr>
      </w:pPr>
      <w:r>
        <w:rPr>
          <w:b/>
          <w:bCs/>
          <w:sz w:val="20"/>
          <w:szCs w:val="20"/>
          <w:lang w:val="en"/>
        </w:rPr>
        <w:br w:type="page"/>
      </w:r>
    </w:p>
    <w:p w14:paraId="7435F45A" w14:textId="31DDCA5A" w:rsidR="005358E2" w:rsidRPr="008E3CF3" w:rsidRDefault="005358E2" w:rsidP="00FC49A6">
      <w:pPr>
        <w:pStyle w:val="ListParagraph"/>
        <w:numPr>
          <w:ilvl w:val="0"/>
          <w:numId w:val="108"/>
        </w:numPr>
        <w:ind w:left="0" w:firstLine="720"/>
        <w:jc w:val="both"/>
        <w:rPr>
          <w:b/>
          <w:bCs/>
          <w:sz w:val="20"/>
          <w:szCs w:val="20"/>
        </w:rPr>
      </w:pPr>
      <w:r w:rsidRPr="008E3CF3">
        <w:rPr>
          <w:b/>
          <w:bCs/>
          <w:sz w:val="20"/>
          <w:szCs w:val="20"/>
          <w:lang w:val="en"/>
        </w:rPr>
        <w:lastRenderedPageBreak/>
        <w:t>EXHAUSTION OF DOMESTIC REMEDIES AND TIMELINESS OF THE PETITION</w:t>
      </w:r>
    </w:p>
    <w:p w14:paraId="54EC0AF1" w14:textId="77777777" w:rsidR="005358E2" w:rsidRPr="008E3CF3" w:rsidRDefault="005358E2" w:rsidP="008E3CF3">
      <w:pPr>
        <w:pStyle w:val="ListParagraph"/>
        <w:ind w:left="0" w:firstLine="720"/>
        <w:jc w:val="both"/>
        <w:rPr>
          <w:b/>
          <w:bCs/>
          <w:sz w:val="20"/>
          <w:szCs w:val="20"/>
        </w:rPr>
      </w:pPr>
    </w:p>
    <w:p w14:paraId="7E6CAF44" w14:textId="197E4F0E" w:rsidR="005358E2" w:rsidRPr="008E3CF3" w:rsidRDefault="00C454A5" w:rsidP="008E3C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E3CF3">
        <w:rPr>
          <w:rFonts w:ascii="Cambria" w:hAnsi="Cambria"/>
          <w:sz w:val="20"/>
          <w:szCs w:val="20"/>
          <w:lang w:val="en"/>
        </w:rPr>
        <w:t xml:space="preserve">The State contends that </w:t>
      </w:r>
      <w:r w:rsidR="005358E2" w:rsidRPr="008E3CF3">
        <w:rPr>
          <w:rFonts w:ascii="Cambria" w:hAnsi="Cambria"/>
          <w:sz w:val="20"/>
          <w:szCs w:val="20"/>
          <w:lang w:val="en"/>
        </w:rPr>
        <w:t xml:space="preserve">domestic remedies were available and </w:t>
      </w:r>
      <w:r w:rsidR="00C835E7" w:rsidRPr="008E3CF3">
        <w:rPr>
          <w:rFonts w:ascii="Cambria" w:hAnsi="Cambria"/>
          <w:sz w:val="20"/>
          <w:szCs w:val="20"/>
          <w:lang w:val="en"/>
        </w:rPr>
        <w:t>adequate</w:t>
      </w:r>
      <w:r w:rsidR="005358E2" w:rsidRPr="008E3CF3">
        <w:rPr>
          <w:rFonts w:ascii="Cambria" w:hAnsi="Cambria"/>
          <w:sz w:val="20"/>
          <w:szCs w:val="20"/>
          <w:lang w:val="en"/>
        </w:rPr>
        <w:t xml:space="preserve"> to address the petitioner’s complaint, </w:t>
      </w:r>
      <w:r w:rsidR="006873A1" w:rsidRPr="008E3CF3">
        <w:rPr>
          <w:rFonts w:ascii="Cambria" w:hAnsi="Cambria"/>
          <w:sz w:val="20"/>
          <w:szCs w:val="20"/>
          <w:lang w:val="en"/>
        </w:rPr>
        <w:t>under</w:t>
      </w:r>
      <w:r w:rsidR="005358E2" w:rsidRPr="008E3CF3">
        <w:rPr>
          <w:rFonts w:ascii="Cambria" w:hAnsi="Cambria"/>
          <w:sz w:val="20"/>
          <w:szCs w:val="20"/>
          <w:lang w:val="en"/>
        </w:rPr>
        <w:t xml:space="preserve"> the applicable law. </w:t>
      </w:r>
      <w:r w:rsidR="00311592" w:rsidRPr="008E3CF3">
        <w:rPr>
          <w:rFonts w:ascii="Cambria" w:hAnsi="Cambria"/>
          <w:sz w:val="20"/>
          <w:szCs w:val="20"/>
          <w:lang w:val="en"/>
        </w:rPr>
        <w:t>In this regard, i</w:t>
      </w:r>
      <w:r w:rsidR="005358E2" w:rsidRPr="008E3CF3">
        <w:rPr>
          <w:rFonts w:ascii="Cambria" w:hAnsi="Cambria"/>
          <w:sz w:val="20"/>
          <w:szCs w:val="20"/>
          <w:lang w:val="en"/>
        </w:rPr>
        <w:t xml:space="preserve">t insists that the complaint filed to the Supreme Court of Justice was dismissed because of formal defects exclusively attributable to the petitioner </w:t>
      </w:r>
      <w:r w:rsidR="00311592" w:rsidRPr="008E3CF3">
        <w:rPr>
          <w:rFonts w:ascii="Cambria" w:hAnsi="Cambria"/>
          <w:sz w:val="20"/>
          <w:szCs w:val="20"/>
          <w:lang w:val="en"/>
        </w:rPr>
        <w:t xml:space="preserve">in accordance with </w:t>
      </w:r>
      <w:r w:rsidR="005358E2" w:rsidRPr="008E3CF3">
        <w:rPr>
          <w:rFonts w:ascii="Cambria" w:hAnsi="Cambria"/>
          <w:sz w:val="20"/>
          <w:szCs w:val="20"/>
          <w:lang w:val="en"/>
        </w:rPr>
        <w:t xml:space="preserve">the </w:t>
      </w:r>
      <w:r w:rsidR="00311592" w:rsidRPr="008E3CF3">
        <w:rPr>
          <w:rFonts w:ascii="Cambria" w:hAnsi="Cambria"/>
          <w:sz w:val="20"/>
          <w:szCs w:val="20"/>
          <w:lang w:val="en"/>
        </w:rPr>
        <w:t xml:space="preserve">regulations in force regarding </w:t>
      </w:r>
      <w:r w:rsidR="005358E2" w:rsidRPr="008E3CF3">
        <w:rPr>
          <w:rFonts w:ascii="Cambria" w:hAnsi="Cambria"/>
          <w:sz w:val="20"/>
          <w:szCs w:val="20"/>
          <w:lang w:val="en"/>
        </w:rPr>
        <w:t>formal requirements for admissibility</w:t>
      </w:r>
      <w:r w:rsidR="00311592" w:rsidRPr="008E3CF3">
        <w:rPr>
          <w:rFonts w:ascii="Cambria" w:hAnsi="Cambria"/>
          <w:sz w:val="20"/>
          <w:szCs w:val="20"/>
          <w:lang w:val="en"/>
        </w:rPr>
        <w:t>, which results</w:t>
      </w:r>
      <w:r w:rsidR="00E57A33" w:rsidRPr="008E3CF3">
        <w:rPr>
          <w:rFonts w:ascii="Cambria" w:hAnsi="Cambria"/>
          <w:sz w:val="20"/>
          <w:szCs w:val="20"/>
          <w:lang w:val="en"/>
        </w:rPr>
        <w:t>, therefore,</w:t>
      </w:r>
      <w:r w:rsidR="00311592" w:rsidRPr="008E3CF3">
        <w:rPr>
          <w:rFonts w:ascii="Cambria" w:hAnsi="Cambria"/>
          <w:sz w:val="20"/>
          <w:szCs w:val="20"/>
          <w:lang w:val="en"/>
        </w:rPr>
        <w:t xml:space="preserve"> in the non-compliance </w:t>
      </w:r>
      <w:r w:rsidR="00E57A33" w:rsidRPr="008E3CF3">
        <w:rPr>
          <w:rFonts w:ascii="Cambria" w:hAnsi="Cambria"/>
          <w:sz w:val="20"/>
          <w:szCs w:val="20"/>
          <w:lang w:val="en"/>
        </w:rPr>
        <w:t xml:space="preserve">with the exhaustion of </w:t>
      </w:r>
      <w:r w:rsidR="005358E2" w:rsidRPr="008E3CF3">
        <w:rPr>
          <w:rFonts w:ascii="Cambria" w:hAnsi="Cambria"/>
          <w:sz w:val="20"/>
          <w:szCs w:val="20"/>
          <w:lang w:val="en"/>
        </w:rPr>
        <w:t xml:space="preserve">domestic remedies. It alleges that although a </w:t>
      </w:r>
      <w:r w:rsidR="00E57A33" w:rsidRPr="008E3CF3">
        <w:rPr>
          <w:rFonts w:ascii="Cambria" w:hAnsi="Cambria"/>
          <w:sz w:val="20"/>
          <w:szCs w:val="20"/>
          <w:lang w:val="en"/>
        </w:rPr>
        <w:t>extraordinary federal appeal is appropriate</w:t>
      </w:r>
      <w:r w:rsidR="005358E2" w:rsidRPr="008E3CF3">
        <w:rPr>
          <w:rFonts w:ascii="Cambria" w:hAnsi="Cambria"/>
          <w:sz w:val="20"/>
          <w:szCs w:val="20"/>
          <w:lang w:val="en"/>
        </w:rPr>
        <w:t xml:space="preserve"> taking into account that the petitioner’s claim concerns the interpretation of a federal norm such as Law No. </w:t>
      </w:r>
      <w:r w:rsidR="00E7400E" w:rsidRPr="008E3CF3">
        <w:rPr>
          <w:rFonts w:ascii="Cambria" w:hAnsi="Cambria"/>
          <w:sz w:val="20"/>
          <w:szCs w:val="20"/>
          <w:lang w:val="en"/>
        </w:rPr>
        <w:t>24.043</w:t>
      </w:r>
      <w:r w:rsidR="00E57A33" w:rsidRPr="008E3CF3">
        <w:rPr>
          <w:rFonts w:ascii="Cambria" w:hAnsi="Cambria"/>
          <w:sz w:val="20"/>
          <w:szCs w:val="20"/>
          <w:lang w:val="en"/>
        </w:rPr>
        <w:t xml:space="preserve"> and its amendments, </w:t>
      </w:r>
      <w:r w:rsidR="005358E2" w:rsidRPr="008E3CF3">
        <w:rPr>
          <w:rFonts w:ascii="Cambria" w:hAnsi="Cambria"/>
          <w:sz w:val="20"/>
          <w:szCs w:val="20"/>
          <w:lang w:val="en"/>
        </w:rPr>
        <w:t>the</w:t>
      </w:r>
      <w:r w:rsidR="00AB7D40" w:rsidRPr="008E3CF3">
        <w:rPr>
          <w:rFonts w:ascii="Cambria" w:hAnsi="Cambria"/>
          <w:sz w:val="20"/>
          <w:szCs w:val="20"/>
          <w:lang w:val="en"/>
        </w:rPr>
        <w:t xml:space="preserve"> brief </w:t>
      </w:r>
      <w:r w:rsidR="005358E2" w:rsidRPr="008E3CF3">
        <w:rPr>
          <w:rFonts w:ascii="Cambria" w:hAnsi="Cambria"/>
          <w:sz w:val="20"/>
          <w:szCs w:val="20"/>
          <w:lang w:val="en"/>
        </w:rPr>
        <w:t>presented did not meet the requirements</w:t>
      </w:r>
      <w:r w:rsidR="00AB7D40" w:rsidRPr="008E3CF3">
        <w:rPr>
          <w:rFonts w:ascii="Cambria" w:hAnsi="Cambria"/>
          <w:sz w:val="20"/>
          <w:szCs w:val="20"/>
          <w:lang w:val="en"/>
        </w:rPr>
        <w:t xml:space="preserve"> demanded its presentation</w:t>
      </w:r>
      <w:r w:rsidR="005358E2" w:rsidRPr="008E3CF3">
        <w:rPr>
          <w:rFonts w:ascii="Cambria" w:hAnsi="Cambria"/>
          <w:sz w:val="20"/>
          <w:szCs w:val="20"/>
          <w:lang w:val="en"/>
        </w:rPr>
        <w:t xml:space="preserve">, preventing the State from providing appropriate </w:t>
      </w:r>
      <w:r w:rsidR="00AB7D40" w:rsidRPr="008E3CF3">
        <w:rPr>
          <w:rFonts w:ascii="Cambria" w:hAnsi="Cambria"/>
          <w:sz w:val="20"/>
          <w:szCs w:val="20"/>
          <w:lang w:val="en"/>
        </w:rPr>
        <w:t xml:space="preserve">response </w:t>
      </w:r>
      <w:r w:rsidR="005358E2" w:rsidRPr="008E3CF3">
        <w:rPr>
          <w:rFonts w:ascii="Cambria" w:hAnsi="Cambria"/>
          <w:sz w:val="20"/>
          <w:szCs w:val="20"/>
          <w:lang w:val="en"/>
        </w:rPr>
        <w:t>for the</w:t>
      </w:r>
      <w:r w:rsidR="00AB7D40" w:rsidRPr="008E3CF3">
        <w:rPr>
          <w:rFonts w:ascii="Cambria" w:hAnsi="Cambria"/>
          <w:sz w:val="20"/>
          <w:szCs w:val="20"/>
          <w:lang w:val="en"/>
        </w:rPr>
        <w:t xml:space="preserve"> grievances </w:t>
      </w:r>
      <w:r w:rsidR="005358E2" w:rsidRPr="008E3CF3">
        <w:rPr>
          <w:rFonts w:ascii="Cambria" w:hAnsi="Cambria"/>
          <w:sz w:val="20"/>
          <w:szCs w:val="20"/>
          <w:lang w:val="en"/>
        </w:rPr>
        <w:t xml:space="preserve">raised in the domestic courts. It emphasizes that the national jurisprudence includes </w:t>
      </w:r>
      <w:r w:rsidR="00CA31D1" w:rsidRPr="008E3CF3">
        <w:rPr>
          <w:rFonts w:ascii="Cambria" w:hAnsi="Cambria"/>
          <w:sz w:val="20"/>
          <w:szCs w:val="20"/>
          <w:lang w:val="en"/>
        </w:rPr>
        <w:t xml:space="preserve">a clear judicial doctrine regarding </w:t>
      </w:r>
      <w:r w:rsidR="005358E2" w:rsidRPr="008E3CF3">
        <w:rPr>
          <w:rFonts w:ascii="Cambria" w:hAnsi="Cambria"/>
          <w:sz w:val="20"/>
          <w:szCs w:val="20"/>
          <w:lang w:val="en"/>
        </w:rPr>
        <w:t xml:space="preserve">forced exile, in that reparations have been granted under Law No. </w:t>
      </w:r>
      <w:r w:rsidR="00E7400E" w:rsidRPr="008E3CF3">
        <w:rPr>
          <w:rFonts w:ascii="Cambria" w:hAnsi="Cambria"/>
          <w:sz w:val="20"/>
          <w:szCs w:val="20"/>
          <w:lang w:val="en"/>
        </w:rPr>
        <w:t>24.043</w:t>
      </w:r>
      <w:r w:rsidR="005358E2" w:rsidRPr="008E3CF3">
        <w:rPr>
          <w:rFonts w:ascii="Cambria" w:hAnsi="Cambria"/>
          <w:sz w:val="20"/>
          <w:szCs w:val="20"/>
          <w:lang w:val="en"/>
        </w:rPr>
        <w:t xml:space="preserve"> </w:t>
      </w:r>
      <w:r w:rsidR="00CA31D1" w:rsidRPr="008E3CF3">
        <w:rPr>
          <w:rFonts w:ascii="Cambria" w:hAnsi="Cambria"/>
          <w:sz w:val="20"/>
          <w:szCs w:val="20"/>
          <w:lang w:val="en"/>
        </w:rPr>
        <w:t xml:space="preserve">in cases </w:t>
      </w:r>
      <w:r w:rsidR="005358E2" w:rsidRPr="008E3CF3">
        <w:rPr>
          <w:rFonts w:ascii="Cambria" w:hAnsi="Cambria"/>
          <w:sz w:val="20"/>
          <w:szCs w:val="20"/>
          <w:lang w:val="en"/>
        </w:rPr>
        <w:t xml:space="preserve">when exile </w:t>
      </w:r>
      <w:r w:rsidR="00E325E5" w:rsidRPr="008E3CF3">
        <w:rPr>
          <w:rFonts w:ascii="Cambria" w:hAnsi="Cambria"/>
          <w:sz w:val="20"/>
          <w:szCs w:val="20"/>
          <w:lang w:val="en"/>
        </w:rPr>
        <w:t>was</w:t>
      </w:r>
      <w:r w:rsidR="005358E2" w:rsidRPr="008E3CF3">
        <w:rPr>
          <w:rFonts w:ascii="Cambria" w:hAnsi="Cambria"/>
          <w:sz w:val="20"/>
          <w:szCs w:val="20"/>
          <w:lang w:val="en"/>
        </w:rPr>
        <w:t xml:space="preserve"> duly prove</w:t>
      </w:r>
      <w:r w:rsidR="00C11C7D" w:rsidRPr="008E3CF3">
        <w:rPr>
          <w:rFonts w:ascii="Cambria" w:hAnsi="Cambria"/>
          <w:sz w:val="20"/>
          <w:szCs w:val="20"/>
          <w:lang w:val="en"/>
        </w:rPr>
        <w:t>n</w:t>
      </w:r>
      <w:r w:rsidR="005358E2" w:rsidRPr="008E3CF3">
        <w:rPr>
          <w:rFonts w:ascii="Cambria" w:hAnsi="Cambria"/>
          <w:sz w:val="20"/>
          <w:szCs w:val="20"/>
          <w:lang w:val="en"/>
        </w:rPr>
        <w:t xml:space="preserve"> and preceded by situations of wrongful detention and/or persecution leading to victims’ reasonable fear of serious risk to their lives, personal integrity and/or personal liberty, and not in cases where emigration may be considered to have been voluntary. </w:t>
      </w:r>
    </w:p>
    <w:p w14:paraId="1822A7FE" w14:textId="77777777" w:rsidR="008E3CF3" w:rsidRPr="00456B38" w:rsidRDefault="008E3CF3" w:rsidP="008E3CF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86BB727" w14:textId="53A8143D" w:rsidR="008E3CF3" w:rsidRPr="00456B38" w:rsidRDefault="005358E2" w:rsidP="008E3C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56B38">
        <w:rPr>
          <w:rFonts w:ascii="Cambria" w:hAnsi="Cambria"/>
          <w:sz w:val="20"/>
          <w:szCs w:val="20"/>
          <w:lang w:val="en"/>
        </w:rPr>
        <w:t xml:space="preserve">The petitioners argue that the appeal was dismissed due to strictly formal issues; and that, in any </w:t>
      </w:r>
      <w:r w:rsidR="00CA31D1" w:rsidRPr="00456B38">
        <w:rPr>
          <w:rFonts w:ascii="Cambria" w:hAnsi="Cambria"/>
          <w:sz w:val="20"/>
          <w:szCs w:val="20"/>
          <w:lang w:val="en"/>
        </w:rPr>
        <w:t>case, the dismissed</w:t>
      </w:r>
      <w:r w:rsidRPr="00456B38">
        <w:rPr>
          <w:rFonts w:ascii="Cambria" w:hAnsi="Cambria"/>
          <w:sz w:val="20"/>
          <w:szCs w:val="20"/>
          <w:lang w:val="en"/>
        </w:rPr>
        <w:t xml:space="preserve"> federal appeal is not an ordinary do</w:t>
      </w:r>
      <w:r w:rsidR="00C55A25" w:rsidRPr="00456B38">
        <w:rPr>
          <w:rFonts w:ascii="Cambria" w:hAnsi="Cambria"/>
          <w:sz w:val="20"/>
          <w:szCs w:val="20"/>
          <w:lang w:val="en"/>
        </w:rPr>
        <w:t xml:space="preserve">mestic remedy, but extraordinary and limited to the control of the constitutionality of laws </w:t>
      </w:r>
      <w:r w:rsidRPr="00456B38">
        <w:rPr>
          <w:rFonts w:ascii="Cambria" w:hAnsi="Cambria"/>
          <w:sz w:val="20"/>
          <w:szCs w:val="20"/>
          <w:lang w:val="en"/>
        </w:rPr>
        <w:t xml:space="preserve">and </w:t>
      </w:r>
      <w:r w:rsidR="00C55A25" w:rsidRPr="00456B38">
        <w:rPr>
          <w:rFonts w:ascii="Cambria" w:hAnsi="Cambria"/>
          <w:sz w:val="20"/>
          <w:szCs w:val="20"/>
          <w:lang w:val="en"/>
        </w:rPr>
        <w:t xml:space="preserve">its </w:t>
      </w:r>
      <w:r w:rsidRPr="00456B38">
        <w:rPr>
          <w:rFonts w:ascii="Cambria" w:hAnsi="Cambria"/>
          <w:sz w:val="20"/>
          <w:szCs w:val="20"/>
          <w:lang w:val="en"/>
        </w:rPr>
        <w:t>application.</w:t>
      </w:r>
      <w:r w:rsidR="00C55A25" w:rsidRPr="00456B38">
        <w:rPr>
          <w:rFonts w:ascii="Cambria" w:hAnsi="Cambria"/>
          <w:sz w:val="20"/>
          <w:szCs w:val="20"/>
          <w:lang w:val="en"/>
        </w:rPr>
        <w:t xml:space="preserve"> Likewise, t</w:t>
      </w:r>
      <w:r w:rsidRPr="00456B38">
        <w:rPr>
          <w:rFonts w:ascii="Cambria" w:hAnsi="Cambria"/>
          <w:sz w:val="20"/>
          <w:szCs w:val="20"/>
          <w:lang w:val="en"/>
        </w:rPr>
        <w:t xml:space="preserve">hey claim </w:t>
      </w:r>
      <w:r w:rsidR="008E3CF3" w:rsidRPr="00456B38">
        <w:rPr>
          <w:rFonts w:ascii="Cambria" w:hAnsi="Cambria"/>
          <w:sz w:val="20"/>
          <w:szCs w:val="20"/>
          <w:lang w:val="en"/>
        </w:rPr>
        <w:t>that the alleged victim filed it, without prejudice to the result of an appeal of an extraordinary nature, as he deemed it appropriate and effective, although the manner in which it was resolved was in violation of the right of access to substantial justice in matters related to the reparation of human rights violations.</w:t>
      </w:r>
    </w:p>
    <w:p w14:paraId="45023779" w14:textId="77777777" w:rsidR="00456B38" w:rsidRPr="00456B38" w:rsidRDefault="00456B38" w:rsidP="00456B3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444989C" w14:textId="54AB1F40" w:rsidR="005358E2" w:rsidRPr="009556F8" w:rsidRDefault="00456B38" w:rsidP="008E3C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sidRPr="009556F8">
        <w:rPr>
          <w:rFonts w:ascii="Cambria" w:hAnsi="Cambria"/>
          <w:sz w:val="20"/>
          <w:szCs w:val="20"/>
          <w:lang w:val="en"/>
        </w:rPr>
        <w:t>With regard to this point</w:t>
      </w:r>
      <w:r w:rsidR="005358E2" w:rsidRPr="009556F8">
        <w:rPr>
          <w:rFonts w:ascii="Cambria" w:hAnsi="Cambria"/>
          <w:sz w:val="20"/>
          <w:szCs w:val="20"/>
          <w:lang w:val="en"/>
        </w:rPr>
        <w:t xml:space="preserve">, the Commission observes that Law No. </w:t>
      </w:r>
      <w:r w:rsidR="00E7400E" w:rsidRPr="009556F8">
        <w:rPr>
          <w:rFonts w:ascii="Cambria" w:hAnsi="Cambria"/>
          <w:sz w:val="20"/>
          <w:szCs w:val="20"/>
          <w:lang w:val="en"/>
        </w:rPr>
        <w:t>24.043</w:t>
      </w:r>
      <w:r w:rsidR="005358E2" w:rsidRPr="009556F8">
        <w:rPr>
          <w:rFonts w:ascii="Cambria" w:hAnsi="Cambria"/>
          <w:sz w:val="20"/>
          <w:szCs w:val="20"/>
          <w:lang w:val="en"/>
        </w:rPr>
        <w:t xml:space="preserve"> </w:t>
      </w:r>
      <w:r w:rsidRPr="009556F8">
        <w:rPr>
          <w:rFonts w:ascii="Cambria" w:hAnsi="Cambria"/>
          <w:sz w:val="20"/>
          <w:szCs w:val="20"/>
          <w:lang w:val="en"/>
        </w:rPr>
        <w:t>proposes the filing of an application wih</w:t>
      </w:r>
      <w:r w:rsidR="005358E2" w:rsidRPr="009556F8">
        <w:rPr>
          <w:rFonts w:ascii="Cambria" w:hAnsi="Cambria"/>
          <w:sz w:val="20"/>
          <w:szCs w:val="20"/>
          <w:lang w:val="en"/>
        </w:rPr>
        <w:t xml:space="preserve"> the Ministry of the Interior, whose </w:t>
      </w:r>
      <w:r w:rsidRPr="009556F8">
        <w:rPr>
          <w:rFonts w:ascii="Cambria" w:hAnsi="Cambria"/>
          <w:sz w:val="20"/>
          <w:szCs w:val="20"/>
          <w:lang w:val="en"/>
        </w:rPr>
        <w:t xml:space="preserve">resolution </w:t>
      </w:r>
      <w:r w:rsidR="00E20270" w:rsidRPr="009556F8">
        <w:rPr>
          <w:rFonts w:ascii="Cambria" w:hAnsi="Cambria"/>
          <w:sz w:val="20"/>
          <w:szCs w:val="20"/>
          <w:lang w:val="en"/>
        </w:rPr>
        <w:t xml:space="preserve">is appealable </w:t>
      </w:r>
      <w:r w:rsidR="005358E2" w:rsidRPr="009556F8">
        <w:rPr>
          <w:rFonts w:ascii="Cambria" w:hAnsi="Cambria"/>
          <w:sz w:val="20"/>
          <w:szCs w:val="20"/>
          <w:lang w:val="en"/>
        </w:rPr>
        <w:t xml:space="preserve">before the National Court of Appeals for Contentious Administrative Matters of the Federal Capital. The Commission observes that the alleged victim </w:t>
      </w:r>
      <w:r w:rsidR="00E20270" w:rsidRPr="009556F8">
        <w:rPr>
          <w:rFonts w:ascii="Cambria" w:hAnsi="Cambria"/>
          <w:sz w:val="20"/>
          <w:szCs w:val="20"/>
          <w:lang w:val="en"/>
        </w:rPr>
        <w:t>pursued the ordinary remedies establishe</w:t>
      </w:r>
      <w:r w:rsidR="005358E2" w:rsidRPr="009556F8">
        <w:rPr>
          <w:rFonts w:ascii="Cambria" w:hAnsi="Cambria"/>
          <w:sz w:val="20"/>
          <w:szCs w:val="20"/>
          <w:lang w:val="en"/>
        </w:rPr>
        <w:t xml:space="preserve">d by Law No. </w:t>
      </w:r>
      <w:r w:rsidR="00E7400E" w:rsidRPr="009556F8">
        <w:rPr>
          <w:rFonts w:ascii="Cambria" w:hAnsi="Cambria"/>
          <w:sz w:val="20"/>
          <w:szCs w:val="20"/>
          <w:lang w:val="en"/>
        </w:rPr>
        <w:t>24.043</w:t>
      </w:r>
      <w:r w:rsidR="005358E2" w:rsidRPr="009556F8">
        <w:rPr>
          <w:rFonts w:ascii="Cambria" w:hAnsi="Cambria"/>
          <w:sz w:val="20"/>
          <w:szCs w:val="20"/>
          <w:lang w:val="en"/>
        </w:rPr>
        <w:t xml:space="preserve">. As to the </w:t>
      </w:r>
      <w:r w:rsidR="00E20270" w:rsidRPr="009556F8">
        <w:rPr>
          <w:rFonts w:ascii="Cambria" w:hAnsi="Cambria"/>
          <w:sz w:val="20"/>
          <w:szCs w:val="20"/>
          <w:lang w:val="en"/>
        </w:rPr>
        <w:t>extraordinary federal</w:t>
      </w:r>
      <w:r w:rsidR="005358E2" w:rsidRPr="009556F8">
        <w:rPr>
          <w:rFonts w:ascii="Cambria" w:hAnsi="Cambria"/>
          <w:sz w:val="20"/>
          <w:szCs w:val="20"/>
          <w:lang w:val="en"/>
        </w:rPr>
        <w:t xml:space="preserve"> appeal, the IACHR has previously established that the said remedy is extraordinary, exceptional, and discretionary in nature</w:t>
      </w:r>
      <w:r w:rsidR="005358E2" w:rsidRPr="009556F8">
        <w:rPr>
          <w:rFonts w:ascii="Cambria" w:hAnsi="Cambria"/>
          <w:sz w:val="20"/>
          <w:szCs w:val="20"/>
          <w:vertAlign w:val="superscript"/>
          <w:lang w:val="en"/>
        </w:rPr>
        <w:footnoteReference w:id="5"/>
      </w:r>
      <w:r w:rsidR="005358E2" w:rsidRPr="009556F8">
        <w:rPr>
          <w:rFonts w:ascii="Cambria" w:hAnsi="Cambria"/>
          <w:sz w:val="20"/>
          <w:szCs w:val="20"/>
          <w:lang w:val="en"/>
        </w:rPr>
        <w:t xml:space="preserve"> and, as such, it is not a procedural level that is added on to every trial, but rather it operates as a new but reduced and partial </w:t>
      </w:r>
      <w:r w:rsidR="00E20270" w:rsidRPr="009556F8">
        <w:rPr>
          <w:rFonts w:ascii="Cambria" w:hAnsi="Cambria"/>
          <w:sz w:val="20"/>
          <w:szCs w:val="20"/>
          <w:lang w:val="en"/>
        </w:rPr>
        <w:t>instance</w:t>
      </w:r>
      <w:r w:rsidR="005358E2" w:rsidRPr="009556F8">
        <w:rPr>
          <w:rFonts w:ascii="Cambria" w:hAnsi="Cambria"/>
          <w:sz w:val="20"/>
          <w:szCs w:val="20"/>
          <w:lang w:val="en"/>
        </w:rPr>
        <w:t xml:space="preserve"> </w:t>
      </w:r>
      <w:r w:rsidR="00E20270" w:rsidRPr="009556F8">
        <w:rPr>
          <w:rFonts w:ascii="Cambria" w:hAnsi="Cambria"/>
          <w:sz w:val="20"/>
          <w:szCs w:val="20"/>
          <w:lang w:val="en"/>
        </w:rPr>
        <w:t xml:space="preserve">which exists </w:t>
      </w:r>
      <w:r w:rsidR="005358E2" w:rsidRPr="009556F8">
        <w:rPr>
          <w:rFonts w:ascii="Cambria" w:hAnsi="Cambria"/>
          <w:sz w:val="20"/>
          <w:szCs w:val="20"/>
          <w:lang w:val="en"/>
        </w:rPr>
        <w:t xml:space="preserve">to ensure constitutional supremacy and whose </w:t>
      </w:r>
      <w:r w:rsidR="00BE2CE2" w:rsidRPr="009556F8">
        <w:rPr>
          <w:rFonts w:ascii="Cambria" w:hAnsi="Cambria"/>
          <w:sz w:val="20"/>
          <w:szCs w:val="20"/>
          <w:lang w:val="en"/>
        </w:rPr>
        <w:t xml:space="preserve">application </w:t>
      </w:r>
      <w:r w:rsidR="005358E2" w:rsidRPr="009556F8">
        <w:rPr>
          <w:rFonts w:ascii="Cambria" w:hAnsi="Cambria"/>
          <w:sz w:val="20"/>
          <w:szCs w:val="20"/>
          <w:lang w:val="en"/>
        </w:rPr>
        <w:t>is interpreted</w:t>
      </w:r>
      <w:r w:rsidR="009556F8" w:rsidRPr="009556F8">
        <w:rPr>
          <w:rFonts w:ascii="Cambria" w:hAnsi="Cambria"/>
          <w:sz w:val="20"/>
          <w:szCs w:val="20"/>
          <w:lang w:val="en"/>
        </w:rPr>
        <w:t xml:space="preserve"> in a restricted manner</w:t>
      </w:r>
      <w:r w:rsidR="005358E2" w:rsidRPr="009556F8">
        <w:rPr>
          <w:rFonts w:ascii="Cambria" w:hAnsi="Cambria"/>
          <w:sz w:val="20"/>
          <w:szCs w:val="20"/>
          <w:lang w:val="en"/>
        </w:rPr>
        <w:t>.</w:t>
      </w:r>
      <w:r w:rsidR="005358E2" w:rsidRPr="009556F8">
        <w:rPr>
          <w:rFonts w:ascii="Cambria" w:hAnsi="Cambria"/>
          <w:sz w:val="20"/>
          <w:szCs w:val="20"/>
          <w:vertAlign w:val="superscript"/>
          <w:lang w:val="en"/>
        </w:rPr>
        <w:footnoteReference w:id="6"/>
      </w:r>
      <w:r w:rsidR="005358E2" w:rsidRPr="009556F8">
        <w:rPr>
          <w:rFonts w:ascii="Cambria" w:hAnsi="Cambria"/>
          <w:sz w:val="20"/>
          <w:szCs w:val="20"/>
          <w:lang w:val="en"/>
        </w:rPr>
        <w:t xml:space="preserve"> Consequently, the Commission does not necessarily require exhaustion of such appeals</w:t>
      </w:r>
      <w:r w:rsidR="005358E2" w:rsidRPr="009556F8">
        <w:rPr>
          <w:rFonts w:ascii="Cambria" w:hAnsi="Cambria"/>
          <w:sz w:val="20"/>
          <w:szCs w:val="20"/>
          <w:vertAlign w:val="superscript"/>
          <w:lang w:val="en"/>
        </w:rPr>
        <w:footnoteReference w:id="7"/>
      </w:r>
      <w:r w:rsidR="005358E2" w:rsidRPr="009556F8">
        <w:rPr>
          <w:rFonts w:ascii="Cambria" w:hAnsi="Cambria"/>
          <w:sz w:val="20"/>
          <w:szCs w:val="20"/>
          <w:lang w:val="en"/>
        </w:rPr>
        <w:t xml:space="preserve"> </w:t>
      </w:r>
      <w:r w:rsidR="009556F8" w:rsidRPr="009556F8">
        <w:rPr>
          <w:rFonts w:ascii="Cambria" w:hAnsi="Cambria"/>
          <w:sz w:val="20"/>
          <w:szCs w:val="20"/>
          <w:lang w:val="en"/>
        </w:rPr>
        <w:t xml:space="preserve"> and, in fact, s</w:t>
      </w:r>
      <w:r w:rsidR="005358E2" w:rsidRPr="009556F8">
        <w:rPr>
          <w:rFonts w:ascii="Cambria" w:hAnsi="Cambria"/>
          <w:sz w:val="20"/>
          <w:szCs w:val="20"/>
          <w:lang w:val="en"/>
        </w:rPr>
        <w:t>everal petitions have been declared admissible without that remedy having been filed.</w:t>
      </w:r>
      <w:r w:rsidR="005358E2" w:rsidRPr="009556F8">
        <w:rPr>
          <w:rFonts w:ascii="Cambria" w:hAnsi="Cambria"/>
          <w:sz w:val="20"/>
          <w:szCs w:val="20"/>
          <w:vertAlign w:val="superscript"/>
          <w:lang w:val="en"/>
        </w:rPr>
        <w:footnoteReference w:id="8"/>
      </w:r>
      <w:r w:rsidR="005358E2" w:rsidRPr="009556F8">
        <w:rPr>
          <w:rFonts w:ascii="Cambria" w:hAnsi="Cambria"/>
          <w:sz w:val="20"/>
          <w:szCs w:val="20"/>
          <w:lang w:val="en"/>
        </w:rPr>
        <w:t xml:space="preserve"> In this case, the said appeal was filed, but it appears that the alleged circumstances leading to its dismissal are part of the substance of the complaint. </w:t>
      </w:r>
    </w:p>
    <w:p w14:paraId="41993629" w14:textId="77777777" w:rsidR="009556F8" w:rsidRPr="009556F8" w:rsidRDefault="009556F8" w:rsidP="009556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libri"/>
          <w:sz w:val="20"/>
          <w:szCs w:val="20"/>
        </w:rPr>
      </w:pPr>
    </w:p>
    <w:p w14:paraId="069F9582" w14:textId="72706260" w:rsidR="005358E2" w:rsidRPr="009556F8" w:rsidRDefault="005358E2" w:rsidP="008E3C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sidRPr="009556F8">
        <w:rPr>
          <w:rFonts w:ascii="Cambria" w:hAnsi="Cambria" w:cs="Calibri"/>
          <w:sz w:val="20"/>
          <w:szCs w:val="20"/>
          <w:lang w:val="en"/>
        </w:rPr>
        <w:t xml:space="preserve">For </w:t>
      </w:r>
      <w:r w:rsidR="009556F8" w:rsidRPr="009556F8">
        <w:rPr>
          <w:rFonts w:ascii="Cambria" w:hAnsi="Cambria" w:cs="Calibri"/>
          <w:sz w:val="20"/>
          <w:szCs w:val="20"/>
          <w:lang w:val="en"/>
        </w:rPr>
        <w:t xml:space="preserve">the purpose of the analysis on </w:t>
      </w:r>
      <w:r w:rsidRPr="009556F8">
        <w:rPr>
          <w:rFonts w:ascii="Cambria" w:hAnsi="Cambria" w:cs="Calibri"/>
          <w:sz w:val="20"/>
          <w:szCs w:val="20"/>
          <w:lang w:val="en"/>
        </w:rPr>
        <w:t xml:space="preserve">admissibility, </w:t>
      </w:r>
      <w:r w:rsidR="009556F8" w:rsidRPr="009556F8">
        <w:rPr>
          <w:rFonts w:ascii="Cambria" w:hAnsi="Cambria" w:cs="Calibri"/>
          <w:sz w:val="20"/>
          <w:szCs w:val="20"/>
          <w:lang w:val="en"/>
        </w:rPr>
        <w:t>the Commission understands that</w:t>
      </w:r>
      <w:r w:rsidRPr="009556F8">
        <w:rPr>
          <w:rFonts w:ascii="Cambria" w:hAnsi="Cambria" w:cs="Calibri"/>
          <w:sz w:val="20"/>
          <w:szCs w:val="20"/>
          <w:lang w:val="en"/>
        </w:rPr>
        <w:t xml:space="preserve"> the </w:t>
      </w:r>
      <w:r w:rsidR="009556F8" w:rsidRPr="009556F8">
        <w:rPr>
          <w:rFonts w:ascii="Cambria" w:hAnsi="Cambria" w:cs="Calibri"/>
          <w:sz w:val="20"/>
          <w:szCs w:val="20"/>
          <w:lang w:val="en"/>
        </w:rPr>
        <w:t xml:space="preserve">allegations regarding </w:t>
      </w:r>
      <w:r w:rsidRPr="009556F8">
        <w:rPr>
          <w:rFonts w:ascii="Cambria" w:hAnsi="Cambria" w:cs="Calibri"/>
          <w:sz w:val="20"/>
          <w:szCs w:val="20"/>
          <w:lang w:val="en"/>
        </w:rPr>
        <w:t>the alleged arbitrariness and excessive formalism that prevented the petitioner from making corrections to the</w:t>
      </w:r>
      <w:r w:rsidR="009556F8" w:rsidRPr="009556F8">
        <w:rPr>
          <w:rFonts w:ascii="Cambria" w:hAnsi="Cambria" w:cs="Calibri"/>
          <w:sz w:val="20"/>
          <w:szCs w:val="20"/>
          <w:lang w:val="en"/>
        </w:rPr>
        <w:t xml:space="preserve"> federal appeal</w:t>
      </w:r>
      <w:r w:rsidRPr="009556F8">
        <w:rPr>
          <w:rFonts w:ascii="Cambria" w:hAnsi="Cambria" w:cs="Calibri"/>
          <w:sz w:val="20"/>
          <w:szCs w:val="20"/>
          <w:lang w:val="en"/>
        </w:rPr>
        <w:t xml:space="preserve"> may </w:t>
      </w:r>
      <w:r w:rsidR="009556F8" w:rsidRPr="009556F8">
        <w:rPr>
          <w:rFonts w:ascii="Cambria" w:hAnsi="Cambria" w:cs="Calibri"/>
          <w:sz w:val="20"/>
          <w:szCs w:val="20"/>
          <w:lang w:val="en"/>
        </w:rPr>
        <w:t xml:space="preserve">eventually </w:t>
      </w:r>
      <w:r w:rsidRPr="009556F8">
        <w:rPr>
          <w:rFonts w:ascii="Cambria" w:hAnsi="Cambria" w:cs="Calibri"/>
          <w:sz w:val="20"/>
          <w:szCs w:val="20"/>
          <w:lang w:val="en"/>
        </w:rPr>
        <w:t xml:space="preserve">be subject to analysis by the Commission in the merits stage. </w:t>
      </w:r>
      <w:r w:rsidR="00505E83" w:rsidRPr="009556F8">
        <w:rPr>
          <w:rFonts w:ascii="Cambria" w:hAnsi="Cambria" w:cs="Calibri"/>
          <w:sz w:val="20"/>
          <w:szCs w:val="20"/>
          <w:lang w:val="en"/>
        </w:rPr>
        <w:t>The undertaking of</w:t>
      </w:r>
      <w:r w:rsidRPr="009556F8">
        <w:rPr>
          <w:rFonts w:ascii="Cambria" w:hAnsi="Cambria" w:cs="Calibri"/>
          <w:sz w:val="20"/>
          <w:szCs w:val="20"/>
          <w:lang w:val="en"/>
        </w:rPr>
        <w:t xml:space="preserve"> such an analysis </w:t>
      </w:r>
      <w:r w:rsidR="0026335E" w:rsidRPr="009556F8">
        <w:rPr>
          <w:rFonts w:ascii="Cambria" w:hAnsi="Cambria" w:cs="Calibri"/>
          <w:sz w:val="20"/>
          <w:szCs w:val="20"/>
          <w:lang w:val="en"/>
        </w:rPr>
        <w:t>at</w:t>
      </w:r>
      <w:r w:rsidRPr="009556F8">
        <w:rPr>
          <w:rFonts w:ascii="Cambria" w:hAnsi="Cambria" w:cs="Calibri"/>
          <w:sz w:val="20"/>
          <w:szCs w:val="20"/>
          <w:lang w:val="en"/>
        </w:rPr>
        <w:t xml:space="preserve"> the </w:t>
      </w:r>
      <w:r w:rsidR="001F483C" w:rsidRPr="009556F8">
        <w:rPr>
          <w:rFonts w:ascii="Cambria" w:hAnsi="Cambria" w:cs="Calibri"/>
          <w:sz w:val="20"/>
          <w:szCs w:val="20"/>
          <w:lang w:val="en"/>
        </w:rPr>
        <w:t>a</w:t>
      </w:r>
      <w:r w:rsidRPr="009556F8">
        <w:rPr>
          <w:rFonts w:ascii="Cambria" w:hAnsi="Cambria" w:cs="Calibri"/>
          <w:sz w:val="20"/>
          <w:szCs w:val="20"/>
          <w:lang w:val="en"/>
        </w:rPr>
        <w:t xml:space="preserve">dmissibility </w:t>
      </w:r>
      <w:r w:rsidR="0026335E" w:rsidRPr="009556F8">
        <w:rPr>
          <w:rFonts w:ascii="Cambria" w:hAnsi="Cambria" w:cs="Calibri"/>
          <w:sz w:val="20"/>
          <w:szCs w:val="20"/>
          <w:lang w:val="en"/>
        </w:rPr>
        <w:t xml:space="preserve">stage </w:t>
      </w:r>
      <w:r w:rsidRPr="009556F8">
        <w:rPr>
          <w:rFonts w:ascii="Cambria" w:hAnsi="Cambria" w:cs="Calibri"/>
          <w:sz w:val="20"/>
          <w:szCs w:val="20"/>
          <w:lang w:val="en"/>
        </w:rPr>
        <w:t xml:space="preserve">would be </w:t>
      </w:r>
      <w:r w:rsidR="00CD5122" w:rsidRPr="009556F8">
        <w:rPr>
          <w:rFonts w:ascii="Cambria" w:hAnsi="Cambria" w:cs="Calibri"/>
          <w:sz w:val="20"/>
          <w:szCs w:val="20"/>
          <w:lang w:val="en"/>
        </w:rPr>
        <w:t>inadequate</w:t>
      </w:r>
      <w:r w:rsidRPr="009556F8">
        <w:rPr>
          <w:rFonts w:ascii="Cambria" w:hAnsi="Cambria" w:cs="Calibri"/>
          <w:sz w:val="20"/>
          <w:szCs w:val="20"/>
          <w:lang w:val="en"/>
        </w:rPr>
        <w:t xml:space="preserve">. </w:t>
      </w:r>
    </w:p>
    <w:p w14:paraId="5C7AE792" w14:textId="77777777" w:rsidR="009556F8" w:rsidRPr="008A2C7D" w:rsidRDefault="009556F8" w:rsidP="009556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p>
    <w:p w14:paraId="33374104" w14:textId="2E6E0E97" w:rsidR="005358E2" w:rsidRPr="008A2C7D" w:rsidRDefault="00E241F7" w:rsidP="008A2C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A2C7D">
        <w:rPr>
          <w:rFonts w:ascii="Cambria" w:hAnsi="Cambria"/>
          <w:sz w:val="20"/>
          <w:szCs w:val="20"/>
          <w:lang w:val="en"/>
        </w:rPr>
        <w:t xml:space="preserve">With respect to </w:t>
      </w:r>
      <w:r w:rsidR="005358E2" w:rsidRPr="008A2C7D">
        <w:rPr>
          <w:rFonts w:ascii="Cambria" w:hAnsi="Cambria"/>
          <w:sz w:val="20"/>
          <w:szCs w:val="20"/>
          <w:lang w:val="en"/>
        </w:rPr>
        <w:t xml:space="preserve">the ordinary system of judicial redress, </w:t>
      </w:r>
      <w:bookmarkStart w:id="2" w:name="_Hlk3667449"/>
      <w:r w:rsidR="00BD6907" w:rsidRPr="008A2C7D">
        <w:rPr>
          <w:rFonts w:ascii="Cambria" w:hAnsi="Cambria"/>
          <w:sz w:val="20"/>
          <w:szCs w:val="20"/>
          <w:lang w:val="en"/>
        </w:rPr>
        <w:t>t</w:t>
      </w:r>
      <w:r w:rsidR="00BD6907" w:rsidRPr="008A2C7D">
        <w:rPr>
          <w:rFonts w:ascii="Cambria" w:hAnsi="Cambria" w:cs="Calibri"/>
          <w:sz w:val="20"/>
          <w:szCs w:val="20"/>
        </w:rPr>
        <w:t>he IACHR has established that the requirement to exhaust all domestic remedies does not necessarily mean that alleged victims are obligated to exhaust all remedies at their disposal</w:t>
      </w:r>
      <w:r w:rsidR="005358E2" w:rsidRPr="008A2C7D">
        <w:rPr>
          <w:rFonts w:ascii="Cambria" w:hAnsi="Cambria"/>
          <w:sz w:val="20"/>
          <w:szCs w:val="20"/>
          <w:lang w:val="en"/>
        </w:rPr>
        <w:t>.</w:t>
      </w:r>
      <w:r w:rsidR="005358E2" w:rsidRPr="008A2C7D">
        <w:rPr>
          <w:rFonts w:ascii="Cambria" w:hAnsi="Cambria"/>
          <w:sz w:val="20"/>
          <w:szCs w:val="20"/>
          <w:vertAlign w:val="superscript"/>
          <w:lang w:val="en"/>
        </w:rPr>
        <w:footnoteReference w:id="9"/>
      </w:r>
      <w:r w:rsidR="005358E2" w:rsidRPr="008A2C7D">
        <w:rPr>
          <w:rFonts w:ascii="Cambria" w:hAnsi="Cambria"/>
          <w:sz w:val="20"/>
          <w:szCs w:val="20"/>
          <w:lang w:val="en"/>
        </w:rPr>
        <w:t xml:space="preserve"> Given that the remedy pursued by the alleged victim is </w:t>
      </w:r>
      <w:r w:rsidRPr="008A2C7D">
        <w:rPr>
          <w:rFonts w:ascii="Cambria" w:hAnsi="Cambria"/>
          <w:sz w:val="20"/>
          <w:szCs w:val="20"/>
          <w:lang w:val="en"/>
        </w:rPr>
        <w:t>recognized and deemed</w:t>
      </w:r>
      <w:r w:rsidR="005358E2" w:rsidRPr="008A2C7D">
        <w:rPr>
          <w:rFonts w:ascii="Cambria" w:hAnsi="Cambria"/>
          <w:sz w:val="20"/>
          <w:szCs w:val="20"/>
          <w:lang w:val="en"/>
        </w:rPr>
        <w:t xml:space="preserve"> appropriate, the IACHR </w:t>
      </w:r>
      <w:r w:rsidRPr="008A2C7D">
        <w:rPr>
          <w:rFonts w:ascii="Cambria" w:hAnsi="Cambria"/>
          <w:sz w:val="20"/>
          <w:szCs w:val="20"/>
          <w:lang w:val="en"/>
        </w:rPr>
        <w:t xml:space="preserve">considers </w:t>
      </w:r>
      <w:r w:rsidR="005358E2" w:rsidRPr="008A2C7D">
        <w:rPr>
          <w:rFonts w:ascii="Cambria" w:hAnsi="Cambria"/>
          <w:sz w:val="20"/>
          <w:szCs w:val="20"/>
          <w:lang w:val="en"/>
        </w:rPr>
        <w:t xml:space="preserve">that, in this case, the alleged victim raised the issue by way of any </w:t>
      </w:r>
      <w:r w:rsidR="00BD6907" w:rsidRPr="008A2C7D">
        <w:rPr>
          <w:rFonts w:ascii="Cambria" w:hAnsi="Cambria"/>
          <w:sz w:val="20"/>
          <w:szCs w:val="20"/>
          <w:lang w:val="en"/>
        </w:rPr>
        <w:lastRenderedPageBreak/>
        <w:t xml:space="preserve">of the valid and applicable </w:t>
      </w:r>
      <w:r w:rsidR="005358E2" w:rsidRPr="008A2C7D">
        <w:rPr>
          <w:rFonts w:ascii="Cambria" w:hAnsi="Cambria"/>
          <w:sz w:val="20"/>
          <w:szCs w:val="20"/>
          <w:lang w:val="en"/>
        </w:rPr>
        <w:t xml:space="preserve">options </w:t>
      </w:r>
      <w:r w:rsidR="00BD6907" w:rsidRPr="008A2C7D">
        <w:rPr>
          <w:rFonts w:ascii="Cambria" w:hAnsi="Cambria" w:cs="Calibri"/>
          <w:sz w:val="20"/>
          <w:szCs w:val="20"/>
        </w:rPr>
        <w:t>in accordance with the domestic legal system</w:t>
      </w:r>
      <w:r w:rsidR="005358E2" w:rsidRPr="008A2C7D">
        <w:rPr>
          <w:rFonts w:ascii="Cambria" w:hAnsi="Cambria"/>
          <w:sz w:val="20"/>
          <w:szCs w:val="20"/>
          <w:lang w:val="en"/>
        </w:rPr>
        <w:t>, and that th</w:t>
      </w:r>
      <w:r w:rsidR="00BD6907" w:rsidRPr="008A2C7D">
        <w:rPr>
          <w:rFonts w:ascii="Cambria" w:hAnsi="Cambria"/>
          <w:sz w:val="20"/>
          <w:szCs w:val="20"/>
          <w:lang w:val="en"/>
        </w:rPr>
        <w:t>e State had the opportunity to remedy</w:t>
      </w:r>
      <w:r w:rsidR="005358E2" w:rsidRPr="008A2C7D">
        <w:rPr>
          <w:rFonts w:ascii="Cambria" w:hAnsi="Cambria"/>
          <w:sz w:val="20"/>
          <w:szCs w:val="20"/>
          <w:lang w:val="en"/>
        </w:rPr>
        <w:t xml:space="preserve"> the </w:t>
      </w:r>
      <w:r w:rsidR="00BD6907" w:rsidRPr="008A2C7D">
        <w:rPr>
          <w:rFonts w:ascii="Cambria" w:hAnsi="Cambria"/>
          <w:sz w:val="20"/>
          <w:szCs w:val="20"/>
          <w:lang w:val="en"/>
        </w:rPr>
        <w:t xml:space="preserve">matter </w:t>
      </w:r>
      <w:r w:rsidR="005358E2" w:rsidRPr="008A2C7D">
        <w:rPr>
          <w:rFonts w:ascii="Cambria" w:hAnsi="Cambria"/>
          <w:sz w:val="20"/>
          <w:szCs w:val="20"/>
          <w:lang w:val="en"/>
        </w:rPr>
        <w:t xml:space="preserve">under its jurisdiction; </w:t>
      </w:r>
      <w:r w:rsidR="00BD6907" w:rsidRPr="008A2C7D">
        <w:rPr>
          <w:rFonts w:ascii="Cambria" w:hAnsi="Cambria"/>
          <w:sz w:val="20"/>
          <w:szCs w:val="20"/>
          <w:lang w:val="en"/>
        </w:rPr>
        <w:t>then</w:t>
      </w:r>
      <w:r w:rsidR="005358E2" w:rsidRPr="008A2C7D">
        <w:rPr>
          <w:rFonts w:ascii="Cambria" w:hAnsi="Cambria"/>
          <w:sz w:val="20"/>
          <w:szCs w:val="20"/>
          <w:lang w:val="en"/>
        </w:rPr>
        <w:t xml:space="preserve">, </w:t>
      </w:r>
      <w:r w:rsidR="00BD6907" w:rsidRPr="008A2C7D">
        <w:rPr>
          <w:rFonts w:ascii="Cambria" w:hAnsi="Cambria" w:cs="Calibri"/>
          <w:sz w:val="20"/>
          <w:szCs w:val="20"/>
        </w:rPr>
        <w:t xml:space="preserve">the objective of international law </w:t>
      </w:r>
      <w:r w:rsidR="005358E2" w:rsidRPr="008A2C7D">
        <w:rPr>
          <w:rFonts w:ascii="Cambria" w:hAnsi="Cambria"/>
          <w:sz w:val="20"/>
          <w:szCs w:val="20"/>
          <w:lang w:val="en"/>
        </w:rPr>
        <w:t xml:space="preserve">must be considered to have been </w:t>
      </w:r>
      <w:r w:rsidR="00BD6907" w:rsidRPr="008A2C7D">
        <w:rPr>
          <w:rFonts w:ascii="Cambria" w:hAnsi="Cambria"/>
          <w:sz w:val="20"/>
          <w:szCs w:val="20"/>
          <w:lang w:val="en"/>
        </w:rPr>
        <w:t>achieved</w:t>
      </w:r>
      <w:r w:rsidR="005358E2" w:rsidRPr="008A2C7D">
        <w:rPr>
          <w:rFonts w:ascii="Cambria" w:hAnsi="Cambria"/>
          <w:sz w:val="20"/>
          <w:szCs w:val="20"/>
          <w:lang w:val="en"/>
        </w:rPr>
        <w:t>.</w:t>
      </w:r>
      <w:r w:rsidR="005358E2" w:rsidRPr="008A2C7D">
        <w:rPr>
          <w:rFonts w:ascii="Cambria" w:hAnsi="Cambria"/>
          <w:sz w:val="20"/>
          <w:szCs w:val="20"/>
          <w:vertAlign w:val="superscript"/>
          <w:lang w:val="en"/>
        </w:rPr>
        <w:footnoteReference w:id="10"/>
      </w:r>
      <w:r w:rsidR="005358E2" w:rsidRPr="008A2C7D">
        <w:rPr>
          <w:rFonts w:ascii="Cambria" w:hAnsi="Cambria"/>
          <w:sz w:val="20"/>
          <w:szCs w:val="20"/>
          <w:lang w:val="en"/>
        </w:rPr>
        <w:t xml:space="preserve"> </w:t>
      </w:r>
      <w:bookmarkEnd w:id="2"/>
      <w:r w:rsidR="005358E2" w:rsidRPr="008A2C7D">
        <w:rPr>
          <w:rFonts w:ascii="Cambria" w:hAnsi="Cambria"/>
          <w:sz w:val="20"/>
          <w:szCs w:val="20"/>
          <w:lang w:val="en"/>
        </w:rPr>
        <w:t>Therefore, the exhaustion of an ordinary trial was not</w:t>
      </w:r>
      <w:r w:rsidR="008A2C7D" w:rsidRPr="008A2C7D">
        <w:rPr>
          <w:rFonts w:ascii="Cambria" w:hAnsi="Cambria"/>
          <w:sz w:val="20"/>
          <w:szCs w:val="20"/>
          <w:lang w:val="en"/>
        </w:rPr>
        <w:t xml:space="preserve"> a remedy that had to be exhausted </w:t>
      </w:r>
      <w:r w:rsidR="005358E2" w:rsidRPr="008A2C7D">
        <w:rPr>
          <w:rFonts w:ascii="Cambria" w:hAnsi="Cambria"/>
          <w:sz w:val="20"/>
          <w:szCs w:val="20"/>
          <w:lang w:val="en"/>
        </w:rPr>
        <w:t xml:space="preserve">before </w:t>
      </w:r>
      <w:r w:rsidR="008A2C7D" w:rsidRPr="008A2C7D">
        <w:rPr>
          <w:rFonts w:ascii="Cambria" w:hAnsi="Cambria"/>
          <w:sz w:val="20"/>
          <w:szCs w:val="20"/>
          <w:lang w:val="en"/>
        </w:rPr>
        <w:t>filing a petition before the I</w:t>
      </w:r>
      <w:r w:rsidR="005358E2" w:rsidRPr="008A2C7D">
        <w:rPr>
          <w:rFonts w:ascii="Cambria" w:hAnsi="Cambria"/>
          <w:sz w:val="20"/>
          <w:szCs w:val="20"/>
          <w:lang w:val="en"/>
        </w:rPr>
        <w:t>nter-American system o</w:t>
      </w:r>
      <w:r w:rsidR="008A2C7D" w:rsidRPr="008A2C7D">
        <w:rPr>
          <w:rFonts w:ascii="Cambria" w:hAnsi="Cambria"/>
          <w:sz w:val="20"/>
          <w:szCs w:val="20"/>
          <w:lang w:val="en"/>
        </w:rPr>
        <w:t>f</w:t>
      </w:r>
      <w:r w:rsidR="005358E2" w:rsidRPr="008A2C7D">
        <w:rPr>
          <w:rFonts w:ascii="Cambria" w:hAnsi="Cambria"/>
          <w:sz w:val="20"/>
          <w:szCs w:val="20"/>
          <w:lang w:val="en"/>
        </w:rPr>
        <w:t xml:space="preserve"> human rights, and </w:t>
      </w:r>
      <w:r w:rsidR="008A2C7D" w:rsidRPr="008A2C7D">
        <w:rPr>
          <w:rFonts w:ascii="Cambria" w:hAnsi="Cambria"/>
          <w:sz w:val="20"/>
          <w:szCs w:val="20"/>
          <w:lang w:val="en"/>
        </w:rPr>
        <w:t>he IACHR considers that domestic remedies have been exhausted sufficiently for the purposes of this admissibility stage, thus complying with the what is established by article 46.1.a of the Convention.</w:t>
      </w:r>
      <w:r w:rsidR="005358E2" w:rsidRPr="008A2C7D">
        <w:rPr>
          <w:rFonts w:ascii="Cambria" w:hAnsi="Cambria"/>
          <w:sz w:val="20"/>
          <w:szCs w:val="20"/>
          <w:lang w:val="en"/>
        </w:rPr>
        <w:t xml:space="preserve"> </w:t>
      </w:r>
    </w:p>
    <w:p w14:paraId="172F3347" w14:textId="77777777" w:rsidR="009556F8" w:rsidRPr="008A2C7D" w:rsidRDefault="009556F8" w:rsidP="009556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highlight w:val="yellow"/>
        </w:rPr>
      </w:pPr>
    </w:p>
    <w:p w14:paraId="16FE793E" w14:textId="77777777" w:rsidR="00E241F7" w:rsidRDefault="005358E2" w:rsidP="00E241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A2C7D">
        <w:rPr>
          <w:rFonts w:ascii="Cambria" w:hAnsi="Cambria"/>
          <w:sz w:val="20"/>
          <w:szCs w:val="20"/>
          <w:lang w:val="en"/>
        </w:rPr>
        <w:t xml:space="preserve">As for </w:t>
      </w:r>
      <w:r w:rsidR="009556F8" w:rsidRPr="008A2C7D">
        <w:rPr>
          <w:rFonts w:ascii="Cambria" w:hAnsi="Cambria"/>
          <w:sz w:val="20"/>
          <w:szCs w:val="20"/>
          <w:lang w:val="en"/>
        </w:rPr>
        <w:t xml:space="preserve">the </w:t>
      </w:r>
      <w:r w:rsidRPr="008A2C7D">
        <w:rPr>
          <w:rFonts w:ascii="Cambria" w:hAnsi="Cambria"/>
          <w:sz w:val="20"/>
          <w:szCs w:val="20"/>
          <w:lang w:val="en"/>
        </w:rPr>
        <w:t>timeliness</w:t>
      </w:r>
      <w:r w:rsidR="009556F8" w:rsidRPr="008A2C7D">
        <w:rPr>
          <w:rFonts w:ascii="Cambria" w:hAnsi="Cambria"/>
          <w:sz w:val="20"/>
          <w:szCs w:val="20"/>
          <w:lang w:val="en"/>
        </w:rPr>
        <w:t xml:space="preserve"> of the petition</w:t>
      </w:r>
      <w:r w:rsidRPr="008A2C7D">
        <w:rPr>
          <w:rFonts w:ascii="Cambria" w:hAnsi="Cambria"/>
          <w:sz w:val="20"/>
          <w:szCs w:val="20"/>
          <w:lang w:val="en"/>
        </w:rPr>
        <w:t xml:space="preserve">, the Commission observes that the alleged victim was notified of the Supreme </w:t>
      </w:r>
      <w:r w:rsidRPr="009556F8">
        <w:rPr>
          <w:rFonts w:ascii="Cambria" w:hAnsi="Cambria"/>
          <w:sz w:val="20"/>
          <w:szCs w:val="20"/>
          <w:lang w:val="en"/>
        </w:rPr>
        <w:t>Court’s final judgment on April 7, 2010</w:t>
      </w:r>
      <w:r w:rsidR="001F483C" w:rsidRPr="009556F8">
        <w:rPr>
          <w:rFonts w:ascii="Cambria" w:hAnsi="Cambria"/>
          <w:sz w:val="20"/>
          <w:szCs w:val="20"/>
          <w:lang w:val="en"/>
        </w:rPr>
        <w:t>,</w:t>
      </w:r>
      <w:r w:rsidRPr="009556F8">
        <w:rPr>
          <w:rFonts w:ascii="Cambria" w:hAnsi="Cambria"/>
          <w:sz w:val="20"/>
          <w:szCs w:val="20"/>
          <w:lang w:val="en"/>
        </w:rPr>
        <w:t xml:space="preserve"> and that this petition was received on October 5, 2010. Thus, the Commission believes that </w:t>
      </w:r>
      <w:r w:rsidR="003F479C" w:rsidRPr="009556F8">
        <w:rPr>
          <w:rFonts w:ascii="Cambria" w:hAnsi="Cambria"/>
          <w:sz w:val="20"/>
          <w:szCs w:val="20"/>
          <w:lang w:val="en"/>
        </w:rPr>
        <w:t>it</w:t>
      </w:r>
      <w:r w:rsidRPr="009556F8">
        <w:rPr>
          <w:rFonts w:ascii="Cambria" w:hAnsi="Cambria"/>
          <w:sz w:val="20"/>
          <w:szCs w:val="20"/>
          <w:lang w:val="en"/>
        </w:rPr>
        <w:t xml:space="preserve"> was filed within a reasonable period and </w:t>
      </w:r>
      <w:r w:rsidR="003F479C" w:rsidRPr="009556F8">
        <w:rPr>
          <w:rFonts w:ascii="Cambria" w:hAnsi="Cambria"/>
          <w:sz w:val="20"/>
          <w:szCs w:val="20"/>
          <w:lang w:val="en"/>
        </w:rPr>
        <w:t xml:space="preserve">that </w:t>
      </w:r>
      <w:r w:rsidRPr="009556F8">
        <w:rPr>
          <w:rFonts w:ascii="Cambria" w:hAnsi="Cambria"/>
          <w:sz w:val="20"/>
          <w:szCs w:val="20"/>
          <w:lang w:val="en"/>
        </w:rPr>
        <w:t xml:space="preserve">the requirement of timeliness must be declared met. </w:t>
      </w:r>
    </w:p>
    <w:p w14:paraId="6E246787" w14:textId="77777777" w:rsidR="00E241F7" w:rsidRPr="00E241F7" w:rsidRDefault="00E241F7" w:rsidP="00E241F7">
      <w:pPr>
        <w:pStyle w:val="ListParagraph"/>
        <w:rPr>
          <w:sz w:val="20"/>
          <w:szCs w:val="20"/>
        </w:rPr>
      </w:pPr>
    </w:p>
    <w:p w14:paraId="527030FA" w14:textId="3B7E0F79" w:rsidR="00E241F7" w:rsidRPr="00E241F7" w:rsidRDefault="00E241F7" w:rsidP="00E241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241F7">
        <w:rPr>
          <w:rFonts w:ascii="Cambria" w:hAnsi="Cambria"/>
          <w:sz w:val="20"/>
          <w:szCs w:val="20"/>
        </w:rPr>
        <w:t>The Inter-American Commission takes note of the State’s complaint alleging the untimely notification of the petition. In this regard, the IACHR states that after a petition has been received, there is no deadline for it to be referred to the State under neither the American Convention nor the Commission’s Rules of Procedure. It also affirms that the time periods established in the Rules and the Convention for other processing stages do not apply by analogy.</w:t>
      </w:r>
    </w:p>
    <w:p w14:paraId="22A312F7" w14:textId="77777777" w:rsidR="00C454A5" w:rsidRPr="00630A28" w:rsidRDefault="00C454A5" w:rsidP="008E3CF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7750260" w14:textId="55ADBC3D" w:rsidR="005358E2" w:rsidRDefault="005358E2" w:rsidP="00C454A5">
      <w:pPr>
        <w:pStyle w:val="ListParagraph"/>
        <w:numPr>
          <w:ilvl w:val="0"/>
          <w:numId w:val="108"/>
        </w:numPr>
        <w:ind w:left="0" w:firstLine="720"/>
        <w:jc w:val="both"/>
        <w:rPr>
          <w:b/>
          <w:bCs/>
          <w:sz w:val="20"/>
          <w:szCs w:val="20"/>
          <w:lang w:val="en"/>
        </w:rPr>
      </w:pPr>
      <w:r>
        <w:rPr>
          <w:b/>
          <w:bCs/>
          <w:sz w:val="20"/>
          <w:szCs w:val="20"/>
          <w:lang w:val="en"/>
        </w:rPr>
        <w:t>COLORABLE CLAIM</w:t>
      </w:r>
    </w:p>
    <w:p w14:paraId="651B567C" w14:textId="77777777" w:rsidR="00C454A5" w:rsidRPr="00F33779" w:rsidRDefault="00C454A5" w:rsidP="00C454A5">
      <w:pPr>
        <w:pStyle w:val="ListParagraph"/>
        <w:jc w:val="both"/>
        <w:rPr>
          <w:b/>
          <w:bCs/>
          <w:sz w:val="20"/>
          <w:szCs w:val="20"/>
        </w:rPr>
      </w:pPr>
    </w:p>
    <w:p w14:paraId="4EE8E854" w14:textId="4C85AE65" w:rsidR="005358E2" w:rsidRPr="00C454A5" w:rsidRDefault="005358E2" w:rsidP="00C454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The petitioners argue that the State is responsible for the violation of the alleged victim’s human rights</w:t>
      </w:r>
      <w:r>
        <w:rPr>
          <w:rStyle w:val="FootnoteReference"/>
          <w:rFonts w:ascii="Cambria" w:hAnsi="Cambria"/>
          <w:sz w:val="20"/>
          <w:szCs w:val="20"/>
          <w:lang w:val="en"/>
        </w:rPr>
        <w:footnoteReference w:id="11"/>
      </w:r>
      <w:r w:rsidR="00454F2B">
        <w:rPr>
          <w:rFonts w:ascii="Cambria" w:hAnsi="Cambria"/>
          <w:sz w:val="20"/>
          <w:szCs w:val="20"/>
          <w:lang w:val="en"/>
        </w:rPr>
        <w:t xml:space="preserve"> and denounce the failure of the Argentine State to comply with </w:t>
      </w:r>
      <w:r>
        <w:rPr>
          <w:rFonts w:ascii="Cambria" w:hAnsi="Cambria"/>
          <w:sz w:val="20"/>
          <w:szCs w:val="20"/>
          <w:lang w:val="en"/>
        </w:rPr>
        <w:t xml:space="preserve">the Convention, </w:t>
      </w:r>
      <w:r w:rsidR="00454F2B">
        <w:rPr>
          <w:rFonts w:ascii="Cambria" w:hAnsi="Cambria"/>
          <w:sz w:val="20"/>
          <w:szCs w:val="20"/>
          <w:lang w:val="en"/>
        </w:rPr>
        <w:t xml:space="preserve">both as regards to the </w:t>
      </w:r>
      <w:r>
        <w:rPr>
          <w:rFonts w:ascii="Cambria" w:hAnsi="Cambria"/>
          <w:sz w:val="20"/>
          <w:szCs w:val="20"/>
          <w:lang w:val="en"/>
        </w:rPr>
        <w:t xml:space="preserve">due process and equal protection of the law as well as the obligation to redress human rights violations perpetrated by the State. Reparation here being understood not only as compensation but also as recognition by the State that the complainant was a victim of political persecution forced to exile leaving his family, university studies, job, and </w:t>
      </w:r>
      <w:r w:rsidR="00454F2B">
        <w:rPr>
          <w:rFonts w:ascii="Cambria" w:hAnsi="Cambria"/>
          <w:sz w:val="20"/>
          <w:szCs w:val="20"/>
          <w:lang w:val="en"/>
        </w:rPr>
        <w:t xml:space="preserve">his daily </w:t>
      </w:r>
      <w:r>
        <w:rPr>
          <w:rFonts w:ascii="Cambria" w:hAnsi="Cambria"/>
          <w:sz w:val="20"/>
          <w:szCs w:val="20"/>
          <w:lang w:val="en"/>
        </w:rPr>
        <w:t xml:space="preserve">life, </w:t>
      </w:r>
      <w:r w:rsidR="00454F2B">
        <w:rPr>
          <w:rFonts w:ascii="Cambria" w:hAnsi="Cambria"/>
          <w:sz w:val="20"/>
          <w:szCs w:val="20"/>
          <w:lang w:val="en"/>
        </w:rPr>
        <w:t xml:space="preserve">as </w:t>
      </w:r>
      <w:r>
        <w:rPr>
          <w:rFonts w:ascii="Cambria" w:hAnsi="Cambria"/>
          <w:sz w:val="20"/>
          <w:szCs w:val="20"/>
          <w:lang w:val="en"/>
        </w:rPr>
        <w:t xml:space="preserve">the only way to preserve his life and </w:t>
      </w:r>
      <w:r w:rsidR="00454F2B">
        <w:rPr>
          <w:rFonts w:ascii="Cambria" w:hAnsi="Cambria"/>
          <w:sz w:val="20"/>
          <w:szCs w:val="20"/>
          <w:lang w:val="en"/>
        </w:rPr>
        <w:t>freedom</w:t>
      </w:r>
      <w:r>
        <w:rPr>
          <w:rFonts w:ascii="Cambria" w:hAnsi="Cambria"/>
          <w:sz w:val="20"/>
          <w:szCs w:val="20"/>
          <w:lang w:val="en"/>
        </w:rPr>
        <w:t xml:space="preserve">. </w:t>
      </w:r>
    </w:p>
    <w:p w14:paraId="64D1BB32" w14:textId="77777777" w:rsidR="00C454A5" w:rsidRPr="00262F02" w:rsidRDefault="00C454A5" w:rsidP="00C454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825B4FB" w14:textId="6D6B4D53" w:rsidR="005358E2" w:rsidRPr="00C454A5" w:rsidRDefault="005358E2" w:rsidP="00C454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The State asserts that the facts alleged here do not constitute human rights violations; and that</w:t>
      </w:r>
      <w:r w:rsidR="001625F9">
        <w:rPr>
          <w:rFonts w:ascii="Cambria" w:hAnsi="Cambria"/>
          <w:sz w:val="20"/>
          <w:szCs w:val="20"/>
          <w:lang w:val="en"/>
        </w:rPr>
        <w:t xml:space="preserve">, on the contrary, </w:t>
      </w:r>
      <w:r>
        <w:rPr>
          <w:rFonts w:ascii="Cambria" w:hAnsi="Cambria"/>
          <w:sz w:val="20"/>
          <w:szCs w:val="20"/>
          <w:lang w:val="en"/>
        </w:rPr>
        <w:t>the petitioners seek that the Commission work as a fourth instance of jurisdiction to review legal and factual judgments by judicial and administrative domestic courts acting within their jurisdiction that ruled to dismiss the claims, in accordance with due process. It also indicates that the petitioners and the alleged victim recognize that Mr. Ramos Marrau is one of the beneficiaries of laws No. 26</w:t>
      </w:r>
      <w:r w:rsidR="001625F9">
        <w:rPr>
          <w:rFonts w:ascii="Cambria" w:hAnsi="Cambria"/>
          <w:sz w:val="20"/>
          <w:szCs w:val="20"/>
          <w:lang w:val="en"/>
        </w:rPr>
        <w:t>.</w:t>
      </w:r>
      <w:r>
        <w:rPr>
          <w:rFonts w:ascii="Cambria" w:hAnsi="Cambria"/>
          <w:sz w:val="20"/>
          <w:szCs w:val="20"/>
          <w:lang w:val="en"/>
        </w:rPr>
        <w:t>564 and No. 26</w:t>
      </w:r>
      <w:r w:rsidR="001625F9">
        <w:rPr>
          <w:rFonts w:ascii="Cambria" w:hAnsi="Cambria"/>
          <w:sz w:val="20"/>
          <w:szCs w:val="20"/>
          <w:lang w:val="en"/>
        </w:rPr>
        <w:t>.</w:t>
      </w:r>
      <w:r>
        <w:rPr>
          <w:rFonts w:ascii="Cambria" w:hAnsi="Cambria"/>
          <w:sz w:val="20"/>
          <w:szCs w:val="20"/>
          <w:lang w:val="en"/>
        </w:rPr>
        <w:t>913.</w:t>
      </w:r>
    </w:p>
    <w:p w14:paraId="5D07596F" w14:textId="77777777" w:rsidR="00C454A5" w:rsidRPr="00262F02" w:rsidRDefault="00C454A5" w:rsidP="00C454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99CF28D" w14:textId="045980AC" w:rsidR="005358E2" w:rsidRPr="00C454A5" w:rsidRDefault="00C835E7" w:rsidP="00C454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Based on</w:t>
      </w:r>
      <w:r w:rsidR="005358E2">
        <w:rPr>
          <w:rFonts w:ascii="Cambria" w:hAnsi="Cambria"/>
          <w:sz w:val="20"/>
          <w:szCs w:val="20"/>
          <w:lang w:val="en"/>
        </w:rPr>
        <w:t xml:space="preserve"> the legal and factual elements submitted by the parties, the IACHR considers that, if proven, the facts alleged regarding the procedure pursued to seek reparation for the alleged victim for his enforced exile may tend to establish violations of the rights protected by Articles 8 (fair trial) and 25 (judicial protection) of the American Convention, in relation to its Article 1.1, to the detriment of Mr. Ramos Marrau. </w:t>
      </w:r>
    </w:p>
    <w:p w14:paraId="365FCAC3" w14:textId="77777777" w:rsidR="00C454A5" w:rsidRDefault="00C454A5" w:rsidP="00C454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511DE3E" w14:textId="4E7DD4E4" w:rsidR="005358E2" w:rsidRPr="00C454A5" w:rsidRDefault="005358E2" w:rsidP="00C454A5">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bookmarkStart w:id="3" w:name="_Hlk3667545"/>
      <w:r w:rsidRPr="003C6A29">
        <w:rPr>
          <w:rFonts w:ascii="Cambria" w:hAnsi="Cambria"/>
          <w:sz w:val="20"/>
          <w:szCs w:val="20"/>
          <w:lang w:val="en"/>
        </w:rPr>
        <w:t>Regarding the alleged violation of Article 24, the Commission has established that “the right to equal protection of the law cannot be assimilated to the right to equal outcome in judicial proceedings involving the same subject matter.”</w:t>
      </w:r>
      <w:r>
        <w:rPr>
          <w:rStyle w:val="FootnoteReference"/>
          <w:rFonts w:ascii="Cambria" w:hAnsi="Cambria"/>
          <w:sz w:val="20"/>
          <w:szCs w:val="20"/>
          <w:lang w:val="en"/>
        </w:rPr>
        <w:footnoteReference w:id="12"/>
      </w:r>
      <w:r w:rsidRPr="003C6A29">
        <w:rPr>
          <w:rFonts w:ascii="Cambria" w:hAnsi="Cambria"/>
          <w:sz w:val="20"/>
          <w:szCs w:val="20"/>
          <w:lang w:val="en"/>
        </w:rPr>
        <w:t xml:space="preserve"> </w:t>
      </w:r>
      <w:r w:rsidR="001625F9">
        <w:rPr>
          <w:rFonts w:ascii="Cambria" w:hAnsi="Cambria"/>
          <w:sz w:val="20"/>
          <w:szCs w:val="20"/>
          <w:lang w:val="en"/>
        </w:rPr>
        <w:t xml:space="preserve">The Commission states that </w:t>
      </w:r>
      <w:r w:rsidRPr="003C6A29">
        <w:rPr>
          <w:rFonts w:ascii="Cambria" w:hAnsi="Cambria"/>
          <w:sz w:val="20"/>
          <w:szCs w:val="20"/>
          <w:lang w:val="en"/>
        </w:rPr>
        <w:t xml:space="preserve">a mere reference to other decisions on the same subject matter with </w:t>
      </w:r>
      <w:r w:rsidR="00893AE2">
        <w:rPr>
          <w:rFonts w:ascii="Cambria" w:hAnsi="Cambria"/>
          <w:sz w:val="20"/>
          <w:szCs w:val="20"/>
          <w:lang w:val="en"/>
        </w:rPr>
        <w:t xml:space="preserve">a </w:t>
      </w:r>
      <w:r w:rsidRPr="003C6A29">
        <w:rPr>
          <w:rFonts w:ascii="Cambria" w:hAnsi="Cambria"/>
          <w:sz w:val="20"/>
          <w:szCs w:val="20"/>
          <w:lang w:val="en"/>
        </w:rPr>
        <w:t xml:space="preserve">different outcome does not suffice to </w:t>
      </w:r>
      <w:r w:rsidRPr="003C6A29">
        <w:rPr>
          <w:rFonts w:ascii="Cambria" w:hAnsi="Cambria"/>
          <w:i/>
          <w:iCs/>
          <w:sz w:val="20"/>
          <w:szCs w:val="20"/>
          <w:lang w:val="en"/>
        </w:rPr>
        <w:t>prima facie</w:t>
      </w:r>
      <w:r w:rsidRPr="003C6A29">
        <w:rPr>
          <w:rFonts w:ascii="Cambria" w:hAnsi="Cambria"/>
          <w:sz w:val="20"/>
          <w:szCs w:val="20"/>
          <w:lang w:val="en"/>
        </w:rPr>
        <w:t xml:space="preserve"> establish a possible violation of Article 24 of the Convention.</w:t>
      </w:r>
      <w:bookmarkEnd w:id="3"/>
      <w:r w:rsidRPr="003C6A29">
        <w:rPr>
          <w:rFonts w:ascii="Cambria" w:hAnsi="Cambria"/>
          <w:sz w:val="20"/>
          <w:szCs w:val="20"/>
          <w:lang w:val="en"/>
        </w:rPr>
        <w:t xml:space="preserve"> </w:t>
      </w:r>
    </w:p>
    <w:p w14:paraId="58088228" w14:textId="77777777" w:rsidR="00C454A5" w:rsidRPr="003C6A29" w:rsidRDefault="00C454A5" w:rsidP="00C454A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p>
    <w:p w14:paraId="2987D441" w14:textId="7682FF00" w:rsidR="005358E2" w:rsidRPr="003C6A29" w:rsidRDefault="005358E2" w:rsidP="00C454A5">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3C6A29">
        <w:rPr>
          <w:rFonts w:ascii="Cambria" w:hAnsi="Cambria"/>
          <w:sz w:val="20"/>
          <w:szCs w:val="20"/>
          <w:lang w:val="en"/>
        </w:rPr>
        <w:t xml:space="preserve">As to the claim about the fourth-instance formula, the Commission observes that </w:t>
      </w:r>
      <w:r>
        <w:rPr>
          <w:rFonts w:ascii="Cambria" w:hAnsi="Cambria"/>
          <w:sz w:val="20"/>
          <w:szCs w:val="20"/>
          <w:lang w:val="en"/>
        </w:rPr>
        <w:t>by admitting</w:t>
      </w:r>
      <w:r w:rsidRPr="003C6A29">
        <w:rPr>
          <w:rFonts w:ascii="Cambria" w:hAnsi="Cambria"/>
          <w:sz w:val="20"/>
          <w:szCs w:val="20"/>
          <w:lang w:val="en"/>
        </w:rPr>
        <w:t xml:space="preserve"> this petition</w:t>
      </w:r>
      <w:r>
        <w:rPr>
          <w:rFonts w:ascii="Cambria" w:hAnsi="Cambria"/>
          <w:sz w:val="20"/>
          <w:szCs w:val="20"/>
          <w:lang w:val="en"/>
        </w:rPr>
        <w:t>,</w:t>
      </w:r>
      <w:r w:rsidRPr="003C6A29">
        <w:rPr>
          <w:rFonts w:ascii="Cambria" w:hAnsi="Cambria"/>
          <w:sz w:val="20"/>
          <w:szCs w:val="20"/>
          <w:lang w:val="en"/>
        </w:rPr>
        <w:t xml:space="preserve"> </w:t>
      </w:r>
      <w:r>
        <w:rPr>
          <w:rFonts w:ascii="Cambria" w:hAnsi="Cambria"/>
          <w:sz w:val="20"/>
          <w:szCs w:val="20"/>
          <w:lang w:val="en"/>
        </w:rPr>
        <w:t>it does</w:t>
      </w:r>
      <w:r w:rsidRPr="003C6A29">
        <w:rPr>
          <w:rFonts w:ascii="Cambria" w:hAnsi="Cambria"/>
          <w:sz w:val="20"/>
          <w:szCs w:val="20"/>
          <w:lang w:val="en"/>
        </w:rPr>
        <w:t xml:space="preserve"> not aim </w:t>
      </w:r>
      <w:r>
        <w:rPr>
          <w:rFonts w:ascii="Cambria" w:hAnsi="Cambria"/>
          <w:sz w:val="20"/>
          <w:szCs w:val="20"/>
          <w:lang w:val="en"/>
        </w:rPr>
        <w:t>to</w:t>
      </w:r>
      <w:r w:rsidRPr="003C6A29">
        <w:rPr>
          <w:rFonts w:ascii="Cambria" w:hAnsi="Cambria"/>
          <w:sz w:val="20"/>
          <w:szCs w:val="20"/>
          <w:lang w:val="en"/>
        </w:rPr>
        <w:t xml:space="preserve"> replac</w:t>
      </w:r>
      <w:r>
        <w:rPr>
          <w:rFonts w:ascii="Cambria" w:hAnsi="Cambria"/>
          <w:sz w:val="20"/>
          <w:szCs w:val="20"/>
          <w:lang w:val="en"/>
        </w:rPr>
        <w:t>e</w:t>
      </w:r>
      <w:r w:rsidRPr="003C6A29">
        <w:rPr>
          <w:rFonts w:ascii="Cambria" w:hAnsi="Cambria"/>
          <w:sz w:val="20"/>
          <w:szCs w:val="20"/>
          <w:lang w:val="en"/>
        </w:rPr>
        <w:t xml:space="preserve"> </w:t>
      </w:r>
      <w:r>
        <w:rPr>
          <w:rFonts w:ascii="Cambria" w:hAnsi="Cambria"/>
          <w:sz w:val="20"/>
          <w:szCs w:val="20"/>
          <w:lang w:val="en"/>
        </w:rPr>
        <w:t xml:space="preserve">the </w:t>
      </w:r>
      <w:r w:rsidRPr="003C6A29">
        <w:rPr>
          <w:rFonts w:ascii="Cambria" w:hAnsi="Cambria"/>
          <w:sz w:val="20"/>
          <w:szCs w:val="20"/>
          <w:lang w:val="en"/>
        </w:rPr>
        <w:t>competence</w:t>
      </w:r>
      <w:r>
        <w:rPr>
          <w:rFonts w:ascii="Cambria" w:hAnsi="Cambria"/>
          <w:sz w:val="20"/>
          <w:szCs w:val="20"/>
          <w:lang w:val="en"/>
        </w:rPr>
        <w:t xml:space="preserve"> of </w:t>
      </w:r>
      <w:r w:rsidRPr="003C6A29">
        <w:rPr>
          <w:rFonts w:ascii="Cambria" w:hAnsi="Cambria"/>
          <w:sz w:val="20"/>
          <w:szCs w:val="20"/>
          <w:lang w:val="en"/>
        </w:rPr>
        <w:t>domestic judicial authorities</w:t>
      </w:r>
      <w:r>
        <w:rPr>
          <w:rFonts w:ascii="Cambria" w:hAnsi="Cambria"/>
          <w:sz w:val="20"/>
          <w:szCs w:val="20"/>
          <w:lang w:val="en"/>
        </w:rPr>
        <w:t>;</w:t>
      </w:r>
      <w:r w:rsidRPr="003C6A29">
        <w:rPr>
          <w:rFonts w:ascii="Cambria" w:hAnsi="Cambria"/>
          <w:sz w:val="20"/>
          <w:szCs w:val="20"/>
          <w:lang w:val="en"/>
        </w:rPr>
        <w:t xml:space="preserve"> </w:t>
      </w:r>
      <w:r>
        <w:rPr>
          <w:rFonts w:ascii="Cambria" w:hAnsi="Cambria"/>
          <w:sz w:val="20"/>
          <w:szCs w:val="20"/>
          <w:lang w:val="en"/>
        </w:rPr>
        <w:t>that</w:t>
      </w:r>
      <w:r w:rsidRPr="003C6A29">
        <w:rPr>
          <w:rFonts w:ascii="Cambria" w:hAnsi="Cambria"/>
          <w:sz w:val="20"/>
          <w:szCs w:val="20"/>
          <w:lang w:val="en"/>
        </w:rPr>
        <w:t xml:space="preserve"> </w:t>
      </w:r>
      <w:r w:rsidR="00C835E7">
        <w:rPr>
          <w:rFonts w:ascii="Cambria" w:hAnsi="Cambria"/>
          <w:sz w:val="20"/>
          <w:szCs w:val="20"/>
          <w:lang w:val="en"/>
        </w:rPr>
        <w:t>instead</w:t>
      </w:r>
      <w:r w:rsidRPr="003C6A29">
        <w:rPr>
          <w:rFonts w:ascii="Cambria" w:hAnsi="Cambria"/>
          <w:sz w:val="20"/>
          <w:szCs w:val="20"/>
          <w:lang w:val="en"/>
        </w:rPr>
        <w:t xml:space="preserve"> it means that</w:t>
      </w:r>
      <w:r>
        <w:rPr>
          <w:rFonts w:ascii="Cambria" w:hAnsi="Cambria"/>
          <w:sz w:val="20"/>
          <w:szCs w:val="20"/>
          <w:lang w:val="en"/>
        </w:rPr>
        <w:t>,</w:t>
      </w:r>
      <w:r w:rsidRPr="003C6A29">
        <w:rPr>
          <w:rFonts w:ascii="Cambria" w:hAnsi="Cambria"/>
          <w:sz w:val="20"/>
          <w:szCs w:val="20"/>
          <w:lang w:val="en"/>
        </w:rPr>
        <w:t xml:space="preserve"> in the merits stage</w:t>
      </w:r>
      <w:r>
        <w:rPr>
          <w:rFonts w:ascii="Cambria" w:hAnsi="Cambria"/>
          <w:sz w:val="20"/>
          <w:szCs w:val="20"/>
          <w:lang w:val="en"/>
        </w:rPr>
        <w:t>,</w:t>
      </w:r>
      <w:r w:rsidRPr="003C6A29">
        <w:rPr>
          <w:rFonts w:ascii="Cambria" w:hAnsi="Cambria"/>
          <w:sz w:val="20"/>
          <w:szCs w:val="20"/>
          <w:lang w:val="en"/>
        </w:rPr>
        <w:t xml:space="preserve"> the Commission will analyze whether domestic proceedings were held </w:t>
      </w:r>
      <w:r w:rsidRPr="003C6A29">
        <w:rPr>
          <w:rFonts w:ascii="Cambria" w:hAnsi="Cambria"/>
          <w:sz w:val="20"/>
          <w:szCs w:val="20"/>
          <w:lang w:val="en"/>
        </w:rPr>
        <w:lastRenderedPageBreak/>
        <w:t>pursuant to due process and judicial protection and ensured the alleged victim</w:t>
      </w:r>
      <w:r>
        <w:rPr>
          <w:rFonts w:ascii="Cambria" w:hAnsi="Cambria"/>
          <w:sz w:val="20"/>
          <w:szCs w:val="20"/>
          <w:lang w:val="en"/>
        </w:rPr>
        <w:t>’s</w:t>
      </w:r>
      <w:r w:rsidRPr="003C6A29">
        <w:rPr>
          <w:rFonts w:ascii="Cambria" w:hAnsi="Cambria"/>
          <w:sz w:val="20"/>
          <w:szCs w:val="20"/>
          <w:lang w:val="en"/>
        </w:rPr>
        <w:t xml:space="preserve"> access to justice under the American Convention.</w:t>
      </w:r>
      <w:r>
        <w:rPr>
          <w:rFonts w:ascii="Cambria" w:hAnsi="Cambria"/>
          <w:sz w:val="20"/>
          <w:szCs w:val="20"/>
          <w:lang w:val="en"/>
        </w:rPr>
        <w:t xml:space="preserve"> </w:t>
      </w:r>
    </w:p>
    <w:p w14:paraId="5AE69262" w14:textId="77777777" w:rsidR="005358E2" w:rsidRPr="00200960" w:rsidRDefault="005358E2" w:rsidP="00C454A5">
      <w:pPr>
        <w:pStyle w:val="BodyText"/>
        <w:spacing w:after="0"/>
        <w:jc w:val="both"/>
        <w:rPr>
          <w:rFonts w:ascii="Cambria" w:hAnsi="Cambria"/>
          <w:sz w:val="20"/>
          <w:szCs w:val="20"/>
        </w:rPr>
      </w:pPr>
    </w:p>
    <w:p w14:paraId="5A8AB276" w14:textId="354E1683" w:rsidR="005358E2" w:rsidRPr="00C454A5" w:rsidRDefault="005358E2" w:rsidP="00C454A5">
      <w:pPr>
        <w:pStyle w:val="ListParagraph"/>
        <w:numPr>
          <w:ilvl w:val="0"/>
          <w:numId w:val="108"/>
        </w:numPr>
        <w:suppressAutoHyphens/>
        <w:ind w:left="0" w:firstLine="720"/>
        <w:jc w:val="both"/>
        <w:rPr>
          <w:b/>
          <w:bCs/>
          <w:sz w:val="20"/>
          <w:szCs w:val="20"/>
          <w:lang w:val="en"/>
        </w:rPr>
      </w:pPr>
      <w:r w:rsidRPr="00C454A5">
        <w:rPr>
          <w:b/>
          <w:bCs/>
          <w:sz w:val="20"/>
          <w:szCs w:val="20"/>
          <w:lang w:val="en"/>
        </w:rPr>
        <w:t>DECISION</w:t>
      </w:r>
    </w:p>
    <w:p w14:paraId="23FBBD8B" w14:textId="77777777" w:rsidR="00C454A5" w:rsidRPr="00F33779" w:rsidRDefault="00C454A5" w:rsidP="00C454A5">
      <w:pPr>
        <w:suppressAutoHyphens/>
        <w:ind w:left="720"/>
        <w:jc w:val="both"/>
        <w:rPr>
          <w:rFonts w:ascii="Cambria" w:hAnsi="Cambria"/>
          <w:b/>
          <w:bCs/>
          <w:sz w:val="20"/>
          <w:szCs w:val="20"/>
        </w:rPr>
      </w:pPr>
    </w:p>
    <w:p w14:paraId="15ED322F" w14:textId="77777777" w:rsidR="005358E2" w:rsidRPr="00C454A5" w:rsidRDefault="005358E2" w:rsidP="009473E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To declare the instant petition admissible in relation to Articles 8 and 25 of the American Convention, in connection with Article 1.1 thereof;</w:t>
      </w:r>
    </w:p>
    <w:p w14:paraId="54DEB03B" w14:textId="77777777" w:rsidR="00C454A5" w:rsidRPr="00006B74" w:rsidRDefault="00C454A5" w:rsidP="009473E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47AAFC55" w14:textId="77777777" w:rsidR="005358E2" w:rsidRPr="00C454A5" w:rsidRDefault="005358E2" w:rsidP="009473E2">
      <w:pPr>
        <w:pStyle w:val="ListParagraph"/>
        <w:numPr>
          <w:ilvl w:val="0"/>
          <w:numId w:val="105"/>
        </w:numPr>
        <w:jc w:val="both"/>
        <w:rPr>
          <w:rFonts w:eastAsia="Arial Unicode MS" w:cs="Times New Roman"/>
          <w:color w:val="auto"/>
          <w:sz w:val="20"/>
          <w:szCs w:val="20"/>
        </w:rPr>
      </w:pPr>
      <w:r>
        <w:rPr>
          <w:rFonts w:eastAsia="Arial Unicode MS"/>
          <w:color w:val="auto"/>
          <w:sz w:val="20"/>
          <w:szCs w:val="20"/>
          <w:lang w:val="en"/>
        </w:rPr>
        <w:t xml:space="preserve">To declare the </w:t>
      </w:r>
      <w:r>
        <w:rPr>
          <w:rFonts w:eastAsia="Arial Unicode MS"/>
          <w:sz w:val="20"/>
          <w:szCs w:val="20"/>
          <w:lang w:val="en"/>
        </w:rPr>
        <w:t xml:space="preserve">instant petition inadmissible </w:t>
      </w:r>
      <w:r>
        <w:rPr>
          <w:rFonts w:eastAsia="Arial Unicode MS"/>
          <w:color w:val="auto"/>
          <w:sz w:val="20"/>
          <w:szCs w:val="20"/>
          <w:lang w:val="en"/>
        </w:rPr>
        <w:t>in relation to Article 24 of the Convention; and</w:t>
      </w:r>
    </w:p>
    <w:p w14:paraId="7E1BA29E" w14:textId="77777777" w:rsidR="00C454A5" w:rsidRPr="00C454A5" w:rsidRDefault="00C454A5" w:rsidP="009473E2">
      <w:pPr>
        <w:jc w:val="both"/>
        <w:rPr>
          <w:sz w:val="20"/>
          <w:szCs w:val="20"/>
        </w:rPr>
      </w:pPr>
    </w:p>
    <w:p w14:paraId="5B6C1BEB" w14:textId="22DC5955" w:rsidR="00C55560" w:rsidRPr="009473E2" w:rsidRDefault="005358E2" w:rsidP="009473E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C454A5">
        <w:rPr>
          <w:rFonts w:ascii="Cambria" w:hAnsi="Cambria"/>
          <w:sz w:val="20"/>
          <w:szCs w:val="20"/>
          <w:lang w:val="en"/>
        </w:rPr>
        <w:t>To notify the parties of this decision; to continue with the analysis on the merits; and to publish this decision and include it in its Annual Report to the General Assembly of the Organization of American States.</w:t>
      </w:r>
      <w:r w:rsidR="00710C3B" w:rsidRPr="00C454A5">
        <w:rPr>
          <w:rFonts w:ascii="Cambria" w:hAnsi="Cambria"/>
          <w:sz w:val="20"/>
          <w:szCs w:val="20"/>
          <w:lang w:val="en"/>
        </w:rPr>
        <w:t xml:space="preserve"> </w:t>
      </w:r>
    </w:p>
    <w:p w14:paraId="4C4DE517" w14:textId="77777777" w:rsidR="009473E2" w:rsidRDefault="009473E2" w:rsidP="009473E2">
      <w:pPr>
        <w:pStyle w:val="ListParagraph"/>
        <w:rPr>
          <w:rFonts w:asciiTheme="majorHAnsi" w:hAnsiTheme="majorHAnsi"/>
          <w:sz w:val="20"/>
          <w:szCs w:val="20"/>
        </w:rPr>
      </w:pPr>
    </w:p>
    <w:p w14:paraId="635A75A0" w14:textId="5A27D026" w:rsidR="009473E2" w:rsidRPr="00365F2F" w:rsidRDefault="009473E2" w:rsidP="009473E2">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on the </w:t>
      </w:r>
      <w:r>
        <w:rPr>
          <w:rFonts w:ascii="Cambria" w:hAnsi="Cambria"/>
          <w:spacing w:val="-2"/>
          <w:sz w:val="20"/>
        </w:rPr>
        <w:t>24</w:t>
      </w:r>
      <w:r w:rsidRPr="00257739">
        <w:rPr>
          <w:rFonts w:ascii="Cambria" w:hAnsi="Cambria"/>
          <w:spacing w:val="-2"/>
          <w:sz w:val="20"/>
          <w:vertAlign w:val="superscript"/>
        </w:rPr>
        <w:t>th</w:t>
      </w:r>
      <w:r w:rsidRPr="00365F2F">
        <w:rPr>
          <w:rFonts w:ascii="Cambria" w:hAnsi="Cambria"/>
          <w:spacing w:val="-2"/>
          <w:sz w:val="20"/>
        </w:rPr>
        <w:t xml:space="preserve"> day of the </w:t>
      </w:r>
      <w:r w:rsidR="00D1124A">
        <w:rPr>
          <w:rFonts w:ascii="Cambria" w:hAnsi="Cambria"/>
          <w:spacing w:val="-2"/>
          <w:sz w:val="20"/>
        </w:rPr>
        <w:t xml:space="preserve">month of </w:t>
      </w:r>
      <w:bookmarkStart w:id="4" w:name="_GoBack"/>
      <w:bookmarkEnd w:id="4"/>
      <w:r>
        <w:rPr>
          <w:rFonts w:ascii="Cambria" w:hAnsi="Cambria"/>
          <w:spacing w:val="-2"/>
          <w:sz w:val="20"/>
        </w:rPr>
        <w:t>October</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0500D4">
        <w:rPr>
          <w:rFonts w:ascii="Cambria" w:hAnsi="Cambria" w:cs="Arial"/>
          <w:noProof/>
          <w:spacing w:val="-2"/>
          <w:sz w:val="20"/>
        </w:rPr>
        <w:t>Esmeralda E. Arosemena Bernal de Troitiño,</w:t>
      </w:r>
      <w:r>
        <w:rPr>
          <w:rFonts w:ascii="Cambria" w:hAnsi="Cambria" w:cs="Arial"/>
          <w:noProof/>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Joel Hernández, </w:t>
      </w:r>
      <w:r w:rsidRPr="00365F2F">
        <w:rPr>
          <w:rFonts w:ascii="Cambria" w:hAnsi="Cambria"/>
          <w:spacing w:val="-2"/>
          <w:sz w:val="20"/>
        </w:rPr>
        <w:t>First Vice President</w:t>
      </w:r>
      <w:r>
        <w:rPr>
          <w:rFonts w:ascii="Cambria" w:hAnsi="Cambria"/>
          <w:spacing w:val="-2"/>
          <w:sz w:val="20"/>
        </w:rPr>
        <w:t>;</w:t>
      </w:r>
      <w:r>
        <w:rPr>
          <w:rFonts w:ascii="Cambria" w:hAnsi="Cambria" w:cs="Arial"/>
          <w:noProof/>
          <w:spacing w:val="-2"/>
          <w:sz w:val="20"/>
        </w:rPr>
        <w:t xml:space="preserve"> Antonia Urrejola, Second Vice President; Margarette May Macaulay,</w:t>
      </w:r>
      <w:r w:rsidRPr="00365F2F">
        <w:rPr>
          <w:rFonts w:ascii="Cambria" w:hAnsi="Cambria" w:cs="Arial"/>
          <w:noProof/>
          <w:spacing w:val="-2"/>
          <w:sz w:val="20"/>
        </w:rPr>
        <w:t xml:space="preserve"> </w:t>
      </w:r>
      <w:r w:rsidRPr="00C41810">
        <w:rPr>
          <w:rFonts w:ascii="Cambria" w:hAnsi="Cambria" w:cs="Arial"/>
          <w:noProof/>
          <w:spacing w:val="-2"/>
          <w:sz w:val="20"/>
        </w:rPr>
        <w:t>Francisco José Eguiguren,</w:t>
      </w:r>
      <w:r>
        <w:rPr>
          <w:rFonts w:ascii="Cambria" w:hAnsi="Cambria" w:cs="Arial"/>
          <w:noProof/>
          <w:spacing w:val="-2"/>
          <w:sz w:val="20"/>
        </w:rPr>
        <w:t xml:space="preserve"> Luis Ernesto Vargas Silva, and Flávia Piovesan, </w:t>
      </w:r>
      <w:r w:rsidRPr="00365F2F">
        <w:rPr>
          <w:rFonts w:ascii="Cambria" w:hAnsi="Cambria"/>
          <w:spacing w:val="-2"/>
          <w:sz w:val="20"/>
        </w:rPr>
        <w:t>Commissioners.</w:t>
      </w:r>
    </w:p>
    <w:p w14:paraId="06858BB9" w14:textId="77777777" w:rsidR="009473E2" w:rsidRPr="00C454A5" w:rsidRDefault="009473E2" w:rsidP="009473E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9473E2" w:rsidRPr="00C454A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0207A" w14:textId="77777777" w:rsidR="006C739F" w:rsidRDefault="006C739F" w:rsidP="00036A8A">
      <w:r>
        <w:separator/>
      </w:r>
    </w:p>
  </w:endnote>
  <w:endnote w:type="continuationSeparator" w:id="0">
    <w:p w14:paraId="4A826771" w14:textId="77777777" w:rsidR="006C739F" w:rsidRDefault="006C739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9763" w14:textId="77777777" w:rsidR="00F021A4" w:rsidRDefault="00F02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1124A">
          <w:rPr>
            <w:noProof/>
            <w:sz w:val="16"/>
          </w:rPr>
          <w:t>5</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3C48F" w14:textId="77777777" w:rsidR="006C739F" w:rsidRPr="00036A8A" w:rsidRDefault="006C739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9AAA60E" w14:textId="77777777" w:rsidR="006C739F" w:rsidRPr="00036A8A" w:rsidRDefault="006C739F" w:rsidP="00036A8A">
      <w:pPr>
        <w:rPr>
          <w:rFonts w:asciiTheme="majorHAnsi" w:hAnsiTheme="majorHAnsi"/>
          <w:sz w:val="16"/>
          <w:szCs w:val="16"/>
        </w:rPr>
      </w:pPr>
      <w:r w:rsidRPr="00036A8A">
        <w:rPr>
          <w:rFonts w:asciiTheme="majorHAnsi" w:hAnsiTheme="majorHAnsi"/>
          <w:sz w:val="16"/>
          <w:szCs w:val="16"/>
        </w:rPr>
        <w:separator/>
      </w:r>
    </w:p>
    <w:p w14:paraId="02B1553C" w14:textId="77777777" w:rsidR="006C739F" w:rsidRPr="00036A8A" w:rsidRDefault="006C739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E4C9855" w14:textId="77777777" w:rsidR="006C739F" w:rsidRPr="0093441A" w:rsidRDefault="006C739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1C27D3B" w14:textId="77777777"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Hereinafter “Convention” or “American Convention.”</w:t>
      </w:r>
    </w:p>
  </w:footnote>
  <w:footnote w:id="3">
    <w:p w14:paraId="55774E34" w14:textId="77777777" w:rsidR="00653EA6" w:rsidRPr="009D59D2" w:rsidRDefault="00653EA6" w:rsidP="005358E2">
      <w:pPr>
        <w:pStyle w:val="FootnoteText"/>
        <w:ind w:firstLine="709"/>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4">
    <w:p w14:paraId="43856FB7" w14:textId="7805038B" w:rsidR="005358E2" w:rsidRPr="00134496" w:rsidRDefault="005358E2" w:rsidP="005358E2">
      <w:pPr>
        <w:pStyle w:val="FootnoteText"/>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The petitioners allege violations regarding </w:t>
      </w:r>
      <w:r w:rsidR="00A34ABD">
        <w:rPr>
          <w:rFonts w:ascii="Cambria" w:hAnsi="Cambria"/>
          <w:sz w:val="16"/>
          <w:szCs w:val="16"/>
          <w:lang w:val="en"/>
        </w:rPr>
        <w:t>reparations</w:t>
      </w:r>
      <w:r>
        <w:rPr>
          <w:rFonts w:ascii="Cambria" w:hAnsi="Cambria"/>
          <w:sz w:val="16"/>
          <w:szCs w:val="16"/>
          <w:lang w:val="en"/>
        </w:rPr>
        <w:t xml:space="preserve"> proceedings.</w:t>
      </w:r>
    </w:p>
  </w:footnote>
  <w:footnote w:id="5">
    <w:p w14:paraId="711BA3E2" w14:textId="3FD85BB8"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17/06, Petition 531-01, Admissibility, Sebastián Claus Furlan and </w:t>
      </w:r>
      <w:r w:rsidR="003958B0">
        <w:rPr>
          <w:rFonts w:ascii="Cambria" w:hAnsi="Cambria"/>
          <w:sz w:val="16"/>
          <w:szCs w:val="16"/>
          <w:lang w:val="en"/>
        </w:rPr>
        <w:t>F</w:t>
      </w:r>
      <w:r>
        <w:rPr>
          <w:rFonts w:ascii="Cambria" w:hAnsi="Cambria"/>
          <w:sz w:val="16"/>
          <w:szCs w:val="16"/>
          <w:lang w:val="en"/>
        </w:rPr>
        <w:t>amily, Argentina, March 2, 2006, par. 39; IACHR, Report No. 69/08, Petition 681-00, Admissibility, Guillermo Patricio Lynn, Argentina, October 16, 2008, par. 41.</w:t>
      </w:r>
    </w:p>
  </w:footnote>
  <w:footnote w:id="6">
    <w:p w14:paraId="4C6AFE3A" w14:textId="72EE88F1"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sidRPr="009473E2">
        <w:rPr>
          <w:rFonts w:ascii="Cambria" w:hAnsi="Cambria"/>
          <w:sz w:val="16"/>
          <w:szCs w:val="16"/>
          <w:lang w:val="es-US"/>
        </w:rPr>
        <w:t xml:space="preserve"> IACHR, Report No. 55/97, Case 11</w:t>
      </w:r>
      <w:r w:rsidR="004E4EC7" w:rsidRPr="009473E2">
        <w:rPr>
          <w:rFonts w:ascii="Cambria" w:hAnsi="Cambria"/>
          <w:sz w:val="16"/>
          <w:szCs w:val="16"/>
          <w:lang w:val="es-US"/>
        </w:rPr>
        <w:t>.</w:t>
      </w:r>
      <w:r w:rsidRPr="009473E2">
        <w:rPr>
          <w:rFonts w:ascii="Cambria" w:hAnsi="Cambria"/>
          <w:sz w:val="16"/>
          <w:szCs w:val="16"/>
          <w:lang w:val="es-US"/>
        </w:rPr>
        <w:t xml:space="preserve">137, Juan Carlos Abella, Argentina, November 18, 1997, paras. </w:t>
      </w:r>
      <w:r>
        <w:rPr>
          <w:rFonts w:ascii="Cambria" w:hAnsi="Cambria"/>
          <w:sz w:val="16"/>
          <w:szCs w:val="16"/>
          <w:lang w:val="en"/>
        </w:rPr>
        <w:t>264 and 265.</w:t>
      </w:r>
    </w:p>
  </w:footnote>
  <w:footnote w:id="7">
    <w:p w14:paraId="3FA7CAEA" w14:textId="7F296FFF"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26/08, Petition 270-02, Admissibility, César Alberto Mendoza et al., Argentina, March 14, 2008, par. 72; IACHR, Report No. 83/09, Case 11</w:t>
      </w:r>
      <w:r w:rsidR="004E4EC7">
        <w:rPr>
          <w:rFonts w:ascii="Cambria" w:hAnsi="Cambria"/>
          <w:sz w:val="16"/>
          <w:szCs w:val="16"/>
          <w:lang w:val="en"/>
        </w:rPr>
        <w:t>.</w:t>
      </w:r>
      <w:r>
        <w:rPr>
          <w:rFonts w:ascii="Cambria" w:hAnsi="Cambria"/>
          <w:sz w:val="16"/>
          <w:szCs w:val="16"/>
          <w:lang w:val="en"/>
        </w:rPr>
        <w:t>732, Merits, Horacio Anibal Schillizzi Moreno, Argentina, August 6, 2009, par. 62.</w:t>
      </w:r>
    </w:p>
  </w:footnote>
  <w:footnote w:id="8">
    <w:p w14:paraId="232056AA" w14:textId="16F18400"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46/15, Petition 315-01, Cristina Britez Arce. Argentina. July 28, 2015, par. 42; IACHR, Report No. 12/10, Admissibility, Case 12</w:t>
      </w:r>
      <w:r w:rsidR="004E4EC7">
        <w:rPr>
          <w:rFonts w:ascii="Cambria" w:hAnsi="Cambria"/>
          <w:sz w:val="16"/>
          <w:szCs w:val="16"/>
          <w:lang w:val="en"/>
        </w:rPr>
        <w:t>.</w:t>
      </w:r>
      <w:r>
        <w:rPr>
          <w:rFonts w:ascii="Cambria" w:hAnsi="Cambria"/>
          <w:sz w:val="16"/>
          <w:szCs w:val="16"/>
          <w:lang w:val="en"/>
        </w:rPr>
        <w:t>106, Enrique Hermann Pfister Frías and Lucrecia Pfister Frías, Argentina, March 16, 2010, par. 39; IACHR, Report No. 117/06, Petition 1070-04, Admissibility, Milagros Fornerón and Leonardo Aníbal Javier Fornerón, Argentina, October 26, 2006, par. 42; IACHR, Report No. 17/06, Petition 531-01, Admissibility, Sebastián Claus Furlan and Famil</w:t>
      </w:r>
      <w:r w:rsidR="003958B0">
        <w:rPr>
          <w:rFonts w:ascii="Cambria" w:hAnsi="Cambria"/>
          <w:sz w:val="16"/>
          <w:szCs w:val="16"/>
          <w:lang w:val="en"/>
        </w:rPr>
        <w:t>y</w:t>
      </w:r>
      <w:r>
        <w:rPr>
          <w:rFonts w:ascii="Cambria" w:hAnsi="Cambria"/>
          <w:sz w:val="16"/>
          <w:szCs w:val="16"/>
          <w:lang w:val="en"/>
        </w:rPr>
        <w:t>, Argentina, March 2, 2006, par. 40.</w:t>
      </w:r>
    </w:p>
  </w:footnote>
  <w:footnote w:id="9">
    <w:p w14:paraId="2AA98190" w14:textId="77777777"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76/09, Petition 1473-06, Admissibility, Community of La Oroya. Peru, August 5, 2009, par. 64; IACHR, Report No. 40/08, Petition 270-07. Admissibility. I.V. Bolivia, July 23, 2008, par. 70.</w:t>
      </w:r>
    </w:p>
  </w:footnote>
  <w:footnote w:id="10">
    <w:p w14:paraId="43DC47EE" w14:textId="1D1065E8" w:rsidR="005358E2" w:rsidRPr="009473E2" w:rsidRDefault="005358E2" w:rsidP="005358E2">
      <w:pPr>
        <w:pStyle w:val="FootnoteText"/>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IACHR, Report No. 76/09, Petition 1473-06, Admissibility, Community of La Oroya. Peru, August 5, 2009, par. 64; IACHR, Report No. 57/03, Case 12</w:t>
      </w:r>
      <w:r w:rsidR="004E4EC7">
        <w:rPr>
          <w:rFonts w:ascii="Cambria" w:hAnsi="Cambria"/>
          <w:sz w:val="16"/>
          <w:szCs w:val="16"/>
          <w:lang w:val="en"/>
        </w:rPr>
        <w:t>.</w:t>
      </w:r>
      <w:r>
        <w:rPr>
          <w:rFonts w:ascii="Cambria" w:hAnsi="Cambria"/>
          <w:sz w:val="16"/>
          <w:szCs w:val="16"/>
          <w:lang w:val="en"/>
        </w:rPr>
        <w:t>337, Marcela Andrea Valdés Díaz. Chile, October 10, 2003, par. 40; IACHR Report No. 12/10. Case 12</w:t>
      </w:r>
      <w:r w:rsidR="004E4EC7">
        <w:rPr>
          <w:rFonts w:ascii="Cambria" w:hAnsi="Cambria"/>
          <w:sz w:val="16"/>
          <w:szCs w:val="16"/>
          <w:lang w:val="en"/>
        </w:rPr>
        <w:t>.</w:t>
      </w:r>
      <w:r>
        <w:rPr>
          <w:rFonts w:ascii="Cambria" w:hAnsi="Cambria"/>
          <w:sz w:val="16"/>
          <w:szCs w:val="16"/>
          <w:lang w:val="en"/>
        </w:rPr>
        <w:t xml:space="preserve">106. Admissibility. </w:t>
      </w:r>
      <w:r w:rsidRPr="009473E2">
        <w:rPr>
          <w:rFonts w:ascii="Cambria" w:hAnsi="Cambria"/>
          <w:sz w:val="16"/>
          <w:szCs w:val="16"/>
          <w:lang w:val="es-US"/>
        </w:rPr>
        <w:t xml:space="preserve">Enrique Hermann Pfister Frías and Lucrecia Pfister Frías. Argentina. March 16, 2010, par. 10. </w:t>
      </w:r>
    </w:p>
  </w:footnote>
  <w:footnote w:id="11">
    <w:p w14:paraId="74C04E66" w14:textId="77777777" w:rsidR="005358E2" w:rsidRPr="00134496" w:rsidRDefault="005358E2" w:rsidP="005358E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the rights invoked in Section I hereof. </w:t>
      </w:r>
    </w:p>
  </w:footnote>
  <w:footnote w:id="12">
    <w:p w14:paraId="108C9033" w14:textId="685C0D67" w:rsidR="005358E2" w:rsidRPr="00134496" w:rsidRDefault="005358E2" w:rsidP="005358E2">
      <w:pPr>
        <w:pStyle w:val="FootnoteText"/>
        <w:ind w:firstLine="720"/>
        <w:jc w:val="both"/>
        <w:rPr>
          <w:rFonts w:ascii="Cambria" w:hAnsi="Cambria"/>
          <w:sz w:val="16"/>
          <w:szCs w:val="16"/>
          <w:highlight w:val="yellow"/>
        </w:rPr>
      </w:pPr>
      <w:r>
        <w:rPr>
          <w:rStyle w:val="FootnoteReference"/>
          <w:rFonts w:ascii="Cambria" w:hAnsi="Cambria"/>
          <w:sz w:val="16"/>
          <w:szCs w:val="16"/>
          <w:lang w:val="en"/>
        </w:rPr>
        <w:footnoteRef/>
      </w:r>
      <w:r>
        <w:rPr>
          <w:rFonts w:ascii="Cambria" w:hAnsi="Cambria"/>
          <w:sz w:val="16"/>
          <w:szCs w:val="16"/>
          <w:lang w:val="en"/>
        </w:rPr>
        <w:t xml:space="preserve"> IACHR, Report No. 39/96, Case 11.673, Admissibility, Santiago Marzioni, Argentina, October 15</w:t>
      </w:r>
      <w:r w:rsidR="00206FD6">
        <w:rPr>
          <w:rFonts w:ascii="Cambria" w:hAnsi="Cambria"/>
          <w:sz w:val="16"/>
          <w:szCs w:val="16"/>
          <w:lang w:val="en"/>
        </w:rPr>
        <w:t>, 1996, IACHR Annual Report 1996</w:t>
      </w:r>
      <w:r>
        <w:rPr>
          <w:rFonts w:ascii="Cambria" w:hAnsi="Cambria"/>
          <w:sz w:val="16"/>
          <w:szCs w:val="16"/>
          <w:lang w:val="en"/>
        </w:rPr>
        <w:t>, par.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6C739F"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B70F8" w14:textId="77777777" w:rsidR="00F021A4" w:rsidRDefault="00F02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5D84480"/>
    <w:lvl w:ilvl="0" w:tplc="58D0C08A">
      <w:start w:val="1"/>
      <w:numFmt w:val="decimal"/>
      <w:lvlText w:val="%1."/>
      <w:lvlJc w:val="left"/>
      <w:pPr>
        <w:tabs>
          <w:tab w:val="num" w:pos="720"/>
        </w:tabs>
        <w:ind w:left="0" w:firstLine="720"/>
      </w:pPr>
      <w:rPr>
        <w:rFonts w:ascii="Cambria" w:hAnsi="Cambria"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D2CBB"/>
    <w:multiLevelType w:val="hybridMultilevel"/>
    <w:tmpl w:val="0A360C8A"/>
    <w:lvl w:ilvl="0" w:tplc="5D0E61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F7281F"/>
    <w:multiLevelType w:val="hybridMultilevel"/>
    <w:tmpl w:val="B1EAF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5"/>
  </w:num>
  <w:num w:numId="96">
    <w:abstractNumId w:val="56"/>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5"/>
  </w:num>
  <w:num w:numId="104">
    <w:abstractNumId w:val="12"/>
  </w:num>
  <w:num w:numId="105">
    <w:abstractNumId w:val="47"/>
  </w:num>
  <w:num w:numId="106">
    <w:abstractNumId w:val="32"/>
  </w:num>
  <w:num w:numId="107">
    <w:abstractNumId w:val="37"/>
  </w:num>
  <w:num w:numId="108">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60CA"/>
    <w:rsid w:val="000639C0"/>
    <w:rsid w:val="00070F3A"/>
    <w:rsid w:val="000716C5"/>
    <w:rsid w:val="00075E23"/>
    <w:rsid w:val="000841FA"/>
    <w:rsid w:val="00092F32"/>
    <w:rsid w:val="0009344A"/>
    <w:rsid w:val="000A575F"/>
    <w:rsid w:val="000C4365"/>
    <w:rsid w:val="000D10DB"/>
    <w:rsid w:val="000E1AE8"/>
    <w:rsid w:val="00113A4F"/>
    <w:rsid w:val="00115F41"/>
    <w:rsid w:val="00124116"/>
    <w:rsid w:val="0013104F"/>
    <w:rsid w:val="00137EBA"/>
    <w:rsid w:val="00143C8B"/>
    <w:rsid w:val="00145EDC"/>
    <w:rsid w:val="00153084"/>
    <w:rsid w:val="001625F9"/>
    <w:rsid w:val="00167A34"/>
    <w:rsid w:val="001714B4"/>
    <w:rsid w:val="0018037F"/>
    <w:rsid w:val="00182C2A"/>
    <w:rsid w:val="001A5F27"/>
    <w:rsid w:val="001A65E4"/>
    <w:rsid w:val="001A7870"/>
    <w:rsid w:val="001C1B41"/>
    <w:rsid w:val="001E366B"/>
    <w:rsid w:val="001F1902"/>
    <w:rsid w:val="001F483C"/>
    <w:rsid w:val="00206FD6"/>
    <w:rsid w:val="00210E0E"/>
    <w:rsid w:val="00210F4B"/>
    <w:rsid w:val="00230163"/>
    <w:rsid w:val="0023351C"/>
    <w:rsid w:val="00247403"/>
    <w:rsid w:val="00247542"/>
    <w:rsid w:val="00257893"/>
    <w:rsid w:val="00261E08"/>
    <w:rsid w:val="0026335E"/>
    <w:rsid w:val="00263BF5"/>
    <w:rsid w:val="00266092"/>
    <w:rsid w:val="00266B61"/>
    <w:rsid w:val="0026712A"/>
    <w:rsid w:val="002704DB"/>
    <w:rsid w:val="00272607"/>
    <w:rsid w:val="002760CE"/>
    <w:rsid w:val="002826D3"/>
    <w:rsid w:val="002B5023"/>
    <w:rsid w:val="002B7A85"/>
    <w:rsid w:val="002C1641"/>
    <w:rsid w:val="002D7EA2"/>
    <w:rsid w:val="002E0CE2"/>
    <w:rsid w:val="002E15DF"/>
    <w:rsid w:val="002E187C"/>
    <w:rsid w:val="002E6E57"/>
    <w:rsid w:val="002F04C8"/>
    <w:rsid w:val="00301075"/>
    <w:rsid w:val="00302733"/>
    <w:rsid w:val="00311592"/>
    <w:rsid w:val="00311A4F"/>
    <w:rsid w:val="00314078"/>
    <w:rsid w:val="00315387"/>
    <w:rsid w:val="00321AFD"/>
    <w:rsid w:val="00322450"/>
    <w:rsid w:val="003246B5"/>
    <w:rsid w:val="0033169F"/>
    <w:rsid w:val="003414AC"/>
    <w:rsid w:val="00356185"/>
    <w:rsid w:val="00360380"/>
    <w:rsid w:val="003771A3"/>
    <w:rsid w:val="00386CF0"/>
    <w:rsid w:val="003921A7"/>
    <w:rsid w:val="003958B0"/>
    <w:rsid w:val="003A4348"/>
    <w:rsid w:val="003A5566"/>
    <w:rsid w:val="003C32BC"/>
    <w:rsid w:val="003C332F"/>
    <w:rsid w:val="003D6EE0"/>
    <w:rsid w:val="003E1CF5"/>
    <w:rsid w:val="003E3E03"/>
    <w:rsid w:val="003F1BBF"/>
    <w:rsid w:val="003F479C"/>
    <w:rsid w:val="00402D1F"/>
    <w:rsid w:val="004162B1"/>
    <w:rsid w:val="004165C2"/>
    <w:rsid w:val="004434A5"/>
    <w:rsid w:val="00450A4A"/>
    <w:rsid w:val="00454C79"/>
    <w:rsid w:val="00454F2B"/>
    <w:rsid w:val="00456B38"/>
    <w:rsid w:val="004666FB"/>
    <w:rsid w:val="00466D0B"/>
    <w:rsid w:val="00467B7E"/>
    <w:rsid w:val="0049419D"/>
    <w:rsid w:val="004B2762"/>
    <w:rsid w:val="004B7EB6"/>
    <w:rsid w:val="004C41DE"/>
    <w:rsid w:val="004C4B62"/>
    <w:rsid w:val="004D6025"/>
    <w:rsid w:val="004D72BC"/>
    <w:rsid w:val="004E4EC7"/>
    <w:rsid w:val="004F6B67"/>
    <w:rsid w:val="00501399"/>
    <w:rsid w:val="00505E83"/>
    <w:rsid w:val="00507BC4"/>
    <w:rsid w:val="005128E4"/>
    <w:rsid w:val="005243C2"/>
    <w:rsid w:val="00525560"/>
    <w:rsid w:val="00526A28"/>
    <w:rsid w:val="005357A6"/>
    <w:rsid w:val="005358E2"/>
    <w:rsid w:val="00544C49"/>
    <w:rsid w:val="00547160"/>
    <w:rsid w:val="0057402A"/>
    <w:rsid w:val="005771D0"/>
    <w:rsid w:val="005816E5"/>
    <w:rsid w:val="00585858"/>
    <w:rsid w:val="0059191A"/>
    <w:rsid w:val="005921FF"/>
    <w:rsid w:val="00592718"/>
    <w:rsid w:val="005A6D0E"/>
    <w:rsid w:val="005B222D"/>
    <w:rsid w:val="005B52B0"/>
    <w:rsid w:val="005B6806"/>
    <w:rsid w:val="005C00F9"/>
    <w:rsid w:val="005C4225"/>
    <w:rsid w:val="005D2EF7"/>
    <w:rsid w:val="005F0D4E"/>
    <w:rsid w:val="005F0F33"/>
    <w:rsid w:val="00600DEB"/>
    <w:rsid w:val="00613027"/>
    <w:rsid w:val="00627C9F"/>
    <w:rsid w:val="006311DA"/>
    <w:rsid w:val="006311E9"/>
    <w:rsid w:val="006318B2"/>
    <w:rsid w:val="00632354"/>
    <w:rsid w:val="00642810"/>
    <w:rsid w:val="00652333"/>
    <w:rsid w:val="00653EA6"/>
    <w:rsid w:val="0068009E"/>
    <w:rsid w:val="006873A1"/>
    <w:rsid w:val="006942EE"/>
    <w:rsid w:val="006A17D2"/>
    <w:rsid w:val="006A73E6"/>
    <w:rsid w:val="006B2D5C"/>
    <w:rsid w:val="006C4EB1"/>
    <w:rsid w:val="006C739F"/>
    <w:rsid w:val="006D4707"/>
    <w:rsid w:val="006E0166"/>
    <w:rsid w:val="006E7B34"/>
    <w:rsid w:val="00701B24"/>
    <w:rsid w:val="00706088"/>
    <w:rsid w:val="00706858"/>
    <w:rsid w:val="00710C3B"/>
    <w:rsid w:val="00713AED"/>
    <w:rsid w:val="0071495F"/>
    <w:rsid w:val="00723F35"/>
    <w:rsid w:val="0073798E"/>
    <w:rsid w:val="00740872"/>
    <w:rsid w:val="00745899"/>
    <w:rsid w:val="00750ECE"/>
    <w:rsid w:val="00752D34"/>
    <w:rsid w:val="007607C4"/>
    <w:rsid w:val="0076285F"/>
    <w:rsid w:val="0076643F"/>
    <w:rsid w:val="00780C3C"/>
    <w:rsid w:val="00781653"/>
    <w:rsid w:val="007818A6"/>
    <w:rsid w:val="007A2082"/>
    <w:rsid w:val="007A2F70"/>
    <w:rsid w:val="007C3334"/>
    <w:rsid w:val="007C52BB"/>
    <w:rsid w:val="007D2B98"/>
    <w:rsid w:val="007F6DE9"/>
    <w:rsid w:val="007F7980"/>
    <w:rsid w:val="00803F1C"/>
    <w:rsid w:val="0080600E"/>
    <w:rsid w:val="00817612"/>
    <w:rsid w:val="00821FB2"/>
    <w:rsid w:val="008229B6"/>
    <w:rsid w:val="008258D7"/>
    <w:rsid w:val="008312A6"/>
    <w:rsid w:val="00837C45"/>
    <w:rsid w:val="00850B6E"/>
    <w:rsid w:val="00853419"/>
    <w:rsid w:val="008546E5"/>
    <w:rsid w:val="008801F8"/>
    <w:rsid w:val="00893AE2"/>
    <w:rsid w:val="00895476"/>
    <w:rsid w:val="008978E1"/>
    <w:rsid w:val="00897E12"/>
    <w:rsid w:val="008A2C7D"/>
    <w:rsid w:val="008C4EBF"/>
    <w:rsid w:val="008C6C7F"/>
    <w:rsid w:val="008D43BA"/>
    <w:rsid w:val="008E3759"/>
    <w:rsid w:val="008E3CF3"/>
    <w:rsid w:val="008E40F5"/>
    <w:rsid w:val="009041DC"/>
    <w:rsid w:val="009104B4"/>
    <w:rsid w:val="009228DA"/>
    <w:rsid w:val="00925FCD"/>
    <w:rsid w:val="009265D9"/>
    <w:rsid w:val="0093441A"/>
    <w:rsid w:val="00936805"/>
    <w:rsid w:val="009473E2"/>
    <w:rsid w:val="00952263"/>
    <w:rsid w:val="00954BF7"/>
    <w:rsid w:val="009556F8"/>
    <w:rsid w:val="0096706E"/>
    <w:rsid w:val="00981FBA"/>
    <w:rsid w:val="009866F6"/>
    <w:rsid w:val="0098783D"/>
    <w:rsid w:val="009B381B"/>
    <w:rsid w:val="009C6F47"/>
    <w:rsid w:val="009D59D2"/>
    <w:rsid w:val="009D7611"/>
    <w:rsid w:val="009E53DE"/>
    <w:rsid w:val="009E566A"/>
    <w:rsid w:val="00A12DBC"/>
    <w:rsid w:val="00A2467F"/>
    <w:rsid w:val="00A34ABD"/>
    <w:rsid w:val="00A43458"/>
    <w:rsid w:val="00A46EAD"/>
    <w:rsid w:val="00A528D1"/>
    <w:rsid w:val="00A57B18"/>
    <w:rsid w:val="00A66BE5"/>
    <w:rsid w:val="00A73097"/>
    <w:rsid w:val="00AB4FA4"/>
    <w:rsid w:val="00AB7D40"/>
    <w:rsid w:val="00AD37C1"/>
    <w:rsid w:val="00AE66EC"/>
    <w:rsid w:val="00AE6F91"/>
    <w:rsid w:val="00AF5571"/>
    <w:rsid w:val="00B00070"/>
    <w:rsid w:val="00B06BB7"/>
    <w:rsid w:val="00B06F3D"/>
    <w:rsid w:val="00B167E9"/>
    <w:rsid w:val="00B179ED"/>
    <w:rsid w:val="00B314DB"/>
    <w:rsid w:val="00B31EBE"/>
    <w:rsid w:val="00B3718B"/>
    <w:rsid w:val="00B44B23"/>
    <w:rsid w:val="00B4632A"/>
    <w:rsid w:val="00B7629B"/>
    <w:rsid w:val="00B92E49"/>
    <w:rsid w:val="00BA276C"/>
    <w:rsid w:val="00BB306F"/>
    <w:rsid w:val="00BC262E"/>
    <w:rsid w:val="00BD232B"/>
    <w:rsid w:val="00BD2E42"/>
    <w:rsid w:val="00BD4B89"/>
    <w:rsid w:val="00BD6907"/>
    <w:rsid w:val="00BE2CE2"/>
    <w:rsid w:val="00BE6657"/>
    <w:rsid w:val="00C014CD"/>
    <w:rsid w:val="00C02721"/>
    <w:rsid w:val="00C11C7D"/>
    <w:rsid w:val="00C21762"/>
    <w:rsid w:val="00C24543"/>
    <w:rsid w:val="00C256A2"/>
    <w:rsid w:val="00C3492D"/>
    <w:rsid w:val="00C355B4"/>
    <w:rsid w:val="00C37EFF"/>
    <w:rsid w:val="00C454A5"/>
    <w:rsid w:val="00C55560"/>
    <w:rsid w:val="00C55A25"/>
    <w:rsid w:val="00C66B72"/>
    <w:rsid w:val="00C77713"/>
    <w:rsid w:val="00C835E7"/>
    <w:rsid w:val="00C87C57"/>
    <w:rsid w:val="00C9567A"/>
    <w:rsid w:val="00C962B2"/>
    <w:rsid w:val="00CA31D1"/>
    <w:rsid w:val="00CA6577"/>
    <w:rsid w:val="00CB2660"/>
    <w:rsid w:val="00CB7D26"/>
    <w:rsid w:val="00CC5E90"/>
    <w:rsid w:val="00CD046C"/>
    <w:rsid w:val="00CD2A88"/>
    <w:rsid w:val="00CD5122"/>
    <w:rsid w:val="00CE5199"/>
    <w:rsid w:val="00CE66D5"/>
    <w:rsid w:val="00D07CE1"/>
    <w:rsid w:val="00D1124A"/>
    <w:rsid w:val="00D27380"/>
    <w:rsid w:val="00D34786"/>
    <w:rsid w:val="00D401C8"/>
    <w:rsid w:val="00D40A1E"/>
    <w:rsid w:val="00D533C0"/>
    <w:rsid w:val="00D70B5D"/>
    <w:rsid w:val="00D712D3"/>
    <w:rsid w:val="00D71422"/>
    <w:rsid w:val="00D7145E"/>
    <w:rsid w:val="00D75084"/>
    <w:rsid w:val="00D7558D"/>
    <w:rsid w:val="00D81D92"/>
    <w:rsid w:val="00D93446"/>
    <w:rsid w:val="00DA7B5F"/>
    <w:rsid w:val="00DA7C0A"/>
    <w:rsid w:val="00DC7B91"/>
    <w:rsid w:val="00DE482D"/>
    <w:rsid w:val="00DF078B"/>
    <w:rsid w:val="00DF350D"/>
    <w:rsid w:val="00E20270"/>
    <w:rsid w:val="00E227C1"/>
    <w:rsid w:val="00E241F7"/>
    <w:rsid w:val="00E325E5"/>
    <w:rsid w:val="00E43157"/>
    <w:rsid w:val="00E47F3D"/>
    <w:rsid w:val="00E533FF"/>
    <w:rsid w:val="00E57A33"/>
    <w:rsid w:val="00E709B3"/>
    <w:rsid w:val="00E7400E"/>
    <w:rsid w:val="00E7588C"/>
    <w:rsid w:val="00E76E74"/>
    <w:rsid w:val="00E7797F"/>
    <w:rsid w:val="00E84DCF"/>
    <w:rsid w:val="00E850B6"/>
    <w:rsid w:val="00E85F90"/>
    <w:rsid w:val="00E8789F"/>
    <w:rsid w:val="00E97B71"/>
    <w:rsid w:val="00E97D29"/>
    <w:rsid w:val="00EB454D"/>
    <w:rsid w:val="00EC3E74"/>
    <w:rsid w:val="00ED0D1B"/>
    <w:rsid w:val="00ED5FB1"/>
    <w:rsid w:val="00EE3522"/>
    <w:rsid w:val="00EF619B"/>
    <w:rsid w:val="00F00B55"/>
    <w:rsid w:val="00F021A4"/>
    <w:rsid w:val="00F1011C"/>
    <w:rsid w:val="00F1380F"/>
    <w:rsid w:val="00F14F0E"/>
    <w:rsid w:val="00F15A3B"/>
    <w:rsid w:val="00F24C29"/>
    <w:rsid w:val="00F253CC"/>
    <w:rsid w:val="00F42B71"/>
    <w:rsid w:val="00F455FB"/>
    <w:rsid w:val="00F50246"/>
    <w:rsid w:val="00F56BA5"/>
    <w:rsid w:val="00F621C3"/>
    <w:rsid w:val="00F62474"/>
    <w:rsid w:val="00F644E6"/>
    <w:rsid w:val="00F9653B"/>
    <w:rsid w:val="00FB62CF"/>
    <w:rsid w:val="00FC3EB4"/>
    <w:rsid w:val="00FC49A6"/>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styleId="HTMLPreformatted">
    <w:name w:val="HTML Preformatted"/>
    <w:basedOn w:val="Normal"/>
    <w:link w:val="HTMLPreformattedChar"/>
    <w:uiPriority w:val="99"/>
    <w:semiHidden/>
    <w:unhideWhenUsed/>
    <w:rsid w:val="0095226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2263"/>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318966961">
      <w:bodyDiv w:val="1"/>
      <w:marLeft w:val="0"/>
      <w:marRight w:val="0"/>
      <w:marTop w:val="0"/>
      <w:marBottom w:val="0"/>
      <w:divBdr>
        <w:top w:val="none" w:sz="0" w:space="0" w:color="auto"/>
        <w:left w:val="none" w:sz="0" w:space="0" w:color="auto"/>
        <w:bottom w:val="none" w:sz="0" w:space="0" w:color="auto"/>
        <w:right w:val="none" w:sz="0" w:space="0" w:color="auto"/>
      </w:divBdr>
    </w:div>
    <w:div w:id="14559805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5839443">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7A26-8DAE-40F0-B962-6B2389C0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2347</Words>
  <Characters>13379</Characters>
  <Application>Microsoft Office Word</Application>
  <DocSecurity>0</DocSecurity>
  <Lines>111</Lines>
  <Paragraphs>31</Paragraphs>
  <ScaleCrop>false</ScaleCrop>
  <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221/19</dc:title>
  <dc:creator/>
  <cp:lastModifiedBy/>
  <cp:revision>1</cp:revision>
  <dcterms:created xsi:type="dcterms:W3CDTF">2020-05-11T14:18:00Z</dcterms:created>
  <dcterms:modified xsi:type="dcterms:W3CDTF">2020-05-13T18:20:00Z</dcterms:modified>
</cp:coreProperties>
</file>