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604D9" w:rsidRDefault="00386536" w:rsidP="00627C9F">
      <w:pPr>
        <w:jc w:val="both"/>
        <w:rPr>
          <w:rFonts w:asciiTheme="majorHAnsi" w:hAnsiTheme="majorHAnsi"/>
          <w:b/>
          <w:bCs/>
        </w:rPr>
      </w:pPr>
      <w:bookmarkStart w:id="0" w:name="_GoBack"/>
      <w:r>
        <w:rPr>
          <w:rFonts w:asciiTheme="majorHAnsi" w:hAnsiTheme="majorHAnsi"/>
          <w:noProof/>
        </w:rPr>
        <w:pict>
          <v:rect id="Rectangle 1" o:spid="_x0000_s1026" style="position:absolute;left:0;text-align:left;margin-left:-32.75pt;margin-top:-34.6pt;width:121.5pt;height:716.25pt;z-index:251661311;visibility:visible;mso-width-relative:margin;mso-height-relative:margin;v-text-anchor:middle" fillcolor="#67ae3c" stroked="f" strokeweight="2pt"/>
        </w:pict>
      </w:r>
      <w:bookmarkEnd w:id="0"/>
      <w:r>
        <w:rPr>
          <w:rFonts w:asciiTheme="majorHAnsi" w:hAnsiTheme="majorHAnsi"/>
          <w:noProof/>
        </w:rPr>
        <w:pict>
          <v:shapetype id="_x0000_t202" coordsize="21600,21600" o:spt="202" path="m,l,21600r21600,l21600,xe">
            <v:stroke joinstyle="miter"/>
            <v:path gradientshapeok="t" o:connecttype="rect"/>
          </v:shapetype>
          <v:shape id="Text Box 11" o:spid="_x0000_s1033" type="#_x0000_t202" style="position:absolute;left:0;text-align:left;margin-left:100.95pt;margin-top:-33.4pt;width:413.25pt;height:71.0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C434B" w:rsidRDefault="006C434B" w:rsidP="00AE5488">
                  <w:r>
                    <w:rPr>
                      <w:noProof/>
                    </w:rPr>
                    <w:drawing>
                      <wp:inline distT="0" distB="0" distL="0" distR="0" wp14:anchorId="0F2EDECD" wp14:editId="142624AF">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w:r>
    </w:p>
    <w:p w:rsidR="00040C3A" w:rsidRPr="008604D9" w:rsidRDefault="00040C3A" w:rsidP="00040C3A">
      <w:pPr>
        <w:tabs>
          <w:tab w:val="center" w:pos="5400"/>
        </w:tabs>
        <w:suppressAutoHyphens/>
        <w:jc w:val="both"/>
        <w:rPr>
          <w:rFonts w:asciiTheme="majorHAnsi" w:hAnsiTheme="majorHAnsi"/>
        </w:rPr>
      </w:pPr>
    </w:p>
    <w:p w:rsidR="00040C3A" w:rsidRPr="008604D9" w:rsidRDefault="00040C3A" w:rsidP="00040C3A">
      <w:pPr>
        <w:tabs>
          <w:tab w:val="center" w:pos="5400"/>
        </w:tabs>
        <w:suppressAutoHyphens/>
        <w:jc w:val="both"/>
        <w:rPr>
          <w:rFonts w:asciiTheme="majorHAnsi" w:hAnsiTheme="majorHAnsi"/>
        </w:rPr>
      </w:pPr>
    </w:p>
    <w:p w:rsidR="005128E4" w:rsidRPr="008604D9" w:rsidRDefault="005128E4" w:rsidP="00040C3A">
      <w:pPr>
        <w:tabs>
          <w:tab w:val="center" w:pos="5400"/>
        </w:tabs>
        <w:suppressAutoHyphens/>
        <w:rPr>
          <w:rFonts w:asciiTheme="majorHAnsi" w:hAnsiTheme="majorHAnsi"/>
        </w:rPr>
      </w:pPr>
    </w:p>
    <w:p w:rsidR="005128E4" w:rsidRPr="008604D9" w:rsidRDefault="005128E4" w:rsidP="00040C3A">
      <w:pPr>
        <w:tabs>
          <w:tab w:val="center" w:pos="5400"/>
        </w:tabs>
        <w:suppressAutoHyphens/>
        <w:rPr>
          <w:rFonts w:asciiTheme="majorHAnsi" w:hAnsiTheme="majorHAnsi"/>
        </w:rPr>
      </w:pPr>
    </w:p>
    <w:p w:rsidR="005128E4" w:rsidRPr="008604D9" w:rsidRDefault="005128E4" w:rsidP="00040C3A">
      <w:pPr>
        <w:tabs>
          <w:tab w:val="center" w:pos="5400"/>
        </w:tabs>
        <w:suppressAutoHyphens/>
        <w:rPr>
          <w:rFonts w:asciiTheme="majorHAnsi" w:hAnsiTheme="majorHAnsi"/>
        </w:rPr>
      </w:pPr>
    </w:p>
    <w:p w:rsidR="00040C3A" w:rsidRPr="008604D9" w:rsidRDefault="00040C3A" w:rsidP="005128E4">
      <w:pPr>
        <w:tabs>
          <w:tab w:val="center" w:pos="5400"/>
        </w:tabs>
        <w:suppressAutoHyphens/>
        <w:jc w:val="center"/>
        <w:rPr>
          <w:rFonts w:asciiTheme="majorHAnsi" w:hAnsiTheme="majorHAnsi"/>
        </w:rPr>
      </w:pPr>
    </w:p>
    <w:p w:rsidR="00040C3A" w:rsidRPr="008604D9" w:rsidRDefault="00040C3A" w:rsidP="005128E4">
      <w:pPr>
        <w:tabs>
          <w:tab w:val="center" w:pos="5400"/>
        </w:tabs>
        <w:suppressAutoHyphens/>
        <w:jc w:val="center"/>
        <w:rPr>
          <w:rFonts w:asciiTheme="majorHAnsi" w:hAnsiTheme="majorHAnsi"/>
        </w:rPr>
      </w:pPr>
    </w:p>
    <w:p w:rsidR="005B52B0" w:rsidRPr="008604D9" w:rsidRDefault="005B52B0" w:rsidP="005128E4">
      <w:pPr>
        <w:tabs>
          <w:tab w:val="center" w:pos="5400"/>
        </w:tabs>
        <w:suppressAutoHyphens/>
        <w:jc w:val="center"/>
        <w:rPr>
          <w:rFonts w:asciiTheme="majorHAnsi" w:hAnsiTheme="majorHAnsi"/>
        </w:rPr>
      </w:pPr>
    </w:p>
    <w:p w:rsidR="005B52B0" w:rsidRPr="008604D9" w:rsidRDefault="005B52B0" w:rsidP="005128E4">
      <w:pPr>
        <w:tabs>
          <w:tab w:val="center" w:pos="5400"/>
        </w:tabs>
        <w:suppressAutoHyphens/>
        <w:jc w:val="center"/>
        <w:rPr>
          <w:rFonts w:asciiTheme="majorHAnsi" w:hAnsiTheme="majorHAnsi"/>
        </w:rPr>
      </w:pPr>
    </w:p>
    <w:p w:rsidR="005B52B0" w:rsidRPr="008604D9" w:rsidRDefault="005B52B0" w:rsidP="005128E4">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386536" w:rsidP="00040C3A">
      <w:pPr>
        <w:tabs>
          <w:tab w:val="center" w:pos="5400"/>
        </w:tabs>
        <w:suppressAutoHyphens/>
        <w:jc w:val="center"/>
        <w:rPr>
          <w:rFonts w:asciiTheme="majorHAnsi" w:hAnsiTheme="majorHAnsi"/>
        </w:rPr>
      </w:pPr>
      <w:r>
        <w:rPr>
          <w:rFonts w:asciiTheme="majorHAnsi" w:hAnsiTheme="majorHAnsi"/>
          <w:noProof/>
        </w:rPr>
        <w:pict>
          <v:shape id="Text Box 5" o:spid="_x0000_s1027" type="#_x0000_t202" style="position:absolute;left:0;text-align:left;margin-left:106.5pt;margin-top:8.45pt;width:349.7pt;height:17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C434B" w:rsidRPr="00415BE7" w:rsidRDefault="006C434B"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415BE7">
                    <w:rPr>
                      <w:rFonts w:asciiTheme="majorHAnsi" w:hAnsiTheme="majorHAnsi" w:cs="Arial"/>
                      <w:b/>
                      <w:bCs/>
                      <w:color w:val="0D0D0D" w:themeColor="text1" w:themeTint="F2"/>
                      <w:sz w:val="36"/>
                      <w:szCs w:val="22"/>
                    </w:rPr>
                    <w:t xml:space="preserve"> </w:t>
                  </w:r>
                  <w:r w:rsidRPr="00415BE7">
                    <w:rPr>
                      <w:rFonts w:asciiTheme="majorHAnsi" w:hAnsiTheme="majorHAnsi" w:cs="Arial"/>
                      <w:b/>
                      <w:bCs/>
                      <w:color w:val="0D0D0D" w:themeColor="text1" w:themeTint="F2"/>
                      <w:sz w:val="36"/>
                      <w:szCs w:val="40"/>
                    </w:rPr>
                    <w:t>No.</w:t>
                  </w:r>
                  <w:r w:rsidRPr="00415BE7">
                    <w:rPr>
                      <w:rFonts w:asciiTheme="majorHAnsi" w:hAnsiTheme="majorHAnsi" w:cs="Arial"/>
                      <w:b/>
                      <w:bCs/>
                      <w:color w:val="0D0D0D" w:themeColor="text1" w:themeTint="F2"/>
                      <w:sz w:val="36"/>
                      <w:szCs w:val="22"/>
                    </w:rPr>
                    <w:t xml:space="preserve"> </w:t>
                  </w:r>
                  <w:r w:rsidR="002D0A96">
                    <w:rPr>
                      <w:rFonts w:asciiTheme="majorHAnsi" w:hAnsiTheme="majorHAnsi" w:cs="Arial"/>
                      <w:b/>
                      <w:bCs/>
                      <w:color w:val="0D0D0D" w:themeColor="text1" w:themeTint="F2"/>
                      <w:sz w:val="36"/>
                      <w:szCs w:val="22"/>
                    </w:rPr>
                    <w:t>31</w:t>
                  </w:r>
                  <w:r w:rsidRPr="00415BE7">
                    <w:rPr>
                      <w:rFonts w:asciiTheme="majorHAnsi" w:hAnsiTheme="majorHAnsi" w:cs="Arial"/>
                      <w:b/>
                      <w:bCs/>
                      <w:color w:val="0D0D0D" w:themeColor="text1" w:themeTint="F2"/>
                      <w:sz w:val="36"/>
                      <w:szCs w:val="22"/>
                    </w:rPr>
                    <w:t>/19</w:t>
                  </w:r>
                </w:p>
                <w:p w:rsidR="006C434B" w:rsidRPr="00415BE7" w:rsidRDefault="006C434B"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415BE7">
                    <w:rPr>
                      <w:rFonts w:asciiTheme="majorHAnsi" w:hAnsiTheme="majorHAnsi" w:cs="Arial"/>
                      <w:b/>
                      <w:color w:val="0D0D0D" w:themeColor="text1" w:themeTint="F2"/>
                      <w:sz w:val="36"/>
                      <w:szCs w:val="22"/>
                    </w:rPr>
                    <w:t xml:space="preserve"> 570-09 </w:t>
                  </w:r>
                </w:p>
                <w:p w:rsidR="006C434B" w:rsidRPr="00415BE7" w:rsidRDefault="006C434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w:t>
                  </w:r>
                  <w:r w:rsidRPr="00415BE7">
                    <w:rPr>
                      <w:rFonts w:asciiTheme="majorHAnsi" w:hAnsiTheme="majorHAnsi" w:cs="Arial"/>
                      <w:color w:val="0D0D0D" w:themeColor="text1" w:themeTint="F2"/>
                      <w:szCs w:val="22"/>
                    </w:rPr>
                    <w:t xml:space="preserve"> </w:t>
                  </w:r>
                  <w:r>
                    <w:rPr>
                      <w:rFonts w:asciiTheme="majorHAnsi" w:hAnsiTheme="majorHAnsi" w:cs="Arial"/>
                      <w:color w:val="0D0D0D" w:themeColor="text1" w:themeTint="F2"/>
                      <w:szCs w:val="22"/>
                    </w:rPr>
                    <w:t>ON ADMISSIBILITY</w:t>
                  </w:r>
                </w:p>
                <w:p w:rsidR="006C434B" w:rsidRPr="00415BE7" w:rsidRDefault="006C434B" w:rsidP="00997BC5">
                  <w:pPr>
                    <w:spacing w:line="276" w:lineRule="auto"/>
                    <w:rPr>
                      <w:rFonts w:asciiTheme="majorHAnsi" w:hAnsiTheme="majorHAnsi" w:cs="Arial"/>
                      <w:color w:val="0D0D0D" w:themeColor="text1" w:themeTint="F2"/>
                      <w:szCs w:val="22"/>
                    </w:rPr>
                  </w:pPr>
                  <w:bookmarkStart w:id="1" w:name="_ftnref1"/>
                </w:p>
                <w:p w:rsidR="006C434B" w:rsidRPr="00415BE7" w:rsidRDefault="006C434B" w:rsidP="00997BC5">
                  <w:pPr>
                    <w:spacing w:line="276" w:lineRule="auto"/>
                    <w:rPr>
                      <w:rFonts w:asciiTheme="majorHAnsi" w:hAnsiTheme="majorHAnsi" w:cs="Arial"/>
                      <w:color w:val="0D0D0D" w:themeColor="text1" w:themeTint="F2"/>
                      <w:szCs w:val="22"/>
                    </w:rPr>
                  </w:pPr>
                  <w:r w:rsidRPr="00415BE7">
                    <w:rPr>
                      <w:rFonts w:asciiTheme="majorHAnsi" w:hAnsiTheme="majorHAnsi" w:cs="Arial"/>
                      <w:color w:val="0D0D0D" w:themeColor="text1" w:themeTint="F2"/>
                      <w:szCs w:val="22"/>
                    </w:rPr>
                    <w:t xml:space="preserve">EDIVALDO BARBOSA </w:t>
                  </w:r>
                  <w:r>
                    <w:rPr>
                      <w:rFonts w:asciiTheme="majorHAnsi" w:hAnsiTheme="majorHAnsi" w:cs="Arial"/>
                      <w:color w:val="0D0D0D" w:themeColor="text1" w:themeTint="F2"/>
                      <w:szCs w:val="22"/>
                    </w:rPr>
                    <w:t>DE</w:t>
                  </w:r>
                  <w:r w:rsidRPr="00415BE7">
                    <w:rPr>
                      <w:rFonts w:asciiTheme="majorHAnsi" w:hAnsiTheme="majorHAnsi" w:cs="Arial"/>
                      <w:color w:val="0D0D0D" w:themeColor="text1" w:themeTint="F2"/>
                      <w:szCs w:val="22"/>
                    </w:rPr>
                    <w:t xml:space="preserve"> ANDRADE </w:t>
                  </w:r>
                  <w:r w:rsidR="008604D9">
                    <w:rPr>
                      <w:rFonts w:asciiTheme="majorHAnsi" w:hAnsiTheme="majorHAnsi" w:cs="Arial"/>
                      <w:color w:val="0D0D0D" w:themeColor="text1" w:themeTint="F2"/>
                      <w:szCs w:val="22"/>
                    </w:rPr>
                    <w:t>ET AL.</w:t>
                  </w:r>
                </w:p>
                <w:bookmarkEnd w:id="1"/>
                <w:p w:rsidR="006C434B" w:rsidRPr="00415BE7" w:rsidRDefault="006C434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BRAZ</w:t>
                  </w:r>
                  <w:r w:rsidRPr="00415BE7">
                    <w:rPr>
                      <w:rFonts w:asciiTheme="majorHAnsi" w:hAnsiTheme="majorHAnsi" w:cs="Arial"/>
                      <w:color w:val="0D0D0D" w:themeColor="text1" w:themeTint="F2"/>
                      <w:szCs w:val="22"/>
                    </w:rPr>
                    <w:t>IL</w:t>
                  </w:r>
                </w:p>
                <w:p w:rsidR="006C434B" w:rsidRPr="00415BE7" w:rsidRDefault="006C434B" w:rsidP="007A5817">
                  <w:pPr>
                    <w:rPr>
                      <w:color w:val="0D0D0D" w:themeColor="text1" w:themeTint="F2"/>
                    </w:rPr>
                  </w:pPr>
                </w:p>
              </w:txbxContent>
            </v:textbox>
          </v:shape>
        </w:pict>
      </w:r>
      <w:r>
        <w:rPr>
          <w:rFonts w:asciiTheme="majorHAnsi" w:hAnsiTheme="majorHAnsi"/>
          <w:noProof/>
        </w:rPr>
        <w:pict>
          <v:shape id="Text Box 8" o:spid="_x0000_s1028" type="#_x0000_t202" style="position:absolute;left:0;text-align:left;margin-left:-27pt;margin-top:12.95pt;width:109.5pt;height:108.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C434B" w:rsidRPr="002D0A96" w:rsidRDefault="002D0A96" w:rsidP="007A5817">
                  <w:pPr>
                    <w:spacing w:line="276" w:lineRule="auto"/>
                    <w:jc w:val="right"/>
                    <w:rPr>
                      <w:rFonts w:asciiTheme="minorHAnsi" w:hAnsiTheme="minorHAnsi"/>
                      <w:color w:val="FFFFFF" w:themeColor="background1"/>
                      <w:sz w:val="22"/>
                      <w:lang w:val="pt-BR"/>
                    </w:rPr>
                  </w:pPr>
                  <w:r w:rsidRPr="002D0A96">
                    <w:rPr>
                      <w:rFonts w:asciiTheme="minorHAnsi" w:hAnsiTheme="minorHAnsi"/>
                      <w:color w:val="FFFFFF" w:themeColor="background1"/>
                      <w:sz w:val="22"/>
                      <w:lang w:val="pt-BR"/>
                    </w:rPr>
                    <w:t>OEA/Ser.L/V/II.</w:t>
                  </w:r>
                </w:p>
                <w:p w:rsidR="006C434B" w:rsidRPr="002D0A96" w:rsidRDefault="002D0A96" w:rsidP="007A5817">
                  <w:pPr>
                    <w:spacing w:line="276" w:lineRule="auto"/>
                    <w:jc w:val="right"/>
                    <w:rPr>
                      <w:rFonts w:asciiTheme="minorHAnsi" w:hAnsiTheme="minorHAnsi"/>
                      <w:color w:val="FFFFFF" w:themeColor="background1"/>
                      <w:sz w:val="22"/>
                      <w:lang w:val="pt-BR"/>
                    </w:rPr>
                  </w:pPr>
                  <w:r w:rsidRPr="002D0A96">
                    <w:rPr>
                      <w:rFonts w:asciiTheme="minorHAnsi" w:hAnsiTheme="minorHAnsi"/>
                      <w:color w:val="FFFFFF" w:themeColor="background1"/>
                      <w:sz w:val="22"/>
                      <w:lang w:val="pt-BR"/>
                    </w:rPr>
                    <w:t>Doc. 36</w:t>
                  </w:r>
                </w:p>
                <w:p w:rsidR="006C434B" w:rsidRPr="008604D9" w:rsidRDefault="002D0A9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March</w:t>
                  </w:r>
                  <w:r w:rsidR="006C434B" w:rsidRPr="008604D9">
                    <w:rPr>
                      <w:rFonts w:asciiTheme="minorHAnsi" w:hAnsiTheme="minorHAnsi"/>
                      <w:color w:val="FFFFFF" w:themeColor="background1"/>
                      <w:sz w:val="22"/>
                    </w:rPr>
                    <w:t xml:space="preserve"> 2019</w:t>
                  </w:r>
                </w:p>
                <w:p w:rsidR="006C434B" w:rsidRPr="008604D9" w:rsidRDefault="006C434B" w:rsidP="007A5817">
                  <w:pPr>
                    <w:spacing w:line="276" w:lineRule="auto"/>
                    <w:jc w:val="right"/>
                    <w:rPr>
                      <w:rFonts w:asciiTheme="minorHAnsi" w:hAnsiTheme="minorHAnsi"/>
                      <w:color w:val="FFFFFF" w:themeColor="background1"/>
                      <w:sz w:val="22"/>
                    </w:rPr>
                  </w:pPr>
                  <w:r w:rsidRPr="008604D9">
                    <w:rPr>
                      <w:rFonts w:asciiTheme="minorHAnsi" w:hAnsiTheme="minorHAnsi"/>
                      <w:color w:val="FFFFFF" w:themeColor="background1"/>
                      <w:sz w:val="22"/>
                    </w:rPr>
                    <w:t>Original: Portuguese</w:t>
                  </w:r>
                </w:p>
              </w:txbxContent>
            </v:textbox>
          </v:shape>
        </w:pict>
      </w: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5128E4" w:rsidRPr="008604D9" w:rsidRDefault="005128E4"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5128E4" w:rsidRPr="008604D9" w:rsidRDefault="005128E4" w:rsidP="00040C3A">
      <w:pPr>
        <w:tabs>
          <w:tab w:val="center" w:pos="5400"/>
        </w:tabs>
        <w:suppressAutoHyphens/>
        <w:jc w:val="center"/>
        <w:rPr>
          <w:rFonts w:asciiTheme="majorHAnsi" w:hAnsiTheme="majorHAnsi"/>
        </w:rPr>
      </w:pPr>
    </w:p>
    <w:p w:rsidR="005128E4" w:rsidRPr="008604D9" w:rsidRDefault="005128E4" w:rsidP="00040C3A">
      <w:pPr>
        <w:tabs>
          <w:tab w:val="center" w:pos="5400"/>
        </w:tabs>
        <w:suppressAutoHyphens/>
        <w:jc w:val="center"/>
        <w:rPr>
          <w:rFonts w:asciiTheme="majorHAnsi" w:hAnsiTheme="majorHAnsi"/>
        </w:rPr>
      </w:pPr>
    </w:p>
    <w:p w:rsidR="005128E4" w:rsidRPr="008604D9" w:rsidRDefault="005128E4"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040C3A" w:rsidRPr="008604D9" w:rsidRDefault="00040C3A"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386536" w:rsidP="00040C3A">
      <w:pPr>
        <w:tabs>
          <w:tab w:val="center" w:pos="5400"/>
        </w:tabs>
        <w:suppressAutoHyphens/>
        <w:jc w:val="center"/>
        <w:rPr>
          <w:rFonts w:asciiTheme="majorHAnsi" w:hAnsiTheme="majorHAnsi"/>
        </w:rPr>
      </w:pPr>
      <w:r>
        <w:rPr>
          <w:rFonts w:asciiTheme="majorHAnsi" w:hAnsiTheme="majorHAnsi"/>
          <w:noProof/>
        </w:rPr>
        <w:pict>
          <v:shape id="Text Box 7" o:spid="_x0000_s1029" type="#_x0000_t202" style="position:absolute;left:0;text-align:left;margin-left:105.65pt;margin-top:1.8pt;width:388.5pt;height:52.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C434B" w:rsidRPr="008604D9" w:rsidRDefault="00787FC9" w:rsidP="00DD3D86">
                  <w:pPr>
                    <w:tabs>
                      <w:tab w:val="center" w:pos="5400"/>
                    </w:tabs>
                    <w:suppressAutoHyphens/>
                    <w:spacing w:before="60"/>
                    <w:rPr>
                      <w:rFonts w:asciiTheme="majorHAnsi" w:hAnsiTheme="majorHAnsi"/>
                      <w:color w:val="0D0D0D" w:themeColor="text1" w:themeTint="F2"/>
                      <w:sz w:val="18"/>
                      <w:szCs w:val="18"/>
                    </w:rPr>
                  </w:pPr>
                  <w:r w:rsidRPr="008604D9">
                    <w:rPr>
                      <w:rFonts w:asciiTheme="majorHAnsi" w:hAnsiTheme="majorHAnsi"/>
                      <w:color w:val="0D0D0D" w:themeColor="text1" w:themeTint="F2"/>
                      <w:sz w:val="18"/>
                      <w:szCs w:val="18"/>
                    </w:rPr>
                    <w:t xml:space="preserve">Adopted electronically by the Commission </w:t>
                  </w:r>
                  <w:r w:rsidR="002D0A96">
                    <w:rPr>
                      <w:rFonts w:asciiTheme="majorHAnsi" w:hAnsiTheme="majorHAnsi"/>
                      <w:color w:val="0D0D0D" w:themeColor="text1" w:themeTint="F2"/>
                      <w:sz w:val="18"/>
                      <w:szCs w:val="18"/>
                    </w:rPr>
                    <w:t>on March 31,</w:t>
                  </w:r>
                  <w:r w:rsidRPr="008604D9">
                    <w:rPr>
                      <w:rFonts w:asciiTheme="majorHAnsi" w:hAnsiTheme="majorHAnsi"/>
                      <w:color w:val="0D0D0D" w:themeColor="text1" w:themeTint="F2"/>
                      <w:sz w:val="18"/>
                      <w:szCs w:val="18"/>
                    </w:rPr>
                    <w:t xml:space="preserve"> 2019</w:t>
                  </w:r>
                  <w:r w:rsidR="00C6029C">
                    <w:rPr>
                      <w:rFonts w:asciiTheme="majorHAnsi" w:hAnsiTheme="majorHAnsi"/>
                      <w:color w:val="0D0D0D" w:themeColor="text1" w:themeTint="F2"/>
                      <w:sz w:val="18"/>
                      <w:szCs w:val="18"/>
                    </w:rPr>
                    <w:t>.</w:t>
                  </w:r>
                </w:p>
                <w:p w:rsidR="006C434B" w:rsidRPr="008604D9" w:rsidRDefault="006C434B" w:rsidP="00247403">
                  <w:pPr>
                    <w:tabs>
                      <w:tab w:val="center" w:pos="5400"/>
                    </w:tabs>
                    <w:suppressAutoHyphens/>
                    <w:spacing w:before="60"/>
                    <w:rPr>
                      <w:rFonts w:asciiTheme="minorHAnsi" w:hAnsiTheme="minorHAnsi" w:cs="Univers"/>
                      <w:color w:val="0D0D0D" w:themeColor="text1" w:themeTint="F2"/>
                      <w:sz w:val="18"/>
                      <w:szCs w:val="18"/>
                    </w:rPr>
                  </w:pPr>
                </w:p>
                <w:p w:rsidR="006C434B" w:rsidRPr="008604D9" w:rsidRDefault="006C434B" w:rsidP="0059191A">
                  <w:pPr>
                    <w:tabs>
                      <w:tab w:val="center" w:pos="5400"/>
                    </w:tabs>
                    <w:suppressAutoHyphens/>
                    <w:spacing w:before="60"/>
                    <w:rPr>
                      <w:rFonts w:ascii="Calibri" w:hAnsi="Calibri"/>
                      <w:color w:val="FFFFFF" w:themeColor="background1"/>
                      <w:spacing w:val="-2"/>
                      <w:sz w:val="18"/>
                      <w:szCs w:val="18"/>
                    </w:rPr>
                  </w:pPr>
                </w:p>
              </w:txbxContent>
            </v:textbox>
          </v:shape>
        </w:pict>
      </w: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A50FCF" w:rsidP="00040C3A">
      <w:pPr>
        <w:tabs>
          <w:tab w:val="center" w:pos="5400"/>
        </w:tabs>
        <w:suppressAutoHyphens/>
        <w:jc w:val="center"/>
        <w:rPr>
          <w:rFonts w:asciiTheme="majorHAnsi" w:hAnsiTheme="majorHAnsi"/>
        </w:rPr>
      </w:pPr>
    </w:p>
    <w:p w:rsidR="00A50FCF" w:rsidRPr="008604D9" w:rsidRDefault="00386536" w:rsidP="00040C3A">
      <w:pPr>
        <w:tabs>
          <w:tab w:val="center" w:pos="5400"/>
        </w:tabs>
        <w:suppressAutoHyphens/>
        <w:jc w:val="center"/>
        <w:rPr>
          <w:rFonts w:asciiTheme="majorHAnsi" w:hAnsiTheme="majorHAnsi"/>
        </w:rPr>
      </w:pPr>
      <w:r>
        <w:rPr>
          <w:rFonts w:asciiTheme="majorHAnsi" w:hAnsiTheme="majorHAnsi"/>
          <w:noProof/>
        </w:rPr>
        <w:pict>
          <v:shape id="Text Box 10" o:spid="_x0000_s1030" type="#_x0000_t202" style="position:absolute;left:0;text-align:left;margin-left:105pt;margin-top:.45pt;width:389.25pt;height:51.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C434B" w:rsidRPr="008604D9" w:rsidRDefault="006C434B" w:rsidP="00113F73">
                  <w:pPr>
                    <w:spacing w:line="276" w:lineRule="auto"/>
                    <w:rPr>
                      <w:rFonts w:asciiTheme="majorHAnsi" w:hAnsiTheme="majorHAnsi"/>
                      <w:color w:val="595959" w:themeColor="text1" w:themeTint="A6"/>
                      <w:sz w:val="18"/>
                      <w:szCs w:val="18"/>
                    </w:rPr>
                  </w:pPr>
                  <w:r w:rsidRPr="008604D9">
                    <w:rPr>
                      <w:rFonts w:asciiTheme="majorHAnsi" w:hAnsiTheme="majorHAnsi"/>
                      <w:b/>
                      <w:color w:val="595959" w:themeColor="text1" w:themeTint="A6"/>
                      <w:sz w:val="18"/>
                      <w:szCs w:val="18"/>
                    </w:rPr>
                    <w:t>Cite as:</w:t>
                  </w:r>
                  <w:r w:rsidRPr="008604D9">
                    <w:rPr>
                      <w:rFonts w:asciiTheme="majorHAnsi" w:hAnsiTheme="majorHAnsi"/>
                      <w:color w:val="595959" w:themeColor="text1" w:themeTint="A6"/>
                      <w:sz w:val="18"/>
                      <w:szCs w:val="18"/>
                    </w:rPr>
                    <w:t xml:space="preserve"> IACHR, Report No. </w:t>
                  </w:r>
                  <w:r w:rsidR="002D0A96">
                    <w:rPr>
                      <w:rFonts w:asciiTheme="majorHAnsi" w:hAnsiTheme="majorHAnsi"/>
                      <w:color w:val="595959" w:themeColor="text1" w:themeTint="A6"/>
                      <w:sz w:val="18"/>
                      <w:szCs w:val="18"/>
                    </w:rPr>
                    <w:t>31</w:t>
                  </w:r>
                  <w:r w:rsidRPr="008604D9">
                    <w:rPr>
                      <w:rFonts w:asciiTheme="majorHAnsi" w:hAnsiTheme="majorHAnsi"/>
                      <w:color w:val="595959" w:themeColor="text1" w:themeTint="A6"/>
                      <w:sz w:val="18"/>
                      <w:szCs w:val="18"/>
                    </w:rPr>
                    <w:t xml:space="preserve">/19. </w:t>
                  </w:r>
                  <w:r w:rsidRPr="002D0A96">
                    <w:rPr>
                      <w:rFonts w:asciiTheme="majorHAnsi" w:hAnsiTheme="majorHAnsi"/>
                      <w:color w:val="595959" w:themeColor="text1" w:themeTint="A6"/>
                      <w:sz w:val="18"/>
                      <w:szCs w:val="18"/>
                      <w:lang w:val="fr-CA"/>
                    </w:rPr>
                    <w:t xml:space="preserve">Petition 570-09. Admissibility. Edivaldo Barbosa </w:t>
                  </w:r>
                  <w:r w:rsidR="006C0375" w:rsidRPr="002D0A96">
                    <w:rPr>
                      <w:rFonts w:asciiTheme="majorHAnsi" w:hAnsiTheme="majorHAnsi"/>
                      <w:color w:val="595959" w:themeColor="text1" w:themeTint="A6"/>
                      <w:sz w:val="18"/>
                      <w:szCs w:val="18"/>
                      <w:lang w:val="fr-CA"/>
                    </w:rPr>
                    <w:t>de</w:t>
                  </w:r>
                  <w:r w:rsidRPr="002D0A96">
                    <w:rPr>
                      <w:rFonts w:asciiTheme="majorHAnsi" w:hAnsiTheme="majorHAnsi"/>
                      <w:color w:val="595959" w:themeColor="text1" w:themeTint="A6"/>
                      <w:sz w:val="18"/>
                      <w:szCs w:val="18"/>
                      <w:lang w:val="fr-CA"/>
                    </w:rPr>
                    <w:t xml:space="preserve"> Andrade et al. </w:t>
                  </w:r>
                  <w:r w:rsidRPr="008604D9">
                    <w:rPr>
                      <w:rFonts w:asciiTheme="majorHAnsi" w:hAnsiTheme="majorHAnsi"/>
                      <w:color w:val="595959" w:themeColor="text1" w:themeTint="A6"/>
                      <w:sz w:val="18"/>
                      <w:szCs w:val="18"/>
                    </w:rPr>
                    <w:t xml:space="preserve">Brazil. </w:t>
                  </w:r>
                  <w:r w:rsidR="002D0A96">
                    <w:rPr>
                      <w:rFonts w:asciiTheme="majorHAnsi" w:hAnsiTheme="majorHAnsi"/>
                      <w:color w:val="595959" w:themeColor="text1" w:themeTint="A6"/>
                      <w:sz w:val="18"/>
                      <w:szCs w:val="18"/>
                    </w:rPr>
                    <w:t>March 31, 2019</w:t>
                  </w:r>
                  <w:r w:rsidRPr="008604D9">
                    <w:rPr>
                      <w:rFonts w:asciiTheme="majorHAnsi" w:hAnsiTheme="majorHAnsi"/>
                      <w:color w:val="595959" w:themeColor="text1" w:themeTint="A6"/>
                      <w:sz w:val="18"/>
                      <w:szCs w:val="18"/>
                    </w:rPr>
                    <w:t>.</w:t>
                  </w:r>
                </w:p>
              </w:txbxContent>
            </v:textbox>
          </v:shape>
        </w:pict>
      </w:r>
    </w:p>
    <w:p w:rsidR="0090270B" w:rsidRPr="008604D9" w:rsidRDefault="00386536" w:rsidP="005516A1">
      <w:pPr>
        <w:tabs>
          <w:tab w:val="center" w:pos="5400"/>
        </w:tabs>
        <w:suppressAutoHyphens/>
        <w:jc w:val="center"/>
        <w:rPr>
          <w:rFonts w:asciiTheme="majorHAnsi" w:hAnsiTheme="majorHAnsi"/>
          <w:b/>
        </w:rPr>
      </w:pPr>
      <w:r>
        <w:rPr>
          <w:rFonts w:asciiTheme="majorHAnsi" w:hAnsiTheme="majorHAnsi"/>
          <w:noProof/>
        </w:rPr>
        <w:pict>
          <v:shape id="Text Box 9" o:spid="_x0000_s1031" type="#_x0000_t202" style="position:absolute;left:0;text-align:left;margin-left:104.7pt;margin-top:50.3pt;width:322.55pt;height:44.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C434B" w:rsidRPr="00D72DC6" w:rsidRDefault="006C434B" w:rsidP="00F02AD1">
                  <w:pPr>
                    <w:rPr>
                      <w:color w:val="FFFFFF" w:themeColor="background1"/>
                    </w:rPr>
                  </w:pPr>
                  <w:r w:rsidRPr="00D72DC6">
                    <w:rPr>
                      <w:noProof/>
                      <w:color w:val="FFFFFF" w:themeColor="background1"/>
                    </w:rPr>
                    <w:drawing>
                      <wp:inline distT="0" distB="0" distL="0" distR="0" wp14:anchorId="7DBD7CDB" wp14:editId="696BDA89">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w:r>
    </w:p>
    <w:p w:rsidR="0070697F" w:rsidRPr="008604D9" w:rsidRDefault="00386536" w:rsidP="005516A1">
      <w:pPr>
        <w:tabs>
          <w:tab w:val="center" w:pos="5400"/>
        </w:tabs>
        <w:suppressAutoHyphens/>
        <w:jc w:val="center"/>
        <w:rPr>
          <w:rFonts w:asciiTheme="majorHAnsi" w:hAnsiTheme="majorHAnsi"/>
          <w:b/>
        </w:rPr>
        <w:sectPr w:rsidR="0070697F" w:rsidRPr="008604D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rPr>
        <w:pict>
          <v:shape id="Text Box 4" o:spid="_x0000_s1032" type="#_x0000_t202" style="position:absolute;left:0;text-align:left;margin-left:-21.45pt;margin-top:36.5pt;width:93pt;height:26.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C434B" w:rsidRPr="008604D9" w:rsidRDefault="006C434B" w:rsidP="00D306D1">
                  <w:pPr>
                    <w:jc w:val="center"/>
                    <w:rPr>
                      <w:rFonts w:asciiTheme="minorHAnsi" w:hAnsiTheme="minorHAnsi"/>
                      <w:b/>
                      <w:color w:val="FFFFFF" w:themeColor="background1"/>
                    </w:rPr>
                  </w:pPr>
                  <w:r w:rsidRPr="008604D9">
                    <w:rPr>
                      <w:rFonts w:asciiTheme="minorHAnsi" w:hAnsiTheme="minorHAnsi"/>
                      <w:b/>
                      <w:color w:val="FFFFFF" w:themeColor="background1"/>
                      <w:lang w:val="pt-BR"/>
                    </w:rPr>
                    <w:t>www.</w:t>
                  </w:r>
                  <w:r w:rsidR="00911BCF">
                    <w:rPr>
                      <w:rFonts w:asciiTheme="minorHAnsi" w:hAnsiTheme="minorHAnsi"/>
                      <w:b/>
                      <w:color w:val="FFFFFF" w:themeColor="background1"/>
                      <w:lang w:val="pt-BR"/>
                    </w:rPr>
                    <w:t>iachr</w:t>
                  </w:r>
                  <w:r w:rsidRPr="008604D9">
                    <w:rPr>
                      <w:rFonts w:asciiTheme="minorHAnsi" w:hAnsiTheme="minorHAnsi"/>
                      <w:b/>
                      <w:color w:val="FFFFFF" w:themeColor="background1"/>
                      <w:lang w:val="pt-BR"/>
                    </w:rPr>
                    <w:t>.or</w:t>
                  </w:r>
                  <w:r w:rsidR="00911BCF">
                    <w:rPr>
                      <w:rFonts w:asciiTheme="minorHAnsi" w:hAnsiTheme="minorHAnsi"/>
                      <w:b/>
                      <w:color w:val="FFFFFF" w:themeColor="background1"/>
                      <w:lang w:val="pt-BR"/>
                    </w:rPr>
                    <w:t>g</w:t>
                  </w:r>
                  <w:r w:rsidRPr="008604D9">
                    <w:rPr>
                      <w:rFonts w:asciiTheme="minorHAnsi" w:hAnsiTheme="minorHAnsi"/>
                      <w:b/>
                      <w:color w:val="FFFFFF" w:themeColor="background1"/>
                      <w:lang w:val="pt-BR"/>
                    </w:rPr>
                    <w:t>g</w:t>
                  </w:r>
                </w:p>
              </w:txbxContent>
            </v:textbox>
          </v:shape>
        </w:pict>
      </w:r>
      <w:r w:rsidR="004A6A54" w:rsidRPr="008604D9">
        <w:rPr>
          <w:rFonts w:asciiTheme="majorHAnsi" w:hAnsiTheme="majorHAnsi"/>
          <w:b/>
        </w:rPr>
        <w:tab/>
      </w:r>
    </w:p>
    <w:p w:rsidR="003239B8" w:rsidRPr="004B0E20" w:rsidRDefault="00A37F2E" w:rsidP="004A6A54">
      <w:pPr>
        <w:spacing w:after="240"/>
        <w:ind w:firstLine="720"/>
        <w:jc w:val="both"/>
        <w:rPr>
          <w:rFonts w:asciiTheme="majorHAnsi" w:hAnsiTheme="majorHAnsi"/>
          <w:b/>
          <w:bCs/>
          <w:sz w:val="22"/>
          <w:szCs w:val="22"/>
        </w:rPr>
      </w:pPr>
      <w:r w:rsidRPr="004B0E20">
        <w:rPr>
          <w:rFonts w:asciiTheme="majorHAnsi" w:hAnsiTheme="majorHAnsi"/>
          <w:b/>
          <w:bCs/>
          <w:sz w:val="22"/>
          <w:szCs w:val="22"/>
        </w:rPr>
        <w:lastRenderedPageBreak/>
        <w:t>I.</w:t>
      </w:r>
      <w:r w:rsidRPr="004B0E20">
        <w:rPr>
          <w:rFonts w:asciiTheme="majorHAnsi" w:hAnsiTheme="majorHAnsi"/>
          <w:b/>
          <w:bCs/>
          <w:sz w:val="22"/>
          <w:szCs w:val="22"/>
        </w:rPr>
        <w:tab/>
      </w:r>
      <w:r w:rsidR="006C0375" w:rsidRPr="004B0E20">
        <w:rPr>
          <w:rFonts w:asciiTheme="majorHAnsi" w:hAnsiTheme="majorHAnsi"/>
          <w:b/>
          <w:bCs/>
          <w:sz w:val="22"/>
          <w:szCs w:val="22"/>
        </w:rPr>
        <w:t xml:space="preserve">INFORMATION </w:t>
      </w:r>
      <w:r w:rsidR="008604D9" w:rsidRPr="004B0E20">
        <w:rPr>
          <w:rFonts w:asciiTheme="majorHAnsi" w:hAnsiTheme="majorHAnsi"/>
          <w:b/>
          <w:bCs/>
          <w:sz w:val="22"/>
          <w:szCs w:val="22"/>
        </w:rPr>
        <w:t xml:space="preserve">ABOUT </w:t>
      </w:r>
      <w:r w:rsidR="00AD7161" w:rsidRPr="004B0E20">
        <w:rPr>
          <w:rFonts w:asciiTheme="majorHAnsi" w:hAnsiTheme="majorHAnsi"/>
          <w:b/>
          <w:bCs/>
          <w:sz w:val="22"/>
          <w:szCs w:val="22"/>
        </w:rPr>
        <w:t>THE PETITION</w:t>
      </w:r>
      <w:r w:rsidR="003239B8" w:rsidRPr="004B0E20">
        <w:rPr>
          <w:rFonts w:asciiTheme="majorHAnsi" w:hAnsiTheme="majorHAnsi"/>
          <w:b/>
          <w:bCs/>
          <w:sz w:val="22"/>
          <w:szCs w:val="22"/>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D0A96" w:rsidTr="008604D9">
        <w:tc>
          <w:tcPr>
            <w:tcW w:w="3600" w:type="dxa"/>
            <w:tcBorders>
              <w:top w:val="single" w:sz="4" w:space="0" w:color="auto"/>
              <w:bottom w:val="single" w:sz="6" w:space="0" w:color="auto"/>
            </w:tcBorders>
            <w:shd w:val="clear" w:color="auto" w:fill="67AE3C"/>
            <w:vAlign w:val="center"/>
          </w:tcPr>
          <w:p w:rsidR="003239B8" w:rsidRPr="004B0E20" w:rsidRDefault="00AD7161"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Petitioner</w:t>
            </w:r>
            <w:r w:rsidR="006C0375" w:rsidRPr="004B0E20">
              <w:rPr>
                <w:rFonts w:asciiTheme="majorHAnsi" w:hAnsiTheme="majorHAnsi"/>
                <w:b/>
                <w:bCs/>
                <w:color w:val="FFFFFF" w:themeColor="background1"/>
                <w:sz w:val="22"/>
                <w:szCs w:val="22"/>
              </w:rPr>
              <w:t>s</w:t>
            </w:r>
            <w:r w:rsidR="003239B8" w:rsidRPr="004B0E20">
              <w:rPr>
                <w:rFonts w:asciiTheme="majorHAnsi" w:hAnsiTheme="majorHAnsi"/>
                <w:b/>
                <w:bCs/>
                <w:color w:val="FFFFFF" w:themeColor="background1"/>
                <w:sz w:val="22"/>
                <w:szCs w:val="22"/>
              </w:rPr>
              <w:t>:</w:t>
            </w:r>
          </w:p>
        </w:tc>
        <w:tc>
          <w:tcPr>
            <w:tcW w:w="5760" w:type="dxa"/>
            <w:vAlign w:val="center"/>
          </w:tcPr>
          <w:p w:rsidR="003239B8" w:rsidRPr="002D0A96" w:rsidRDefault="00A44F0C" w:rsidP="006C0375">
            <w:pPr>
              <w:jc w:val="both"/>
              <w:rPr>
                <w:rFonts w:asciiTheme="majorHAnsi" w:hAnsiTheme="majorHAnsi"/>
                <w:bCs/>
                <w:sz w:val="22"/>
                <w:szCs w:val="22"/>
                <w:lang w:val="pt-BR"/>
              </w:rPr>
            </w:pPr>
            <w:r w:rsidRPr="002D0A96">
              <w:rPr>
                <w:rFonts w:asciiTheme="majorHAnsi" w:hAnsiTheme="majorHAnsi"/>
                <w:bCs/>
                <w:sz w:val="22"/>
                <w:szCs w:val="22"/>
                <w:lang w:val="pt-BR"/>
              </w:rPr>
              <w:t xml:space="preserve">Conectas Direitos Humanos, Francisca Evangelista Alves </w:t>
            </w:r>
            <w:r w:rsidR="006C0375" w:rsidRPr="002D0A96">
              <w:rPr>
                <w:rFonts w:asciiTheme="majorHAnsi" w:hAnsiTheme="majorHAnsi"/>
                <w:bCs/>
                <w:sz w:val="22"/>
                <w:szCs w:val="22"/>
                <w:lang w:val="pt-BR"/>
              </w:rPr>
              <w:t>de</w:t>
            </w:r>
            <w:r w:rsidRPr="002D0A96">
              <w:rPr>
                <w:rFonts w:asciiTheme="majorHAnsi" w:hAnsiTheme="majorHAnsi"/>
                <w:bCs/>
                <w:sz w:val="22"/>
                <w:szCs w:val="22"/>
                <w:lang w:val="pt-BR"/>
              </w:rPr>
              <w:t xml:space="preserve"> Souza, Helenita Barbosa </w:t>
            </w:r>
            <w:r w:rsidR="006C0375" w:rsidRPr="002D0A96">
              <w:rPr>
                <w:rFonts w:asciiTheme="majorHAnsi" w:hAnsiTheme="majorHAnsi"/>
                <w:bCs/>
                <w:sz w:val="22"/>
                <w:szCs w:val="22"/>
                <w:lang w:val="pt-BR"/>
              </w:rPr>
              <w:t>de</w:t>
            </w:r>
            <w:r w:rsidRPr="002D0A96">
              <w:rPr>
                <w:rFonts w:asciiTheme="majorHAnsi" w:hAnsiTheme="majorHAnsi"/>
                <w:bCs/>
                <w:sz w:val="22"/>
                <w:szCs w:val="22"/>
                <w:lang w:val="pt-BR"/>
              </w:rPr>
              <w:t xml:space="preserve"> Andrade</w:t>
            </w:r>
            <w:r w:rsidR="00AD7161" w:rsidRPr="002D0A96">
              <w:rPr>
                <w:rFonts w:asciiTheme="majorHAnsi" w:hAnsiTheme="majorHAnsi"/>
                <w:bCs/>
                <w:sz w:val="22"/>
                <w:szCs w:val="22"/>
                <w:lang w:val="pt-BR"/>
              </w:rPr>
              <w:t>, and</w:t>
            </w:r>
            <w:r w:rsidRPr="002D0A96">
              <w:rPr>
                <w:rFonts w:asciiTheme="majorHAnsi" w:hAnsiTheme="majorHAnsi"/>
                <w:bCs/>
                <w:sz w:val="22"/>
                <w:szCs w:val="22"/>
                <w:lang w:val="pt-BR"/>
              </w:rPr>
              <w:t xml:space="preserve"> Maria José </w:t>
            </w:r>
            <w:r w:rsidR="006C0375" w:rsidRPr="002D0A96">
              <w:rPr>
                <w:rFonts w:asciiTheme="majorHAnsi" w:hAnsiTheme="majorHAnsi"/>
                <w:bCs/>
                <w:sz w:val="22"/>
                <w:szCs w:val="22"/>
                <w:lang w:val="pt-BR"/>
              </w:rPr>
              <w:t>de</w:t>
            </w:r>
            <w:r w:rsidRPr="002D0A96">
              <w:rPr>
                <w:rFonts w:asciiTheme="majorHAnsi" w:hAnsiTheme="majorHAnsi"/>
                <w:bCs/>
                <w:sz w:val="22"/>
                <w:szCs w:val="22"/>
                <w:lang w:val="pt-BR"/>
              </w:rPr>
              <w:t xml:space="preserve"> Lima Andrade</w:t>
            </w:r>
          </w:p>
        </w:tc>
      </w:tr>
      <w:tr w:rsidR="003239B8" w:rsidRPr="004B0E20" w:rsidTr="008604D9">
        <w:tc>
          <w:tcPr>
            <w:tcW w:w="3600" w:type="dxa"/>
            <w:tcBorders>
              <w:top w:val="single" w:sz="6" w:space="0" w:color="auto"/>
              <w:bottom w:val="single" w:sz="6" w:space="0" w:color="auto"/>
            </w:tcBorders>
            <w:shd w:val="clear" w:color="auto" w:fill="67AE3C"/>
            <w:vAlign w:val="center"/>
          </w:tcPr>
          <w:p w:rsidR="003239B8" w:rsidRPr="004B0E20" w:rsidRDefault="00AD7161"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Alleged victim</w:t>
            </w:r>
            <w:r w:rsidR="006C0375" w:rsidRPr="004B0E20">
              <w:rPr>
                <w:rFonts w:asciiTheme="majorHAnsi" w:hAnsiTheme="majorHAnsi"/>
                <w:b/>
                <w:bCs/>
                <w:color w:val="FFFFFF" w:themeColor="background1"/>
                <w:sz w:val="22"/>
                <w:szCs w:val="22"/>
              </w:rPr>
              <w:t>s</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A44F0C" w:rsidP="006C0375">
            <w:pPr>
              <w:jc w:val="both"/>
              <w:rPr>
                <w:rFonts w:asciiTheme="majorHAnsi" w:hAnsiTheme="majorHAnsi"/>
                <w:bCs/>
                <w:sz w:val="22"/>
                <w:szCs w:val="22"/>
              </w:rPr>
            </w:pPr>
            <w:r w:rsidRPr="004B0E20">
              <w:rPr>
                <w:rFonts w:asciiTheme="majorHAnsi" w:hAnsiTheme="majorHAnsi"/>
                <w:bCs/>
                <w:sz w:val="22"/>
                <w:szCs w:val="22"/>
              </w:rPr>
              <w:t xml:space="preserve">Edivaldo Barbosa </w:t>
            </w:r>
            <w:r w:rsidR="006C0375" w:rsidRPr="004B0E20">
              <w:rPr>
                <w:rFonts w:asciiTheme="majorHAnsi" w:hAnsiTheme="majorHAnsi"/>
                <w:bCs/>
                <w:sz w:val="22"/>
                <w:szCs w:val="22"/>
              </w:rPr>
              <w:t>de</w:t>
            </w:r>
            <w:r w:rsidRPr="004B0E20">
              <w:rPr>
                <w:rFonts w:asciiTheme="majorHAnsi" w:hAnsiTheme="majorHAnsi"/>
                <w:bCs/>
                <w:sz w:val="22"/>
                <w:szCs w:val="22"/>
              </w:rPr>
              <w:t xml:space="preserve"> Andrade </w:t>
            </w:r>
            <w:r w:rsidR="00AD7161" w:rsidRPr="004B0E20">
              <w:rPr>
                <w:rFonts w:asciiTheme="majorHAnsi" w:hAnsiTheme="majorHAnsi"/>
                <w:bCs/>
                <w:sz w:val="22"/>
                <w:szCs w:val="22"/>
              </w:rPr>
              <w:t>et al.</w:t>
            </w:r>
            <w:r w:rsidRPr="004B0E20">
              <w:rPr>
                <w:rStyle w:val="FootnoteReference"/>
                <w:rFonts w:asciiTheme="majorHAnsi" w:hAnsiTheme="majorHAnsi"/>
                <w:bCs/>
                <w:sz w:val="22"/>
                <w:szCs w:val="22"/>
              </w:rPr>
              <w:footnoteReference w:id="2"/>
            </w:r>
          </w:p>
        </w:tc>
      </w:tr>
      <w:tr w:rsidR="003239B8" w:rsidRPr="004B0E20" w:rsidTr="008604D9">
        <w:tc>
          <w:tcPr>
            <w:tcW w:w="3600" w:type="dxa"/>
            <w:tcBorders>
              <w:top w:val="single" w:sz="6" w:space="0" w:color="auto"/>
              <w:bottom w:val="single" w:sz="6" w:space="0" w:color="auto"/>
            </w:tcBorders>
            <w:shd w:val="clear" w:color="auto" w:fill="67AE3C"/>
            <w:vAlign w:val="center"/>
          </w:tcPr>
          <w:p w:rsidR="003239B8" w:rsidRPr="004B0E20" w:rsidRDefault="00AD7161"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State denounced</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AD7161" w:rsidP="00065A3F">
            <w:pPr>
              <w:jc w:val="both"/>
              <w:rPr>
                <w:rFonts w:asciiTheme="majorHAnsi" w:hAnsiTheme="majorHAnsi"/>
                <w:bCs/>
                <w:sz w:val="22"/>
                <w:szCs w:val="22"/>
              </w:rPr>
            </w:pPr>
            <w:r w:rsidRPr="004B0E20">
              <w:rPr>
                <w:rFonts w:asciiTheme="majorHAnsi" w:hAnsiTheme="majorHAnsi"/>
                <w:bCs/>
                <w:sz w:val="22"/>
                <w:szCs w:val="22"/>
              </w:rPr>
              <w:t>Braz</w:t>
            </w:r>
            <w:r w:rsidR="006A20E7" w:rsidRPr="004B0E20">
              <w:rPr>
                <w:rFonts w:asciiTheme="majorHAnsi" w:hAnsiTheme="majorHAnsi"/>
                <w:bCs/>
                <w:sz w:val="22"/>
                <w:szCs w:val="22"/>
              </w:rPr>
              <w:t>il</w:t>
            </w:r>
            <w:r w:rsidR="004A6A54" w:rsidRPr="004B0E20">
              <w:rPr>
                <w:rStyle w:val="FootnoteReference"/>
                <w:rFonts w:asciiTheme="majorHAnsi" w:hAnsiTheme="majorHAnsi"/>
                <w:bCs/>
                <w:sz w:val="22"/>
                <w:szCs w:val="22"/>
              </w:rPr>
              <w:footnoteReference w:id="3"/>
            </w:r>
          </w:p>
        </w:tc>
      </w:tr>
      <w:tr w:rsidR="00223A29" w:rsidRPr="004B0E20" w:rsidTr="008604D9">
        <w:tc>
          <w:tcPr>
            <w:tcW w:w="3600" w:type="dxa"/>
            <w:tcBorders>
              <w:top w:val="single" w:sz="6" w:space="0" w:color="auto"/>
              <w:bottom w:val="single" w:sz="6" w:space="0" w:color="auto"/>
            </w:tcBorders>
            <w:shd w:val="clear" w:color="auto" w:fill="67AE3C"/>
            <w:vAlign w:val="center"/>
          </w:tcPr>
          <w:p w:rsidR="00223A29" w:rsidRPr="004B0E20" w:rsidRDefault="00E729E2" w:rsidP="00F46366">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 xml:space="preserve">Rights </w:t>
            </w:r>
            <w:r w:rsidR="00F46366" w:rsidRPr="004B0E20">
              <w:rPr>
                <w:rFonts w:asciiTheme="majorHAnsi" w:hAnsiTheme="majorHAnsi"/>
                <w:b/>
                <w:bCs/>
                <w:color w:val="FFFFFF" w:themeColor="background1"/>
                <w:sz w:val="22"/>
                <w:szCs w:val="22"/>
              </w:rPr>
              <w:t>invoked</w:t>
            </w:r>
            <w:r w:rsidR="001B3A00" w:rsidRPr="004B0E20">
              <w:rPr>
                <w:rFonts w:asciiTheme="majorHAnsi" w:hAnsiTheme="majorHAnsi"/>
                <w:b/>
                <w:bCs/>
                <w:color w:val="FFFFFF" w:themeColor="background1"/>
                <w:sz w:val="22"/>
                <w:szCs w:val="22"/>
              </w:rPr>
              <w:t>:</w:t>
            </w:r>
          </w:p>
        </w:tc>
        <w:tc>
          <w:tcPr>
            <w:tcW w:w="5760" w:type="dxa"/>
            <w:vAlign w:val="center"/>
          </w:tcPr>
          <w:p w:rsidR="00223A29" w:rsidRPr="004B0E20" w:rsidRDefault="00AD7161" w:rsidP="00E729E2">
            <w:pPr>
              <w:jc w:val="both"/>
              <w:rPr>
                <w:rFonts w:asciiTheme="majorHAnsi" w:hAnsiTheme="majorHAnsi"/>
                <w:bCs/>
                <w:sz w:val="22"/>
                <w:szCs w:val="22"/>
              </w:rPr>
            </w:pPr>
            <w:r w:rsidRPr="004B0E20">
              <w:rPr>
                <w:rFonts w:asciiTheme="majorHAnsi" w:hAnsiTheme="majorHAnsi"/>
                <w:bCs/>
                <w:sz w:val="22"/>
                <w:szCs w:val="22"/>
              </w:rPr>
              <w:t>Article</w:t>
            </w:r>
            <w:r w:rsidR="00A44F0C" w:rsidRPr="004B0E20">
              <w:rPr>
                <w:rFonts w:asciiTheme="majorHAnsi" w:hAnsiTheme="majorHAnsi"/>
                <w:bCs/>
                <w:sz w:val="22"/>
                <w:szCs w:val="22"/>
              </w:rPr>
              <w:t>s 4 (</w:t>
            </w:r>
            <w:r w:rsidR="00E729E2" w:rsidRPr="004B0E20">
              <w:rPr>
                <w:rFonts w:asciiTheme="majorHAnsi" w:hAnsiTheme="majorHAnsi"/>
                <w:bCs/>
                <w:sz w:val="22"/>
                <w:szCs w:val="22"/>
              </w:rPr>
              <w:t>life</w:t>
            </w:r>
            <w:r w:rsidR="00A44F0C" w:rsidRPr="004B0E20">
              <w:rPr>
                <w:rFonts w:asciiTheme="majorHAnsi" w:hAnsiTheme="majorHAnsi"/>
                <w:bCs/>
                <w:sz w:val="22"/>
                <w:szCs w:val="22"/>
              </w:rPr>
              <w:t>), 5 (</w:t>
            </w:r>
            <w:r w:rsidR="00E729E2" w:rsidRPr="004B0E20">
              <w:rPr>
                <w:rFonts w:asciiTheme="majorHAnsi" w:hAnsiTheme="majorHAnsi"/>
                <w:bCs/>
                <w:sz w:val="22"/>
                <w:szCs w:val="22"/>
              </w:rPr>
              <w:t>humane treatment</w:t>
            </w:r>
            <w:r w:rsidR="00A44F0C" w:rsidRPr="004B0E20">
              <w:rPr>
                <w:rFonts w:asciiTheme="majorHAnsi" w:hAnsiTheme="majorHAnsi"/>
                <w:bCs/>
                <w:sz w:val="22"/>
                <w:szCs w:val="22"/>
              </w:rPr>
              <w:t>)</w:t>
            </w:r>
            <w:r w:rsidR="00E729E2" w:rsidRPr="004B0E20">
              <w:rPr>
                <w:rFonts w:asciiTheme="majorHAnsi" w:hAnsiTheme="majorHAnsi"/>
                <w:bCs/>
                <w:sz w:val="22"/>
                <w:szCs w:val="22"/>
              </w:rPr>
              <w:t>, and</w:t>
            </w:r>
            <w:r w:rsidR="00A44F0C" w:rsidRPr="004B0E20">
              <w:rPr>
                <w:rFonts w:asciiTheme="majorHAnsi" w:hAnsiTheme="majorHAnsi"/>
                <w:bCs/>
                <w:sz w:val="22"/>
                <w:szCs w:val="22"/>
              </w:rPr>
              <w:t xml:space="preserve"> 25 (judicial</w:t>
            </w:r>
            <w:r w:rsidR="00E729E2" w:rsidRPr="004B0E20">
              <w:rPr>
                <w:rFonts w:asciiTheme="majorHAnsi" w:hAnsiTheme="majorHAnsi"/>
                <w:bCs/>
                <w:sz w:val="22"/>
                <w:szCs w:val="22"/>
              </w:rPr>
              <w:t xml:space="preserve"> protection</w:t>
            </w:r>
            <w:r w:rsidR="00A44F0C" w:rsidRPr="004B0E20">
              <w:rPr>
                <w:rFonts w:asciiTheme="majorHAnsi" w:hAnsiTheme="majorHAnsi"/>
                <w:bCs/>
                <w:sz w:val="22"/>
                <w:szCs w:val="22"/>
              </w:rPr>
              <w:t xml:space="preserve">), </w:t>
            </w:r>
            <w:r w:rsidR="00E729E2" w:rsidRPr="004B0E20">
              <w:rPr>
                <w:rFonts w:asciiTheme="majorHAnsi" w:hAnsiTheme="majorHAnsi"/>
                <w:bCs/>
                <w:sz w:val="22"/>
                <w:szCs w:val="22"/>
              </w:rPr>
              <w:t xml:space="preserve">all with respect to </w:t>
            </w:r>
            <w:r w:rsidRPr="004B0E20">
              <w:rPr>
                <w:rFonts w:asciiTheme="majorHAnsi" w:hAnsiTheme="majorHAnsi"/>
                <w:bCs/>
                <w:sz w:val="22"/>
                <w:szCs w:val="22"/>
              </w:rPr>
              <w:t>Article</w:t>
            </w:r>
            <w:r w:rsidR="00A44F0C" w:rsidRPr="004B0E20">
              <w:rPr>
                <w:rFonts w:asciiTheme="majorHAnsi" w:hAnsiTheme="majorHAnsi"/>
                <w:bCs/>
                <w:sz w:val="22"/>
                <w:szCs w:val="22"/>
              </w:rPr>
              <w:t xml:space="preserve"> 1.1 </w:t>
            </w:r>
            <w:r w:rsidR="00E729E2" w:rsidRPr="004B0E20">
              <w:rPr>
                <w:rFonts w:asciiTheme="majorHAnsi" w:hAnsiTheme="majorHAnsi"/>
                <w:bCs/>
                <w:sz w:val="22"/>
                <w:szCs w:val="22"/>
              </w:rPr>
              <w:t>of the American Convention on Human Rights</w:t>
            </w:r>
            <w:r w:rsidR="00A44F0C" w:rsidRPr="004B0E20">
              <w:rPr>
                <w:rStyle w:val="FootnoteReference"/>
                <w:rFonts w:asciiTheme="majorHAnsi" w:hAnsiTheme="majorHAnsi"/>
                <w:bCs/>
                <w:sz w:val="22"/>
                <w:szCs w:val="22"/>
              </w:rPr>
              <w:footnoteReference w:id="4"/>
            </w:r>
          </w:p>
        </w:tc>
      </w:tr>
    </w:tbl>
    <w:p w:rsidR="003239B8" w:rsidRPr="004B0E20" w:rsidRDefault="00A37F2E" w:rsidP="003239B8">
      <w:pPr>
        <w:spacing w:before="240" w:after="240"/>
        <w:ind w:firstLine="720"/>
        <w:jc w:val="both"/>
        <w:rPr>
          <w:rFonts w:asciiTheme="majorHAnsi" w:hAnsiTheme="majorHAnsi"/>
          <w:b/>
          <w:bCs/>
          <w:sz w:val="22"/>
          <w:szCs w:val="22"/>
        </w:rPr>
      </w:pPr>
      <w:r w:rsidRPr="004B0E20">
        <w:rPr>
          <w:rFonts w:asciiTheme="majorHAnsi" w:hAnsiTheme="majorHAnsi"/>
          <w:b/>
          <w:bCs/>
          <w:sz w:val="22"/>
          <w:szCs w:val="22"/>
        </w:rPr>
        <w:t>II.</w:t>
      </w:r>
      <w:r w:rsidRPr="004B0E20">
        <w:rPr>
          <w:rFonts w:asciiTheme="majorHAnsi" w:hAnsiTheme="majorHAnsi"/>
          <w:b/>
          <w:bCs/>
          <w:sz w:val="22"/>
          <w:szCs w:val="22"/>
        </w:rPr>
        <w:tab/>
      </w:r>
      <w:r w:rsidR="00AD7161" w:rsidRPr="004B0E20">
        <w:rPr>
          <w:rFonts w:asciiTheme="majorHAnsi" w:hAnsiTheme="majorHAnsi"/>
          <w:b/>
          <w:bCs/>
          <w:sz w:val="22"/>
          <w:szCs w:val="22"/>
        </w:rPr>
        <w:t>PROCEEDINGS BEFORE THE IACHR</w:t>
      </w:r>
      <w:r w:rsidR="008E3BFE" w:rsidRPr="004B0E20">
        <w:rPr>
          <w:rStyle w:val="FootnoteReference"/>
          <w:rFonts w:asciiTheme="majorHAnsi" w:hAnsiTheme="majorHAnsi"/>
          <w:b/>
          <w:sz w:val="22"/>
          <w:szCs w:val="22"/>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B0E20" w:rsidTr="008604D9">
        <w:tc>
          <w:tcPr>
            <w:tcW w:w="3600" w:type="dxa"/>
            <w:tcBorders>
              <w:top w:val="single" w:sz="6" w:space="0" w:color="auto"/>
              <w:bottom w:val="single" w:sz="6" w:space="0" w:color="auto"/>
            </w:tcBorders>
            <w:shd w:val="clear" w:color="auto" w:fill="67AE3C"/>
            <w:vAlign w:val="center"/>
          </w:tcPr>
          <w:p w:rsidR="004C2312" w:rsidRPr="004B0E20" w:rsidRDefault="00F46366" w:rsidP="00F46366">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Filing</w:t>
            </w:r>
            <w:r w:rsidR="00AD7161" w:rsidRPr="004B0E20">
              <w:rPr>
                <w:rFonts w:asciiTheme="majorHAnsi" w:hAnsiTheme="majorHAnsi"/>
                <w:b/>
                <w:bCs/>
                <w:color w:val="FFFFFF" w:themeColor="background1"/>
                <w:sz w:val="22"/>
                <w:szCs w:val="22"/>
              </w:rPr>
              <w:t xml:space="preserve"> of the petition</w:t>
            </w:r>
            <w:r w:rsidR="00A37F2E" w:rsidRPr="004B0E20">
              <w:rPr>
                <w:rFonts w:asciiTheme="majorHAnsi" w:hAnsiTheme="majorHAnsi"/>
                <w:b/>
                <w:bCs/>
                <w:color w:val="FFFFFF" w:themeColor="background1"/>
                <w:sz w:val="22"/>
                <w:szCs w:val="22"/>
              </w:rPr>
              <w:t>:</w:t>
            </w:r>
          </w:p>
        </w:tc>
        <w:tc>
          <w:tcPr>
            <w:tcW w:w="5760" w:type="dxa"/>
            <w:vAlign w:val="center"/>
          </w:tcPr>
          <w:p w:rsidR="004C2312" w:rsidRPr="004B0E20" w:rsidRDefault="00E729E2" w:rsidP="00E729E2">
            <w:pPr>
              <w:jc w:val="both"/>
              <w:rPr>
                <w:rFonts w:asciiTheme="majorHAnsi" w:hAnsiTheme="majorHAnsi"/>
                <w:bCs/>
                <w:sz w:val="22"/>
                <w:szCs w:val="22"/>
              </w:rPr>
            </w:pPr>
            <w:r w:rsidRPr="004B0E20">
              <w:rPr>
                <w:rFonts w:asciiTheme="majorHAnsi" w:hAnsiTheme="majorHAnsi"/>
                <w:bCs/>
                <w:sz w:val="22"/>
                <w:szCs w:val="22"/>
              </w:rPr>
              <w:t xml:space="preserve">May 14, </w:t>
            </w:r>
            <w:r w:rsidR="00A44F0C" w:rsidRPr="004B0E20">
              <w:rPr>
                <w:rFonts w:asciiTheme="majorHAnsi" w:hAnsiTheme="majorHAnsi"/>
                <w:bCs/>
                <w:sz w:val="22"/>
                <w:szCs w:val="22"/>
              </w:rPr>
              <w:t>2009</w:t>
            </w:r>
          </w:p>
        </w:tc>
      </w:tr>
      <w:tr w:rsidR="004C2312" w:rsidRPr="004B0E20" w:rsidTr="008604D9">
        <w:tc>
          <w:tcPr>
            <w:tcW w:w="3600" w:type="dxa"/>
            <w:tcBorders>
              <w:top w:val="single" w:sz="6" w:space="0" w:color="auto"/>
              <w:bottom w:val="single" w:sz="6" w:space="0" w:color="auto"/>
            </w:tcBorders>
            <w:shd w:val="clear" w:color="auto" w:fill="67AE3C"/>
            <w:vAlign w:val="center"/>
          </w:tcPr>
          <w:p w:rsidR="004C2312" w:rsidRPr="004B0E20" w:rsidRDefault="00E729E2" w:rsidP="00F46366">
            <w:pPr>
              <w:jc w:val="center"/>
              <w:rPr>
                <w:rFonts w:asciiTheme="majorHAnsi" w:hAnsiTheme="majorHAnsi"/>
                <w:b/>
                <w:color w:val="FFFFFF" w:themeColor="background1"/>
                <w:sz w:val="22"/>
                <w:szCs w:val="22"/>
              </w:rPr>
            </w:pPr>
            <w:r w:rsidRPr="004B0E20">
              <w:rPr>
                <w:rFonts w:asciiTheme="majorHAnsi" w:hAnsiTheme="majorHAnsi"/>
                <w:b/>
                <w:color w:val="FFFFFF" w:themeColor="background1"/>
                <w:sz w:val="22"/>
                <w:szCs w:val="22"/>
              </w:rPr>
              <w:t>Notification</w:t>
            </w:r>
            <w:r w:rsidR="00A37F2E" w:rsidRPr="004B0E20">
              <w:rPr>
                <w:rFonts w:asciiTheme="majorHAnsi" w:hAnsiTheme="majorHAnsi"/>
                <w:b/>
                <w:color w:val="FFFFFF" w:themeColor="background1"/>
                <w:sz w:val="22"/>
                <w:szCs w:val="22"/>
              </w:rPr>
              <w:t xml:space="preserve"> </w:t>
            </w:r>
            <w:r w:rsidRPr="004B0E20">
              <w:rPr>
                <w:rFonts w:asciiTheme="majorHAnsi" w:hAnsiTheme="majorHAnsi"/>
                <w:b/>
                <w:color w:val="FFFFFF" w:themeColor="background1"/>
                <w:sz w:val="22"/>
                <w:szCs w:val="22"/>
              </w:rPr>
              <w:t xml:space="preserve">of the </w:t>
            </w:r>
            <w:r w:rsidR="00AD7161" w:rsidRPr="004B0E20">
              <w:rPr>
                <w:rFonts w:asciiTheme="majorHAnsi" w:hAnsiTheme="majorHAnsi"/>
                <w:b/>
                <w:color w:val="FFFFFF" w:themeColor="background1"/>
                <w:sz w:val="22"/>
                <w:szCs w:val="22"/>
              </w:rPr>
              <w:t>petition</w:t>
            </w:r>
            <w:r w:rsidR="00F46366" w:rsidRPr="004B0E20">
              <w:rPr>
                <w:rFonts w:asciiTheme="majorHAnsi" w:hAnsiTheme="majorHAnsi"/>
                <w:b/>
                <w:color w:val="FFFFFF" w:themeColor="background1"/>
                <w:sz w:val="22"/>
                <w:szCs w:val="22"/>
              </w:rPr>
              <w:t xml:space="preserve"> to the State</w:t>
            </w:r>
            <w:r w:rsidR="004C2312" w:rsidRPr="004B0E20">
              <w:rPr>
                <w:rFonts w:asciiTheme="majorHAnsi" w:hAnsiTheme="majorHAnsi"/>
                <w:b/>
                <w:color w:val="FFFFFF" w:themeColor="background1"/>
                <w:sz w:val="22"/>
                <w:szCs w:val="22"/>
              </w:rPr>
              <w:t>:</w:t>
            </w:r>
          </w:p>
        </w:tc>
        <w:tc>
          <w:tcPr>
            <w:tcW w:w="5760" w:type="dxa"/>
            <w:vAlign w:val="center"/>
          </w:tcPr>
          <w:p w:rsidR="004C2312" w:rsidRPr="004B0E20" w:rsidRDefault="00E729E2" w:rsidP="00E729E2">
            <w:pPr>
              <w:jc w:val="both"/>
              <w:rPr>
                <w:rFonts w:asciiTheme="majorHAnsi" w:hAnsiTheme="majorHAnsi"/>
                <w:bCs/>
                <w:sz w:val="22"/>
                <w:szCs w:val="22"/>
              </w:rPr>
            </w:pPr>
            <w:r w:rsidRPr="004B0E20">
              <w:rPr>
                <w:rFonts w:asciiTheme="majorHAnsi" w:hAnsiTheme="majorHAnsi"/>
                <w:bCs/>
                <w:sz w:val="22"/>
                <w:szCs w:val="22"/>
              </w:rPr>
              <w:t xml:space="preserve">April </w:t>
            </w:r>
            <w:r w:rsidR="00A44F0C" w:rsidRPr="004B0E20">
              <w:rPr>
                <w:rFonts w:asciiTheme="majorHAnsi" w:hAnsiTheme="majorHAnsi"/>
                <w:bCs/>
                <w:sz w:val="22"/>
                <w:szCs w:val="22"/>
              </w:rPr>
              <w:t>27</w:t>
            </w:r>
            <w:r w:rsidRPr="004B0E20">
              <w:rPr>
                <w:rFonts w:asciiTheme="majorHAnsi" w:hAnsiTheme="majorHAnsi"/>
                <w:bCs/>
                <w:sz w:val="22"/>
                <w:szCs w:val="22"/>
              </w:rPr>
              <w:t>,</w:t>
            </w:r>
            <w:r w:rsidR="00A44F0C" w:rsidRPr="004B0E20">
              <w:rPr>
                <w:rFonts w:asciiTheme="majorHAnsi" w:hAnsiTheme="majorHAnsi"/>
                <w:bCs/>
                <w:sz w:val="22"/>
                <w:szCs w:val="22"/>
              </w:rPr>
              <w:t xml:space="preserve"> 2015</w:t>
            </w:r>
          </w:p>
        </w:tc>
      </w:tr>
      <w:tr w:rsidR="004C2312" w:rsidRPr="004B0E20" w:rsidTr="008604D9">
        <w:tc>
          <w:tcPr>
            <w:tcW w:w="3600" w:type="dxa"/>
            <w:tcBorders>
              <w:top w:val="single" w:sz="6" w:space="0" w:color="auto"/>
              <w:bottom w:val="single" w:sz="6" w:space="0" w:color="auto"/>
            </w:tcBorders>
            <w:shd w:val="clear" w:color="auto" w:fill="67AE3C"/>
            <w:vAlign w:val="center"/>
          </w:tcPr>
          <w:p w:rsidR="004C2312" w:rsidRPr="004B0E20" w:rsidRDefault="00F46366" w:rsidP="00F46366">
            <w:pPr>
              <w:jc w:val="center"/>
              <w:rPr>
                <w:rFonts w:asciiTheme="majorHAnsi" w:hAnsiTheme="majorHAnsi"/>
                <w:b/>
                <w:bCs/>
                <w:color w:val="FFFFFF" w:themeColor="background1"/>
                <w:sz w:val="22"/>
                <w:szCs w:val="22"/>
              </w:rPr>
            </w:pPr>
            <w:r w:rsidRPr="004B0E20">
              <w:rPr>
                <w:rFonts w:asciiTheme="majorHAnsi" w:hAnsiTheme="majorHAnsi"/>
                <w:b/>
                <w:color w:val="FFFFFF" w:themeColor="background1"/>
                <w:sz w:val="22"/>
                <w:szCs w:val="22"/>
              </w:rPr>
              <w:t>State's f</w:t>
            </w:r>
            <w:r w:rsidR="00AB47B1" w:rsidRPr="004B0E20">
              <w:rPr>
                <w:rFonts w:asciiTheme="majorHAnsi" w:hAnsiTheme="majorHAnsi"/>
                <w:b/>
                <w:color w:val="FFFFFF" w:themeColor="background1"/>
                <w:sz w:val="22"/>
                <w:szCs w:val="22"/>
              </w:rPr>
              <w:t>irst re</w:t>
            </w:r>
            <w:r w:rsidRPr="004B0E20">
              <w:rPr>
                <w:rFonts w:asciiTheme="majorHAnsi" w:hAnsiTheme="majorHAnsi"/>
                <w:b/>
                <w:color w:val="FFFFFF" w:themeColor="background1"/>
                <w:sz w:val="22"/>
                <w:szCs w:val="22"/>
              </w:rPr>
              <w:t>sponse</w:t>
            </w:r>
            <w:r w:rsidR="004C2312" w:rsidRPr="004B0E20">
              <w:rPr>
                <w:rFonts w:asciiTheme="majorHAnsi" w:hAnsiTheme="majorHAnsi"/>
                <w:b/>
                <w:color w:val="FFFFFF" w:themeColor="background1"/>
                <w:sz w:val="22"/>
                <w:szCs w:val="22"/>
              </w:rPr>
              <w:t>:</w:t>
            </w:r>
          </w:p>
        </w:tc>
        <w:tc>
          <w:tcPr>
            <w:tcW w:w="5760" w:type="dxa"/>
            <w:vAlign w:val="center"/>
          </w:tcPr>
          <w:p w:rsidR="004C2312" w:rsidRPr="004B0E20" w:rsidRDefault="00E729E2" w:rsidP="00E729E2">
            <w:pPr>
              <w:jc w:val="both"/>
              <w:rPr>
                <w:rFonts w:asciiTheme="majorHAnsi" w:hAnsiTheme="majorHAnsi"/>
                <w:bCs/>
                <w:sz w:val="22"/>
                <w:szCs w:val="22"/>
              </w:rPr>
            </w:pPr>
            <w:r w:rsidRPr="004B0E20">
              <w:rPr>
                <w:rFonts w:asciiTheme="majorHAnsi" w:hAnsiTheme="majorHAnsi"/>
                <w:bCs/>
                <w:sz w:val="22"/>
                <w:szCs w:val="22"/>
              </w:rPr>
              <w:t xml:space="preserve">August </w:t>
            </w:r>
            <w:r w:rsidR="00A44F0C" w:rsidRPr="004B0E20">
              <w:rPr>
                <w:rFonts w:asciiTheme="majorHAnsi" w:hAnsiTheme="majorHAnsi"/>
                <w:bCs/>
                <w:sz w:val="22"/>
                <w:szCs w:val="22"/>
              </w:rPr>
              <w:t>28</w:t>
            </w:r>
            <w:r w:rsidRPr="004B0E20">
              <w:rPr>
                <w:rFonts w:asciiTheme="majorHAnsi" w:hAnsiTheme="majorHAnsi"/>
                <w:bCs/>
                <w:sz w:val="22"/>
                <w:szCs w:val="22"/>
              </w:rPr>
              <w:t>,</w:t>
            </w:r>
            <w:r w:rsidR="00A44F0C" w:rsidRPr="004B0E20">
              <w:rPr>
                <w:rFonts w:asciiTheme="majorHAnsi" w:hAnsiTheme="majorHAnsi"/>
                <w:bCs/>
                <w:sz w:val="22"/>
                <w:szCs w:val="22"/>
              </w:rPr>
              <w:t xml:space="preserve"> 2015</w:t>
            </w:r>
          </w:p>
        </w:tc>
      </w:tr>
      <w:tr w:rsidR="004C2312" w:rsidRPr="004B0E20" w:rsidTr="008604D9">
        <w:tc>
          <w:tcPr>
            <w:tcW w:w="3600" w:type="dxa"/>
            <w:tcBorders>
              <w:top w:val="single" w:sz="6" w:space="0" w:color="auto"/>
              <w:bottom w:val="single" w:sz="6" w:space="0" w:color="auto"/>
            </w:tcBorders>
            <w:shd w:val="clear" w:color="auto" w:fill="67AE3C"/>
            <w:vAlign w:val="center"/>
          </w:tcPr>
          <w:p w:rsidR="004C2312" w:rsidRPr="004B0E20" w:rsidRDefault="00C51B82" w:rsidP="008E3BFE">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Further observations</w:t>
            </w:r>
            <w:r w:rsidR="00A37F2E" w:rsidRPr="004B0E20">
              <w:rPr>
                <w:rFonts w:asciiTheme="majorHAnsi" w:hAnsiTheme="majorHAnsi"/>
                <w:b/>
                <w:bCs/>
                <w:color w:val="FFFFFF" w:themeColor="background1"/>
                <w:sz w:val="22"/>
                <w:szCs w:val="22"/>
              </w:rPr>
              <w:t xml:space="preserve"> </w:t>
            </w:r>
            <w:r w:rsidR="00065A3F" w:rsidRPr="004B0E20">
              <w:rPr>
                <w:rFonts w:asciiTheme="majorHAnsi" w:hAnsiTheme="majorHAnsi"/>
                <w:b/>
                <w:bCs/>
                <w:color w:val="FFFFFF" w:themeColor="background1"/>
                <w:sz w:val="22"/>
                <w:szCs w:val="22"/>
              </w:rPr>
              <w:t>of the</w:t>
            </w:r>
            <w:r w:rsidR="00A37F2E" w:rsidRPr="004B0E20">
              <w:rPr>
                <w:rFonts w:asciiTheme="majorHAnsi" w:hAnsiTheme="majorHAnsi"/>
                <w:b/>
                <w:bCs/>
                <w:color w:val="FFFFFF" w:themeColor="background1"/>
                <w:sz w:val="22"/>
                <w:szCs w:val="22"/>
              </w:rPr>
              <w:t xml:space="preserve"> </w:t>
            </w:r>
            <w:r w:rsidRPr="004B0E20">
              <w:rPr>
                <w:rFonts w:asciiTheme="majorHAnsi" w:hAnsiTheme="majorHAnsi"/>
                <w:b/>
                <w:bCs/>
                <w:color w:val="FFFFFF" w:themeColor="background1"/>
                <w:sz w:val="22"/>
                <w:szCs w:val="22"/>
              </w:rPr>
              <w:t>p</w:t>
            </w:r>
            <w:r w:rsidR="00AD7161" w:rsidRPr="004B0E20">
              <w:rPr>
                <w:rFonts w:asciiTheme="majorHAnsi" w:hAnsiTheme="majorHAnsi"/>
                <w:b/>
                <w:bCs/>
                <w:color w:val="FFFFFF" w:themeColor="background1"/>
                <w:sz w:val="22"/>
                <w:szCs w:val="22"/>
              </w:rPr>
              <w:t>etitioner</w:t>
            </w:r>
            <w:r w:rsidR="006C0375" w:rsidRPr="004B0E20">
              <w:rPr>
                <w:rFonts w:asciiTheme="majorHAnsi" w:hAnsiTheme="majorHAnsi"/>
                <w:b/>
                <w:bCs/>
                <w:color w:val="FFFFFF" w:themeColor="background1"/>
                <w:sz w:val="22"/>
                <w:szCs w:val="22"/>
              </w:rPr>
              <w:t>s</w:t>
            </w:r>
            <w:r w:rsidR="008E3BFE" w:rsidRPr="004B0E20">
              <w:rPr>
                <w:rFonts w:asciiTheme="majorHAnsi" w:hAnsiTheme="majorHAnsi"/>
                <w:b/>
                <w:bCs/>
                <w:color w:val="FFFFFF" w:themeColor="background1"/>
                <w:sz w:val="22"/>
                <w:szCs w:val="22"/>
              </w:rPr>
              <w:t>:</w:t>
            </w:r>
          </w:p>
        </w:tc>
        <w:tc>
          <w:tcPr>
            <w:tcW w:w="5760" w:type="dxa"/>
            <w:vAlign w:val="center"/>
          </w:tcPr>
          <w:p w:rsidR="004C2312" w:rsidRPr="004B0E20" w:rsidRDefault="00E729E2" w:rsidP="00E729E2">
            <w:pPr>
              <w:jc w:val="both"/>
              <w:rPr>
                <w:rFonts w:asciiTheme="majorHAnsi" w:hAnsiTheme="majorHAnsi"/>
                <w:bCs/>
                <w:sz w:val="22"/>
                <w:szCs w:val="22"/>
              </w:rPr>
            </w:pPr>
            <w:r w:rsidRPr="004B0E20">
              <w:rPr>
                <w:rFonts w:asciiTheme="majorHAnsi" w:hAnsiTheme="majorHAnsi"/>
                <w:bCs/>
                <w:sz w:val="22"/>
                <w:szCs w:val="22"/>
              </w:rPr>
              <w:t xml:space="preserve">December </w:t>
            </w:r>
            <w:r w:rsidR="00A44F0C" w:rsidRPr="004B0E20">
              <w:rPr>
                <w:rFonts w:asciiTheme="majorHAnsi" w:hAnsiTheme="majorHAnsi"/>
                <w:bCs/>
                <w:sz w:val="22"/>
                <w:szCs w:val="22"/>
              </w:rPr>
              <w:t>6</w:t>
            </w:r>
            <w:r w:rsidRPr="004B0E20">
              <w:rPr>
                <w:rFonts w:asciiTheme="majorHAnsi" w:hAnsiTheme="majorHAnsi"/>
                <w:bCs/>
                <w:sz w:val="22"/>
                <w:szCs w:val="22"/>
              </w:rPr>
              <w:t>,</w:t>
            </w:r>
            <w:r w:rsidR="00A44F0C" w:rsidRPr="004B0E20">
              <w:rPr>
                <w:rFonts w:asciiTheme="majorHAnsi" w:hAnsiTheme="majorHAnsi"/>
                <w:bCs/>
                <w:sz w:val="22"/>
                <w:szCs w:val="22"/>
              </w:rPr>
              <w:t xml:space="preserve"> 2017</w:t>
            </w:r>
          </w:p>
        </w:tc>
      </w:tr>
    </w:tbl>
    <w:p w:rsidR="003239B8" w:rsidRPr="004B0E20" w:rsidRDefault="00D358AF" w:rsidP="003239B8">
      <w:pPr>
        <w:spacing w:before="240" w:after="240"/>
        <w:ind w:firstLine="720"/>
        <w:jc w:val="both"/>
        <w:rPr>
          <w:rFonts w:asciiTheme="majorHAnsi" w:hAnsiTheme="majorHAnsi"/>
          <w:b/>
          <w:bCs/>
          <w:sz w:val="22"/>
          <w:szCs w:val="22"/>
        </w:rPr>
      </w:pPr>
      <w:r w:rsidRPr="004B0E20">
        <w:rPr>
          <w:rFonts w:asciiTheme="majorHAnsi" w:hAnsiTheme="majorHAnsi"/>
          <w:b/>
          <w:bCs/>
          <w:sz w:val="22"/>
          <w:szCs w:val="22"/>
        </w:rPr>
        <w:t xml:space="preserve">III. </w:t>
      </w:r>
      <w:r w:rsidRPr="004B0E20">
        <w:rPr>
          <w:rFonts w:asciiTheme="majorHAnsi" w:hAnsiTheme="majorHAnsi"/>
          <w:b/>
          <w:bCs/>
          <w:sz w:val="22"/>
          <w:szCs w:val="22"/>
        </w:rPr>
        <w:tab/>
      </w:r>
      <w:r w:rsidR="00C51B82" w:rsidRPr="004B0E20">
        <w:rPr>
          <w:rFonts w:asciiTheme="majorHAnsi" w:hAnsiTheme="majorHAnsi"/>
          <w:b/>
          <w:bCs/>
          <w:sz w:val="22"/>
          <w:szCs w:val="22"/>
        </w:rPr>
        <w:t>COMPETENCE</w:t>
      </w:r>
      <w:r w:rsidR="00EE00E9" w:rsidRPr="004B0E20">
        <w:rPr>
          <w:rFonts w:asciiTheme="majorHAnsi" w:hAnsiTheme="majorHAnsi"/>
          <w:b/>
          <w:bCs/>
          <w:sz w:val="22"/>
          <w:szCs w:val="22"/>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B0E20" w:rsidTr="008604D9">
        <w:trPr>
          <w:cantSplit/>
        </w:trPr>
        <w:tc>
          <w:tcPr>
            <w:tcW w:w="3600" w:type="dxa"/>
            <w:tcBorders>
              <w:top w:val="single" w:sz="4" w:space="0" w:color="auto"/>
              <w:bottom w:val="single" w:sz="6" w:space="0" w:color="auto"/>
            </w:tcBorders>
            <w:shd w:val="clear" w:color="auto" w:fill="67AE3C"/>
            <w:vAlign w:val="center"/>
          </w:tcPr>
          <w:p w:rsidR="003239B8" w:rsidRPr="004B0E20" w:rsidRDefault="00C51B82" w:rsidP="00065A3F">
            <w:pPr>
              <w:jc w:val="center"/>
              <w:rPr>
                <w:rFonts w:asciiTheme="majorHAnsi" w:hAnsiTheme="majorHAnsi"/>
                <w:b/>
                <w:bCs/>
                <w:i/>
                <w:color w:val="FFFFFF" w:themeColor="background1"/>
                <w:sz w:val="22"/>
                <w:szCs w:val="22"/>
              </w:rPr>
            </w:pPr>
            <w:r w:rsidRPr="004B0E20">
              <w:rPr>
                <w:rFonts w:asciiTheme="majorHAnsi" w:hAnsiTheme="majorHAnsi"/>
                <w:b/>
                <w:bCs/>
                <w:color w:val="FFFFFF" w:themeColor="background1"/>
                <w:sz w:val="22"/>
                <w:szCs w:val="22"/>
              </w:rPr>
              <w:t>Competence</w:t>
            </w:r>
            <w:r w:rsidR="003239B8" w:rsidRPr="004B0E20">
              <w:rPr>
                <w:rFonts w:asciiTheme="majorHAnsi" w:hAnsiTheme="majorHAnsi"/>
                <w:b/>
                <w:bCs/>
                <w:i/>
                <w:color w:val="FFFFFF" w:themeColor="background1"/>
                <w:sz w:val="22"/>
                <w:szCs w:val="22"/>
              </w:rPr>
              <w:t xml:space="preserve"> Ratione personae:</w:t>
            </w:r>
          </w:p>
        </w:tc>
        <w:tc>
          <w:tcPr>
            <w:tcW w:w="5760" w:type="dxa"/>
            <w:vAlign w:val="center"/>
          </w:tcPr>
          <w:p w:rsidR="003239B8" w:rsidRPr="004B0E20" w:rsidRDefault="00E729E2" w:rsidP="00065A3F">
            <w:pPr>
              <w:rPr>
                <w:rFonts w:asciiTheme="majorHAnsi" w:hAnsiTheme="majorHAnsi"/>
                <w:bCs/>
                <w:sz w:val="22"/>
                <w:szCs w:val="22"/>
              </w:rPr>
            </w:pPr>
            <w:r w:rsidRPr="004B0E20">
              <w:rPr>
                <w:rFonts w:asciiTheme="majorHAnsi" w:hAnsiTheme="majorHAnsi"/>
                <w:bCs/>
                <w:sz w:val="22"/>
                <w:szCs w:val="22"/>
              </w:rPr>
              <w:t>Yes</w:t>
            </w:r>
          </w:p>
        </w:tc>
      </w:tr>
      <w:tr w:rsidR="003239B8" w:rsidRPr="004B0E20" w:rsidTr="008604D9">
        <w:trPr>
          <w:cantSplit/>
        </w:trPr>
        <w:tc>
          <w:tcPr>
            <w:tcW w:w="3600" w:type="dxa"/>
            <w:tcBorders>
              <w:top w:val="single" w:sz="6" w:space="0" w:color="auto"/>
              <w:bottom w:val="single" w:sz="6" w:space="0" w:color="auto"/>
            </w:tcBorders>
            <w:shd w:val="clear" w:color="auto" w:fill="67AE3C"/>
            <w:vAlign w:val="center"/>
          </w:tcPr>
          <w:p w:rsidR="003239B8" w:rsidRPr="004B0E20" w:rsidRDefault="00C51B82"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Competence</w:t>
            </w:r>
            <w:r w:rsidR="003239B8" w:rsidRPr="004B0E20">
              <w:rPr>
                <w:rFonts w:asciiTheme="majorHAnsi" w:hAnsiTheme="majorHAnsi"/>
                <w:b/>
                <w:bCs/>
                <w:i/>
                <w:color w:val="FFFFFF" w:themeColor="background1"/>
                <w:sz w:val="22"/>
                <w:szCs w:val="22"/>
              </w:rPr>
              <w:t xml:space="preserve"> Ratione loci</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E729E2" w:rsidP="00065A3F">
            <w:pPr>
              <w:rPr>
                <w:rFonts w:asciiTheme="majorHAnsi" w:hAnsiTheme="majorHAnsi"/>
                <w:bCs/>
                <w:sz w:val="22"/>
                <w:szCs w:val="22"/>
              </w:rPr>
            </w:pPr>
            <w:r w:rsidRPr="004B0E20">
              <w:rPr>
                <w:rFonts w:asciiTheme="majorHAnsi" w:hAnsiTheme="majorHAnsi"/>
                <w:bCs/>
                <w:sz w:val="22"/>
                <w:szCs w:val="22"/>
              </w:rPr>
              <w:t>Yes</w:t>
            </w:r>
          </w:p>
        </w:tc>
      </w:tr>
      <w:tr w:rsidR="003239B8" w:rsidRPr="004B0E20" w:rsidTr="008604D9">
        <w:trPr>
          <w:cantSplit/>
        </w:trPr>
        <w:tc>
          <w:tcPr>
            <w:tcW w:w="3600" w:type="dxa"/>
            <w:tcBorders>
              <w:top w:val="single" w:sz="6" w:space="0" w:color="auto"/>
              <w:bottom w:val="single" w:sz="6" w:space="0" w:color="auto"/>
            </w:tcBorders>
            <w:shd w:val="clear" w:color="auto" w:fill="67AE3C"/>
            <w:vAlign w:val="center"/>
          </w:tcPr>
          <w:p w:rsidR="003239B8" w:rsidRPr="004B0E20" w:rsidRDefault="00C51B82"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Competence</w:t>
            </w:r>
            <w:r w:rsidR="003239B8" w:rsidRPr="004B0E20">
              <w:rPr>
                <w:rFonts w:asciiTheme="majorHAnsi" w:hAnsiTheme="majorHAnsi"/>
                <w:b/>
                <w:bCs/>
                <w:i/>
                <w:color w:val="FFFFFF" w:themeColor="background1"/>
                <w:sz w:val="22"/>
                <w:szCs w:val="22"/>
              </w:rPr>
              <w:t xml:space="preserve"> Ratione temporis</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E729E2" w:rsidP="00065A3F">
            <w:pPr>
              <w:rPr>
                <w:rFonts w:asciiTheme="majorHAnsi" w:hAnsiTheme="majorHAnsi"/>
                <w:bCs/>
                <w:sz w:val="22"/>
                <w:szCs w:val="22"/>
              </w:rPr>
            </w:pPr>
            <w:r w:rsidRPr="004B0E20">
              <w:rPr>
                <w:rFonts w:asciiTheme="majorHAnsi" w:hAnsiTheme="majorHAnsi"/>
                <w:bCs/>
                <w:sz w:val="22"/>
                <w:szCs w:val="22"/>
              </w:rPr>
              <w:t>Yes</w:t>
            </w:r>
          </w:p>
        </w:tc>
      </w:tr>
      <w:tr w:rsidR="003239B8" w:rsidRPr="004B0E20" w:rsidTr="008604D9">
        <w:trPr>
          <w:cantSplit/>
        </w:trPr>
        <w:tc>
          <w:tcPr>
            <w:tcW w:w="3600" w:type="dxa"/>
            <w:tcBorders>
              <w:top w:val="single" w:sz="6" w:space="0" w:color="auto"/>
              <w:bottom w:val="single" w:sz="6" w:space="0" w:color="auto"/>
            </w:tcBorders>
            <w:shd w:val="clear" w:color="auto" w:fill="67AE3C"/>
            <w:vAlign w:val="center"/>
          </w:tcPr>
          <w:p w:rsidR="003239B8" w:rsidRPr="004B0E20" w:rsidRDefault="00C51B82" w:rsidP="00065A3F">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Competence</w:t>
            </w:r>
            <w:r w:rsidR="003239B8" w:rsidRPr="004B0E20">
              <w:rPr>
                <w:rFonts w:asciiTheme="majorHAnsi" w:hAnsiTheme="majorHAnsi"/>
                <w:b/>
                <w:bCs/>
                <w:i/>
                <w:color w:val="FFFFFF" w:themeColor="background1"/>
                <w:sz w:val="22"/>
                <w:szCs w:val="22"/>
              </w:rPr>
              <w:t xml:space="preserve"> Ratione materia</w:t>
            </w:r>
            <w:r w:rsidR="00EE00E9" w:rsidRPr="004B0E20">
              <w:rPr>
                <w:rFonts w:asciiTheme="majorHAnsi" w:hAnsiTheme="majorHAnsi"/>
                <w:b/>
                <w:bCs/>
                <w:i/>
                <w:color w:val="FFFFFF" w:themeColor="background1"/>
                <w:sz w:val="22"/>
                <w:szCs w:val="22"/>
              </w:rPr>
              <w:t>e</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E729E2" w:rsidP="00E729E2">
            <w:pPr>
              <w:jc w:val="both"/>
              <w:rPr>
                <w:rFonts w:asciiTheme="majorHAnsi" w:hAnsiTheme="majorHAnsi"/>
                <w:bCs/>
                <w:sz w:val="22"/>
                <w:szCs w:val="22"/>
              </w:rPr>
            </w:pPr>
            <w:r w:rsidRPr="004B0E20">
              <w:rPr>
                <w:rFonts w:asciiTheme="majorHAnsi" w:hAnsiTheme="majorHAnsi"/>
                <w:bCs/>
                <w:sz w:val="22"/>
                <w:szCs w:val="22"/>
              </w:rPr>
              <w:t>Yes</w:t>
            </w:r>
            <w:r w:rsidR="00A44F0C" w:rsidRPr="004B0E20">
              <w:rPr>
                <w:rFonts w:asciiTheme="majorHAnsi" w:hAnsiTheme="majorHAnsi"/>
                <w:bCs/>
                <w:sz w:val="22"/>
                <w:szCs w:val="22"/>
              </w:rPr>
              <w:t xml:space="preserve">, </w:t>
            </w:r>
            <w:r w:rsidRPr="004B0E20">
              <w:rPr>
                <w:rFonts w:asciiTheme="majorHAnsi" w:hAnsiTheme="majorHAnsi"/>
                <w:bCs/>
                <w:sz w:val="22"/>
                <w:szCs w:val="22"/>
              </w:rPr>
              <w:t xml:space="preserve">American Convention (instrument adopted on September </w:t>
            </w:r>
            <w:r w:rsidR="00A44F0C" w:rsidRPr="004B0E20">
              <w:rPr>
                <w:rFonts w:asciiTheme="majorHAnsi" w:hAnsiTheme="majorHAnsi"/>
                <w:bCs/>
                <w:sz w:val="22"/>
                <w:szCs w:val="22"/>
              </w:rPr>
              <w:t>25</w:t>
            </w:r>
            <w:r w:rsidRPr="004B0E20">
              <w:rPr>
                <w:rFonts w:asciiTheme="majorHAnsi" w:hAnsiTheme="majorHAnsi"/>
                <w:bCs/>
                <w:sz w:val="22"/>
                <w:szCs w:val="22"/>
              </w:rPr>
              <w:t>,</w:t>
            </w:r>
            <w:r w:rsidR="00A44F0C" w:rsidRPr="004B0E20">
              <w:rPr>
                <w:rFonts w:asciiTheme="majorHAnsi" w:hAnsiTheme="majorHAnsi"/>
                <w:bCs/>
                <w:sz w:val="22"/>
                <w:szCs w:val="22"/>
              </w:rPr>
              <w:t xml:space="preserve"> 1992)</w:t>
            </w:r>
          </w:p>
        </w:tc>
      </w:tr>
    </w:tbl>
    <w:p w:rsidR="003239B8" w:rsidRPr="004B0E20" w:rsidRDefault="003239B8" w:rsidP="003239B8">
      <w:pPr>
        <w:spacing w:before="240" w:after="240"/>
        <w:ind w:firstLine="720"/>
        <w:jc w:val="both"/>
        <w:rPr>
          <w:rFonts w:asciiTheme="majorHAnsi" w:hAnsiTheme="majorHAnsi"/>
          <w:b/>
          <w:bCs/>
          <w:sz w:val="22"/>
          <w:szCs w:val="22"/>
        </w:rPr>
      </w:pPr>
      <w:r w:rsidRPr="004B0E20">
        <w:rPr>
          <w:rFonts w:asciiTheme="majorHAnsi" w:hAnsiTheme="majorHAnsi"/>
          <w:b/>
          <w:bCs/>
          <w:sz w:val="22"/>
          <w:szCs w:val="22"/>
        </w:rPr>
        <w:t xml:space="preserve">IV. </w:t>
      </w:r>
      <w:r w:rsidRPr="004B0E20">
        <w:rPr>
          <w:rFonts w:asciiTheme="majorHAnsi" w:hAnsiTheme="majorHAnsi"/>
          <w:b/>
          <w:bCs/>
          <w:sz w:val="22"/>
          <w:szCs w:val="22"/>
        </w:rPr>
        <w:tab/>
      </w:r>
      <w:r w:rsidR="00D21316" w:rsidRPr="004B0E20">
        <w:rPr>
          <w:rFonts w:asciiTheme="majorHAnsi" w:hAnsiTheme="majorHAnsi"/>
          <w:b/>
          <w:bCs/>
          <w:sz w:val="22"/>
          <w:szCs w:val="22"/>
        </w:rPr>
        <w:t>DUPLICA</w:t>
      </w:r>
      <w:r w:rsidR="00F46366" w:rsidRPr="004B0E20">
        <w:rPr>
          <w:rFonts w:asciiTheme="majorHAnsi" w:hAnsiTheme="majorHAnsi"/>
          <w:b/>
          <w:bCs/>
          <w:sz w:val="22"/>
          <w:szCs w:val="22"/>
        </w:rPr>
        <w:t xml:space="preserve">TION OF PROCEDURES </w:t>
      </w:r>
      <w:r w:rsidR="00065A3F" w:rsidRPr="004B0E20">
        <w:rPr>
          <w:rFonts w:asciiTheme="majorHAnsi" w:hAnsiTheme="majorHAnsi"/>
          <w:b/>
          <w:bCs/>
          <w:sz w:val="22"/>
          <w:szCs w:val="22"/>
        </w:rPr>
        <w:t>AND</w:t>
      </w:r>
      <w:r w:rsidR="00EE00E9" w:rsidRPr="004B0E20">
        <w:rPr>
          <w:rFonts w:asciiTheme="majorHAnsi" w:hAnsiTheme="majorHAnsi"/>
          <w:b/>
          <w:bCs/>
          <w:sz w:val="22"/>
          <w:szCs w:val="22"/>
        </w:rPr>
        <w:t xml:space="preserve"> </w:t>
      </w:r>
      <w:r w:rsidR="00F46366" w:rsidRPr="004B0E20">
        <w:rPr>
          <w:rFonts w:asciiTheme="majorHAnsi" w:hAnsiTheme="majorHAnsi"/>
          <w:b/>
          <w:bCs/>
          <w:sz w:val="22"/>
          <w:szCs w:val="22"/>
        </w:rPr>
        <w:t xml:space="preserve">INTERNATIONAL </w:t>
      </w:r>
      <w:r w:rsidR="00F46366" w:rsidRPr="004B0E20">
        <w:rPr>
          <w:rFonts w:asciiTheme="majorHAnsi" w:hAnsiTheme="majorHAnsi"/>
          <w:b/>
          <w:bCs/>
          <w:i/>
          <w:sz w:val="22"/>
          <w:szCs w:val="22"/>
        </w:rPr>
        <w:t>RES JUDICATA</w:t>
      </w:r>
      <w:r w:rsidR="00F46366" w:rsidRPr="004B0E20">
        <w:rPr>
          <w:rFonts w:asciiTheme="majorHAnsi" w:hAnsiTheme="majorHAnsi"/>
          <w:b/>
          <w:bCs/>
          <w:sz w:val="22"/>
          <w:szCs w:val="22"/>
        </w:rPr>
        <w:t>, NATURE</w:t>
      </w:r>
      <w:r w:rsidRPr="004B0E20">
        <w:rPr>
          <w:rFonts w:asciiTheme="majorHAnsi" w:hAnsiTheme="majorHAnsi"/>
          <w:b/>
          <w:bCs/>
          <w:sz w:val="22"/>
          <w:szCs w:val="22"/>
        </w:rPr>
        <w:t xml:space="preserve">, </w:t>
      </w:r>
      <w:r w:rsidR="00065A3F" w:rsidRPr="004B0E20">
        <w:rPr>
          <w:rFonts w:asciiTheme="majorHAnsi" w:hAnsiTheme="majorHAnsi"/>
          <w:b/>
          <w:sz w:val="22"/>
          <w:szCs w:val="22"/>
        </w:rPr>
        <w:t xml:space="preserve">EXHAUSTION OF </w:t>
      </w:r>
      <w:r w:rsidR="00785370" w:rsidRPr="004B0E20">
        <w:rPr>
          <w:rFonts w:asciiTheme="majorHAnsi" w:hAnsiTheme="majorHAnsi"/>
          <w:b/>
          <w:sz w:val="22"/>
          <w:szCs w:val="22"/>
        </w:rPr>
        <w:t>DOMESTIC REMEDIES</w:t>
      </w:r>
      <w:r w:rsidR="00F46366" w:rsidRPr="004B0E20">
        <w:rPr>
          <w:rFonts w:asciiTheme="majorHAnsi" w:hAnsiTheme="majorHAnsi"/>
          <w:b/>
          <w:sz w:val="22"/>
          <w:szCs w:val="22"/>
        </w:rPr>
        <w:t>, AND TIMELINESS</w:t>
      </w:r>
      <w:r w:rsidR="00D21316" w:rsidRPr="004B0E20">
        <w:rPr>
          <w:rFonts w:asciiTheme="majorHAnsi" w:hAnsiTheme="majorHAnsi"/>
          <w:b/>
          <w:sz w:val="22"/>
          <w:szCs w:val="22"/>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B0E20" w:rsidTr="008604D9">
        <w:trPr>
          <w:cantSplit/>
        </w:trPr>
        <w:tc>
          <w:tcPr>
            <w:tcW w:w="3600" w:type="dxa"/>
            <w:tcBorders>
              <w:top w:val="single" w:sz="4" w:space="0" w:color="auto"/>
              <w:bottom w:val="single" w:sz="6" w:space="0" w:color="auto"/>
            </w:tcBorders>
            <w:shd w:val="clear" w:color="auto" w:fill="67AE3C"/>
            <w:vAlign w:val="center"/>
          </w:tcPr>
          <w:p w:rsidR="00EE00E9" w:rsidRPr="004B0E20" w:rsidRDefault="00D21316" w:rsidP="00F46366">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Duplica</w:t>
            </w:r>
            <w:r w:rsidR="00F46366" w:rsidRPr="004B0E20">
              <w:rPr>
                <w:rFonts w:asciiTheme="majorHAnsi" w:hAnsiTheme="majorHAnsi"/>
                <w:b/>
                <w:bCs/>
                <w:color w:val="FFFFFF" w:themeColor="background1"/>
                <w:sz w:val="22"/>
                <w:szCs w:val="22"/>
              </w:rPr>
              <w:t>tion</w:t>
            </w:r>
            <w:r w:rsidRPr="004B0E20">
              <w:rPr>
                <w:rFonts w:asciiTheme="majorHAnsi" w:hAnsiTheme="majorHAnsi"/>
                <w:b/>
                <w:bCs/>
                <w:color w:val="FFFFFF" w:themeColor="background1"/>
                <w:sz w:val="22"/>
                <w:szCs w:val="22"/>
              </w:rPr>
              <w:t xml:space="preserve"> </w:t>
            </w:r>
            <w:r w:rsidR="00C51B82" w:rsidRPr="004B0E20">
              <w:rPr>
                <w:rFonts w:asciiTheme="majorHAnsi" w:hAnsiTheme="majorHAnsi"/>
                <w:b/>
                <w:bCs/>
                <w:color w:val="FFFFFF" w:themeColor="background1"/>
                <w:sz w:val="22"/>
                <w:szCs w:val="22"/>
              </w:rPr>
              <w:t>of</w:t>
            </w:r>
            <w:r w:rsidRPr="004B0E20">
              <w:rPr>
                <w:rFonts w:asciiTheme="majorHAnsi" w:hAnsiTheme="majorHAnsi"/>
                <w:b/>
                <w:bCs/>
                <w:color w:val="FFFFFF" w:themeColor="background1"/>
                <w:sz w:val="22"/>
                <w:szCs w:val="22"/>
              </w:rPr>
              <w:t xml:space="preserve"> proced</w:t>
            </w:r>
            <w:r w:rsidR="00F46366" w:rsidRPr="004B0E20">
              <w:rPr>
                <w:rFonts w:asciiTheme="majorHAnsi" w:hAnsiTheme="majorHAnsi"/>
                <w:b/>
                <w:bCs/>
                <w:color w:val="FFFFFF" w:themeColor="background1"/>
                <w:sz w:val="22"/>
                <w:szCs w:val="22"/>
              </w:rPr>
              <w:t>ures</w:t>
            </w:r>
            <w:r w:rsidRPr="004B0E20">
              <w:rPr>
                <w:rFonts w:asciiTheme="majorHAnsi" w:hAnsiTheme="majorHAnsi"/>
                <w:b/>
                <w:bCs/>
                <w:color w:val="FFFFFF" w:themeColor="background1"/>
                <w:sz w:val="22"/>
                <w:szCs w:val="22"/>
              </w:rPr>
              <w:t xml:space="preserve"> </w:t>
            </w:r>
            <w:r w:rsidR="00065A3F" w:rsidRPr="004B0E20">
              <w:rPr>
                <w:rFonts w:asciiTheme="majorHAnsi" w:hAnsiTheme="majorHAnsi"/>
                <w:b/>
                <w:bCs/>
                <w:color w:val="FFFFFF" w:themeColor="background1"/>
                <w:sz w:val="22"/>
                <w:szCs w:val="22"/>
              </w:rPr>
              <w:t>and</w:t>
            </w:r>
            <w:r w:rsidR="00EE00E9" w:rsidRPr="004B0E20">
              <w:rPr>
                <w:rFonts w:asciiTheme="majorHAnsi" w:hAnsiTheme="majorHAnsi"/>
                <w:b/>
                <w:bCs/>
                <w:color w:val="FFFFFF" w:themeColor="background1"/>
                <w:sz w:val="22"/>
                <w:szCs w:val="22"/>
              </w:rPr>
              <w:t xml:space="preserve"> </w:t>
            </w:r>
            <w:r w:rsidR="00F46366" w:rsidRPr="004B0E20">
              <w:rPr>
                <w:rFonts w:asciiTheme="majorHAnsi" w:hAnsiTheme="majorHAnsi"/>
                <w:b/>
                <w:bCs/>
                <w:color w:val="FFFFFF" w:themeColor="background1"/>
                <w:sz w:val="22"/>
                <w:szCs w:val="22"/>
              </w:rPr>
              <w:t xml:space="preserve">international </w:t>
            </w:r>
            <w:r w:rsidR="00F46366" w:rsidRPr="004B0E20">
              <w:rPr>
                <w:rFonts w:asciiTheme="majorHAnsi" w:hAnsiTheme="majorHAnsi"/>
                <w:b/>
                <w:bCs/>
                <w:i/>
                <w:color w:val="FFFFFF" w:themeColor="background1"/>
                <w:sz w:val="22"/>
                <w:szCs w:val="22"/>
              </w:rPr>
              <w:t>res judicata</w:t>
            </w:r>
            <w:r w:rsidR="00EE00E9" w:rsidRPr="004B0E20">
              <w:rPr>
                <w:rFonts w:asciiTheme="majorHAnsi" w:hAnsiTheme="majorHAnsi"/>
                <w:b/>
                <w:bCs/>
                <w:color w:val="FFFFFF" w:themeColor="background1"/>
                <w:sz w:val="22"/>
                <w:szCs w:val="22"/>
              </w:rPr>
              <w:t>:</w:t>
            </w:r>
          </w:p>
        </w:tc>
        <w:tc>
          <w:tcPr>
            <w:tcW w:w="5760" w:type="dxa"/>
            <w:vAlign w:val="center"/>
          </w:tcPr>
          <w:p w:rsidR="00EE00E9" w:rsidRPr="004B0E20" w:rsidRDefault="00B20D5C" w:rsidP="00065A3F">
            <w:pPr>
              <w:jc w:val="both"/>
              <w:rPr>
                <w:rFonts w:asciiTheme="majorHAnsi" w:hAnsiTheme="majorHAnsi"/>
                <w:bCs/>
                <w:sz w:val="22"/>
                <w:szCs w:val="22"/>
              </w:rPr>
            </w:pPr>
            <w:r w:rsidRPr="004B0E20">
              <w:rPr>
                <w:rFonts w:asciiTheme="majorHAnsi" w:hAnsiTheme="majorHAnsi"/>
                <w:bCs/>
                <w:sz w:val="22"/>
                <w:szCs w:val="22"/>
              </w:rPr>
              <w:t>No</w:t>
            </w:r>
          </w:p>
        </w:tc>
      </w:tr>
      <w:tr w:rsidR="003239B8" w:rsidRPr="004B0E20" w:rsidTr="008604D9">
        <w:trPr>
          <w:cantSplit/>
        </w:trPr>
        <w:tc>
          <w:tcPr>
            <w:tcW w:w="3600" w:type="dxa"/>
            <w:tcBorders>
              <w:top w:val="single" w:sz="4" w:space="0" w:color="auto"/>
              <w:bottom w:val="single" w:sz="6" w:space="0" w:color="auto"/>
            </w:tcBorders>
            <w:shd w:val="clear" w:color="auto" w:fill="67AE3C"/>
            <w:vAlign w:val="center"/>
          </w:tcPr>
          <w:p w:rsidR="003239B8" w:rsidRPr="004B0E20" w:rsidRDefault="00F46366" w:rsidP="00F46366">
            <w:pPr>
              <w:jc w:val="center"/>
              <w:rPr>
                <w:rFonts w:asciiTheme="majorHAnsi" w:hAnsiTheme="majorHAnsi"/>
                <w:b/>
                <w:bCs/>
                <w:i/>
                <w:color w:val="FFFFFF" w:themeColor="background1"/>
                <w:sz w:val="22"/>
                <w:szCs w:val="22"/>
              </w:rPr>
            </w:pPr>
            <w:r w:rsidRPr="004B0E20">
              <w:rPr>
                <w:rFonts w:asciiTheme="majorHAnsi" w:hAnsiTheme="majorHAnsi"/>
                <w:b/>
                <w:bCs/>
                <w:color w:val="FFFFFF" w:themeColor="background1"/>
                <w:sz w:val="22"/>
                <w:szCs w:val="22"/>
              </w:rPr>
              <w:t xml:space="preserve">Rights </w:t>
            </w:r>
            <w:r w:rsidR="00065A3F" w:rsidRPr="004B0E20">
              <w:rPr>
                <w:rFonts w:asciiTheme="majorHAnsi" w:hAnsiTheme="majorHAnsi"/>
                <w:b/>
                <w:bCs/>
                <w:color w:val="FFFFFF" w:themeColor="background1"/>
                <w:sz w:val="22"/>
                <w:szCs w:val="22"/>
              </w:rPr>
              <w:t xml:space="preserve">declared </w:t>
            </w:r>
            <w:r w:rsidRPr="004B0E20">
              <w:rPr>
                <w:rFonts w:asciiTheme="majorHAnsi" w:hAnsiTheme="majorHAnsi"/>
                <w:b/>
                <w:bCs/>
                <w:color w:val="FFFFFF" w:themeColor="background1"/>
                <w:sz w:val="22"/>
                <w:szCs w:val="22"/>
              </w:rPr>
              <w:t>admissible</w:t>
            </w:r>
            <w:r w:rsidR="003239B8" w:rsidRPr="004B0E20">
              <w:rPr>
                <w:rFonts w:asciiTheme="majorHAnsi" w:hAnsiTheme="majorHAnsi"/>
                <w:b/>
                <w:bCs/>
                <w:i/>
                <w:color w:val="FFFFFF" w:themeColor="background1"/>
                <w:sz w:val="22"/>
                <w:szCs w:val="22"/>
              </w:rPr>
              <w:t>:</w:t>
            </w:r>
          </w:p>
        </w:tc>
        <w:tc>
          <w:tcPr>
            <w:tcW w:w="5760" w:type="dxa"/>
            <w:vAlign w:val="center"/>
          </w:tcPr>
          <w:p w:rsidR="003239B8" w:rsidRPr="004B0E20" w:rsidRDefault="00AD7161" w:rsidP="00065A3F">
            <w:pPr>
              <w:jc w:val="both"/>
              <w:rPr>
                <w:rFonts w:asciiTheme="majorHAnsi" w:hAnsiTheme="majorHAnsi"/>
                <w:bCs/>
                <w:sz w:val="22"/>
                <w:szCs w:val="22"/>
              </w:rPr>
            </w:pPr>
            <w:r w:rsidRPr="004B0E20">
              <w:rPr>
                <w:rFonts w:asciiTheme="majorHAnsi" w:hAnsiTheme="majorHAnsi"/>
                <w:bCs/>
                <w:sz w:val="22"/>
                <w:szCs w:val="22"/>
              </w:rPr>
              <w:t>Article</w:t>
            </w:r>
            <w:r w:rsidR="007C68C8" w:rsidRPr="004B0E20">
              <w:rPr>
                <w:rFonts w:asciiTheme="majorHAnsi" w:hAnsiTheme="majorHAnsi"/>
                <w:bCs/>
                <w:sz w:val="22"/>
                <w:szCs w:val="22"/>
              </w:rPr>
              <w:t>s 4 (</w:t>
            </w:r>
            <w:r w:rsidR="00AB47B1" w:rsidRPr="004B0E20">
              <w:rPr>
                <w:rFonts w:asciiTheme="majorHAnsi" w:hAnsiTheme="majorHAnsi"/>
                <w:bCs/>
                <w:sz w:val="22"/>
                <w:szCs w:val="22"/>
              </w:rPr>
              <w:t>life</w:t>
            </w:r>
            <w:r w:rsidR="007C68C8" w:rsidRPr="004B0E20">
              <w:rPr>
                <w:rFonts w:asciiTheme="majorHAnsi" w:hAnsiTheme="majorHAnsi"/>
                <w:bCs/>
                <w:sz w:val="22"/>
                <w:szCs w:val="22"/>
              </w:rPr>
              <w:t>), 5 (</w:t>
            </w:r>
            <w:r w:rsidR="00AB47B1" w:rsidRPr="004B0E20">
              <w:rPr>
                <w:rFonts w:asciiTheme="majorHAnsi" w:hAnsiTheme="majorHAnsi"/>
                <w:bCs/>
                <w:sz w:val="22"/>
                <w:szCs w:val="22"/>
              </w:rPr>
              <w:t>humane treatment</w:t>
            </w:r>
            <w:r w:rsidR="007C68C8" w:rsidRPr="004B0E20">
              <w:rPr>
                <w:rFonts w:asciiTheme="majorHAnsi" w:hAnsiTheme="majorHAnsi"/>
                <w:bCs/>
                <w:sz w:val="22"/>
                <w:szCs w:val="22"/>
              </w:rPr>
              <w:t>),</w:t>
            </w:r>
            <w:r w:rsidR="00007570" w:rsidRPr="004B0E20">
              <w:rPr>
                <w:rFonts w:asciiTheme="majorHAnsi" w:hAnsiTheme="majorHAnsi"/>
                <w:bCs/>
                <w:sz w:val="22"/>
                <w:szCs w:val="22"/>
              </w:rPr>
              <w:t xml:space="preserve"> </w:t>
            </w:r>
            <w:r w:rsidRPr="004B0E20">
              <w:rPr>
                <w:rFonts w:asciiTheme="majorHAnsi" w:hAnsiTheme="majorHAnsi"/>
                <w:bCs/>
                <w:sz w:val="22"/>
                <w:szCs w:val="22"/>
              </w:rPr>
              <w:t>Article</w:t>
            </w:r>
            <w:r w:rsidR="00007570" w:rsidRPr="004B0E20">
              <w:rPr>
                <w:rFonts w:asciiTheme="majorHAnsi" w:hAnsiTheme="majorHAnsi"/>
                <w:bCs/>
                <w:sz w:val="22"/>
                <w:szCs w:val="22"/>
              </w:rPr>
              <w:t xml:space="preserve"> 8 (</w:t>
            </w:r>
            <w:r w:rsidR="00AB47B1" w:rsidRPr="004B0E20">
              <w:rPr>
                <w:rFonts w:asciiTheme="majorHAnsi" w:hAnsiTheme="majorHAnsi"/>
                <w:bCs/>
                <w:sz w:val="22"/>
                <w:szCs w:val="22"/>
              </w:rPr>
              <w:t>fair trial</w:t>
            </w:r>
            <w:r w:rsidR="00007570" w:rsidRPr="004B0E20">
              <w:rPr>
                <w:rFonts w:asciiTheme="majorHAnsi" w:hAnsiTheme="majorHAnsi"/>
                <w:bCs/>
                <w:sz w:val="22"/>
                <w:szCs w:val="22"/>
              </w:rPr>
              <w:t>)</w:t>
            </w:r>
            <w:r w:rsidR="00AB47B1" w:rsidRPr="004B0E20">
              <w:rPr>
                <w:rFonts w:asciiTheme="majorHAnsi" w:hAnsiTheme="majorHAnsi"/>
                <w:bCs/>
                <w:sz w:val="22"/>
                <w:szCs w:val="22"/>
              </w:rPr>
              <w:t>,</w:t>
            </w:r>
            <w:r w:rsidR="007C68C8"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7C68C8" w:rsidRPr="004B0E20">
              <w:rPr>
                <w:rFonts w:asciiTheme="majorHAnsi" w:hAnsiTheme="majorHAnsi"/>
                <w:bCs/>
                <w:sz w:val="22"/>
                <w:szCs w:val="22"/>
              </w:rPr>
              <w:t xml:space="preserve"> 25 (</w:t>
            </w:r>
            <w:r w:rsidR="00065A3F" w:rsidRPr="004B0E20">
              <w:rPr>
                <w:rFonts w:asciiTheme="majorHAnsi" w:hAnsiTheme="majorHAnsi"/>
                <w:bCs/>
                <w:sz w:val="22"/>
                <w:szCs w:val="22"/>
              </w:rPr>
              <w:t>judicial protection</w:t>
            </w:r>
            <w:r w:rsidR="007C68C8" w:rsidRPr="004B0E20">
              <w:rPr>
                <w:rFonts w:asciiTheme="majorHAnsi" w:hAnsiTheme="majorHAnsi"/>
                <w:bCs/>
                <w:sz w:val="22"/>
                <w:szCs w:val="22"/>
              </w:rPr>
              <w:t xml:space="preserve">), </w:t>
            </w:r>
            <w:r w:rsidR="00065A3F" w:rsidRPr="004B0E20">
              <w:rPr>
                <w:rFonts w:asciiTheme="majorHAnsi" w:hAnsiTheme="majorHAnsi"/>
                <w:bCs/>
                <w:sz w:val="22"/>
                <w:szCs w:val="22"/>
              </w:rPr>
              <w:t xml:space="preserve">all </w:t>
            </w:r>
            <w:r w:rsidR="00065A3F" w:rsidRPr="007321BC">
              <w:rPr>
                <w:rFonts w:asciiTheme="majorHAnsi" w:hAnsiTheme="majorHAnsi"/>
                <w:bCs/>
                <w:noProof/>
                <w:sz w:val="22"/>
                <w:szCs w:val="22"/>
              </w:rPr>
              <w:t>with respect to</w:t>
            </w:r>
            <w:r w:rsidR="00065A3F" w:rsidRPr="004B0E20">
              <w:rPr>
                <w:rFonts w:asciiTheme="majorHAnsi" w:hAnsiTheme="majorHAnsi"/>
                <w:bCs/>
                <w:sz w:val="22"/>
                <w:szCs w:val="22"/>
              </w:rPr>
              <w:t xml:space="preserve"> </w:t>
            </w:r>
            <w:r w:rsidRPr="004B0E20">
              <w:rPr>
                <w:rFonts w:asciiTheme="majorHAnsi" w:hAnsiTheme="majorHAnsi"/>
                <w:sz w:val="22"/>
                <w:szCs w:val="22"/>
              </w:rPr>
              <w:t>Article</w:t>
            </w:r>
            <w:r w:rsidR="00816FE1" w:rsidRPr="004B0E20">
              <w:rPr>
                <w:rFonts w:asciiTheme="majorHAnsi" w:hAnsiTheme="majorHAnsi"/>
                <w:sz w:val="22"/>
                <w:szCs w:val="22"/>
              </w:rPr>
              <w:t>s 1.1 (</w:t>
            </w:r>
            <w:r w:rsidR="006C434B" w:rsidRPr="004B0E20">
              <w:rPr>
                <w:rFonts w:asciiTheme="majorHAnsi" w:hAnsiTheme="majorHAnsi"/>
                <w:sz w:val="22"/>
                <w:szCs w:val="22"/>
              </w:rPr>
              <w:t>obligation to respect rights</w:t>
            </w:r>
            <w:r w:rsidR="00816FE1" w:rsidRPr="004B0E20">
              <w:rPr>
                <w:rFonts w:asciiTheme="majorHAnsi" w:hAnsiTheme="majorHAnsi"/>
                <w:sz w:val="22"/>
                <w:szCs w:val="22"/>
              </w:rPr>
              <w:t xml:space="preserve">) </w:t>
            </w:r>
            <w:r w:rsidR="00065A3F" w:rsidRPr="004B0E20">
              <w:rPr>
                <w:rFonts w:asciiTheme="majorHAnsi" w:hAnsiTheme="majorHAnsi"/>
                <w:sz w:val="22"/>
                <w:szCs w:val="22"/>
              </w:rPr>
              <w:t>and</w:t>
            </w:r>
            <w:r w:rsidR="00816FE1" w:rsidRPr="004B0E20">
              <w:rPr>
                <w:rFonts w:asciiTheme="majorHAnsi" w:hAnsiTheme="majorHAnsi"/>
                <w:sz w:val="22"/>
                <w:szCs w:val="22"/>
              </w:rPr>
              <w:t xml:space="preserve"> 2 (</w:t>
            </w:r>
            <w:r w:rsidR="007D1AFC" w:rsidRPr="004B0E20">
              <w:rPr>
                <w:rFonts w:asciiTheme="majorHAnsi" w:hAnsiTheme="majorHAnsi"/>
                <w:sz w:val="22"/>
                <w:szCs w:val="22"/>
              </w:rPr>
              <w:t>domestic legal effects</w:t>
            </w:r>
            <w:r w:rsidR="00816FE1" w:rsidRPr="004B0E20">
              <w:rPr>
                <w:rFonts w:asciiTheme="majorHAnsi" w:hAnsiTheme="majorHAnsi"/>
                <w:sz w:val="22"/>
                <w:szCs w:val="22"/>
              </w:rPr>
              <w:t xml:space="preserve">) </w:t>
            </w:r>
            <w:r w:rsidR="00065A3F" w:rsidRPr="004B0E20">
              <w:rPr>
                <w:rFonts w:asciiTheme="majorHAnsi" w:hAnsiTheme="majorHAnsi"/>
                <w:sz w:val="22"/>
                <w:szCs w:val="22"/>
              </w:rPr>
              <w:t>of the</w:t>
            </w:r>
            <w:r w:rsidR="00816FE1" w:rsidRPr="004B0E20">
              <w:rPr>
                <w:rFonts w:asciiTheme="majorHAnsi" w:hAnsiTheme="majorHAnsi"/>
                <w:sz w:val="22"/>
                <w:szCs w:val="22"/>
              </w:rPr>
              <w:t xml:space="preserve"> </w:t>
            </w:r>
            <w:r w:rsidR="00E729E2" w:rsidRPr="004B0E20">
              <w:rPr>
                <w:rFonts w:asciiTheme="majorHAnsi" w:hAnsiTheme="majorHAnsi"/>
                <w:sz w:val="22"/>
                <w:szCs w:val="22"/>
              </w:rPr>
              <w:t>American Convention</w:t>
            </w:r>
          </w:p>
        </w:tc>
      </w:tr>
      <w:tr w:rsidR="003239B8" w:rsidRPr="004B0E20" w:rsidTr="008604D9">
        <w:trPr>
          <w:cantSplit/>
        </w:trPr>
        <w:tc>
          <w:tcPr>
            <w:tcW w:w="3600" w:type="dxa"/>
            <w:tcBorders>
              <w:top w:val="single" w:sz="6" w:space="0" w:color="auto"/>
              <w:bottom w:val="single" w:sz="6" w:space="0" w:color="auto"/>
            </w:tcBorders>
            <w:shd w:val="clear" w:color="auto" w:fill="67AE3C"/>
            <w:vAlign w:val="center"/>
          </w:tcPr>
          <w:p w:rsidR="003239B8" w:rsidRPr="004B0E20" w:rsidRDefault="00065A3F" w:rsidP="00F46366">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 xml:space="preserve">Exhaustion of </w:t>
            </w:r>
            <w:r w:rsidR="00785370" w:rsidRPr="004B0E20">
              <w:rPr>
                <w:rFonts w:asciiTheme="majorHAnsi" w:hAnsiTheme="majorHAnsi"/>
                <w:b/>
                <w:bCs/>
                <w:color w:val="FFFFFF" w:themeColor="background1"/>
                <w:sz w:val="22"/>
                <w:szCs w:val="22"/>
              </w:rPr>
              <w:t>domestic remedies</w:t>
            </w:r>
            <w:r w:rsidR="00EE00E9" w:rsidRPr="004B0E20">
              <w:rPr>
                <w:rFonts w:asciiTheme="majorHAnsi" w:hAnsiTheme="majorHAnsi"/>
                <w:b/>
                <w:bCs/>
                <w:color w:val="FFFFFF" w:themeColor="background1"/>
                <w:sz w:val="22"/>
                <w:szCs w:val="22"/>
              </w:rPr>
              <w:t xml:space="preserve"> </w:t>
            </w:r>
            <w:r w:rsidR="00890DB9" w:rsidRPr="004B0E20">
              <w:rPr>
                <w:rFonts w:asciiTheme="majorHAnsi" w:hAnsiTheme="majorHAnsi"/>
                <w:b/>
                <w:bCs/>
                <w:color w:val="FFFFFF" w:themeColor="background1"/>
                <w:sz w:val="22"/>
                <w:szCs w:val="22"/>
              </w:rPr>
              <w:t>or</w:t>
            </w:r>
            <w:r w:rsidR="00D21316" w:rsidRPr="004B0E20">
              <w:rPr>
                <w:rFonts w:asciiTheme="majorHAnsi" w:hAnsiTheme="majorHAnsi"/>
                <w:b/>
                <w:bCs/>
                <w:color w:val="FFFFFF" w:themeColor="background1"/>
                <w:sz w:val="22"/>
                <w:szCs w:val="22"/>
              </w:rPr>
              <w:t xml:space="preserve"> </w:t>
            </w:r>
            <w:r w:rsidR="00F46366" w:rsidRPr="004B0E20">
              <w:rPr>
                <w:rFonts w:asciiTheme="majorHAnsi" w:hAnsiTheme="majorHAnsi"/>
                <w:b/>
                <w:bCs/>
                <w:color w:val="FFFFFF" w:themeColor="background1"/>
                <w:sz w:val="22"/>
                <w:szCs w:val="22"/>
              </w:rPr>
              <w:t xml:space="preserve">applicability of an </w:t>
            </w:r>
            <w:r w:rsidRPr="004B0E20">
              <w:rPr>
                <w:rFonts w:asciiTheme="majorHAnsi" w:hAnsiTheme="majorHAnsi"/>
                <w:b/>
                <w:bCs/>
                <w:color w:val="FFFFFF" w:themeColor="background1"/>
                <w:sz w:val="22"/>
                <w:szCs w:val="22"/>
              </w:rPr>
              <w:t>exception</w:t>
            </w:r>
            <w:r w:rsidR="003239B8" w:rsidRPr="004B0E20">
              <w:rPr>
                <w:rFonts w:asciiTheme="majorHAnsi" w:hAnsiTheme="majorHAnsi"/>
                <w:b/>
                <w:bCs/>
                <w:color w:val="FFFFFF" w:themeColor="background1"/>
                <w:sz w:val="22"/>
                <w:szCs w:val="22"/>
              </w:rPr>
              <w:t>:</w:t>
            </w:r>
          </w:p>
        </w:tc>
        <w:tc>
          <w:tcPr>
            <w:tcW w:w="5760" w:type="dxa"/>
            <w:vAlign w:val="center"/>
          </w:tcPr>
          <w:p w:rsidR="003239B8" w:rsidRPr="004B0E20" w:rsidRDefault="00E729E2" w:rsidP="00065A3F">
            <w:pPr>
              <w:rPr>
                <w:rFonts w:asciiTheme="majorHAnsi" w:hAnsiTheme="majorHAnsi"/>
                <w:bCs/>
                <w:sz w:val="22"/>
                <w:szCs w:val="22"/>
              </w:rPr>
            </w:pPr>
            <w:r w:rsidRPr="004B0E20">
              <w:rPr>
                <w:rFonts w:asciiTheme="majorHAnsi" w:hAnsiTheme="majorHAnsi"/>
                <w:bCs/>
                <w:sz w:val="22"/>
                <w:szCs w:val="22"/>
              </w:rPr>
              <w:t>Yes</w:t>
            </w:r>
            <w:r w:rsidR="0008301F" w:rsidRPr="004B0E20">
              <w:rPr>
                <w:rFonts w:asciiTheme="majorHAnsi" w:hAnsiTheme="majorHAnsi"/>
                <w:bCs/>
                <w:sz w:val="22"/>
                <w:szCs w:val="22"/>
              </w:rPr>
              <w:t xml:space="preserve">, </w:t>
            </w:r>
            <w:r w:rsidR="00065A3F" w:rsidRPr="004B0E20">
              <w:rPr>
                <w:rFonts w:asciiTheme="majorHAnsi" w:hAnsiTheme="majorHAnsi"/>
                <w:bCs/>
                <w:sz w:val="22"/>
                <w:szCs w:val="22"/>
              </w:rPr>
              <w:t>application</w:t>
            </w:r>
            <w:r w:rsidR="0008301F" w:rsidRPr="004B0E20">
              <w:rPr>
                <w:rFonts w:asciiTheme="majorHAnsi" w:hAnsiTheme="majorHAnsi"/>
                <w:bCs/>
                <w:sz w:val="22"/>
                <w:szCs w:val="22"/>
              </w:rPr>
              <w:t xml:space="preserve"> </w:t>
            </w:r>
            <w:r w:rsidR="00065A3F" w:rsidRPr="004B0E20">
              <w:rPr>
                <w:rFonts w:asciiTheme="majorHAnsi" w:hAnsiTheme="majorHAnsi"/>
                <w:bCs/>
                <w:sz w:val="22"/>
                <w:szCs w:val="22"/>
              </w:rPr>
              <w:t>of the</w:t>
            </w:r>
            <w:r w:rsidR="0008301F" w:rsidRPr="004B0E20">
              <w:rPr>
                <w:rFonts w:asciiTheme="majorHAnsi" w:hAnsiTheme="majorHAnsi"/>
                <w:bCs/>
                <w:sz w:val="22"/>
                <w:szCs w:val="22"/>
              </w:rPr>
              <w:t xml:space="preserve"> </w:t>
            </w:r>
            <w:r w:rsidR="00065A3F" w:rsidRPr="007321BC">
              <w:rPr>
                <w:rFonts w:asciiTheme="majorHAnsi" w:hAnsiTheme="majorHAnsi"/>
                <w:bCs/>
                <w:noProof/>
                <w:sz w:val="22"/>
                <w:szCs w:val="22"/>
              </w:rPr>
              <w:t>exception</w:t>
            </w:r>
            <w:r w:rsidR="0008301F" w:rsidRPr="004B0E20">
              <w:rPr>
                <w:rFonts w:asciiTheme="majorHAnsi" w:hAnsiTheme="majorHAnsi"/>
                <w:bCs/>
                <w:sz w:val="22"/>
                <w:szCs w:val="22"/>
              </w:rPr>
              <w:t xml:space="preserve"> </w:t>
            </w:r>
            <w:r w:rsidR="00065A3F" w:rsidRPr="004B0E20">
              <w:rPr>
                <w:rFonts w:asciiTheme="majorHAnsi" w:hAnsiTheme="majorHAnsi"/>
                <w:bCs/>
                <w:sz w:val="22"/>
                <w:szCs w:val="22"/>
              </w:rPr>
              <w:t>provided</w:t>
            </w:r>
            <w:r w:rsidR="0008301F" w:rsidRPr="004B0E20">
              <w:rPr>
                <w:rFonts w:asciiTheme="majorHAnsi" w:hAnsiTheme="majorHAnsi"/>
                <w:bCs/>
                <w:sz w:val="22"/>
                <w:szCs w:val="22"/>
              </w:rPr>
              <w:t xml:space="preserve"> </w:t>
            </w:r>
            <w:r w:rsidR="00065A3F" w:rsidRPr="004B0E20">
              <w:rPr>
                <w:rFonts w:asciiTheme="majorHAnsi" w:hAnsiTheme="majorHAnsi"/>
                <w:bCs/>
                <w:sz w:val="22"/>
                <w:szCs w:val="22"/>
              </w:rPr>
              <w:t>in</w:t>
            </w:r>
            <w:r w:rsidR="0008301F" w:rsidRPr="004B0E20">
              <w:rPr>
                <w:rFonts w:asciiTheme="majorHAnsi" w:hAnsiTheme="majorHAnsi"/>
                <w:bCs/>
                <w:sz w:val="22"/>
                <w:szCs w:val="22"/>
              </w:rPr>
              <w:t xml:space="preserve"> </w:t>
            </w:r>
            <w:r w:rsidR="00AD7161" w:rsidRPr="004B0E20">
              <w:rPr>
                <w:rFonts w:asciiTheme="majorHAnsi" w:hAnsiTheme="majorHAnsi"/>
                <w:bCs/>
                <w:sz w:val="22"/>
                <w:szCs w:val="22"/>
              </w:rPr>
              <w:t>Article</w:t>
            </w:r>
            <w:r w:rsidR="0008301F" w:rsidRPr="004B0E20">
              <w:rPr>
                <w:rFonts w:asciiTheme="majorHAnsi" w:hAnsiTheme="majorHAnsi"/>
                <w:bCs/>
                <w:sz w:val="22"/>
                <w:szCs w:val="22"/>
              </w:rPr>
              <w:t xml:space="preserve"> 46.2.c </w:t>
            </w:r>
            <w:r w:rsidR="00065A3F" w:rsidRPr="004B0E20">
              <w:rPr>
                <w:rFonts w:asciiTheme="majorHAnsi" w:hAnsiTheme="majorHAnsi"/>
                <w:bCs/>
                <w:sz w:val="22"/>
                <w:szCs w:val="22"/>
              </w:rPr>
              <w:t>of the</w:t>
            </w:r>
            <w:r w:rsidR="0008301F" w:rsidRPr="004B0E20">
              <w:rPr>
                <w:rFonts w:asciiTheme="majorHAnsi" w:hAnsiTheme="majorHAnsi"/>
                <w:bCs/>
                <w:sz w:val="22"/>
                <w:szCs w:val="22"/>
              </w:rPr>
              <w:t xml:space="preserve"> </w:t>
            </w:r>
            <w:r w:rsidRPr="004B0E20">
              <w:rPr>
                <w:rFonts w:asciiTheme="majorHAnsi" w:hAnsiTheme="majorHAnsi"/>
                <w:bCs/>
                <w:sz w:val="22"/>
                <w:szCs w:val="22"/>
              </w:rPr>
              <w:t>American Convention</w:t>
            </w:r>
          </w:p>
        </w:tc>
      </w:tr>
      <w:tr w:rsidR="003239B8" w:rsidRPr="004B0E20" w:rsidTr="008604D9">
        <w:trPr>
          <w:cantSplit/>
        </w:trPr>
        <w:tc>
          <w:tcPr>
            <w:tcW w:w="3600" w:type="dxa"/>
            <w:tcBorders>
              <w:top w:val="single" w:sz="6" w:space="0" w:color="auto"/>
              <w:bottom w:val="single" w:sz="6" w:space="0" w:color="auto"/>
            </w:tcBorders>
            <w:shd w:val="clear" w:color="auto" w:fill="67AE3C"/>
            <w:vAlign w:val="center"/>
          </w:tcPr>
          <w:p w:rsidR="003239B8" w:rsidRPr="004B0E20" w:rsidRDefault="00F46366" w:rsidP="00F46366">
            <w:pPr>
              <w:jc w:val="center"/>
              <w:rPr>
                <w:rFonts w:asciiTheme="majorHAnsi" w:hAnsiTheme="majorHAnsi"/>
                <w:b/>
                <w:bCs/>
                <w:color w:val="FFFFFF" w:themeColor="background1"/>
                <w:sz w:val="22"/>
                <w:szCs w:val="22"/>
              </w:rPr>
            </w:pPr>
            <w:r w:rsidRPr="004B0E20">
              <w:rPr>
                <w:rFonts w:asciiTheme="majorHAnsi" w:hAnsiTheme="majorHAnsi"/>
                <w:b/>
                <w:bCs/>
                <w:color w:val="FFFFFF" w:themeColor="background1"/>
                <w:sz w:val="22"/>
                <w:szCs w:val="22"/>
              </w:rPr>
              <w:t>Timeliness</w:t>
            </w:r>
            <w:r w:rsidR="003239B8" w:rsidRPr="004B0E20">
              <w:rPr>
                <w:rFonts w:asciiTheme="majorHAnsi" w:hAnsiTheme="majorHAnsi"/>
                <w:b/>
                <w:bCs/>
                <w:color w:val="FFFFFF" w:themeColor="background1"/>
                <w:sz w:val="22"/>
                <w:szCs w:val="22"/>
              </w:rPr>
              <w:t>:</w:t>
            </w:r>
          </w:p>
        </w:tc>
        <w:tc>
          <w:tcPr>
            <w:tcW w:w="5760" w:type="dxa"/>
            <w:vAlign w:val="center"/>
          </w:tcPr>
          <w:p w:rsidR="0008301F" w:rsidRPr="004B0E20" w:rsidRDefault="00E729E2" w:rsidP="006C0375">
            <w:pPr>
              <w:rPr>
                <w:rFonts w:asciiTheme="majorHAnsi" w:hAnsiTheme="majorHAnsi"/>
                <w:bCs/>
                <w:sz w:val="22"/>
                <w:szCs w:val="22"/>
              </w:rPr>
            </w:pPr>
            <w:r w:rsidRPr="004B0E20">
              <w:rPr>
                <w:rFonts w:asciiTheme="majorHAnsi" w:hAnsiTheme="majorHAnsi"/>
                <w:bCs/>
                <w:sz w:val="22"/>
                <w:szCs w:val="22"/>
              </w:rPr>
              <w:t>Yes</w:t>
            </w:r>
            <w:r w:rsidR="0008301F" w:rsidRPr="004B0E20">
              <w:rPr>
                <w:rFonts w:asciiTheme="majorHAnsi" w:hAnsiTheme="majorHAnsi"/>
                <w:bCs/>
                <w:sz w:val="22"/>
                <w:szCs w:val="22"/>
              </w:rPr>
              <w:t xml:space="preserve">, </w:t>
            </w:r>
            <w:r w:rsidR="006C0375" w:rsidRPr="004B0E20">
              <w:rPr>
                <w:rFonts w:asciiTheme="majorHAnsi" w:hAnsiTheme="majorHAnsi"/>
                <w:bCs/>
                <w:sz w:val="22"/>
                <w:szCs w:val="22"/>
              </w:rPr>
              <w:t xml:space="preserve">as </w:t>
            </w:r>
            <w:r w:rsidR="006C0375" w:rsidRPr="007321BC">
              <w:rPr>
                <w:rFonts w:asciiTheme="majorHAnsi" w:hAnsiTheme="majorHAnsi"/>
                <w:bCs/>
                <w:noProof/>
                <w:sz w:val="22"/>
                <w:szCs w:val="22"/>
              </w:rPr>
              <w:t>set forth in</w:t>
            </w:r>
            <w:r w:rsidR="006C0375" w:rsidRPr="004B0E20">
              <w:rPr>
                <w:rFonts w:asciiTheme="majorHAnsi" w:hAnsiTheme="majorHAnsi"/>
                <w:bCs/>
                <w:sz w:val="22"/>
                <w:szCs w:val="22"/>
              </w:rPr>
              <w:t xml:space="preserve"> </w:t>
            </w:r>
            <w:r w:rsidR="0008301F" w:rsidRPr="004B0E20">
              <w:rPr>
                <w:rFonts w:asciiTheme="majorHAnsi" w:hAnsiTheme="majorHAnsi"/>
                <w:bCs/>
                <w:sz w:val="22"/>
                <w:szCs w:val="22"/>
              </w:rPr>
              <w:t>se</w:t>
            </w:r>
            <w:r w:rsidR="00F46366" w:rsidRPr="004B0E20">
              <w:rPr>
                <w:rFonts w:asciiTheme="majorHAnsi" w:hAnsiTheme="majorHAnsi"/>
                <w:bCs/>
                <w:sz w:val="22"/>
                <w:szCs w:val="22"/>
              </w:rPr>
              <w:t xml:space="preserve">ction </w:t>
            </w:r>
            <w:r w:rsidR="0008301F" w:rsidRPr="004B0E20">
              <w:rPr>
                <w:rFonts w:asciiTheme="majorHAnsi" w:hAnsiTheme="majorHAnsi"/>
                <w:bCs/>
                <w:sz w:val="22"/>
                <w:szCs w:val="22"/>
              </w:rPr>
              <w:t>VI</w:t>
            </w:r>
          </w:p>
        </w:tc>
      </w:tr>
    </w:tbl>
    <w:p w:rsidR="002D0A96" w:rsidRDefault="002D0A96" w:rsidP="003239B8">
      <w:pPr>
        <w:spacing w:before="240" w:after="240"/>
        <w:ind w:firstLine="720"/>
        <w:jc w:val="both"/>
        <w:rPr>
          <w:rFonts w:asciiTheme="majorHAnsi" w:hAnsiTheme="majorHAnsi"/>
          <w:b/>
          <w:sz w:val="22"/>
          <w:szCs w:val="22"/>
        </w:rPr>
      </w:pPr>
    </w:p>
    <w:p w:rsidR="002D0A96" w:rsidRDefault="002D0A96" w:rsidP="003239B8">
      <w:pPr>
        <w:spacing w:before="240" w:after="240"/>
        <w:ind w:firstLine="720"/>
        <w:jc w:val="both"/>
        <w:rPr>
          <w:rFonts w:asciiTheme="majorHAnsi" w:hAnsiTheme="majorHAnsi"/>
          <w:b/>
          <w:sz w:val="22"/>
          <w:szCs w:val="22"/>
        </w:rPr>
      </w:pPr>
    </w:p>
    <w:p w:rsidR="003239B8" w:rsidRPr="004B0E20" w:rsidRDefault="00223A29" w:rsidP="003239B8">
      <w:pPr>
        <w:spacing w:before="240" w:after="240"/>
        <w:ind w:firstLine="720"/>
        <w:jc w:val="both"/>
        <w:rPr>
          <w:rFonts w:asciiTheme="majorHAnsi" w:hAnsiTheme="majorHAnsi"/>
          <w:b/>
          <w:sz w:val="22"/>
          <w:szCs w:val="22"/>
        </w:rPr>
      </w:pPr>
      <w:r w:rsidRPr="004B0E20">
        <w:rPr>
          <w:rFonts w:asciiTheme="majorHAnsi" w:hAnsiTheme="majorHAnsi"/>
          <w:b/>
          <w:sz w:val="22"/>
          <w:szCs w:val="22"/>
        </w:rPr>
        <w:lastRenderedPageBreak/>
        <w:t xml:space="preserve">V. </w:t>
      </w:r>
      <w:r w:rsidRPr="004B0E20">
        <w:rPr>
          <w:rFonts w:asciiTheme="majorHAnsi" w:hAnsiTheme="majorHAnsi"/>
          <w:b/>
          <w:sz w:val="22"/>
          <w:szCs w:val="22"/>
        </w:rPr>
        <w:tab/>
      </w:r>
      <w:r w:rsidR="00AD7161" w:rsidRPr="004B0E20">
        <w:rPr>
          <w:rFonts w:asciiTheme="majorHAnsi" w:hAnsiTheme="majorHAnsi"/>
          <w:b/>
          <w:sz w:val="22"/>
          <w:szCs w:val="22"/>
        </w:rPr>
        <w:t>ALLEGED</w:t>
      </w:r>
      <w:r w:rsidR="003239B8" w:rsidRPr="004B0E20">
        <w:rPr>
          <w:rFonts w:asciiTheme="majorHAnsi" w:hAnsiTheme="majorHAnsi"/>
          <w:b/>
          <w:sz w:val="22"/>
          <w:szCs w:val="22"/>
        </w:rPr>
        <w:t xml:space="preserve"> </w:t>
      </w:r>
      <w:r w:rsidR="006C0375" w:rsidRPr="004B0E20">
        <w:rPr>
          <w:rFonts w:asciiTheme="majorHAnsi" w:hAnsiTheme="majorHAnsi"/>
          <w:b/>
          <w:sz w:val="22"/>
          <w:szCs w:val="22"/>
        </w:rPr>
        <w:t>FACTS</w:t>
      </w:r>
    </w:p>
    <w:p w:rsidR="00EF4915" w:rsidRPr="004B0E20" w:rsidRDefault="00C51B82" w:rsidP="00E729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7321BC">
        <w:rPr>
          <w:rFonts w:asciiTheme="majorHAnsi" w:hAnsiTheme="majorHAnsi"/>
          <w:bCs/>
          <w:noProof/>
          <w:sz w:val="22"/>
          <w:szCs w:val="22"/>
        </w:rPr>
        <w:t xml:space="preserve">Francisca Evangelista Alves </w:t>
      </w:r>
      <w:r w:rsidR="00B20D5C" w:rsidRPr="007321BC">
        <w:rPr>
          <w:rFonts w:asciiTheme="majorHAnsi" w:hAnsiTheme="majorHAnsi"/>
          <w:bCs/>
          <w:noProof/>
          <w:sz w:val="22"/>
          <w:szCs w:val="22"/>
        </w:rPr>
        <w:t>de</w:t>
      </w:r>
      <w:r w:rsidRPr="007321BC">
        <w:rPr>
          <w:rFonts w:asciiTheme="majorHAnsi" w:hAnsiTheme="majorHAnsi"/>
          <w:bCs/>
          <w:noProof/>
          <w:sz w:val="22"/>
          <w:szCs w:val="22"/>
        </w:rPr>
        <w:t xml:space="preserve"> Souza, Helenita Barbosa </w:t>
      </w:r>
      <w:r w:rsidR="00B20D5C" w:rsidRPr="007321BC">
        <w:rPr>
          <w:rFonts w:asciiTheme="majorHAnsi" w:hAnsiTheme="majorHAnsi"/>
          <w:bCs/>
          <w:noProof/>
          <w:sz w:val="22"/>
          <w:szCs w:val="22"/>
        </w:rPr>
        <w:t>de</w:t>
      </w:r>
      <w:r w:rsidRPr="007321BC">
        <w:rPr>
          <w:rFonts w:asciiTheme="majorHAnsi" w:hAnsiTheme="majorHAnsi"/>
          <w:bCs/>
          <w:noProof/>
          <w:sz w:val="22"/>
          <w:szCs w:val="22"/>
        </w:rPr>
        <w:t xml:space="preserve"> Andrade, and Maria José </w:t>
      </w:r>
      <w:r w:rsidR="00B20D5C" w:rsidRPr="007321BC">
        <w:rPr>
          <w:rFonts w:asciiTheme="majorHAnsi" w:hAnsiTheme="majorHAnsi"/>
          <w:bCs/>
          <w:noProof/>
          <w:sz w:val="22"/>
          <w:szCs w:val="22"/>
        </w:rPr>
        <w:t>de</w:t>
      </w:r>
      <w:r w:rsidRPr="007321BC">
        <w:rPr>
          <w:rFonts w:asciiTheme="majorHAnsi" w:hAnsiTheme="majorHAnsi"/>
          <w:bCs/>
          <w:noProof/>
          <w:sz w:val="22"/>
          <w:szCs w:val="22"/>
        </w:rPr>
        <w:t xml:space="preserve"> Lima Andrade, together with the nongovernmental organization </w:t>
      </w:r>
      <w:r w:rsidRPr="007321BC">
        <w:rPr>
          <w:rFonts w:asciiTheme="majorHAnsi" w:hAnsiTheme="majorHAnsi"/>
          <w:bCs/>
          <w:i/>
          <w:noProof/>
          <w:sz w:val="22"/>
          <w:szCs w:val="22"/>
        </w:rPr>
        <w:t>Conectas Direitos Humanos</w:t>
      </w:r>
      <w:r w:rsidRPr="007321BC">
        <w:rPr>
          <w:rFonts w:asciiTheme="majorHAnsi" w:hAnsiTheme="majorHAnsi"/>
          <w:bCs/>
          <w:noProof/>
          <w:sz w:val="22"/>
          <w:szCs w:val="22"/>
        </w:rPr>
        <w:t xml:space="preserve"> (hereinafter “the petitioners”)</w:t>
      </w:r>
      <w:r w:rsidR="006C0375" w:rsidRPr="007321BC">
        <w:rPr>
          <w:rFonts w:asciiTheme="majorHAnsi" w:hAnsiTheme="majorHAnsi"/>
          <w:bCs/>
          <w:noProof/>
          <w:sz w:val="22"/>
          <w:szCs w:val="22"/>
        </w:rPr>
        <w:t>,</w:t>
      </w:r>
      <w:r w:rsidRPr="007321BC">
        <w:rPr>
          <w:rFonts w:asciiTheme="majorHAnsi" w:hAnsiTheme="majorHAnsi"/>
          <w:bCs/>
          <w:noProof/>
          <w:sz w:val="22"/>
          <w:szCs w:val="22"/>
        </w:rPr>
        <w:t xml:space="preserve"> denounce the impunity of police officers involved in the summary execution of Edivaldo Barbosa de Andrade, Fábio de Lima Andrade, Israel Alves de Souza, and Fernando Elza (hereinafter “</w:t>
      </w:r>
      <w:r w:rsidR="00890DB9" w:rsidRPr="007321BC">
        <w:rPr>
          <w:rFonts w:asciiTheme="majorHAnsi" w:hAnsiTheme="majorHAnsi"/>
          <w:bCs/>
          <w:noProof/>
          <w:sz w:val="22"/>
          <w:szCs w:val="22"/>
        </w:rPr>
        <w:t xml:space="preserve">the </w:t>
      </w:r>
      <w:r w:rsidRPr="007321BC">
        <w:rPr>
          <w:rFonts w:asciiTheme="majorHAnsi" w:hAnsiTheme="majorHAnsi"/>
          <w:bCs/>
          <w:noProof/>
          <w:sz w:val="22"/>
          <w:szCs w:val="22"/>
        </w:rPr>
        <w:t xml:space="preserve">alleged victims”), and </w:t>
      </w:r>
      <w:r w:rsidR="006C0375" w:rsidRPr="007321BC">
        <w:rPr>
          <w:rFonts w:asciiTheme="majorHAnsi" w:hAnsiTheme="majorHAnsi"/>
          <w:bCs/>
          <w:noProof/>
          <w:sz w:val="22"/>
          <w:szCs w:val="22"/>
        </w:rPr>
        <w:t xml:space="preserve">the </w:t>
      </w:r>
      <w:r w:rsidRPr="007321BC">
        <w:rPr>
          <w:rFonts w:asciiTheme="majorHAnsi" w:hAnsiTheme="majorHAnsi"/>
          <w:bCs/>
          <w:noProof/>
          <w:sz w:val="22"/>
          <w:szCs w:val="22"/>
        </w:rPr>
        <w:t>attempted murder of Eduardo Barbosa de Andrade, an event they call the “Bristol Park Massacre.”</w:t>
      </w:r>
      <w:r w:rsidRPr="004B0E20">
        <w:rPr>
          <w:rFonts w:asciiTheme="majorHAnsi" w:hAnsiTheme="majorHAnsi"/>
          <w:bCs/>
          <w:sz w:val="22"/>
          <w:szCs w:val="22"/>
        </w:rPr>
        <w:t xml:space="preserve"> They </w:t>
      </w:r>
      <w:r w:rsidR="006C0375" w:rsidRPr="004B0E20">
        <w:rPr>
          <w:rFonts w:asciiTheme="majorHAnsi" w:hAnsiTheme="majorHAnsi"/>
          <w:bCs/>
          <w:sz w:val="22"/>
          <w:szCs w:val="22"/>
        </w:rPr>
        <w:t>argue</w:t>
      </w:r>
      <w:r w:rsidR="005B1B8A" w:rsidRPr="004B0E20">
        <w:rPr>
          <w:rFonts w:asciiTheme="majorHAnsi" w:hAnsiTheme="majorHAnsi"/>
          <w:bCs/>
          <w:sz w:val="22"/>
          <w:szCs w:val="22"/>
        </w:rPr>
        <w:t xml:space="preserve"> </w:t>
      </w:r>
      <w:r w:rsidRPr="004B0E20">
        <w:rPr>
          <w:rFonts w:asciiTheme="majorHAnsi" w:hAnsiTheme="majorHAnsi"/>
          <w:bCs/>
          <w:sz w:val="22"/>
          <w:szCs w:val="22"/>
        </w:rPr>
        <w:t>that the events constitute excessive use of force</w:t>
      </w:r>
      <w:r w:rsidR="005B1B8A" w:rsidRPr="004B0E20">
        <w:rPr>
          <w:rFonts w:asciiTheme="majorHAnsi" w:hAnsiTheme="majorHAnsi"/>
          <w:bCs/>
          <w:sz w:val="22"/>
          <w:szCs w:val="22"/>
        </w:rPr>
        <w:t xml:space="preserve"> </w:t>
      </w:r>
      <w:r w:rsidRPr="004B0E20">
        <w:rPr>
          <w:rFonts w:asciiTheme="majorHAnsi" w:hAnsiTheme="majorHAnsi"/>
          <w:bCs/>
          <w:sz w:val="22"/>
          <w:szCs w:val="22"/>
        </w:rPr>
        <w:t>by</w:t>
      </w:r>
      <w:r w:rsidR="00065A3F" w:rsidRPr="004B0E20">
        <w:rPr>
          <w:rFonts w:asciiTheme="majorHAnsi" w:hAnsiTheme="majorHAnsi"/>
          <w:bCs/>
          <w:sz w:val="22"/>
          <w:szCs w:val="22"/>
        </w:rPr>
        <w:t xml:space="preserve"> the</w:t>
      </w:r>
      <w:r w:rsidR="005B1B8A" w:rsidRPr="004B0E20">
        <w:rPr>
          <w:rFonts w:asciiTheme="majorHAnsi" w:hAnsiTheme="majorHAnsi"/>
          <w:bCs/>
          <w:sz w:val="22"/>
          <w:szCs w:val="22"/>
        </w:rPr>
        <w:t xml:space="preserve"> </w:t>
      </w:r>
      <w:r w:rsidR="00975F59" w:rsidRPr="004B0E20">
        <w:rPr>
          <w:rFonts w:asciiTheme="majorHAnsi" w:hAnsiTheme="majorHAnsi"/>
          <w:bCs/>
          <w:sz w:val="22"/>
          <w:szCs w:val="22"/>
        </w:rPr>
        <w:t>police</w:t>
      </w:r>
      <w:r w:rsidR="005B1B8A" w:rsidRPr="004B0E20">
        <w:rPr>
          <w:rFonts w:asciiTheme="majorHAnsi" w:hAnsiTheme="majorHAnsi"/>
          <w:bCs/>
          <w:sz w:val="22"/>
          <w:szCs w:val="22"/>
        </w:rPr>
        <w:t xml:space="preserve"> </w:t>
      </w:r>
      <w:r w:rsidR="00975F59" w:rsidRPr="004B0E20">
        <w:rPr>
          <w:rFonts w:asciiTheme="majorHAnsi" w:hAnsiTheme="majorHAnsi"/>
          <w:bCs/>
          <w:sz w:val="22"/>
          <w:szCs w:val="22"/>
        </w:rPr>
        <w:t>in the context of</w:t>
      </w:r>
      <w:r w:rsidR="00065A3F" w:rsidRPr="004B0E20">
        <w:rPr>
          <w:rFonts w:asciiTheme="majorHAnsi" w:hAnsiTheme="majorHAnsi"/>
          <w:bCs/>
          <w:sz w:val="22"/>
          <w:szCs w:val="22"/>
        </w:rPr>
        <w:t xml:space="preserve"> </w:t>
      </w:r>
      <w:r w:rsidR="005B1B8A" w:rsidRPr="004B0E20">
        <w:rPr>
          <w:rFonts w:asciiTheme="majorHAnsi" w:hAnsiTheme="majorHAnsi"/>
          <w:bCs/>
          <w:sz w:val="22"/>
          <w:szCs w:val="22"/>
        </w:rPr>
        <w:t xml:space="preserve">events </w:t>
      </w:r>
      <w:r w:rsidR="00975F59" w:rsidRPr="004B0E20">
        <w:rPr>
          <w:rFonts w:asciiTheme="majorHAnsi" w:hAnsiTheme="majorHAnsi"/>
          <w:bCs/>
          <w:sz w:val="22"/>
          <w:szCs w:val="22"/>
        </w:rPr>
        <w:t>that took place</w:t>
      </w:r>
      <w:r w:rsidR="001162E2" w:rsidRPr="004B0E20">
        <w:rPr>
          <w:rFonts w:asciiTheme="majorHAnsi" w:hAnsiTheme="majorHAnsi"/>
          <w:bCs/>
          <w:sz w:val="22"/>
          <w:szCs w:val="22"/>
        </w:rPr>
        <w:t xml:space="preserve"> </w:t>
      </w:r>
      <w:r w:rsidR="006C0375" w:rsidRPr="004B0E20">
        <w:rPr>
          <w:rFonts w:asciiTheme="majorHAnsi" w:hAnsiTheme="majorHAnsi"/>
          <w:bCs/>
          <w:sz w:val="22"/>
          <w:szCs w:val="22"/>
        </w:rPr>
        <w:t xml:space="preserve">between </w:t>
      </w:r>
      <w:r w:rsidR="00975F59" w:rsidRPr="004B0E20">
        <w:rPr>
          <w:rFonts w:asciiTheme="majorHAnsi" w:hAnsiTheme="majorHAnsi"/>
          <w:bCs/>
          <w:sz w:val="22"/>
          <w:szCs w:val="22"/>
        </w:rPr>
        <w:t xml:space="preserve">May </w:t>
      </w:r>
      <w:r w:rsidR="001162E2" w:rsidRPr="004B0E20">
        <w:rPr>
          <w:rFonts w:asciiTheme="majorHAnsi" w:hAnsiTheme="majorHAnsi"/>
          <w:bCs/>
          <w:sz w:val="22"/>
          <w:szCs w:val="22"/>
        </w:rPr>
        <w:t xml:space="preserve">12 </w:t>
      </w:r>
      <w:r w:rsidR="00065A3F" w:rsidRPr="004B0E20">
        <w:rPr>
          <w:rFonts w:asciiTheme="majorHAnsi" w:hAnsiTheme="majorHAnsi"/>
          <w:bCs/>
          <w:sz w:val="22"/>
          <w:szCs w:val="22"/>
        </w:rPr>
        <w:t>and</w:t>
      </w:r>
      <w:r w:rsidR="001162E2" w:rsidRPr="004B0E20">
        <w:rPr>
          <w:rFonts w:asciiTheme="majorHAnsi" w:hAnsiTheme="majorHAnsi"/>
          <w:bCs/>
          <w:sz w:val="22"/>
          <w:szCs w:val="22"/>
        </w:rPr>
        <w:t xml:space="preserve"> </w:t>
      </w:r>
      <w:r w:rsidR="00975F59" w:rsidRPr="004B0E20">
        <w:rPr>
          <w:rFonts w:asciiTheme="majorHAnsi" w:hAnsiTheme="majorHAnsi"/>
          <w:bCs/>
          <w:sz w:val="22"/>
          <w:szCs w:val="22"/>
        </w:rPr>
        <w:t xml:space="preserve">May </w:t>
      </w:r>
      <w:r w:rsidR="001162E2" w:rsidRPr="004B0E20">
        <w:rPr>
          <w:rFonts w:asciiTheme="majorHAnsi" w:hAnsiTheme="majorHAnsi"/>
          <w:bCs/>
          <w:sz w:val="22"/>
          <w:szCs w:val="22"/>
        </w:rPr>
        <w:t>21</w:t>
      </w:r>
      <w:r w:rsidR="00975F59" w:rsidRPr="004B0E20">
        <w:rPr>
          <w:rFonts w:asciiTheme="majorHAnsi" w:hAnsiTheme="majorHAnsi"/>
          <w:bCs/>
          <w:sz w:val="22"/>
          <w:szCs w:val="22"/>
        </w:rPr>
        <w:t>,</w:t>
      </w:r>
      <w:r w:rsidR="001162E2" w:rsidRPr="004B0E20">
        <w:rPr>
          <w:rFonts w:asciiTheme="majorHAnsi" w:hAnsiTheme="majorHAnsi"/>
          <w:bCs/>
          <w:sz w:val="22"/>
          <w:szCs w:val="22"/>
        </w:rPr>
        <w:t xml:space="preserve"> 2006</w:t>
      </w:r>
      <w:r w:rsidR="00975F59" w:rsidRPr="004B0E20">
        <w:rPr>
          <w:rFonts w:asciiTheme="majorHAnsi" w:hAnsiTheme="majorHAnsi"/>
          <w:bCs/>
          <w:sz w:val="22"/>
          <w:szCs w:val="22"/>
        </w:rPr>
        <w:t>,</w:t>
      </w:r>
      <w:r w:rsidR="001162E2" w:rsidRPr="004B0E20">
        <w:rPr>
          <w:rFonts w:asciiTheme="majorHAnsi" w:hAnsiTheme="majorHAnsi"/>
          <w:bCs/>
          <w:sz w:val="22"/>
          <w:szCs w:val="22"/>
        </w:rPr>
        <w:t xml:space="preserve"> </w:t>
      </w:r>
      <w:r w:rsidR="00975F59" w:rsidRPr="004B0E20">
        <w:rPr>
          <w:rFonts w:asciiTheme="majorHAnsi" w:hAnsiTheme="majorHAnsi"/>
          <w:bCs/>
          <w:sz w:val="22"/>
          <w:szCs w:val="22"/>
        </w:rPr>
        <w:t>in the city</w:t>
      </w:r>
      <w:r w:rsidR="001162E2" w:rsidRPr="004B0E20">
        <w:rPr>
          <w:rFonts w:asciiTheme="majorHAnsi" w:hAnsiTheme="majorHAnsi"/>
          <w:bCs/>
          <w:sz w:val="22"/>
          <w:szCs w:val="22"/>
        </w:rPr>
        <w:t xml:space="preserve"> </w:t>
      </w:r>
      <w:r w:rsidRPr="004B0E20">
        <w:rPr>
          <w:rFonts w:asciiTheme="majorHAnsi" w:hAnsiTheme="majorHAnsi"/>
          <w:bCs/>
          <w:sz w:val="22"/>
          <w:szCs w:val="22"/>
        </w:rPr>
        <w:t>of</w:t>
      </w:r>
      <w:r w:rsidR="001162E2" w:rsidRPr="004B0E20">
        <w:rPr>
          <w:rFonts w:asciiTheme="majorHAnsi" w:hAnsiTheme="majorHAnsi"/>
          <w:bCs/>
          <w:sz w:val="22"/>
          <w:szCs w:val="22"/>
        </w:rPr>
        <w:t xml:space="preserve"> São Paulo, </w:t>
      </w:r>
      <w:r w:rsidR="00975F59" w:rsidRPr="004B0E20">
        <w:rPr>
          <w:rFonts w:asciiTheme="majorHAnsi" w:hAnsiTheme="majorHAnsi"/>
          <w:bCs/>
          <w:sz w:val="22"/>
          <w:szCs w:val="22"/>
        </w:rPr>
        <w:t>known</w:t>
      </w:r>
      <w:r w:rsidR="00E3586E" w:rsidRPr="004B0E20">
        <w:rPr>
          <w:rFonts w:asciiTheme="majorHAnsi" w:hAnsiTheme="majorHAnsi"/>
          <w:bCs/>
          <w:sz w:val="22"/>
          <w:szCs w:val="22"/>
        </w:rPr>
        <w:t xml:space="preserve"> </w:t>
      </w:r>
      <w:r w:rsidR="00975F59" w:rsidRPr="004B0E20">
        <w:rPr>
          <w:rFonts w:asciiTheme="majorHAnsi" w:hAnsiTheme="majorHAnsi"/>
          <w:bCs/>
          <w:sz w:val="22"/>
          <w:szCs w:val="22"/>
        </w:rPr>
        <w:t>as</w:t>
      </w:r>
      <w:r w:rsidR="00E3586E" w:rsidRPr="004B0E20">
        <w:rPr>
          <w:rFonts w:asciiTheme="majorHAnsi" w:hAnsiTheme="majorHAnsi"/>
          <w:bCs/>
          <w:sz w:val="22"/>
          <w:szCs w:val="22"/>
        </w:rPr>
        <w:t xml:space="preserve"> </w:t>
      </w:r>
      <w:r w:rsidR="00B20D5C" w:rsidRPr="004B0E20">
        <w:rPr>
          <w:rFonts w:asciiTheme="majorHAnsi" w:hAnsiTheme="majorHAnsi"/>
          <w:bCs/>
          <w:sz w:val="22"/>
          <w:szCs w:val="22"/>
        </w:rPr>
        <w:t xml:space="preserve">the </w:t>
      </w:r>
      <w:r w:rsidR="00E3586E" w:rsidRPr="004B0E20">
        <w:rPr>
          <w:rFonts w:asciiTheme="majorHAnsi" w:hAnsiTheme="majorHAnsi"/>
          <w:bCs/>
          <w:sz w:val="22"/>
          <w:szCs w:val="22"/>
        </w:rPr>
        <w:t xml:space="preserve">“crimes </w:t>
      </w:r>
      <w:r w:rsidRPr="004B0E20">
        <w:rPr>
          <w:rFonts w:asciiTheme="majorHAnsi" w:hAnsiTheme="majorHAnsi"/>
          <w:bCs/>
          <w:sz w:val="22"/>
          <w:szCs w:val="22"/>
        </w:rPr>
        <w:t>of</w:t>
      </w:r>
      <w:r w:rsidR="00E3586E" w:rsidRPr="004B0E20">
        <w:rPr>
          <w:rFonts w:asciiTheme="majorHAnsi" w:hAnsiTheme="majorHAnsi"/>
          <w:bCs/>
          <w:sz w:val="22"/>
          <w:szCs w:val="22"/>
        </w:rPr>
        <w:t xml:space="preserve"> </w:t>
      </w:r>
      <w:r w:rsidR="00975F59" w:rsidRPr="004B0E20">
        <w:rPr>
          <w:rFonts w:asciiTheme="majorHAnsi" w:hAnsiTheme="majorHAnsi"/>
          <w:bCs/>
          <w:sz w:val="22"/>
          <w:szCs w:val="22"/>
        </w:rPr>
        <w:t xml:space="preserve">May </w:t>
      </w:r>
      <w:r w:rsidR="001162E2" w:rsidRPr="004B0E20">
        <w:rPr>
          <w:rFonts w:asciiTheme="majorHAnsi" w:hAnsiTheme="majorHAnsi"/>
          <w:bCs/>
          <w:sz w:val="22"/>
          <w:szCs w:val="22"/>
        </w:rPr>
        <w:t>2006</w:t>
      </w:r>
      <w:r w:rsidR="00975F59" w:rsidRPr="004B0E20">
        <w:rPr>
          <w:rFonts w:asciiTheme="majorHAnsi" w:hAnsiTheme="majorHAnsi"/>
          <w:bCs/>
          <w:sz w:val="22"/>
          <w:szCs w:val="22"/>
        </w:rPr>
        <w:t>.</w:t>
      </w:r>
      <w:r w:rsidR="001162E2" w:rsidRPr="004B0E20">
        <w:rPr>
          <w:rFonts w:asciiTheme="majorHAnsi" w:hAnsiTheme="majorHAnsi"/>
          <w:bCs/>
          <w:sz w:val="22"/>
          <w:szCs w:val="22"/>
        </w:rPr>
        <w:t>”</w:t>
      </w:r>
      <w:r w:rsidR="00C009C9" w:rsidRPr="004B0E20">
        <w:rPr>
          <w:rFonts w:asciiTheme="majorHAnsi" w:hAnsiTheme="majorHAnsi"/>
          <w:bCs/>
          <w:sz w:val="22"/>
          <w:szCs w:val="22"/>
        </w:rPr>
        <w:t xml:space="preserve"> </w:t>
      </w:r>
      <w:r w:rsidR="00975F59" w:rsidRPr="004B0E20">
        <w:rPr>
          <w:rFonts w:asciiTheme="majorHAnsi" w:hAnsiTheme="majorHAnsi"/>
          <w:bCs/>
          <w:sz w:val="22"/>
          <w:szCs w:val="22"/>
        </w:rPr>
        <w:t xml:space="preserve"> They a</w:t>
      </w:r>
      <w:r w:rsidRPr="004B0E20">
        <w:rPr>
          <w:rFonts w:asciiTheme="majorHAnsi" w:hAnsiTheme="majorHAnsi"/>
          <w:bCs/>
          <w:sz w:val="22"/>
          <w:szCs w:val="22"/>
        </w:rPr>
        <w:t>llege</w:t>
      </w:r>
      <w:r w:rsidR="00C009C9"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B20D5C" w:rsidRPr="004B0E20">
        <w:rPr>
          <w:rFonts w:asciiTheme="majorHAnsi" w:hAnsiTheme="majorHAnsi"/>
          <w:bCs/>
          <w:sz w:val="22"/>
          <w:szCs w:val="22"/>
        </w:rPr>
        <w:t xml:space="preserve"> on</w:t>
      </w:r>
      <w:r w:rsidR="00C009C9" w:rsidRPr="004B0E20">
        <w:rPr>
          <w:rFonts w:asciiTheme="majorHAnsi" w:hAnsiTheme="majorHAnsi"/>
          <w:bCs/>
          <w:sz w:val="22"/>
          <w:szCs w:val="22"/>
        </w:rPr>
        <w:t xml:space="preserve"> </w:t>
      </w:r>
      <w:r w:rsidR="00100EE6" w:rsidRPr="004B0E20">
        <w:rPr>
          <w:rFonts w:asciiTheme="majorHAnsi" w:hAnsiTheme="majorHAnsi"/>
          <w:bCs/>
          <w:sz w:val="22"/>
          <w:szCs w:val="22"/>
        </w:rPr>
        <w:t xml:space="preserve">May </w:t>
      </w:r>
      <w:r w:rsidR="00EF4915" w:rsidRPr="004B0E20">
        <w:rPr>
          <w:rFonts w:asciiTheme="majorHAnsi" w:hAnsiTheme="majorHAnsi"/>
          <w:bCs/>
          <w:sz w:val="22"/>
          <w:szCs w:val="22"/>
        </w:rPr>
        <w:t>12</w:t>
      </w:r>
      <w:r w:rsidR="00100EE6" w:rsidRPr="004B0E20">
        <w:rPr>
          <w:rFonts w:asciiTheme="majorHAnsi" w:hAnsiTheme="majorHAnsi"/>
          <w:bCs/>
          <w:sz w:val="22"/>
          <w:szCs w:val="22"/>
        </w:rPr>
        <w:t>,</w:t>
      </w:r>
      <w:r w:rsidR="00EF4915" w:rsidRPr="004B0E20">
        <w:rPr>
          <w:rFonts w:asciiTheme="majorHAnsi" w:hAnsiTheme="majorHAnsi"/>
          <w:bCs/>
          <w:sz w:val="22"/>
          <w:szCs w:val="22"/>
        </w:rPr>
        <w:t xml:space="preserve"> 2006, </w:t>
      </w:r>
      <w:r w:rsidR="00100EE6" w:rsidRPr="004B0E20">
        <w:rPr>
          <w:rFonts w:asciiTheme="majorHAnsi" w:hAnsiTheme="majorHAnsi"/>
          <w:bCs/>
          <w:sz w:val="22"/>
          <w:szCs w:val="22"/>
        </w:rPr>
        <w:t>the criminal organization</w:t>
      </w:r>
      <w:r w:rsidR="00C009C9" w:rsidRPr="004B0E20">
        <w:rPr>
          <w:rFonts w:asciiTheme="majorHAnsi" w:hAnsiTheme="majorHAnsi"/>
          <w:bCs/>
          <w:sz w:val="22"/>
          <w:szCs w:val="22"/>
        </w:rPr>
        <w:t xml:space="preserve"> </w:t>
      </w:r>
      <w:r w:rsidR="00C009C9" w:rsidRPr="004B0E20">
        <w:rPr>
          <w:rFonts w:asciiTheme="majorHAnsi" w:hAnsiTheme="majorHAnsi"/>
          <w:bCs/>
          <w:i/>
          <w:sz w:val="22"/>
          <w:szCs w:val="22"/>
        </w:rPr>
        <w:t xml:space="preserve">Primeiro Comando </w:t>
      </w:r>
      <w:r w:rsidR="00100EE6" w:rsidRPr="004B0E20">
        <w:rPr>
          <w:rFonts w:asciiTheme="majorHAnsi" w:hAnsiTheme="majorHAnsi"/>
          <w:bCs/>
          <w:i/>
          <w:sz w:val="22"/>
          <w:szCs w:val="22"/>
        </w:rPr>
        <w:t xml:space="preserve">da </w:t>
      </w:r>
      <w:r w:rsidR="00C009C9" w:rsidRPr="004B0E20">
        <w:rPr>
          <w:rFonts w:asciiTheme="majorHAnsi" w:hAnsiTheme="majorHAnsi"/>
          <w:bCs/>
          <w:i/>
          <w:sz w:val="22"/>
          <w:szCs w:val="22"/>
        </w:rPr>
        <w:t>Capital</w:t>
      </w:r>
      <w:r w:rsidR="00100EE6" w:rsidRPr="004B0E20">
        <w:rPr>
          <w:rFonts w:asciiTheme="majorHAnsi" w:hAnsiTheme="majorHAnsi"/>
          <w:bCs/>
          <w:i/>
          <w:sz w:val="22"/>
          <w:szCs w:val="22"/>
        </w:rPr>
        <w:t xml:space="preserve">, </w:t>
      </w:r>
      <w:r w:rsidR="00100EE6" w:rsidRPr="004B0E20">
        <w:rPr>
          <w:rFonts w:asciiTheme="majorHAnsi" w:hAnsiTheme="majorHAnsi"/>
          <w:bCs/>
          <w:sz w:val="22"/>
          <w:szCs w:val="22"/>
        </w:rPr>
        <w:t>or Capital First Command</w:t>
      </w:r>
      <w:r w:rsidR="00C009C9" w:rsidRPr="004B0E20">
        <w:rPr>
          <w:rFonts w:asciiTheme="majorHAnsi" w:hAnsiTheme="majorHAnsi"/>
          <w:bCs/>
          <w:sz w:val="22"/>
          <w:szCs w:val="22"/>
        </w:rPr>
        <w:t xml:space="preserve"> (</w:t>
      </w:r>
      <w:r w:rsidR="00AB47B1" w:rsidRPr="004B0E20">
        <w:rPr>
          <w:rFonts w:asciiTheme="majorHAnsi" w:hAnsiTheme="majorHAnsi"/>
          <w:bCs/>
          <w:sz w:val="22"/>
          <w:szCs w:val="22"/>
        </w:rPr>
        <w:t>hereinafter</w:t>
      </w:r>
      <w:r w:rsidR="00C009C9" w:rsidRPr="004B0E20">
        <w:rPr>
          <w:rFonts w:asciiTheme="majorHAnsi" w:hAnsiTheme="majorHAnsi"/>
          <w:bCs/>
          <w:sz w:val="22"/>
          <w:szCs w:val="22"/>
        </w:rPr>
        <w:t xml:space="preserve"> “PCC”)</w:t>
      </w:r>
      <w:r w:rsidR="00100EE6" w:rsidRPr="004B0E20">
        <w:rPr>
          <w:rFonts w:asciiTheme="majorHAnsi" w:hAnsiTheme="majorHAnsi"/>
          <w:bCs/>
          <w:sz w:val="22"/>
          <w:szCs w:val="22"/>
        </w:rPr>
        <w:t>,</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began</w:t>
      </w:r>
      <w:r w:rsidR="00EF4915" w:rsidRPr="004B0E20">
        <w:rPr>
          <w:rFonts w:asciiTheme="majorHAnsi" w:hAnsiTheme="majorHAnsi"/>
          <w:bCs/>
          <w:sz w:val="22"/>
          <w:szCs w:val="22"/>
        </w:rPr>
        <w:t xml:space="preserve"> </w:t>
      </w:r>
      <w:r w:rsidR="00B20D5C" w:rsidRPr="004B0E20">
        <w:rPr>
          <w:rFonts w:asciiTheme="majorHAnsi" w:hAnsiTheme="majorHAnsi"/>
          <w:bCs/>
          <w:sz w:val="22"/>
          <w:szCs w:val="22"/>
        </w:rPr>
        <w:t>a</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 xml:space="preserve">series </w:t>
      </w:r>
      <w:r w:rsidRPr="004B0E20">
        <w:rPr>
          <w:rFonts w:asciiTheme="majorHAnsi" w:hAnsiTheme="majorHAnsi"/>
          <w:bCs/>
          <w:sz w:val="22"/>
          <w:szCs w:val="22"/>
        </w:rPr>
        <w:t>of</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coordinated attacks</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on</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public buildings</w:t>
      </w:r>
      <w:r w:rsidR="00EF4915" w:rsidRPr="004B0E20">
        <w:rPr>
          <w:rFonts w:asciiTheme="majorHAnsi" w:hAnsiTheme="majorHAnsi"/>
          <w:bCs/>
          <w:sz w:val="22"/>
          <w:szCs w:val="22"/>
        </w:rPr>
        <w:t>, especial</w:t>
      </w:r>
      <w:r w:rsidR="00100EE6" w:rsidRPr="004B0E20">
        <w:rPr>
          <w:rFonts w:asciiTheme="majorHAnsi" w:hAnsiTheme="majorHAnsi"/>
          <w:bCs/>
          <w:sz w:val="22"/>
          <w:szCs w:val="22"/>
        </w:rPr>
        <w:t>ly</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 xml:space="preserve">in </w:t>
      </w:r>
      <w:r w:rsidR="00065A3F" w:rsidRPr="004B0E20">
        <w:rPr>
          <w:rFonts w:asciiTheme="majorHAnsi" w:hAnsiTheme="majorHAnsi"/>
          <w:bCs/>
          <w:sz w:val="22"/>
          <w:szCs w:val="22"/>
        </w:rPr>
        <w:t>the</w:t>
      </w:r>
      <w:r w:rsidR="00EF4915" w:rsidRPr="004B0E20">
        <w:rPr>
          <w:rFonts w:asciiTheme="majorHAnsi" w:hAnsiTheme="majorHAnsi"/>
          <w:bCs/>
          <w:sz w:val="22"/>
          <w:szCs w:val="22"/>
        </w:rPr>
        <w:t xml:space="preserve"> </w:t>
      </w:r>
      <w:r w:rsidR="006C0375" w:rsidRPr="004B0E20">
        <w:rPr>
          <w:rFonts w:asciiTheme="majorHAnsi" w:hAnsiTheme="majorHAnsi"/>
          <w:bCs/>
          <w:sz w:val="22"/>
          <w:szCs w:val="22"/>
        </w:rPr>
        <w:t>public security area;</w:t>
      </w:r>
      <w:r w:rsidR="00100EE6" w:rsidRPr="004B0E20">
        <w:rPr>
          <w:rFonts w:asciiTheme="majorHAnsi" w:hAnsiTheme="majorHAnsi"/>
          <w:bCs/>
          <w:sz w:val="22"/>
          <w:szCs w:val="22"/>
        </w:rPr>
        <w:t xml:space="preserve"> </w:t>
      </w:r>
      <w:r w:rsidR="00A82C2F" w:rsidRPr="004B0E20">
        <w:rPr>
          <w:rFonts w:asciiTheme="majorHAnsi" w:hAnsiTheme="majorHAnsi"/>
          <w:bCs/>
          <w:sz w:val="22"/>
          <w:szCs w:val="22"/>
        </w:rPr>
        <w:t>rebellions</w:t>
      </w:r>
      <w:r w:rsidR="00EF4915" w:rsidRPr="004B0E20">
        <w:rPr>
          <w:rFonts w:asciiTheme="majorHAnsi" w:hAnsiTheme="majorHAnsi"/>
          <w:bCs/>
          <w:sz w:val="22"/>
          <w:szCs w:val="22"/>
        </w:rPr>
        <w:t xml:space="preserve"> </w:t>
      </w:r>
      <w:r w:rsidR="00A82C2F" w:rsidRPr="004B0E20">
        <w:rPr>
          <w:rFonts w:asciiTheme="majorHAnsi" w:hAnsiTheme="majorHAnsi"/>
          <w:bCs/>
          <w:sz w:val="22"/>
          <w:szCs w:val="22"/>
        </w:rPr>
        <w:t>at</w:t>
      </w:r>
      <w:r w:rsidR="00EF4915" w:rsidRPr="004B0E20">
        <w:rPr>
          <w:rFonts w:asciiTheme="majorHAnsi" w:hAnsiTheme="majorHAnsi"/>
          <w:bCs/>
          <w:sz w:val="22"/>
          <w:szCs w:val="22"/>
        </w:rPr>
        <w:t xml:space="preserve"> </w:t>
      </w:r>
      <w:r w:rsidR="00A82C2F" w:rsidRPr="004B0E20">
        <w:rPr>
          <w:rFonts w:asciiTheme="majorHAnsi" w:hAnsiTheme="majorHAnsi"/>
          <w:bCs/>
          <w:sz w:val="22"/>
          <w:szCs w:val="22"/>
        </w:rPr>
        <w:t>forts</w:t>
      </w:r>
      <w:r w:rsidR="00EF4915" w:rsidRPr="004B0E20">
        <w:rPr>
          <w:rFonts w:asciiTheme="majorHAnsi" w:hAnsiTheme="majorHAnsi"/>
          <w:bCs/>
          <w:sz w:val="22"/>
          <w:szCs w:val="22"/>
        </w:rPr>
        <w:t xml:space="preserve">, </w:t>
      </w:r>
      <w:r w:rsidR="00A82C2F" w:rsidRPr="007321BC">
        <w:rPr>
          <w:rFonts w:asciiTheme="majorHAnsi" w:hAnsiTheme="majorHAnsi"/>
          <w:bCs/>
          <w:noProof/>
          <w:sz w:val="22"/>
          <w:szCs w:val="22"/>
        </w:rPr>
        <w:t>public</w:t>
      </w:r>
      <w:r w:rsidR="00A82C2F" w:rsidRPr="004B0E20">
        <w:rPr>
          <w:rFonts w:asciiTheme="majorHAnsi" w:hAnsiTheme="majorHAnsi"/>
          <w:bCs/>
          <w:sz w:val="22"/>
          <w:szCs w:val="22"/>
        </w:rPr>
        <w:t xml:space="preserve"> jails,</w:t>
      </w:r>
      <w:r w:rsidR="00EF491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EF4915" w:rsidRPr="004B0E20">
        <w:rPr>
          <w:rFonts w:asciiTheme="majorHAnsi" w:hAnsiTheme="majorHAnsi"/>
          <w:bCs/>
          <w:sz w:val="22"/>
          <w:szCs w:val="22"/>
        </w:rPr>
        <w:t xml:space="preserve"> </w:t>
      </w:r>
      <w:r w:rsidR="00A82C2F" w:rsidRPr="004B0E20">
        <w:rPr>
          <w:rFonts w:asciiTheme="majorHAnsi" w:hAnsiTheme="majorHAnsi"/>
          <w:bCs/>
          <w:sz w:val="22"/>
          <w:szCs w:val="22"/>
        </w:rPr>
        <w:t>lockups</w:t>
      </w:r>
      <w:r w:rsidR="00EF4915" w:rsidRPr="004B0E20">
        <w:rPr>
          <w:rFonts w:asciiTheme="majorHAnsi" w:hAnsiTheme="majorHAnsi"/>
          <w:bCs/>
          <w:sz w:val="22"/>
          <w:szCs w:val="22"/>
        </w:rPr>
        <w:t xml:space="preserve"> </w:t>
      </w:r>
      <w:r w:rsidR="00E92D95" w:rsidRPr="004B0E20">
        <w:rPr>
          <w:rFonts w:asciiTheme="majorHAnsi" w:hAnsiTheme="majorHAnsi"/>
          <w:bCs/>
          <w:sz w:val="22"/>
          <w:szCs w:val="22"/>
        </w:rPr>
        <w:t xml:space="preserve">throughout the </w:t>
      </w:r>
      <w:r w:rsidR="00AB47B1" w:rsidRPr="004B0E20">
        <w:rPr>
          <w:rFonts w:asciiTheme="majorHAnsi" w:hAnsiTheme="majorHAnsi"/>
          <w:bCs/>
          <w:sz w:val="22"/>
          <w:szCs w:val="22"/>
        </w:rPr>
        <w:t>State</w:t>
      </w:r>
      <w:r w:rsidR="006C0375" w:rsidRPr="004B0E20">
        <w:rPr>
          <w:rFonts w:asciiTheme="majorHAnsi" w:hAnsiTheme="majorHAnsi"/>
          <w:bCs/>
          <w:sz w:val="22"/>
          <w:szCs w:val="22"/>
        </w:rPr>
        <w:t>;</w:t>
      </w:r>
      <w:r w:rsidR="00EF491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EF4915" w:rsidRPr="004B0E20">
        <w:rPr>
          <w:rFonts w:asciiTheme="majorHAnsi" w:hAnsiTheme="majorHAnsi"/>
          <w:bCs/>
          <w:sz w:val="22"/>
          <w:szCs w:val="22"/>
        </w:rPr>
        <w:t xml:space="preserve">, </w:t>
      </w:r>
      <w:r w:rsidR="00E92D95" w:rsidRPr="004B0E20">
        <w:rPr>
          <w:rFonts w:asciiTheme="majorHAnsi" w:hAnsiTheme="majorHAnsi"/>
          <w:bCs/>
          <w:sz w:val="22"/>
          <w:szCs w:val="22"/>
        </w:rPr>
        <w:t>later</w:t>
      </w:r>
      <w:r w:rsidR="00EF4915" w:rsidRPr="004B0E20">
        <w:rPr>
          <w:rFonts w:asciiTheme="majorHAnsi" w:hAnsiTheme="majorHAnsi"/>
          <w:bCs/>
          <w:sz w:val="22"/>
          <w:szCs w:val="22"/>
        </w:rPr>
        <w:t xml:space="preserve">, </w:t>
      </w:r>
      <w:r w:rsidR="00E92D95" w:rsidRPr="004B0E20">
        <w:rPr>
          <w:rFonts w:asciiTheme="majorHAnsi" w:hAnsiTheme="majorHAnsi"/>
          <w:bCs/>
          <w:sz w:val="22"/>
          <w:szCs w:val="22"/>
        </w:rPr>
        <w:t>attacks on</w:t>
      </w:r>
      <w:r w:rsidR="00EF4915" w:rsidRPr="004B0E20">
        <w:rPr>
          <w:rFonts w:asciiTheme="majorHAnsi" w:hAnsiTheme="majorHAnsi"/>
          <w:bCs/>
          <w:sz w:val="22"/>
          <w:szCs w:val="22"/>
        </w:rPr>
        <w:t xml:space="preserve"> </w:t>
      </w:r>
      <w:r w:rsidR="00E92D95" w:rsidRPr="004B0E20">
        <w:rPr>
          <w:rFonts w:asciiTheme="majorHAnsi" w:hAnsiTheme="majorHAnsi"/>
          <w:bCs/>
          <w:sz w:val="22"/>
          <w:szCs w:val="22"/>
        </w:rPr>
        <w:t>public transportation vehicles</w:t>
      </w:r>
      <w:r w:rsidR="00EF491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EF4915" w:rsidRPr="004B0E20">
        <w:rPr>
          <w:rFonts w:asciiTheme="majorHAnsi" w:hAnsiTheme="majorHAnsi"/>
          <w:bCs/>
          <w:sz w:val="22"/>
          <w:szCs w:val="22"/>
        </w:rPr>
        <w:t xml:space="preserve"> </w:t>
      </w:r>
      <w:r w:rsidR="00E92D95" w:rsidRPr="004B0E20">
        <w:rPr>
          <w:rFonts w:asciiTheme="majorHAnsi" w:hAnsiTheme="majorHAnsi"/>
          <w:bCs/>
          <w:sz w:val="22"/>
          <w:szCs w:val="22"/>
        </w:rPr>
        <w:t>bank</w:t>
      </w:r>
      <w:r w:rsidR="00EF4915" w:rsidRPr="004B0E20">
        <w:rPr>
          <w:rFonts w:asciiTheme="majorHAnsi" w:hAnsiTheme="majorHAnsi"/>
          <w:bCs/>
          <w:sz w:val="22"/>
          <w:szCs w:val="22"/>
        </w:rPr>
        <w:t xml:space="preserve">s. </w:t>
      </w:r>
      <w:r w:rsidR="00890DB9" w:rsidRPr="004B0E20">
        <w:rPr>
          <w:rFonts w:asciiTheme="majorHAnsi" w:hAnsiTheme="majorHAnsi"/>
          <w:bCs/>
          <w:sz w:val="22"/>
          <w:szCs w:val="22"/>
        </w:rPr>
        <w:t>They point out</w:t>
      </w:r>
      <w:r w:rsidR="00EF4915"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EF4915" w:rsidRPr="004B0E20">
        <w:rPr>
          <w:rFonts w:asciiTheme="majorHAnsi" w:hAnsiTheme="majorHAnsi"/>
          <w:bCs/>
          <w:sz w:val="22"/>
          <w:szCs w:val="22"/>
        </w:rPr>
        <w:t xml:space="preserve"> 564 </w:t>
      </w:r>
      <w:r w:rsidR="00890DB9" w:rsidRPr="004B0E20">
        <w:rPr>
          <w:rFonts w:asciiTheme="majorHAnsi" w:hAnsiTheme="majorHAnsi"/>
          <w:bCs/>
          <w:sz w:val="22"/>
          <w:szCs w:val="22"/>
        </w:rPr>
        <w:t>people</w:t>
      </w:r>
      <w:r w:rsidR="00EF4915" w:rsidRPr="004B0E20">
        <w:rPr>
          <w:rFonts w:asciiTheme="majorHAnsi" w:hAnsiTheme="majorHAnsi"/>
          <w:bCs/>
          <w:sz w:val="22"/>
          <w:szCs w:val="22"/>
        </w:rPr>
        <w:t xml:space="preserve"> </w:t>
      </w:r>
      <w:r w:rsidR="00890DB9" w:rsidRPr="007321BC">
        <w:rPr>
          <w:rFonts w:asciiTheme="majorHAnsi" w:hAnsiTheme="majorHAnsi"/>
          <w:bCs/>
          <w:noProof/>
          <w:sz w:val="22"/>
          <w:szCs w:val="22"/>
        </w:rPr>
        <w:t>were</w:t>
      </w:r>
      <w:r w:rsidR="00EF4915" w:rsidRPr="007321BC">
        <w:rPr>
          <w:rFonts w:asciiTheme="majorHAnsi" w:hAnsiTheme="majorHAnsi"/>
          <w:bCs/>
          <w:noProof/>
          <w:sz w:val="22"/>
          <w:szCs w:val="22"/>
        </w:rPr>
        <w:t xml:space="preserve"> </w:t>
      </w:r>
      <w:r w:rsidR="00890DB9" w:rsidRPr="007321BC">
        <w:rPr>
          <w:rFonts w:asciiTheme="majorHAnsi" w:hAnsiTheme="majorHAnsi"/>
          <w:bCs/>
          <w:noProof/>
          <w:sz w:val="22"/>
          <w:szCs w:val="22"/>
        </w:rPr>
        <w:t>murdered</w:t>
      </w:r>
      <w:r w:rsidR="00EF491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EF4915" w:rsidRPr="004B0E20">
        <w:rPr>
          <w:rFonts w:asciiTheme="majorHAnsi" w:hAnsiTheme="majorHAnsi"/>
          <w:bCs/>
          <w:sz w:val="22"/>
          <w:szCs w:val="22"/>
        </w:rPr>
        <w:t xml:space="preserve"> 110 </w:t>
      </w:r>
      <w:r w:rsidR="00890DB9" w:rsidRPr="007321BC">
        <w:rPr>
          <w:rFonts w:asciiTheme="majorHAnsi" w:hAnsiTheme="majorHAnsi"/>
          <w:bCs/>
          <w:noProof/>
          <w:sz w:val="22"/>
          <w:szCs w:val="22"/>
        </w:rPr>
        <w:t>were</w:t>
      </w:r>
      <w:r w:rsidR="00EF4915" w:rsidRPr="007321BC">
        <w:rPr>
          <w:rFonts w:asciiTheme="majorHAnsi" w:hAnsiTheme="majorHAnsi"/>
          <w:bCs/>
          <w:noProof/>
          <w:sz w:val="22"/>
          <w:szCs w:val="22"/>
        </w:rPr>
        <w:t xml:space="preserve"> </w:t>
      </w:r>
      <w:r w:rsidR="00890DB9" w:rsidRPr="007321BC">
        <w:rPr>
          <w:rFonts w:asciiTheme="majorHAnsi" w:hAnsiTheme="majorHAnsi"/>
          <w:bCs/>
          <w:noProof/>
          <w:sz w:val="22"/>
          <w:szCs w:val="22"/>
        </w:rPr>
        <w:t>wounded</w:t>
      </w:r>
      <w:r w:rsidR="00EF4915" w:rsidRPr="004B0E20">
        <w:rPr>
          <w:rFonts w:asciiTheme="majorHAnsi" w:hAnsiTheme="majorHAnsi"/>
          <w:bCs/>
          <w:sz w:val="22"/>
          <w:szCs w:val="22"/>
        </w:rPr>
        <w:t xml:space="preserve"> </w:t>
      </w:r>
      <w:r w:rsidR="00890DB9" w:rsidRPr="004B0E20">
        <w:rPr>
          <w:rFonts w:asciiTheme="majorHAnsi" w:hAnsiTheme="majorHAnsi"/>
          <w:bCs/>
          <w:sz w:val="22"/>
          <w:szCs w:val="22"/>
        </w:rPr>
        <w:t xml:space="preserve">in </w:t>
      </w:r>
      <w:r w:rsidR="006C0375" w:rsidRPr="007321BC">
        <w:rPr>
          <w:rFonts w:asciiTheme="majorHAnsi" w:hAnsiTheme="majorHAnsi"/>
          <w:bCs/>
          <w:noProof/>
          <w:sz w:val="22"/>
          <w:szCs w:val="22"/>
        </w:rPr>
        <w:t>th</w:t>
      </w:r>
      <w:r w:rsidR="007321BC">
        <w:rPr>
          <w:rFonts w:asciiTheme="majorHAnsi" w:hAnsiTheme="majorHAnsi"/>
          <w:bCs/>
          <w:noProof/>
          <w:sz w:val="22"/>
          <w:szCs w:val="22"/>
        </w:rPr>
        <w:t>ose ten days</w:t>
      </w:r>
      <w:r w:rsidR="00EF4915" w:rsidRPr="004B0E20">
        <w:rPr>
          <w:rFonts w:asciiTheme="majorHAnsi" w:hAnsiTheme="majorHAnsi"/>
          <w:bCs/>
          <w:sz w:val="22"/>
          <w:szCs w:val="22"/>
        </w:rPr>
        <w:t xml:space="preserve">, </w:t>
      </w:r>
      <w:r w:rsidR="00890DB9" w:rsidRPr="004B0E20">
        <w:rPr>
          <w:rFonts w:asciiTheme="majorHAnsi" w:hAnsiTheme="majorHAnsi"/>
          <w:bCs/>
          <w:sz w:val="22"/>
          <w:szCs w:val="22"/>
        </w:rPr>
        <w:t>including civilians</w:t>
      </w:r>
      <w:r w:rsidR="00EF491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EF4915" w:rsidRPr="004B0E20">
        <w:rPr>
          <w:rFonts w:asciiTheme="majorHAnsi" w:hAnsiTheme="majorHAnsi"/>
          <w:bCs/>
          <w:sz w:val="22"/>
          <w:szCs w:val="22"/>
        </w:rPr>
        <w:t xml:space="preserve"> </w:t>
      </w:r>
      <w:r w:rsidR="00890DB9" w:rsidRPr="004B0E20">
        <w:rPr>
          <w:rFonts w:asciiTheme="majorHAnsi" w:hAnsiTheme="majorHAnsi"/>
          <w:bCs/>
          <w:sz w:val="22"/>
          <w:szCs w:val="22"/>
        </w:rPr>
        <w:t>police officers</w:t>
      </w:r>
      <w:r w:rsidR="00EF4915" w:rsidRPr="004B0E20">
        <w:rPr>
          <w:rFonts w:asciiTheme="majorHAnsi" w:hAnsiTheme="majorHAnsi"/>
          <w:bCs/>
          <w:sz w:val="22"/>
          <w:szCs w:val="22"/>
        </w:rPr>
        <w:t>.</w:t>
      </w:r>
    </w:p>
    <w:p w:rsidR="0064068C" w:rsidRPr="004B0E20" w:rsidRDefault="00890DB9"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bCs/>
          <w:sz w:val="22"/>
          <w:szCs w:val="22"/>
        </w:rPr>
        <w:t xml:space="preserve">They state </w:t>
      </w:r>
      <w:r w:rsidR="00100EE6" w:rsidRPr="004B0E20">
        <w:rPr>
          <w:rFonts w:asciiTheme="majorHAnsi" w:hAnsiTheme="majorHAnsi"/>
          <w:bCs/>
          <w:sz w:val="22"/>
          <w:szCs w:val="22"/>
        </w:rPr>
        <w:t>that</w:t>
      </w:r>
      <w:r w:rsidR="00F55ED9" w:rsidRPr="004B0E20">
        <w:rPr>
          <w:rFonts w:asciiTheme="majorHAnsi" w:hAnsiTheme="majorHAnsi"/>
          <w:bCs/>
          <w:sz w:val="22"/>
          <w:szCs w:val="22"/>
        </w:rPr>
        <w:t xml:space="preserve"> </w:t>
      </w:r>
      <w:r w:rsidRPr="004B0E20">
        <w:rPr>
          <w:rFonts w:asciiTheme="majorHAnsi" w:hAnsiTheme="majorHAnsi"/>
          <w:bCs/>
          <w:sz w:val="22"/>
          <w:szCs w:val="22"/>
        </w:rPr>
        <w:t>on the night of</w:t>
      </w:r>
      <w:r w:rsidR="00F55ED9" w:rsidRPr="004B0E20">
        <w:rPr>
          <w:rFonts w:asciiTheme="majorHAnsi" w:hAnsiTheme="majorHAnsi"/>
          <w:bCs/>
          <w:sz w:val="22"/>
          <w:szCs w:val="22"/>
        </w:rPr>
        <w:t xml:space="preserve"> </w:t>
      </w:r>
      <w:r w:rsidRPr="004B0E20">
        <w:rPr>
          <w:rFonts w:asciiTheme="majorHAnsi" w:hAnsiTheme="majorHAnsi"/>
          <w:bCs/>
          <w:sz w:val="22"/>
          <w:szCs w:val="22"/>
        </w:rPr>
        <w:t xml:space="preserve">May </w:t>
      </w:r>
      <w:r w:rsidR="00F55ED9" w:rsidRPr="004B0E20">
        <w:rPr>
          <w:rFonts w:asciiTheme="majorHAnsi" w:hAnsiTheme="majorHAnsi"/>
          <w:bCs/>
          <w:sz w:val="22"/>
          <w:szCs w:val="22"/>
        </w:rPr>
        <w:t>14</w:t>
      </w:r>
      <w:r w:rsidRPr="004B0E20">
        <w:rPr>
          <w:rFonts w:asciiTheme="majorHAnsi" w:hAnsiTheme="majorHAnsi"/>
          <w:bCs/>
          <w:sz w:val="22"/>
          <w:szCs w:val="22"/>
        </w:rPr>
        <w:t>,</w:t>
      </w:r>
      <w:r w:rsidR="00F55ED9" w:rsidRPr="004B0E20">
        <w:rPr>
          <w:rFonts w:asciiTheme="majorHAnsi" w:hAnsiTheme="majorHAnsi"/>
          <w:bCs/>
          <w:sz w:val="22"/>
          <w:szCs w:val="22"/>
        </w:rPr>
        <w:t xml:space="preserve"> 2006</w:t>
      </w:r>
      <w:r w:rsidR="00E3586E" w:rsidRPr="004B0E20">
        <w:rPr>
          <w:rFonts w:asciiTheme="majorHAnsi" w:hAnsiTheme="majorHAnsi"/>
          <w:bCs/>
          <w:sz w:val="22"/>
          <w:szCs w:val="22"/>
        </w:rPr>
        <w:t xml:space="preserve">, Edivaldo, </w:t>
      </w:r>
      <w:r w:rsidR="000F3BC6" w:rsidRPr="004B0E20">
        <w:rPr>
          <w:rFonts w:asciiTheme="majorHAnsi" w:hAnsiTheme="majorHAnsi"/>
          <w:bCs/>
          <w:sz w:val="22"/>
          <w:szCs w:val="22"/>
        </w:rPr>
        <w:t>Eduardo, Fábio</w:t>
      </w:r>
      <w:r w:rsidR="00493E4C" w:rsidRPr="004B0E20">
        <w:rPr>
          <w:rFonts w:asciiTheme="majorHAnsi" w:hAnsiTheme="majorHAnsi"/>
          <w:bCs/>
          <w:sz w:val="22"/>
          <w:szCs w:val="22"/>
        </w:rPr>
        <w:t>, Fernando</w:t>
      </w:r>
      <w:r w:rsidRPr="004B0E20">
        <w:rPr>
          <w:rFonts w:asciiTheme="majorHAnsi" w:hAnsiTheme="majorHAnsi"/>
          <w:bCs/>
          <w:sz w:val="22"/>
          <w:szCs w:val="22"/>
        </w:rPr>
        <w:t>,</w:t>
      </w:r>
      <w:r w:rsidR="000F3BC6"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0F3BC6" w:rsidRPr="004B0E20">
        <w:rPr>
          <w:rFonts w:asciiTheme="majorHAnsi" w:hAnsiTheme="majorHAnsi"/>
          <w:bCs/>
          <w:sz w:val="22"/>
          <w:szCs w:val="22"/>
        </w:rPr>
        <w:t xml:space="preserve"> Israel </w:t>
      </w:r>
      <w:r w:rsidRPr="004B0E20">
        <w:rPr>
          <w:rFonts w:asciiTheme="majorHAnsi" w:hAnsiTheme="majorHAnsi"/>
          <w:bCs/>
          <w:sz w:val="22"/>
          <w:szCs w:val="22"/>
        </w:rPr>
        <w:t>were</w:t>
      </w:r>
      <w:r w:rsidR="000F3BC6" w:rsidRPr="004B0E20">
        <w:rPr>
          <w:rFonts w:asciiTheme="majorHAnsi" w:hAnsiTheme="majorHAnsi"/>
          <w:bCs/>
          <w:sz w:val="22"/>
          <w:szCs w:val="22"/>
        </w:rPr>
        <w:t xml:space="preserve"> </w:t>
      </w:r>
      <w:r w:rsidR="0010462A" w:rsidRPr="004B0E20">
        <w:rPr>
          <w:rFonts w:asciiTheme="majorHAnsi" w:hAnsiTheme="majorHAnsi"/>
          <w:bCs/>
          <w:sz w:val="22"/>
          <w:szCs w:val="22"/>
        </w:rPr>
        <w:t xml:space="preserve">shot at with firearms </w:t>
      </w:r>
      <w:r w:rsidR="00B20D5C" w:rsidRPr="004B0E20">
        <w:rPr>
          <w:rFonts w:asciiTheme="majorHAnsi" w:hAnsiTheme="majorHAnsi"/>
          <w:bCs/>
          <w:sz w:val="22"/>
          <w:szCs w:val="22"/>
        </w:rPr>
        <w:t xml:space="preserve">several times </w:t>
      </w:r>
      <w:r w:rsidR="0010462A" w:rsidRPr="004B0E20">
        <w:rPr>
          <w:rFonts w:asciiTheme="majorHAnsi" w:hAnsiTheme="majorHAnsi"/>
          <w:bCs/>
          <w:sz w:val="22"/>
          <w:szCs w:val="22"/>
        </w:rPr>
        <w:t>by three hooded men who fled the scene</w:t>
      </w:r>
      <w:r w:rsidR="000F3BC6" w:rsidRPr="004B0E20">
        <w:rPr>
          <w:rFonts w:asciiTheme="majorHAnsi" w:hAnsiTheme="majorHAnsi"/>
          <w:bCs/>
          <w:sz w:val="22"/>
          <w:szCs w:val="22"/>
        </w:rPr>
        <w:t xml:space="preserve">. </w:t>
      </w:r>
      <w:r w:rsidR="0010462A" w:rsidRPr="004B0E20">
        <w:rPr>
          <w:rFonts w:asciiTheme="majorHAnsi" w:hAnsiTheme="majorHAnsi"/>
          <w:bCs/>
          <w:sz w:val="22"/>
          <w:szCs w:val="22"/>
        </w:rPr>
        <w:t>They state</w:t>
      </w:r>
      <w:r w:rsidR="00E52D11"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E52D11" w:rsidRPr="004B0E20">
        <w:rPr>
          <w:rFonts w:asciiTheme="majorHAnsi" w:hAnsiTheme="majorHAnsi"/>
          <w:bCs/>
          <w:sz w:val="22"/>
          <w:szCs w:val="22"/>
        </w:rPr>
        <w:t xml:space="preserve"> </w:t>
      </w:r>
      <w:r w:rsidR="0010462A" w:rsidRPr="004B0E20">
        <w:rPr>
          <w:rFonts w:asciiTheme="majorHAnsi" w:hAnsiTheme="majorHAnsi"/>
          <w:bCs/>
          <w:sz w:val="22"/>
          <w:szCs w:val="22"/>
        </w:rPr>
        <w:t>the</w:t>
      </w:r>
      <w:r w:rsidR="00E52D11" w:rsidRPr="004B0E20">
        <w:rPr>
          <w:rFonts w:asciiTheme="majorHAnsi" w:hAnsiTheme="majorHAnsi"/>
          <w:bCs/>
          <w:sz w:val="22"/>
          <w:szCs w:val="22"/>
        </w:rPr>
        <w:t xml:space="preserve"> </w:t>
      </w:r>
      <w:r w:rsidR="00975F59" w:rsidRPr="004B0E20">
        <w:rPr>
          <w:rFonts w:asciiTheme="majorHAnsi" w:hAnsiTheme="majorHAnsi"/>
          <w:bCs/>
          <w:sz w:val="22"/>
          <w:szCs w:val="22"/>
        </w:rPr>
        <w:t>police</w:t>
      </w:r>
      <w:r w:rsidR="00E52D11" w:rsidRPr="004B0E20">
        <w:rPr>
          <w:rFonts w:asciiTheme="majorHAnsi" w:hAnsiTheme="majorHAnsi"/>
          <w:bCs/>
          <w:sz w:val="22"/>
          <w:szCs w:val="22"/>
        </w:rPr>
        <w:t xml:space="preserve"> </w:t>
      </w:r>
      <w:r w:rsidR="0010462A" w:rsidRPr="004B0E20">
        <w:rPr>
          <w:rFonts w:asciiTheme="majorHAnsi" w:hAnsiTheme="majorHAnsi"/>
          <w:bCs/>
          <w:sz w:val="22"/>
          <w:szCs w:val="22"/>
        </w:rPr>
        <w:t xml:space="preserve">were alerted </w:t>
      </w:r>
      <w:r w:rsidR="00065A3F" w:rsidRPr="004B0E20">
        <w:rPr>
          <w:rFonts w:asciiTheme="majorHAnsi" w:hAnsiTheme="majorHAnsi"/>
          <w:bCs/>
          <w:sz w:val="22"/>
          <w:szCs w:val="22"/>
        </w:rPr>
        <w:t>and</w:t>
      </w:r>
      <w:r w:rsidR="00E52D11"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E52D11" w:rsidRPr="004B0E20">
        <w:rPr>
          <w:rFonts w:asciiTheme="majorHAnsi" w:hAnsiTheme="majorHAnsi"/>
          <w:bCs/>
          <w:sz w:val="22"/>
          <w:szCs w:val="22"/>
        </w:rPr>
        <w:t xml:space="preserve"> </w:t>
      </w:r>
      <w:r w:rsidR="0010462A" w:rsidRPr="004B0E20">
        <w:rPr>
          <w:rFonts w:asciiTheme="majorHAnsi" w:hAnsiTheme="majorHAnsi"/>
          <w:bCs/>
          <w:sz w:val="22"/>
          <w:szCs w:val="22"/>
        </w:rPr>
        <w:t xml:space="preserve">the </w:t>
      </w:r>
      <w:r w:rsidR="00D55E6A" w:rsidRPr="004B0E20">
        <w:rPr>
          <w:rFonts w:asciiTheme="majorHAnsi" w:hAnsiTheme="majorHAnsi"/>
          <w:bCs/>
          <w:sz w:val="22"/>
          <w:szCs w:val="22"/>
        </w:rPr>
        <w:t xml:space="preserve">responding </w:t>
      </w:r>
      <w:r w:rsidR="0010462A" w:rsidRPr="004B0E20">
        <w:rPr>
          <w:rFonts w:asciiTheme="majorHAnsi" w:hAnsiTheme="majorHAnsi"/>
          <w:bCs/>
          <w:sz w:val="22"/>
          <w:szCs w:val="22"/>
        </w:rPr>
        <w:t xml:space="preserve">officers </w:t>
      </w:r>
      <w:r w:rsidR="00D55E6A" w:rsidRPr="004B0E20">
        <w:rPr>
          <w:rFonts w:asciiTheme="majorHAnsi" w:hAnsiTheme="majorHAnsi"/>
          <w:bCs/>
          <w:sz w:val="22"/>
          <w:szCs w:val="22"/>
        </w:rPr>
        <w:t xml:space="preserve">failed to secure the crime scene, </w:t>
      </w:r>
      <w:r w:rsidR="001A3200" w:rsidRPr="004B0E20">
        <w:rPr>
          <w:rFonts w:asciiTheme="majorHAnsi" w:hAnsiTheme="majorHAnsi"/>
          <w:bCs/>
          <w:sz w:val="22"/>
          <w:szCs w:val="22"/>
        </w:rPr>
        <w:t>claiming it</w:t>
      </w:r>
      <w:r w:rsidR="00D55E6A" w:rsidRPr="004B0E20">
        <w:rPr>
          <w:rFonts w:asciiTheme="majorHAnsi" w:hAnsiTheme="majorHAnsi"/>
          <w:bCs/>
          <w:sz w:val="22"/>
          <w:szCs w:val="22"/>
        </w:rPr>
        <w:t xml:space="preserve"> was </w:t>
      </w:r>
      <w:r w:rsidR="00A34EB4">
        <w:rPr>
          <w:rFonts w:asciiTheme="majorHAnsi" w:hAnsiTheme="majorHAnsi"/>
          <w:bCs/>
          <w:sz w:val="22"/>
          <w:szCs w:val="22"/>
        </w:rPr>
        <w:t xml:space="preserve">an </w:t>
      </w:r>
      <w:r w:rsidR="003F301E" w:rsidRPr="004B0E20">
        <w:rPr>
          <w:rFonts w:asciiTheme="majorHAnsi" w:hAnsiTheme="majorHAnsi"/>
          <w:bCs/>
          <w:sz w:val="22"/>
          <w:szCs w:val="22"/>
        </w:rPr>
        <w:t>“</w:t>
      </w:r>
      <w:r w:rsidR="00B20D5C" w:rsidRPr="007321BC">
        <w:rPr>
          <w:rFonts w:asciiTheme="majorHAnsi" w:hAnsiTheme="majorHAnsi"/>
          <w:bCs/>
          <w:noProof/>
          <w:sz w:val="22"/>
          <w:szCs w:val="22"/>
        </w:rPr>
        <w:t>extremely</w:t>
      </w:r>
      <w:r w:rsidR="00D55E6A" w:rsidRPr="007321BC">
        <w:rPr>
          <w:rFonts w:asciiTheme="majorHAnsi" w:hAnsiTheme="majorHAnsi"/>
          <w:bCs/>
          <w:noProof/>
          <w:sz w:val="22"/>
          <w:szCs w:val="22"/>
        </w:rPr>
        <w:t xml:space="preserve"> dangerous</w:t>
      </w:r>
      <w:r w:rsidR="003F301E" w:rsidRPr="004B0E20">
        <w:rPr>
          <w:rFonts w:asciiTheme="majorHAnsi" w:hAnsiTheme="majorHAnsi"/>
          <w:bCs/>
          <w:sz w:val="22"/>
          <w:szCs w:val="22"/>
        </w:rPr>
        <w:t>”</w:t>
      </w:r>
      <w:r w:rsidR="00A34EB4">
        <w:rPr>
          <w:rFonts w:asciiTheme="majorHAnsi" w:hAnsiTheme="majorHAnsi"/>
          <w:bCs/>
          <w:sz w:val="22"/>
          <w:szCs w:val="22"/>
        </w:rPr>
        <w:t xml:space="preserve"> neighborhood</w:t>
      </w:r>
      <w:r w:rsidR="0064068C" w:rsidRPr="004B0E20">
        <w:rPr>
          <w:rFonts w:asciiTheme="majorHAnsi" w:hAnsiTheme="majorHAnsi"/>
          <w:bCs/>
          <w:sz w:val="22"/>
          <w:szCs w:val="22"/>
        </w:rPr>
        <w:t xml:space="preserve"> </w:t>
      </w:r>
      <w:r w:rsidR="0010462A" w:rsidRPr="004B0E20">
        <w:rPr>
          <w:rFonts w:asciiTheme="majorHAnsi" w:hAnsiTheme="majorHAnsi"/>
          <w:bCs/>
          <w:sz w:val="22"/>
          <w:szCs w:val="22"/>
        </w:rPr>
        <w:t>The</w:t>
      </w:r>
      <w:r w:rsidR="003F301E" w:rsidRPr="004B0E20">
        <w:rPr>
          <w:rFonts w:asciiTheme="majorHAnsi" w:hAnsiTheme="majorHAnsi"/>
          <w:bCs/>
          <w:sz w:val="22"/>
          <w:szCs w:val="22"/>
        </w:rPr>
        <w:t xml:space="preserve"> </w:t>
      </w:r>
      <w:r w:rsidR="00975F59" w:rsidRPr="004B0E20">
        <w:rPr>
          <w:rFonts w:asciiTheme="majorHAnsi" w:hAnsiTheme="majorHAnsi"/>
          <w:bCs/>
          <w:sz w:val="22"/>
          <w:szCs w:val="22"/>
        </w:rPr>
        <w:t>police</w:t>
      </w:r>
      <w:r w:rsidR="003F301E" w:rsidRPr="004B0E20">
        <w:rPr>
          <w:rFonts w:asciiTheme="majorHAnsi" w:hAnsiTheme="majorHAnsi"/>
          <w:bCs/>
          <w:sz w:val="22"/>
          <w:szCs w:val="22"/>
        </w:rPr>
        <w:t xml:space="preserve"> </w:t>
      </w:r>
      <w:r w:rsidR="00D55E6A" w:rsidRPr="004B0E20">
        <w:rPr>
          <w:rFonts w:asciiTheme="majorHAnsi" w:hAnsiTheme="majorHAnsi"/>
          <w:bCs/>
          <w:sz w:val="22"/>
          <w:szCs w:val="22"/>
        </w:rPr>
        <w:t xml:space="preserve">also allegedly </w:t>
      </w:r>
      <w:r w:rsidR="00D55E6A" w:rsidRPr="007321BC">
        <w:rPr>
          <w:rFonts w:asciiTheme="majorHAnsi" w:hAnsiTheme="majorHAnsi"/>
          <w:bCs/>
          <w:noProof/>
          <w:sz w:val="22"/>
          <w:szCs w:val="22"/>
        </w:rPr>
        <w:t>failed</w:t>
      </w:r>
      <w:r w:rsidR="00D55E6A" w:rsidRPr="004B0E20">
        <w:rPr>
          <w:rFonts w:asciiTheme="majorHAnsi" w:hAnsiTheme="majorHAnsi"/>
          <w:bCs/>
          <w:sz w:val="22"/>
          <w:szCs w:val="22"/>
        </w:rPr>
        <w:t xml:space="preserve"> to gather evidence</w:t>
      </w:r>
      <w:r w:rsidR="003F301E" w:rsidRPr="004B0E20">
        <w:rPr>
          <w:rFonts w:asciiTheme="majorHAnsi" w:hAnsiTheme="majorHAnsi"/>
          <w:bCs/>
          <w:sz w:val="22"/>
          <w:szCs w:val="22"/>
        </w:rPr>
        <w:t xml:space="preserve"> </w:t>
      </w:r>
      <w:r w:rsidR="00065A3F" w:rsidRPr="004B0E20">
        <w:rPr>
          <w:rFonts w:asciiTheme="majorHAnsi" w:hAnsiTheme="majorHAnsi"/>
          <w:bCs/>
          <w:sz w:val="22"/>
          <w:szCs w:val="22"/>
        </w:rPr>
        <w:t>of the</w:t>
      </w:r>
      <w:r w:rsidR="003F301E" w:rsidRPr="004B0E20">
        <w:rPr>
          <w:rFonts w:asciiTheme="majorHAnsi" w:hAnsiTheme="majorHAnsi"/>
          <w:bCs/>
          <w:sz w:val="22"/>
          <w:szCs w:val="22"/>
        </w:rPr>
        <w:t xml:space="preserve"> crime, </w:t>
      </w:r>
      <w:r w:rsidR="00D55E6A" w:rsidRPr="004B0E20">
        <w:rPr>
          <w:rFonts w:asciiTheme="majorHAnsi" w:hAnsiTheme="majorHAnsi"/>
          <w:bCs/>
          <w:sz w:val="22"/>
          <w:szCs w:val="22"/>
        </w:rPr>
        <w:t xml:space="preserve">so it was the mothers </w:t>
      </w:r>
      <w:r w:rsidR="00065A3F" w:rsidRPr="004B0E20">
        <w:rPr>
          <w:rFonts w:asciiTheme="majorHAnsi" w:hAnsiTheme="majorHAnsi"/>
          <w:bCs/>
          <w:sz w:val="22"/>
          <w:szCs w:val="22"/>
        </w:rPr>
        <w:t>of the</w:t>
      </w:r>
      <w:r w:rsidR="003F301E" w:rsidRPr="004B0E20">
        <w:rPr>
          <w:rFonts w:asciiTheme="majorHAnsi" w:hAnsiTheme="majorHAnsi"/>
          <w:bCs/>
          <w:sz w:val="22"/>
          <w:szCs w:val="22"/>
        </w:rPr>
        <w:t xml:space="preserve"> </w:t>
      </w:r>
      <w:r w:rsidR="00AB47B1" w:rsidRPr="004B0E20">
        <w:rPr>
          <w:rFonts w:asciiTheme="majorHAnsi" w:hAnsiTheme="majorHAnsi"/>
          <w:bCs/>
          <w:sz w:val="22"/>
          <w:szCs w:val="22"/>
        </w:rPr>
        <w:t>alleged victims</w:t>
      </w:r>
      <w:r w:rsidR="003F301E" w:rsidRPr="004B0E20">
        <w:rPr>
          <w:rFonts w:asciiTheme="majorHAnsi" w:hAnsiTheme="majorHAnsi"/>
          <w:bCs/>
          <w:sz w:val="22"/>
          <w:szCs w:val="22"/>
        </w:rPr>
        <w:t xml:space="preserve"> </w:t>
      </w:r>
      <w:r w:rsidR="00D55E6A" w:rsidRPr="004B0E20">
        <w:rPr>
          <w:rFonts w:asciiTheme="majorHAnsi" w:hAnsiTheme="majorHAnsi"/>
          <w:bCs/>
          <w:sz w:val="22"/>
          <w:szCs w:val="22"/>
        </w:rPr>
        <w:t xml:space="preserve">who </w:t>
      </w:r>
      <w:r w:rsidR="0066484A" w:rsidRPr="004B0E20">
        <w:rPr>
          <w:rFonts w:asciiTheme="majorHAnsi" w:hAnsiTheme="majorHAnsi"/>
          <w:bCs/>
          <w:sz w:val="22"/>
          <w:szCs w:val="22"/>
        </w:rPr>
        <w:t xml:space="preserve">collected </w:t>
      </w:r>
      <w:r w:rsidR="00D55E6A" w:rsidRPr="004B0E20">
        <w:rPr>
          <w:rFonts w:asciiTheme="majorHAnsi" w:hAnsiTheme="majorHAnsi"/>
          <w:bCs/>
          <w:sz w:val="22"/>
          <w:szCs w:val="22"/>
        </w:rPr>
        <w:t xml:space="preserve">three </w:t>
      </w:r>
      <w:r w:rsidR="0066484A" w:rsidRPr="004B0E20">
        <w:rPr>
          <w:rFonts w:asciiTheme="majorHAnsi" w:hAnsiTheme="majorHAnsi"/>
          <w:bCs/>
          <w:sz w:val="22"/>
          <w:szCs w:val="22"/>
        </w:rPr>
        <w:t>bullets</w:t>
      </w:r>
      <w:r w:rsidR="00D55E6A" w:rsidRPr="004B0E20">
        <w:rPr>
          <w:rFonts w:asciiTheme="majorHAnsi" w:hAnsiTheme="majorHAnsi"/>
          <w:bCs/>
          <w:sz w:val="22"/>
          <w:szCs w:val="22"/>
        </w:rPr>
        <w:t xml:space="preserve"> and one shell</w:t>
      </w:r>
      <w:r w:rsidR="00A34EB4">
        <w:rPr>
          <w:rFonts w:asciiTheme="majorHAnsi" w:hAnsiTheme="majorHAnsi"/>
          <w:bCs/>
          <w:sz w:val="22"/>
          <w:szCs w:val="22"/>
        </w:rPr>
        <w:t>,</w:t>
      </w:r>
      <w:r w:rsidR="0066484A" w:rsidRPr="004B0E20">
        <w:rPr>
          <w:rFonts w:asciiTheme="majorHAnsi" w:hAnsiTheme="majorHAnsi"/>
          <w:bCs/>
          <w:sz w:val="22"/>
          <w:szCs w:val="22"/>
        </w:rPr>
        <w:t xml:space="preserve"> and </w:t>
      </w:r>
      <w:r w:rsidR="00E92D95" w:rsidRPr="004B0E20">
        <w:rPr>
          <w:rFonts w:asciiTheme="majorHAnsi" w:hAnsiTheme="majorHAnsi"/>
          <w:bCs/>
          <w:sz w:val="22"/>
          <w:szCs w:val="22"/>
        </w:rPr>
        <w:t>later</w:t>
      </w:r>
      <w:r w:rsidR="00C20521" w:rsidRPr="004B0E20">
        <w:rPr>
          <w:rFonts w:asciiTheme="majorHAnsi" w:hAnsiTheme="majorHAnsi"/>
          <w:bCs/>
          <w:sz w:val="22"/>
          <w:szCs w:val="22"/>
        </w:rPr>
        <w:t xml:space="preserve"> </w:t>
      </w:r>
      <w:r w:rsidR="00D55E6A" w:rsidRPr="004B0E20">
        <w:rPr>
          <w:rFonts w:asciiTheme="majorHAnsi" w:hAnsiTheme="majorHAnsi"/>
          <w:bCs/>
          <w:sz w:val="22"/>
          <w:szCs w:val="22"/>
        </w:rPr>
        <w:t xml:space="preserve">delivered </w:t>
      </w:r>
      <w:r w:rsidR="0066484A" w:rsidRPr="004B0E20">
        <w:rPr>
          <w:rFonts w:asciiTheme="majorHAnsi" w:hAnsiTheme="majorHAnsi"/>
          <w:bCs/>
          <w:sz w:val="22"/>
          <w:szCs w:val="22"/>
        </w:rPr>
        <w:t xml:space="preserve">them </w:t>
      </w:r>
      <w:r w:rsidR="00D55E6A" w:rsidRPr="004B0E20">
        <w:rPr>
          <w:rFonts w:asciiTheme="majorHAnsi" w:hAnsiTheme="majorHAnsi"/>
          <w:bCs/>
          <w:sz w:val="22"/>
          <w:szCs w:val="22"/>
        </w:rPr>
        <w:t xml:space="preserve">to authorities at the </w:t>
      </w:r>
      <w:r w:rsidR="00975F59" w:rsidRPr="004B0E20">
        <w:rPr>
          <w:rFonts w:asciiTheme="majorHAnsi" w:hAnsiTheme="majorHAnsi"/>
          <w:bCs/>
          <w:sz w:val="22"/>
          <w:szCs w:val="22"/>
        </w:rPr>
        <w:t>Police</w:t>
      </w:r>
      <w:r w:rsidR="00D55E6A" w:rsidRPr="004B0E20">
        <w:rPr>
          <w:rFonts w:asciiTheme="majorHAnsi" w:hAnsiTheme="majorHAnsi"/>
          <w:bCs/>
          <w:sz w:val="22"/>
          <w:szCs w:val="22"/>
        </w:rPr>
        <w:t xml:space="preserve"> Station</w:t>
      </w:r>
      <w:r w:rsidR="00C20521" w:rsidRPr="004B0E20">
        <w:rPr>
          <w:rFonts w:asciiTheme="majorHAnsi" w:hAnsiTheme="majorHAnsi"/>
          <w:bCs/>
          <w:sz w:val="22"/>
          <w:szCs w:val="22"/>
        </w:rPr>
        <w:t>.</w:t>
      </w:r>
      <w:r w:rsidR="003F301E" w:rsidRPr="004B0E20">
        <w:rPr>
          <w:rFonts w:asciiTheme="majorHAnsi" w:hAnsiTheme="majorHAnsi"/>
          <w:bCs/>
          <w:sz w:val="22"/>
          <w:szCs w:val="22"/>
        </w:rPr>
        <w:t xml:space="preserve"> </w:t>
      </w:r>
    </w:p>
    <w:p w:rsidR="00C009C9" w:rsidRPr="004B0E20" w:rsidRDefault="00890DB9"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bCs/>
          <w:sz w:val="22"/>
          <w:szCs w:val="22"/>
        </w:rPr>
        <w:t xml:space="preserve">The five </w:t>
      </w:r>
      <w:r w:rsidR="00AB47B1" w:rsidRPr="004B0E20">
        <w:rPr>
          <w:rFonts w:asciiTheme="majorHAnsi" w:hAnsiTheme="majorHAnsi"/>
          <w:bCs/>
          <w:sz w:val="22"/>
          <w:szCs w:val="22"/>
        </w:rPr>
        <w:t>alleged victims</w:t>
      </w:r>
      <w:r w:rsidR="00013A8E" w:rsidRPr="004B0E20">
        <w:rPr>
          <w:rFonts w:asciiTheme="majorHAnsi" w:hAnsiTheme="majorHAnsi"/>
          <w:bCs/>
          <w:sz w:val="22"/>
          <w:szCs w:val="22"/>
        </w:rPr>
        <w:t xml:space="preserve"> </w:t>
      </w:r>
      <w:r w:rsidRPr="007321BC">
        <w:rPr>
          <w:rFonts w:asciiTheme="majorHAnsi" w:hAnsiTheme="majorHAnsi"/>
          <w:bCs/>
          <w:noProof/>
          <w:sz w:val="22"/>
          <w:szCs w:val="22"/>
        </w:rPr>
        <w:t>were</w:t>
      </w:r>
      <w:r w:rsidR="00013A8E" w:rsidRPr="007321BC">
        <w:rPr>
          <w:rFonts w:asciiTheme="majorHAnsi" w:hAnsiTheme="majorHAnsi"/>
          <w:bCs/>
          <w:noProof/>
          <w:sz w:val="22"/>
          <w:szCs w:val="22"/>
        </w:rPr>
        <w:t xml:space="preserve"> </w:t>
      </w:r>
      <w:r w:rsidRPr="007321BC">
        <w:rPr>
          <w:rFonts w:asciiTheme="majorHAnsi" w:hAnsiTheme="majorHAnsi"/>
          <w:bCs/>
          <w:noProof/>
          <w:sz w:val="22"/>
          <w:szCs w:val="22"/>
        </w:rPr>
        <w:t>taken</w:t>
      </w:r>
      <w:r w:rsidR="00013A8E" w:rsidRPr="004B0E20">
        <w:rPr>
          <w:rFonts w:asciiTheme="majorHAnsi" w:hAnsiTheme="majorHAnsi"/>
          <w:bCs/>
          <w:sz w:val="22"/>
          <w:szCs w:val="22"/>
        </w:rPr>
        <w:t xml:space="preserve"> </w:t>
      </w:r>
      <w:r w:rsidRPr="004B0E20">
        <w:rPr>
          <w:rFonts w:asciiTheme="majorHAnsi" w:hAnsiTheme="majorHAnsi"/>
          <w:bCs/>
          <w:sz w:val="22"/>
          <w:szCs w:val="22"/>
        </w:rPr>
        <w:t xml:space="preserve">to the </w:t>
      </w:r>
      <w:r w:rsidR="00013A8E" w:rsidRPr="004B0E20">
        <w:rPr>
          <w:rFonts w:asciiTheme="majorHAnsi" w:hAnsiTheme="majorHAnsi"/>
          <w:bCs/>
          <w:sz w:val="22"/>
          <w:szCs w:val="22"/>
        </w:rPr>
        <w:t>hospital</w:t>
      </w:r>
      <w:r w:rsidR="00B20D5C" w:rsidRPr="004B0E20">
        <w:rPr>
          <w:rFonts w:asciiTheme="majorHAnsi" w:hAnsiTheme="majorHAnsi"/>
          <w:bCs/>
          <w:sz w:val="22"/>
          <w:szCs w:val="22"/>
        </w:rPr>
        <w:t>;</w:t>
      </w:r>
      <w:r w:rsidR="00013A8E" w:rsidRPr="004B0E20">
        <w:rPr>
          <w:rFonts w:asciiTheme="majorHAnsi" w:hAnsiTheme="majorHAnsi"/>
          <w:bCs/>
          <w:sz w:val="22"/>
          <w:szCs w:val="22"/>
        </w:rPr>
        <w:t xml:space="preserve"> </w:t>
      </w:r>
      <w:r w:rsidR="000F3BC6" w:rsidRPr="004B0E20">
        <w:rPr>
          <w:rFonts w:asciiTheme="majorHAnsi" w:hAnsiTheme="majorHAnsi"/>
          <w:bCs/>
          <w:sz w:val="22"/>
          <w:szCs w:val="22"/>
        </w:rPr>
        <w:t>Edivaldo, Fábio</w:t>
      </w:r>
      <w:r w:rsidRPr="004B0E20">
        <w:rPr>
          <w:rFonts w:asciiTheme="majorHAnsi" w:hAnsiTheme="majorHAnsi"/>
          <w:bCs/>
          <w:sz w:val="22"/>
          <w:szCs w:val="22"/>
        </w:rPr>
        <w:t>,</w:t>
      </w:r>
      <w:r w:rsidR="000F3BC6"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0F3BC6" w:rsidRPr="004B0E20">
        <w:rPr>
          <w:rFonts w:asciiTheme="majorHAnsi" w:hAnsiTheme="majorHAnsi"/>
          <w:bCs/>
          <w:sz w:val="22"/>
          <w:szCs w:val="22"/>
        </w:rPr>
        <w:t xml:space="preserve"> Is</w:t>
      </w:r>
      <w:r w:rsidR="00EF4915" w:rsidRPr="004B0E20">
        <w:rPr>
          <w:rFonts w:asciiTheme="majorHAnsi" w:hAnsiTheme="majorHAnsi"/>
          <w:bCs/>
          <w:sz w:val="22"/>
          <w:szCs w:val="22"/>
        </w:rPr>
        <w:t xml:space="preserve">rael </w:t>
      </w:r>
      <w:r w:rsidRPr="004B0E20">
        <w:rPr>
          <w:rFonts w:asciiTheme="majorHAnsi" w:hAnsiTheme="majorHAnsi"/>
          <w:bCs/>
          <w:sz w:val="22"/>
          <w:szCs w:val="22"/>
        </w:rPr>
        <w:t>died</w:t>
      </w:r>
      <w:r w:rsidR="00EF4915" w:rsidRPr="004B0E20">
        <w:rPr>
          <w:rFonts w:asciiTheme="majorHAnsi" w:hAnsiTheme="majorHAnsi"/>
          <w:bCs/>
          <w:sz w:val="22"/>
          <w:szCs w:val="22"/>
        </w:rPr>
        <w:t xml:space="preserve">. </w:t>
      </w:r>
      <w:r w:rsidR="0066484A" w:rsidRPr="004B0E20">
        <w:rPr>
          <w:rFonts w:asciiTheme="majorHAnsi" w:hAnsiTheme="majorHAnsi"/>
          <w:bCs/>
          <w:sz w:val="22"/>
          <w:szCs w:val="22"/>
        </w:rPr>
        <w:t xml:space="preserve">A police inquiry </w:t>
      </w:r>
      <w:r w:rsidR="0066484A" w:rsidRPr="007321BC">
        <w:rPr>
          <w:rFonts w:asciiTheme="majorHAnsi" w:hAnsiTheme="majorHAnsi"/>
          <w:bCs/>
          <w:noProof/>
          <w:sz w:val="22"/>
          <w:szCs w:val="22"/>
        </w:rPr>
        <w:t xml:space="preserve">was </w:t>
      </w:r>
      <w:r w:rsidR="006772F5" w:rsidRPr="007321BC">
        <w:rPr>
          <w:rFonts w:asciiTheme="majorHAnsi" w:hAnsiTheme="majorHAnsi"/>
          <w:bCs/>
          <w:noProof/>
          <w:sz w:val="22"/>
          <w:szCs w:val="22"/>
        </w:rPr>
        <w:t>undertaken</w:t>
      </w:r>
      <w:r w:rsidR="006772F5"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0F3BC6" w:rsidRPr="004B0E20">
        <w:rPr>
          <w:rFonts w:asciiTheme="majorHAnsi" w:hAnsiTheme="majorHAnsi"/>
          <w:bCs/>
          <w:sz w:val="22"/>
          <w:szCs w:val="22"/>
        </w:rPr>
        <w:t xml:space="preserve">, </w:t>
      </w:r>
      <w:r w:rsidR="0066484A" w:rsidRPr="004B0E20">
        <w:rPr>
          <w:rFonts w:asciiTheme="majorHAnsi" w:hAnsiTheme="majorHAnsi"/>
          <w:bCs/>
          <w:sz w:val="22"/>
          <w:szCs w:val="22"/>
        </w:rPr>
        <w:t>in the depositions, the</w:t>
      </w:r>
      <w:r w:rsidR="000F3BC6" w:rsidRPr="004B0E20">
        <w:rPr>
          <w:rFonts w:asciiTheme="majorHAnsi" w:hAnsiTheme="majorHAnsi"/>
          <w:bCs/>
          <w:sz w:val="22"/>
          <w:szCs w:val="22"/>
        </w:rPr>
        <w:t xml:space="preserve"> </w:t>
      </w:r>
      <w:r w:rsidR="0066484A" w:rsidRPr="004B0E20">
        <w:rPr>
          <w:rFonts w:asciiTheme="majorHAnsi" w:hAnsiTheme="majorHAnsi"/>
          <w:bCs/>
          <w:sz w:val="22"/>
          <w:szCs w:val="22"/>
        </w:rPr>
        <w:t xml:space="preserve">surviving </w:t>
      </w:r>
      <w:r w:rsidR="00AB47B1" w:rsidRPr="004B0E20">
        <w:rPr>
          <w:rFonts w:asciiTheme="majorHAnsi" w:hAnsiTheme="majorHAnsi"/>
          <w:bCs/>
          <w:sz w:val="22"/>
          <w:szCs w:val="22"/>
        </w:rPr>
        <w:t>alleged victims</w:t>
      </w:r>
      <w:r w:rsidR="0066484A" w:rsidRPr="004B0E20">
        <w:rPr>
          <w:rFonts w:asciiTheme="majorHAnsi" w:hAnsiTheme="majorHAnsi"/>
          <w:bCs/>
          <w:sz w:val="22"/>
          <w:szCs w:val="22"/>
        </w:rPr>
        <w:t xml:space="preserve">, </w:t>
      </w:r>
      <w:r w:rsidR="00A7502D" w:rsidRPr="004B0E20">
        <w:rPr>
          <w:rFonts w:asciiTheme="majorHAnsi" w:hAnsiTheme="majorHAnsi"/>
          <w:bCs/>
          <w:sz w:val="22"/>
          <w:szCs w:val="22"/>
        </w:rPr>
        <w:t xml:space="preserve">Eduardo </w:t>
      </w:r>
      <w:r w:rsidR="00065A3F" w:rsidRPr="004B0E20">
        <w:rPr>
          <w:rFonts w:asciiTheme="majorHAnsi" w:hAnsiTheme="majorHAnsi"/>
          <w:bCs/>
          <w:sz w:val="22"/>
          <w:szCs w:val="22"/>
        </w:rPr>
        <w:t>and</w:t>
      </w:r>
      <w:r w:rsidR="00A7502D" w:rsidRPr="004B0E20">
        <w:rPr>
          <w:rFonts w:asciiTheme="majorHAnsi" w:hAnsiTheme="majorHAnsi"/>
          <w:bCs/>
          <w:sz w:val="22"/>
          <w:szCs w:val="22"/>
        </w:rPr>
        <w:t xml:space="preserve"> Fernando</w:t>
      </w:r>
      <w:r w:rsidR="0066484A" w:rsidRPr="004B0E20">
        <w:rPr>
          <w:rFonts w:asciiTheme="majorHAnsi" w:hAnsiTheme="majorHAnsi"/>
          <w:bCs/>
          <w:sz w:val="22"/>
          <w:szCs w:val="22"/>
        </w:rPr>
        <w:t xml:space="preserve">, stated </w:t>
      </w:r>
      <w:r w:rsidR="00100EE6" w:rsidRPr="004B0E20">
        <w:rPr>
          <w:rFonts w:asciiTheme="majorHAnsi" w:hAnsiTheme="majorHAnsi"/>
          <w:bCs/>
          <w:sz w:val="22"/>
          <w:szCs w:val="22"/>
        </w:rPr>
        <w:t>that</w:t>
      </w:r>
      <w:r w:rsidR="000F3BC6" w:rsidRPr="004B0E20">
        <w:rPr>
          <w:rFonts w:asciiTheme="majorHAnsi" w:hAnsiTheme="majorHAnsi"/>
          <w:bCs/>
          <w:sz w:val="22"/>
          <w:szCs w:val="22"/>
        </w:rPr>
        <w:t xml:space="preserve"> </w:t>
      </w:r>
      <w:r w:rsidR="0066484A" w:rsidRPr="004B0E20">
        <w:rPr>
          <w:rFonts w:asciiTheme="majorHAnsi" w:hAnsiTheme="majorHAnsi"/>
          <w:bCs/>
          <w:sz w:val="22"/>
          <w:szCs w:val="22"/>
        </w:rPr>
        <w:t xml:space="preserve">various bullets </w:t>
      </w:r>
      <w:r w:rsidR="006772F5" w:rsidRPr="004B0E20">
        <w:rPr>
          <w:rFonts w:asciiTheme="majorHAnsi" w:hAnsiTheme="majorHAnsi"/>
          <w:bCs/>
          <w:sz w:val="22"/>
          <w:szCs w:val="22"/>
        </w:rPr>
        <w:t xml:space="preserve">had </w:t>
      </w:r>
      <w:r w:rsidR="006772F5" w:rsidRPr="007321BC">
        <w:rPr>
          <w:rFonts w:asciiTheme="majorHAnsi" w:hAnsiTheme="majorHAnsi"/>
          <w:bCs/>
          <w:noProof/>
          <w:sz w:val="22"/>
          <w:szCs w:val="22"/>
        </w:rPr>
        <w:t xml:space="preserve">been </w:t>
      </w:r>
      <w:r w:rsidR="0066484A" w:rsidRPr="007321BC">
        <w:rPr>
          <w:rFonts w:asciiTheme="majorHAnsi" w:hAnsiTheme="majorHAnsi"/>
          <w:bCs/>
          <w:noProof/>
          <w:sz w:val="22"/>
          <w:szCs w:val="22"/>
        </w:rPr>
        <w:t>fired</w:t>
      </w:r>
      <w:r w:rsidR="006772F5" w:rsidRPr="004B0E20">
        <w:rPr>
          <w:rFonts w:asciiTheme="majorHAnsi" w:hAnsiTheme="majorHAnsi"/>
          <w:bCs/>
          <w:sz w:val="22"/>
          <w:szCs w:val="22"/>
        </w:rPr>
        <w:t xml:space="preserve"> at their backs and their heads; </w:t>
      </w:r>
      <w:r w:rsidR="006772F5" w:rsidRPr="007321BC">
        <w:rPr>
          <w:rFonts w:asciiTheme="majorHAnsi" w:hAnsiTheme="majorHAnsi"/>
          <w:bCs/>
          <w:noProof/>
          <w:sz w:val="22"/>
          <w:szCs w:val="22"/>
        </w:rPr>
        <w:t>this</w:t>
      </w:r>
      <w:r w:rsidR="00FF3715" w:rsidRPr="007321BC">
        <w:rPr>
          <w:rFonts w:asciiTheme="majorHAnsi" w:hAnsiTheme="majorHAnsi"/>
          <w:bCs/>
          <w:noProof/>
          <w:sz w:val="22"/>
          <w:szCs w:val="22"/>
        </w:rPr>
        <w:t xml:space="preserve"> was </w:t>
      </w:r>
      <w:r w:rsidR="003D2682" w:rsidRPr="007321BC">
        <w:rPr>
          <w:rFonts w:asciiTheme="majorHAnsi" w:hAnsiTheme="majorHAnsi"/>
          <w:bCs/>
          <w:noProof/>
          <w:sz w:val="22"/>
          <w:szCs w:val="22"/>
        </w:rPr>
        <w:t xml:space="preserve">corroborated by </w:t>
      </w:r>
      <w:r w:rsidR="006772F5" w:rsidRPr="007321BC">
        <w:rPr>
          <w:rFonts w:asciiTheme="majorHAnsi" w:hAnsiTheme="majorHAnsi"/>
          <w:bCs/>
          <w:noProof/>
          <w:sz w:val="22"/>
          <w:szCs w:val="22"/>
        </w:rPr>
        <w:t xml:space="preserve">the </w:t>
      </w:r>
      <w:r w:rsidR="00FF3715" w:rsidRPr="007321BC">
        <w:rPr>
          <w:rFonts w:asciiTheme="majorHAnsi" w:hAnsiTheme="majorHAnsi"/>
          <w:bCs/>
          <w:noProof/>
          <w:sz w:val="22"/>
          <w:szCs w:val="22"/>
        </w:rPr>
        <w:t xml:space="preserve">expert </w:t>
      </w:r>
      <w:r w:rsidR="004238FD" w:rsidRPr="007321BC">
        <w:rPr>
          <w:rFonts w:asciiTheme="majorHAnsi" w:hAnsiTheme="majorHAnsi"/>
          <w:bCs/>
          <w:noProof/>
          <w:sz w:val="22"/>
          <w:szCs w:val="22"/>
        </w:rPr>
        <w:t>post</w:t>
      </w:r>
      <w:r w:rsidR="00B20D5C" w:rsidRPr="007321BC">
        <w:rPr>
          <w:rFonts w:asciiTheme="majorHAnsi" w:hAnsiTheme="majorHAnsi"/>
          <w:bCs/>
          <w:noProof/>
          <w:sz w:val="22"/>
          <w:szCs w:val="22"/>
        </w:rPr>
        <w:t>mortem</w:t>
      </w:r>
      <w:r w:rsidR="004238FD" w:rsidRPr="007321BC">
        <w:rPr>
          <w:rFonts w:asciiTheme="majorHAnsi" w:hAnsiTheme="majorHAnsi"/>
          <w:bCs/>
          <w:noProof/>
          <w:sz w:val="22"/>
          <w:szCs w:val="22"/>
        </w:rPr>
        <w:t xml:space="preserve"> </w:t>
      </w:r>
      <w:r w:rsidR="006772F5" w:rsidRPr="007321BC">
        <w:rPr>
          <w:rFonts w:asciiTheme="majorHAnsi" w:hAnsiTheme="majorHAnsi"/>
          <w:bCs/>
          <w:noProof/>
          <w:sz w:val="22"/>
          <w:szCs w:val="22"/>
        </w:rPr>
        <w:t>analyse</w:t>
      </w:r>
      <w:r w:rsidR="00FF3715" w:rsidRPr="007321BC">
        <w:rPr>
          <w:rFonts w:asciiTheme="majorHAnsi" w:hAnsiTheme="majorHAnsi"/>
          <w:bCs/>
          <w:noProof/>
          <w:sz w:val="22"/>
          <w:szCs w:val="22"/>
        </w:rPr>
        <w:t>s</w:t>
      </w:r>
      <w:r w:rsidR="00A7502D" w:rsidRPr="004B0E20">
        <w:rPr>
          <w:rFonts w:asciiTheme="majorHAnsi" w:hAnsiTheme="majorHAnsi"/>
          <w:bCs/>
          <w:sz w:val="22"/>
          <w:szCs w:val="22"/>
        </w:rPr>
        <w:t>.</w:t>
      </w:r>
      <w:r w:rsidR="00932FE5" w:rsidRPr="004B0E20">
        <w:rPr>
          <w:rFonts w:asciiTheme="majorHAnsi" w:hAnsiTheme="majorHAnsi"/>
          <w:bCs/>
          <w:sz w:val="22"/>
          <w:szCs w:val="22"/>
        </w:rPr>
        <w:t xml:space="preserve"> </w:t>
      </w:r>
      <w:r w:rsidR="001D2651" w:rsidRPr="004B0E20">
        <w:rPr>
          <w:rFonts w:asciiTheme="majorHAnsi" w:hAnsiTheme="majorHAnsi"/>
          <w:bCs/>
          <w:sz w:val="22"/>
          <w:szCs w:val="22"/>
        </w:rPr>
        <w:t xml:space="preserve">They </w:t>
      </w:r>
      <w:r w:rsidR="003D2682" w:rsidRPr="007321BC">
        <w:rPr>
          <w:rFonts w:asciiTheme="majorHAnsi" w:hAnsiTheme="majorHAnsi"/>
          <w:bCs/>
          <w:noProof/>
          <w:sz w:val="22"/>
          <w:szCs w:val="22"/>
        </w:rPr>
        <w:t>state</w:t>
      </w:r>
      <w:r w:rsidR="003D2682"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E3586E" w:rsidRPr="004B0E20">
        <w:rPr>
          <w:rFonts w:asciiTheme="majorHAnsi" w:hAnsiTheme="majorHAnsi"/>
          <w:bCs/>
          <w:sz w:val="22"/>
          <w:szCs w:val="22"/>
        </w:rPr>
        <w:t xml:space="preserve"> </w:t>
      </w:r>
      <w:r w:rsidR="001D2651" w:rsidRPr="004B0E20">
        <w:rPr>
          <w:rFonts w:asciiTheme="majorHAnsi" w:hAnsiTheme="majorHAnsi"/>
          <w:bCs/>
          <w:sz w:val="22"/>
          <w:szCs w:val="22"/>
        </w:rPr>
        <w:t xml:space="preserve">a </w:t>
      </w:r>
      <w:r w:rsidR="003D2682" w:rsidRPr="004B0E20">
        <w:rPr>
          <w:rFonts w:asciiTheme="majorHAnsi" w:hAnsiTheme="majorHAnsi"/>
          <w:bCs/>
          <w:sz w:val="22"/>
          <w:szCs w:val="22"/>
        </w:rPr>
        <w:t xml:space="preserve">vehicle </w:t>
      </w:r>
      <w:r w:rsidR="001D2651" w:rsidRPr="004B0E20">
        <w:rPr>
          <w:rFonts w:asciiTheme="majorHAnsi" w:hAnsiTheme="majorHAnsi"/>
          <w:bCs/>
          <w:sz w:val="22"/>
          <w:szCs w:val="22"/>
        </w:rPr>
        <w:t xml:space="preserve">similar to the one used in the </w:t>
      </w:r>
      <w:r w:rsidR="00AE1A14" w:rsidRPr="004B0E20">
        <w:rPr>
          <w:rFonts w:asciiTheme="majorHAnsi" w:hAnsiTheme="majorHAnsi"/>
          <w:bCs/>
          <w:sz w:val="22"/>
          <w:szCs w:val="22"/>
        </w:rPr>
        <w:t>attack</w:t>
      </w:r>
      <w:r w:rsidR="00C009C9" w:rsidRPr="004B0E20">
        <w:rPr>
          <w:rFonts w:asciiTheme="majorHAnsi" w:hAnsiTheme="majorHAnsi"/>
          <w:bCs/>
          <w:sz w:val="22"/>
          <w:szCs w:val="22"/>
        </w:rPr>
        <w:t xml:space="preserve"> </w:t>
      </w:r>
      <w:r w:rsidR="001D2651" w:rsidRPr="007321BC">
        <w:rPr>
          <w:rFonts w:asciiTheme="majorHAnsi" w:hAnsiTheme="majorHAnsi"/>
          <w:bCs/>
          <w:noProof/>
          <w:sz w:val="22"/>
          <w:szCs w:val="22"/>
        </w:rPr>
        <w:t>was seen</w:t>
      </w:r>
      <w:r w:rsidR="001D2651" w:rsidRPr="004B0E20">
        <w:rPr>
          <w:rFonts w:asciiTheme="majorHAnsi" w:hAnsiTheme="majorHAnsi"/>
          <w:bCs/>
          <w:sz w:val="22"/>
          <w:szCs w:val="22"/>
        </w:rPr>
        <w:t xml:space="preserve"> in a </w:t>
      </w:r>
      <w:r w:rsidR="00C00579" w:rsidRPr="004B0E20">
        <w:rPr>
          <w:rFonts w:asciiTheme="majorHAnsi" w:hAnsiTheme="majorHAnsi"/>
          <w:bCs/>
          <w:sz w:val="22"/>
          <w:szCs w:val="22"/>
        </w:rPr>
        <w:t>Military Police Battalion</w:t>
      </w:r>
      <w:r w:rsidR="00C009C9" w:rsidRPr="004B0E20">
        <w:rPr>
          <w:rFonts w:asciiTheme="majorHAnsi" w:hAnsiTheme="majorHAnsi"/>
          <w:bCs/>
          <w:sz w:val="22"/>
          <w:szCs w:val="22"/>
        </w:rPr>
        <w:t xml:space="preserve">, </w:t>
      </w:r>
      <w:r w:rsidR="00C00579" w:rsidRPr="004B0E20">
        <w:rPr>
          <w:rFonts w:asciiTheme="majorHAnsi" w:hAnsiTheme="majorHAnsi"/>
          <w:bCs/>
          <w:sz w:val="22"/>
          <w:szCs w:val="22"/>
        </w:rPr>
        <w:t>but</w:t>
      </w:r>
      <w:r w:rsidR="00C009C9" w:rsidRPr="004B0E20">
        <w:rPr>
          <w:rFonts w:asciiTheme="majorHAnsi" w:hAnsiTheme="majorHAnsi"/>
          <w:bCs/>
          <w:sz w:val="22"/>
          <w:szCs w:val="22"/>
        </w:rPr>
        <w:t xml:space="preserve"> </w:t>
      </w:r>
      <w:r w:rsidR="0010462A" w:rsidRPr="004B0E20">
        <w:rPr>
          <w:rFonts w:asciiTheme="majorHAnsi" w:hAnsiTheme="majorHAnsi"/>
          <w:bCs/>
          <w:sz w:val="22"/>
          <w:szCs w:val="22"/>
        </w:rPr>
        <w:t>the</w:t>
      </w:r>
      <w:r w:rsidR="00C009C9" w:rsidRPr="004B0E20">
        <w:rPr>
          <w:rFonts w:asciiTheme="majorHAnsi" w:hAnsiTheme="majorHAnsi"/>
          <w:bCs/>
          <w:sz w:val="22"/>
          <w:szCs w:val="22"/>
        </w:rPr>
        <w:t xml:space="preserve"> </w:t>
      </w:r>
      <w:r w:rsidR="001D2651" w:rsidRPr="004B0E20">
        <w:rPr>
          <w:rFonts w:asciiTheme="majorHAnsi" w:hAnsiTheme="majorHAnsi"/>
          <w:bCs/>
          <w:sz w:val="22"/>
          <w:szCs w:val="22"/>
        </w:rPr>
        <w:t>investigation</w:t>
      </w:r>
      <w:r w:rsidR="00C009C9" w:rsidRPr="004B0E20">
        <w:rPr>
          <w:rFonts w:asciiTheme="majorHAnsi" w:hAnsiTheme="majorHAnsi"/>
          <w:bCs/>
          <w:sz w:val="22"/>
          <w:szCs w:val="22"/>
        </w:rPr>
        <w:t xml:space="preserve"> </w:t>
      </w:r>
      <w:r w:rsidR="003D2682" w:rsidRPr="004B0E20">
        <w:rPr>
          <w:rFonts w:asciiTheme="majorHAnsi" w:hAnsiTheme="majorHAnsi"/>
          <w:bCs/>
          <w:sz w:val="22"/>
          <w:szCs w:val="22"/>
        </w:rPr>
        <w:t xml:space="preserve">did not go beyond </w:t>
      </w:r>
      <w:r w:rsidR="001D2651" w:rsidRPr="004B0E20">
        <w:rPr>
          <w:rFonts w:asciiTheme="majorHAnsi" w:hAnsiTheme="majorHAnsi"/>
          <w:bCs/>
          <w:sz w:val="22"/>
          <w:szCs w:val="22"/>
        </w:rPr>
        <w:t xml:space="preserve">an exchange of </w:t>
      </w:r>
      <w:r w:rsidR="00AE1A14" w:rsidRPr="004B0E20">
        <w:rPr>
          <w:rFonts w:asciiTheme="majorHAnsi" w:hAnsiTheme="majorHAnsi"/>
          <w:bCs/>
          <w:sz w:val="22"/>
          <w:szCs w:val="22"/>
        </w:rPr>
        <w:t xml:space="preserve">letters on the matter </w:t>
      </w:r>
      <w:r w:rsidR="001D2651" w:rsidRPr="004B0E20">
        <w:rPr>
          <w:rFonts w:asciiTheme="majorHAnsi" w:hAnsiTheme="majorHAnsi"/>
          <w:bCs/>
          <w:sz w:val="22"/>
          <w:szCs w:val="22"/>
        </w:rPr>
        <w:t xml:space="preserve">with the </w:t>
      </w:r>
      <w:r w:rsidR="00AE1A14" w:rsidRPr="004B0E20">
        <w:rPr>
          <w:rFonts w:asciiTheme="majorHAnsi" w:hAnsiTheme="majorHAnsi"/>
          <w:bCs/>
          <w:sz w:val="22"/>
          <w:szCs w:val="22"/>
        </w:rPr>
        <w:t xml:space="preserve">corps command </w:t>
      </w:r>
      <w:r w:rsidR="00065A3F" w:rsidRPr="004B0E20">
        <w:rPr>
          <w:rFonts w:asciiTheme="majorHAnsi" w:hAnsiTheme="majorHAnsi"/>
          <w:bCs/>
          <w:sz w:val="22"/>
          <w:szCs w:val="22"/>
        </w:rPr>
        <w:t>and</w:t>
      </w:r>
      <w:r w:rsidR="00F36B65" w:rsidRPr="004B0E20">
        <w:rPr>
          <w:rFonts w:asciiTheme="majorHAnsi" w:hAnsiTheme="majorHAnsi"/>
          <w:bCs/>
          <w:sz w:val="22"/>
          <w:szCs w:val="22"/>
        </w:rPr>
        <w:t xml:space="preserve">, </w:t>
      </w:r>
      <w:r w:rsidR="00F92D3F" w:rsidRPr="004B0E20">
        <w:rPr>
          <w:rFonts w:asciiTheme="majorHAnsi" w:hAnsiTheme="majorHAnsi"/>
          <w:bCs/>
          <w:sz w:val="22"/>
          <w:szCs w:val="22"/>
        </w:rPr>
        <w:t xml:space="preserve">although the vehicle </w:t>
      </w:r>
      <w:r w:rsidR="00F92D3F" w:rsidRPr="007321BC">
        <w:rPr>
          <w:rFonts w:asciiTheme="majorHAnsi" w:hAnsiTheme="majorHAnsi"/>
          <w:bCs/>
          <w:noProof/>
          <w:sz w:val="22"/>
          <w:szCs w:val="22"/>
        </w:rPr>
        <w:t>was recognized</w:t>
      </w:r>
      <w:r w:rsidR="00F92D3F" w:rsidRPr="004B0E20">
        <w:rPr>
          <w:rFonts w:asciiTheme="majorHAnsi" w:hAnsiTheme="majorHAnsi"/>
          <w:bCs/>
          <w:sz w:val="22"/>
          <w:szCs w:val="22"/>
        </w:rPr>
        <w:t xml:space="preserve"> as </w:t>
      </w:r>
      <w:r w:rsidR="00AE1A14" w:rsidRPr="004B0E20">
        <w:rPr>
          <w:rFonts w:asciiTheme="majorHAnsi" w:hAnsiTheme="majorHAnsi"/>
          <w:bCs/>
          <w:sz w:val="22"/>
          <w:szCs w:val="22"/>
        </w:rPr>
        <w:t xml:space="preserve">Military Police property, no expert analysis </w:t>
      </w:r>
      <w:r w:rsidRPr="004B0E20">
        <w:rPr>
          <w:rFonts w:asciiTheme="majorHAnsi" w:hAnsiTheme="majorHAnsi"/>
          <w:bCs/>
          <w:sz w:val="22"/>
          <w:szCs w:val="22"/>
        </w:rPr>
        <w:t>or</w:t>
      </w:r>
      <w:r w:rsidR="00013A8E" w:rsidRPr="004B0E20">
        <w:rPr>
          <w:rFonts w:asciiTheme="majorHAnsi" w:hAnsiTheme="majorHAnsi"/>
          <w:bCs/>
          <w:sz w:val="22"/>
          <w:szCs w:val="22"/>
        </w:rPr>
        <w:t xml:space="preserve"> </w:t>
      </w:r>
      <w:r w:rsidR="00AE1A14" w:rsidRPr="004B0E20">
        <w:rPr>
          <w:rFonts w:asciiTheme="majorHAnsi" w:hAnsiTheme="majorHAnsi"/>
          <w:bCs/>
          <w:sz w:val="22"/>
          <w:szCs w:val="22"/>
        </w:rPr>
        <w:t xml:space="preserve">further </w:t>
      </w:r>
      <w:r w:rsidR="001D2651" w:rsidRPr="004B0E20">
        <w:rPr>
          <w:rFonts w:asciiTheme="majorHAnsi" w:hAnsiTheme="majorHAnsi"/>
          <w:bCs/>
          <w:sz w:val="22"/>
          <w:szCs w:val="22"/>
        </w:rPr>
        <w:t>investigation</w:t>
      </w:r>
      <w:r w:rsidR="00013A8E" w:rsidRPr="004B0E20">
        <w:rPr>
          <w:rFonts w:asciiTheme="majorHAnsi" w:hAnsiTheme="majorHAnsi"/>
          <w:bCs/>
          <w:sz w:val="22"/>
          <w:szCs w:val="22"/>
        </w:rPr>
        <w:t xml:space="preserve"> </w:t>
      </w:r>
      <w:r w:rsidR="00AE1A14" w:rsidRPr="004B0E20">
        <w:rPr>
          <w:rFonts w:asciiTheme="majorHAnsi" w:hAnsiTheme="majorHAnsi"/>
          <w:bCs/>
          <w:sz w:val="22"/>
          <w:szCs w:val="22"/>
        </w:rPr>
        <w:t>was conducted</w:t>
      </w:r>
      <w:r w:rsidR="00F36B65" w:rsidRPr="004B0E20">
        <w:rPr>
          <w:rFonts w:asciiTheme="majorHAnsi" w:hAnsiTheme="majorHAnsi"/>
          <w:bCs/>
          <w:sz w:val="22"/>
          <w:szCs w:val="22"/>
        </w:rPr>
        <w:t>.</w:t>
      </w:r>
    </w:p>
    <w:p w:rsidR="00932FE5" w:rsidRPr="004B0E20" w:rsidRDefault="0010462A"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bCs/>
          <w:sz w:val="22"/>
          <w:szCs w:val="22"/>
        </w:rPr>
        <w:t>They state</w:t>
      </w:r>
      <w:r w:rsidR="00932FE5"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932FE5" w:rsidRPr="004B0E20">
        <w:rPr>
          <w:rFonts w:asciiTheme="majorHAnsi" w:hAnsiTheme="majorHAnsi"/>
          <w:bCs/>
          <w:sz w:val="22"/>
          <w:szCs w:val="22"/>
        </w:rPr>
        <w:t xml:space="preserve"> </w:t>
      </w:r>
      <w:r w:rsidR="00AE1A14" w:rsidRPr="004B0E20">
        <w:rPr>
          <w:rFonts w:asciiTheme="majorHAnsi" w:hAnsiTheme="majorHAnsi"/>
          <w:bCs/>
          <w:sz w:val="22"/>
          <w:szCs w:val="22"/>
        </w:rPr>
        <w:t xml:space="preserve">on the day </w:t>
      </w:r>
      <w:r w:rsidR="00065A3F" w:rsidRPr="004B0E20">
        <w:rPr>
          <w:rFonts w:asciiTheme="majorHAnsi" w:hAnsiTheme="majorHAnsi"/>
          <w:bCs/>
          <w:sz w:val="22"/>
          <w:szCs w:val="22"/>
        </w:rPr>
        <w:t>of the</w:t>
      </w:r>
      <w:r w:rsidR="00932FE5" w:rsidRPr="004B0E20">
        <w:rPr>
          <w:rFonts w:asciiTheme="majorHAnsi" w:hAnsiTheme="majorHAnsi"/>
          <w:bCs/>
          <w:sz w:val="22"/>
          <w:szCs w:val="22"/>
        </w:rPr>
        <w:t xml:space="preserve"> </w:t>
      </w:r>
      <w:r w:rsidR="00AE1A14" w:rsidRPr="004B0E20">
        <w:rPr>
          <w:rFonts w:asciiTheme="majorHAnsi" w:hAnsiTheme="majorHAnsi"/>
          <w:bCs/>
          <w:sz w:val="22"/>
          <w:szCs w:val="22"/>
        </w:rPr>
        <w:t xml:space="preserve">events, other shootings </w:t>
      </w:r>
      <w:r w:rsidR="00F92D3F" w:rsidRPr="004B0E20">
        <w:rPr>
          <w:rFonts w:asciiTheme="majorHAnsi" w:hAnsiTheme="majorHAnsi"/>
          <w:bCs/>
          <w:sz w:val="22"/>
          <w:szCs w:val="22"/>
        </w:rPr>
        <w:t xml:space="preserve">with firearms had </w:t>
      </w:r>
      <w:r w:rsidR="00AE1A14" w:rsidRPr="004B0E20">
        <w:rPr>
          <w:rFonts w:asciiTheme="majorHAnsi" w:hAnsiTheme="majorHAnsi"/>
          <w:bCs/>
          <w:sz w:val="22"/>
          <w:szCs w:val="22"/>
        </w:rPr>
        <w:t xml:space="preserve">occurred, </w:t>
      </w:r>
      <w:r w:rsidR="00F92D3F" w:rsidRPr="004B0E20">
        <w:rPr>
          <w:rFonts w:asciiTheme="majorHAnsi" w:hAnsiTheme="majorHAnsi"/>
          <w:bCs/>
          <w:sz w:val="22"/>
          <w:szCs w:val="22"/>
        </w:rPr>
        <w:t xml:space="preserve">leaving </w:t>
      </w:r>
      <w:r w:rsidR="00964EBA" w:rsidRPr="004B0E20">
        <w:rPr>
          <w:rFonts w:asciiTheme="majorHAnsi" w:hAnsiTheme="majorHAnsi"/>
          <w:bCs/>
          <w:sz w:val="22"/>
          <w:szCs w:val="22"/>
        </w:rPr>
        <w:t xml:space="preserve">29 </w:t>
      </w:r>
      <w:r w:rsidR="00890DB9" w:rsidRPr="004B0E20">
        <w:rPr>
          <w:rFonts w:asciiTheme="majorHAnsi" w:hAnsiTheme="majorHAnsi"/>
          <w:bCs/>
          <w:sz w:val="22"/>
          <w:szCs w:val="22"/>
        </w:rPr>
        <w:t>wounded</w:t>
      </w:r>
      <w:r w:rsidR="00964EBA"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964EBA" w:rsidRPr="004B0E20">
        <w:rPr>
          <w:rFonts w:asciiTheme="majorHAnsi" w:hAnsiTheme="majorHAnsi"/>
          <w:bCs/>
          <w:sz w:val="22"/>
          <w:szCs w:val="22"/>
        </w:rPr>
        <w:t xml:space="preserve"> 115 </w:t>
      </w:r>
      <w:r w:rsidR="00AE1A14" w:rsidRPr="004B0E20">
        <w:rPr>
          <w:rFonts w:asciiTheme="majorHAnsi" w:hAnsiTheme="majorHAnsi"/>
          <w:bCs/>
          <w:sz w:val="22"/>
          <w:szCs w:val="22"/>
        </w:rPr>
        <w:t>dead,</w:t>
      </w:r>
      <w:r w:rsidR="00964EBA" w:rsidRPr="004B0E20">
        <w:rPr>
          <w:rFonts w:asciiTheme="majorHAnsi" w:hAnsiTheme="majorHAnsi"/>
          <w:bCs/>
          <w:sz w:val="22"/>
          <w:szCs w:val="22"/>
        </w:rPr>
        <w:t xml:space="preserve"> </w:t>
      </w:r>
      <w:r w:rsidR="00FC5D49" w:rsidRPr="004B0E20">
        <w:rPr>
          <w:rFonts w:asciiTheme="majorHAnsi" w:hAnsiTheme="majorHAnsi"/>
          <w:bCs/>
          <w:sz w:val="22"/>
          <w:szCs w:val="22"/>
        </w:rPr>
        <w:t xml:space="preserve">but </w:t>
      </w:r>
      <w:r w:rsidR="00AE1A14" w:rsidRPr="004B0E20">
        <w:rPr>
          <w:rFonts w:asciiTheme="majorHAnsi" w:hAnsiTheme="majorHAnsi"/>
          <w:bCs/>
          <w:sz w:val="22"/>
          <w:szCs w:val="22"/>
        </w:rPr>
        <w:t xml:space="preserve">this </w:t>
      </w:r>
      <w:r w:rsidR="00F92D3F" w:rsidRPr="004B0E20">
        <w:rPr>
          <w:rFonts w:asciiTheme="majorHAnsi" w:hAnsiTheme="majorHAnsi"/>
          <w:bCs/>
          <w:sz w:val="22"/>
          <w:szCs w:val="22"/>
        </w:rPr>
        <w:t xml:space="preserve">circumstance </w:t>
      </w:r>
      <w:r w:rsidR="00AE1A14" w:rsidRPr="007321BC">
        <w:rPr>
          <w:rFonts w:asciiTheme="majorHAnsi" w:hAnsiTheme="majorHAnsi"/>
          <w:bCs/>
          <w:noProof/>
          <w:sz w:val="22"/>
          <w:szCs w:val="22"/>
        </w:rPr>
        <w:t>was not mentioned</w:t>
      </w:r>
      <w:r w:rsidR="00AE1A14" w:rsidRPr="004B0E20">
        <w:rPr>
          <w:rFonts w:asciiTheme="majorHAnsi" w:hAnsiTheme="majorHAnsi"/>
          <w:bCs/>
          <w:sz w:val="22"/>
          <w:szCs w:val="22"/>
        </w:rPr>
        <w:t xml:space="preserve"> in the</w:t>
      </w:r>
      <w:r w:rsidR="00964EBA" w:rsidRPr="004B0E20">
        <w:rPr>
          <w:rFonts w:asciiTheme="majorHAnsi" w:hAnsiTheme="majorHAnsi"/>
          <w:bCs/>
          <w:sz w:val="22"/>
          <w:szCs w:val="22"/>
        </w:rPr>
        <w:t xml:space="preserve"> </w:t>
      </w:r>
      <w:r w:rsidR="00AE1A14" w:rsidRPr="004B0E20">
        <w:rPr>
          <w:rFonts w:asciiTheme="majorHAnsi" w:hAnsiTheme="majorHAnsi"/>
          <w:bCs/>
          <w:sz w:val="22"/>
          <w:szCs w:val="22"/>
        </w:rPr>
        <w:t>investigations</w:t>
      </w:r>
      <w:r w:rsidR="007321BC">
        <w:rPr>
          <w:rFonts w:asciiTheme="majorHAnsi" w:hAnsiTheme="majorHAnsi"/>
          <w:bCs/>
          <w:sz w:val="22"/>
          <w:szCs w:val="22"/>
        </w:rPr>
        <w:t>,</w:t>
      </w:r>
      <w:r w:rsidR="00964EBA" w:rsidRPr="004B0E20">
        <w:rPr>
          <w:rFonts w:asciiTheme="majorHAnsi" w:hAnsiTheme="majorHAnsi"/>
          <w:bCs/>
          <w:sz w:val="22"/>
          <w:szCs w:val="22"/>
        </w:rPr>
        <w:t xml:space="preserve"> </w:t>
      </w:r>
      <w:r w:rsidR="00AE1A14" w:rsidRPr="007321BC">
        <w:rPr>
          <w:rFonts w:asciiTheme="majorHAnsi" w:hAnsiTheme="majorHAnsi"/>
          <w:bCs/>
          <w:noProof/>
          <w:sz w:val="22"/>
          <w:szCs w:val="22"/>
        </w:rPr>
        <w:t>and</w:t>
      </w:r>
      <w:r w:rsidR="00AE1A14" w:rsidRPr="004B0E20">
        <w:rPr>
          <w:rFonts w:asciiTheme="majorHAnsi" w:hAnsiTheme="majorHAnsi"/>
          <w:bCs/>
          <w:sz w:val="22"/>
          <w:szCs w:val="22"/>
        </w:rPr>
        <w:t xml:space="preserve"> no attempt was made to connect or compare the </w:t>
      </w:r>
      <w:r w:rsidR="00F92D3F" w:rsidRPr="004B0E20">
        <w:rPr>
          <w:rFonts w:asciiTheme="majorHAnsi" w:hAnsiTheme="majorHAnsi"/>
          <w:bCs/>
          <w:sz w:val="22"/>
          <w:szCs w:val="22"/>
        </w:rPr>
        <w:t xml:space="preserve">assaults </w:t>
      </w:r>
      <w:r w:rsidR="00AE1A14" w:rsidRPr="004B0E20">
        <w:rPr>
          <w:rFonts w:asciiTheme="majorHAnsi" w:hAnsiTheme="majorHAnsi"/>
          <w:bCs/>
          <w:sz w:val="22"/>
          <w:szCs w:val="22"/>
        </w:rPr>
        <w:t xml:space="preserve">on the </w:t>
      </w:r>
      <w:r w:rsidR="00AB47B1" w:rsidRPr="004B0E20">
        <w:rPr>
          <w:rFonts w:asciiTheme="majorHAnsi" w:hAnsiTheme="majorHAnsi"/>
          <w:bCs/>
          <w:sz w:val="22"/>
          <w:szCs w:val="22"/>
        </w:rPr>
        <w:t>alleged victims</w:t>
      </w:r>
      <w:r w:rsidR="00964EBA" w:rsidRPr="004B0E20">
        <w:rPr>
          <w:rFonts w:asciiTheme="majorHAnsi" w:hAnsiTheme="majorHAnsi"/>
          <w:bCs/>
          <w:sz w:val="22"/>
          <w:szCs w:val="22"/>
        </w:rPr>
        <w:t xml:space="preserve"> </w:t>
      </w:r>
      <w:r w:rsidR="00AE1A14" w:rsidRPr="004B0E20">
        <w:rPr>
          <w:rFonts w:asciiTheme="majorHAnsi" w:hAnsiTheme="majorHAnsi"/>
          <w:bCs/>
          <w:sz w:val="22"/>
          <w:szCs w:val="22"/>
        </w:rPr>
        <w:t>with the other shootings</w:t>
      </w:r>
      <w:r w:rsidR="00964EBA" w:rsidRPr="004B0E20">
        <w:rPr>
          <w:rFonts w:asciiTheme="majorHAnsi" w:hAnsiTheme="majorHAnsi"/>
          <w:bCs/>
          <w:sz w:val="22"/>
          <w:szCs w:val="22"/>
        </w:rPr>
        <w:t xml:space="preserve">. </w:t>
      </w:r>
      <w:r w:rsidR="00AB47B1" w:rsidRPr="004B0E20">
        <w:rPr>
          <w:rFonts w:asciiTheme="majorHAnsi" w:hAnsiTheme="majorHAnsi"/>
          <w:bCs/>
          <w:sz w:val="22"/>
          <w:szCs w:val="22"/>
        </w:rPr>
        <w:t>The petitioners</w:t>
      </w:r>
      <w:r w:rsidR="00013A8E" w:rsidRPr="004B0E20">
        <w:rPr>
          <w:rFonts w:asciiTheme="majorHAnsi" w:hAnsiTheme="majorHAnsi"/>
          <w:bCs/>
          <w:sz w:val="22"/>
          <w:szCs w:val="22"/>
        </w:rPr>
        <w:t xml:space="preserve"> </w:t>
      </w:r>
      <w:r w:rsidR="00AE1A14" w:rsidRPr="004B0E20">
        <w:rPr>
          <w:rFonts w:asciiTheme="majorHAnsi" w:hAnsiTheme="majorHAnsi"/>
          <w:bCs/>
          <w:sz w:val="22"/>
          <w:szCs w:val="22"/>
        </w:rPr>
        <w:t>stress</w:t>
      </w:r>
      <w:r w:rsidR="00013A8E" w:rsidRPr="004B0E20">
        <w:rPr>
          <w:rFonts w:asciiTheme="majorHAnsi" w:hAnsiTheme="majorHAnsi"/>
          <w:bCs/>
          <w:sz w:val="22"/>
          <w:szCs w:val="22"/>
        </w:rPr>
        <w:t xml:space="preserve"> </w:t>
      </w:r>
      <w:r w:rsidR="00100EE6" w:rsidRPr="004B0E20">
        <w:rPr>
          <w:rFonts w:asciiTheme="majorHAnsi" w:hAnsiTheme="majorHAnsi"/>
          <w:bCs/>
          <w:sz w:val="22"/>
          <w:szCs w:val="22"/>
        </w:rPr>
        <w:t>that</w:t>
      </w:r>
      <w:r w:rsidR="00AE1A14" w:rsidRPr="004B0E20">
        <w:rPr>
          <w:rFonts w:asciiTheme="majorHAnsi" w:hAnsiTheme="majorHAnsi"/>
          <w:bCs/>
          <w:sz w:val="22"/>
          <w:szCs w:val="22"/>
        </w:rPr>
        <w:t>,</w:t>
      </w:r>
      <w:r w:rsidR="00013A8E" w:rsidRPr="004B0E20">
        <w:rPr>
          <w:rFonts w:asciiTheme="majorHAnsi" w:hAnsiTheme="majorHAnsi"/>
          <w:bCs/>
          <w:sz w:val="22"/>
          <w:szCs w:val="22"/>
        </w:rPr>
        <w:t xml:space="preserve"> </w:t>
      </w:r>
      <w:r w:rsidR="00AE1A14" w:rsidRPr="004B0E20">
        <w:rPr>
          <w:rFonts w:asciiTheme="majorHAnsi" w:hAnsiTheme="majorHAnsi"/>
          <w:bCs/>
          <w:sz w:val="22"/>
          <w:szCs w:val="22"/>
        </w:rPr>
        <w:t>after</w:t>
      </w:r>
      <w:r w:rsidR="00013A8E" w:rsidRPr="004B0E20">
        <w:rPr>
          <w:rFonts w:asciiTheme="majorHAnsi" w:hAnsiTheme="majorHAnsi"/>
          <w:bCs/>
          <w:sz w:val="22"/>
          <w:szCs w:val="22"/>
        </w:rPr>
        <w:t xml:space="preserve"> </w:t>
      </w:r>
      <w:r w:rsidR="00AE1A14" w:rsidRPr="004B0E20">
        <w:rPr>
          <w:rFonts w:asciiTheme="majorHAnsi" w:hAnsiTheme="majorHAnsi"/>
          <w:bCs/>
          <w:sz w:val="22"/>
          <w:szCs w:val="22"/>
        </w:rPr>
        <w:t xml:space="preserve">the </w:t>
      </w:r>
      <w:r w:rsidR="00F92D3F" w:rsidRPr="004B0E20">
        <w:rPr>
          <w:rFonts w:asciiTheme="majorHAnsi" w:hAnsiTheme="majorHAnsi"/>
          <w:bCs/>
          <w:sz w:val="22"/>
          <w:szCs w:val="22"/>
        </w:rPr>
        <w:t xml:space="preserve">PCC </w:t>
      </w:r>
      <w:r w:rsidR="00AE1A14" w:rsidRPr="004B0E20">
        <w:rPr>
          <w:rFonts w:asciiTheme="majorHAnsi" w:hAnsiTheme="majorHAnsi"/>
          <w:bCs/>
          <w:sz w:val="22"/>
          <w:szCs w:val="22"/>
        </w:rPr>
        <w:t>attack</w:t>
      </w:r>
      <w:r w:rsidR="00013A8E" w:rsidRPr="004B0E20">
        <w:rPr>
          <w:rFonts w:asciiTheme="majorHAnsi" w:hAnsiTheme="majorHAnsi"/>
          <w:bCs/>
          <w:sz w:val="22"/>
          <w:szCs w:val="22"/>
        </w:rPr>
        <w:t xml:space="preserve">s, </w:t>
      </w:r>
      <w:r w:rsidR="00AE1A14" w:rsidRPr="004B0E20">
        <w:rPr>
          <w:rFonts w:asciiTheme="majorHAnsi" w:hAnsiTheme="majorHAnsi"/>
          <w:bCs/>
          <w:sz w:val="22"/>
          <w:szCs w:val="22"/>
        </w:rPr>
        <w:t xml:space="preserve">the </w:t>
      </w:r>
      <w:r w:rsidR="00B20D5C" w:rsidRPr="004B0E20">
        <w:rPr>
          <w:rFonts w:asciiTheme="majorHAnsi" w:hAnsiTheme="majorHAnsi"/>
          <w:bCs/>
          <w:sz w:val="22"/>
          <w:szCs w:val="22"/>
        </w:rPr>
        <w:t xml:space="preserve">roles </w:t>
      </w:r>
      <w:r w:rsidR="00890DB9" w:rsidRPr="007321BC">
        <w:rPr>
          <w:rFonts w:asciiTheme="majorHAnsi" w:hAnsiTheme="majorHAnsi"/>
          <w:bCs/>
          <w:noProof/>
          <w:sz w:val="22"/>
          <w:szCs w:val="22"/>
        </w:rPr>
        <w:t>were</w:t>
      </w:r>
      <w:r w:rsidR="00013A8E" w:rsidRPr="007321BC">
        <w:rPr>
          <w:rFonts w:asciiTheme="majorHAnsi" w:hAnsiTheme="majorHAnsi"/>
          <w:bCs/>
          <w:noProof/>
          <w:sz w:val="22"/>
          <w:szCs w:val="22"/>
        </w:rPr>
        <w:t xml:space="preserve"> </w:t>
      </w:r>
      <w:r w:rsidR="00B20D5C" w:rsidRPr="007321BC">
        <w:rPr>
          <w:rFonts w:asciiTheme="majorHAnsi" w:hAnsiTheme="majorHAnsi"/>
          <w:bCs/>
          <w:noProof/>
          <w:sz w:val="22"/>
          <w:szCs w:val="22"/>
        </w:rPr>
        <w:t>reversed</w:t>
      </w:r>
      <w:r w:rsidR="00B20D5C" w:rsidRPr="004B0E20">
        <w:rPr>
          <w:rFonts w:asciiTheme="majorHAnsi" w:hAnsiTheme="majorHAnsi"/>
          <w:bCs/>
          <w:sz w:val="22"/>
          <w:szCs w:val="22"/>
        </w:rPr>
        <w:t xml:space="preserve"> </w:t>
      </w:r>
      <w:r w:rsidR="00065A3F" w:rsidRPr="004B0E20">
        <w:rPr>
          <w:rFonts w:asciiTheme="majorHAnsi" w:hAnsiTheme="majorHAnsi"/>
          <w:bCs/>
          <w:sz w:val="22"/>
          <w:szCs w:val="22"/>
        </w:rPr>
        <w:t>and</w:t>
      </w:r>
      <w:r w:rsidR="00013A8E" w:rsidRPr="004B0E20">
        <w:rPr>
          <w:rFonts w:asciiTheme="majorHAnsi" w:hAnsiTheme="majorHAnsi"/>
          <w:bCs/>
          <w:sz w:val="22"/>
          <w:szCs w:val="22"/>
        </w:rPr>
        <w:t xml:space="preserve"> </w:t>
      </w:r>
      <w:r w:rsidRPr="004B0E20">
        <w:rPr>
          <w:rFonts w:asciiTheme="majorHAnsi" w:hAnsiTheme="majorHAnsi"/>
          <w:bCs/>
          <w:sz w:val="22"/>
          <w:szCs w:val="22"/>
        </w:rPr>
        <w:t>the</w:t>
      </w:r>
      <w:r w:rsidR="00013A8E" w:rsidRPr="004B0E20">
        <w:rPr>
          <w:rFonts w:asciiTheme="majorHAnsi" w:hAnsiTheme="majorHAnsi"/>
          <w:bCs/>
          <w:sz w:val="22"/>
          <w:szCs w:val="22"/>
        </w:rPr>
        <w:t xml:space="preserve"> </w:t>
      </w:r>
      <w:r w:rsidR="00975F59" w:rsidRPr="004B0E20">
        <w:rPr>
          <w:rFonts w:asciiTheme="majorHAnsi" w:hAnsiTheme="majorHAnsi"/>
          <w:bCs/>
          <w:sz w:val="22"/>
          <w:szCs w:val="22"/>
        </w:rPr>
        <w:t>police</w:t>
      </w:r>
      <w:r w:rsidR="00013A8E" w:rsidRPr="004B0E20">
        <w:rPr>
          <w:rFonts w:asciiTheme="majorHAnsi" w:hAnsiTheme="majorHAnsi"/>
          <w:bCs/>
          <w:sz w:val="22"/>
          <w:szCs w:val="22"/>
        </w:rPr>
        <w:t xml:space="preserve"> </w:t>
      </w:r>
      <w:r w:rsidR="00EB1A2F" w:rsidRPr="004B0E20">
        <w:rPr>
          <w:rFonts w:asciiTheme="majorHAnsi" w:hAnsiTheme="majorHAnsi"/>
          <w:bCs/>
          <w:sz w:val="22"/>
          <w:szCs w:val="22"/>
        </w:rPr>
        <w:t xml:space="preserve">proceeded </w:t>
      </w:r>
      <w:r w:rsidR="00FC5D49" w:rsidRPr="007321BC">
        <w:rPr>
          <w:rFonts w:asciiTheme="majorHAnsi" w:hAnsiTheme="majorHAnsi"/>
          <w:bCs/>
          <w:noProof/>
          <w:sz w:val="22"/>
          <w:szCs w:val="22"/>
        </w:rPr>
        <w:t xml:space="preserve">to </w:t>
      </w:r>
      <w:r w:rsidR="00EB1A2F" w:rsidRPr="007321BC">
        <w:rPr>
          <w:rFonts w:asciiTheme="majorHAnsi" w:hAnsiTheme="majorHAnsi"/>
          <w:bCs/>
          <w:noProof/>
          <w:sz w:val="22"/>
          <w:szCs w:val="22"/>
        </w:rPr>
        <w:t>summar</w:t>
      </w:r>
      <w:r w:rsidR="00FC5D49" w:rsidRPr="007321BC">
        <w:rPr>
          <w:rFonts w:asciiTheme="majorHAnsi" w:hAnsiTheme="majorHAnsi"/>
          <w:bCs/>
          <w:noProof/>
          <w:sz w:val="22"/>
          <w:szCs w:val="22"/>
        </w:rPr>
        <w:t>il</w:t>
      </w:r>
      <w:r w:rsidR="00EB1A2F" w:rsidRPr="007321BC">
        <w:rPr>
          <w:rFonts w:asciiTheme="majorHAnsi" w:hAnsiTheme="majorHAnsi"/>
          <w:bCs/>
          <w:noProof/>
          <w:sz w:val="22"/>
          <w:szCs w:val="22"/>
        </w:rPr>
        <w:t>y execut</w:t>
      </w:r>
      <w:r w:rsidR="00FC5D49" w:rsidRPr="007321BC">
        <w:rPr>
          <w:rFonts w:asciiTheme="majorHAnsi" w:hAnsiTheme="majorHAnsi"/>
          <w:bCs/>
          <w:noProof/>
          <w:sz w:val="22"/>
          <w:szCs w:val="22"/>
        </w:rPr>
        <w:t>e</w:t>
      </w:r>
      <w:r w:rsidR="00EB1A2F" w:rsidRPr="007321BC">
        <w:rPr>
          <w:rFonts w:asciiTheme="majorHAnsi" w:hAnsiTheme="majorHAnsi"/>
          <w:bCs/>
          <w:noProof/>
          <w:sz w:val="22"/>
          <w:szCs w:val="22"/>
        </w:rPr>
        <w:t xml:space="preserve"> </w:t>
      </w:r>
      <w:r w:rsidR="00F92D3F" w:rsidRPr="007321BC">
        <w:rPr>
          <w:rFonts w:asciiTheme="majorHAnsi" w:hAnsiTheme="majorHAnsi"/>
          <w:bCs/>
          <w:noProof/>
          <w:sz w:val="22"/>
          <w:szCs w:val="22"/>
        </w:rPr>
        <w:t xml:space="preserve">supposed </w:t>
      </w:r>
      <w:r w:rsidR="00EB1A2F" w:rsidRPr="007321BC">
        <w:rPr>
          <w:rFonts w:asciiTheme="majorHAnsi" w:hAnsiTheme="majorHAnsi"/>
          <w:bCs/>
          <w:noProof/>
          <w:sz w:val="22"/>
          <w:szCs w:val="22"/>
        </w:rPr>
        <w:t>member</w:t>
      </w:r>
      <w:r w:rsidR="00013A8E" w:rsidRPr="007321BC">
        <w:rPr>
          <w:rFonts w:asciiTheme="majorHAnsi" w:hAnsiTheme="majorHAnsi"/>
          <w:bCs/>
          <w:noProof/>
          <w:sz w:val="22"/>
          <w:szCs w:val="22"/>
        </w:rPr>
        <w:t xml:space="preserve">s </w:t>
      </w:r>
      <w:r w:rsidR="00065A3F" w:rsidRPr="007321BC">
        <w:rPr>
          <w:rFonts w:asciiTheme="majorHAnsi" w:hAnsiTheme="majorHAnsi"/>
          <w:bCs/>
          <w:noProof/>
          <w:sz w:val="22"/>
          <w:szCs w:val="22"/>
        </w:rPr>
        <w:t>of th</w:t>
      </w:r>
      <w:r w:rsidR="00F92D3F" w:rsidRPr="007321BC">
        <w:rPr>
          <w:rFonts w:asciiTheme="majorHAnsi" w:hAnsiTheme="majorHAnsi"/>
          <w:bCs/>
          <w:noProof/>
          <w:sz w:val="22"/>
          <w:szCs w:val="22"/>
        </w:rPr>
        <w:t>at</w:t>
      </w:r>
      <w:r w:rsidR="00013A8E" w:rsidRPr="007321BC">
        <w:rPr>
          <w:rFonts w:asciiTheme="majorHAnsi" w:hAnsiTheme="majorHAnsi"/>
          <w:bCs/>
          <w:noProof/>
          <w:sz w:val="22"/>
          <w:szCs w:val="22"/>
        </w:rPr>
        <w:t xml:space="preserve"> </w:t>
      </w:r>
      <w:r w:rsidR="00EB1A2F" w:rsidRPr="007321BC">
        <w:rPr>
          <w:rFonts w:asciiTheme="majorHAnsi" w:hAnsiTheme="majorHAnsi"/>
          <w:bCs/>
          <w:noProof/>
          <w:sz w:val="22"/>
          <w:szCs w:val="22"/>
        </w:rPr>
        <w:t>organization</w:t>
      </w:r>
      <w:r w:rsidR="00013A8E" w:rsidRPr="004B0E20">
        <w:rPr>
          <w:rFonts w:asciiTheme="majorHAnsi" w:hAnsiTheme="majorHAnsi"/>
          <w:bCs/>
          <w:sz w:val="22"/>
          <w:szCs w:val="22"/>
        </w:rPr>
        <w:t xml:space="preserve">. </w:t>
      </w:r>
      <w:r w:rsidR="00F92D3F" w:rsidRPr="004B0E20">
        <w:rPr>
          <w:rFonts w:asciiTheme="majorHAnsi" w:hAnsiTheme="majorHAnsi"/>
          <w:bCs/>
          <w:sz w:val="22"/>
          <w:szCs w:val="22"/>
        </w:rPr>
        <w:t xml:space="preserve">Not until </w:t>
      </w:r>
      <w:r w:rsidR="00633D18" w:rsidRPr="004B0E20">
        <w:rPr>
          <w:rFonts w:asciiTheme="majorHAnsi" w:hAnsiTheme="majorHAnsi"/>
          <w:bCs/>
          <w:sz w:val="22"/>
          <w:szCs w:val="22"/>
        </w:rPr>
        <w:t>November</w:t>
      </w:r>
      <w:r w:rsidR="00964EBA" w:rsidRPr="004B0E20">
        <w:rPr>
          <w:rFonts w:asciiTheme="majorHAnsi" w:hAnsiTheme="majorHAnsi"/>
          <w:bCs/>
          <w:sz w:val="22"/>
          <w:szCs w:val="22"/>
        </w:rPr>
        <w:t xml:space="preserve"> 2007 </w:t>
      </w:r>
      <w:r w:rsidR="00890DB9" w:rsidRPr="004B0E20">
        <w:rPr>
          <w:rFonts w:asciiTheme="majorHAnsi" w:hAnsiTheme="majorHAnsi"/>
          <w:bCs/>
          <w:sz w:val="22"/>
          <w:szCs w:val="22"/>
        </w:rPr>
        <w:t>were</w:t>
      </w:r>
      <w:r w:rsidR="00964EBA" w:rsidRPr="004B0E20">
        <w:rPr>
          <w:rFonts w:asciiTheme="majorHAnsi" w:hAnsiTheme="majorHAnsi"/>
          <w:bCs/>
          <w:sz w:val="22"/>
          <w:szCs w:val="22"/>
        </w:rPr>
        <w:t xml:space="preserve"> </w:t>
      </w:r>
      <w:r w:rsidR="00EB1A2F" w:rsidRPr="004B0E20">
        <w:rPr>
          <w:rFonts w:asciiTheme="majorHAnsi" w:hAnsiTheme="majorHAnsi"/>
          <w:bCs/>
          <w:sz w:val="22"/>
          <w:szCs w:val="22"/>
        </w:rPr>
        <w:t>the mothers of the fatally shot victims</w:t>
      </w:r>
      <w:r w:rsidR="00F92D3F" w:rsidRPr="004B0E20">
        <w:rPr>
          <w:rFonts w:asciiTheme="majorHAnsi" w:hAnsiTheme="majorHAnsi"/>
          <w:bCs/>
          <w:sz w:val="22"/>
          <w:szCs w:val="22"/>
        </w:rPr>
        <w:t xml:space="preserve"> (</w:t>
      </w:r>
      <w:r w:rsidR="00EB1A2F" w:rsidRPr="004B0E20">
        <w:rPr>
          <w:rFonts w:asciiTheme="majorHAnsi" w:hAnsiTheme="majorHAnsi"/>
          <w:bCs/>
          <w:sz w:val="22"/>
          <w:szCs w:val="22"/>
        </w:rPr>
        <w:t>now petitioners</w:t>
      </w:r>
      <w:r w:rsidR="00F92D3F" w:rsidRPr="004B0E20">
        <w:rPr>
          <w:rFonts w:asciiTheme="majorHAnsi" w:hAnsiTheme="majorHAnsi"/>
          <w:bCs/>
          <w:sz w:val="22"/>
          <w:szCs w:val="22"/>
        </w:rPr>
        <w:t>)</w:t>
      </w:r>
      <w:r w:rsidR="00EB1A2F" w:rsidRPr="004B0E20">
        <w:rPr>
          <w:rFonts w:asciiTheme="majorHAnsi" w:hAnsiTheme="majorHAnsi"/>
          <w:bCs/>
          <w:sz w:val="22"/>
          <w:szCs w:val="22"/>
        </w:rPr>
        <w:t xml:space="preserve"> heard</w:t>
      </w:r>
      <w:r w:rsidR="00013A8E" w:rsidRPr="004B0E20">
        <w:rPr>
          <w:rFonts w:asciiTheme="majorHAnsi" w:hAnsiTheme="majorHAnsi"/>
          <w:bCs/>
          <w:sz w:val="22"/>
          <w:szCs w:val="22"/>
        </w:rPr>
        <w:t xml:space="preserve">, </w:t>
      </w:r>
      <w:r w:rsidR="00EB1A2F" w:rsidRPr="004B0E20">
        <w:rPr>
          <w:rFonts w:asciiTheme="majorHAnsi" w:hAnsiTheme="majorHAnsi"/>
          <w:bCs/>
          <w:sz w:val="22"/>
          <w:szCs w:val="22"/>
        </w:rPr>
        <w:t>when</w:t>
      </w:r>
      <w:r w:rsidR="00013A8E" w:rsidRPr="004B0E20">
        <w:rPr>
          <w:rFonts w:asciiTheme="majorHAnsi" w:hAnsiTheme="majorHAnsi"/>
          <w:bCs/>
          <w:sz w:val="22"/>
          <w:szCs w:val="22"/>
        </w:rPr>
        <w:t xml:space="preserve"> </w:t>
      </w:r>
      <w:r w:rsidR="00EB1A2F" w:rsidRPr="004B0E20">
        <w:rPr>
          <w:rFonts w:asciiTheme="majorHAnsi" w:hAnsiTheme="majorHAnsi"/>
          <w:bCs/>
          <w:sz w:val="22"/>
          <w:szCs w:val="22"/>
        </w:rPr>
        <w:t xml:space="preserve">they </w:t>
      </w:r>
      <w:r w:rsidR="00013A8E" w:rsidRPr="004B0E20">
        <w:rPr>
          <w:rFonts w:asciiTheme="majorHAnsi" w:hAnsiTheme="majorHAnsi"/>
          <w:bCs/>
          <w:sz w:val="22"/>
          <w:szCs w:val="22"/>
        </w:rPr>
        <w:t>re</w:t>
      </w:r>
      <w:r w:rsidR="00F92D3F" w:rsidRPr="004B0E20">
        <w:rPr>
          <w:rFonts w:asciiTheme="majorHAnsi" w:hAnsiTheme="majorHAnsi"/>
          <w:bCs/>
          <w:sz w:val="22"/>
          <w:szCs w:val="22"/>
        </w:rPr>
        <w:t xml:space="preserve">peated </w:t>
      </w:r>
      <w:r w:rsidR="00100EE6" w:rsidRPr="007321BC">
        <w:rPr>
          <w:rFonts w:asciiTheme="majorHAnsi" w:hAnsiTheme="majorHAnsi"/>
          <w:bCs/>
          <w:noProof/>
          <w:sz w:val="22"/>
          <w:szCs w:val="22"/>
        </w:rPr>
        <w:t>that</w:t>
      </w:r>
      <w:r w:rsidR="00964EBA" w:rsidRPr="007321BC">
        <w:rPr>
          <w:rFonts w:asciiTheme="majorHAnsi" w:hAnsiTheme="majorHAnsi"/>
          <w:bCs/>
          <w:noProof/>
          <w:sz w:val="22"/>
          <w:szCs w:val="22"/>
        </w:rPr>
        <w:t xml:space="preserve"> </w:t>
      </w:r>
      <w:r w:rsidR="007321BC" w:rsidRPr="007321BC">
        <w:rPr>
          <w:rFonts w:asciiTheme="majorHAnsi" w:hAnsiTheme="majorHAnsi"/>
          <w:bCs/>
          <w:noProof/>
          <w:sz w:val="22"/>
          <w:szCs w:val="22"/>
        </w:rPr>
        <w:t>some</w:t>
      </w:r>
      <w:r w:rsidR="007321BC">
        <w:rPr>
          <w:rFonts w:asciiTheme="majorHAnsi" w:hAnsiTheme="majorHAnsi"/>
          <w:bCs/>
          <w:noProof/>
          <w:sz w:val="22"/>
          <w:szCs w:val="22"/>
        </w:rPr>
        <w:t xml:space="preserve"> </w:t>
      </w:r>
      <w:r w:rsidR="00EB1A2F" w:rsidRPr="007321BC">
        <w:rPr>
          <w:rFonts w:asciiTheme="majorHAnsi" w:hAnsiTheme="majorHAnsi"/>
          <w:bCs/>
          <w:noProof/>
          <w:sz w:val="22"/>
          <w:szCs w:val="22"/>
        </w:rPr>
        <w:t>police officers</w:t>
      </w:r>
      <w:r w:rsidR="00EB1A2F" w:rsidRPr="004B0E20">
        <w:rPr>
          <w:rFonts w:asciiTheme="majorHAnsi" w:hAnsiTheme="majorHAnsi"/>
          <w:bCs/>
          <w:sz w:val="22"/>
          <w:szCs w:val="22"/>
        </w:rPr>
        <w:t xml:space="preserve"> had </w:t>
      </w:r>
      <w:r w:rsidR="00F92D3F" w:rsidRPr="004B0E20">
        <w:rPr>
          <w:rFonts w:asciiTheme="majorHAnsi" w:hAnsiTheme="majorHAnsi"/>
          <w:bCs/>
          <w:sz w:val="22"/>
          <w:szCs w:val="22"/>
        </w:rPr>
        <w:t xml:space="preserve">taken part </w:t>
      </w:r>
      <w:r w:rsidR="00EB1A2F" w:rsidRPr="004B0E20">
        <w:rPr>
          <w:rFonts w:asciiTheme="majorHAnsi" w:hAnsiTheme="majorHAnsi"/>
          <w:bCs/>
          <w:sz w:val="22"/>
          <w:szCs w:val="22"/>
        </w:rPr>
        <w:t xml:space="preserve">in the </w:t>
      </w:r>
      <w:r w:rsidR="00964EBA" w:rsidRPr="004B0E20">
        <w:rPr>
          <w:rFonts w:asciiTheme="majorHAnsi" w:hAnsiTheme="majorHAnsi"/>
          <w:bCs/>
          <w:sz w:val="22"/>
          <w:szCs w:val="22"/>
        </w:rPr>
        <w:t xml:space="preserve">crimes </w:t>
      </w:r>
      <w:r w:rsidR="00C51B82" w:rsidRPr="004B0E20">
        <w:rPr>
          <w:rFonts w:asciiTheme="majorHAnsi" w:hAnsiTheme="majorHAnsi"/>
          <w:bCs/>
          <w:sz w:val="22"/>
          <w:szCs w:val="22"/>
        </w:rPr>
        <w:t>in</w:t>
      </w:r>
      <w:r w:rsidR="00964EBA" w:rsidRPr="004B0E20">
        <w:rPr>
          <w:rFonts w:asciiTheme="majorHAnsi" w:hAnsiTheme="majorHAnsi"/>
          <w:bCs/>
          <w:sz w:val="22"/>
          <w:szCs w:val="22"/>
        </w:rPr>
        <w:t xml:space="preserve"> repr</w:t>
      </w:r>
      <w:r w:rsidR="00EB1A2F" w:rsidRPr="004B0E20">
        <w:rPr>
          <w:rFonts w:asciiTheme="majorHAnsi" w:hAnsiTheme="majorHAnsi"/>
          <w:bCs/>
          <w:sz w:val="22"/>
          <w:szCs w:val="22"/>
        </w:rPr>
        <w:t xml:space="preserve">isal for the PCC </w:t>
      </w:r>
      <w:r w:rsidR="00AE1A14" w:rsidRPr="004B0E20">
        <w:rPr>
          <w:rFonts w:asciiTheme="majorHAnsi" w:hAnsiTheme="majorHAnsi"/>
          <w:bCs/>
          <w:sz w:val="22"/>
          <w:szCs w:val="22"/>
        </w:rPr>
        <w:t>attack</w:t>
      </w:r>
      <w:r w:rsidR="00964EBA" w:rsidRPr="004B0E20">
        <w:rPr>
          <w:rFonts w:asciiTheme="majorHAnsi" w:hAnsiTheme="majorHAnsi"/>
          <w:bCs/>
          <w:sz w:val="22"/>
          <w:szCs w:val="22"/>
        </w:rPr>
        <w:t>s.</w:t>
      </w:r>
    </w:p>
    <w:p w:rsidR="00964EBA" w:rsidRPr="004B0E20" w:rsidRDefault="00633D1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sz w:val="22"/>
          <w:szCs w:val="22"/>
        </w:rPr>
        <w:t>The petitio</w:t>
      </w:r>
      <w:r w:rsidR="007321BC">
        <w:rPr>
          <w:rFonts w:asciiTheme="majorHAnsi" w:hAnsiTheme="majorHAnsi"/>
          <w:sz w:val="22"/>
          <w:szCs w:val="22"/>
        </w:rPr>
        <w:t>ners state that</w:t>
      </w:r>
      <w:r w:rsidRPr="004B0E20">
        <w:rPr>
          <w:rFonts w:asciiTheme="majorHAnsi" w:hAnsiTheme="majorHAnsi"/>
          <w:sz w:val="22"/>
          <w:szCs w:val="22"/>
        </w:rPr>
        <w:t xml:space="preserve"> on December </w:t>
      </w:r>
      <w:r w:rsidR="00F36B65" w:rsidRPr="004B0E20">
        <w:rPr>
          <w:rFonts w:asciiTheme="majorHAnsi" w:hAnsiTheme="majorHAnsi"/>
          <w:sz w:val="22"/>
          <w:szCs w:val="22"/>
        </w:rPr>
        <w:t>4</w:t>
      </w:r>
      <w:r w:rsidRPr="004B0E20">
        <w:rPr>
          <w:rFonts w:asciiTheme="majorHAnsi" w:hAnsiTheme="majorHAnsi"/>
          <w:sz w:val="22"/>
          <w:szCs w:val="22"/>
        </w:rPr>
        <w:t>,</w:t>
      </w:r>
      <w:r w:rsidR="00F36B65" w:rsidRPr="004B0E20">
        <w:rPr>
          <w:rFonts w:asciiTheme="majorHAnsi" w:hAnsiTheme="majorHAnsi"/>
          <w:sz w:val="22"/>
          <w:szCs w:val="22"/>
        </w:rPr>
        <w:t xml:space="preserve"> 2006, Fernando </w:t>
      </w:r>
      <w:r w:rsidRPr="004B0E20">
        <w:rPr>
          <w:rFonts w:asciiTheme="majorHAnsi" w:hAnsiTheme="majorHAnsi"/>
          <w:sz w:val="22"/>
          <w:szCs w:val="22"/>
        </w:rPr>
        <w:t>was</w:t>
      </w:r>
      <w:r w:rsidR="00F36B65" w:rsidRPr="004B0E20">
        <w:rPr>
          <w:rFonts w:asciiTheme="majorHAnsi" w:hAnsiTheme="majorHAnsi"/>
          <w:sz w:val="22"/>
          <w:szCs w:val="22"/>
        </w:rPr>
        <w:t xml:space="preserve"> </w:t>
      </w:r>
      <w:r w:rsidRPr="004B0E20">
        <w:rPr>
          <w:rFonts w:asciiTheme="majorHAnsi" w:hAnsiTheme="majorHAnsi"/>
          <w:sz w:val="22"/>
          <w:szCs w:val="22"/>
        </w:rPr>
        <w:t>murdered</w:t>
      </w:r>
      <w:r w:rsidR="0060137D" w:rsidRPr="004B0E20">
        <w:rPr>
          <w:rFonts w:asciiTheme="majorHAnsi" w:hAnsiTheme="majorHAnsi"/>
          <w:sz w:val="22"/>
          <w:szCs w:val="22"/>
        </w:rPr>
        <w:t xml:space="preserve"> </w:t>
      </w:r>
      <w:r w:rsidRPr="004B0E20">
        <w:rPr>
          <w:rFonts w:asciiTheme="majorHAnsi" w:hAnsiTheme="majorHAnsi"/>
          <w:sz w:val="22"/>
          <w:szCs w:val="22"/>
        </w:rPr>
        <w:t xml:space="preserve">a few meters from the place where his </w:t>
      </w:r>
      <w:r w:rsidR="00C51B82" w:rsidRPr="004B0E20">
        <w:rPr>
          <w:rFonts w:asciiTheme="majorHAnsi" w:hAnsiTheme="majorHAnsi"/>
          <w:sz w:val="22"/>
          <w:szCs w:val="22"/>
        </w:rPr>
        <w:t>attempted murder</w:t>
      </w:r>
      <w:r w:rsidRPr="004B0E20">
        <w:rPr>
          <w:rFonts w:asciiTheme="majorHAnsi" w:hAnsiTheme="majorHAnsi"/>
          <w:sz w:val="22"/>
          <w:szCs w:val="22"/>
        </w:rPr>
        <w:t xml:space="preserve"> had taken place</w:t>
      </w:r>
      <w:r w:rsidR="00F36B65" w:rsidRPr="004B0E20">
        <w:rPr>
          <w:rFonts w:asciiTheme="majorHAnsi" w:hAnsiTheme="majorHAnsi"/>
          <w:sz w:val="22"/>
          <w:szCs w:val="22"/>
        </w:rPr>
        <w:t xml:space="preserve">. </w:t>
      </w:r>
      <w:r w:rsidRPr="004B0E20">
        <w:rPr>
          <w:rFonts w:asciiTheme="majorHAnsi" w:hAnsiTheme="majorHAnsi"/>
          <w:sz w:val="22"/>
          <w:szCs w:val="22"/>
        </w:rPr>
        <w:t>The gunshot</w:t>
      </w:r>
      <w:r w:rsidR="00F36B65" w:rsidRPr="004B0E20">
        <w:rPr>
          <w:rFonts w:asciiTheme="majorHAnsi" w:hAnsiTheme="majorHAnsi"/>
          <w:sz w:val="22"/>
          <w:szCs w:val="22"/>
        </w:rPr>
        <w:t xml:space="preserve">s </w:t>
      </w:r>
      <w:r w:rsidRPr="007321BC">
        <w:rPr>
          <w:rFonts w:asciiTheme="majorHAnsi" w:hAnsiTheme="majorHAnsi"/>
          <w:noProof/>
          <w:sz w:val="22"/>
          <w:szCs w:val="22"/>
        </w:rPr>
        <w:t>were allegedly fired</w:t>
      </w:r>
      <w:r w:rsidRPr="004B0E20">
        <w:rPr>
          <w:rFonts w:asciiTheme="majorHAnsi" w:hAnsiTheme="majorHAnsi"/>
          <w:sz w:val="22"/>
          <w:szCs w:val="22"/>
        </w:rPr>
        <w:t xml:space="preserve"> from inside a </w:t>
      </w:r>
      <w:r w:rsidR="00283151" w:rsidRPr="004B0E20">
        <w:rPr>
          <w:rFonts w:asciiTheme="majorHAnsi" w:hAnsiTheme="majorHAnsi"/>
          <w:sz w:val="22"/>
          <w:szCs w:val="22"/>
        </w:rPr>
        <w:t>vehicle</w:t>
      </w:r>
      <w:r w:rsidRPr="004B0E20">
        <w:rPr>
          <w:rFonts w:asciiTheme="majorHAnsi" w:hAnsiTheme="majorHAnsi"/>
          <w:sz w:val="22"/>
          <w:szCs w:val="22"/>
        </w:rPr>
        <w:t xml:space="preserve">, which </w:t>
      </w:r>
      <w:r w:rsidR="004B59FF" w:rsidRPr="004B0E20">
        <w:rPr>
          <w:rFonts w:asciiTheme="majorHAnsi" w:hAnsiTheme="majorHAnsi"/>
          <w:sz w:val="22"/>
          <w:szCs w:val="22"/>
        </w:rPr>
        <w:t>immediately</w:t>
      </w:r>
      <w:r w:rsidRPr="004B0E20">
        <w:rPr>
          <w:rFonts w:asciiTheme="majorHAnsi" w:hAnsiTheme="majorHAnsi"/>
          <w:sz w:val="22"/>
          <w:szCs w:val="22"/>
        </w:rPr>
        <w:t xml:space="preserve"> fled the scene</w:t>
      </w:r>
      <w:r w:rsidR="00F36B65" w:rsidRPr="004B0E20">
        <w:rPr>
          <w:rFonts w:asciiTheme="majorHAnsi" w:hAnsiTheme="majorHAnsi"/>
          <w:sz w:val="22"/>
          <w:szCs w:val="22"/>
        </w:rPr>
        <w:t xml:space="preserve">. </w:t>
      </w:r>
      <w:r w:rsidR="0010462A" w:rsidRPr="004B0E20">
        <w:rPr>
          <w:rFonts w:asciiTheme="majorHAnsi" w:hAnsiTheme="majorHAnsi"/>
          <w:sz w:val="22"/>
          <w:szCs w:val="22"/>
        </w:rPr>
        <w:t>They state</w:t>
      </w:r>
      <w:r w:rsidR="0060137D" w:rsidRPr="004B0E20">
        <w:rPr>
          <w:rFonts w:asciiTheme="majorHAnsi" w:hAnsiTheme="majorHAnsi"/>
          <w:sz w:val="22"/>
          <w:szCs w:val="22"/>
        </w:rPr>
        <w:t xml:space="preserve"> </w:t>
      </w:r>
      <w:r w:rsidR="00100EE6" w:rsidRPr="004B0E20">
        <w:rPr>
          <w:rFonts w:asciiTheme="majorHAnsi" w:hAnsiTheme="majorHAnsi"/>
          <w:sz w:val="22"/>
          <w:szCs w:val="22"/>
        </w:rPr>
        <w:t>that</w:t>
      </w:r>
      <w:r w:rsidR="0060137D" w:rsidRPr="004B0E20">
        <w:rPr>
          <w:rFonts w:asciiTheme="majorHAnsi" w:hAnsiTheme="majorHAnsi"/>
          <w:sz w:val="22"/>
          <w:szCs w:val="22"/>
        </w:rPr>
        <w:t xml:space="preserve"> </w:t>
      </w:r>
      <w:r w:rsidR="004238FD" w:rsidRPr="004B0E20">
        <w:rPr>
          <w:rFonts w:asciiTheme="majorHAnsi" w:hAnsiTheme="majorHAnsi"/>
          <w:sz w:val="22"/>
          <w:szCs w:val="22"/>
        </w:rPr>
        <w:t>a</w:t>
      </w:r>
      <w:r w:rsidR="00EF4915" w:rsidRPr="004B0E20">
        <w:rPr>
          <w:rFonts w:asciiTheme="majorHAnsi" w:hAnsiTheme="majorHAnsi"/>
          <w:sz w:val="22"/>
          <w:szCs w:val="22"/>
        </w:rPr>
        <w:t xml:space="preserve"> </w:t>
      </w:r>
      <w:r w:rsidR="004238FD" w:rsidRPr="004B0E20">
        <w:rPr>
          <w:rFonts w:asciiTheme="majorHAnsi" w:hAnsiTheme="majorHAnsi"/>
          <w:sz w:val="22"/>
          <w:szCs w:val="22"/>
        </w:rPr>
        <w:t>police inquiry</w:t>
      </w:r>
      <w:r w:rsidR="00F36B65" w:rsidRPr="004B0E20">
        <w:rPr>
          <w:rFonts w:asciiTheme="majorHAnsi" w:hAnsiTheme="majorHAnsi"/>
          <w:sz w:val="22"/>
          <w:szCs w:val="22"/>
        </w:rPr>
        <w:t xml:space="preserve"> </w:t>
      </w:r>
      <w:r w:rsidRPr="004B0E20">
        <w:rPr>
          <w:rFonts w:asciiTheme="majorHAnsi" w:hAnsiTheme="majorHAnsi"/>
          <w:sz w:val="22"/>
          <w:szCs w:val="22"/>
        </w:rPr>
        <w:t>was</w:t>
      </w:r>
      <w:r w:rsidR="00F511F8" w:rsidRPr="004B0E20">
        <w:rPr>
          <w:rFonts w:asciiTheme="majorHAnsi" w:hAnsiTheme="majorHAnsi"/>
          <w:sz w:val="22"/>
          <w:szCs w:val="22"/>
        </w:rPr>
        <w:t xml:space="preserve"> </w:t>
      </w:r>
      <w:r w:rsidR="00FC5D49" w:rsidRPr="004B0E20">
        <w:rPr>
          <w:rFonts w:asciiTheme="majorHAnsi" w:hAnsiTheme="majorHAnsi"/>
          <w:sz w:val="22"/>
          <w:szCs w:val="22"/>
        </w:rPr>
        <w:t xml:space="preserve">undertaken </w:t>
      </w:r>
      <w:r w:rsidR="004238FD" w:rsidRPr="004B0E20">
        <w:rPr>
          <w:rFonts w:asciiTheme="majorHAnsi" w:hAnsiTheme="majorHAnsi"/>
          <w:sz w:val="22"/>
          <w:szCs w:val="22"/>
        </w:rPr>
        <w:t xml:space="preserve">and </w:t>
      </w:r>
      <w:r w:rsidR="00283151" w:rsidRPr="004B0E20">
        <w:rPr>
          <w:rFonts w:asciiTheme="majorHAnsi" w:hAnsiTheme="majorHAnsi"/>
          <w:sz w:val="22"/>
          <w:szCs w:val="22"/>
        </w:rPr>
        <w:t xml:space="preserve">concluded </w:t>
      </w:r>
      <w:r w:rsidR="004238FD" w:rsidRPr="004B0E20">
        <w:rPr>
          <w:rFonts w:asciiTheme="majorHAnsi" w:hAnsiTheme="majorHAnsi"/>
          <w:sz w:val="22"/>
          <w:szCs w:val="22"/>
        </w:rPr>
        <w:t>that this had been an ambush;</w:t>
      </w:r>
      <w:r w:rsidR="0060137D" w:rsidRPr="004B0E20">
        <w:rPr>
          <w:rFonts w:asciiTheme="majorHAnsi" w:hAnsiTheme="majorHAnsi"/>
          <w:sz w:val="22"/>
          <w:szCs w:val="22"/>
        </w:rPr>
        <w:t xml:space="preserve"> </w:t>
      </w:r>
      <w:r w:rsidR="004238FD" w:rsidRPr="004B0E20">
        <w:rPr>
          <w:rFonts w:asciiTheme="majorHAnsi" w:hAnsiTheme="majorHAnsi"/>
          <w:sz w:val="22"/>
          <w:szCs w:val="22"/>
        </w:rPr>
        <w:t xml:space="preserve">the </w:t>
      </w:r>
      <w:r w:rsidR="004238FD" w:rsidRPr="007321BC">
        <w:rPr>
          <w:rFonts w:asciiTheme="majorHAnsi" w:hAnsiTheme="majorHAnsi"/>
          <w:noProof/>
          <w:sz w:val="22"/>
          <w:szCs w:val="22"/>
        </w:rPr>
        <w:t>inquiry</w:t>
      </w:r>
      <w:r w:rsidR="004238FD" w:rsidRPr="004B0E20">
        <w:rPr>
          <w:rFonts w:asciiTheme="majorHAnsi" w:hAnsiTheme="majorHAnsi"/>
          <w:sz w:val="22"/>
          <w:szCs w:val="22"/>
        </w:rPr>
        <w:t xml:space="preserve"> </w:t>
      </w:r>
      <w:r w:rsidR="004238FD" w:rsidRPr="007321BC">
        <w:rPr>
          <w:rFonts w:asciiTheme="majorHAnsi" w:hAnsiTheme="majorHAnsi"/>
          <w:noProof/>
          <w:sz w:val="22"/>
          <w:szCs w:val="22"/>
        </w:rPr>
        <w:t xml:space="preserve">was </w:t>
      </w:r>
      <w:r w:rsidR="00283151" w:rsidRPr="007321BC">
        <w:rPr>
          <w:rFonts w:asciiTheme="majorHAnsi" w:hAnsiTheme="majorHAnsi"/>
          <w:noProof/>
          <w:sz w:val="22"/>
          <w:szCs w:val="22"/>
        </w:rPr>
        <w:t>closed</w:t>
      </w:r>
      <w:r w:rsidR="00283151" w:rsidRPr="004B0E20">
        <w:rPr>
          <w:rFonts w:asciiTheme="majorHAnsi" w:hAnsiTheme="majorHAnsi"/>
          <w:sz w:val="22"/>
          <w:szCs w:val="22"/>
        </w:rPr>
        <w:t xml:space="preserve"> </w:t>
      </w:r>
      <w:r w:rsidR="004238FD" w:rsidRPr="004B0E20">
        <w:rPr>
          <w:rFonts w:asciiTheme="majorHAnsi" w:hAnsiTheme="majorHAnsi"/>
          <w:sz w:val="22"/>
          <w:szCs w:val="22"/>
        </w:rPr>
        <w:t xml:space="preserve">on July </w:t>
      </w:r>
      <w:r w:rsidR="00F36B65" w:rsidRPr="004B0E20">
        <w:rPr>
          <w:rFonts w:asciiTheme="majorHAnsi" w:hAnsiTheme="majorHAnsi"/>
          <w:sz w:val="22"/>
          <w:szCs w:val="22"/>
        </w:rPr>
        <w:t>13</w:t>
      </w:r>
      <w:r w:rsidR="004238FD" w:rsidRPr="004B0E20">
        <w:rPr>
          <w:rFonts w:asciiTheme="majorHAnsi" w:hAnsiTheme="majorHAnsi"/>
          <w:sz w:val="22"/>
          <w:szCs w:val="22"/>
        </w:rPr>
        <w:t>,</w:t>
      </w:r>
      <w:r w:rsidR="00F36B65" w:rsidRPr="004B0E20">
        <w:rPr>
          <w:rFonts w:asciiTheme="majorHAnsi" w:hAnsiTheme="majorHAnsi"/>
          <w:sz w:val="22"/>
          <w:szCs w:val="22"/>
        </w:rPr>
        <w:t xml:space="preserve"> 2007</w:t>
      </w:r>
      <w:r w:rsidR="0060137D" w:rsidRPr="004B0E20">
        <w:rPr>
          <w:rFonts w:asciiTheme="majorHAnsi" w:hAnsiTheme="majorHAnsi"/>
          <w:sz w:val="22"/>
          <w:szCs w:val="22"/>
        </w:rPr>
        <w:t>,</w:t>
      </w:r>
      <w:r w:rsidR="00F36B65" w:rsidRPr="004B0E20">
        <w:rPr>
          <w:rFonts w:asciiTheme="majorHAnsi" w:hAnsiTheme="majorHAnsi"/>
          <w:sz w:val="22"/>
          <w:szCs w:val="22"/>
        </w:rPr>
        <w:t xml:space="preserve"> </w:t>
      </w:r>
      <w:r w:rsidR="00283151" w:rsidRPr="004B0E20">
        <w:rPr>
          <w:rFonts w:asciiTheme="majorHAnsi" w:hAnsiTheme="majorHAnsi"/>
          <w:sz w:val="22"/>
          <w:szCs w:val="22"/>
        </w:rPr>
        <w:t xml:space="preserve">without </w:t>
      </w:r>
      <w:r w:rsidR="004238FD" w:rsidRPr="004B0E20">
        <w:rPr>
          <w:rFonts w:asciiTheme="majorHAnsi" w:hAnsiTheme="majorHAnsi"/>
          <w:sz w:val="22"/>
          <w:szCs w:val="22"/>
        </w:rPr>
        <w:t>identify</w:t>
      </w:r>
      <w:r w:rsidR="00283151" w:rsidRPr="004B0E20">
        <w:rPr>
          <w:rFonts w:asciiTheme="majorHAnsi" w:hAnsiTheme="majorHAnsi"/>
          <w:sz w:val="22"/>
          <w:szCs w:val="22"/>
        </w:rPr>
        <w:t>ing</w:t>
      </w:r>
      <w:r w:rsidR="004238FD" w:rsidRPr="004B0E20">
        <w:rPr>
          <w:rFonts w:asciiTheme="majorHAnsi" w:hAnsiTheme="majorHAnsi"/>
          <w:sz w:val="22"/>
          <w:szCs w:val="22"/>
        </w:rPr>
        <w:t xml:space="preserve"> the parties</w:t>
      </w:r>
      <w:r w:rsidR="0060137D" w:rsidRPr="004B0E20">
        <w:rPr>
          <w:rFonts w:asciiTheme="majorHAnsi" w:hAnsiTheme="majorHAnsi"/>
          <w:sz w:val="22"/>
          <w:szCs w:val="22"/>
        </w:rPr>
        <w:t xml:space="preserve"> respons</w:t>
      </w:r>
      <w:r w:rsidR="004238FD" w:rsidRPr="004B0E20">
        <w:rPr>
          <w:rFonts w:asciiTheme="majorHAnsi" w:hAnsiTheme="majorHAnsi"/>
          <w:sz w:val="22"/>
          <w:szCs w:val="22"/>
        </w:rPr>
        <w:t>ible</w:t>
      </w:r>
      <w:r w:rsidR="00F36B65" w:rsidRPr="004B0E20">
        <w:rPr>
          <w:rFonts w:asciiTheme="majorHAnsi" w:hAnsiTheme="majorHAnsi"/>
          <w:sz w:val="22"/>
          <w:szCs w:val="22"/>
        </w:rPr>
        <w:t>.</w:t>
      </w:r>
      <w:r w:rsidR="00283151" w:rsidRPr="004B0E20">
        <w:rPr>
          <w:rFonts w:asciiTheme="majorHAnsi" w:hAnsiTheme="majorHAnsi"/>
          <w:sz w:val="22"/>
          <w:szCs w:val="22"/>
        </w:rPr>
        <w:t xml:space="preserve">  T</w:t>
      </w:r>
      <w:r w:rsidR="004238FD" w:rsidRPr="004B0E20">
        <w:rPr>
          <w:rFonts w:asciiTheme="majorHAnsi" w:hAnsiTheme="majorHAnsi"/>
          <w:sz w:val="22"/>
          <w:szCs w:val="22"/>
        </w:rPr>
        <w:t xml:space="preserve">hey </w:t>
      </w:r>
      <w:r w:rsidR="00C51B82" w:rsidRPr="004B0E20">
        <w:rPr>
          <w:rFonts w:asciiTheme="majorHAnsi" w:hAnsiTheme="majorHAnsi"/>
          <w:sz w:val="22"/>
          <w:szCs w:val="22"/>
        </w:rPr>
        <w:t>allege</w:t>
      </w:r>
      <w:r w:rsidR="007B515C" w:rsidRPr="004B0E20">
        <w:rPr>
          <w:rFonts w:asciiTheme="majorHAnsi" w:hAnsiTheme="majorHAnsi"/>
          <w:sz w:val="22"/>
          <w:szCs w:val="22"/>
        </w:rPr>
        <w:t xml:space="preserve"> </w:t>
      </w:r>
      <w:r w:rsidR="00283151" w:rsidRPr="004B0E20">
        <w:rPr>
          <w:rFonts w:asciiTheme="majorHAnsi" w:hAnsiTheme="majorHAnsi"/>
          <w:sz w:val="22"/>
          <w:szCs w:val="22"/>
        </w:rPr>
        <w:t xml:space="preserve">likewise </w:t>
      </w:r>
      <w:r w:rsidR="00100EE6" w:rsidRPr="004B0E20">
        <w:rPr>
          <w:rFonts w:asciiTheme="majorHAnsi" w:hAnsiTheme="majorHAnsi"/>
          <w:sz w:val="22"/>
          <w:szCs w:val="22"/>
        </w:rPr>
        <w:t>that</w:t>
      </w:r>
      <w:r w:rsidR="005B2DEB" w:rsidRPr="004B0E20">
        <w:rPr>
          <w:rFonts w:asciiTheme="majorHAnsi" w:hAnsiTheme="majorHAnsi"/>
          <w:sz w:val="22"/>
          <w:szCs w:val="22"/>
        </w:rPr>
        <w:t>, again</w:t>
      </w:r>
      <w:r w:rsidR="007321BC">
        <w:rPr>
          <w:rFonts w:asciiTheme="majorHAnsi" w:hAnsiTheme="majorHAnsi"/>
          <w:sz w:val="22"/>
          <w:szCs w:val="22"/>
        </w:rPr>
        <w:t>,</w:t>
      </w:r>
      <w:r w:rsidR="007B515C" w:rsidRPr="004B0E20">
        <w:rPr>
          <w:rFonts w:asciiTheme="majorHAnsi" w:hAnsiTheme="majorHAnsi"/>
          <w:sz w:val="22"/>
          <w:szCs w:val="22"/>
        </w:rPr>
        <w:t xml:space="preserve"> </w:t>
      </w:r>
      <w:r w:rsidR="005B2DEB" w:rsidRPr="007321BC">
        <w:rPr>
          <w:rFonts w:asciiTheme="majorHAnsi" w:hAnsiTheme="majorHAnsi"/>
          <w:noProof/>
          <w:sz w:val="22"/>
          <w:szCs w:val="22"/>
        </w:rPr>
        <w:t>in</w:t>
      </w:r>
      <w:r w:rsidR="005B2DEB" w:rsidRPr="004B0E20">
        <w:rPr>
          <w:rFonts w:asciiTheme="majorHAnsi" w:hAnsiTheme="majorHAnsi"/>
          <w:sz w:val="22"/>
          <w:szCs w:val="22"/>
        </w:rPr>
        <w:t xml:space="preserve"> this case, no attempt was made to connect the murder with the </w:t>
      </w:r>
      <w:r w:rsidR="005B2DEB" w:rsidRPr="007321BC">
        <w:rPr>
          <w:rFonts w:asciiTheme="majorHAnsi" w:hAnsiTheme="majorHAnsi"/>
          <w:noProof/>
          <w:sz w:val="22"/>
          <w:szCs w:val="22"/>
        </w:rPr>
        <w:t>attempt</w:t>
      </w:r>
      <w:r w:rsidR="005B2DEB" w:rsidRPr="004B0E20">
        <w:rPr>
          <w:rFonts w:asciiTheme="majorHAnsi" w:hAnsiTheme="majorHAnsi"/>
          <w:sz w:val="22"/>
          <w:szCs w:val="22"/>
        </w:rPr>
        <w:t xml:space="preserve"> made during </w:t>
      </w:r>
      <w:r w:rsidR="0010462A" w:rsidRPr="004B0E20">
        <w:rPr>
          <w:rFonts w:asciiTheme="majorHAnsi" w:hAnsiTheme="majorHAnsi"/>
          <w:sz w:val="22"/>
          <w:szCs w:val="22"/>
        </w:rPr>
        <w:t>the</w:t>
      </w:r>
      <w:r w:rsidR="00F36B65" w:rsidRPr="004B0E20">
        <w:rPr>
          <w:rFonts w:asciiTheme="majorHAnsi" w:hAnsiTheme="majorHAnsi"/>
          <w:sz w:val="22"/>
          <w:szCs w:val="22"/>
        </w:rPr>
        <w:t xml:space="preserve"> </w:t>
      </w:r>
      <w:r w:rsidR="004238FD" w:rsidRPr="004B0E20">
        <w:rPr>
          <w:rFonts w:asciiTheme="majorHAnsi" w:hAnsiTheme="majorHAnsi"/>
          <w:sz w:val="22"/>
          <w:szCs w:val="22"/>
        </w:rPr>
        <w:t>massacre</w:t>
      </w:r>
      <w:r w:rsidR="00F36B65" w:rsidRPr="004B0E20">
        <w:rPr>
          <w:rFonts w:asciiTheme="majorHAnsi" w:hAnsiTheme="majorHAnsi"/>
          <w:sz w:val="22"/>
          <w:szCs w:val="22"/>
        </w:rPr>
        <w:t xml:space="preserve"> </w:t>
      </w:r>
      <w:r w:rsidR="00890DB9" w:rsidRPr="004B0E20">
        <w:rPr>
          <w:rFonts w:asciiTheme="majorHAnsi" w:hAnsiTheme="majorHAnsi"/>
          <w:sz w:val="22"/>
          <w:szCs w:val="22"/>
        </w:rPr>
        <w:t>or</w:t>
      </w:r>
      <w:r w:rsidR="00F36B65" w:rsidRPr="004B0E20">
        <w:rPr>
          <w:rFonts w:asciiTheme="majorHAnsi" w:hAnsiTheme="majorHAnsi"/>
          <w:sz w:val="22"/>
          <w:szCs w:val="22"/>
        </w:rPr>
        <w:t xml:space="preserve"> </w:t>
      </w:r>
      <w:r w:rsidR="005B2DEB" w:rsidRPr="004B0E20">
        <w:rPr>
          <w:rFonts w:asciiTheme="majorHAnsi" w:hAnsiTheme="majorHAnsi"/>
          <w:sz w:val="22"/>
          <w:szCs w:val="22"/>
        </w:rPr>
        <w:t xml:space="preserve">with </w:t>
      </w:r>
      <w:r w:rsidR="004238FD" w:rsidRPr="004B0E20">
        <w:rPr>
          <w:rFonts w:asciiTheme="majorHAnsi" w:hAnsiTheme="majorHAnsi"/>
          <w:sz w:val="22"/>
          <w:szCs w:val="22"/>
        </w:rPr>
        <w:t xml:space="preserve">the other </w:t>
      </w:r>
      <w:r w:rsidR="00F36B65" w:rsidRPr="004B0E20">
        <w:rPr>
          <w:rFonts w:asciiTheme="majorHAnsi" w:hAnsiTheme="majorHAnsi"/>
          <w:sz w:val="22"/>
          <w:szCs w:val="22"/>
        </w:rPr>
        <w:t xml:space="preserve">crimes </w:t>
      </w:r>
      <w:r w:rsidR="00C51B82" w:rsidRPr="004B0E20">
        <w:rPr>
          <w:rFonts w:asciiTheme="majorHAnsi" w:hAnsiTheme="majorHAnsi"/>
          <w:sz w:val="22"/>
          <w:szCs w:val="22"/>
        </w:rPr>
        <w:t>of</w:t>
      </w:r>
      <w:r w:rsidR="00F36B65" w:rsidRPr="004B0E20">
        <w:rPr>
          <w:rFonts w:asciiTheme="majorHAnsi" w:hAnsiTheme="majorHAnsi"/>
          <w:sz w:val="22"/>
          <w:szCs w:val="22"/>
        </w:rPr>
        <w:t xml:space="preserve"> </w:t>
      </w:r>
      <w:r w:rsidR="004238FD" w:rsidRPr="004B0E20">
        <w:rPr>
          <w:rFonts w:asciiTheme="majorHAnsi" w:hAnsiTheme="majorHAnsi"/>
          <w:sz w:val="22"/>
          <w:szCs w:val="22"/>
        </w:rPr>
        <w:t>May</w:t>
      </w:r>
      <w:r w:rsidR="00F36B65" w:rsidRPr="004B0E20">
        <w:rPr>
          <w:rFonts w:asciiTheme="majorHAnsi" w:hAnsiTheme="majorHAnsi"/>
          <w:sz w:val="22"/>
          <w:szCs w:val="22"/>
        </w:rPr>
        <w:t xml:space="preserve"> 2006. </w:t>
      </w:r>
      <w:r w:rsidR="00283151" w:rsidRPr="004B0E20">
        <w:rPr>
          <w:rFonts w:asciiTheme="majorHAnsi" w:hAnsiTheme="majorHAnsi"/>
          <w:sz w:val="22"/>
          <w:szCs w:val="22"/>
        </w:rPr>
        <w:t xml:space="preserve"> </w:t>
      </w:r>
      <w:r w:rsidR="004238FD" w:rsidRPr="004B0E20">
        <w:rPr>
          <w:rFonts w:asciiTheme="majorHAnsi" w:hAnsiTheme="majorHAnsi"/>
          <w:sz w:val="22"/>
          <w:szCs w:val="22"/>
        </w:rPr>
        <w:t>On November</w:t>
      </w:r>
      <w:r w:rsidR="00BD60FD" w:rsidRPr="004B0E20">
        <w:rPr>
          <w:rFonts w:asciiTheme="majorHAnsi" w:hAnsiTheme="majorHAnsi"/>
          <w:sz w:val="22"/>
          <w:szCs w:val="22"/>
        </w:rPr>
        <w:t xml:space="preserve"> </w:t>
      </w:r>
      <w:r w:rsidR="004238FD" w:rsidRPr="004B0E20">
        <w:rPr>
          <w:rFonts w:asciiTheme="majorHAnsi" w:hAnsiTheme="majorHAnsi"/>
          <w:sz w:val="22"/>
          <w:szCs w:val="22"/>
        </w:rPr>
        <w:t xml:space="preserve">5, </w:t>
      </w:r>
      <w:r w:rsidR="00BD60FD" w:rsidRPr="004B0E20">
        <w:rPr>
          <w:rFonts w:asciiTheme="majorHAnsi" w:hAnsiTheme="majorHAnsi"/>
          <w:sz w:val="22"/>
          <w:szCs w:val="22"/>
        </w:rPr>
        <w:t>2008</w:t>
      </w:r>
      <w:r w:rsidR="007B515C" w:rsidRPr="004B0E20">
        <w:rPr>
          <w:rFonts w:asciiTheme="majorHAnsi" w:hAnsiTheme="majorHAnsi"/>
          <w:sz w:val="22"/>
          <w:szCs w:val="22"/>
        </w:rPr>
        <w:t>,</w:t>
      </w:r>
      <w:r w:rsidR="0060137D" w:rsidRPr="004B0E20">
        <w:rPr>
          <w:rFonts w:asciiTheme="majorHAnsi" w:hAnsiTheme="majorHAnsi"/>
          <w:sz w:val="22"/>
          <w:szCs w:val="22"/>
        </w:rPr>
        <w:t xml:space="preserve"> </w:t>
      </w:r>
      <w:r w:rsidR="005B2DEB" w:rsidRPr="004B0E20">
        <w:rPr>
          <w:rFonts w:asciiTheme="majorHAnsi" w:hAnsiTheme="majorHAnsi"/>
          <w:sz w:val="22"/>
          <w:szCs w:val="22"/>
        </w:rPr>
        <w:t xml:space="preserve">the </w:t>
      </w:r>
      <w:r w:rsidR="00AE1A14" w:rsidRPr="004B0E20">
        <w:rPr>
          <w:rFonts w:asciiTheme="majorHAnsi" w:hAnsiTheme="majorHAnsi"/>
          <w:sz w:val="22"/>
          <w:szCs w:val="22"/>
        </w:rPr>
        <w:t>investigations</w:t>
      </w:r>
      <w:r w:rsidR="0060137D" w:rsidRPr="004B0E20">
        <w:rPr>
          <w:rFonts w:asciiTheme="majorHAnsi" w:hAnsiTheme="majorHAnsi"/>
          <w:sz w:val="22"/>
          <w:szCs w:val="22"/>
        </w:rPr>
        <w:t xml:space="preserve"> </w:t>
      </w:r>
      <w:r w:rsidR="005B2DEB" w:rsidRPr="004B0E20">
        <w:rPr>
          <w:rFonts w:asciiTheme="majorHAnsi" w:hAnsiTheme="majorHAnsi"/>
          <w:sz w:val="22"/>
          <w:szCs w:val="22"/>
        </w:rPr>
        <w:t xml:space="preserve">into </w:t>
      </w:r>
      <w:r w:rsidR="004238FD" w:rsidRPr="004B0E20">
        <w:rPr>
          <w:rFonts w:asciiTheme="majorHAnsi" w:hAnsiTheme="majorHAnsi"/>
          <w:sz w:val="22"/>
          <w:szCs w:val="22"/>
        </w:rPr>
        <w:t xml:space="preserve">the </w:t>
      </w:r>
      <w:r w:rsidR="004238FD" w:rsidRPr="007321BC">
        <w:rPr>
          <w:rFonts w:asciiTheme="majorHAnsi" w:hAnsiTheme="majorHAnsi"/>
          <w:noProof/>
          <w:sz w:val="22"/>
          <w:szCs w:val="22"/>
        </w:rPr>
        <w:t>massacre</w:t>
      </w:r>
      <w:r w:rsidR="007B515C" w:rsidRPr="004B0E20">
        <w:rPr>
          <w:rFonts w:asciiTheme="majorHAnsi" w:hAnsiTheme="majorHAnsi"/>
          <w:sz w:val="22"/>
          <w:szCs w:val="22"/>
        </w:rPr>
        <w:t xml:space="preserve"> </w:t>
      </w:r>
      <w:r w:rsidR="00890DB9" w:rsidRPr="007321BC">
        <w:rPr>
          <w:rFonts w:asciiTheme="majorHAnsi" w:hAnsiTheme="majorHAnsi"/>
          <w:noProof/>
          <w:sz w:val="22"/>
          <w:szCs w:val="22"/>
        </w:rPr>
        <w:t>were</w:t>
      </w:r>
      <w:r w:rsidR="0060137D" w:rsidRPr="007321BC">
        <w:rPr>
          <w:rFonts w:asciiTheme="majorHAnsi" w:hAnsiTheme="majorHAnsi"/>
          <w:noProof/>
          <w:sz w:val="22"/>
          <w:szCs w:val="22"/>
        </w:rPr>
        <w:t xml:space="preserve"> </w:t>
      </w:r>
      <w:r w:rsidR="005B2DEB" w:rsidRPr="007321BC">
        <w:rPr>
          <w:rFonts w:asciiTheme="majorHAnsi" w:hAnsiTheme="majorHAnsi"/>
          <w:noProof/>
          <w:sz w:val="22"/>
          <w:szCs w:val="22"/>
        </w:rPr>
        <w:t>closed</w:t>
      </w:r>
      <w:r w:rsidR="0060137D" w:rsidRPr="004B0E20">
        <w:rPr>
          <w:rFonts w:asciiTheme="majorHAnsi" w:hAnsiTheme="majorHAnsi"/>
          <w:sz w:val="22"/>
          <w:szCs w:val="22"/>
        </w:rPr>
        <w:t xml:space="preserve"> </w:t>
      </w:r>
      <w:r w:rsidR="005B2DEB" w:rsidRPr="004B0E20">
        <w:rPr>
          <w:rFonts w:asciiTheme="majorHAnsi" w:hAnsiTheme="majorHAnsi"/>
          <w:sz w:val="22"/>
          <w:szCs w:val="22"/>
        </w:rPr>
        <w:t>without</w:t>
      </w:r>
      <w:r w:rsidR="0060137D" w:rsidRPr="004B0E20">
        <w:rPr>
          <w:rFonts w:asciiTheme="majorHAnsi" w:hAnsiTheme="majorHAnsi"/>
          <w:sz w:val="22"/>
          <w:szCs w:val="22"/>
        </w:rPr>
        <w:t xml:space="preserve"> </w:t>
      </w:r>
      <w:r w:rsidR="00283151" w:rsidRPr="004B0E20">
        <w:rPr>
          <w:rFonts w:asciiTheme="majorHAnsi" w:hAnsiTheme="majorHAnsi"/>
          <w:sz w:val="22"/>
          <w:szCs w:val="22"/>
        </w:rPr>
        <w:t>identifying</w:t>
      </w:r>
      <w:r w:rsidR="005B2DEB" w:rsidRPr="004B0E20">
        <w:rPr>
          <w:rFonts w:asciiTheme="majorHAnsi" w:hAnsiTheme="majorHAnsi"/>
          <w:sz w:val="22"/>
          <w:szCs w:val="22"/>
        </w:rPr>
        <w:t xml:space="preserve"> the parties responsible</w:t>
      </w:r>
      <w:r w:rsidR="0060137D" w:rsidRPr="004B0E20">
        <w:rPr>
          <w:rFonts w:asciiTheme="majorHAnsi" w:hAnsiTheme="majorHAnsi"/>
          <w:sz w:val="22"/>
          <w:szCs w:val="22"/>
        </w:rPr>
        <w:t xml:space="preserve">. </w:t>
      </w:r>
      <w:r w:rsidR="005B2DEB" w:rsidRPr="004B0E20">
        <w:rPr>
          <w:rFonts w:asciiTheme="majorHAnsi" w:hAnsiTheme="majorHAnsi"/>
          <w:sz w:val="22"/>
          <w:szCs w:val="22"/>
        </w:rPr>
        <w:t>O</w:t>
      </w:r>
      <w:r w:rsidR="00C51B82" w:rsidRPr="004B0E20">
        <w:rPr>
          <w:rFonts w:asciiTheme="majorHAnsi" w:hAnsiTheme="majorHAnsi"/>
          <w:sz w:val="22"/>
          <w:szCs w:val="22"/>
        </w:rPr>
        <w:t>n</w:t>
      </w:r>
      <w:r w:rsidR="0060137D" w:rsidRPr="004B0E20">
        <w:rPr>
          <w:rFonts w:asciiTheme="majorHAnsi" w:hAnsiTheme="majorHAnsi"/>
          <w:sz w:val="22"/>
          <w:szCs w:val="22"/>
        </w:rPr>
        <w:t xml:space="preserve"> </w:t>
      </w:r>
      <w:r w:rsidR="004238FD" w:rsidRPr="004B0E20">
        <w:rPr>
          <w:rFonts w:asciiTheme="majorHAnsi" w:hAnsiTheme="majorHAnsi"/>
          <w:sz w:val="22"/>
          <w:szCs w:val="22"/>
        </w:rPr>
        <w:t>November</w:t>
      </w:r>
      <w:r w:rsidR="0060137D" w:rsidRPr="004B0E20">
        <w:rPr>
          <w:rFonts w:asciiTheme="majorHAnsi" w:hAnsiTheme="majorHAnsi"/>
          <w:sz w:val="22"/>
          <w:szCs w:val="22"/>
        </w:rPr>
        <w:t xml:space="preserve"> </w:t>
      </w:r>
      <w:r w:rsidR="005B2DEB" w:rsidRPr="004B0E20">
        <w:rPr>
          <w:rFonts w:asciiTheme="majorHAnsi" w:hAnsiTheme="majorHAnsi"/>
          <w:sz w:val="22"/>
          <w:szCs w:val="22"/>
        </w:rPr>
        <w:t xml:space="preserve">18, </w:t>
      </w:r>
      <w:r w:rsidR="0060137D" w:rsidRPr="004B0E20">
        <w:rPr>
          <w:rFonts w:asciiTheme="majorHAnsi" w:hAnsiTheme="majorHAnsi"/>
          <w:sz w:val="22"/>
          <w:szCs w:val="22"/>
        </w:rPr>
        <w:t xml:space="preserve">2008, </w:t>
      </w:r>
      <w:r w:rsidR="005B2DEB" w:rsidRPr="004B0E20">
        <w:rPr>
          <w:rFonts w:asciiTheme="majorHAnsi" w:hAnsiTheme="majorHAnsi"/>
          <w:sz w:val="22"/>
          <w:szCs w:val="22"/>
        </w:rPr>
        <w:t xml:space="preserve">the Office of the </w:t>
      </w:r>
      <w:r w:rsidR="007C1AD0" w:rsidRPr="004B0E20">
        <w:rPr>
          <w:rFonts w:asciiTheme="majorHAnsi" w:hAnsiTheme="majorHAnsi"/>
          <w:sz w:val="22"/>
          <w:szCs w:val="22"/>
        </w:rPr>
        <w:t>Public Prosecutor</w:t>
      </w:r>
      <w:r w:rsidR="0060137D" w:rsidRPr="004B0E20">
        <w:rPr>
          <w:rFonts w:asciiTheme="majorHAnsi" w:hAnsiTheme="majorHAnsi"/>
          <w:sz w:val="22"/>
          <w:szCs w:val="22"/>
        </w:rPr>
        <w:t xml:space="preserve"> </w:t>
      </w:r>
      <w:r w:rsidR="005B2DEB" w:rsidRPr="004B0E20">
        <w:rPr>
          <w:rFonts w:asciiTheme="majorHAnsi" w:hAnsiTheme="majorHAnsi"/>
          <w:sz w:val="22"/>
          <w:szCs w:val="22"/>
        </w:rPr>
        <w:t xml:space="preserve">requested that </w:t>
      </w:r>
      <w:r w:rsidR="00065A3F" w:rsidRPr="004B0E20">
        <w:rPr>
          <w:rFonts w:asciiTheme="majorHAnsi" w:hAnsiTheme="majorHAnsi"/>
          <w:sz w:val="22"/>
          <w:szCs w:val="22"/>
        </w:rPr>
        <w:t>the</w:t>
      </w:r>
      <w:r w:rsidR="0060137D" w:rsidRPr="004B0E20">
        <w:rPr>
          <w:rFonts w:asciiTheme="majorHAnsi" w:hAnsiTheme="majorHAnsi"/>
          <w:sz w:val="22"/>
          <w:szCs w:val="22"/>
        </w:rPr>
        <w:t xml:space="preserve"> </w:t>
      </w:r>
      <w:r w:rsidR="004238FD" w:rsidRPr="004B0E20">
        <w:rPr>
          <w:rFonts w:asciiTheme="majorHAnsi" w:hAnsiTheme="majorHAnsi"/>
          <w:sz w:val="22"/>
          <w:szCs w:val="22"/>
        </w:rPr>
        <w:t>police inquiry</w:t>
      </w:r>
      <w:r w:rsidR="005B2DEB" w:rsidRPr="004B0E20">
        <w:rPr>
          <w:rFonts w:asciiTheme="majorHAnsi" w:hAnsiTheme="majorHAnsi"/>
          <w:sz w:val="22"/>
          <w:szCs w:val="22"/>
        </w:rPr>
        <w:t xml:space="preserve"> </w:t>
      </w:r>
      <w:r w:rsidR="007321BC" w:rsidRPr="007321BC">
        <w:rPr>
          <w:rFonts w:asciiTheme="majorHAnsi" w:hAnsiTheme="majorHAnsi"/>
          <w:noProof/>
          <w:sz w:val="22"/>
          <w:szCs w:val="22"/>
        </w:rPr>
        <w:t xml:space="preserve">should </w:t>
      </w:r>
      <w:r w:rsidR="005B2DEB" w:rsidRPr="007321BC">
        <w:rPr>
          <w:rFonts w:asciiTheme="majorHAnsi" w:hAnsiTheme="majorHAnsi"/>
          <w:noProof/>
          <w:sz w:val="22"/>
          <w:szCs w:val="22"/>
        </w:rPr>
        <w:t>be shelved</w:t>
      </w:r>
      <w:r w:rsidR="005B2DEB" w:rsidRPr="004B0E20">
        <w:rPr>
          <w:rFonts w:asciiTheme="majorHAnsi" w:hAnsiTheme="majorHAnsi"/>
          <w:sz w:val="22"/>
          <w:szCs w:val="22"/>
        </w:rPr>
        <w:t xml:space="preserve">; </w:t>
      </w:r>
      <w:r w:rsidR="00283151" w:rsidRPr="004B0E20">
        <w:rPr>
          <w:rFonts w:asciiTheme="majorHAnsi" w:hAnsiTheme="majorHAnsi"/>
          <w:sz w:val="22"/>
          <w:szCs w:val="22"/>
        </w:rPr>
        <w:t xml:space="preserve">the judge granted </w:t>
      </w:r>
      <w:r w:rsidR="005B2DEB" w:rsidRPr="004B0E20">
        <w:rPr>
          <w:rFonts w:asciiTheme="majorHAnsi" w:hAnsiTheme="majorHAnsi"/>
          <w:sz w:val="22"/>
          <w:szCs w:val="22"/>
        </w:rPr>
        <w:t xml:space="preserve">this request the following day </w:t>
      </w:r>
      <w:r w:rsidR="00065A3F" w:rsidRPr="007321BC">
        <w:rPr>
          <w:rFonts w:asciiTheme="majorHAnsi" w:hAnsiTheme="majorHAnsi"/>
          <w:noProof/>
          <w:sz w:val="22"/>
          <w:szCs w:val="22"/>
        </w:rPr>
        <w:t>and</w:t>
      </w:r>
      <w:r w:rsidR="007B515C" w:rsidRPr="004B0E20">
        <w:rPr>
          <w:rFonts w:asciiTheme="majorHAnsi" w:hAnsiTheme="majorHAnsi"/>
          <w:sz w:val="22"/>
          <w:szCs w:val="22"/>
        </w:rPr>
        <w:t xml:space="preserve"> </w:t>
      </w:r>
      <w:r w:rsidR="0010462A" w:rsidRPr="004B0E20">
        <w:rPr>
          <w:rFonts w:asciiTheme="majorHAnsi" w:hAnsiTheme="majorHAnsi"/>
          <w:sz w:val="22"/>
          <w:szCs w:val="22"/>
        </w:rPr>
        <w:t>th</w:t>
      </w:r>
      <w:r w:rsidR="00283151" w:rsidRPr="004B0E20">
        <w:rPr>
          <w:rFonts w:asciiTheme="majorHAnsi" w:hAnsiTheme="majorHAnsi"/>
          <w:sz w:val="22"/>
          <w:szCs w:val="22"/>
        </w:rPr>
        <w:t>at</w:t>
      </w:r>
      <w:r w:rsidR="00BD60FD" w:rsidRPr="004B0E20">
        <w:rPr>
          <w:rFonts w:asciiTheme="majorHAnsi" w:hAnsiTheme="majorHAnsi"/>
          <w:sz w:val="22"/>
          <w:szCs w:val="22"/>
        </w:rPr>
        <w:t xml:space="preserve"> </w:t>
      </w:r>
      <w:r w:rsidR="005B2DEB" w:rsidRPr="004B0E20">
        <w:rPr>
          <w:rFonts w:asciiTheme="majorHAnsi" w:hAnsiTheme="majorHAnsi"/>
          <w:sz w:val="22"/>
          <w:szCs w:val="22"/>
        </w:rPr>
        <w:t>decision</w:t>
      </w:r>
      <w:r w:rsidR="00BD60FD" w:rsidRPr="004B0E20">
        <w:rPr>
          <w:rFonts w:asciiTheme="majorHAnsi" w:hAnsiTheme="majorHAnsi"/>
          <w:sz w:val="22"/>
          <w:szCs w:val="22"/>
        </w:rPr>
        <w:t xml:space="preserve"> </w:t>
      </w:r>
      <w:r w:rsidR="005B2DEB" w:rsidRPr="007321BC">
        <w:rPr>
          <w:rFonts w:asciiTheme="majorHAnsi" w:hAnsiTheme="majorHAnsi"/>
          <w:noProof/>
          <w:sz w:val="22"/>
          <w:szCs w:val="22"/>
        </w:rPr>
        <w:t xml:space="preserve">was </w:t>
      </w:r>
      <w:r w:rsidR="00BD60FD" w:rsidRPr="007321BC">
        <w:rPr>
          <w:rFonts w:asciiTheme="majorHAnsi" w:hAnsiTheme="majorHAnsi"/>
          <w:noProof/>
          <w:sz w:val="22"/>
          <w:szCs w:val="22"/>
        </w:rPr>
        <w:t>publi</w:t>
      </w:r>
      <w:r w:rsidR="005B2DEB" w:rsidRPr="007321BC">
        <w:rPr>
          <w:rFonts w:asciiTheme="majorHAnsi" w:hAnsiTheme="majorHAnsi"/>
          <w:noProof/>
          <w:sz w:val="22"/>
          <w:szCs w:val="22"/>
        </w:rPr>
        <w:t>shed</w:t>
      </w:r>
      <w:r w:rsidR="005B2DEB" w:rsidRPr="004B0E20">
        <w:rPr>
          <w:rFonts w:asciiTheme="majorHAnsi" w:hAnsiTheme="majorHAnsi"/>
          <w:sz w:val="22"/>
          <w:szCs w:val="22"/>
        </w:rPr>
        <w:t xml:space="preserve"> on </w:t>
      </w:r>
      <w:r w:rsidR="004238FD" w:rsidRPr="004B0E20">
        <w:rPr>
          <w:rFonts w:asciiTheme="majorHAnsi" w:hAnsiTheme="majorHAnsi"/>
          <w:sz w:val="22"/>
          <w:szCs w:val="22"/>
        </w:rPr>
        <w:t>November</w:t>
      </w:r>
      <w:r w:rsidR="00BD60FD" w:rsidRPr="004B0E20">
        <w:rPr>
          <w:rFonts w:asciiTheme="majorHAnsi" w:hAnsiTheme="majorHAnsi"/>
          <w:sz w:val="22"/>
          <w:szCs w:val="22"/>
        </w:rPr>
        <w:t xml:space="preserve"> </w:t>
      </w:r>
      <w:r w:rsidR="005B2DEB" w:rsidRPr="004B0E20">
        <w:rPr>
          <w:rFonts w:asciiTheme="majorHAnsi" w:hAnsiTheme="majorHAnsi"/>
          <w:sz w:val="22"/>
          <w:szCs w:val="22"/>
        </w:rPr>
        <w:t xml:space="preserve">26, </w:t>
      </w:r>
      <w:r w:rsidR="00BD60FD" w:rsidRPr="004B0E20">
        <w:rPr>
          <w:rFonts w:asciiTheme="majorHAnsi" w:hAnsiTheme="majorHAnsi"/>
          <w:sz w:val="22"/>
          <w:szCs w:val="22"/>
        </w:rPr>
        <w:t>2008.</w:t>
      </w:r>
    </w:p>
    <w:p w:rsidR="00EA30AA" w:rsidRPr="004B0E20" w:rsidRDefault="007321B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Pr>
          <w:rFonts w:asciiTheme="majorHAnsi" w:hAnsiTheme="majorHAnsi"/>
          <w:noProof/>
          <w:sz w:val="22"/>
          <w:szCs w:val="22"/>
        </w:rPr>
        <w:lastRenderedPageBreak/>
        <w:t>Given</w:t>
      </w:r>
      <w:r w:rsidR="00521CE9" w:rsidRPr="004B0E20">
        <w:rPr>
          <w:rFonts w:asciiTheme="majorHAnsi" w:hAnsiTheme="majorHAnsi"/>
          <w:sz w:val="22"/>
          <w:szCs w:val="22"/>
        </w:rPr>
        <w:t xml:space="preserve"> </w:t>
      </w:r>
      <w:r w:rsidR="00283151" w:rsidRPr="004B0E20">
        <w:rPr>
          <w:rFonts w:asciiTheme="majorHAnsi" w:hAnsiTheme="majorHAnsi"/>
          <w:sz w:val="22"/>
          <w:szCs w:val="22"/>
        </w:rPr>
        <w:t>such</w:t>
      </w:r>
      <w:r w:rsidR="0049002E" w:rsidRPr="004B0E20">
        <w:rPr>
          <w:rFonts w:asciiTheme="majorHAnsi" w:hAnsiTheme="majorHAnsi"/>
          <w:sz w:val="22"/>
          <w:szCs w:val="22"/>
        </w:rPr>
        <w:t xml:space="preserve"> </w:t>
      </w:r>
      <w:r w:rsidR="00521CE9" w:rsidRPr="004B0E20">
        <w:rPr>
          <w:rFonts w:asciiTheme="majorHAnsi" w:hAnsiTheme="majorHAnsi"/>
          <w:sz w:val="22"/>
          <w:szCs w:val="22"/>
        </w:rPr>
        <w:t>impuni</w:t>
      </w:r>
      <w:r w:rsidR="0049002E" w:rsidRPr="004B0E20">
        <w:rPr>
          <w:rFonts w:asciiTheme="majorHAnsi" w:hAnsiTheme="majorHAnsi"/>
          <w:sz w:val="22"/>
          <w:szCs w:val="22"/>
        </w:rPr>
        <w:t>ty</w:t>
      </w:r>
      <w:r w:rsidR="00521CE9" w:rsidRPr="004B0E20">
        <w:rPr>
          <w:rFonts w:asciiTheme="majorHAnsi" w:hAnsiTheme="majorHAnsi"/>
          <w:sz w:val="22"/>
          <w:szCs w:val="22"/>
        </w:rPr>
        <w:t xml:space="preserve">, </w:t>
      </w:r>
      <w:r w:rsidR="00C51B82" w:rsidRPr="004B0E20">
        <w:rPr>
          <w:rFonts w:asciiTheme="majorHAnsi" w:hAnsiTheme="majorHAnsi"/>
          <w:sz w:val="22"/>
          <w:szCs w:val="22"/>
        </w:rPr>
        <w:t>in</w:t>
      </w:r>
      <w:r w:rsidR="00465D9C" w:rsidRPr="004B0E20">
        <w:rPr>
          <w:rFonts w:asciiTheme="majorHAnsi" w:hAnsiTheme="majorHAnsi"/>
          <w:sz w:val="22"/>
          <w:szCs w:val="22"/>
        </w:rPr>
        <w:t xml:space="preserve"> </w:t>
      </w:r>
      <w:r w:rsidR="004238FD" w:rsidRPr="004B0E20">
        <w:rPr>
          <w:rFonts w:asciiTheme="majorHAnsi" w:hAnsiTheme="majorHAnsi"/>
          <w:sz w:val="22"/>
          <w:szCs w:val="22"/>
        </w:rPr>
        <w:t>May</w:t>
      </w:r>
      <w:r w:rsidR="00465D9C" w:rsidRPr="004B0E20">
        <w:rPr>
          <w:rFonts w:asciiTheme="majorHAnsi" w:hAnsiTheme="majorHAnsi"/>
          <w:sz w:val="22"/>
          <w:szCs w:val="22"/>
        </w:rPr>
        <w:t xml:space="preserve"> 2009, </w:t>
      </w:r>
      <w:r w:rsidR="00AB47B1" w:rsidRPr="004B0E20">
        <w:rPr>
          <w:rFonts w:asciiTheme="majorHAnsi" w:hAnsiTheme="majorHAnsi"/>
          <w:sz w:val="22"/>
          <w:szCs w:val="22"/>
        </w:rPr>
        <w:t>the petitioners</w:t>
      </w:r>
      <w:r w:rsidR="00465D9C" w:rsidRPr="004B0E20">
        <w:rPr>
          <w:rFonts w:asciiTheme="majorHAnsi" w:hAnsiTheme="majorHAnsi"/>
          <w:sz w:val="22"/>
          <w:szCs w:val="22"/>
        </w:rPr>
        <w:t xml:space="preserve"> </w:t>
      </w:r>
      <w:r w:rsidR="0049002E" w:rsidRPr="004B0E20">
        <w:rPr>
          <w:rFonts w:asciiTheme="majorHAnsi" w:hAnsiTheme="majorHAnsi"/>
          <w:sz w:val="22"/>
          <w:szCs w:val="22"/>
        </w:rPr>
        <w:t xml:space="preserve">lodged a </w:t>
      </w:r>
      <w:r w:rsidR="00B20D5C" w:rsidRPr="004B0E20">
        <w:rPr>
          <w:rFonts w:asciiTheme="majorHAnsi" w:hAnsiTheme="majorHAnsi"/>
          <w:sz w:val="22"/>
          <w:szCs w:val="22"/>
        </w:rPr>
        <w:t>petition to transfer jurisdiction</w:t>
      </w:r>
      <w:r w:rsidR="00EC6097" w:rsidRPr="004B0E20">
        <w:rPr>
          <w:rStyle w:val="FootnoteReference"/>
          <w:rFonts w:asciiTheme="majorHAnsi" w:hAnsiTheme="majorHAnsi"/>
          <w:sz w:val="22"/>
          <w:szCs w:val="22"/>
        </w:rPr>
        <w:footnoteReference w:id="6"/>
      </w:r>
      <w:r w:rsidR="00465D9C" w:rsidRPr="004B0E20">
        <w:rPr>
          <w:rFonts w:asciiTheme="majorHAnsi" w:hAnsiTheme="majorHAnsi"/>
          <w:sz w:val="22"/>
          <w:szCs w:val="22"/>
        </w:rPr>
        <w:t xml:space="preserve"> (</w:t>
      </w:r>
      <w:r w:rsidR="00AB47B1" w:rsidRPr="007321BC">
        <w:rPr>
          <w:rFonts w:asciiTheme="majorHAnsi" w:hAnsiTheme="majorHAnsi"/>
          <w:noProof/>
          <w:sz w:val="22"/>
          <w:szCs w:val="22"/>
        </w:rPr>
        <w:t>hereinafter</w:t>
      </w:r>
      <w:r w:rsidR="00465D9C" w:rsidRPr="004B0E20">
        <w:rPr>
          <w:rFonts w:asciiTheme="majorHAnsi" w:hAnsiTheme="majorHAnsi"/>
          <w:sz w:val="22"/>
          <w:szCs w:val="22"/>
        </w:rPr>
        <w:t xml:space="preserve"> “IDC”) </w:t>
      </w:r>
      <w:r w:rsidR="00283151" w:rsidRPr="004B0E20">
        <w:rPr>
          <w:rFonts w:asciiTheme="majorHAnsi" w:hAnsiTheme="majorHAnsi"/>
          <w:sz w:val="22"/>
          <w:szCs w:val="22"/>
        </w:rPr>
        <w:t xml:space="preserve">over </w:t>
      </w:r>
      <w:r w:rsidR="00BC5AB3" w:rsidRPr="004B0E20">
        <w:rPr>
          <w:rFonts w:asciiTheme="majorHAnsi" w:hAnsiTheme="majorHAnsi"/>
          <w:sz w:val="22"/>
          <w:szCs w:val="22"/>
        </w:rPr>
        <w:t xml:space="preserve">both </w:t>
      </w:r>
      <w:r w:rsidR="00E84DBA" w:rsidRPr="004B0E20">
        <w:rPr>
          <w:rFonts w:asciiTheme="majorHAnsi" w:hAnsiTheme="majorHAnsi"/>
          <w:sz w:val="22"/>
          <w:szCs w:val="22"/>
        </w:rPr>
        <w:t>police inquiries</w:t>
      </w:r>
      <w:r w:rsidR="00465D9C" w:rsidRPr="004B0E20">
        <w:rPr>
          <w:rFonts w:asciiTheme="majorHAnsi" w:hAnsiTheme="majorHAnsi"/>
          <w:sz w:val="22"/>
          <w:szCs w:val="22"/>
        </w:rPr>
        <w:t xml:space="preserve">. </w:t>
      </w:r>
      <w:r w:rsidR="00E84DBA" w:rsidRPr="004B0E20">
        <w:rPr>
          <w:rFonts w:asciiTheme="majorHAnsi" w:hAnsiTheme="majorHAnsi"/>
          <w:sz w:val="22"/>
          <w:szCs w:val="22"/>
        </w:rPr>
        <w:t xml:space="preserve">Only </w:t>
      </w:r>
      <w:r w:rsidR="00C51B82" w:rsidRPr="004B0E20">
        <w:rPr>
          <w:rFonts w:asciiTheme="majorHAnsi" w:hAnsiTheme="majorHAnsi"/>
          <w:sz w:val="22"/>
          <w:szCs w:val="22"/>
        </w:rPr>
        <w:t>in</w:t>
      </w:r>
      <w:r w:rsidR="00465D9C" w:rsidRPr="004B0E20">
        <w:rPr>
          <w:rFonts w:asciiTheme="majorHAnsi" w:hAnsiTheme="majorHAnsi"/>
          <w:sz w:val="22"/>
          <w:szCs w:val="22"/>
        </w:rPr>
        <w:t xml:space="preserve"> </w:t>
      </w:r>
      <w:r w:rsidR="004238FD" w:rsidRPr="004B0E20">
        <w:rPr>
          <w:rFonts w:asciiTheme="majorHAnsi" w:hAnsiTheme="majorHAnsi"/>
          <w:sz w:val="22"/>
          <w:szCs w:val="22"/>
        </w:rPr>
        <w:t>May</w:t>
      </w:r>
      <w:r w:rsidR="00465D9C" w:rsidRPr="004B0E20">
        <w:rPr>
          <w:rFonts w:asciiTheme="majorHAnsi" w:hAnsiTheme="majorHAnsi"/>
          <w:sz w:val="22"/>
          <w:szCs w:val="22"/>
        </w:rPr>
        <w:t xml:space="preserve"> 2016</w:t>
      </w:r>
      <w:r w:rsidR="00E84DBA" w:rsidRPr="004B0E20">
        <w:rPr>
          <w:rFonts w:asciiTheme="majorHAnsi" w:hAnsiTheme="majorHAnsi"/>
          <w:sz w:val="22"/>
          <w:szCs w:val="22"/>
        </w:rPr>
        <w:t xml:space="preserve"> did the </w:t>
      </w:r>
      <w:r w:rsidR="005B2DEB" w:rsidRPr="004B0E20">
        <w:rPr>
          <w:rFonts w:asciiTheme="majorHAnsi" w:hAnsiTheme="majorHAnsi"/>
          <w:sz w:val="22"/>
          <w:szCs w:val="22"/>
        </w:rPr>
        <w:t xml:space="preserve">Office of the </w:t>
      </w:r>
      <w:r w:rsidR="00E84DBA" w:rsidRPr="004B0E20">
        <w:rPr>
          <w:rFonts w:asciiTheme="majorHAnsi" w:hAnsiTheme="majorHAnsi"/>
          <w:sz w:val="22"/>
          <w:szCs w:val="22"/>
        </w:rPr>
        <w:t xml:space="preserve">Federal </w:t>
      </w:r>
      <w:r w:rsidR="007C1AD0" w:rsidRPr="004B0E20">
        <w:rPr>
          <w:rFonts w:asciiTheme="majorHAnsi" w:hAnsiTheme="majorHAnsi"/>
          <w:sz w:val="22"/>
          <w:szCs w:val="22"/>
        </w:rPr>
        <w:t>Public Prosecutor</w:t>
      </w:r>
      <w:r w:rsidR="00465D9C" w:rsidRPr="004B0E20">
        <w:rPr>
          <w:rFonts w:asciiTheme="majorHAnsi" w:hAnsiTheme="majorHAnsi"/>
          <w:sz w:val="22"/>
          <w:szCs w:val="22"/>
        </w:rPr>
        <w:t xml:space="preserve"> </w:t>
      </w:r>
      <w:r w:rsidR="00B20D5C" w:rsidRPr="004B0E20">
        <w:rPr>
          <w:rFonts w:asciiTheme="majorHAnsi" w:hAnsiTheme="majorHAnsi"/>
          <w:sz w:val="22"/>
          <w:szCs w:val="22"/>
        </w:rPr>
        <w:t xml:space="preserve">apply to </w:t>
      </w:r>
      <w:r w:rsidR="00BC5AB3" w:rsidRPr="004B0E20">
        <w:rPr>
          <w:rFonts w:asciiTheme="majorHAnsi" w:hAnsiTheme="majorHAnsi"/>
          <w:sz w:val="22"/>
          <w:szCs w:val="22"/>
        </w:rPr>
        <w:t xml:space="preserve">the </w:t>
      </w:r>
      <w:r w:rsidR="00465D9C" w:rsidRPr="004B0E20">
        <w:rPr>
          <w:rFonts w:asciiTheme="majorHAnsi" w:hAnsiTheme="majorHAnsi"/>
          <w:sz w:val="22"/>
          <w:szCs w:val="22"/>
        </w:rPr>
        <w:t xml:space="preserve">Superior Tribunal </w:t>
      </w:r>
      <w:r w:rsidR="00C51B82" w:rsidRPr="004B0E20">
        <w:rPr>
          <w:rFonts w:asciiTheme="majorHAnsi" w:hAnsiTheme="majorHAnsi"/>
          <w:sz w:val="22"/>
          <w:szCs w:val="22"/>
        </w:rPr>
        <w:t>of</w:t>
      </w:r>
      <w:r w:rsidR="00465D9C" w:rsidRPr="004B0E20">
        <w:rPr>
          <w:rFonts w:asciiTheme="majorHAnsi" w:hAnsiTheme="majorHAnsi"/>
          <w:sz w:val="22"/>
          <w:szCs w:val="22"/>
        </w:rPr>
        <w:t xml:space="preserve"> </w:t>
      </w:r>
      <w:r w:rsidR="00DF2D01" w:rsidRPr="004B0E20">
        <w:rPr>
          <w:rFonts w:asciiTheme="majorHAnsi" w:hAnsiTheme="majorHAnsi"/>
          <w:sz w:val="22"/>
          <w:szCs w:val="22"/>
        </w:rPr>
        <w:t>Justice</w:t>
      </w:r>
      <w:r w:rsidR="00EF50BF" w:rsidRPr="004B0E20">
        <w:rPr>
          <w:rFonts w:asciiTheme="majorHAnsi" w:hAnsiTheme="majorHAnsi"/>
          <w:sz w:val="22"/>
          <w:szCs w:val="22"/>
        </w:rPr>
        <w:t xml:space="preserve"> (</w:t>
      </w:r>
      <w:r w:rsidR="00AB47B1" w:rsidRPr="007321BC">
        <w:rPr>
          <w:rFonts w:asciiTheme="majorHAnsi" w:hAnsiTheme="majorHAnsi"/>
          <w:noProof/>
          <w:sz w:val="22"/>
          <w:szCs w:val="22"/>
        </w:rPr>
        <w:t>hereinafter</w:t>
      </w:r>
      <w:r w:rsidR="00EF50BF" w:rsidRPr="004B0E20">
        <w:rPr>
          <w:rFonts w:asciiTheme="majorHAnsi" w:hAnsiTheme="majorHAnsi"/>
          <w:sz w:val="22"/>
          <w:szCs w:val="22"/>
        </w:rPr>
        <w:t xml:space="preserve"> “STJ”)</w:t>
      </w:r>
      <w:r w:rsidR="00B20D5C" w:rsidRPr="004B0E20">
        <w:rPr>
          <w:rFonts w:asciiTheme="majorHAnsi" w:hAnsiTheme="majorHAnsi"/>
          <w:sz w:val="22"/>
          <w:szCs w:val="22"/>
        </w:rPr>
        <w:t xml:space="preserve"> for a transfer of jurisdiction</w:t>
      </w:r>
      <w:r w:rsidR="00EC6097" w:rsidRPr="004B0E20">
        <w:rPr>
          <w:rFonts w:asciiTheme="majorHAnsi" w:hAnsiTheme="majorHAnsi"/>
          <w:sz w:val="22"/>
          <w:szCs w:val="22"/>
        </w:rPr>
        <w:t xml:space="preserve">. </w:t>
      </w:r>
      <w:r w:rsidR="00283151" w:rsidRPr="004B0E20">
        <w:rPr>
          <w:rFonts w:asciiTheme="majorHAnsi" w:hAnsiTheme="majorHAnsi"/>
          <w:sz w:val="22"/>
          <w:szCs w:val="22"/>
        </w:rPr>
        <w:t>However, the petitioners</w:t>
      </w:r>
      <w:r w:rsidR="00BC5AB3" w:rsidRPr="004B0E20">
        <w:rPr>
          <w:rFonts w:asciiTheme="majorHAnsi" w:hAnsiTheme="majorHAnsi"/>
          <w:sz w:val="22"/>
          <w:szCs w:val="22"/>
        </w:rPr>
        <w:t xml:space="preserve"> allege, two years went by</w:t>
      </w:r>
      <w:r>
        <w:rPr>
          <w:rFonts w:asciiTheme="majorHAnsi" w:hAnsiTheme="majorHAnsi"/>
          <w:sz w:val="22"/>
          <w:szCs w:val="22"/>
        </w:rPr>
        <w:t>,</w:t>
      </w:r>
      <w:r w:rsidR="00BC5AB3" w:rsidRPr="004B0E20">
        <w:rPr>
          <w:rFonts w:asciiTheme="majorHAnsi" w:hAnsiTheme="majorHAnsi"/>
          <w:sz w:val="22"/>
          <w:szCs w:val="22"/>
        </w:rPr>
        <w:t xml:space="preserve"> </w:t>
      </w:r>
      <w:r w:rsidR="00BC5AB3" w:rsidRPr="007321BC">
        <w:rPr>
          <w:rFonts w:asciiTheme="majorHAnsi" w:hAnsiTheme="majorHAnsi"/>
          <w:noProof/>
          <w:sz w:val="22"/>
          <w:szCs w:val="22"/>
        </w:rPr>
        <w:t>and</w:t>
      </w:r>
      <w:r w:rsidR="00BC5AB3" w:rsidRPr="004B0E20">
        <w:rPr>
          <w:rFonts w:asciiTheme="majorHAnsi" w:hAnsiTheme="majorHAnsi"/>
          <w:sz w:val="22"/>
          <w:szCs w:val="22"/>
        </w:rPr>
        <w:t xml:space="preserve"> no measure </w:t>
      </w:r>
      <w:r w:rsidR="00BC5AB3" w:rsidRPr="007321BC">
        <w:rPr>
          <w:rFonts w:asciiTheme="majorHAnsi" w:hAnsiTheme="majorHAnsi"/>
          <w:noProof/>
          <w:sz w:val="22"/>
          <w:szCs w:val="22"/>
        </w:rPr>
        <w:t>was taken</w:t>
      </w:r>
      <w:r w:rsidR="00EC6097" w:rsidRPr="004B0E20">
        <w:rPr>
          <w:rFonts w:asciiTheme="majorHAnsi" w:hAnsiTheme="majorHAnsi"/>
          <w:sz w:val="22"/>
          <w:szCs w:val="22"/>
        </w:rPr>
        <w:t>.</w:t>
      </w:r>
      <w:r w:rsidR="00EA30AA" w:rsidRPr="004B0E20">
        <w:rPr>
          <w:rFonts w:asciiTheme="majorHAnsi" w:hAnsiTheme="majorHAnsi"/>
          <w:sz w:val="22"/>
          <w:szCs w:val="22"/>
        </w:rPr>
        <w:t xml:space="preserve"> </w:t>
      </w:r>
    </w:p>
    <w:p w:rsidR="00465D9C" w:rsidRPr="004B0E20" w:rsidRDefault="00AB47B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sz w:val="22"/>
          <w:szCs w:val="22"/>
        </w:rPr>
        <w:t>The petitioners</w:t>
      </w:r>
      <w:r w:rsidR="00EA30AA" w:rsidRPr="004B0E20">
        <w:rPr>
          <w:rFonts w:asciiTheme="majorHAnsi" w:hAnsiTheme="majorHAnsi"/>
          <w:sz w:val="22"/>
          <w:szCs w:val="22"/>
        </w:rPr>
        <w:t xml:space="preserve"> </w:t>
      </w:r>
      <w:r w:rsidR="00283151" w:rsidRPr="004B0E20">
        <w:rPr>
          <w:rFonts w:asciiTheme="majorHAnsi" w:hAnsiTheme="majorHAnsi"/>
          <w:sz w:val="22"/>
          <w:szCs w:val="22"/>
        </w:rPr>
        <w:t xml:space="preserve">point to </w:t>
      </w:r>
      <w:r w:rsidR="00386413" w:rsidRPr="004B0E20">
        <w:rPr>
          <w:rFonts w:asciiTheme="majorHAnsi" w:hAnsiTheme="majorHAnsi"/>
          <w:sz w:val="22"/>
          <w:szCs w:val="22"/>
        </w:rPr>
        <w:t>a</w:t>
      </w:r>
      <w:r w:rsidR="00283151" w:rsidRPr="004B0E20">
        <w:rPr>
          <w:rFonts w:asciiTheme="majorHAnsi" w:hAnsiTheme="majorHAnsi"/>
          <w:sz w:val="22"/>
          <w:szCs w:val="22"/>
        </w:rPr>
        <w:t xml:space="preserve"> </w:t>
      </w:r>
      <w:r w:rsidR="00E50B21" w:rsidRPr="004B0E20">
        <w:rPr>
          <w:rFonts w:asciiTheme="majorHAnsi" w:hAnsiTheme="majorHAnsi"/>
          <w:sz w:val="22"/>
          <w:szCs w:val="22"/>
        </w:rPr>
        <w:t>context</w:t>
      </w:r>
      <w:r w:rsidR="00EA30AA" w:rsidRPr="004B0E20">
        <w:rPr>
          <w:rFonts w:asciiTheme="majorHAnsi" w:hAnsiTheme="majorHAnsi"/>
          <w:sz w:val="22"/>
          <w:szCs w:val="22"/>
        </w:rPr>
        <w:t xml:space="preserve"> </w:t>
      </w:r>
      <w:r w:rsidR="00C51B82" w:rsidRPr="004B0E20">
        <w:rPr>
          <w:rFonts w:asciiTheme="majorHAnsi" w:hAnsiTheme="majorHAnsi"/>
          <w:sz w:val="22"/>
          <w:szCs w:val="22"/>
        </w:rPr>
        <w:t>of</w:t>
      </w:r>
      <w:r w:rsidR="00EA30AA" w:rsidRPr="004B0E20">
        <w:rPr>
          <w:rFonts w:asciiTheme="majorHAnsi" w:hAnsiTheme="majorHAnsi"/>
          <w:sz w:val="22"/>
          <w:szCs w:val="22"/>
        </w:rPr>
        <w:t xml:space="preserve"> </w:t>
      </w:r>
      <w:r w:rsidR="00C51B82" w:rsidRPr="004B0E20">
        <w:rPr>
          <w:rFonts w:asciiTheme="majorHAnsi" w:hAnsiTheme="majorHAnsi"/>
          <w:sz w:val="22"/>
          <w:szCs w:val="22"/>
        </w:rPr>
        <w:t>excessive use of force</w:t>
      </w:r>
      <w:r w:rsidR="00EA30AA" w:rsidRPr="004B0E20">
        <w:rPr>
          <w:rFonts w:asciiTheme="majorHAnsi" w:hAnsiTheme="majorHAnsi"/>
          <w:sz w:val="22"/>
          <w:szCs w:val="22"/>
        </w:rPr>
        <w:t xml:space="preserve"> </w:t>
      </w:r>
      <w:r w:rsidR="00E50B21" w:rsidRPr="004B0E20">
        <w:rPr>
          <w:rFonts w:asciiTheme="majorHAnsi" w:hAnsiTheme="majorHAnsi"/>
          <w:sz w:val="22"/>
          <w:szCs w:val="22"/>
        </w:rPr>
        <w:t xml:space="preserve">by police </w:t>
      </w:r>
      <w:r w:rsidR="00065A3F" w:rsidRPr="004B0E20">
        <w:rPr>
          <w:rFonts w:asciiTheme="majorHAnsi" w:hAnsiTheme="majorHAnsi"/>
          <w:sz w:val="22"/>
          <w:szCs w:val="22"/>
        </w:rPr>
        <w:t>and</w:t>
      </w:r>
      <w:r w:rsidR="00EA30AA" w:rsidRPr="004B0E20">
        <w:rPr>
          <w:rFonts w:asciiTheme="majorHAnsi" w:hAnsiTheme="majorHAnsi"/>
          <w:sz w:val="22"/>
          <w:szCs w:val="22"/>
        </w:rPr>
        <w:t xml:space="preserve"> </w:t>
      </w:r>
      <w:r w:rsidR="00386413" w:rsidRPr="004B0E20">
        <w:rPr>
          <w:rFonts w:asciiTheme="majorHAnsi" w:hAnsiTheme="majorHAnsi"/>
          <w:sz w:val="22"/>
          <w:szCs w:val="22"/>
        </w:rPr>
        <w:t>a</w:t>
      </w:r>
      <w:r w:rsidR="00E50B21" w:rsidRPr="004B0E20">
        <w:rPr>
          <w:rFonts w:asciiTheme="majorHAnsi" w:hAnsiTheme="majorHAnsi"/>
          <w:sz w:val="22"/>
          <w:szCs w:val="22"/>
        </w:rPr>
        <w:t xml:space="preserve"> high fatality </w:t>
      </w:r>
      <w:r w:rsidR="00386413" w:rsidRPr="004B0E20">
        <w:rPr>
          <w:rFonts w:asciiTheme="majorHAnsi" w:hAnsiTheme="majorHAnsi"/>
          <w:sz w:val="22"/>
          <w:szCs w:val="22"/>
        </w:rPr>
        <w:t xml:space="preserve">rate in </w:t>
      </w:r>
      <w:r w:rsidR="00E50B21" w:rsidRPr="004B0E20">
        <w:rPr>
          <w:rFonts w:asciiTheme="majorHAnsi" w:hAnsiTheme="majorHAnsi"/>
          <w:sz w:val="22"/>
          <w:szCs w:val="22"/>
        </w:rPr>
        <w:t xml:space="preserve">operations by public security agents in </w:t>
      </w:r>
      <w:r w:rsidR="00DF2D01" w:rsidRPr="004B0E20">
        <w:rPr>
          <w:rFonts w:asciiTheme="majorHAnsi" w:hAnsiTheme="majorHAnsi"/>
          <w:sz w:val="22"/>
          <w:szCs w:val="22"/>
        </w:rPr>
        <w:t>Brazil</w:t>
      </w:r>
      <w:r w:rsidR="00EA30AA" w:rsidRPr="004B0E20">
        <w:rPr>
          <w:rFonts w:asciiTheme="majorHAnsi" w:hAnsiTheme="majorHAnsi"/>
          <w:sz w:val="22"/>
          <w:szCs w:val="22"/>
        </w:rPr>
        <w:t xml:space="preserve">. </w:t>
      </w:r>
      <w:r w:rsidR="00386413" w:rsidRPr="007321BC">
        <w:rPr>
          <w:rFonts w:asciiTheme="majorHAnsi" w:hAnsiTheme="majorHAnsi"/>
          <w:noProof/>
          <w:sz w:val="22"/>
          <w:szCs w:val="22"/>
        </w:rPr>
        <w:t>With p</w:t>
      </w:r>
      <w:r w:rsidR="00DF2D01" w:rsidRPr="007321BC">
        <w:rPr>
          <w:rFonts w:asciiTheme="majorHAnsi" w:hAnsiTheme="majorHAnsi"/>
          <w:noProof/>
          <w:sz w:val="22"/>
          <w:szCs w:val="22"/>
        </w:rPr>
        <w:t>articular</w:t>
      </w:r>
      <w:r w:rsidR="00386413" w:rsidRPr="007321BC">
        <w:rPr>
          <w:rFonts w:asciiTheme="majorHAnsi" w:hAnsiTheme="majorHAnsi"/>
          <w:noProof/>
          <w:sz w:val="22"/>
          <w:szCs w:val="22"/>
        </w:rPr>
        <w:t xml:space="preserve"> respect </w:t>
      </w:r>
      <w:r w:rsidR="00DF2D01" w:rsidRPr="007321BC">
        <w:rPr>
          <w:rFonts w:asciiTheme="majorHAnsi" w:hAnsiTheme="majorHAnsi"/>
          <w:noProof/>
          <w:sz w:val="22"/>
          <w:szCs w:val="22"/>
        </w:rPr>
        <w:t xml:space="preserve">to extrajudicial executions that took place in May 2006–identified by the petitioners as </w:t>
      </w:r>
      <w:r w:rsidR="00386413" w:rsidRPr="007321BC">
        <w:rPr>
          <w:rFonts w:asciiTheme="majorHAnsi" w:hAnsiTheme="majorHAnsi"/>
          <w:noProof/>
          <w:sz w:val="22"/>
          <w:szCs w:val="22"/>
        </w:rPr>
        <w:t xml:space="preserve">death </w:t>
      </w:r>
      <w:r w:rsidR="00DF2D01" w:rsidRPr="007321BC">
        <w:rPr>
          <w:rFonts w:asciiTheme="majorHAnsi" w:hAnsiTheme="majorHAnsi"/>
          <w:noProof/>
          <w:sz w:val="22"/>
          <w:szCs w:val="22"/>
        </w:rPr>
        <w:t xml:space="preserve">squads </w:t>
      </w:r>
      <w:r w:rsidR="00386413" w:rsidRPr="007321BC">
        <w:rPr>
          <w:rFonts w:asciiTheme="majorHAnsi" w:hAnsiTheme="majorHAnsi"/>
          <w:noProof/>
          <w:sz w:val="22"/>
          <w:szCs w:val="22"/>
        </w:rPr>
        <w:t xml:space="preserve">made up </w:t>
      </w:r>
      <w:r w:rsidR="00DF2D01" w:rsidRPr="007321BC">
        <w:rPr>
          <w:rFonts w:asciiTheme="majorHAnsi" w:hAnsiTheme="majorHAnsi"/>
          <w:noProof/>
          <w:sz w:val="22"/>
          <w:szCs w:val="22"/>
        </w:rPr>
        <w:t>of State agents--they pr</w:t>
      </w:r>
      <w:r w:rsidR="00386413" w:rsidRPr="007321BC">
        <w:rPr>
          <w:rFonts w:asciiTheme="majorHAnsi" w:hAnsiTheme="majorHAnsi"/>
          <w:noProof/>
          <w:sz w:val="22"/>
          <w:szCs w:val="22"/>
        </w:rPr>
        <w:t xml:space="preserve">ovide </w:t>
      </w:r>
      <w:r w:rsidR="00DF2D01" w:rsidRPr="007321BC">
        <w:rPr>
          <w:rFonts w:asciiTheme="majorHAnsi" w:hAnsiTheme="majorHAnsi"/>
          <w:noProof/>
          <w:sz w:val="22"/>
          <w:szCs w:val="22"/>
        </w:rPr>
        <w:t>data collected and analyzed by the Regional Medical Council of the State of São Paulo and by the University of the State of Rio de Janeiro</w:t>
      </w:r>
      <w:r w:rsidR="00787FC9" w:rsidRPr="007321BC">
        <w:rPr>
          <w:rFonts w:asciiTheme="majorHAnsi" w:hAnsiTheme="majorHAnsi"/>
          <w:noProof/>
          <w:sz w:val="22"/>
          <w:szCs w:val="22"/>
        </w:rPr>
        <w:t xml:space="preserve"> (</w:t>
      </w:r>
      <w:r w:rsidR="00DF2D01" w:rsidRPr="007321BC">
        <w:rPr>
          <w:rFonts w:asciiTheme="majorHAnsi" w:hAnsiTheme="majorHAnsi"/>
          <w:noProof/>
          <w:sz w:val="22"/>
          <w:szCs w:val="22"/>
        </w:rPr>
        <w:t>UERJ</w:t>
      </w:r>
      <w:r w:rsidR="00787FC9" w:rsidRPr="007321BC">
        <w:rPr>
          <w:rFonts w:asciiTheme="majorHAnsi" w:hAnsiTheme="majorHAnsi"/>
          <w:noProof/>
          <w:sz w:val="22"/>
          <w:szCs w:val="22"/>
        </w:rPr>
        <w:t>)</w:t>
      </w:r>
      <w:r w:rsidR="00DF2D01" w:rsidRPr="007321BC">
        <w:rPr>
          <w:rFonts w:asciiTheme="majorHAnsi" w:hAnsiTheme="majorHAnsi"/>
          <w:noProof/>
          <w:sz w:val="22"/>
          <w:szCs w:val="22"/>
        </w:rPr>
        <w:t xml:space="preserve">, </w:t>
      </w:r>
      <w:r w:rsidR="00386413" w:rsidRPr="007321BC">
        <w:rPr>
          <w:rFonts w:asciiTheme="majorHAnsi" w:hAnsiTheme="majorHAnsi"/>
          <w:noProof/>
          <w:sz w:val="22"/>
          <w:szCs w:val="22"/>
        </w:rPr>
        <w:t>which allegedly demonstrate</w:t>
      </w:r>
      <w:r w:rsidR="00DF2D01" w:rsidRPr="007321BC">
        <w:rPr>
          <w:rFonts w:asciiTheme="majorHAnsi" w:hAnsiTheme="majorHAnsi"/>
          <w:noProof/>
          <w:sz w:val="22"/>
          <w:szCs w:val="22"/>
        </w:rPr>
        <w:t xml:space="preserve"> the pattern </w:t>
      </w:r>
      <w:r w:rsidR="00787FC9" w:rsidRPr="007321BC">
        <w:rPr>
          <w:rFonts w:asciiTheme="majorHAnsi" w:hAnsiTheme="majorHAnsi"/>
          <w:noProof/>
          <w:sz w:val="22"/>
          <w:szCs w:val="22"/>
        </w:rPr>
        <w:t xml:space="preserve">of </w:t>
      </w:r>
      <w:r w:rsidR="00DF2D01" w:rsidRPr="007321BC">
        <w:rPr>
          <w:rFonts w:asciiTheme="majorHAnsi" w:hAnsiTheme="majorHAnsi"/>
          <w:noProof/>
          <w:sz w:val="22"/>
          <w:szCs w:val="22"/>
        </w:rPr>
        <w:t>actions taken in that period.</w:t>
      </w:r>
      <w:r w:rsidR="00DF2D01" w:rsidRPr="004B0E20">
        <w:rPr>
          <w:rFonts w:asciiTheme="majorHAnsi" w:hAnsiTheme="majorHAnsi"/>
          <w:sz w:val="22"/>
          <w:szCs w:val="22"/>
        </w:rPr>
        <w:t xml:space="preserve"> </w:t>
      </w:r>
      <w:r w:rsidR="0010462A" w:rsidRPr="004B0E20">
        <w:rPr>
          <w:rFonts w:asciiTheme="majorHAnsi" w:hAnsiTheme="majorHAnsi"/>
          <w:sz w:val="22"/>
          <w:szCs w:val="22"/>
        </w:rPr>
        <w:t>They state</w:t>
      </w:r>
      <w:r w:rsidR="00DD2D2E" w:rsidRPr="004B0E20">
        <w:rPr>
          <w:rFonts w:asciiTheme="majorHAnsi" w:hAnsiTheme="majorHAnsi"/>
          <w:sz w:val="22"/>
          <w:szCs w:val="22"/>
        </w:rPr>
        <w:t xml:space="preserve"> </w:t>
      </w:r>
      <w:r w:rsidR="00100EE6" w:rsidRPr="004B0E20">
        <w:rPr>
          <w:rFonts w:asciiTheme="majorHAnsi" w:hAnsiTheme="majorHAnsi"/>
          <w:sz w:val="22"/>
          <w:szCs w:val="22"/>
        </w:rPr>
        <w:t>that</w:t>
      </w:r>
      <w:r w:rsidR="00DD2D2E" w:rsidRPr="004B0E20">
        <w:rPr>
          <w:rFonts w:asciiTheme="majorHAnsi" w:hAnsiTheme="majorHAnsi"/>
          <w:sz w:val="22"/>
          <w:szCs w:val="22"/>
        </w:rPr>
        <w:t xml:space="preserve"> </w:t>
      </w:r>
      <w:r w:rsidR="004238FD" w:rsidRPr="004B0E20">
        <w:rPr>
          <w:rFonts w:asciiTheme="majorHAnsi" w:hAnsiTheme="majorHAnsi"/>
          <w:sz w:val="22"/>
          <w:szCs w:val="22"/>
        </w:rPr>
        <w:t xml:space="preserve">most </w:t>
      </w:r>
      <w:r w:rsidR="00065A3F" w:rsidRPr="004B0E20">
        <w:rPr>
          <w:rFonts w:asciiTheme="majorHAnsi" w:hAnsiTheme="majorHAnsi"/>
          <w:sz w:val="22"/>
          <w:szCs w:val="22"/>
        </w:rPr>
        <w:t>of the</w:t>
      </w:r>
      <w:r w:rsidR="00DD2D2E" w:rsidRPr="004B0E20">
        <w:rPr>
          <w:rFonts w:asciiTheme="majorHAnsi" w:hAnsiTheme="majorHAnsi"/>
          <w:sz w:val="22"/>
          <w:szCs w:val="22"/>
        </w:rPr>
        <w:t xml:space="preserve"> </w:t>
      </w:r>
      <w:r w:rsidR="00633D18" w:rsidRPr="004B0E20">
        <w:rPr>
          <w:rFonts w:asciiTheme="majorHAnsi" w:hAnsiTheme="majorHAnsi"/>
          <w:sz w:val="22"/>
          <w:szCs w:val="22"/>
        </w:rPr>
        <w:t>gunshot</w:t>
      </w:r>
      <w:r w:rsidR="00594645" w:rsidRPr="004B0E20">
        <w:rPr>
          <w:rFonts w:asciiTheme="majorHAnsi" w:hAnsiTheme="majorHAnsi"/>
          <w:sz w:val="22"/>
          <w:szCs w:val="22"/>
        </w:rPr>
        <w:t xml:space="preserve"> </w:t>
      </w:r>
      <w:r w:rsidR="004238FD" w:rsidRPr="004B0E20">
        <w:rPr>
          <w:rFonts w:asciiTheme="majorHAnsi" w:hAnsiTheme="majorHAnsi"/>
          <w:sz w:val="22"/>
          <w:szCs w:val="22"/>
        </w:rPr>
        <w:t>wounds found</w:t>
      </w:r>
      <w:r w:rsidR="00DD2D2E" w:rsidRPr="004B0E20">
        <w:rPr>
          <w:rFonts w:asciiTheme="majorHAnsi" w:hAnsiTheme="majorHAnsi"/>
          <w:sz w:val="22"/>
          <w:szCs w:val="22"/>
        </w:rPr>
        <w:t xml:space="preserve"> </w:t>
      </w:r>
      <w:r w:rsidR="004238FD" w:rsidRPr="004B0E20">
        <w:rPr>
          <w:rFonts w:asciiTheme="majorHAnsi" w:hAnsiTheme="majorHAnsi"/>
          <w:sz w:val="22"/>
          <w:szCs w:val="22"/>
        </w:rPr>
        <w:t xml:space="preserve">on the </w:t>
      </w:r>
      <w:r w:rsidR="00386413" w:rsidRPr="004B0E20">
        <w:rPr>
          <w:rFonts w:asciiTheme="majorHAnsi" w:hAnsiTheme="majorHAnsi"/>
          <w:sz w:val="22"/>
          <w:szCs w:val="22"/>
        </w:rPr>
        <w:t>bodies</w:t>
      </w:r>
      <w:r w:rsidR="00DD2D2E" w:rsidRPr="004B0E20">
        <w:rPr>
          <w:rFonts w:asciiTheme="majorHAnsi" w:hAnsiTheme="majorHAnsi"/>
          <w:sz w:val="22"/>
          <w:szCs w:val="22"/>
        </w:rPr>
        <w:t>–inclu</w:t>
      </w:r>
      <w:r w:rsidR="004238FD" w:rsidRPr="004B0E20">
        <w:rPr>
          <w:rFonts w:asciiTheme="majorHAnsi" w:hAnsiTheme="majorHAnsi"/>
          <w:sz w:val="22"/>
          <w:szCs w:val="22"/>
        </w:rPr>
        <w:t xml:space="preserve">ding those </w:t>
      </w:r>
      <w:r w:rsidR="00065A3F" w:rsidRPr="004B0E20">
        <w:rPr>
          <w:rFonts w:asciiTheme="majorHAnsi" w:hAnsiTheme="majorHAnsi"/>
          <w:sz w:val="22"/>
          <w:szCs w:val="22"/>
        </w:rPr>
        <w:t>of the</w:t>
      </w:r>
      <w:r w:rsidR="00DD2D2E" w:rsidRPr="004B0E20">
        <w:rPr>
          <w:rFonts w:asciiTheme="majorHAnsi" w:hAnsiTheme="majorHAnsi"/>
          <w:sz w:val="22"/>
          <w:szCs w:val="22"/>
        </w:rPr>
        <w:t xml:space="preserve"> </w:t>
      </w:r>
      <w:r w:rsidRPr="004B0E20">
        <w:rPr>
          <w:rFonts w:asciiTheme="majorHAnsi" w:hAnsiTheme="majorHAnsi"/>
          <w:sz w:val="22"/>
          <w:szCs w:val="22"/>
        </w:rPr>
        <w:t>alleged victims</w:t>
      </w:r>
      <w:r w:rsidR="00594645" w:rsidRPr="004B0E20">
        <w:rPr>
          <w:rFonts w:asciiTheme="majorHAnsi" w:hAnsiTheme="majorHAnsi"/>
          <w:sz w:val="22"/>
          <w:szCs w:val="22"/>
        </w:rPr>
        <w:t>–</w:t>
      </w:r>
      <w:r w:rsidR="004238FD" w:rsidRPr="004B0E20">
        <w:rPr>
          <w:rFonts w:asciiTheme="majorHAnsi" w:hAnsiTheme="majorHAnsi"/>
          <w:sz w:val="22"/>
          <w:szCs w:val="22"/>
        </w:rPr>
        <w:t xml:space="preserve">were on the back of the body </w:t>
      </w:r>
      <w:r w:rsidR="00065A3F" w:rsidRPr="004B0E20">
        <w:rPr>
          <w:rFonts w:asciiTheme="majorHAnsi" w:hAnsiTheme="majorHAnsi"/>
          <w:sz w:val="22"/>
          <w:szCs w:val="22"/>
        </w:rPr>
        <w:t>and</w:t>
      </w:r>
      <w:r w:rsidR="00594645" w:rsidRPr="004B0E20">
        <w:rPr>
          <w:rFonts w:asciiTheme="majorHAnsi" w:hAnsiTheme="majorHAnsi"/>
          <w:sz w:val="22"/>
          <w:szCs w:val="22"/>
        </w:rPr>
        <w:t xml:space="preserve"> </w:t>
      </w:r>
      <w:r w:rsidR="004238FD" w:rsidRPr="004B0E20">
        <w:rPr>
          <w:rFonts w:asciiTheme="majorHAnsi" w:hAnsiTheme="majorHAnsi"/>
          <w:sz w:val="22"/>
          <w:szCs w:val="22"/>
        </w:rPr>
        <w:t>the head</w:t>
      </w:r>
      <w:r w:rsidR="00594645" w:rsidRPr="004B0E20">
        <w:rPr>
          <w:rFonts w:asciiTheme="majorHAnsi" w:hAnsiTheme="majorHAnsi"/>
          <w:sz w:val="22"/>
          <w:szCs w:val="22"/>
        </w:rPr>
        <w:t>.</w:t>
      </w:r>
    </w:p>
    <w:p w:rsidR="003C72B4" w:rsidRPr="004B0E20" w:rsidRDefault="004B59FF" w:rsidP="00065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sz w:val="22"/>
          <w:szCs w:val="22"/>
        </w:rPr>
        <w:t>The</w:t>
      </w:r>
      <w:r w:rsidR="00405BE6" w:rsidRPr="004B0E20">
        <w:rPr>
          <w:rFonts w:asciiTheme="majorHAnsi" w:hAnsiTheme="majorHAnsi"/>
          <w:sz w:val="22"/>
          <w:szCs w:val="22"/>
        </w:rPr>
        <w:t xml:space="preserve"> </w:t>
      </w:r>
      <w:r w:rsidR="00AB47B1" w:rsidRPr="004B0E20">
        <w:rPr>
          <w:rFonts w:asciiTheme="majorHAnsi" w:hAnsiTheme="majorHAnsi"/>
          <w:sz w:val="22"/>
          <w:szCs w:val="22"/>
        </w:rPr>
        <w:t>State</w:t>
      </w:r>
      <w:r w:rsidR="00405BE6" w:rsidRPr="004B0E20">
        <w:rPr>
          <w:rFonts w:asciiTheme="majorHAnsi" w:hAnsiTheme="majorHAnsi"/>
          <w:sz w:val="22"/>
          <w:szCs w:val="22"/>
        </w:rPr>
        <w:t xml:space="preserve">, </w:t>
      </w:r>
      <w:r w:rsidRPr="004B0E20">
        <w:rPr>
          <w:rFonts w:asciiTheme="majorHAnsi" w:hAnsiTheme="majorHAnsi"/>
          <w:sz w:val="22"/>
          <w:szCs w:val="22"/>
        </w:rPr>
        <w:t>for its part</w:t>
      </w:r>
      <w:r w:rsidR="00BB3F88" w:rsidRPr="004B0E20">
        <w:rPr>
          <w:rFonts w:asciiTheme="majorHAnsi" w:hAnsiTheme="majorHAnsi"/>
          <w:sz w:val="22"/>
          <w:szCs w:val="22"/>
        </w:rPr>
        <w:t xml:space="preserve">, </w:t>
      </w:r>
      <w:r w:rsidR="00386413" w:rsidRPr="004B0E20">
        <w:rPr>
          <w:rFonts w:asciiTheme="majorHAnsi" w:hAnsiTheme="majorHAnsi"/>
          <w:sz w:val="22"/>
          <w:szCs w:val="22"/>
        </w:rPr>
        <w:t xml:space="preserve">maintains </w:t>
      </w:r>
      <w:r w:rsidR="00100EE6" w:rsidRPr="004B0E20">
        <w:rPr>
          <w:rFonts w:asciiTheme="majorHAnsi" w:hAnsiTheme="majorHAnsi"/>
          <w:sz w:val="22"/>
          <w:szCs w:val="22"/>
        </w:rPr>
        <w:t>that</w:t>
      </w:r>
      <w:r w:rsidR="00BB3F88" w:rsidRPr="004B0E20">
        <w:rPr>
          <w:rFonts w:asciiTheme="majorHAnsi" w:hAnsiTheme="majorHAnsi"/>
          <w:sz w:val="22"/>
          <w:szCs w:val="22"/>
        </w:rPr>
        <w:t xml:space="preserve"> </w:t>
      </w:r>
      <w:r w:rsidR="00FA28AC" w:rsidRPr="004B0E20">
        <w:rPr>
          <w:rFonts w:asciiTheme="majorHAnsi" w:hAnsiTheme="majorHAnsi"/>
          <w:sz w:val="22"/>
          <w:szCs w:val="22"/>
        </w:rPr>
        <w:t xml:space="preserve">the </w:t>
      </w:r>
      <w:r w:rsidR="004238FD" w:rsidRPr="004B0E20">
        <w:rPr>
          <w:rFonts w:asciiTheme="majorHAnsi" w:hAnsiTheme="majorHAnsi"/>
          <w:sz w:val="22"/>
          <w:szCs w:val="22"/>
        </w:rPr>
        <w:t>police inquiry</w:t>
      </w:r>
      <w:r w:rsidR="00BB3F88" w:rsidRPr="004B0E20">
        <w:rPr>
          <w:rFonts w:asciiTheme="majorHAnsi" w:hAnsiTheme="majorHAnsi"/>
          <w:sz w:val="22"/>
          <w:szCs w:val="22"/>
        </w:rPr>
        <w:t xml:space="preserve"> </w:t>
      </w:r>
      <w:r w:rsidR="00633D18" w:rsidRPr="007321BC">
        <w:rPr>
          <w:rFonts w:asciiTheme="majorHAnsi" w:hAnsiTheme="majorHAnsi"/>
          <w:noProof/>
          <w:sz w:val="22"/>
          <w:szCs w:val="22"/>
        </w:rPr>
        <w:t>was</w:t>
      </w:r>
      <w:r w:rsidR="00BB3F88" w:rsidRPr="007321BC">
        <w:rPr>
          <w:rFonts w:asciiTheme="majorHAnsi" w:hAnsiTheme="majorHAnsi"/>
          <w:noProof/>
          <w:sz w:val="22"/>
          <w:szCs w:val="22"/>
        </w:rPr>
        <w:t xml:space="preserve"> </w:t>
      </w:r>
      <w:r w:rsidR="00FA28AC" w:rsidRPr="007321BC">
        <w:rPr>
          <w:rFonts w:asciiTheme="majorHAnsi" w:hAnsiTheme="majorHAnsi"/>
          <w:noProof/>
          <w:sz w:val="22"/>
          <w:szCs w:val="22"/>
        </w:rPr>
        <w:t>initiated</w:t>
      </w:r>
      <w:r w:rsidR="00BB3F88" w:rsidRPr="004B0E20">
        <w:rPr>
          <w:rFonts w:asciiTheme="majorHAnsi" w:hAnsiTheme="majorHAnsi"/>
          <w:sz w:val="22"/>
          <w:szCs w:val="22"/>
        </w:rPr>
        <w:t xml:space="preserve"> </w:t>
      </w:r>
      <w:r w:rsidR="00FA28AC" w:rsidRPr="004B0E20">
        <w:rPr>
          <w:rFonts w:asciiTheme="majorHAnsi" w:hAnsiTheme="majorHAnsi"/>
          <w:sz w:val="22"/>
          <w:szCs w:val="22"/>
        </w:rPr>
        <w:t xml:space="preserve">on May </w:t>
      </w:r>
      <w:r w:rsidR="00BB3F88" w:rsidRPr="004B0E20">
        <w:rPr>
          <w:rFonts w:asciiTheme="majorHAnsi" w:hAnsiTheme="majorHAnsi"/>
          <w:sz w:val="22"/>
          <w:szCs w:val="22"/>
        </w:rPr>
        <w:t>15</w:t>
      </w:r>
      <w:r w:rsidR="00FA28AC" w:rsidRPr="004B0E20">
        <w:rPr>
          <w:rFonts w:asciiTheme="majorHAnsi" w:hAnsiTheme="majorHAnsi"/>
          <w:sz w:val="22"/>
          <w:szCs w:val="22"/>
        </w:rPr>
        <w:t>,</w:t>
      </w:r>
      <w:r w:rsidR="00BB3F88" w:rsidRPr="004B0E20">
        <w:rPr>
          <w:rFonts w:asciiTheme="majorHAnsi" w:hAnsiTheme="majorHAnsi"/>
          <w:sz w:val="22"/>
          <w:szCs w:val="22"/>
        </w:rPr>
        <w:t xml:space="preserve"> 2006, </w:t>
      </w:r>
      <w:r w:rsidR="00FA28AC" w:rsidRPr="004B0E20">
        <w:rPr>
          <w:rFonts w:asciiTheme="majorHAnsi" w:hAnsiTheme="majorHAnsi"/>
          <w:sz w:val="22"/>
          <w:szCs w:val="22"/>
        </w:rPr>
        <w:t xml:space="preserve">at which time the </w:t>
      </w:r>
      <w:r w:rsidR="00975F59" w:rsidRPr="004B0E20">
        <w:rPr>
          <w:rFonts w:asciiTheme="majorHAnsi" w:hAnsiTheme="majorHAnsi"/>
          <w:sz w:val="22"/>
          <w:szCs w:val="22"/>
        </w:rPr>
        <w:t>Police</w:t>
      </w:r>
      <w:r w:rsidR="00BB3F88" w:rsidRPr="004B0E20">
        <w:rPr>
          <w:rFonts w:asciiTheme="majorHAnsi" w:hAnsiTheme="majorHAnsi"/>
          <w:sz w:val="22"/>
          <w:szCs w:val="22"/>
        </w:rPr>
        <w:t xml:space="preserve"> </w:t>
      </w:r>
      <w:r w:rsidR="00E20385" w:rsidRPr="004B0E20">
        <w:rPr>
          <w:rFonts w:asciiTheme="majorHAnsi" w:hAnsiTheme="majorHAnsi"/>
          <w:sz w:val="22"/>
          <w:szCs w:val="22"/>
        </w:rPr>
        <w:t>Chief</w:t>
      </w:r>
      <w:r w:rsidR="00386413" w:rsidRPr="004B0E20">
        <w:rPr>
          <w:rFonts w:asciiTheme="majorHAnsi" w:hAnsiTheme="majorHAnsi"/>
          <w:sz w:val="22"/>
          <w:szCs w:val="22"/>
        </w:rPr>
        <w:t xml:space="preserve"> requested all necessary examinations </w:t>
      </w:r>
      <w:r w:rsidR="00E20385" w:rsidRPr="004B0E20">
        <w:rPr>
          <w:rFonts w:asciiTheme="majorHAnsi" w:hAnsiTheme="majorHAnsi"/>
          <w:sz w:val="22"/>
          <w:szCs w:val="22"/>
        </w:rPr>
        <w:t xml:space="preserve">of </w:t>
      </w:r>
      <w:r w:rsidR="00386413" w:rsidRPr="004B0E20">
        <w:rPr>
          <w:rFonts w:asciiTheme="majorHAnsi" w:hAnsiTheme="majorHAnsi"/>
          <w:sz w:val="22"/>
          <w:szCs w:val="22"/>
        </w:rPr>
        <w:t xml:space="preserve">both </w:t>
      </w:r>
      <w:r w:rsidR="00E20385" w:rsidRPr="004B0E20">
        <w:rPr>
          <w:rFonts w:asciiTheme="majorHAnsi" w:hAnsiTheme="majorHAnsi"/>
          <w:sz w:val="22"/>
          <w:szCs w:val="22"/>
        </w:rPr>
        <w:t xml:space="preserve">the site </w:t>
      </w:r>
      <w:r w:rsidR="00065A3F" w:rsidRPr="004B0E20">
        <w:rPr>
          <w:rFonts w:asciiTheme="majorHAnsi" w:hAnsiTheme="majorHAnsi"/>
          <w:sz w:val="22"/>
          <w:szCs w:val="22"/>
        </w:rPr>
        <w:t>and</w:t>
      </w:r>
      <w:r w:rsidR="00BB3F88" w:rsidRPr="004B0E20">
        <w:rPr>
          <w:rFonts w:asciiTheme="majorHAnsi" w:hAnsiTheme="majorHAnsi"/>
          <w:sz w:val="22"/>
          <w:szCs w:val="22"/>
        </w:rPr>
        <w:t xml:space="preserve"> </w:t>
      </w:r>
      <w:r w:rsidR="00065A3F" w:rsidRPr="004B0E20">
        <w:rPr>
          <w:rFonts w:asciiTheme="majorHAnsi" w:hAnsiTheme="majorHAnsi"/>
          <w:sz w:val="22"/>
          <w:szCs w:val="22"/>
        </w:rPr>
        <w:t>the</w:t>
      </w:r>
      <w:r w:rsidR="00BB3F88" w:rsidRPr="004B0E20">
        <w:rPr>
          <w:rFonts w:asciiTheme="majorHAnsi" w:hAnsiTheme="majorHAnsi"/>
          <w:sz w:val="22"/>
          <w:szCs w:val="22"/>
        </w:rPr>
        <w:t xml:space="preserve"> </w:t>
      </w:r>
      <w:r w:rsidR="00386413" w:rsidRPr="004B0E20">
        <w:rPr>
          <w:rFonts w:asciiTheme="majorHAnsi" w:hAnsiTheme="majorHAnsi"/>
          <w:sz w:val="22"/>
          <w:szCs w:val="22"/>
        </w:rPr>
        <w:t>bodies</w:t>
      </w:r>
      <w:r w:rsidR="00BB3F88" w:rsidRPr="004B0E20">
        <w:rPr>
          <w:rFonts w:asciiTheme="majorHAnsi" w:hAnsiTheme="majorHAnsi"/>
          <w:sz w:val="22"/>
          <w:szCs w:val="22"/>
        </w:rPr>
        <w:t xml:space="preserve">. </w:t>
      </w:r>
      <w:r w:rsidR="00386413" w:rsidRPr="004B0E20">
        <w:rPr>
          <w:rFonts w:asciiTheme="majorHAnsi" w:hAnsiTheme="majorHAnsi"/>
          <w:sz w:val="22"/>
          <w:szCs w:val="22"/>
        </w:rPr>
        <w:t xml:space="preserve">It also affirms </w:t>
      </w:r>
      <w:r w:rsidR="00100EE6" w:rsidRPr="004B0E20">
        <w:rPr>
          <w:rFonts w:asciiTheme="majorHAnsi" w:hAnsiTheme="majorHAnsi"/>
          <w:sz w:val="22"/>
          <w:szCs w:val="22"/>
        </w:rPr>
        <w:t>that</w:t>
      </w:r>
      <w:r w:rsidR="00DE39EB" w:rsidRPr="004B0E20">
        <w:rPr>
          <w:rFonts w:asciiTheme="majorHAnsi" w:hAnsiTheme="majorHAnsi"/>
          <w:sz w:val="22"/>
          <w:szCs w:val="22"/>
        </w:rPr>
        <w:t xml:space="preserve"> </w:t>
      </w:r>
      <w:r w:rsidR="0049002E" w:rsidRPr="004B0E20">
        <w:rPr>
          <w:rFonts w:asciiTheme="majorHAnsi" w:hAnsiTheme="majorHAnsi"/>
          <w:sz w:val="22"/>
          <w:szCs w:val="22"/>
        </w:rPr>
        <w:t xml:space="preserve">all </w:t>
      </w:r>
      <w:r w:rsidR="00386413" w:rsidRPr="004B0E20">
        <w:rPr>
          <w:rFonts w:asciiTheme="majorHAnsi" w:hAnsiTheme="majorHAnsi"/>
          <w:sz w:val="22"/>
          <w:szCs w:val="22"/>
        </w:rPr>
        <w:t xml:space="preserve">the </w:t>
      </w:r>
      <w:r w:rsidR="0049002E" w:rsidRPr="004B0E20">
        <w:rPr>
          <w:rFonts w:asciiTheme="majorHAnsi" w:hAnsiTheme="majorHAnsi"/>
          <w:sz w:val="22"/>
          <w:szCs w:val="22"/>
        </w:rPr>
        <w:t>deposition</w:t>
      </w:r>
      <w:r w:rsidR="00DE39EB" w:rsidRPr="004B0E20">
        <w:rPr>
          <w:rFonts w:asciiTheme="majorHAnsi" w:hAnsiTheme="majorHAnsi"/>
          <w:sz w:val="22"/>
          <w:szCs w:val="22"/>
        </w:rPr>
        <w:t xml:space="preserve">s </w:t>
      </w:r>
      <w:r w:rsidR="00065A3F" w:rsidRPr="004B0E20">
        <w:rPr>
          <w:rFonts w:asciiTheme="majorHAnsi" w:hAnsiTheme="majorHAnsi"/>
          <w:sz w:val="22"/>
          <w:szCs w:val="22"/>
        </w:rPr>
        <w:t>and</w:t>
      </w:r>
      <w:r w:rsidR="00DE39EB" w:rsidRPr="004B0E20">
        <w:rPr>
          <w:rFonts w:asciiTheme="majorHAnsi" w:hAnsiTheme="majorHAnsi"/>
          <w:sz w:val="22"/>
          <w:szCs w:val="22"/>
        </w:rPr>
        <w:t xml:space="preserve"> </w:t>
      </w:r>
      <w:r w:rsidR="0049002E" w:rsidRPr="004B0E20">
        <w:rPr>
          <w:rFonts w:asciiTheme="majorHAnsi" w:hAnsiTheme="majorHAnsi"/>
          <w:sz w:val="22"/>
          <w:szCs w:val="22"/>
        </w:rPr>
        <w:t>statements</w:t>
      </w:r>
      <w:r w:rsidR="00DE39EB" w:rsidRPr="004B0E20">
        <w:rPr>
          <w:rFonts w:asciiTheme="majorHAnsi" w:hAnsiTheme="majorHAnsi"/>
          <w:sz w:val="22"/>
          <w:szCs w:val="22"/>
        </w:rPr>
        <w:t xml:space="preserve"> </w:t>
      </w:r>
      <w:r w:rsidR="00890DB9" w:rsidRPr="007321BC">
        <w:rPr>
          <w:rFonts w:asciiTheme="majorHAnsi" w:hAnsiTheme="majorHAnsi"/>
          <w:noProof/>
          <w:sz w:val="22"/>
          <w:szCs w:val="22"/>
        </w:rPr>
        <w:t>were</w:t>
      </w:r>
      <w:r w:rsidR="00DE39EB" w:rsidRPr="007321BC">
        <w:rPr>
          <w:rFonts w:asciiTheme="majorHAnsi" w:hAnsiTheme="majorHAnsi"/>
          <w:noProof/>
          <w:sz w:val="22"/>
          <w:szCs w:val="22"/>
        </w:rPr>
        <w:t xml:space="preserve"> </w:t>
      </w:r>
      <w:r w:rsidR="0049002E" w:rsidRPr="007321BC">
        <w:rPr>
          <w:rFonts w:asciiTheme="majorHAnsi" w:hAnsiTheme="majorHAnsi"/>
          <w:noProof/>
          <w:sz w:val="22"/>
          <w:szCs w:val="22"/>
        </w:rPr>
        <w:t>taken</w:t>
      </w:r>
      <w:r w:rsidR="00DE39EB" w:rsidRPr="004B0E20">
        <w:rPr>
          <w:rFonts w:asciiTheme="majorHAnsi" w:hAnsiTheme="majorHAnsi"/>
          <w:sz w:val="22"/>
          <w:szCs w:val="22"/>
        </w:rPr>
        <w:t>, demonstra</w:t>
      </w:r>
      <w:r w:rsidR="00E20385" w:rsidRPr="004B0E20">
        <w:rPr>
          <w:rFonts w:asciiTheme="majorHAnsi" w:hAnsiTheme="majorHAnsi"/>
          <w:sz w:val="22"/>
          <w:szCs w:val="22"/>
        </w:rPr>
        <w:t xml:space="preserve">ting effective and </w:t>
      </w:r>
      <w:r w:rsidR="0058480B" w:rsidRPr="004B0E20">
        <w:rPr>
          <w:rFonts w:asciiTheme="majorHAnsi" w:hAnsiTheme="majorHAnsi"/>
          <w:sz w:val="22"/>
          <w:szCs w:val="22"/>
        </w:rPr>
        <w:t>impartial</w:t>
      </w:r>
      <w:r w:rsidR="00DE39EB" w:rsidRPr="004B0E20">
        <w:rPr>
          <w:rFonts w:asciiTheme="majorHAnsi" w:hAnsiTheme="majorHAnsi"/>
          <w:sz w:val="22"/>
          <w:szCs w:val="22"/>
        </w:rPr>
        <w:t xml:space="preserve"> </w:t>
      </w:r>
      <w:r w:rsidR="00E20385" w:rsidRPr="004B0E20">
        <w:rPr>
          <w:rFonts w:asciiTheme="majorHAnsi" w:hAnsiTheme="majorHAnsi"/>
          <w:sz w:val="22"/>
          <w:szCs w:val="22"/>
        </w:rPr>
        <w:t xml:space="preserve">action by the police </w:t>
      </w:r>
      <w:r w:rsidR="00386413" w:rsidRPr="004B0E20">
        <w:rPr>
          <w:rFonts w:asciiTheme="majorHAnsi" w:hAnsiTheme="majorHAnsi"/>
          <w:sz w:val="22"/>
          <w:szCs w:val="22"/>
        </w:rPr>
        <w:t>to unravel</w:t>
      </w:r>
      <w:r w:rsidR="0043208E" w:rsidRPr="004B0E20">
        <w:rPr>
          <w:rFonts w:asciiTheme="majorHAnsi" w:hAnsiTheme="majorHAnsi"/>
          <w:sz w:val="22"/>
          <w:szCs w:val="22"/>
        </w:rPr>
        <w:t xml:space="preserve"> the facts of the </w:t>
      </w:r>
      <w:r w:rsidR="00DE39EB" w:rsidRPr="004B0E20">
        <w:rPr>
          <w:rFonts w:asciiTheme="majorHAnsi" w:hAnsiTheme="majorHAnsi"/>
          <w:sz w:val="22"/>
          <w:szCs w:val="22"/>
        </w:rPr>
        <w:t xml:space="preserve">crime </w:t>
      </w:r>
      <w:r w:rsidR="00065A3F" w:rsidRPr="004B0E20">
        <w:rPr>
          <w:rFonts w:asciiTheme="majorHAnsi" w:hAnsiTheme="majorHAnsi"/>
          <w:sz w:val="22"/>
          <w:szCs w:val="22"/>
        </w:rPr>
        <w:t>and</w:t>
      </w:r>
      <w:r w:rsidR="00DE39EB" w:rsidRPr="004B0E20">
        <w:rPr>
          <w:rFonts w:asciiTheme="majorHAnsi" w:hAnsiTheme="majorHAnsi"/>
          <w:sz w:val="22"/>
          <w:szCs w:val="22"/>
        </w:rPr>
        <w:t xml:space="preserve"> continu</w:t>
      </w:r>
      <w:r w:rsidR="00386413" w:rsidRPr="004B0E20">
        <w:rPr>
          <w:rFonts w:asciiTheme="majorHAnsi" w:hAnsiTheme="majorHAnsi"/>
          <w:sz w:val="22"/>
          <w:szCs w:val="22"/>
        </w:rPr>
        <w:t>e</w:t>
      </w:r>
      <w:r w:rsidR="0043208E" w:rsidRPr="004B0E20">
        <w:rPr>
          <w:rFonts w:asciiTheme="majorHAnsi" w:hAnsiTheme="majorHAnsi"/>
          <w:sz w:val="22"/>
          <w:szCs w:val="22"/>
        </w:rPr>
        <w:t xml:space="preserve"> the </w:t>
      </w:r>
      <w:r w:rsidR="00AE1A14" w:rsidRPr="004B0E20">
        <w:rPr>
          <w:rFonts w:asciiTheme="majorHAnsi" w:hAnsiTheme="majorHAnsi"/>
          <w:sz w:val="22"/>
          <w:szCs w:val="22"/>
        </w:rPr>
        <w:t>investigations</w:t>
      </w:r>
      <w:r w:rsidR="00DE39EB" w:rsidRPr="004B0E20">
        <w:rPr>
          <w:rFonts w:asciiTheme="majorHAnsi" w:hAnsiTheme="majorHAnsi"/>
          <w:sz w:val="22"/>
          <w:szCs w:val="22"/>
        </w:rPr>
        <w:t>.</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 The State also affirms</w:t>
      </w:r>
      <w:r w:rsidR="003C72B4" w:rsidRPr="004B0E20">
        <w:rPr>
          <w:rFonts w:asciiTheme="majorHAnsi" w:hAnsiTheme="majorHAnsi"/>
          <w:sz w:val="22"/>
          <w:szCs w:val="22"/>
        </w:rPr>
        <w:t xml:space="preserve"> </w:t>
      </w:r>
      <w:r w:rsidR="00100EE6" w:rsidRPr="004B0E20">
        <w:rPr>
          <w:rFonts w:asciiTheme="majorHAnsi" w:hAnsiTheme="majorHAnsi"/>
          <w:sz w:val="22"/>
          <w:szCs w:val="22"/>
        </w:rPr>
        <w:t>that</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the evidence did not constitute proof </w:t>
      </w:r>
      <w:r w:rsidR="00C51B82" w:rsidRPr="004B0E20">
        <w:rPr>
          <w:rFonts w:asciiTheme="majorHAnsi" w:hAnsiTheme="majorHAnsi"/>
          <w:sz w:val="22"/>
          <w:szCs w:val="22"/>
        </w:rPr>
        <w:t>of</w:t>
      </w:r>
      <w:r w:rsidR="003C72B4" w:rsidRPr="004B0E20">
        <w:rPr>
          <w:rFonts w:asciiTheme="majorHAnsi" w:hAnsiTheme="majorHAnsi"/>
          <w:sz w:val="22"/>
          <w:szCs w:val="22"/>
        </w:rPr>
        <w:t xml:space="preserve"> execu</w:t>
      </w:r>
      <w:r w:rsidR="0043208E" w:rsidRPr="004B0E20">
        <w:rPr>
          <w:rFonts w:asciiTheme="majorHAnsi" w:hAnsiTheme="majorHAnsi"/>
          <w:sz w:val="22"/>
          <w:szCs w:val="22"/>
        </w:rPr>
        <w:t>tion</w:t>
      </w:r>
      <w:r w:rsidR="00386413" w:rsidRPr="004B0E20">
        <w:rPr>
          <w:rFonts w:asciiTheme="majorHAnsi" w:hAnsiTheme="majorHAnsi"/>
          <w:sz w:val="22"/>
          <w:szCs w:val="22"/>
        </w:rPr>
        <w:t>s</w:t>
      </w:r>
      <w:r w:rsidR="0043208E" w:rsidRPr="004B0E20">
        <w:rPr>
          <w:rFonts w:asciiTheme="majorHAnsi" w:hAnsiTheme="majorHAnsi"/>
          <w:sz w:val="22"/>
          <w:szCs w:val="22"/>
        </w:rPr>
        <w:t xml:space="preserve"> in the manner described </w:t>
      </w:r>
      <w:r w:rsidR="004238FD" w:rsidRPr="004B0E20">
        <w:rPr>
          <w:rFonts w:asciiTheme="majorHAnsi" w:hAnsiTheme="majorHAnsi"/>
          <w:sz w:val="22"/>
          <w:szCs w:val="22"/>
        </w:rPr>
        <w:t>by the</w:t>
      </w:r>
      <w:r w:rsidR="00AB47B1" w:rsidRPr="004B0E20">
        <w:rPr>
          <w:rFonts w:asciiTheme="majorHAnsi" w:hAnsiTheme="majorHAnsi"/>
          <w:sz w:val="22"/>
          <w:szCs w:val="22"/>
        </w:rPr>
        <w:t xml:space="preserve"> petitioners</w:t>
      </w:r>
      <w:r w:rsidR="003C72B4" w:rsidRPr="004B0E20">
        <w:rPr>
          <w:rFonts w:asciiTheme="majorHAnsi" w:hAnsiTheme="majorHAnsi"/>
          <w:sz w:val="22"/>
          <w:szCs w:val="22"/>
        </w:rPr>
        <w:t xml:space="preserve"> </w:t>
      </w:r>
      <w:r w:rsidR="00065A3F" w:rsidRPr="004B0E20">
        <w:rPr>
          <w:rFonts w:asciiTheme="majorHAnsi" w:hAnsiTheme="majorHAnsi"/>
          <w:sz w:val="22"/>
          <w:szCs w:val="22"/>
        </w:rPr>
        <w:t>and</w:t>
      </w:r>
      <w:r w:rsidR="003C72B4" w:rsidRPr="004B0E20">
        <w:rPr>
          <w:rFonts w:asciiTheme="majorHAnsi" w:hAnsiTheme="majorHAnsi"/>
          <w:sz w:val="22"/>
          <w:szCs w:val="22"/>
        </w:rPr>
        <w:t xml:space="preserve"> </w:t>
      </w:r>
      <w:r w:rsidR="00100EE6" w:rsidRPr="004B0E20">
        <w:rPr>
          <w:rFonts w:asciiTheme="majorHAnsi" w:hAnsiTheme="majorHAnsi"/>
          <w:sz w:val="22"/>
          <w:szCs w:val="22"/>
        </w:rPr>
        <w:t>that</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the </w:t>
      </w:r>
      <w:r w:rsidR="00AE1A14" w:rsidRPr="007321BC">
        <w:rPr>
          <w:rFonts w:asciiTheme="majorHAnsi" w:hAnsiTheme="majorHAnsi"/>
          <w:noProof/>
          <w:sz w:val="22"/>
          <w:szCs w:val="22"/>
        </w:rPr>
        <w:t>investigations</w:t>
      </w:r>
      <w:r w:rsidR="003C72B4" w:rsidRPr="004B0E20">
        <w:rPr>
          <w:rFonts w:asciiTheme="majorHAnsi" w:hAnsiTheme="majorHAnsi"/>
          <w:sz w:val="22"/>
          <w:szCs w:val="22"/>
        </w:rPr>
        <w:t xml:space="preserve"> </w:t>
      </w:r>
      <w:r w:rsidR="001D2676" w:rsidRPr="004B0E20">
        <w:rPr>
          <w:rFonts w:asciiTheme="majorHAnsi" w:hAnsiTheme="majorHAnsi"/>
          <w:sz w:val="22"/>
          <w:szCs w:val="22"/>
        </w:rPr>
        <w:t>had indeed been</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correlated and did take into </w:t>
      </w:r>
      <w:r w:rsidR="001D2676" w:rsidRPr="004B0E20">
        <w:rPr>
          <w:rFonts w:asciiTheme="majorHAnsi" w:hAnsiTheme="majorHAnsi"/>
          <w:sz w:val="22"/>
          <w:szCs w:val="22"/>
        </w:rPr>
        <w:t xml:space="preserve">account the violent </w:t>
      </w:r>
      <w:r w:rsidR="0043208E" w:rsidRPr="004B0E20">
        <w:rPr>
          <w:rFonts w:asciiTheme="majorHAnsi" w:hAnsiTheme="majorHAnsi"/>
          <w:sz w:val="22"/>
          <w:szCs w:val="22"/>
        </w:rPr>
        <w:t>context</w:t>
      </w:r>
      <w:r w:rsidR="003C72B4" w:rsidRPr="004B0E20">
        <w:rPr>
          <w:rFonts w:asciiTheme="majorHAnsi" w:hAnsiTheme="majorHAnsi"/>
          <w:sz w:val="22"/>
          <w:szCs w:val="22"/>
        </w:rPr>
        <w:t xml:space="preserve"> </w:t>
      </w:r>
      <w:r w:rsidR="001D2676" w:rsidRPr="004B0E20">
        <w:rPr>
          <w:rFonts w:asciiTheme="majorHAnsi" w:hAnsiTheme="majorHAnsi"/>
          <w:sz w:val="22"/>
          <w:szCs w:val="22"/>
        </w:rPr>
        <w:t xml:space="preserve">of </w:t>
      </w:r>
      <w:r w:rsidR="0043208E" w:rsidRPr="004B0E20">
        <w:rPr>
          <w:rFonts w:asciiTheme="majorHAnsi" w:hAnsiTheme="majorHAnsi"/>
          <w:sz w:val="22"/>
          <w:szCs w:val="22"/>
        </w:rPr>
        <w:t xml:space="preserve">that </w:t>
      </w:r>
      <w:r w:rsidR="001D2676" w:rsidRPr="004B0E20">
        <w:rPr>
          <w:rFonts w:asciiTheme="majorHAnsi" w:hAnsiTheme="majorHAnsi"/>
          <w:sz w:val="22"/>
          <w:szCs w:val="22"/>
        </w:rPr>
        <w:t>time</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The </w:t>
      </w:r>
      <w:r w:rsidR="00AB47B1" w:rsidRPr="004B0E20">
        <w:rPr>
          <w:rFonts w:asciiTheme="majorHAnsi" w:hAnsiTheme="majorHAnsi"/>
          <w:sz w:val="22"/>
          <w:szCs w:val="22"/>
        </w:rPr>
        <w:t>State</w:t>
      </w:r>
      <w:r w:rsidR="003C72B4" w:rsidRPr="004B0E20">
        <w:rPr>
          <w:rFonts w:asciiTheme="majorHAnsi" w:hAnsiTheme="majorHAnsi"/>
          <w:sz w:val="22"/>
          <w:szCs w:val="22"/>
        </w:rPr>
        <w:t xml:space="preserve"> </w:t>
      </w:r>
      <w:r w:rsidR="0043208E" w:rsidRPr="004B0E20">
        <w:rPr>
          <w:rFonts w:asciiTheme="majorHAnsi" w:hAnsiTheme="majorHAnsi"/>
          <w:sz w:val="22"/>
          <w:szCs w:val="22"/>
        </w:rPr>
        <w:t xml:space="preserve">emphasizes </w:t>
      </w:r>
      <w:r w:rsidR="00100EE6" w:rsidRPr="004B0E20">
        <w:rPr>
          <w:rFonts w:asciiTheme="majorHAnsi" w:hAnsiTheme="majorHAnsi"/>
          <w:sz w:val="22"/>
          <w:szCs w:val="22"/>
        </w:rPr>
        <w:t>that</w:t>
      </w:r>
      <w:r w:rsidR="003C72B4" w:rsidRPr="004B0E20">
        <w:rPr>
          <w:rFonts w:asciiTheme="majorHAnsi" w:hAnsiTheme="majorHAnsi"/>
          <w:sz w:val="22"/>
          <w:szCs w:val="22"/>
        </w:rPr>
        <w:t xml:space="preserve"> </w:t>
      </w:r>
      <w:r w:rsidR="0010462A" w:rsidRPr="004B0E20">
        <w:rPr>
          <w:rFonts w:asciiTheme="majorHAnsi" w:hAnsiTheme="majorHAnsi"/>
          <w:sz w:val="22"/>
          <w:szCs w:val="22"/>
        </w:rPr>
        <w:t>the</w:t>
      </w:r>
      <w:r w:rsidR="003C72B4" w:rsidRPr="004B0E20">
        <w:rPr>
          <w:rFonts w:asciiTheme="majorHAnsi" w:hAnsiTheme="majorHAnsi"/>
          <w:sz w:val="22"/>
          <w:szCs w:val="22"/>
        </w:rPr>
        <w:t xml:space="preserve"> </w:t>
      </w:r>
      <w:r w:rsidR="0043208E" w:rsidRPr="004B0E20">
        <w:rPr>
          <w:rFonts w:asciiTheme="majorHAnsi" w:hAnsiTheme="majorHAnsi"/>
          <w:sz w:val="22"/>
          <w:szCs w:val="22"/>
        </w:rPr>
        <w:t>death</w:t>
      </w:r>
      <w:r w:rsidR="003C72B4" w:rsidRPr="004B0E20">
        <w:rPr>
          <w:rFonts w:asciiTheme="majorHAnsi" w:hAnsiTheme="majorHAnsi"/>
          <w:sz w:val="22"/>
          <w:szCs w:val="22"/>
        </w:rPr>
        <w:t xml:space="preserve"> </w:t>
      </w:r>
      <w:r w:rsidR="00C51B82" w:rsidRPr="004B0E20">
        <w:rPr>
          <w:rFonts w:asciiTheme="majorHAnsi" w:hAnsiTheme="majorHAnsi"/>
          <w:sz w:val="22"/>
          <w:szCs w:val="22"/>
        </w:rPr>
        <w:t>of</w:t>
      </w:r>
      <w:r w:rsidR="003C72B4" w:rsidRPr="004B0E20">
        <w:rPr>
          <w:rFonts w:asciiTheme="majorHAnsi" w:hAnsiTheme="majorHAnsi"/>
          <w:sz w:val="22"/>
          <w:szCs w:val="22"/>
        </w:rPr>
        <w:t xml:space="preserve"> Fernando </w:t>
      </w:r>
      <w:r w:rsidR="00CF6BA4" w:rsidRPr="004B0E20">
        <w:rPr>
          <w:rFonts w:asciiTheme="majorHAnsi" w:hAnsiTheme="majorHAnsi"/>
          <w:sz w:val="22"/>
          <w:szCs w:val="22"/>
        </w:rPr>
        <w:t xml:space="preserve">occurred six months after </w:t>
      </w:r>
      <w:r w:rsidR="00065A3F" w:rsidRPr="004B0E20">
        <w:rPr>
          <w:rFonts w:asciiTheme="majorHAnsi" w:hAnsiTheme="majorHAnsi"/>
          <w:sz w:val="22"/>
          <w:szCs w:val="22"/>
        </w:rPr>
        <w:t>the</w:t>
      </w:r>
      <w:r w:rsidR="001E4912" w:rsidRPr="004B0E20">
        <w:rPr>
          <w:rFonts w:asciiTheme="majorHAnsi" w:hAnsiTheme="majorHAnsi"/>
          <w:sz w:val="22"/>
          <w:szCs w:val="22"/>
        </w:rPr>
        <w:t xml:space="preserve"> </w:t>
      </w:r>
      <w:r w:rsidR="00CF6BA4" w:rsidRPr="004B0E20">
        <w:rPr>
          <w:rFonts w:asciiTheme="majorHAnsi" w:hAnsiTheme="majorHAnsi"/>
          <w:sz w:val="22"/>
          <w:szCs w:val="22"/>
        </w:rPr>
        <w:t xml:space="preserve">PCC </w:t>
      </w:r>
      <w:r w:rsidR="00AE1A14" w:rsidRPr="004B0E20">
        <w:rPr>
          <w:rFonts w:asciiTheme="majorHAnsi" w:hAnsiTheme="majorHAnsi"/>
          <w:sz w:val="22"/>
          <w:szCs w:val="22"/>
        </w:rPr>
        <w:t>attack</w:t>
      </w:r>
      <w:r w:rsidR="001E4912" w:rsidRPr="004B0E20">
        <w:rPr>
          <w:rFonts w:asciiTheme="majorHAnsi" w:hAnsiTheme="majorHAnsi"/>
          <w:sz w:val="22"/>
          <w:szCs w:val="22"/>
        </w:rPr>
        <w:t xml:space="preserve">s </w:t>
      </w:r>
      <w:r w:rsidR="00065A3F" w:rsidRPr="004B0E20">
        <w:rPr>
          <w:rFonts w:asciiTheme="majorHAnsi" w:hAnsiTheme="majorHAnsi"/>
          <w:sz w:val="22"/>
          <w:szCs w:val="22"/>
        </w:rPr>
        <w:t>and</w:t>
      </w:r>
      <w:r w:rsidR="001E4912" w:rsidRPr="004B0E20">
        <w:rPr>
          <w:rFonts w:asciiTheme="majorHAnsi" w:hAnsiTheme="majorHAnsi"/>
          <w:sz w:val="22"/>
          <w:szCs w:val="22"/>
        </w:rPr>
        <w:t xml:space="preserve"> </w:t>
      </w:r>
      <w:r w:rsidR="00AB47B1" w:rsidRPr="004B0E20">
        <w:rPr>
          <w:rFonts w:asciiTheme="majorHAnsi" w:hAnsiTheme="majorHAnsi"/>
          <w:sz w:val="22"/>
          <w:szCs w:val="22"/>
        </w:rPr>
        <w:t>the petitioners</w:t>
      </w:r>
      <w:r w:rsidR="003C72B4" w:rsidRPr="004B0E20">
        <w:rPr>
          <w:rFonts w:asciiTheme="majorHAnsi" w:hAnsiTheme="majorHAnsi"/>
          <w:sz w:val="22"/>
          <w:szCs w:val="22"/>
        </w:rPr>
        <w:t xml:space="preserve"> </w:t>
      </w:r>
      <w:r w:rsidR="00CF6BA4" w:rsidRPr="004B0E20">
        <w:rPr>
          <w:rFonts w:asciiTheme="majorHAnsi" w:hAnsiTheme="majorHAnsi"/>
          <w:sz w:val="22"/>
          <w:szCs w:val="22"/>
        </w:rPr>
        <w:t xml:space="preserve">were assisted by attorneys who found nothing </w:t>
      </w:r>
      <w:r w:rsidR="003C72B4" w:rsidRPr="004B0E20">
        <w:rPr>
          <w:rFonts w:asciiTheme="majorHAnsi" w:hAnsiTheme="majorHAnsi"/>
          <w:sz w:val="22"/>
          <w:szCs w:val="22"/>
        </w:rPr>
        <w:t>irr</w:t>
      </w:r>
      <w:r w:rsidR="00953D29" w:rsidRPr="004B0E20">
        <w:rPr>
          <w:rFonts w:asciiTheme="majorHAnsi" w:hAnsiTheme="majorHAnsi"/>
          <w:sz w:val="22"/>
          <w:szCs w:val="22"/>
        </w:rPr>
        <w:t xml:space="preserve">egular </w:t>
      </w:r>
      <w:r w:rsidR="00CF6BA4" w:rsidRPr="004B0E20">
        <w:rPr>
          <w:rFonts w:asciiTheme="majorHAnsi" w:hAnsiTheme="majorHAnsi"/>
          <w:sz w:val="22"/>
          <w:szCs w:val="22"/>
        </w:rPr>
        <w:t xml:space="preserve">in the conduct </w:t>
      </w:r>
      <w:r w:rsidR="00065A3F" w:rsidRPr="004B0E20">
        <w:rPr>
          <w:rFonts w:asciiTheme="majorHAnsi" w:hAnsiTheme="majorHAnsi"/>
          <w:sz w:val="22"/>
          <w:szCs w:val="22"/>
        </w:rPr>
        <w:t>of the</w:t>
      </w:r>
      <w:r w:rsidR="00953D29" w:rsidRPr="004B0E20">
        <w:rPr>
          <w:rFonts w:asciiTheme="majorHAnsi" w:hAnsiTheme="majorHAnsi"/>
          <w:sz w:val="22"/>
          <w:szCs w:val="22"/>
        </w:rPr>
        <w:t xml:space="preserve"> </w:t>
      </w:r>
      <w:r w:rsidR="00E84DBA" w:rsidRPr="004B0E20">
        <w:rPr>
          <w:rFonts w:asciiTheme="majorHAnsi" w:hAnsiTheme="majorHAnsi"/>
          <w:sz w:val="22"/>
          <w:szCs w:val="22"/>
        </w:rPr>
        <w:t>police inquiries</w:t>
      </w:r>
      <w:r w:rsidR="00953D29" w:rsidRPr="004B0E20">
        <w:rPr>
          <w:rFonts w:asciiTheme="majorHAnsi" w:hAnsiTheme="majorHAnsi"/>
          <w:sz w:val="22"/>
          <w:szCs w:val="22"/>
        </w:rPr>
        <w:t xml:space="preserve">. </w:t>
      </w:r>
      <w:r w:rsidR="00CF6BA4" w:rsidRPr="004B0E20">
        <w:rPr>
          <w:rFonts w:asciiTheme="majorHAnsi" w:hAnsiTheme="majorHAnsi"/>
          <w:sz w:val="22"/>
          <w:szCs w:val="22"/>
        </w:rPr>
        <w:t>Lastly</w:t>
      </w:r>
      <w:r w:rsidR="001E4912" w:rsidRPr="004B0E20">
        <w:rPr>
          <w:rFonts w:asciiTheme="majorHAnsi" w:hAnsiTheme="majorHAnsi"/>
          <w:sz w:val="22"/>
          <w:szCs w:val="22"/>
        </w:rPr>
        <w:t xml:space="preserve">, </w:t>
      </w:r>
      <w:r w:rsidR="00CF6BA4" w:rsidRPr="004B0E20">
        <w:rPr>
          <w:rFonts w:asciiTheme="majorHAnsi" w:hAnsiTheme="majorHAnsi"/>
          <w:sz w:val="22"/>
          <w:szCs w:val="22"/>
        </w:rPr>
        <w:t xml:space="preserve">the State affirms </w:t>
      </w:r>
      <w:r w:rsidR="00100EE6" w:rsidRPr="004B0E20">
        <w:rPr>
          <w:rFonts w:asciiTheme="majorHAnsi" w:hAnsiTheme="majorHAnsi"/>
          <w:sz w:val="22"/>
          <w:szCs w:val="22"/>
        </w:rPr>
        <w:t>that</w:t>
      </w:r>
      <w:r w:rsidR="001E4912" w:rsidRPr="004B0E20">
        <w:rPr>
          <w:rFonts w:asciiTheme="majorHAnsi" w:hAnsiTheme="majorHAnsi"/>
          <w:sz w:val="22"/>
          <w:szCs w:val="22"/>
        </w:rPr>
        <w:t xml:space="preserve">, </w:t>
      </w:r>
      <w:r w:rsidR="001B7013" w:rsidRPr="004B0E20">
        <w:rPr>
          <w:rFonts w:asciiTheme="majorHAnsi" w:hAnsiTheme="majorHAnsi"/>
          <w:sz w:val="22"/>
          <w:szCs w:val="22"/>
        </w:rPr>
        <w:t xml:space="preserve">contrary </w:t>
      </w:r>
      <w:r w:rsidR="008A2328" w:rsidRPr="004B0E20">
        <w:rPr>
          <w:rFonts w:asciiTheme="majorHAnsi" w:hAnsiTheme="majorHAnsi"/>
          <w:sz w:val="22"/>
          <w:szCs w:val="22"/>
        </w:rPr>
        <w:t>to</w:t>
      </w:r>
      <w:r w:rsidR="00065A3F" w:rsidRPr="004B0E20">
        <w:rPr>
          <w:rFonts w:asciiTheme="majorHAnsi" w:hAnsiTheme="majorHAnsi"/>
          <w:sz w:val="22"/>
          <w:szCs w:val="22"/>
        </w:rPr>
        <w:t xml:space="preserve"> the</w:t>
      </w:r>
      <w:r w:rsidR="001E4912" w:rsidRPr="004B0E20">
        <w:rPr>
          <w:rFonts w:asciiTheme="majorHAnsi" w:hAnsiTheme="majorHAnsi"/>
          <w:sz w:val="22"/>
          <w:szCs w:val="22"/>
        </w:rPr>
        <w:t xml:space="preserve"> </w:t>
      </w:r>
      <w:r w:rsidR="00AD7161" w:rsidRPr="004B0E20">
        <w:rPr>
          <w:rFonts w:asciiTheme="majorHAnsi" w:hAnsiTheme="majorHAnsi"/>
          <w:sz w:val="22"/>
          <w:szCs w:val="22"/>
        </w:rPr>
        <w:t>Petitioner</w:t>
      </w:r>
      <w:r w:rsidR="001B7013" w:rsidRPr="004B0E20">
        <w:rPr>
          <w:rFonts w:asciiTheme="majorHAnsi" w:hAnsiTheme="majorHAnsi"/>
          <w:sz w:val="22"/>
          <w:szCs w:val="22"/>
        </w:rPr>
        <w:t xml:space="preserve">s' allegations, there is no proof of a </w:t>
      </w:r>
      <w:r w:rsidR="008A2328" w:rsidRPr="004B0E20">
        <w:rPr>
          <w:rFonts w:asciiTheme="majorHAnsi" w:hAnsiTheme="majorHAnsi"/>
          <w:sz w:val="22"/>
          <w:szCs w:val="22"/>
        </w:rPr>
        <w:t xml:space="preserve">link </w:t>
      </w:r>
      <w:r w:rsidR="001B7013" w:rsidRPr="004B0E20">
        <w:rPr>
          <w:rFonts w:asciiTheme="majorHAnsi" w:hAnsiTheme="majorHAnsi"/>
          <w:sz w:val="22"/>
          <w:szCs w:val="22"/>
        </w:rPr>
        <w:t xml:space="preserve">between the criminal events reported in the wave of PCC </w:t>
      </w:r>
      <w:r w:rsidR="00AE1A14" w:rsidRPr="004B0E20">
        <w:rPr>
          <w:rFonts w:asciiTheme="majorHAnsi" w:hAnsiTheme="majorHAnsi"/>
          <w:sz w:val="22"/>
          <w:szCs w:val="22"/>
        </w:rPr>
        <w:t>attack</w:t>
      </w:r>
      <w:r w:rsidR="001E4912" w:rsidRPr="004B0E20">
        <w:rPr>
          <w:rFonts w:asciiTheme="majorHAnsi" w:hAnsiTheme="majorHAnsi"/>
          <w:sz w:val="22"/>
          <w:szCs w:val="22"/>
        </w:rPr>
        <w:t xml:space="preserve">s </w:t>
      </w:r>
      <w:r w:rsidR="001B7013" w:rsidRPr="004B0E20">
        <w:rPr>
          <w:rFonts w:asciiTheme="majorHAnsi" w:hAnsiTheme="majorHAnsi"/>
          <w:sz w:val="22"/>
          <w:szCs w:val="22"/>
        </w:rPr>
        <w:t xml:space="preserve">and those that took place in </w:t>
      </w:r>
      <w:r w:rsidR="00C51B82" w:rsidRPr="004B0E20">
        <w:rPr>
          <w:rFonts w:asciiTheme="majorHAnsi" w:hAnsiTheme="majorHAnsi"/>
          <w:sz w:val="22"/>
          <w:szCs w:val="22"/>
        </w:rPr>
        <w:t>Bristol Park</w:t>
      </w:r>
      <w:r w:rsidR="001E4912" w:rsidRPr="004B0E20">
        <w:rPr>
          <w:rFonts w:asciiTheme="majorHAnsi" w:hAnsiTheme="majorHAnsi"/>
          <w:sz w:val="22"/>
          <w:szCs w:val="22"/>
        </w:rPr>
        <w:t>.</w:t>
      </w:r>
    </w:p>
    <w:p w:rsidR="003239B8" w:rsidRPr="004B0E20" w:rsidRDefault="003239B8" w:rsidP="003239B8">
      <w:pPr>
        <w:spacing w:before="240" w:after="240"/>
        <w:ind w:firstLine="720"/>
        <w:jc w:val="both"/>
        <w:rPr>
          <w:rFonts w:asciiTheme="majorHAnsi" w:hAnsiTheme="majorHAnsi"/>
          <w:sz w:val="22"/>
          <w:szCs w:val="22"/>
        </w:rPr>
      </w:pPr>
      <w:r w:rsidRPr="004B0E20">
        <w:rPr>
          <w:rFonts w:asciiTheme="majorHAnsi" w:eastAsia="Cambria" w:hAnsiTheme="majorHAnsi"/>
          <w:b/>
          <w:bCs/>
          <w:color w:val="000000"/>
          <w:sz w:val="22"/>
          <w:szCs w:val="22"/>
          <w:u w:color="000000"/>
          <w:lang w:eastAsia="es-ES"/>
        </w:rPr>
        <w:t>VI.</w:t>
      </w:r>
      <w:r w:rsidRPr="004B0E20">
        <w:rPr>
          <w:rFonts w:asciiTheme="majorHAnsi" w:eastAsia="Cambria" w:hAnsiTheme="majorHAnsi"/>
          <w:b/>
          <w:bCs/>
          <w:color w:val="000000"/>
          <w:sz w:val="22"/>
          <w:szCs w:val="22"/>
          <w:u w:color="000000"/>
          <w:lang w:eastAsia="es-ES"/>
        </w:rPr>
        <w:tab/>
      </w:r>
      <w:r w:rsidR="00D21316" w:rsidRPr="004B0E20">
        <w:rPr>
          <w:rFonts w:asciiTheme="majorHAnsi" w:hAnsiTheme="majorHAnsi"/>
          <w:b/>
          <w:bCs/>
          <w:sz w:val="22"/>
          <w:szCs w:val="22"/>
        </w:rPr>
        <w:t>AN</w:t>
      </w:r>
      <w:r w:rsidR="007C1AD0" w:rsidRPr="004B0E20">
        <w:rPr>
          <w:rFonts w:asciiTheme="majorHAnsi" w:hAnsiTheme="majorHAnsi"/>
          <w:b/>
          <w:bCs/>
          <w:sz w:val="22"/>
          <w:szCs w:val="22"/>
        </w:rPr>
        <w:t xml:space="preserve">ALYSIS </w:t>
      </w:r>
      <w:r w:rsidR="00C51B82" w:rsidRPr="004B0E20">
        <w:rPr>
          <w:rFonts w:asciiTheme="majorHAnsi" w:hAnsiTheme="majorHAnsi"/>
          <w:b/>
          <w:bCs/>
          <w:sz w:val="22"/>
          <w:szCs w:val="22"/>
        </w:rPr>
        <w:t>OF</w:t>
      </w:r>
      <w:r w:rsidR="004A6A54" w:rsidRPr="004B0E20">
        <w:rPr>
          <w:rFonts w:asciiTheme="majorHAnsi" w:hAnsiTheme="majorHAnsi"/>
          <w:b/>
          <w:bCs/>
          <w:sz w:val="22"/>
          <w:szCs w:val="22"/>
        </w:rPr>
        <w:t xml:space="preserve"> </w:t>
      </w:r>
      <w:r w:rsidR="00065A3F" w:rsidRPr="004B0E20">
        <w:rPr>
          <w:rFonts w:asciiTheme="majorHAnsi" w:hAnsiTheme="majorHAnsi"/>
          <w:b/>
          <w:sz w:val="22"/>
          <w:szCs w:val="22"/>
        </w:rPr>
        <w:t xml:space="preserve">EXHAUSTION OF </w:t>
      </w:r>
      <w:r w:rsidR="00785370" w:rsidRPr="004B0E20">
        <w:rPr>
          <w:rFonts w:asciiTheme="majorHAnsi" w:hAnsiTheme="majorHAnsi"/>
          <w:b/>
          <w:sz w:val="22"/>
          <w:szCs w:val="22"/>
        </w:rPr>
        <w:t xml:space="preserve">DOMESTIC </w:t>
      </w:r>
      <w:r w:rsidR="00065A3F" w:rsidRPr="004B0E20">
        <w:rPr>
          <w:rFonts w:asciiTheme="majorHAnsi" w:hAnsiTheme="majorHAnsi"/>
          <w:b/>
          <w:sz w:val="22"/>
          <w:szCs w:val="22"/>
        </w:rPr>
        <w:t>REMEDIES</w:t>
      </w:r>
      <w:r w:rsidR="00D21316" w:rsidRPr="004B0E20">
        <w:rPr>
          <w:rFonts w:asciiTheme="majorHAnsi" w:hAnsiTheme="majorHAnsi"/>
          <w:b/>
          <w:sz w:val="22"/>
          <w:szCs w:val="22"/>
        </w:rPr>
        <w:t xml:space="preserve"> </w:t>
      </w:r>
      <w:r w:rsidR="00065A3F" w:rsidRPr="004B0E20">
        <w:rPr>
          <w:rFonts w:asciiTheme="majorHAnsi" w:hAnsiTheme="majorHAnsi"/>
          <w:b/>
          <w:sz w:val="22"/>
          <w:szCs w:val="22"/>
        </w:rPr>
        <w:t>AND</w:t>
      </w:r>
      <w:r w:rsidR="00D21316" w:rsidRPr="004B0E20">
        <w:rPr>
          <w:rFonts w:asciiTheme="majorHAnsi" w:hAnsiTheme="majorHAnsi"/>
          <w:b/>
          <w:sz w:val="22"/>
          <w:szCs w:val="22"/>
        </w:rPr>
        <w:t xml:space="preserve"> </w:t>
      </w:r>
      <w:r w:rsidR="00B20D5C" w:rsidRPr="004B0E20">
        <w:rPr>
          <w:rFonts w:asciiTheme="majorHAnsi" w:hAnsiTheme="majorHAnsi"/>
          <w:b/>
          <w:sz w:val="22"/>
          <w:szCs w:val="22"/>
        </w:rPr>
        <w:t>TIMELINESS</w:t>
      </w:r>
      <w:r w:rsidR="008604D9" w:rsidRPr="004B0E20">
        <w:rPr>
          <w:rFonts w:asciiTheme="majorHAnsi" w:hAnsiTheme="majorHAnsi"/>
          <w:b/>
          <w:sz w:val="22"/>
          <w:szCs w:val="22"/>
        </w:rPr>
        <w:t xml:space="preserve"> OF THE PETITION</w:t>
      </w:r>
    </w:p>
    <w:p w:rsidR="004E204F" w:rsidRPr="004B0E20" w:rsidRDefault="007321BC" w:rsidP="00065A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New Roman"/>
          <w:sz w:val="22"/>
          <w:szCs w:val="22"/>
        </w:rPr>
      </w:pPr>
      <w:r>
        <w:rPr>
          <w:rFonts w:asciiTheme="majorHAnsi" w:hAnsiTheme="majorHAnsi" w:cs="Times New Roman"/>
          <w:noProof/>
          <w:sz w:val="22"/>
          <w:szCs w:val="22"/>
        </w:rPr>
        <w:t>Concerning</w:t>
      </w:r>
      <w:r w:rsidR="001A32FB"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the e</w:t>
      </w:r>
      <w:r w:rsidR="00065A3F" w:rsidRPr="004B0E20">
        <w:rPr>
          <w:rFonts w:asciiTheme="majorHAnsi" w:hAnsiTheme="majorHAnsi" w:cs="Times New Roman"/>
          <w:sz w:val="22"/>
          <w:szCs w:val="22"/>
        </w:rPr>
        <w:t xml:space="preserve">xhaustion of </w:t>
      </w:r>
      <w:r w:rsidR="00785370" w:rsidRPr="004B0E20">
        <w:rPr>
          <w:rFonts w:asciiTheme="majorHAnsi" w:hAnsiTheme="majorHAnsi" w:cs="Times New Roman"/>
          <w:sz w:val="22"/>
          <w:szCs w:val="22"/>
        </w:rPr>
        <w:t xml:space="preserve">domestic </w:t>
      </w:r>
      <w:r w:rsidR="00065A3F" w:rsidRPr="004B0E20">
        <w:rPr>
          <w:rFonts w:asciiTheme="majorHAnsi" w:hAnsiTheme="majorHAnsi" w:cs="Times New Roman"/>
          <w:sz w:val="22"/>
          <w:szCs w:val="22"/>
        </w:rPr>
        <w:t>remedies</w:t>
      </w:r>
      <w:r w:rsidR="001A32FB" w:rsidRPr="004B0E20">
        <w:rPr>
          <w:rFonts w:asciiTheme="majorHAnsi" w:hAnsiTheme="majorHAnsi" w:cs="Times New Roman"/>
          <w:sz w:val="22"/>
          <w:szCs w:val="22"/>
        </w:rPr>
        <w:t xml:space="preserve">, </w:t>
      </w:r>
      <w:r w:rsidR="00AB47B1" w:rsidRPr="004B0E20">
        <w:rPr>
          <w:rFonts w:asciiTheme="majorHAnsi" w:hAnsiTheme="majorHAnsi" w:cs="Times New Roman"/>
          <w:sz w:val="22"/>
          <w:szCs w:val="22"/>
        </w:rPr>
        <w:t>the petitioners</w:t>
      </w:r>
      <w:r w:rsidR="001A32FB"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first </w:t>
      </w:r>
      <w:r w:rsidR="0010462A" w:rsidRPr="004B0E20">
        <w:rPr>
          <w:rFonts w:asciiTheme="majorHAnsi" w:hAnsiTheme="majorHAnsi" w:cs="Times New Roman"/>
          <w:sz w:val="22"/>
          <w:szCs w:val="22"/>
        </w:rPr>
        <w:t>state</w:t>
      </w:r>
      <w:r w:rsidR="001A32FB" w:rsidRPr="004B0E20">
        <w:rPr>
          <w:rFonts w:asciiTheme="majorHAnsi" w:hAnsiTheme="majorHAnsi" w:cs="Times New Roman"/>
          <w:sz w:val="22"/>
          <w:szCs w:val="22"/>
        </w:rPr>
        <w:t xml:space="preserve"> </w:t>
      </w:r>
      <w:r w:rsidR="00100EE6" w:rsidRPr="004B0E20">
        <w:rPr>
          <w:rFonts w:asciiTheme="majorHAnsi" w:hAnsiTheme="majorHAnsi" w:cs="Times New Roman"/>
          <w:sz w:val="22"/>
          <w:szCs w:val="22"/>
        </w:rPr>
        <w:t>that</w:t>
      </w:r>
      <w:r w:rsidR="001A32FB"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these were exhausted on </w:t>
      </w:r>
      <w:r w:rsidR="004238FD" w:rsidRPr="004B0E20">
        <w:rPr>
          <w:rFonts w:asciiTheme="majorHAnsi" w:hAnsiTheme="majorHAnsi" w:cs="Times New Roman"/>
          <w:sz w:val="22"/>
          <w:szCs w:val="22"/>
        </w:rPr>
        <w:t>November</w:t>
      </w:r>
      <w:r w:rsidR="004E204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26, </w:t>
      </w:r>
      <w:r w:rsidR="004E204F" w:rsidRPr="004B0E20">
        <w:rPr>
          <w:rFonts w:asciiTheme="majorHAnsi" w:hAnsiTheme="majorHAnsi" w:cs="Times New Roman"/>
          <w:sz w:val="22"/>
          <w:szCs w:val="22"/>
        </w:rPr>
        <w:t xml:space="preserve">2008, </w:t>
      </w:r>
      <w:r w:rsidR="004A2321" w:rsidRPr="004B0E20">
        <w:rPr>
          <w:rFonts w:asciiTheme="majorHAnsi" w:hAnsiTheme="majorHAnsi" w:cs="Times New Roman"/>
          <w:sz w:val="22"/>
          <w:szCs w:val="22"/>
        </w:rPr>
        <w:t xml:space="preserve">upon publication of </w:t>
      </w:r>
      <w:r w:rsidR="0010462A" w:rsidRPr="004B0E20">
        <w:rPr>
          <w:rFonts w:asciiTheme="majorHAnsi" w:hAnsiTheme="majorHAnsi" w:cs="Times New Roman"/>
          <w:sz w:val="22"/>
          <w:szCs w:val="22"/>
        </w:rPr>
        <w:t>the</w:t>
      </w:r>
      <w:r w:rsidR="004E204F" w:rsidRPr="004B0E20">
        <w:rPr>
          <w:rFonts w:asciiTheme="majorHAnsi" w:hAnsiTheme="majorHAnsi" w:cs="Times New Roman"/>
          <w:sz w:val="22"/>
          <w:szCs w:val="22"/>
        </w:rPr>
        <w:t xml:space="preserve"> </w:t>
      </w:r>
      <w:r w:rsidR="005B2DEB" w:rsidRPr="004B0E20">
        <w:rPr>
          <w:rFonts w:asciiTheme="majorHAnsi" w:hAnsiTheme="majorHAnsi" w:cs="Times New Roman"/>
          <w:sz w:val="22"/>
          <w:szCs w:val="22"/>
        </w:rPr>
        <w:t>decision</w:t>
      </w:r>
      <w:r w:rsidR="004E204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to grant the </w:t>
      </w:r>
      <w:r w:rsidR="00D1099E" w:rsidRPr="004B0E20">
        <w:rPr>
          <w:rFonts w:asciiTheme="majorHAnsi" w:hAnsiTheme="majorHAnsi" w:cs="Times New Roman"/>
          <w:sz w:val="22"/>
          <w:szCs w:val="22"/>
        </w:rPr>
        <w:t xml:space="preserve">request to shelve </w:t>
      </w:r>
      <w:r w:rsidR="00065A3F" w:rsidRPr="004B0E20">
        <w:rPr>
          <w:rFonts w:asciiTheme="majorHAnsi" w:hAnsiTheme="majorHAnsi" w:cs="Times New Roman"/>
          <w:sz w:val="22"/>
          <w:szCs w:val="22"/>
        </w:rPr>
        <w:t>the</w:t>
      </w:r>
      <w:r w:rsidR="004E204F" w:rsidRPr="004B0E20">
        <w:rPr>
          <w:rFonts w:asciiTheme="majorHAnsi" w:hAnsiTheme="majorHAnsi" w:cs="Times New Roman"/>
          <w:sz w:val="22"/>
          <w:szCs w:val="22"/>
        </w:rPr>
        <w:t xml:space="preserve"> </w:t>
      </w:r>
      <w:r w:rsidR="004238FD" w:rsidRPr="004B0E20">
        <w:rPr>
          <w:rFonts w:asciiTheme="majorHAnsi" w:hAnsiTheme="majorHAnsi" w:cs="Times New Roman"/>
          <w:sz w:val="22"/>
          <w:szCs w:val="22"/>
        </w:rPr>
        <w:t>police inquiry</w:t>
      </w:r>
      <w:r w:rsidR="004A2321" w:rsidRPr="004B0E20">
        <w:rPr>
          <w:rFonts w:asciiTheme="majorHAnsi" w:hAnsiTheme="majorHAnsi" w:cs="Times New Roman"/>
          <w:sz w:val="22"/>
          <w:szCs w:val="22"/>
        </w:rPr>
        <w:t>,</w:t>
      </w:r>
      <w:r w:rsidR="000369D6" w:rsidRPr="004B0E20">
        <w:rPr>
          <w:rFonts w:asciiTheme="majorHAnsi" w:hAnsiTheme="majorHAnsi" w:cs="Times New Roman"/>
          <w:sz w:val="22"/>
          <w:szCs w:val="22"/>
        </w:rPr>
        <w:t xml:space="preserve"> </w:t>
      </w:r>
      <w:r w:rsidR="00065A3F" w:rsidRPr="004B0E20">
        <w:rPr>
          <w:rFonts w:asciiTheme="majorHAnsi" w:hAnsiTheme="majorHAnsi" w:cs="Times New Roman"/>
          <w:sz w:val="22"/>
          <w:szCs w:val="22"/>
        </w:rPr>
        <w:t>and</w:t>
      </w:r>
      <w:r w:rsidR="000369D6" w:rsidRPr="004B0E20">
        <w:rPr>
          <w:rFonts w:asciiTheme="majorHAnsi" w:hAnsiTheme="majorHAnsi" w:cs="Times New Roman"/>
          <w:sz w:val="22"/>
          <w:szCs w:val="22"/>
        </w:rPr>
        <w:t xml:space="preserve"> </w:t>
      </w:r>
      <w:r w:rsidR="00D1099E" w:rsidRPr="004B0E20">
        <w:rPr>
          <w:rFonts w:asciiTheme="majorHAnsi" w:hAnsiTheme="majorHAnsi" w:cs="Times New Roman"/>
          <w:sz w:val="22"/>
          <w:szCs w:val="22"/>
        </w:rPr>
        <w:t xml:space="preserve">they </w:t>
      </w:r>
      <w:r w:rsidR="00AE1A14" w:rsidRPr="004B0E20">
        <w:rPr>
          <w:rFonts w:asciiTheme="majorHAnsi" w:hAnsiTheme="majorHAnsi" w:cs="Times New Roman"/>
          <w:sz w:val="22"/>
          <w:szCs w:val="22"/>
        </w:rPr>
        <w:t>stress</w:t>
      </w:r>
      <w:r w:rsidR="004E204F" w:rsidRPr="004B0E20">
        <w:rPr>
          <w:rFonts w:asciiTheme="majorHAnsi" w:hAnsiTheme="majorHAnsi" w:cs="Times New Roman"/>
          <w:sz w:val="22"/>
          <w:szCs w:val="22"/>
        </w:rPr>
        <w:t xml:space="preserve"> </w:t>
      </w:r>
      <w:r w:rsidR="00100EE6" w:rsidRPr="004B0E20">
        <w:rPr>
          <w:rFonts w:asciiTheme="majorHAnsi" w:hAnsiTheme="majorHAnsi" w:cs="Times New Roman"/>
          <w:sz w:val="22"/>
          <w:szCs w:val="22"/>
        </w:rPr>
        <w:t>that</w:t>
      </w:r>
      <w:r w:rsidR="004E204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such </w:t>
      </w:r>
      <w:r w:rsidR="005B2DEB" w:rsidRPr="007321BC">
        <w:rPr>
          <w:rFonts w:asciiTheme="majorHAnsi" w:hAnsiTheme="majorHAnsi" w:cs="Times New Roman"/>
          <w:noProof/>
          <w:sz w:val="22"/>
          <w:szCs w:val="22"/>
        </w:rPr>
        <w:t>decision</w:t>
      </w:r>
      <w:r w:rsidR="004E204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is not subject to appeal</w:t>
      </w:r>
      <w:r w:rsidR="004E204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  </w:t>
      </w:r>
      <w:r w:rsidR="00D1099E" w:rsidRPr="004B0E20">
        <w:rPr>
          <w:rFonts w:asciiTheme="majorHAnsi" w:hAnsiTheme="majorHAnsi" w:cs="Times New Roman"/>
          <w:sz w:val="22"/>
          <w:szCs w:val="22"/>
        </w:rPr>
        <w:t>N</w:t>
      </w:r>
      <w:r w:rsidR="004A2321" w:rsidRPr="004B0E20">
        <w:rPr>
          <w:rFonts w:asciiTheme="majorHAnsi" w:hAnsiTheme="majorHAnsi" w:cs="Times New Roman"/>
          <w:sz w:val="22"/>
          <w:szCs w:val="22"/>
        </w:rPr>
        <w:t xml:space="preserve">evertheless, </w:t>
      </w:r>
      <w:r w:rsidR="00D1099E" w:rsidRPr="004B0E20">
        <w:rPr>
          <w:rFonts w:asciiTheme="majorHAnsi" w:hAnsiTheme="majorHAnsi" w:cs="Times New Roman"/>
          <w:sz w:val="22"/>
          <w:szCs w:val="22"/>
        </w:rPr>
        <w:t xml:space="preserve">they say, </w:t>
      </w:r>
      <w:r w:rsidR="00C51B82" w:rsidRPr="004B0E20">
        <w:rPr>
          <w:rFonts w:asciiTheme="majorHAnsi" w:hAnsiTheme="majorHAnsi" w:cs="Times New Roman"/>
          <w:sz w:val="22"/>
          <w:szCs w:val="22"/>
        </w:rPr>
        <w:t>in</w:t>
      </w:r>
      <w:r w:rsidR="001A31B4" w:rsidRPr="004B0E20">
        <w:rPr>
          <w:rFonts w:asciiTheme="majorHAnsi" w:hAnsiTheme="majorHAnsi" w:cs="Times New Roman"/>
          <w:sz w:val="22"/>
          <w:szCs w:val="22"/>
        </w:rPr>
        <w:t xml:space="preserve"> </w:t>
      </w:r>
      <w:r w:rsidR="004238FD" w:rsidRPr="004B0E20">
        <w:rPr>
          <w:rFonts w:asciiTheme="majorHAnsi" w:hAnsiTheme="majorHAnsi" w:cs="Times New Roman"/>
          <w:sz w:val="22"/>
          <w:szCs w:val="22"/>
        </w:rPr>
        <w:t>May</w:t>
      </w:r>
      <w:r w:rsidR="001A31B4" w:rsidRPr="004B0E20">
        <w:rPr>
          <w:rFonts w:asciiTheme="majorHAnsi" w:hAnsiTheme="majorHAnsi" w:cs="Times New Roman"/>
          <w:sz w:val="22"/>
          <w:szCs w:val="22"/>
        </w:rPr>
        <w:t xml:space="preserve"> 20</w:t>
      </w:r>
      <w:r w:rsidR="00EF50BF" w:rsidRPr="004B0E20">
        <w:rPr>
          <w:rFonts w:asciiTheme="majorHAnsi" w:hAnsiTheme="majorHAnsi" w:cs="Times New Roman"/>
          <w:sz w:val="22"/>
          <w:szCs w:val="22"/>
        </w:rPr>
        <w:t xml:space="preserve">09 </w:t>
      </w:r>
      <w:r w:rsidR="004A2321" w:rsidRPr="004B0E20">
        <w:rPr>
          <w:rFonts w:asciiTheme="majorHAnsi" w:hAnsiTheme="majorHAnsi" w:cs="Times New Roman"/>
          <w:sz w:val="22"/>
          <w:szCs w:val="22"/>
        </w:rPr>
        <w:t xml:space="preserve">they presented an </w:t>
      </w:r>
      <w:r w:rsidR="00EF50BF" w:rsidRPr="004B0E20">
        <w:rPr>
          <w:rFonts w:asciiTheme="majorHAnsi" w:hAnsiTheme="majorHAnsi" w:cs="Times New Roman"/>
          <w:sz w:val="22"/>
          <w:szCs w:val="22"/>
        </w:rPr>
        <w:t xml:space="preserve">IDC </w:t>
      </w:r>
      <w:r w:rsidR="00D1099E" w:rsidRPr="004B0E20">
        <w:rPr>
          <w:rFonts w:asciiTheme="majorHAnsi" w:hAnsiTheme="majorHAnsi" w:cs="Times New Roman"/>
          <w:sz w:val="22"/>
          <w:szCs w:val="22"/>
        </w:rPr>
        <w:t>request</w:t>
      </w:r>
      <w:r>
        <w:rPr>
          <w:rFonts w:asciiTheme="majorHAnsi" w:hAnsiTheme="majorHAnsi" w:cs="Times New Roman"/>
          <w:sz w:val="22"/>
          <w:szCs w:val="22"/>
        </w:rPr>
        <w:t>,</w:t>
      </w:r>
      <w:r w:rsidR="00D1099E" w:rsidRPr="004B0E20">
        <w:rPr>
          <w:rFonts w:asciiTheme="majorHAnsi" w:hAnsiTheme="majorHAnsi" w:cs="Times New Roman"/>
          <w:sz w:val="22"/>
          <w:szCs w:val="22"/>
        </w:rPr>
        <w:t xml:space="preserve"> </w:t>
      </w:r>
      <w:r w:rsidR="00065A3F" w:rsidRPr="007321BC">
        <w:rPr>
          <w:rFonts w:asciiTheme="majorHAnsi" w:hAnsiTheme="majorHAnsi" w:cs="Times New Roman"/>
          <w:noProof/>
          <w:sz w:val="22"/>
          <w:szCs w:val="22"/>
        </w:rPr>
        <w:t>and</w:t>
      </w:r>
      <w:r w:rsidR="00EF50BF" w:rsidRPr="004B0E20">
        <w:rPr>
          <w:rFonts w:asciiTheme="majorHAnsi" w:hAnsiTheme="majorHAnsi" w:cs="Times New Roman"/>
          <w:sz w:val="22"/>
          <w:szCs w:val="22"/>
        </w:rPr>
        <w:t xml:space="preserve"> </w:t>
      </w:r>
      <w:r w:rsidR="004A2321" w:rsidRPr="004B0E20">
        <w:rPr>
          <w:rFonts w:asciiTheme="majorHAnsi" w:hAnsiTheme="majorHAnsi" w:cs="Times New Roman"/>
          <w:sz w:val="22"/>
          <w:szCs w:val="22"/>
        </w:rPr>
        <w:t xml:space="preserve">the case has been pending </w:t>
      </w:r>
      <w:r w:rsidR="007C1AD0" w:rsidRPr="004B0E20">
        <w:rPr>
          <w:rFonts w:asciiTheme="majorHAnsi" w:hAnsiTheme="majorHAnsi" w:cs="Times New Roman"/>
          <w:sz w:val="22"/>
          <w:szCs w:val="22"/>
        </w:rPr>
        <w:t xml:space="preserve">before the </w:t>
      </w:r>
      <w:r w:rsidR="000369D6" w:rsidRPr="004B0E20">
        <w:rPr>
          <w:rFonts w:asciiTheme="majorHAnsi" w:hAnsiTheme="majorHAnsi" w:cs="Times New Roman"/>
          <w:sz w:val="22"/>
          <w:szCs w:val="22"/>
        </w:rPr>
        <w:t xml:space="preserve">STJ </w:t>
      </w:r>
      <w:r w:rsidR="007C1AD0" w:rsidRPr="004B0E20">
        <w:rPr>
          <w:rFonts w:asciiTheme="majorHAnsi" w:hAnsiTheme="majorHAnsi" w:cs="Times New Roman"/>
          <w:sz w:val="22"/>
          <w:szCs w:val="22"/>
        </w:rPr>
        <w:t>for two years</w:t>
      </w:r>
      <w:r w:rsidR="000369D6" w:rsidRPr="004B0E20">
        <w:rPr>
          <w:rFonts w:asciiTheme="majorHAnsi" w:hAnsiTheme="majorHAnsi" w:cs="Times New Roman"/>
          <w:sz w:val="22"/>
          <w:szCs w:val="22"/>
        </w:rPr>
        <w:t>.</w:t>
      </w:r>
    </w:p>
    <w:p w:rsidR="003239B8" w:rsidRPr="004B0E20" w:rsidRDefault="007C1AD0" w:rsidP="00065A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New Roman"/>
          <w:sz w:val="22"/>
          <w:szCs w:val="22"/>
        </w:rPr>
      </w:pPr>
      <w:r w:rsidRPr="004B0E20">
        <w:rPr>
          <w:rFonts w:asciiTheme="majorHAnsi" w:hAnsiTheme="majorHAnsi" w:cs="Times New Roman"/>
          <w:sz w:val="22"/>
          <w:szCs w:val="22"/>
        </w:rPr>
        <w:t>The</w:t>
      </w:r>
      <w:r w:rsidR="00712B8A" w:rsidRPr="004B0E20">
        <w:rPr>
          <w:rFonts w:asciiTheme="majorHAnsi" w:hAnsiTheme="majorHAnsi" w:cs="Times New Roman"/>
          <w:sz w:val="22"/>
          <w:szCs w:val="22"/>
        </w:rPr>
        <w:t xml:space="preserve"> </w:t>
      </w:r>
      <w:r w:rsidR="00AB47B1" w:rsidRPr="004B0E20">
        <w:rPr>
          <w:rFonts w:asciiTheme="majorHAnsi" w:hAnsiTheme="majorHAnsi" w:cs="Times New Roman"/>
          <w:sz w:val="22"/>
          <w:szCs w:val="22"/>
        </w:rPr>
        <w:t>State</w:t>
      </w:r>
      <w:r w:rsidR="00712B8A" w:rsidRPr="004B0E20">
        <w:rPr>
          <w:rFonts w:asciiTheme="majorHAnsi" w:hAnsiTheme="majorHAnsi" w:cs="Times New Roman"/>
          <w:sz w:val="22"/>
          <w:szCs w:val="22"/>
        </w:rPr>
        <w:t xml:space="preserve">, </w:t>
      </w:r>
      <w:r w:rsidR="00D1099E" w:rsidRPr="004B0E20">
        <w:rPr>
          <w:rFonts w:asciiTheme="majorHAnsi" w:hAnsiTheme="majorHAnsi" w:cs="Times New Roman"/>
          <w:sz w:val="22"/>
          <w:szCs w:val="22"/>
        </w:rPr>
        <w:t>conversely</w:t>
      </w:r>
      <w:r w:rsidRPr="004B0E20">
        <w:rPr>
          <w:rFonts w:asciiTheme="majorHAnsi" w:hAnsiTheme="majorHAnsi" w:cs="Times New Roman"/>
          <w:sz w:val="22"/>
          <w:szCs w:val="22"/>
        </w:rPr>
        <w:t>, argues that the shelving</w:t>
      </w:r>
      <w:r w:rsidR="00712B8A" w:rsidRPr="004B0E20">
        <w:rPr>
          <w:rFonts w:asciiTheme="majorHAnsi" w:hAnsiTheme="majorHAnsi" w:cs="Times New Roman"/>
          <w:sz w:val="22"/>
          <w:szCs w:val="22"/>
        </w:rPr>
        <w:t xml:space="preserve"> </w:t>
      </w:r>
      <w:r w:rsidR="00065A3F" w:rsidRPr="004B0E20">
        <w:rPr>
          <w:rFonts w:asciiTheme="majorHAnsi" w:hAnsiTheme="majorHAnsi" w:cs="Times New Roman"/>
          <w:sz w:val="22"/>
          <w:szCs w:val="22"/>
        </w:rPr>
        <w:t>of the</w:t>
      </w:r>
      <w:r w:rsidR="00712B8A" w:rsidRPr="004B0E20">
        <w:rPr>
          <w:rFonts w:asciiTheme="majorHAnsi" w:hAnsiTheme="majorHAnsi" w:cs="Times New Roman"/>
          <w:sz w:val="22"/>
          <w:szCs w:val="22"/>
        </w:rPr>
        <w:t xml:space="preserve"> </w:t>
      </w:r>
      <w:r w:rsidR="004238FD" w:rsidRPr="004B0E20">
        <w:rPr>
          <w:rFonts w:asciiTheme="majorHAnsi" w:hAnsiTheme="majorHAnsi" w:cs="Times New Roman"/>
          <w:sz w:val="22"/>
          <w:szCs w:val="22"/>
        </w:rPr>
        <w:t>police inquiry</w:t>
      </w:r>
      <w:r w:rsidR="00712B8A" w:rsidRPr="004B0E20">
        <w:rPr>
          <w:rFonts w:asciiTheme="majorHAnsi" w:hAnsiTheme="majorHAnsi" w:cs="Times New Roman"/>
          <w:sz w:val="22"/>
          <w:szCs w:val="22"/>
        </w:rPr>
        <w:t xml:space="preserve"> </w:t>
      </w:r>
      <w:r w:rsidRPr="004B0E20">
        <w:rPr>
          <w:rFonts w:asciiTheme="majorHAnsi" w:hAnsiTheme="majorHAnsi" w:cs="Times New Roman"/>
          <w:sz w:val="22"/>
          <w:szCs w:val="22"/>
        </w:rPr>
        <w:t xml:space="preserve">does not constitute </w:t>
      </w:r>
      <w:r w:rsidRPr="004B0E20">
        <w:rPr>
          <w:rFonts w:asciiTheme="majorHAnsi" w:hAnsiTheme="majorHAnsi" w:cs="Times New Roman"/>
          <w:i/>
          <w:sz w:val="22"/>
          <w:szCs w:val="22"/>
        </w:rPr>
        <w:t>res judicata</w:t>
      </w:r>
      <w:r w:rsidR="00712B8A" w:rsidRPr="004B0E20">
        <w:rPr>
          <w:rFonts w:asciiTheme="majorHAnsi" w:hAnsiTheme="majorHAnsi" w:cs="Times New Roman"/>
          <w:sz w:val="22"/>
          <w:szCs w:val="22"/>
        </w:rPr>
        <w:t xml:space="preserve">, </w:t>
      </w:r>
      <w:r w:rsidRPr="004B0E20">
        <w:rPr>
          <w:rFonts w:asciiTheme="majorHAnsi" w:hAnsiTheme="majorHAnsi" w:cs="Times New Roman"/>
          <w:sz w:val="22"/>
          <w:szCs w:val="22"/>
        </w:rPr>
        <w:t>since, should new evidence arise, the</w:t>
      </w:r>
      <w:r w:rsidR="00712B8A" w:rsidRPr="004B0E20">
        <w:rPr>
          <w:rFonts w:asciiTheme="majorHAnsi" w:hAnsiTheme="majorHAnsi" w:cs="Times New Roman"/>
          <w:sz w:val="22"/>
          <w:szCs w:val="22"/>
        </w:rPr>
        <w:t xml:space="preserve"> </w:t>
      </w:r>
      <w:r w:rsidR="00AE1A14" w:rsidRPr="004B0E20">
        <w:rPr>
          <w:rFonts w:asciiTheme="majorHAnsi" w:hAnsiTheme="majorHAnsi" w:cs="Times New Roman"/>
          <w:sz w:val="22"/>
          <w:szCs w:val="22"/>
        </w:rPr>
        <w:t>investigations</w:t>
      </w:r>
      <w:r w:rsidR="00712B8A" w:rsidRPr="004B0E20">
        <w:rPr>
          <w:rFonts w:asciiTheme="majorHAnsi" w:hAnsiTheme="majorHAnsi" w:cs="Times New Roman"/>
          <w:sz w:val="22"/>
          <w:szCs w:val="22"/>
        </w:rPr>
        <w:t xml:space="preserve"> </w:t>
      </w:r>
      <w:r w:rsidRPr="004B0E20">
        <w:rPr>
          <w:rFonts w:asciiTheme="majorHAnsi" w:hAnsiTheme="majorHAnsi" w:cs="Times New Roman"/>
          <w:sz w:val="22"/>
          <w:szCs w:val="22"/>
        </w:rPr>
        <w:t>can resume</w:t>
      </w:r>
      <w:r w:rsidR="007321BC">
        <w:rPr>
          <w:rFonts w:asciiTheme="majorHAnsi" w:hAnsiTheme="majorHAnsi" w:cs="Times New Roman"/>
          <w:sz w:val="22"/>
          <w:szCs w:val="22"/>
        </w:rPr>
        <w:t>,</w:t>
      </w:r>
      <w:r w:rsidRPr="004B0E20">
        <w:rPr>
          <w:rFonts w:asciiTheme="majorHAnsi" w:hAnsiTheme="majorHAnsi" w:cs="Times New Roman"/>
          <w:sz w:val="22"/>
          <w:szCs w:val="22"/>
        </w:rPr>
        <w:t xml:space="preserve"> </w:t>
      </w:r>
      <w:r w:rsidR="00065A3F" w:rsidRPr="007321BC">
        <w:rPr>
          <w:rFonts w:asciiTheme="majorHAnsi" w:hAnsiTheme="majorHAnsi" w:cs="Times New Roman"/>
          <w:noProof/>
          <w:sz w:val="22"/>
          <w:szCs w:val="22"/>
        </w:rPr>
        <w:t>and</w:t>
      </w:r>
      <w:r w:rsidR="00712B8A" w:rsidRPr="004B0E20">
        <w:rPr>
          <w:rFonts w:asciiTheme="majorHAnsi" w:hAnsiTheme="majorHAnsi" w:cs="Times New Roman"/>
          <w:sz w:val="22"/>
          <w:szCs w:val="22"/>
        </w:rPr>
        <w:t xml:space="preserve"> </w:t>
      </w:r>
      <w:r w:rsidRPr="004B0E20">
        <w:rPr>
          <w:rFonts w:asciiTheme="majorHAnsi" w:hAnsiTheme="majorHAnsi" w:cs="Times New Roman"/>
          <w:sz w:val="22"/>
          <w:szCs w:val="22"/>
        </w:rPr>
        <w:t>criminal proceedings c</w:t>
      </w:r>
      <w:r w:rsidR="005C72E3" w:rsidRPr="004B0E20">
        <w:rPr>
          <w:rFonts w:asciiTheme="majorHAnsi" w:hAnsiTheme="majorHAnsi" w:cs="Times New Roman"/>
          <w:sz w:val="22"/>
          <w:szCs w:val="22"/>
        </w:rPr>
        <w:t>an</w:t>
      </w:r>
      <w:r w:rsidRPr="004B0E20">
        <w:rPr>
          <w:rFonts w:asciiTheme="majorHAnsi" w:hAnsiTheme="majorHAnsi" w:cs="Times New Roman"/>
          <w:sz w:val="22"/>
          <w:szCs w:val="22"/>
        </w:rPr>
        <w:t xml:space="preserve"> </w:t>
      </w:r>
      <w:r w:rsidRPr="007321BC">
        <w:rPr>
          <w:rFonts w:asciiTheme="majorHAnsi" w:hAnsiTheme="majorHAnsi" w:cs="Times New Roman"/>
          <w:noProof/>
          <w:sz w:val="22"/>
          <w:szCs w:val="22"/>
        </w:rPr>
        <w:t>be initiated</w:t>
      </w:r>
      <w:r w:rsidR="00712B8A" w:rsidRPr="004B0E20">
        <w:rPr>
          <w:rFonts w:asciiTheme="majorHAnsi" w:hAnsiTheme="majorHAnsi" w:cs="Times New Roman"/>
          <w:sz w:val="22"/>
          <w:szCs w:val="22"/>
        </w:rPr>
        <w:t>.</w:t>
      </w:r>
      <w:r w:rsidR="001A32FB" w:rsidRPr="004B0E20">
        <w:rPr>
          <w:rFonts w:asciiTheme="majorHAnsi" w:hAnsiTheme="majorHAnsi" w:cs="Times New Roman"/>
          <w:sz w:val="22"/>
          <w:szCs w:val="22"/>
        </w:rPr>
        <w:t xml:space="preserve"> </w:t>
      </w:r>
      <w:r w:rsidRPr="004B0E20">
        <w:rPr>
          <w:rFonts w:asciiTheme="majorHAnsi" w:hAnsiTheme="majorHAnsi" w:cs="Times New Roman"/>
          <w:sz w:val="22"/>
          <w:szCs w:val="22"/>
        </w:rPr>
        <w:t xml:space="preserve">The State also mentions </w:t>
      </w:r>
      <w:r w:rsidR="00100EE6" w:rsidRPr="004B0E20">
        <w:rPr>
          <w:rFonts w:asciiTheme="majorHAnsi" w:hAnsiTheme="majorHAnsi" w:cs="Times New Roman"/>
          <w:sz w:val="22"/>
          <w:szCs w:val="22"/>
        </w:rPr>
        <w:t>that</w:t>
      </w:r>
      <w:r w:rsidR="001A32FB" w:rsidRPr="004B0E20">
        <w:rPr>
          <w:rFonts w:asciiTheme="majorHAnsi" w:hAnsiTheme="majorHAnsi" w:cs="Times New Roman"/>
          <w:sz w:val="22"/>
          <w:szCs w:val="22"/>
        </w:rPr>
        <w:t xml:space="preserve"> </w:t>
      </w:r>
      <w:r w:rsidRPr="004B0E20">
        <w:rPr>
          <w:rFonts w:asciiTheme="majorHAnsi" w:hAnsiTheme="majorHAnsi" w:cs="Times New Roman"/>
          <w:sz w:val="22"/>
          <w:szCs w:val="22"/>
        </w:rPr>
        <w:t xml:space="preserve">the </w:t>
      </w:r>
      <w:r w:rsidR="005B2DEB" w:rsidRPr="004B0E20">
        <w:rPr>
          <w:rFonts w:asciiTheme="majorHAnsi" w:hAnsiTheme="majorHAnsi" w:cs="Times New Roman"/>
          <w:sz w:val="22"/>
          <w:szCs w:val="22"/>
        </w:rPr>
        <w:t xml:space="preserve">Office of the </w:t>
      </w:r>
      <w:r w:rsidRPr="004B0E20">
        <w:rPr>
          <w:rFonts w:asciiTheme="majorHAnsi" w:hAnsiTheme="majorHAnsi" w:cs="Times New Roman"/>
          <w:sz w:val="22"/>
          <w:szCs w:val="22"/>
        </w:rPr>
        <w:t>Public Prosecutor</w:t>
      </w:r>
      <w:r w:rsidR="001A32FB" w:rsidRPr="004B0E20">
        <w:rPr>
          <w:rFonts w:asciiTheme="majorHAnsi" w:hAnsiTheme="majorHAnsi" w:cs="Times New Roman"/>
          <w:sz w:val="22"/>
          <w:szCs w:val="22"/>
        </w:rPr>
        <w:t xml:space="preserve"> </w:t>
      </w:r>
      <w:r w:rsidRPr="004B0E20">
        <w:rPr>
          <w:rFonts w:asciiTheme="majorHAnsi" w:hAnsiTheme="majorHAnsi" w:cs="Times New Roman"/>
          <w:sz w:val="22"/>
          <w:szCs w:val="22"/>
        </w:rPr>
        <w:t xml:space="preserve">can </w:t>
      </w:r>
      <w:r w:rsidR="005C72E3" w:rsidRPr="004B0E20">
        <w:rPr>
          <w:rFonts w:asciiTheme="majorHAnsi" w:hAnsiTheme="majorHAnsi" w:cs="Times New Roman"/>
          <w:sz w:val="22"/>
          <w:szCs w:val="22"/>
        </w:rPr>
        <w:t xml:space="preserve">institute </w:t>
      </w:r>
      <w:r w:rsidRPr="004B0E20">
        <w:rPr>
          <w:rFonts w:asciiTheme="majorHAnsi" w:hAnsiTheme="majorHAnsi" w:cs="Times New Roman"/>
          <w:sz w:val="22"/>
          <w:szCs w:val="22"/>
        </w:rPr>
        <w:t xml:space="preserve">a criminal </w:t>
      </w:r>
      <w:r w:rsidRPr="007321BC">
        <w:rPr>
          <w:rFonts w:asciiTheme="majorHAnsi" w:hAnsiTheme="majorHAnsi" w:cs="Times New Roman"/>
          <w:noProof/>
          <w:sz w:val="22"/>
          <w:szCs w:val="22"/>
        </w:rPr>
        <w:t>proceeding</w:t>
      </w:r>
      <w:r w:rsidRPr="004B0E20">
        <w:rPr>
          <w:rFonts w:asciiTheme="majorHAnsi" w:hAnsiTheme="majorHAnsi" w:cs="Times New Roman"/>
          <w:sz w:val="22"/>
          <w:szCs w:val="22"/>
        </w:rPr>
        <w:t xml:space="preserve"> </w:t>
      </w:r>
      <w:r w:rsidR="005C72E3" w:rsidRPr="004B0E20">
        <w:rPr>
          <w:rFonts w:asciiTheme="majorHAnsi" w:hAnsiTheme="majorHAnsi" w:cs="Times New Roman"/>
          <w:sz w:val="22"/>
          <w:szCs w:val="22"/>
        </w:rPr>
        <w:t xml:space="preserve">on its </w:t>
      </w:r>
      <w:r w:rsidR="005C72E3" w:rsidRPr="007321BC">
        <w:rPr>
          <w:rFonts w:asciiTheme="majorHAnsi" w:hAnsiTheme="majorHAnsi" w:cs="Times New Roman"/>
          <w:noProof/>
          <w:sz w:val="22"/>
          <w:szCs w:val="22"/>
        </w:rPr>
        <w:t>own</w:t>
      </w:r>
      <w:r w:rsidR="005C72E3" w:rsidRPr="004B0E20">
        <w:rPr>
          <w:rFonts w:asciiTheme="majorHAnsi" w:hAnsiTheme="majorHAnsi" w:cs="Times New Roman"/>
          <w:sz w:val="22"/>
          <w:szCs w:val="22"/>
        </w:rPr>
        <w:t xml:space="preserve"> initiative, apart from </w:t>
      </w:r>
      <w:r w:rsidR="00065A3F" w:rsidRPr="004B0E20">
        <w:rPr>
          <w:rFonts w:asciiTheme="majorHAnsi" w:hAnsiTheme="majorHAnsi" w:cs="Times New Roman"/>
          <w:sz w:val="22"/>
          <w:szCs w:val="22"/>
        </w:rPr>
        <w:t>the</w:t>
      </w:r>
      <w:r w:rsidR="001A32FB" w:rsidRPr="004B0E20">
        <w:rPr>
          <w:rFonts w:asciiTheme="majorHAnsi" w:hAnsiTheme="majorHAnsi" w:cs="Times New Roman"/>
          <w:sz w:val="22"/>
          <w:szCs w:val="22"/>
        </w:rPr>
        <w:t xml:space="preserve"> </w:t>
      </w:r>
      <w:r w:rsidRPr="004B0E20">
        <w:rPr>
          <w:rFonts w:asciiTheme="majorHAnsi" w:hAnsiTheme="majorHAnsi" w:cs="Times New Roman"/>
          <w:sz w:val="22"/>
          <w:szCs w:val="22"/>
        </w:rPr>
        <w:t>police investigations</w:t>
      </w:r>
      <w:r w:rsidR="005C72E3" w:rsidRPr="004B0E20">
        <w:rPr>
          <w:rFonts w:asciiTheme="majorHAnsi" w:hAnsiTheme="majorHAnsi" w:cs="Times New Roman"/>
          <w:sz w:val="22"/>
          <w:szCs w:val="22"/>
        </w:rPr>
        <w:t>,</w:t>
      </w:r>
      <w:r w:rsidR="001A32FB" w:rsidRPr="004B0E20">
        <w:rPr>
          <w:rFonts w:asciiTheme="majorHAnsi" w:hAnsiTheme="majorHAnsi" w:cs="Times New Roman"/>
          <w:sz w:val="22"/>
          <w:szCs w:val="22"/>
        </w:rPr>
        <w:t xml:space="preserve"> </w:t>
      </w:r>
      <w:r w:rsidR="00065A3F" w:rsidRPr="004B0E20">
        <w:rPr>
          <w:rFonts w:asciiTheme="majorHAnsi" w:hAnsiTheme="majorHAnsi" w:cs="Times New Roman"/>
          <w:sz w:val="22"/>
          <w:szCs w:val="22"/>
        </w:rPr>
        <w:t>and</w:t>
      </w:r>
      <w:r w:rsidR="001A32FB" w:rsidRPr="004B0E20">
        <w:rPr>
          <w:rFonts w:asciiTheme="majorHAnsi" w:hAnsiTheme="majorHAnsi" w:cs="Times New Roman"/>
          <w:sz w:val="22"/>
          <w:szCs w:val="22"/>
        </w:rPr>
        <w:t xml:space="preserve"> </w:t>
      </w:r>
      <w:r w:rsidR="00100EE6" w:rsidRPr="004B0E20">
        <w:rPr>
          <w:rFonts w:asciiTheme="majorHAnsi" w:hAnsiTheme="majorHAnsi" w:cs="Times New Roman"/>
          <w:sz w:val="22"/>
          <w:szCs w:val="22"/>
        </w:rPr>
        <w:t>that</w:t>
      </w:r>
      <w:r w:rsidR="005C72E3" w:rsidRPr="004B0E20">
        <w:rPr>
          <w:rFonts w:asciiTheme="majorHAnsi" w:hAnsiTheme="majorHAnsi" w:cs="Times New Roman"/>
          <w:sz w:val="22"/>
          <w:szCs w:val="22"/>
        </w:rPr>
        <w:t xml:space="preserve"> such action can be set in motion by </w:t>
      </w:r>
      <w:r w:rsidR="00065A3F" w:rsidRPr="004B0E20">
        <w:rPr>
          <w:rFonts w:asciiTheme="majorHAnsi" w:hAnsiTheme="majorHAnsi" w:cs="Times New Roman"/>
          <w:sz w:val="22"/>
          <w:szCs w:val="22"/>
        </w:rPr>
        <w:t>the</w:t>
      </w:r>
      <w:r w:rsidR="001A32FB" w:rsidRPr="004B0E20">
        <w:rPr>
          <w:rFonts w:asciiTheme="majorHAnsi" w:hAnsiTheme="majorHAnsi" w:cs="Times New Roman"/>
          <w:sz w:val="22"/>
          <w:szCs w:val="22"/>
        </w:rPr>
        <w:t xml:space="preserve"> part</w:t>
      </w:r>
      <w:r w:rsidRPr="004B0E20">
        <w:rPr>
          <w:rFonts w:asciiTheme="majorHAnsi" w:hAnsiTheme="majorHAnsi" w:cs="Times New Roman"/>
          <w:sz w:val="22"/>
          <w:szCs w:val="22"/>
        </w:rPr>
        <w:t>i</w:t>
      </w:r>
      <w:r w:rsidR="001A32FB" w:rsidRPr="004B0E20">
        <w:rPr>
          <w:rFonts w:asciiTheme="majorHAnsi" w:hAnsiTheme="majorHAnsi" w:cs="Times New Roman"/>
          <w:sz w:val="22"/>
          <w:szCs w:val="22"/>
        </w:rPr>
        <w:t xml:space="preserve">es </w:t>
      </w:r>
      <w:r w:rsidR="005C72E3" w:rsidRPr="004B0E20">
        <w:rPr>
          <w:rFonts w:asciiTheme="majorHAnsi" w:hAnsiTheme="majorHAnsi" w:cs="Times New Roman"/>
          <w:sz w:val="22"/>
          <w:szCs w:val="22"/>
        </w:rPr>
        <w:t xml:space="preserve">through </w:t>
      </w:r>
      <w:r w:rsidR="007321BC">
        <w:rPr>
          <w:rFonts w:asciiTheme="majorHAnsi" w:hAnsiTheme="majorHAnsi" w:cs="Times New Roman"/>
          <w:sz w:val="22"/>
          <w:szCs w:val="22"/>
        </w:rPr>
        <w:t xml:space="preserve">the </w:t>
      </w:r>
      <w:r w:rsidRPr="007321BC">
        <w:rPr>
          <w:rFonts w:asciiTheme="majorHAnsi" w:hAnsiTheme="majorHAnsi" w:cs="Times New Roman"/>
          <w:noProof/>
          <w:sz w:val="22"/>
          <w:szCs w:val="22"/>
        </w:rPr>
        <w:t>present</w:t>
      </w:r>
      <w:r w:rsidR="005C72E3" w:rsidRPr="007321BC">
        <w:rPr>
          <w:rFonts w:asciiTheme="majorHAnsi" w:hAnsiTheme="majorHAnsi" w:cs="Times New Roman"/>
          <w:noProof/>
          <w:sz w:val="22"/>
          <w:szCs w:val="22"/>
        </w:rPr>
        <w:t>ation</w:t>
      </w:r>
      <w:r w:rsidR="005C72E3" w:rsidRPr="004B0E20">
        <w:rPr>
          <w:rFonts w:asciiTheme="majorHAnsi" w:hAnsiTheme="majorHAnsi" w:cs="Times New Roman"/>
          <w:sz w:val="22"/>
          <w:szCs w:val="22"/>
        </w:rPr>
        <w:t xml:space="preserve"> of</w:t>
      </w:r>
      <w:r w:rsidRPr="004B0E20">
        <w:rPr>
          <w:rFonts w:asciiTheme="majorHAnsi" w:hAnsiTheme="majorHAnsi" w:cs="Times New Roman"/>
          <w:sz w:val="22"/>
          <w:szCs w:val="22"/>
        </w:rPr>
        <w:t xml:space="preserve"> new evidence</w:t>
      </w:r>
      <w:r w:rsidR="001A32FB" w:rsidRPr="004B0E20">
        <w:rPr>
          <w:rFonts w:asciiTheme="majorHAnsi" w:hAnsiTheme="majorHAnsi" w:cs="Times New Roman"/>
          <w:sz w:val="22"/>
          <w:szCs w:val="22"/>
        </w:rPr>
        <w:t xml:space="preserve">. </w:t>
      </w:r>
      <w:r w:rsidR="00FC3B7D" w:rsidRPr="004B0E20">
        <w:rPr>
          <w:rFonts w:asciiTheme="majorHAnsi" w:hAnsiTheme="majorHAnsi" w:cs="Times New Roman"/>
          <w:sz w:val="22"/>
          <w:szCs w:val="22"/>
        </w:rPr>
        <w:t xml:space="preserve">The State </w:t>
      </w:r>
      <w:r w:rsidR="005D3D70" w:rsidRPr="004B0E20">
        <w:rPr>
          <w:rFonts w:asciiTheme="majorHAnsi" w:hAnsiTheme="majorHAnsi" w:cs="Times New Roman"/>
          <w:sz w:val="22"/>
          <w:szCs w:val="22"/>
        </w:rPr>
        <w:t xml:space="preserve">thus </w:t>
      </w:r>
      <w:r w:rsidR="00FC3B7D" w:rsidRPr="004B0E20">
        <w:rPr>
          <w:rFonts w:asciiTheme="majorHAnsi" w:hAnsiTheme="majorHAnsi" w:cs="Times New Roman"/>
          <w:sz w:val="22"/>
          <w:szCs w:val="22"/>
        </w:rPr>
        <w:t>maintains</w:t>
      </w:r>
      <w:r w:rsidR="001A32FB" w:rsidRPr="004B0E20">
        <w:rPr>
          <w:rFonts w:asciiTheme="majorHAnsi" w:hAnsiTheme="majorHAnsi" w:cs="Times New Roman"/>
          <w:sz w:val="22"/>
          <w:szCs w:val="22"/>
        </w:rPr>
        <w:t xml:space="preserve"> </w:t>
      </w:r>
      <w:r w:rsidR="00100EE6" w:rsidRPr="004B0E20">
        <w:rPr>
          <w:rFonts w:asciiTheme="majorHAnsi" w:hAnsiTheme="majorHAnsi" w:cs="Times New Roman"/>
          <w:sz w:val="22"/>
          <w:szCs w:val="22"/>
        </w:rPr>
        <w:t>that</w:t>
      </w:r>
      <w:r w:rsidR="00FC3B7D" w:rsidRPr="004B0E20">
        <w:rPr>
          <w:rFonts w:asciiTheme="majorHAnsi" w:hAnsiTheme="majorHAnsi" w:cs="Times New Roman"/>
          <w:sz w:val="22"/>
          <w:szCs w:val="22"/>
        </w:rPr>
        <w:t>,</w:t>
      </w:r>
      <w:r w:rsidR="001A32FB" w:rsidRPr="004B0E20">
        <w:rPr>
          <w:rFonts w:asciiTheme="majorHAnsi" w:hAnsiTheme="majorHAnsi" w:cs="Times New Roman"/>
          <w:sz w:val="22"/>
          <w:szCs w:val="22"/>
        </w:rPr>
        <w:t xml:space="preserve"> </w:t>
      </w:r>
      <w:r w:rsidR="00AE1A14" w:rsidRPr="004B0E20">
        <w:rPr>
          <w:rFonts w:asciiTheme="majorHAnsi" w:hAnsiTheme="majorHAnsi" w:cs="Times New Roman"/>
          <w:sz w:val="22"/>
          <w:szCs w:val="22"/>
        </w:rPr>
        <w:t>after</w:t>
      </w:r>
      <w:r w:rsidR="001A32FB" w:rsidRPr="004B0E20">
        <w:rPr>
          <w:rFonts w:asciiTheme="majorHAnsi" w:hAnsiTheme="majorHAnsi" w:cs="Times New Roman"/>
          <w:sz w:val="22"/>
          <w:szCs w:val="22"/>
        </w:rPr>
        <w:t xml:space="preserve"> </w:t>
      </w:r>
      <w:r w:rsidR="00065A3F" w:rsidRPr="004B0E20">
        <w:rPr>
          <w:rFonts w:asciiTheme="majorHAnsi" w:hAnsiTheme="majorHAnsi" w:cs="Times New Roman"/>
          <w:sz w:val="22"/>
          <w:szCs w:val="22"/>
        </w:rPr>
        <w:t>the</w:t>
      </w:r>
      <w:r w:rsidR="001A32FB" w:rsidRPr="004B0E20">
        <w:rPr>
          <w:rFonts w:asciiTheme="majorHAnsi" w:hAnsiTheme="majorHAnsi" w:cs="Times New Roman"/>
          <w:sz w:val="22"/>
          <w:szCs w:val="22"/>
        </w:rPr>
        <w:t xml:space="preserve"> </w:t>
      </w:r>
      <w:r w:rsidR="00FC3B7D" w:rsidRPr="004B0E20">
        <w:rPr>
          <w:rFonts w:asciiTheme="majorHAnsi" w:hAnsiTheme="majorHAnsi" w:cs="Times New Roman"/>
          <w:sz w:val="22"/>
          <w:szCs w:val="22"/>
        </w:rPr>
        <w:t>inquiry</w:t>
      </w:r>
      <w:r w:rsidR="005D3D70" w:rsidRPr="004B0E20">
        <w:rPr>
          <w:rFonts w:asciiTheme="majorHAnsi" w:hAnsiTheme="majorHAnsi" w:cs="Times New Roman"/>
          <w:sz w:val="22"/>
          <w:szCs w:val="22"/>
        </w:rPr>
        <w:t xml:space="preserve"> </w:t>
      </w:r>
      <w:r w:rsidR="005D3D70" w:rsidRPr="007321BC">
        <w:rPr>
          <w:rFonts w:asciiTheme="majorHAnsi" w:hAnsiTheme="majorHAnsi" w:cs="Times New Roman"/>
          <w:noProof/>
          <w:sz w:val="22"/>
          <w:szCs w:val="22"/>
        </w:rPr>
        <w:t>was shelved</w:t>
      </w:r>
      <w:r w:rsidR="001A32FB" w:rsidRPr="004B0E20">
        <w:rPr>
          <w:rFonts w:asciiTheme="majorHAnsi" w:hAnsiTheme="majorHAnsi" w:cs="Times New Roman"/>
          <w:sz w:val="22"/>
          <w:szCs w:val="22"/>
        </w:rPr>
        <w:t xml:space="preserve">, </w:t>
      </w:r>
      <w:r w:rsidR="00AB47B1" w:rsidRPr="004B0E20">
        <w:rPr>
          <w:rFonts w:asciiTheme="majorHAnsi" w:hAnsiTheme="majorHAnsi" w:cs="Times New Roman"/>
          <w:sz w:val="22"/>
          <w:szCs w:val="22"/>
        </w:rPr>
        <w:t>the petitioners</w:t>
      </w:r>
      <w:r w:rsidR="001A32FB" w:rsidRPr="004B0E20">
        <w:rPr>
          <w:rFonts w:asciiTheme="majorHAnsi" w:hAnsiTheme="majorHAnsi" w:cs="Times New Roman"/>
          <w:sz w:val="22"/>
          <w:szCs w:val="22"/>
        </w:rPr>
        <w:t xml:space="preserve"> </w:t>
      </w:r>
      <w:r w:rsidR="00FC3B7D" w:rsidRPr="004B0E20">
        <w:rPr>
          <w:rFonts w:asciiTheme="majorHAnsi" w:hAnsiTheme="majorHAnsi" w:cs="Times New Roman"/>
          <w:sz w:val="22"/>
          <w:szCs w:val="22"/>
        </w:rPr>
        <w:t xml:space="preserve">did not again seek action from the </w:t>
      </w:r>
      <w:r w:rsidR="005B2DEB" w:rsidRPr="004B0E20">
        <w:rPr>
          <w:rFonts w:asciiTheme="majorHAnsi" w:hAnsiTheme="majorHAnsi" w:cs="Times New Roman"/>
          <w:sz w:val="22"/>
          <w:szCs w:val="22"/>
        </w:rPr>
        <w:t xml:space="preserve">Office of the </w:t>
      </w:r>
      <w:r w:rsidRPr="004B0E20">
        <w:rPr>
          <w:rFonts w:asciiTheme="majorHAnsi" w:hAnsiTheme="majorHAnsi" w:cs="Times New Roman"/>
          <w:sz w:val="22"/>
          <w:szCs w:val="22"/>
        </w:rPr>
        <w:t>Public Prosecutor</w:t>
      </w:r>
      <w:r w:rsidR="00490469" w:rsidRPr="004B0E20">
        <w:rPr>
          <w:rFonts w:asciiTheme="majorHAnsi" w:hAnsiTheme="majorHAnsi" w:cs="Times New Roman"/>
          <w:sz w:val="22"/>
          <w:szCs w:val="22"/>
        </w:rPr>
        <w:t xml:space="preserve"> </w:t>
      </w:r>
      <w:r w:rsidR="005D3D70" w:rsidRPr="004B0E20">
        <w:rPr>
          <w:rFonts w:asciiTheme="majorHAnsi" w:hAnsiTheme="majorHAnsi" w:cs="Times New Roman"/>
          <w:sz w:val="22"/>
          <w:szCs w:val="22"/>
        </w:rPr>
        <w:t xml:space="preserve">by submitting </w:t>
      </w:r>
      <w:r w:rsidR="00D97F94" w:rsidRPr="004B0E20">
        <w:rPr>
          <w:rFonts w:asciiTheme="majorHAnsi" w:hAnsiTheme="majorHAnsi" w:cs="Times New Roman"/>
          <w:sz w:val="22"/>
          <w:szCs w:val="22"/>
        </w:rPr>
        <w:t>additional information</w:t>
      </w:r>
      <w:r w:rsidR="001A32FB" w:rsidRPr="004B0E20">
        <w:rPr>
          <w:rFonts w:asciiTheme="majorHAnsi" w:hAnsiTheme="majorHAnsi" w:cs="Times New Roman"/>
          <w:sz w:val="22"/>
          <w:szCs w:val="22"/>
        </w:rPr>
        <w:t xml:space="preserve">. </w:t>
      </w:r>
      <w:r w:rsidR="00D97F94" w:rsidRPr="004B0E20">
        <w:rPr>
          <w:rFonts w:asciiTheme="majorHAnsi" w:hAnsiTheme="majorHAnsi" w:cs="Times New Roman"/>
          <w:sz w:val="22"/>
          <w:szCs w:val="22"/>
        </w:rPr>
        <w:t>Lastly</w:t>
      </w:r>
      <w:r w:rsidR="00EF50BF" w:rsidRPr="004B0E20">
        <w:rPr>
          <w:rFonts w:asciiTheme="majorHAnsi" w:hAnsiTheme="majorHAnsi" w:cs="Times New Roman"/>
          <w:sz w:val="22"/>
          <w:szCs w:val="22"/>
        </w:rPr>
        <w:t>,</w:t>
      </w:r>
      <w:r w:rsidR="001A32FB" w:rsidRPr="004B0E20">
        <w:rPr>
          <w:rFonts w:asciiTheme="majorHAnsi" w:hAnsiTheme="majorHAnsi" w:cs="Times New Roman"/>
          <w:sz w:val="22"/>
          <w:szCs w:val="22"/>
        </w:rPr>
        <w:t xml:space="preserve"> </w:t>
      </w:r>
      <w:r w:rsidR="00D97F94" w:rsidRPr="004B0E20">
        <w:rPr>
          <w:rFonts w:asciiTheme="majorHAnsi" w:hAnsiTheme="majorHAnsi" w:cs="Times New Roman"/>
          <w:sz w:val="22"/>
          <w:szCs w:val="22"/>
        </w:rPr>
        <w:t xml:space="preserve">the State alleges </w:t>
      </w:r>
      <w:r w:rsidR="00100EE6" w:rsidRPr="004B0E20">
        <w:rPr>
          <w:rFonts w:asciiTheme="majorHAnsi" w:hAnsiTheme="majorHAnsi" w:cs="Times New Roman"/>
          <w:sz w:val="22"/>
          <w:szCs w:val="22"/>
        </w:rPr>
        <w:t>that</w:t>
      </w:r>
      <w:r w:rsidR="001A32FB" w:rsidRPr="004B0E20">
        <w:rPr>
          <w:rFonts w:asciiTheme="majorHAnsi" w:hAnsiTheme="majorHAnsi" w:cs="Times New Roman"/>
          <w:sz w:val="22"/>
          <w:szCs w:val="22"/>
        </w:rPr>
        <w:t xml:space="preserve"> </w:t>
      </w:r>
      <w:r w:rsidR="00D97F94" w:rsidRPr="004B0E20">
        <w:rPr>
          <w:rFonts w:asciiTheme="majorHAnsi" w:hAnsiTheme="majorHAnsi" w:cs="Times New Roman"/>
          <w:sz w:val="22"/>
          <w:szCs w:val="22"/>
        </w:rPr>
        <w:t xml:space="preserve">the shelving </w:t>
      </w:r>
      <w:r w:rsidR="00065A3F" w:rsidRPr="004B0E20">
        <w:rPr>
          <w:rFonts w:asciiTheme="majorHAnsi" w:hAnsiTheme="majorHAnsi" w:cs="Times New Roman"/>
          <w:sz w:val="22"/>
          <w:szCs w:val="22"/>
        </w:rPr>
        <w:t>of the</w:t>
      </w:r>
      <w:r w:rsidR="001A32FB" w:rsidRPr="004B0E20">
        <w:rPr>
          <w:rFonts w:asciiTheme="majorHAnsi" w:hAnsiTheme="majorHAnsi" w:cs="Times New Roman"/>
          <w:sz w:val="22"/>
          <w:szCs w:val="22"/>
        </w:rPr>
        <w:t xml:space="preserve"> inqu</w:t>
      </w:r>
      <w:r w:rsidR="00D97F94" w:rsidRPr="004B0E20">
        <w:rPr>
          <w:rFonts w:asciiTheme="majorHAnsi" w:hAnsiTheme="majorHAnsi" w:cs="Times New Roman"/>
          <w:sz w:val="22"/>
          <w:szCs w:val="22"/>
        </w:rPr>
        <w:t xml:space="preserve">iry does not </w:t>
      </w:r>
      <w:r w:rsidR="001A32FB" w:rsidRPr="004B0E20">
        <w:rPr>
          <w:rFonts w:asciiTheme="majorHAnsi" w:hAnsiTheme="majorHAnsi" w:cs="Times New Roman"/>
          <w:sz w:val="22"/>
          <w:szCs w:val="22"/>
        </w:rPr>
        <w:t xml:space="preserve">impede </w:t>
      </w:r>
      <w:r w:rsidR="00785370" w:rsidRPr="004B0E20">
        <w:rPr>
          <w:rFonts w:asciiTheme="majorHAnsi" w:hAnsiTheme="majorHAnsi" w:cs="Times New Roman"/>
          <w:sz w:val="22"/>
          <w:szCs w:val="22"/>
        </w:rPr>
        <w:t>access</w:t>
      </w:r>
      <w:r w:rsidR="001A32FB" w:rsidRPr="004B0E20">
        <w:rPr>
          <w:rFonts w:asciiTheme="majorHAnsi" w:hAnsiTheme="majorHAnsi" w:cs="Times New Roman"/>
          <w:sz w:val="22"/>
          <w:szCs w:val="22"/>
        </w:rPr>
        <w:t xml:space="preserve"> </w:t>
      </w:r>
      <w:r w:rsidR="00D97F94" w:rsidRPr="004B0E20">
        <w:rPr>
          <w:rFonts w:asciiTheme="majorHAnsi" w:hAnsiTheme="majorHAnsi" w:cs="Times New Roman"/>
          <w:sz w:val="22"/>
          <w:szCs w:val="22"/>
        </w:rPr>
        <w:t>to reparations</w:t>
      </w:r>
      <w:r w:rsidR="00490469" w:rsidRPr="004B0E20">
        <w:rPr>
          <w:rFonts w:asciiTheme="majorHAnsi" w:hAnsiTheme="majorHAnsi" w:cs="Times New Roman"/>
          <w:sz w:val="22"/>
          <w:szCs w:val="22"/>
        </w:rPr>
        <w:t xml:space="preserve">, </w:t>
      </w:r>
      <w:r w:rsidR="00D97F94" w:rsidRPr="004B0E20">
        <w:rPr>
          <w:rFonts w:asciiTheme="majorHAnsi" w:hAnsiTheme="majorHAnsi" w:cs="Times New Roman"/>
          <w:sz w:val="22"/>
          <w:szCs w:val="22"/>
        </w:rPr>
        <w:t xml:space="preserve">which were not sought by the </w:t>
      </w:r>
      <w:r w:rsidR="00AD7161" w:rsidRPr="004B0E20">
        <w:rPr>
          <w:rFonts w:asciiTheme="majorHAnsi" w:hAnsiTheme="majorHAnsi" w:cs="Times New Roman"/>
          <w:sz w:val="22"/>
          <w:szCs w:val="22"/>
        </w:rPr>
        <w:t>Petitioner</w:t>
      </w:r>
      <w:r w:rsidR="00D97F94" w:rsidRPr="004B0E20">
        <w:rPr>
          <w:rFonts w:asciiTheme="majorHAnsi" w:hAnsiTheme="majorHAnsi" w:cs="Times New Roman"/>
          <w:sz w:val="22"/>
          <w:szCs w:val="22"/>
        </w:rPr>
        <w:t>s</w:t>
      </w:r>
      <w:r w:rsidR="00490469" w:rsidRPr="004B0E20">
        <w:rPr>
          <w:rFonts w:asciiTheme="majorHAnsi" w:hAnsiTheme="majorHAnsi" w:cs="Times New Roman"/>
          <w:sz w:val="22"/>
          <w:szCs w:val="22"/>
        </w:rPr>
        <w:t>.</w:t>
      </w:r>
    </w:p>
    <w:p w:rsidR="00B86B39" w:rsidRPr="004B0E20" w:rsidRDefault="0010462A" w:rsidP="00065A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New Roman"/>
          <w:color w:val="auto"/>
          <w:sz w:val="22"/>
          <w:szCs w:val="22"/>
        </w:rPr>
      </w:pPr>
      <w:r w:rsidRPr="004B0E20">
        <w:rPr>
          <w:rFonts w:asciiTheme="majorHAnsi" w:hAnsiTheme="majorHAnsi" w:cs="Times New Roman"/>
          <w:color w:val="auto"/>
          <w:sz w:val="22"/>
          <w:szCs w:val="22"/>
        </w:rPr>
        <w:t>T</w:t>
      </w:r>
      <w:r w:rsidR="00D97F94" w:rsidRPr="004B0E20">
        <w:rPr>
          <w:rFonts w:asciiTheme="majorHAnsi" w:hAnsiTheme="majorHAnsi" w:cs="Times New Roman"/>
          <w:color w:val="auto"/>
          <w:sz w:val="22"/>
          <w:szCs w:val="22"/>
        </w:rPr>
        <w:t>he</w:t>
      </w:r>
      <w:r w:rsidR="000369D6"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0369D6"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 xml:space="preserve">stresses that no treaty </w:t>
      </w:r>
      <w:r w:rsidR="005D3D70" w:rsidRPr="004B0E20">
        <w:rPr>
          <w:rFonts w:asciiTheme="majorHAnsi" w:hAnsiTheme="majorHAnsi" w:cs="Times New Roman"/>
          <w:color w:val="auto"/>
          <w:sz w:val="22"/>
          <w:szCs w:val="22"/>
        </w:rPr>
        <w:t xml:space="preserve">provisions </w:t>
      </w:r>
      <w:r w:rsidR="00D97F94" w:rsidRPr="004B0E20">
        <w:rPr>
          <w:rFonts w:asciiTheme="majorHAnsi" w:hAnsiTheme="majorHAnsi" w:cs="Times New Roman"/>
          <w:color w:val="auto"/>
          <w:sz w:val="22"/>
          <w:szCs w:val="22"/>
        </w:rPr>
        <w:t xml:space="preserve">or regulatory provisions exist to govern </w:t>
      </w:r>
      <w:r w:rsidR="00D97F94" w:rsidRPr="007321BC">
        <w:rPr>
          <w:rFonts w:asciiTheme="majorHAnsi" w:hAnsiTheme="majorHAnsi" w:cs="Times New Roman"/>
          <w:noProof/>
          <w:color w:val="auto"/>
          <w:sz w:val="22"/>
          <w:szCs w:val="22"/>
        </w:rPr>
        <w:t>specifically</w:t>
      </w:r>
      <w:r w:rsidR="00D97F94" w:rsidRPr="004B0E20">
        <w:rPr>
          <w:rFonts w:asciiTheme="majorHAnsi" w:hAnsiTheme="majorHAnsi" w:cs="Times New Roman"/>
          <w:color w:val="auto"/>
          <w:sz w:val="22"/>
          <w:szCs w:val="22"/>
        </w:rPr>
        <w:t xml:space="preserve"> the length of time that </w:t>
      </w:r>
      <w:r w:rsidR="005D3D70" w:rsidRPr="004B0E20">
        <w:rPr>
          <w:rFonts w:asciiTheme="majorHAnsi" w:hAnsiTheme="majorHAnsi" w:cs="Times New Roman"/>
          <w:color w:val="auto"/>
          <w:sz w:val="22"/>
          <w:szCs w:val="22"/>
        </w:rPr>
        <w:t xml:space="preserve">would </w:t>
      </w:r>
      <w:r w:rsidR="00134767" w:rsidRPr="004B0E20">
        <w:rPr>
          <w:rFonts w:asciiTheme="majorHAnsi" w:hAnsiTheme="majorHAnsi" w:cs="Times New Roman"/>
          <w:color w:val="auto"/>
          <w:sz w:val="22"/>
          <w:szCs w:val="22"/>
        </w:rPr>
        <w:t>constitu</w:t>
      </w:r>
      <w:r w:rsidR="00D97F94" w:rsidRPr="004B0E20">
        <w:rPr>
          <w:rFonts w:asciiTheme="majorHAnsi" w:hAnsiTheme="majorHAnsi" w:cs="Times New Roman"/>
          <w:color w:val="auto"/>
          <w:sz w:val="22"/>
          <w:szCs w:val="22"/>
        </w:rPr>
        <w:t>te</w:t>
      </w:r>
      <w:r w:rsidR="00134767"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unjustified delay,</w:t>
      </w:r>
      <w:r w:rsidR="00134767"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 xml:space="preserve">so each case </w:t>
      </w:r>
      <w:r w:rsidR="005D3D70" w:rsidRPr="004B0E20">
        <w:rPr>
          <w:rFonts w:asciiTheme="majorHAnsi" w:hAnsiTheme="majorHAnsi" w:cs="Times New Roman"/>
          <w:color w:val="auto"/>
          <w:sz w:val="22"/>
          <w:szCs w:val="22"/>
        </w:rPr>
        <w:t xml:space="preserve">must </w:t>
      </w:r>
      <w:r w:rsidR="00D97F94" w:rsidRPr="004B0E20">
        <w:rPr>
          <w:rFonts w:asciiTheme="majorHAnsi" w:hAnsiTheme="majorHAnsi" w:cs="Times New Roman"/>
          <w:color w:val="auto"/>
          <w:sz w:val="22"/>
          <w:szCs w:val="22"/>
        </w:rPr>
        <w:t xml:space="preserve">be </w:t>
      </w:r>
      <w:r w:rsidR="005D3D70" w:rsidRPr="004B0E20">
        <w:rPr>
          <w:rFonts w:asciiTheme="majorHAnsi" w:hAnsiTheme="majorHAnsi" w:cs="Times New Roman"/>
          <w:color w:val="auto"/>
          <w:sz w:val="22"/>
          <w:szCs w:val="22"/>
        </w:rPr>
        <w:lastRenderedPageBreak/>
        <w:t xml:space="preserve">assessed </w:t>
      </w:r>
      <w:r w:rsidR="00D97F94" w:rsidRPr="004B0E20">
        <w:rPr>
          <w:rFonts w:asciiTheme="majorHAnsi" w:hAnsiTheme="majorHAnsi" w:cs="Times New Roman"/>
          <w:color w:val="auto"/>
          <w:sz w:val="22"/>
          <w:szCs w:val="22"/>
        </w:rPr>
        <w:t>individually</w:t>
      </w:r>
      <w:r w:rsidR="000369D6" w:rsidRPr="004B0E20">
        <w:rPr>
          <w:rFonts w:asciiTheme="majorHAnsi" w:hAnsiTheme="majorHAnsi" w:cs="Times New Roman"/>
          <w:color w:val="auto"/>
          <w:sz w:val="22"/>
          <w:szCs w:val="22"/>
        </w:rPr>
        <w:t xml:space="preserve"> </w:t>
      </w:r>
      <w:r w:rsidR="0086358B" w:rsidRPr="004B0E20">
        <w:rPr>
          <w:rFonts w:asciiTheme="majorHAnsi" w:hAnsiTheme="majorHAnsi" w:cs="Times New Roman"/>
          <w:color w:val="auto"/>
          <w:sz w:val="22"/>
          <w:szCs w:val="22"/>
        </w:rPr>
        <w:t>to determine whether such a delay has occurred</w:t>
      </w:r>
      <w:r w:rsidR="00134767" w:rsidRPr="004B0E20">
        <w:rPr>
          <w:rStyle w:val="FootnoteReference"/>
          <w:rFonts w:asciiTheme="majorHAnsi" w:hAnsiTheme="majorHAnsi" w:cs="Times New Roman"/>
          <w:color w:val="auto"/>
          <w:sz w:val="22"/>
          <w:szCs w:val="22"/>
        </w:rPr>
        <w:footnoteReference w:id="7"/>
      </w:r>
      <w:r w:rsidR="00134767" w:rsidRPr="004B0E20">
        <w:rPr>
          <w:rFonts w:asciiTheme="majorHAnsi" w:hAnsiTheme="majorHAnsi" w:cs="Times New Roman"/>
          <w:color w:val="auto"/>
          <w:sz w:val="22"/>
          <w:szCs w:val="22"/>
        </w:rPr>
        <w:t>.</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In this case</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 xml:space="preserve">the Commission notes </w:t>
      </w:r>
      <w:r w:rsidR="00100EE6" w:rsidRPr="004B0E20">
        <w:rPr>
          <w:rFonts w:asciiTheme="majorHAnsi" w:hAnsiTheme="majorHAnsi" w:cs="Times New Roman"/>
          <w:color w:val="auto"/>
          <w:sz w:val="22"/>
          <w:szCs w:val="22"/>
        </w:rPr>
        <w:t>that</w:t>
      </w:r>
      <w:r w:rsidR="00134767" w:rsidRPr="004B0E20">
        <w:rPr>
          <w:rFonts w:asciiTheme="majorHAnsi" w:hAnsiTheme="majorHAnsi" w:cs="Times New Roman"/>
          <w:color w:val="auto"/>
          <w:sz w:val="22"/>
          <w:szCs w:val="22"/>
        </w:rPr>
        <w:t xml:space="preserve"> 12 </w:t>
      </w:r>
      <w:r w:rsidR="00785370" w:rsidRPr="004B0E20">
        <w:rPr>
          <w:rFonts w:asciiTheme="majorHAnsi" w:hAnsiTheme="majorHAnsi" w:cs="Times New Roman"/>
          <w:color w:val="auto"/>
          <w:sz w:val="22"/>
          <w:szCs w:val="22"/>
        </w:rPr>
        <w:t xml:space="preserve">years have elapsed </w:t>
      </w:r>
      <w:r w:rsidR="005B2DEB" w:rsidRPr="004B0E20">
        <w:rPr>
          <w:rFonts w:asciiTheme="majorHAnsi" w:hAnsiTheme="majorHAnsi" w:cs="Times New Roman"/>
          <w:color w:val="auto"/>
          <w:sz w:val="22"/>
          <w:szCs w:val="22"/>
        </w:rPr>
        <w:t>with</w:t>
      </w:r>
      <w:r w:rsidR="005D3D70" w:rsidRPr="004B0E20">
        <w:rPr>
          <w:rFonts w:asciiTheme="majorHAnsi" w:hAnsiTheme="majorHAnsi" w:cs="Times New Roman"/>
          <w:color w:val="auto"/>
          <w:sz w:val="22"/>
          <w:szCs w:val="22"/>
        </w:rPr>
        <w:t xml:space="preserve"> no</w:t>
      </w:r>
      <w:r w:rsidR="00134767"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 xml:space="preserve">identification of the parties </w:t>
      </w:r>
      <w:r w:rsidR="00134767" w:rsidRPr="004B0E20">
        <w:rPr>
          <w:rFonts w:asciiTheme="majorHAnsi" w:hAnsiTheme="majorHAnsi" w:cs="Times New Roman"/>
          <w:color w:val="auto"/>
          <w:sz w:val="22"/>
          <w:szCs w:val="22"/>
        </w:rPr>
        <w:t>respons</w:t>
      </w:r>
      <w:r w:rsidR="00785370" w:rsidRPr="004B0E20">
        <w:rPr>
          <w:rFonts w:asciiTheme="majorHAnsi" w:hAnsiTheme="majorHAnsi" w:cs="Times New Roman"/>
          <w:color w:val="auto"/>
          <w:sz w:val="22"/>
          <w:szCs w:val="22"/>
        </w:rPr>
        <w:t>ible</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 xml:space="preserve">despite attempts by the </w:t>
      </w:r>
      <w:r w:rsidR="005D3D70" w:rsidRPr="004B0E20">
        <w:rPr>
          <w:rFonts w:asciiTheme="majorHAnsi" w:hAnsiTheme="majorHAnsi" w:cs="Times New Roman"/>
          <w:color w:val="auto"/>
          <w:sz w:val="22"/>
          <w:szCs w:val="22"/>
        </w:rPr>
        <w:t>p</w:t>
      </w:r>
      <w:r w:rsidR="00AB47B1" w:rsidRPr="004B0E20">
        <w:rPr>
          <w:rFonts w:asciiTheme="majorHAnsi" w:hAnsiTheme="majorHAnsi" w:cs="Times New Roman"/>
          <w:color w:val="auto"/>
          <w:sz w:val="22"/>
          <w:szCs w:val="22"/>
        </w:rPr>
        <w:t>etitioners</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to bring this about domestically</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The</w:t>
      </w:r>
      <w:r w:rsidR="000369D6"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 xml:space="preserve">thus finds the </w:t>
      </w:r>
      <w:r w:rsidR="00785370" w:rsidRPr="007321BC">
        <w:rPr>
          <w:rFonts w:asciiTheme="majorHAnsi" w:hAnsiTheme="majorHAnsi" w:cs="Times New Roman"/>
          <w:noProof/>
          <w:color w:val="auto"/>
          <w:sz w:val="22"/>
          <w:szCs w:val="22"/>
        </w:rPr>
        <w:t>aforementioned length</w:t>
      </w:r>
      <w:r w:rsidR="00785370" w:rsidRPr="004B0E20">
        <w:rPr>
          <w:rFonts w:asciiTheme="majorHAnsi" w:hAnsiTheme="majorHAnsi" w:cs="Times New Roman"/>
          <w:color w:val="auto"/>
          <w:sz w:val="22"/>
          <w:szCs w:val="22"/>
        </w:rPr>
        <w:t xml:space="preserve"> of time sufficient for </w:t>
      </w:r>
      <w:r w:rsidR="00065A3F" w:rsidRPr="004B0E20">
        <w:rPr>
          <w:rFonts w:asciiTheme="majorHAnsi" w:hAnsiTheme="majorHAnsi" w:cs="Times New Roman"/>
          <w:color w:val="auto"/>
          <w:sz w:val="22"/>
          <w:szCs w:val="22"/>
        </w:rPr>
        <w:t>application</w:t>
      </w:r>
      <w:r w:rsidR="000369D6"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of the</w:t>
      </w:r>
      <w:r w:rsidR="000369D6"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exception</w:t>
      </w:r>
      <w:r w:rsidR="000369D6"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provided</w:t>
      </w:r>
      <w:r w:rsidR="000369D6" w:rsidRPr="004B0E20">
        <w:rPr>
          <w:rFonts w:asciiTheme="majorHAnsi" w:hAnsiTheme="majorHAnsi" w:cs="Times New Roman"/>
          <w:color w:val="auto"/>
          <w:sz w:val="22"/>
          <w:szCs w:val="22"/>
        </w:rPr>
        <w:t xml:space="preserve"> </w:t>
      </w:r>
      <w:r w:rsidR="00785370" w:rsidRPr="004B0E20">
        <w:rPr>
          <w:rFonts w:asciiTheme="majorHAnsi" w:hAnsiTheme="majorHAnsi" w:cs="Times New Roman"/>
          <w:color w:val="auto"/>
          <w:sz w:val="22"/>
          <w:szCs w:val="22"/>
        </w:rPr>
        <w:t>in</w:t>
      </w:r>
      <w:r w:rsidR="000369D6" w:rsidRPr="004B0E20">
        <w:rPr>
          <w:rFonts w:asciiTheme="majorHAnsi" w:hAnsiTheme="majorHAnsi" w:cs="Times New Roman"/>
          <w:color w:val="auto"/>
          <w:sz w:val="22"/>
          <w:szCs w:val="22"/>
        </w:rPr>
        <w:t xml:space="preserve"> </w:t>
      </w:r>
      <w:r w:rsidR="00AD7161" w:rsidRPr="004B0E20">
        <w:rPr>
          <w:rFonts w:asciiTheme="majorHAnsi" w:hAnsiTheme="majorHAnsi" w:cs="Times New Roman"/>
          <w:color w:val="auto"/>
          <w:sz w:val="22"/>
          <w:szCs w:val="22"/>
        </w:rPr>
        <w:t>Article</w:t>
      </w:r>
      <w:r w:rsidR="000369D6" w:rsidRPr="004B0E20">
        <w:rPr>
          <w:rFonts w:asciiTheme="majorHAnsi" w:hAnsiTheme="majorHAnsi" w:cs="Times New Roman"/>
          <w:color w:val="auto"/>
          <w:sz w:val="22"/>
          <w:szCs w:val="22"/>
        </w:rPr>
        <w:t xml:space="preserve"> 46.2.c </w:t>
      </w:r>
      <w:r w:rsidR="00065A3F" w:rsidRPr="004B0E20">
        <w:rPr>
          <w:rFonts w:asciiTheme="majorHAnsi" w:hAnsiTheme="majorHAnsi" w:cs="Times New Roman"/>
          <w:color w:val="auto"/>
          <w:sz w:val="22"/>
          <w:szCs w:val="22"/>
        </w:rPr>
        <w:t>of the</w:t>
      </w:r>
      <w:r w:rsidR="000369D6" w:rsidRPr="004B0E20">
        <w:rPr>
          <w:rFonts w:asciiTheme="majorHAnsi" w:hAnsiTheme="majorHAnsi" w:cs="Times New Roman"/>
          <w:color w:val="auto"/>
          <w:sz w:val="22"/>
          <w:szCs w:val="22"/>
        </w:rPr>
        <w:t xml:space="preserve"> </w:t>
      </w:r>
      <w:r w:rsidR="00E729E2" w:rsidRPr="004B0E20">
        <w:rPr>
          <w:rFonts w:asciiTheme="majorHAnsi" w:hAnsiTheme="majorHAnsi" w:cs="Times New Roman"/>
          <w:color w:val="auto"/>
          <w:sz w:val="22"/>
          <w:szCs w:val="22"/>
        </w:rPr>
        <w:t>American Convention</w:t>
      </w:r>
      <w:r w:rsidR="000369D6" w:rsidRPr="004B0E20">
        <w:rPr>
          <w:rFonts w:asciiTheme="majorHAnsi" w:hAnsiTheme="majorHAnsi" w:cs="Times New Roman"/>
          <w:color w:val="auto"/>
          <w:sz w:val="22"/>
          <w:szCs w:val="22"/>
        </w:rPr>
        <w:t xml:space="preserve">. </w:t>
      </w:r>
    </w:p>
    <w:p w:rsidR="00490469" w:rsidRPr="004B0E20" w:rsidRDefault="00785370" w:rsidP="00065A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New Roman"/>
          <w:color w:val="auto"/>
          <w:sz w:val="22"/>
          <w:szCs w:val="22"/>
        </w:rPr>
      </w:pPr>
      <w:r w:rsidRPr="007321BC">
        <w:rPr>
          <w:rFonts w:asciiTheme="majorHAnsi" w:hAnsiTheme="majorHAnsi" w:cs="Times New Roman"/>
          <w:noProof/>
          <w:color w:val="auto"/>
          <w:sz w:val="22"/>
          <w:szCs w:val="22"/>
        </w:rPr>
        <w:t>In addition</w:t>
      </w:r>
      <w:r w:rsidR="000369D6" w:rsidRPr="007321BC">
        <w:rPr>
          <w:rFonts w:asciiTheme="majorHAnsi" w:hAnsiTheme="majorHAnsi" w:cs="Times New Roman"/>
          <w:noProof/>
          <w:color w:val="auto"/>
          <w:sz w:val="22"/>
          <w:szCs w:val="22"/>
        </w:rPr>
        <w:t xml:space="preserve">, </w:t>
      </w:r>
      <w:r w:rsidR="0010462A" w:rsidRPr="007321BC">
        <w:rPr>
          <w:rFonts w:asciiTheme="majorHAnsi" w:hAnsiTheme="majorHAnsi" w:cs="Times New Roman"/>
          <w:noProof/>
          <w:color w:val="auto"/>
          <w:sz w:val="22"/>
          <w:szCs w:val="22"/>
        </w:rPr>
        <w:t>the</w:t>
      </w:r>
      <w:r w:rsidR="00EF50BF" w:rsidRPr="007321BC">
        <w:rPr>
          <w:rFonts w:asciiTheme="majorHAnsi" w:hAnsiTheme="majorHAnsi" w:cs="Times New Roman"/>
          <w:noProof/>
          <w:color w:val="auto"/>
          <w:sz w:val="22"/>
          <w:szCs w:val="22"/>
        </w:rPr>
        <w:t xml:space="preserve"> </w:t>
      </w:r>
      <w:r w:rsidR="00D97F94" w:rsidRPr="007321BC">
        <w:rPr>
          <w:rFonts w:asciiTheme="majorHAnsi" w:hAnsiTheme="majorHAnsi" w:cs="Times New Roman"/>
          <w:noProof/>
          <w:color w:val="auto"/>
          <w:sz w:val="22"/>
          <w:szCs w:val="22"/>
        </w:rPr>
        <w:t>Commission</w:t>
      </w:r>
      <w:r w:rsidR="00EF50BF" w:rsidRPr="007321BC">
        <w:rPr>
          <w:rFonts w:asciiTheme="majorHAnsi" w:hAnsiTheme="majorHAnsi" w:cs="Times New Roman"/>
          <w:noProof/>
          <w:color w:val="auto"/>
          <w:sz w:val="22"/>
          <w:szCs w:val="22"/>
        </w:rPr>
        <w:t xml:space="preserve"> </w:t>
      </w:r>
      <w:r w:rsidR="00A70C68" w:rsidRPr="007321BC">
        <w:rPr>
          <w:rFonts w:asciiTheme="majorHAnsi" w:hAnsiTheme="majorHAnsi" w:cs="Times New Roman"/>
          <w:noProof/>
          <w:color w:val="auto"/>
          <w:sz w:val="22"/>
          <w:szCs w:val="22"/>
        </w:rPr>
        <w:t>re</w:t>
      </w:r>
      <w:r w:rsidR="005D3D70" w:rsidRPr="007321BC">
        <w:rPr>
          <w:rFonts w:asciiTheme="majorHAnsi" w:hAnsiTheme="majorHAnsi" w:cs="Times New Roman"/>
          <w:noProof/>
          <w:color w:val="auto"/>
          <w:sz w:val="22"/>
          <w:szCs w:val="22"/>
        </w:rPr>
        <w:t>affirms</w:t>
      </w:r>
      <w:r w:rsidR="00A70C68" w:rsidRPr="007321BC">
        <w:rPr>
          <w:rFonts w:asciiTheme="majorHAnsi" w:hAnsiTheme="majorHAnsi" w:cs="Times New Roman"/>
          <w:noProof/>
          <w:color w:val="auto"/>
          <w:sz w:val="22"/>
          <w:szCs w:val="22"/>
        </w:rPr>
        <w:t xml:space="preserve"> </w:t>
      </w:r>
      <w:r w:rsidR="00100EE6" w:rsidRPr="007321BC">
        <w:rPr>
          <w:rFonts w:asciiTheme="majorHAnsi" w:hAnsiTheme="majorHAnsi" w:cs="Times New Roman"/>
          <w:noProof/>
          <w:color w:val="auto"/>
          <w:sz w:val="22"/>
          <w:szCs w:val="22"/>
        </w:rPr>
        <w:t>that</w:t>
      </w:r>
      <w:r w:rsidR="00A70C68" w:rsidRPr="007321BC">
        <w:rPr>
          <w:rFonts w:asciiTheme="majorHAnsi" w:hAnsiTheme="majorHAnsi" w:cs="Times New Roman"/>
          <w:noProof/>
          <w:color w:val="auto"/>
          <w:sz w:val="22"/>
          <w:szCs w:val="22"/>
        </w:rPr>
        <w:t xml:space="preserve">, </w:t>
      </w:r>
      <w:r w:rsidR="00C51B82" w:rsidRPr="007321BC">
        <w:rPr>
          <w:rFonts w:asciiTheme="majorHAnsi" w:hAnsiTheme="majorHAnsi" w:cs="Times New Roman"/>
          <w:noProof/>
          <w:color w:val="auto"/>
          <w:sz w:val="22"/>
          <w:szCs w:val="22"/>
        </w:rPr>
        <w:t>in</w:t>
      </w:r>
      <w:r w:rsidRPr="007321BC">
        <w:rPr>
          <w:rFonts w:asciiTheme="majorHAnsi" w:hAnsiTheme="majorHAnsi" w:cs="Times New Roman"/>
          <w:noProof/>
          <w:color w:val="auto"/>
          <w:sz w:val="22"/>
          <w:szCs w:val="22"/>
        </w:rPr>
        <w:t xml:space="preserve"> case</w:t>
      </w:r>
      <w:r w:rsidR="00A70C68" w:rsidRPr="007321BC">
        <w:rPr>
          <w:rFonts w:asciiTheme="majorHAnsi" w:hAnsiTheme="majorHAnsi" w:cs="Times New Roman"/>
          <w:noProof/>
          <w:color w:val="auto"/>
          <w:sz w:val="22"/>
          <w:szCs w:val="22"/>
        </w:rPr>
        <w:t xml:space="preserve">s </w:t>
      </w:r>
      <w:r w:rsidRPr="007321BC">
        <w:rPr>
          <w:rFonts w:asciiTheme="majorHAnsi" w:hAnsiTheme="majorHAnsi" w:cs="Times New Roman"/>
          <w:noProof/>
          <w:color w:val="auto"/>
          <w:sz w:val="22"/>
          <w:szCs w:val="22"/>
        </w:rPr>
        <w:t>such as this</w:t>
      </w:r>
      <w:r w:rsidR="00A70C68" w:rsidRPr="007321BC">
        <w:rPr>
          <w:rFonts w:asciiTheme="majorHAnsi" w:hAnsiTheme="majorHAnsi" w:cs="Times New Roman"/>
          <w:noProof/>
          <w:color w:val="auto"/>
          <w:sz w:val="22"/>
          <w:szCs w:val="22"/>
        </w:rPr>
        <w:t xml:space="preserve">, </w:t>
      </w:r>
      <w:r w:rsidRPr="007321BC">
        <w:rPr>
          <w:rFonts w:asciiTheme="majorHAnsi" w:hAnsiTheme="majorHAnsi" w:cs="Times New Roman"/>
          <w:noProof/>
          <w:color w:val="auto"/>
          <w:sz w:val="22"/>
          <w:szCs w:val="22"/>
        </w:rPr>
        <w:t xml:space="preserve">it is not necessary to exhaust a </w:t>
      </w:r>
      <w:r w:rsidR="00A70C68" w:rsidRPr="007321BC">
        <w:rPr>
          <w:rFonts w:asciiTheme="majorHAnsi" w:hAnsiTheme="majorHAnsi" w:cs="Times New Roman"/>
          <w:noProof/>
          <w:color w:val="auto"/>
          <w:sz w:val="22"/>
          <w:szCs w:val="22"/>
        </w:rPr>
        <w:t xml:space="preserve">civil </w:t>
      </w:r>
      <w:r w:rsidRPr="007321BC">
        <w:rPr>
          <w:rFonts w:asciiTheme="majorHAnsi" w:hAnsiTheme="majorHAnsi" w:cs="Times New Roman"/>
          <w:noProof/>
          <w:color w:val="auto"/>
          <w:sz w:val="22"/>
          <w:szCs w:val="22"/>
        </w:rPr>
        <w:t xml:space="preserve">action before </w:t>
      </w:r>
      <w:r w:rsidR="008833FF" w:rsidRPr="007321BC">
        <w:rPr>
          <w:rFonts w:asciiTheme="majorHAnsi" w:hAnsiTheme="majorHAnsi" w:cs="Times New Roman"/>
          <w:noProof/>
          <w:color w:val="auto"/>
          <w:sz w:val="22"/>
          <w:szCs w:val="22"/>
        </w:rPr>
        <w:t xml:space="preserve">turning to the inter-American system, because that remedy would not </w:t>
      </w:r>
      <w:r w:rsidR="005D3D70" w:rsidRPr="007321BC">
        <w:rPr>
          <w:rFonts w:asciiTheme="majorHAnsi" w:hAnsiTheme="majorHAnsi" w:cs="Times New Roman"/>
          <w:noProof/>
          <w:color w:val="auto"/>
          <w:sz w:val="22"/>
          <w:szCs w:val="22"/>
        </w:rPr>
        <w:t>satisfy</w:t>
      </w:r>
      <w:r w:rsidR="00005EAF" w:rsidRPr="007321BC">
        <w:rPr>
          <w:rFonts w:asciiTheme="majorHAnsi" w:hAnsiTheme="majorHAnsi" w:cs="Times New Roman"/>
          <w:noProof/>
          <w:color w:val="auto"/>
          <w:sz w:val="22"/>
          <w:szCs w:val="22"/>
        </w:rPr>
        <w:t xml:space="preserve"> the principal claim set forth in this petition</w:t>
      </w:r>
      <w:r w:rsidR="004812AC" w:rsidRPr="007321BC">
        <w:rPr>
          <w:rFonts w:asciiTheme="majorHAnsi" w:hAnsiTheme="majorHAnsi" w:cs="Times New Roman"/>
          <w:noProof/>
          <w:color w:val="auto"/>
          <w:sz w:val="22"/>
          <w:szCs w:val="22"/>
        </w:rPr>
        <w:t>, i.e.</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 xml:space="preserve">the alleged </w:t>
      </w:r>
      <w:r w:rsidR="00C51B82" w:rsidRPr="007321BC">
        <w:rPr>
          <w:rFonts w:asciiTheme="majorHAnsi" w:hAnsiTheme="majorHAnsi" w:cs="Times New Roman"/>
          <w:noProof/>
          <w:color w:val="auto"/>
          <w:sz w:val="22"/>
          <w:szCs w:val="22"/>
        </w:rPr>
        <w:t xml:space="preserve">summary </w:t>
      </w:r>
      <w:r w:rsidR="004812AC" w:rsidRPr="007321BC">
        <w:rPr>
          <w:rFonts w:asciiTheme="majorHAnsi" w:hAnsiTheme="majorHAnsi" w:cs="Times New Roman"/>
          <w:noProof/>
          <w:color w:val="auto"/>
          <w:sz w:val="22"/>
          <w:szCs w:val="22"/>
        </w:rPr>
        <w:t xml:space="preserve">killing </w:t>
      </w:r>
      <w:r w:rsidR="00065A3F" w:rsidRPr="007321BC">
        <w:rPr>
          <w:rFonts w:asciiTheme="majorHAnsi" w:hAnsiTheme="majorHAnsi" w:cs="Times New Roman"/>
          <w:noProof/>
          <w:color w:val="auto"/>
          <w:sz w:val="22"/>
          <w:szCs w:val="22"/>
        </w:rPr>
        <w:t>of the</w:t>
      </w:r>
      <w:r w:rsidR="000369D6" w:rsidRPr="007321BC">
        <w:rPr>
          <w:rFonts w:asciiTheme="majorHAnsi" w:hAnsiTheme="majorHAnsi" w:cs="Times New Roman"/>
          <w:noProof/>
          <w:color w:val="auto"/>
          <w:sz w:val="22"/>
          <w:szCs w:val="22"/>
        </w:rPr>
        <w:t xml:space="preserve"> </w:t>
      </w:r>
      <w:r w:rsidR="00AB47B1" w:rsidRPr="007321BC">
        <w:rPr>
          <w:rFonts w:asciiTheme="majorHAnsi" w:hAnsiTheme="majorHAnsi" w:cs="Times New Roman"/>
          <w:noProof/>
          <w:color w:val="auto"/>
          <w:sz w:val="22"/>
          <w:szCs w:val="22"/>
        </w:rPr>
        <w:t>alleged victims</w:t>
      </w:r>
      <w:r w:rsidR="00005EAF" w:rsidRPr="007321BC">
        <w:rPr>
          <w:rFonts w:asciiTheme="majorHAnsi" w:hAnsiTheme="majorHAnsi" w:cs="Times New Roman"/>
          <w:noProof/>
          <w:color w:val="auto"/>
          <w:sz w:val="22"/>
          <w:szCs w:val="22"/>
        </w:rPr>
        <w:t xml:space="preserve">, followed by the lack </w:t>
      </w:r>
      <w:r w:rsidR="00C51B82" w:rsidRPr="007321BC">
        <w:rPr>
          <w:rFonts w:asciiTheme="majorHAnsi" w:hAnsiTheme="majorHAnsi" w:cs="Times New Roman"/>
          <w:noProof/>
          <w:color w:val="auto"/>
          <w:sz w:val="22"/>
          <w:szCs w:val="22"/>
        </w:rPr>
        <w:t>of</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due</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diligence</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 xml:space="preserve">in the </w:t>
      </w:r>
      <w:r w:rsidR="001D2651" w:rsidRPr="007321BC">
        <w:rPr>
          <w:rFonts w:asciiTheme="majorHAnsi" w:hAnsiTheme="majorHAnsi" w:cs="Times New Roman"/>
          <w:noProof/>
          <w:color w:val="auto"/>
          <w:sz w:val="22"/>
          <w:szCs w:val="22"/>
        </w:rPr>
        <w:t>investigation</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 xml:space="preserve">in the filing </w:t>
      </w:r>
      <w:r w:rsidR="00C51B82" w:rsidRPr="007321BC">
        <w:rPr>
          <w:rFonts w:asciiTheme="majorHAnsi" w:hAnsiTheme="majorHAnsi" w:cs="Times New Roman"/>
          <w:noProof/>
          <w:color w:val="auto"/>
          <w:sz w:val="22"/>
          <w:szCs w:val="22"/>
        </w:rPr>
        <w:t>of</w:t>
      </w:r>
      <w:r w:rsidR="00A70C68" w:rsidRPr="007321BC">
        <w:rPr>
          <w:rFonts w:asciiTheme="majorHAnsi" w:hAnsiTheme="majorHAnsi" w:cs="Times New Roman"/>
          <w:noProof/>
          <w:color w:val="auto"/>
          <w:sz w:val="22"/>
          <w:szCs w:val="22"/>
        </w:rPr>
        <w:t xml:space="preserve"> </w:t>
      </w:r>
      <w:r w:rsidR="00005EAF" w:rsidRPr="007321BC">
        <w:rPr>
          <w:rFonts w:asciiTheme="majorHAnsi" w:hAnsiTheme="majorHAnsi" w:cs="Times New Roman"/>
          <w:noProof/>
          <w:color w:val="auto"/>
          <w:sz w:val="22"/>
          <w:szCs w:val="22"/>
        </w:rPr>
        <w:t xml:space="preserve">a criminal action, and the punishment </w:t>
      </w:r>
      <w:r w:rsidR="00065A3F" w:rsidRPr="007321BC">
        <w:rPr>
          <w:rFonts w:asciiTheme="majorHAnsi" w:hAnsiTheme="majorHAnsi" w:cs="Times New Roman"/>
          <w:noProof/>
          <w:color w:val="auto"/>
          <w:sz w:val="22"/>
          <w:szCs w:val="22"/>
        </w:rPr>
        <w:t>of th</w:t>
      </w:r>
      <w:r w:rsidR="00005EAF" w:rsidRPr="007321BC">
        <w:rPr>
          <w:rFonts w:asciiTheme="majorHAnsi" w:hAnsiTheme="majorHAnsi" w:cs="Times New Roman"/>
          <w:noProof/>
          <w:color w:val="auto"/>
          <w:sz w:val="22"/>
          <w:szCs w:val="22"/>
        </w:rPr>
        <w:t>os</w:t>
      </w:r>
      <w:r w:rsidR="00065A3F" w:rsidRPr="007321BC">
        <w:rPr>
          <w:rFonts w:asciiTheme="majorHAnsi" w:hAnsiTheme="majorHAnsi" w:cs="Times New Roman"/>
          <w:noProof/>
          <w:color w:val="auto"/>
          <w:sz w:val="22"/>
          <w:szCs w:val="22"/>
        </w:rPr>
        <w:t>e</w:t>
      </w:r>
      <w:r w:rsidR="00A70C68" w:rsidRPr="007321BC">
        <w:rPr>
          <w:rFonts w:asciiTheme="majorHAnsi" w:hAnsiTheme="majorHAnsi" w:cs="Times New Roman"/>
          <w:noProof/>
          <w:color w:val="auto"/>
          <w:sz w:val="22"/>
          <w:szCs w:val="22"/>
        </w:rPr>
        <w:t xml:space="preserve"> respons</w:t>
      </w:r>
      <w:r w:rsidR="00005EAF" w:rsidRPr="007321BC">
        <w:rPr>
          <w:rFonts w:asciiTheme="majorHAnsi" w:hAnsiTheme="majorHAnsi" w:cs="Times New Roman"/>
          <w:noProof/>
          <w:color w:val="auto"/>
          <w:sz w:val="22"/>
          <w:szCs w:val="22"/>
        </w:rPr>
        <w:t>ible</w:t>
      </w:r>
      <w:r w:rsidR="00A70C68" w:rsidRPr="007321BC">
        <w:rPr>
          <w:rStyle w:val="FootnoteReference"/>
          <w:rFonts w:asciiTheme="majorHAnsi" w:hAnsiTheme="majorHAnsi" w:cs="Times New Roman"/>
          <w:noProof/>
          <w:color w:val="auto"/>
          <w:sz w:val="22"/>
          <w:szCs w:val="22"/>
        </w:rPr>
        <w:footnoteReference w:id="8"/>
      </w:r>
      <w:r w:rsidR="004E204F" w:rsidRPr="007321BC">
        <w:rPr>
          <w:rFonts w:asciiTheme="majorHAnsi" w:hAnsiTheme="majorHAnsi" w:cs="Times New Roman"/>
          <w:noProof/>
          <w:color w:val="auto"/>
          <w:sz w:val="22"/>
          <w:szCs w:val="22"/>
        </w:rPr>
        <w:t>.</w:t>
      </w:r>
    </w:p>
    <w:p w:rsidR="002E0F74" w:rsidRPr="004B0E20" w:rsidRDefault="00AD7161" w:rsidP="002E0F7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New Roman"/>
          <w:color w:val="auto"/>
          <w:sz w:val="22"/>
          <w:szCs w:val="22"/>
        </w:rPr>
      </w:pPr>
      <w:r w:rsidRPr="004B0E20">
        <w:rPr>
          <w:rFonts w:asciiTheme="majorHAnsi" w:hAnsiTheme="majorHAnsi" w:cs="Times New Roman"/>
          <w:color w:val="auto"/>
          <w:sz w:val="22"/>
          <w:szCs w:val="22"/>
        </w:rPr>
        <w:t>Article</w:t>
      </w:r>
      <w:r w:rsidR="002E0F74" w:rsidRPr="004B0E20">
        <w:rPr>
          <w:rFonts w:asciiTheme="majorHAnsi" w:hAnsiTheme="majorHAnsi" w:cs="Times New Roman"/>
          <w:color w:val="auto"/>
          <w:sz w:val="22"/>
          <w:szCs w:val="22"/>
        </w:rPr>
        <w:t xml:space="preserve"> 32.2 </w:t>
      </w:r>
      <w:r w:rsidR="00065A3F" w:rsidRPr="004B0E20">
        <w:rPr>
          <w:rFonts w:asciiTheme="majorHAnsi" w:hAnsiTheme="majorHAnsi" w:cs="Times New Roman"/>
          <w:color w:val="auto"/>
          <w:sz w:val="22"/>
          <w:szCs w:val="22"/>
        </w:rPr>
        <w:t>of the</w:t>
      </w:r>
      <w:r w:rsidR="002E0F74" w:rsidRPr="004B0E20">
        <w:rPr>
          <w:rFonts w:asciiTheme="majorHAnsi" w:hAnsiTheme="majorHAnsi" w:cs="Times New Roman"/>
          <w:color w:val="auto"/>
          <w:sz w:val="22"/>
          <w:szCs w:val="22"/>
        </w:rPr>
        <w:t xml:space="preserve"> </w:t>
      </w:r>
      <w:r w:rsidR="00005EAF" w:rsidRPr="004B0E20">
        <w:rPr>
          <w:rFonts w:asciiTheme="majorHAnsi" w:hAnsiTheme="majorHAnsi" w:cs="Times New Roman"/>
          <w:color w:val="auto"/>
          <w:sz w:val="22"/>
          <w:szCs w:val="22"/>
        </w:rPr>
        <w:t xml:space="preserve">Rules of Procedure </w:t>
      </w:r>
      <w:r w:rsidR="00065A3F" w:rsidRPr="004B0E20">
        <w:rPr>
          <w:rFonts w:asciiTheme="majorHAnsi" w:hAnsiTheme="majorHAnsi" w:cs="Times New Roman"/>
          <w:color w:val="auto"/>
          <w:sz w:val="22"/>
          <w:szCs w:val="22"/>
        </w:rPr>
        <w:t>of the</w:t>
      </w:r>
      <w:r w:rsidR="002E0F74"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2E0F74" w:rsidRPr="004B0E20">
        <w:rPr>
          <w:rFonts w:asciiTheme="majorHAnsi" w:hAnsiTheme="majorHAnsi" w:cs="Times New Roman"/>
          <w:color w:val="auto"/>
          <w:sz w:val="22"/>
          <w:szCs w:val="22"/>
        </w:rPr>
        <w:t xml:space="preserve"> estab</w:t>
      </w:r>
      <w:r w:rsidR="00005EAF" w:rsidRPr="004B0E20">
        <w:rPr>
          <w:rFonts w:asciiTheme="majorHAnsi" w:hAnsiTheme="majorHAnsi" w:cs="Times New Roman"/>
          <w:color w:val="auto"/>
          <w:sz w:val="22"/>
          <w:szCs w:val="22"/>
        </w:rPr>
        <w:t xml:space="preserve">lishes </w:t>
      </w:r>
      <w:r w:rsidR="00100EE6" w:rsidRPr="004B0E20">
        <w:rPr>
          <w:rFonts w:asciiTheme="majorHAnsi" w:hAnsiTheme="majorHAnsi" w:cs="Times New Roman"/>
          <w:color w:val="auto"/>
          <w:sz w:val="22"/>
          <w:szCs w:val="22"/>
        </w:rPr>
        <w:t>that</w:t>
      </w:r>
      <w:r w:rsidR="002E0F74" w:rsidRPr="004B0E20">
        <w:rPr>
          <w:rFonts w:asciiTheme="majorHAnsi" w:hAnsiTheme="majorHAnsi" w:cs="Times New Roman"/>
          <w:color w:val="auto"/>
          <w:sz w:val="22"/>
          <w:szCs w:val="22"/>
        </w:rPr>
        <w:t xml:space="preserve">, </w:t>
      </w:r>
      <w:r w:rsidR="00005EAF" w:rsidRPr="004B0E20">
        <w:rPr>
          <w:rFonts w:asciiTheme="majorHAnsi" w:hAnsiTheme="majorHAnsi" w:cs="Times New Roman"/>
          <w:color w:val="auto"/>
          <w:sz w:val="22"/>
          <w:szCs w:val="22"/>
        </w:rPr>
        <w:t xml:space="preserve">in cases in which exceptions to the prior exhaustion of </w:t>
      </w:r>
      <w:r w:rsidR="00785370" w:rsidRPr="004B0E20">
        <w:rPr>
          <w:rFonts w:asciiTheme="majorHAnsi" w:hAnsiTheme="majorHAnsi" w:cs="Times New Roman"/>
          <w:color w:val="auto"/>
          <w:sz w:val="22"/>
          <w:szCs w:val="22"/>
        </w:rPr>
        <w:t>domestic remedies</w:t>
      </w:r>
      <w:r w:rsidR="00005EAF" w:rsidRPr="004B0E20">
        <w:rPr>
          <w:rFonts w:asciiTheme="majorHAnsi" w:hAnsiTheme="majorHAnsi" w:cs="Times New Roman"/>
          <w:color w:val="auto"/>
          <w:sz w:val="22"/>
          <w:szCs w:val="22"/>
        </w:rPr>
        <w:t xml:space="preserve"> </w:t>
      </w:r>
      <w:r w:rsidR="00005EAF" w:rsidRPr="007321BC">
        <w:rPr>
          <w:rFonts w:asciiTheme="majorHAnsi" w:hAnsiTheme="majorHAnsi" w:cs="Times New Roman"/>
          <w:noProof/>
          <w:color w:val="auto"/>
          <w:sz w:val="22"/>
          <w:szCs w:val="22"/>
        </w:rPr>
        <w:t>are applied</w:t>
      </w:r>
      <w:r w:rsidR="002E0F74" w:rsidRPr="004B0E20">
        <w:rPr>
          <w:rFonts w:asciiTheme="majorHAnsi" w:hAnsiTheme="majorHAnsi" w:cs="Times New Roman"/>
          <w:color w:val="auto"/>
          <w:sz w:val="22"/>
          <w:szCs w:val="22"/>
        </w:rPr>
        <w:t xml:space="preserve">,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w:t>
      </w:r>
      <w:r w:rsidR="00005EAF" w:rsidRPr="004B0E20">
        <w:rPr>
          <w:rFonts w:asciiTheme="majorHAnsi" w:hAnsiTheme="majorHAnsi" w:cs="Times New Roman"/>
          <w:color w:val="auto"/>
          <w:sz w:val="22"/>
          <w:szCs w:val="22"/>
        </w:rPr>
        <w:t xml:space="preserve">petition must </w:t>
      </w:r>
      <w:r w:rsidR="00005EAF" w:rsidRPr="007321BC">
        <w:rPr>
          <w:rFonts w:asciiTheme="majorHAnsi" w:hAnsiTheme="majorHAnsi" w:cs="Times New Roman"/>
          <w:noProof/>
          <w:color w:val="auto"/>
          <w:sz w:val="22"/>
          <w:szCs w:val="22"/>
        </w:rPr>
        <w:t>be presented</w:t>
      </w:r>
      <w:r w:rsidR="00005EAF" w:rsidRPr="004B0E20">
        <w:rPr>
          <w:rFonts w:asciiTheme="majorHAnsi" w:hAnsiTheme="majorHAnsi" w:cs="Times New Roman"/>
          <w:color w:val="auto"/>
          <w:sz w:val="22"/>
          <w:szCs w:val="22"/>
        </w:rPr>
        <w:t xml:space="preserve"> wit</w:t>
      </w:r>
      <w:r w:rsidR="004812AC" w:rsidRPr="004B0E20">
        <w:rPr>
          <w:rFonts w:asciiTheme="majorHAnsi" w:hAnsiTheme="majorHAnsi" w:cs="Times New Roman"/>
          <w:color w:val="auto"/>
          <w:sz w:val="22"/>
          <w:szCs w:val="22"/>
        </w:rPr>
        <w:t xml:space="preserve">hin a reasonable </w:t>
      </w:r>
      <w:r w:rsidR="004812AC" w:rsidRPr="007321BC">
        <w:rPr>
          <w:rFonts w:asciiTheme="majorHAnsi" w:hAnsiTheme="majorHAnsi" w:cs="Times New Roman"/>
          <w:noProof/>
          <w:color w:val="auto"/>
          <w:sz w:val="22"/>
          <w:szCs w:val="22"/>
        </w:rPr>
        <w:t>period of time</w:t>
      </w:r>
      <w:r w:rsidR="00005EAF" w:rsidRPr="004B0E20">
        <w:rPr>
          <w:rFonts w:asciiTheme="majorHAnsi" w:hAnsiTheme="majorHAnsi" w:cs="Times New Roman"/>
          <w:color w:val="auto"/>
          <w:sz w:val="22"/>
          <w:szCs w:val="22"/>
        </w:rPr>
        <w:t xml:space="preserve"> in the judgment </w:t>
      </w:r>
      <w:r w:rsidR="00065A3F" w:rsidRPr="004B0E20">
        <w:rPr>
          <w:rFonts w:asciiTheme="majorHAnsi" w:hAnsiTheme="majorHAnsi" w:cs="Times New Roman"/>
          <w:color w:val="auto"/>
          <w:sz w:val="22"/>
          <w:szCs w:val="22"/>
        </w:rPr>
        <w:t>of the</w:t>
      </w:r>
      <w:r w:rsidR="002E0F74"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2E0F74" w:rsidRPr="004B0E20">
        <w:rPr>
          <w:rFonts w:asciiTheme="majorHAnsi" w:hAnsiTheme="majorHAnsi" w:cs="Times New Roman"/>
          <w:color w:val="auto"/>
          <w:sz w:val="22"/>
          <w:szCs w:val="22"/>
        </w:rPr>
        <w:t xml:space="preserve">. </w:t>
      </w:r>
      <w:r w:rsidR="004812AC" w:rsidRPr="004B0E20">
        <w:rPr>
          <w:rFonts w:asciiTheme="majorHAnsi" w:hAnsiTheme="majorHAnsi" w:cs="Times New Roman"/>
          <w:color w:val="auto"/>
          <w:sz w:val="22"/>
          <w:szCs w:val="22"/>
        </w:rPr>
        <w:t>In reaching that determination</w:t>
      </w:r>
      <w:r w:rsidR="00BA1A75" w:rsidRPr="004B0E20">
        <w:rPr>
          <w:rFonts w:asciiTheme="majorHAnsi" w:hAnsiTheme="majorHAnsi" w:cs="Times New Roman"/>
          <w:color w:val="auto"/>
          <w:sz w:val="22"/>
          <w:szCs w:val="22"/>
        </w:rPr>
        <w:t xml:space="preserve">,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2E0F74" w:rsidRPr="004B0E20">
        <w:rPr>
          <w:rFonts w:asciiTheme="majorHAnsi" w:hAnsiTheme="majorHAnsi" w:cs="Times New Roman"/>
          <w:color w:val="auto"/>
          <w:sz w:val="22"/>
          <w:szCs w:val="22"/>
        </w:rPr>
        <w:t xml:space="preserve"> </w:t>
      </w:r>
      <w:r w:rsidR="004812AC" w:rsidRPr="004B0E20">
        <w:rPr>
          <w:rFonts w:asciiTheme="majorHAnsi" w:hAnsiTheme="majorHAnsi" w:cs="Times New Roman"/>
          <w:color w:val="auto"/>
          <w:sz w:val="22"/>
          <w:szCs w:val="22"/>
        </w:rPr>
        <w:t>must</w:t>
      </w:r>
      <w:r w:rsidR="00BA1A75" w:rsidRPr="004B0E20">
        <w:rPr>
          <w:rFonts w:asciiTheme="majorHAnsi" w:hAnsiTheme="majorHAnsi" w:cs="Times New Roman"/>
          <w:color w:val="auto"/>
          <w:sz w:val="22"/>
          <w:szCs w:val="22"/>
        </w:rPr>
        <w:t xml:space="preserve"> consider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dat</w:t>
      </w:r>
      <w:r w:rsidR="00BA1A75" w:rsidRPr="004B0E20">
        <w:rPr>
          <w:rFonts w:asciiTheme="majorHAnsi" w:hAnsiTheme="majorHAnsi" w:cs="Times New Roman"/>
          <w:color w:val="auto"/>
          <w:sz w:val="22"/>
          <w:szCs w:val="22"/>
        </w:rPr>
        <w:t xml:space="preserve">e on which the alleged violation of rights occurred </w:t>
      </w:r>
      <w:r w:rsidR="00065A3F" w:rsidRPr="004B0E20">
        <w:rPr>
          <w:rFonts w:asciiTheme="majorHAnsi" w:hAnsiTheme="majorHAnsi" w:cs="Times New Roman"/>
          <w:color w:val="auto"/>
          <w:sz w:val="22"/>
          <w:szCs w:val="22"/>
        </w:rPr>
        <w:t>and</w:t>
      </w:r>
      <w:r w:rsidR="002E0F74" w:rsidRPr="004B0E20">
        <w:rPr>
          <w:rFonts w:asciiTheme="majorHAnsi" w:hAnsiTheme="majorHAnsi" w:cs="Times New Roman"/>
          <w:color w:val="auto"/>
          <w:sz w:val="22"/>
          <w:szCs w:val="22"/>
        </w:rPr>
        <w:t xml:space="preserve"> </w:t>
      </w:r>
      <w:r w:rsidR="00BA1A75" w:rsidRPr="004B0E20">
        <w:rPr>
          <w:rFonts w:asciiTheme="majorHAnsi" w:hAnsiTheme="majorHAnsi" w:cs="Times New Roman"/>
          <w:color w:val="auto"/>
          <w:sz w:val="22"/>
          <w:szCs w:val="22"/>
        </w:rPr>
        <w:t xml:space="preserve">the circumstances of </w:t>
      </w:r>
      <w:r w:rsidR="004812AC" w:rsidRPr="004B0E20">
        <w:rPr>
          <w:rFonts w:asciiTheme="majorHAnsi" w:hAnsiTheme="majorHAnsi" w:cs="Times New Roman"/>
          <w:color w:val="auto"/>
          <w:sz w:val="22"/>
          <w:szCs w:val="22"/>
        </w:rPr>
        <w:t>the particular</w:t>
      </w:r>
      <w:r w:rsidR="00BA1A75" w:rsidRPr="004B0E20">
        <w:rPr>
          <w:rFonts w:asciiTheme="majorHAnsi" w:hAnsiTheme="majorHAnsi" w:cs="Times New Roman"/>
          <w:color w:val="auto"/>
          <w:sz w:val="22"/>
          <w:szCs w:val="22"/>
        </w:rPr>
        <w:t xml:space="preserve"> case</w:t>
      </w:r>
      <w:r w:rsidR="002E0F74" w:rsidRPr="004B0E20">
        <w:rPr>
          <w:rFonts w:asciiTheme="majorHAnsi" w:hAnsiTheme="majorHAnsi" w:cs="Times New Roman"/>
          <w:color w:val="auto"/>
          <w:sz w:val="22"/>
          <w:szCs w:val="22"/>
        </w:rPr>
        <w:t xml:space="preserve">. </w:t>
      </w:r>
      <w:r w:rsidR="001029B7" w:rsidRPr="004B0E20">
        <w:rPr>
          <w:rFonts w:asciiTheme="majorHAnsi" w:hAnsiTheme="majorHAnsi" w:cs="Times New Roman"/>
          <w:color w:val="auto"/>
          <w:sz w:val="22"/>
          <w:szCs w:val="22"/>
        </w:rPr>
        <w:t xml:space="preserve">In the complaint in question,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2E0F74" w:rsidRPr="004B0E20">
        <w:rPr>
          <w:rFonts w:asciiTheme="majorHAnsi" w:hAnsiTheme="majorHAnsi" w:cs="Times New Roman"/>
          <w:color w:val="auto"/>
          <w:sz w:val="22"/>
          <w:szCs w:val="22"/>
        </w:rPr>
        <w:t xml:space="preserve"> </w:t>
      </w:r>
      <w:r w:rsidR="004812AC" w:rsidRPr="004B0E20">
        <w:rPr>
          <w:rFonts w:asciiTheme="majorHAnsi" w:hAnsiTheme="majorHAnsi" w:cs="Times New Roman"/>
          <w:color w:val="auto"/>
          <w:sz w:val="22"/>
          <w:szCs w:val="22"/>
        </w:rPr>
        <w:t xml:space="preserve">decided for </w:t>
      </w:r>
      <w:r w:rsidR="00065A3F" w:rsidRPr="004B0E20">
        <w:rPr>
          <w:rFonts w:asciiTheme="majorHAnsi" w:hAnsiTheme="majorHAnsi" w:cs="Times New Roman"/>
          <w:color w:val="auto"/>
          <w:sz w:val="22"/>
          <w:szCs w:val="22"/>
        </w:rPr>
        <w:t>application</w:t>
      </w:r>
      <w:r w:rsidR="002E0F74"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of the</w:t>
      </w:r>
      <w:r w:rsidR="002E0F74"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exception</w:t>
      </w:r>
      <w:r w:rsidR="002E0F74" w:rsidRPr="004B0E20">
        <w:rPr>
          <w:rFonts w:asciiTheme="majorHAnsi" w:hAnsiTheme="majorHAnsi" w:cs="Times New Roman"/>
          <w:color w:val="auto"/>
          <w:sz w:val="22"/>
          <w:szCs w:val="22"/>
        </w:rPr>
        <w:t xml:space="preserve"> </w:t>
      </w:r>
      <w:r w:rsidR="00E46FA7" w:rsidRPr="004B0E20">
        <w:rPr>
          <w:rFonts w:asciiTheme="majorHAnsi" w:hAnsiTheme="majorHAnsi" w:cs="Times New Roman"/>
          <w:color w:val="auto"/>
          <w:sz w:val="22"/>
          <w:szCs w:val="22"/>
        </w:rPr>
        <w:t xml:space="preserve">to the </w:t>
      </w:r>
      <w:r w:rsidR="001029B7" w:rsidRPr="004B0E20">
        <w:rPr>
          <w:rFonts w:asciiTheme="majorHAnsi" w:hAnsiTheme="majorHAnsi" w:cs="Times New Roman"/>
          <w:color w:val="auto"/>
          <w:sz w:val="22"/>
          <w:szCs w:val="22"/>
        </w:rPr>
        <w:t>e</w:t>
      </w:r>
      <w:r w:rsidR="00065A3F" w:rsidRPr="004B0E20">
        <w:rPr>
          <w:rFonts w:asciiTheme="majorHAnsi" w:hAnsiTheme="majorHAnsi" w:cs="Times New Roman"/>
          <w:color w:val="auto"/>
          <w:sz w:val="22"/>
          <w:szCs w:val="22"/>
        </w:rPr>
        <w:t xml:space="preserve">xhaustion of </w:t>
      </w:r>
      <w:r w:rsidR="00785370" w:rsidRPr="004B0E20">
        <w:rPr>
          <w:rFonts w:asciiTheme="majorHAnsi" w:hAnsiTheme="majorHAnsi" w:cs="Times New Roman"/>
          <w:color w:val="auto"/>
          <w:sz w:val="22"/>
          <w:szCs w:val="22"/>
        </w:rPr>
        <w:t>domestic remedies</w:t>
      </w:r>
      <w:r w:rsidR="004812AC" w:rsidRPr="004B0E20">
        <w:rPr>
          <w:rFonts w:asciiTheme="majorHAnsi" w:hAnsiTheme="majorHAnsi" w:cs="Times New Roman"/>
          <w:color w:val="auto"/>
          <w:sz w:val="22"/>
          <w:szCs w:val="22"/>
        </w:rPr>
        <w:t>,</w:t>
      </w:r>
      <w:r w:rsidR="002E0F74" w:rsidRPr="004B0E20">
        <w:rPr>
          <w:rFonts w:asciiTheme="majorHAnsi" w:hAnsiTheme="majorHAnsi" w:cs="Times New Roman"/>
          <w:color w:val="auto"/>
          <w:sz w:val="22"/>
          <w:szCs w:val="22"/>
        </w:rPr>
        <w:t xml:space="preserve"> </w:t>
      </w:r>
      <w:r w:rsidR="00E46FA7" w:rsidRPr="004B0E20">
        <w:rPr>
          <w:rFonts w:asciiTheme="majorHAnsi" w:hAnsiTheme="majorHAnsi" w:cs="Times New Roman"/>
          <w:color w:val="auto"/>
          <w:sz w:val="22"/>
          <w:szCs w:val="22"/>
        </w:rPr>
        <w:t xml:space="preserve">under </w:t>
      </w:r>
      <w:r w:rsidRPr="004B0E20">
        <w:rPr>
          <w:rFonts w:asciiTheme="majorHAnsi" w:hAnsiTheme="majorHAnsi" w:cs="Times New Roman"/>
          <w:color w:val="auto"/>
          <w:sz w:val="22"/>
          <w:szCs w:val="22"/>
        </w:rPr>
        <w:t>Article</w:t>
      </w:r>
      <w:r w:rsidR="002E0F74" w:rsidRPr="004B0E20">
        <w:rPr>
          <w:rFonts w:asciiTheme="majorHAnsi" w:hAnsiTheme="majorHAnsi" w:cs="Times New Roman"/>
          <w:color w:val="auto"/>
          <w:sz w:val="22"/>
          <w:szCs w:val="22"/>
        </w:rPr>
        <w:t xml:space="preserve"> 46.2.c </w:t>
      </w:r>
      <w:r w:rsidR="00065A3F" w:rsidRPr="004B0E20">
        <w:rPr>
          <w:rFonts w:asciiTheme="majorHAnsi" w:hAnsiTheme="majorHAnsi" w:cs="Times New Roman"/>
          <w:color w:val="auto"/>
          <w:sz w:val="22"/>
          <w:szCs w:val="22"/>
        </w:rPr>
        <w:t>of the</w:t>
      </w:r>
      <w:r w:rsidR="002E0F74" w:rsidRPr="004B0E20">
        <w:rPr>
          <w:rFonts w:asciiTheme="majorHAnsi" w:hAnsiTheme="majorHAnsi" w:cs="Times New Roman"/>
          <w:color w:val="auto"/>
          <w:sz w:val="22"/>
          <w:szCs w:val="22"/>
        </w:rPr>
        <w:t xml:space="preserve"> </w:t>
      </w:r>
      <w:r w:rsidR="00E729E2" w:rsidRPr="004B0E20">
        <w:rPr>
          <w:rFonts w:asciiTheme="majorHAnsi" w:hAnsiTheme="majorHAnsi" w:cs="Times New Roman"/>
          <w:color w:val="auto"/>
          <w:sz w:val="22"/>
          <w:szCs w:val="22"/>
        </w:rPr>
        <w:t>American Convention</w:t>
      </w:r>
      <w:r w:rsidR="007374EE">
        <w:rPr>
          <w:rFonts w:asciiTheme="majorHAnsi" w:hAnsiTheme="majorHAnsi" w:cs="Times New Roman"/>
          <w:color w:val="auto"/>
          <w:sz w:val="22"/>
          <w:szCs w:val="22"/>
        </w:rPr>
        <w:t xml:space="preserve"> since the investigation archiving in November 2008</w:t>
      </w:r>
      <w:r w:rsidR="002E0F74" w:rsidRPr="004B0E20">
        <w:rPr>
          <w:rFonts w:asciiTheme="majorHAnsi" w:hAnsiTheme="majorHAnsi" w:cs="Times New Roman"/>
          <w:color w:val="auto"/>
          <w:sz w:val="22"/>
          <w:szCs w:val="22"/>
        </w:rPr>
        <w:t xml:space="preserve">. </w:t>
      </w:r>
      <w:r w:rsidR="00E46FA7" w:rsidRPr="004B0E20">
        <w:rPr>
          <w:rFonts w:asciiTheme="majorHAnsi" w:hAnsiTheme="majorHAnsi" w:cs="Times New Roman"/>
          <w:color w:val="auto"/>
          <w:sz w:val="22"/>
          <w:szCs w:val="22"/>
        </w:rPr>
        <w:t xml:space="preserve"> Therefore, </w:t>
      </w:r>
      <w:r w:rsidR="004812AC" w:rsidRPr="004B0E20">
        <w:rPr>
          <w:rFonts w:asciiTheme="majorHAnsi" w:hAnsiTheme="majorHAnsi" w:cs="Times New Roman"/>
          <w:color w:val="auto"/>
          <w:sz w:val="22"/>
          <w:szCs w:val="22"/>
        </w:rPr>
        <w:t xml:space="preserve">having examined </w:t>
      </w:r>
      <w:r w:rsidR="00E46FA7" w:rsidRPr="004B0E20">
        <w:rPr>
          <w:rFonts w:asciiTheme="majorHAnsi" w:hAnsiTheme="majorHAnsi" w:cs="Times New Roman"/>
          <w:color w:val="auto"/>
          <w:sz w:val="22"/>
          <w:szCs w:val="22"/>
        </w:rPr>
        <w:t>the context</w:t>
      </w:r>
      <w:r w:rsidR="002E0F74"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and</w:t>
      </w:r>
      <w:r w:rsidR="002E0F74" w:rsidRPr="004B0E20">
        <w:rPr>
          <w:rFonts w:asciiTheme="majorHAnsi" w:hAnsiTheme="majorHAnsi" w:cs="Times New Roman"/>
          <w:color w:val="auto"/>
          <w:sz w:val="22"/>
          <w:szCs w:val="22"/>
        </w:rPr>
        <w:t xml:space="preserve"> </w:t>
      </w:r>
      <w:r w:rsidR="004812AC" w:rsidRPr="004B0E20">
        <w:rPr>
          <w:rFonts w:asciiTheme="majorHAnsi" w:hAnsiTheme="majorHAnsi" w:cs="Times New Roman"/>
          <w:color w:val="auto"/>
          <w:sz w:val="22"/>
          <w:szCs w:val="22"/>
        </w:rPr>
        <w:t xml:space="preserve">the particulars </w:t>
      </w:r>
      <w:r w:rsidR="00065A3F" w:rsidRPr="004B0E20">
        <w:rPr>
          <w:rFonts w:asciiTheme="majorHAnsi" w:hAnsiTheme="majorHAnsi" w:cs="Times New Roman"/>
          <w:color w:val="auto"/>
          <w:sz w:val="22"/>
          <w:szCs w:val="22"/>
        </w:rPr>
        <w:t xml:space="preserve">of </w:t>
      </w:r>
      <w:r w:rsidR="00E46FA7" w:rsidRPr="004B0E20">
        <w:rPr>
          <w:rFonts w:asciiTheme="majorHAnsi" w:hAnsiTheme="majorHAnsi" w:cs="Times New Roman"/>
          <w:color w:val="auto"/>
          <w:sz w:val="22"/>
          <w:szCs w:val="22"/>
        </w:rPr>
        <w:t xml:space="preserve">this case,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w:t>
      </w:r>
      <w:r w:rsidR="00D97F94" w:rsidRPr="004B0E20">
        <w:rPr>
          <w:rFonts w:asciiTheme="majorHAnsi" w:hAnsiTheme="majorHAnsi" w:cs="Times New Roman"/>
          <w:color w:val="auto"/>
          <w:sz w:val="22"/>
          <w:szCs w:val="22"/>
        </w:rPr>
        <w:t>Commission</w:t>
      </w:r>
      <w:r w:rsidR="002E0F74" w:rsidRPr="004B0E20">
        <w:rPr>
          <w:rFonts w:asciiTheme="majorHAnsi" w:hAnsiTheme="majorHAnsi" w:cs="Times New Roman"/>
          <w:color w:val="auto"/>
          <w:sz w:val="22"/>
          <w:szCs w:val="22"/>
        </w:rPr>
        <w:t xml:space="preserve"> </w:t>
      </w:r>
      <w:r w:rsidR="004812AC" w:rsidRPr="004B0E20">
        <w:rPr>
          <w:rFonts w:asciiTheme="majorHAnsi" w:hAnsiTheme="majorHAnsi" w:cs="Times New Roman"/>
          <w:color w:val="auto"/>
          <w:sz w:val="22"/>
          <w:szCs w:val="22"/>
        </w:rPr>
        <w:t xml:space="preserve">deems </w:t>
      </w:r>
      <w:r w:rsidR="0010462A" w:rsidRPr="004B0E20">
        <w:rPr>
          <w:rFonts w:asciiTheme="majorHAnsi" w:hAnsiTheme="majorHAnsi" w:cs="Times New Roman"/>
          <w:color w:val="auto"/>
          <w:sz w:val="22"/>
          <w:szCs w:val="22"/>
        </w:rPr>
        <w:t>the</w:t>
      </w:r>
      <w:r w:rsidR="002E0F74" w:rsidRPr="004B0E20">
        <w:rPr>
          <w:rFonts w:asciiTheme="majorHAnsi" w:hAnsiTheme="majorHAnsi" w:cs="Times New Roman"/>
          <w:color w:val="auto"/>
          <w:sz w:val="22"/>
          <w:szCs w:val="22"/>
        </w:rPr>
        <w:t xml:space="preserve"> </w:t>
      </w:r>
      <w:r w:rsidR="00E46FA7" w:rsidRPr="004B0E20">
        <w:rPr>
          <w:rFonts w:asciiTheme="majorHAnsi" w:hAnsiTheme="majorHAnsi" w:cs="Times New Roman"/>
          <w:color w:val="auto"/>
          <w:sz w:val="22"/>
          <w:szCs w:val="22"/>
        </w:rPr>
        <w:t xml:space="preserve">petition </w:t>
      </w:r>
      <w:r w:rsidR="004812AC" w:rsidRPr="004B0E20">
        <w:rPr>
          <w:rFonts w:asciiTheme="majorHAnsi" w:hAnsiTheme="majorHAnsi" w:cs="Times New Roman"/>
          <w:color w:val="auto"/>
          <w:sz w:val="22"/>
          <w:szCs w:val="22"/>
        </w:rPr>
        <w:t xml:space="preserve">to have been </w:t>
      </w:r>
      <w:r w:rsidR="00E46FA7" w:rsidRPr="004B0E20">
        <w:rPr>
          <w:rFonts w:asciiTheme="majorHAnsi" w:hAnsiTheme="majorHAnsi" w:cs="Times New Roman"/>
          <w:color w:val="auto"/>
          <w:sz w:val="22"/>
          <w:szCs w:val="22"/>
        </w:rPr>
        <w:t xml:space="preserve">submitted within a reasonable </w:t>
      </w:r>
      <w:r w:rsidR="00E46FA7" w:rsidRPr="007321BC">
        <w:rPr>
          <w:rFonts w:asciiTheme="majorHAnsi" w:hAnsiTheme="majorHAnsi" w:cs="Times New Roman"/>
          <w:noProof/>
          <w:color w:val="auto"/>
          <w:sz w:val="22"/>
          <w:szCs w:val="22"/>
        </w:rPr>
        <w:t>period of time</w:t>
      </w:r>
      <w:r w:rsidR="00E46FA7" w:rsidRPr="004B0E20">
        <w:rPr>
          <w:rFonts w:asciiTheme="majorHAnsi" w:hAnsiTheme="majorHAnsi" w:cs="Times New Roman"/>
          <w:color w:val="auto"/>
          <w:sz w:val="22"/>
          <w:szCs w:val="22"/>
        </w:rPr>
        <w:t xml:space="preserve"> </w:t>
      </w:r>
      <w:r w:rsidR="00065A3F" w:rsidRPr="004B0E20">
        <w:rPr>
          <w:rFonts w:asciiTheme="majorHAnsi" w:hAnsiTheme="majorHAnsi" w:cs="Times New Roman"/>
          <w:color w:val="auto"/>
          <w:sz w:val="22"/>
          <w:szCs w:val="22"/>
        </w:rPr>
        <w:t>and</w:t>
      </w:r>
      <w:r w:rsidR="002E0F74" w:rsidRPr="004B0E20">
        <w:rPr>
          <w:rFonts w:asciiTheme="majorHAnsi" w:hAnsiTheme="majorHAnsi" w:cs="Times New Roman"/>
          <w:color w:val="auto"/>
          <w:sz w:val="22"/>
          <w:szCs w:val="22"/>
        </w:rPr>
        <w:t xml:space="preserve"> </w:t>
      </w:r>
      <w:r w:rsidR="008669BF" w:rsidRPr="004B0E20">
        <w:rPr>
          <w:rFonts w:asciiTheme="majorHAnsi" w:hAnsiTheme="majorHAnsi" w:cs="Times New Roman"/>
          <w:color w:val="auto"/>
          <w:sz w:val="22"/>
          <w:szCs w:val="22"/>
        </w:rPr>
        <w:t xml:space="preserve">the admissibility </w:t>
      </w:r>
      <w:r w:rsidR="007374EE" w:rsidRPr="004B0E20">
        <w:rPr>
          <w:rFonts w:asciiTheme="majorHAnsi" w:hAnsiTheme="majorHAnsi" w:cs="Times New Roman"/>
          <w:color w:val="auto"/>
          <w:sz w:val="22"/>
          <w:szCs w:val="22"/>
        </w:rPr>
        <w:t>requirement concerning the presentation deadline has</w:t>
      </w:r>
      <w:r w:rsidR="004812AC" w:rsidRPr="004B0E20">
        <w:rPr>
          <w:rFonts w:asciiTheme="majorHAnsi" w:hAnsiTheme="majorHAnsi" w:cs="Times New Roman"/>
          <w:color w:val="auto"/>
          <w:sz w:val="22"/>
          <w:szCs w:val="22"/>
        </w:rPr>
        <w:t xml:space="preserve"> </w:t>
      </w:r>
      <w:r w:rsidR="008669BF" w:rsidRPr="007321BC">
        <w:rPr>
          <w:rFonts w:asciiTheme="majorHAnsi" w:hAnsiTheme="majorHAnsi" w:cs="Times New Roman"/>
          <w:noProof/>
          <w:color w:val="auto"/>
          <w:sz w:val="22"/>
          <w:szCs w:val="22"/>
        </w:rPr>
        <w:t>been met</w:t>
      </w:r>
      <w:r w:rsidR="002E0F74" w:rsidRPr="004B0E20">
        <w:rPr>
          <w:rFonts w:asciiTheme="majorHAnsi" w:hAnsiTheme="majorHAnsi" w:cs="Times New Roman"/>
          <w:color w:val="auto"/>
          <w:sz w:val="22"/>
          <w:szCs w:val="22"/>
        </w:rPr>
        <w:t>.</w:t>
      </w:r>
    </w:p>
    <w:p w:rsidR="003239B8" w:rsidRPr="004B0E20" w:rsidRDefault="003239B8" w:rsidP="003239B8">
      <w:pPr>
        <w:pStyle w:val="ListParagraph"/>
        <w:spacing w:before="240" w:after="240"/>
        <w:jc w:val="both"/>
        <w:rPr>
          <w:rFonts w:asciiTheme="majorHAnsi" w:hAnsiTheme="majorHAnsi" w:cs="Times New Roman"/>
          <w:b/>
          <w:color w:val="auto"/>
          <w:sz w:val="22"/>
          <w:szCs w:val="22"/>
        </w:rPr>
      </w:pPr>
      <w:r w:rsidRPr="004B0E20">
        <w:rPr>
          <w:rFonts w:asciiTheme="majorHAnsi" w:hAnsiTheme="majorHAnsi" w:cs="Times New Roman"/>
          <w:b/>
          <w:bCs/>
          <w:color w:val="auto"/>
          <w:sz w:val="22"/>
          <w:szCs w:val="22"/>
        </w:rPr>
        <w:t>VII.</w:t>
      </w:r>
      <w:r w:rsidRPr="004B0E20">
        <w:rPr>
          <w:rFonts w:asciiTheme="majorHAnsi" w:hAnsiTheme="majorHAnsi" w:cs="Times New Roman"/>
          <w:b/>
          <w:bCs/>
          <w:color w:val="auto"/>
          <w:sz w:val="22"/>
          <w:szCs w:val="22"/>
        </w:rPr>
        <w:tab/>
      </w:r>
      <w:r w:rsidR="00D21316" w:rsidRPr="004B0E20">
        <w:rPr>
          <w:rFonts w:asciiTheme="majorHAnsi" w:hAnsiTheme="majorHAnsi" w:cs="Times New Roman"/>
          <w:b/>
          <w:bCs/>
          <w:color w:val="auto"/>
          <w:sz w:val="22"/>
          <w:szCs w:val="22"/>
        </w:rPr>
        <w:t>AN</w:t>
      </w:r>
      <w:r w:rsidR="008669BF" w:rsidRPr="004B0E20">
        <w:rPr>
          <w:rFonts w:asciiTheme="majorHAnsi" w:hAnsiTheme="majorHAnsi" w:cs="Times New Roman"/>
          <w:b/>
          <w:bCs/>
          <w:color w:val="auto"/>
          <w:sz w:val="22"/>
          <w:szCs w:val="22"/>
        </w:rPr>
        <w:t xml:space="preserve">ALYSIS </w:t>
      </w:r>
      <w:r w:rsidR="00C51B82" w:rsidRPr="004B0E20">
        <w:rPr>
          <w:rFonts w:asciiTheme="majorHAnsi" w:hAnsiTheme="majorHAnsi" w:cs="Times New Roman"/>
          <w:b/>
          <w:bCs/>
          <w:color w:val="auto"/>
          <w:sz w:val="22"/>
          <w:szCs w:val="22"/>
        </w:rPr>
        <w:t>OF</w:t>
      </w:r>
      <w:r w:rsidR="004A6A54" w:rsidRPr="004B0E20">
        <w:rPr>
          <w:rFonts w:asciiTheme="majorHAnsi" w:hAnsiTheme="majorHAnsi" w:cs="Times New Roman"/>
          <w:b/>
          <w:bCs/>
          <w:color w:val="auto"/>
          <w:sz w:val="22"/>
          <w:szCs w:val="22"/>
        </w:rPr>
        <w:t xml:space="preserve"> </w:t>
      </w:r>
      <w:r w:rsidR="000F1361">
        <w:rPr>
          <w:rFonts w:asciiTheme="majorHAnsi" w:hAnsiTheme="majorHAnsi" w:cs="Times New Roman"/>
          <w:b/>
          <w:bCs/>
          <w:noProof/>
          <w:color w:val="auto"/>
          <w:sz w:val="22"/>
          <w:szCs w:val="22"/>
        </w:rPr>
        <w:t>COLORABLE</w:t>
      </w:r>
      <w:r w:rsidR="008604D9" w:rsidRPr="004B0E20">
        <w:rPr>
          <w:rFonts w:asciiTheme="majorHAnsi" w:hAnsiTheme="majorHAnsi" w:cs="Times New Roman"/>
          <w:b/>
          <w:bCs/>
          <w:color w:val="auto"/>
          <w:sz w:val="22"/>
          <w:szCs w:val="22"/>
        </w:rPr>
        <w:t xml:space="preserve"> CLAIM</w:t>
      </w:r>
    </w:p>
    <w:p w:rsidR="00A11E44" w:rsidRPr="004B0E20" w:rsidRDefault="00027555" w:rsidP="00964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2"/>
          <w:szCs w:val="22"/>
        </w:rPr>
      </w:pPr>
      <w:r w:rsidRPr="004B0E20">
        <w:rPr>
          <w:rFonts w:asciiTheme="majorHAnsi" w:hAnsiTheme="majorHAnsi"/>
          <w:sz w:val="22"/>
          <w:szCs w:val="22"/>
        </w:rPr>
        <w:t xml:space="preserve">Therefore, bearing in mind the </w:t>
      </w:r>
      <w:r w:rsidR="004F5D21" w:rsidRPr="004B0E20">
        <w:rPr>
          <w:rFonts w:asciiTheme="majorHAnsi" w:hAnsiTheme="majorHAnsi"/>
          <w:sz w:val="22"/>
          <w:szCs w:val="22"/>
        </w:rPr>
        <w:t xml:space="preserve">considerations </w:t>
      </w:r>
      <w:r w:rsidRPr="004B0E20">
        <w:rPr>
          <w:rFonts w:asciiTheme="majorHAnsi" w:hAnsiTheme="majorHAnsi"/>
          <w:sz w:val="22"/>
          <w:szCs w:val="22"/>
        </w:rPr>
        <w:t xml:space="preserve">of fact and </w:t>
      </w:r>
      <w:r w:rsidR="004F5D21" w:rsidRPr="004B0E20">
        <w:rPr>
          <w:rFonts w:asciiTheme="majorHAnsi" w:hAnsiTheme="majorHAnsi"/>
          <w:sz w:val="22"/>
          <w:szCs w:val="22"/>
        </w:rPr>
        <w:t xml:space="preserve">of </w:t>
      </w:r>
      <w:r w:rsidRPr="004B0E20">
        <w:rPr>
          <w:rFonts w:asciiTheme="majorHAnsi" w:hAnsiTheme="majorHAnsi"/>
          <w:sz w:val="22"/>
          <w:szCs w:val="22"/>
        </w:rPr>
        <w:t>law set forth by the parties</w:t>
      </w:r>
      <w:r w:rsidR="00964EBA" w:rsidRPr="004B0E20">
        <w:rPr>
          <w:rFonts w:asciiTheme="majorHAnsi" w:hAnsiTheme="majorHAnsi"/>
          <w:sz w:val="22"/>
          <w:szCs w:val="22"/>
        </w:rPr>
        <w:t xml:space="preserve"> </w:t>
      </w:r>
      <w:r w:rsidR="00065A3F" w:rsidRPr="004B0E20">
        <w:rPr>
          <w:rFonts w:asciiTheme="majorHAnsi" w:hAnsiTheme="majorHAnsi"/>
          <w:sz w:val="22"/>
          <w:szCs w:val="22"/>
        </w:rPr>
        <w:t>and</w:t>
      </w:r>
      <w:r w:rsidR="00964EBA" w:rsidRPr="004B0E20">
        <w:rPr>
          <w:rFonts w:asciiTheme="majorHAnsi" w:hAnsiTheme="majorHAnsi"/>
          <w:sz w:val="22"/>
          <w:szCs w:val="22"/>
        </w:rPr>
        <w:t xml:space="preserve"> </w:t>
      </w:r>
      <w:r w:rsidR="0010462A" w:rsidRPr="004B0E20">
        <w:rPr>
          <w:rFonts w:asciiTheme="majorHAnsi" w:hAnsiTheme="majorHAnsi"/>
          <w:sz w:val="22"/>
          <w:szCs w:val="22"/>
        </w:rPr>
        <w:t>the</w:t>
      </w:r>
      <w:r w:rsidR="00964EBA" w:rsidRPr="004B0E20">
        <w:rPr>
          <w:rFonts w:asciiTheme="majorHAnsi" w:hAnsiTheme="majorHAnsi"/>
          <w:sz w:val="22"/>
          <w:szCs w:val="22"/>
        </w:rPr>
        <w:t xml:space="preserve"> nature </w:t>
      </w:r>
      <w:r w:rsidR="00065A3F" w:rsidRPr="004B0E20">
        <w:rPr>
          <w:rFonts w:asciiTheme="majorHAnsi" w:hAnsiTheme="majorHAnsi"/>
          <w:sz w:val="22"/>
          <w:szCs w:val="22"/>
        </w:rPr>
        <w:t>of the</w:t>
      </w:r>
      <w:r w:rsidR="00964EBA" w:rsidRPr="004B0E20">
        <w:rPr>
          <w:rFonts w:asciiTheme="majorHAnsi" w:hAnsiTheme="majorHAnsi"/>
          <w:sz w:val="22"/>
          <w:szCs w:val="22"/>
        </w:rPr>
        <w:t xml:space="preserve"> </w:t>
      </w:r>
      <w:r w:rsidRPr="004B0E20">
        <w:rPr>
          <w:rFonts w:asciiTheme="majorHAnsi" w:hAnsiTheme="majorHAnsi"/>
          <w:sz w:val="22"/>
          <w:szCs w:val="22"/>
        </w:rPr>
        <w:t xml:space="preserve">matter </w:t>
      </w:r>
      <w:r w:rsidR="00964EBA" w:rsidRPr="004B0E20">
        <w:rPr>
          <w:rFonts w:asciiTheme="majorHAnsi" w:hAnsiTheme="majorHAnsi"/>
          <w:sz w:val="22"/>
          <w:szCs w:val="22"/>
        </w:rPr>
        <w:t>present</w:t>
      </w:r>
      <w:r w:rsidRPr="004B0E20">
        <w:rPr>
          <w:rFonts w:asciiTheme="majorHAnsi" w:hAnsiTheme="majorHAnsi"/>
          <w:sz w:val="22"/>
          <w:szCs w:val="22"/>
        </w:rPr>
        <w:t>ed</w:t>
      </w:r>
      <w:r w:rsidR="00964EBA" w:rsidRPr="004B0E20">
        <w:rPr>
          <w:rFonts w:asciiTheme="majorHAnsi" w:hAnsiTheme="majorHAnsi"/>
          <w:sz w:val="22"/>
          <w:szCs w:val="22"/>
        </w:rPr>
        <w:t xml:space="preserve">, </w:t>
      </w:r>
      <w:r w:rsidR="0010462A" w:rsidRPr="004B0E20">
        <w:rPr>
          <w:rFonts w:asciiTheme="majorHAnsi" w:hAnsiTheme="majorHAnsi"/>
          <w:sz w:val="22"/>
          <w:szCs w:val="22"/>
        </w:rPr>
        <w:t>the</w:t>
      </w:r>
      <w:r w:rsidR="00964EBA" w:rsidRPr="004B0E20">
        <w:rPr>
          <w:rFonts w:asciiTheme="majorHAnsi" w:hAnsiTheme="majorHAnsi"/>
          <w:sz w:val="22"/>
          <w:szCs w:val="22"/>
        </w:rPr>
        <w:t xml:space="preserve"> </w:t>
      </w:r>
      <w:r w:rsidR="00D97F94" w:rsidRPr="004B0E20">
        <w:rPr>
          <w:rFonts w:asciiTheme="majorHAnsi" w:hAnsiTheme="majorHAnsi"/>
          <w:sz w:val="22"/>
          <w:szCs w:val="22"/>
        </w:rPr>
        <w:t>Commission</w:t>
      </w:r>
      <w:r w:rsidR="00964EBA" w:rsidRPr="004B0E20">
        <w:rPr>
          <w:rFonts w:asciiTheme="majorHAnsi" w:hAnsiTheme="majorHAnsi"/>
          <w:sz w:val="22"/>
          <w:szCs w:val="22"/>
        </w:rPr>
        <w:t xml:space="preserve"> </w:t>
      </w:r>
      <w:r w:rsidRPr="004B0E20">
        <w:rPr>
          <w:rFonts w:asciiTheme="majorHAnsi" w:hAnsiTheme="majorHAnsi"/>
          <w:sz w:val="22"/>
          <w:szCs w:val="22"/>
        </w:rPr>
        <w:t xml:space="preserve">finds </w:t>
      </w:r>
      <w:r w:rsidR="00100EE6" w:rsidRPr="004B0E20">
        <w:rPr>
          <w:rFonts w:asciiTheme="majorHAnsi" w:hAnsiTheme="majorHAnsi"/>
          <w:sz w:val="22"/>
          <w:szCs w:val="22"/>
        </w:rPr>
        <w:t>that</w:t>
      </w:r>
      <w:r w:rsidRPr="004B0E20">
        <w:rPr>
          <w:rFonts w:asciiTheme="majorHAnsi" w:hAnsiTheme="majorHAnsi"/>
          <w:sz w:val="22"/>
          <w:szCs w:val="22"/>
        </w:rPr>
        <w:t xml:space="preserve"> the events described, if proven, could constitute violations</w:t>
      </w:r>
      <w:r w:rsidR="00964EBA" w:rsidRPr="004B0E20">
        <w:rPr>
          <w:rFonts w:asciiTheme="majorHAnsi" w:hAnsiTheme="majorHAnsi"/>
          <w:sz w:val="22"/>
          <w:szCs w:val="22"/>
        </w:rPr>
        <w:t xml:space="preserve"> </w:t>
      </w:r>
      <w:r w:rsidR="00065A3F" w:rsidRPr="004B0E20">
        <w:rPr>
          <w:rFonts w:asciiTheme="majorHAnsi" w:hAnsiTheme="majorHAnsi"/>
          <w:sz w:val="22"/>
          <w:szCs w:val="22"/>
        </w:rPr>
        <w:t xml:space="preserve">of </w:t>
      </w:r>
      <w:r w:rsidR="00AD7161" w:rsidRPr="004B0E20">
        <w:rPr>
          <w:rFonts w:asciiTheme="majorHAnsi" w:hAnsiTheme="majorHAnsi"/>
          <w:sz w:val="22"/>
          <w:szCs w:val="22"/>
        </w:rPr>
        <w:t>Article</w:t>
      </w:r>
      <w:r w:rsidR="00964EBA" w:rsidRPr="004B0E20">
        <w:rPr>
          <w:rFonts w:asciiTheme="majorHAnsi" w:hAnsiTheme="majorHAnsi"/>
          <w:sz w:val="22"/>
          <w:szCs w:val="22"/>
        </w:rPr>
        <w:t>s 4 (</w:t>
      </w:r>
      <w:r w:rsidR="00AB47B1" w:rsidRPr="004B0E20">
        <w:rPr>
          <w:rFonts w:asciiTheme="majorHAnsi" w:hAnsiTheme="majorHAnsi"/>
          <w:sz w:val="22"/>
          <w:szCs w:val="22"/>
        </w:rPr>
        <w:t>life</w:t>
      </w:r>
      <w:r w:rsidR="00964EBA" w:rsidRPr="004B0E20">
        <w:rPr>
          <w:rFonts w:asciiTheme="majorHAnsi" w:hAnsiTheme="majorHAnsi"/>
          <w:sz w:val="22"/>
          <w:szCs w:val="22"/>
        </w:rPr>
        <w:t xml:space="preserve">), </w:t>
      </w:r>
      <w:r w:rsidR="000369D6" w:rsidRPr="004B0E20">
        <w:rPr>
          <w:rFonts w:asciiTheme="majorHAnsi" w:hAnsiTheme="majorHAnsi"/>
          <w:sz w:val="22"/>
          <w:szCs w:val="22"/>
        </w:rPr>
        <w:t>5 (</w:t>
      </w:r>
      <w:r w:rsidR="00AB47B1" w:rsidRPr="004B0E20">
        <w:rPr>
          <w:rFonts w:asciiTheme="majorHAnsi" w:hAnsiTheme="majorHAnsi"/>
          <w:sz w:val="22"/>
          <w:szCs w:val="22"/>
        </w:rPr>
        <w:t>humane treatment</w:t>
      </w:r>
      <w:r w:rsidR="000369D6" w:rsidRPr="004B0E20">
        <w:rPr>
          <w:rFonts w:asciiTheme="majorHAnsi" w:hAnsiTheme="majorHAnsi"/>
          <w:sz w:val="22"/>
          <w:szCs w:val="22"/>
        </w:rPr>
        <w:t xml:space="preserve">), </w:t>
      </w:r>
      <w:r w:rsidR="00964EBA" w:rsidRPr="004B0E20">
        <w:rPr>
          <w:rFonts w:asciiTheme="majorHAnsi" w:hAnsiTheme="majorHAnsi"/>
          <w:sz w:val="22"/>
          <w:szCs w:val="22"/>
        </w:rPr>
        <w:t>8 (</w:t>
      </w:r>
      <w:r w:rsidR="00AB47B1" w:rsidRPr="004B0E20">
        <w:rPr>
          <w:rFonts w:asciiTheme="majorHAnsi" w:hAnsiTheme="majorHAnsi"/>
          <w:sz w:val="22"/>
          <w:szCs w:val="22"/>
        </w:rPr>
        <w:t>fair trial</w:t>
      </w:r>
      <w:r w:rsidR="00964EBA" w:rsidRPr="004B0E20">
        <w:rPr>
          <w:rFonts w:asciiTheme="majorHAnsi" w:hAnsiTheme="majorHAnsi"/>
          <w:sz w:val="22"/>
          <w:szCs w:val="22"/>
        </w:rPr>
        <w:t>)</w:t>
      </w:r>
      <w:r w:rsidRPr="004B0E20">
        <w:rPr>
          <w:rFonts w:asciiTheme="majorHAnsi" w:hAnsiTheme="majorHAnsi"/>
          <w:sz w:val="22"/>
          <w:szCs w:val="22"/>
        </w:rPr>
        <w:t>,</w:t>
      </w:r>
      <w:r w:rsidR="00964EBA" w:rsidRPr="004B0E20">
        <w:rPr>
          <w:rFonts w:asciiTheme="majorHAnsi" w:hAnsiTheme="majorHAnsi"/>
          <w:sz w:val="22"/>
          <w:szCs w:val="22"/>
        </w:rPr>
        <w:t xml:space="preserve"> </w:t>
      </w:r>
      <w:r w:rsidR="00065A3F" w:rsidRPr="004B0E20">
        <w:rPr>
          <w:rFonts w:asciiTheme="majorHAnsi" w:hAnsiTheme="majorHAnsi"/>
          <w:sz w:val="22"/>
          <w:szCs w:val="22"/>
        </w:rPr>
        <w:t>and</w:t>
      </w:r>
      <w:r w:rsidR="00964EBA" w:rsidRPr="004B0E20">
        <w:rPr>
          <w:rFonts w:asciiTheme="majorHAnsi" w:hAnsiTheme="majorHAnsi"/>
          <w:sz w:val="22"/>
          <w:szCs w:val="22"/>
        </w:rPr>
        <w:t xml:space="preserve"> 25 (</w:t>
      </w:r>
      <w:r w:rsidR="00065A3F" w:rsidRPr="004B0E20">
        <w:rPr>
          <w:rFonts w:asciiTheme="majorHAnsi" w:hAnsiTheme="majorHAnsi"/>
          <w:sz w:val="22"/>
          <w:szCs w:val="22"/>
        </w:rPr>
        <w:t>judicial protection</w:t>
      </w:r>
      <w:r w:rsidR="00964EBA" w:rsidRPr="004B0E20">
        <w:rPr>
          <w:rFonts w:asciiTheme="majorHAnsi" w:hAnsiTheme="majorHAnsi"/>
          <w:sz w:val="22"/>
          <w:szCs w:val="22"/>
        </w:rPr>
        <w:t xml:space="preserve">), </w:t>
      </w:r>
      <w:r w:rsidRPr="004B0E20">
        <w:rPr>
          <w:rFonts w:asciiTheme="majorHAnsi" w:hAnsiTheme="majorHAnsi"/>
          <w:sz w:val="22"/>
          <w:szCs w:val="22"/>
        </w:rPr>
        <w:t xml:space="preserve">all with </w:t>
      </w:r>
      <w:r w:rsidR="004A2321" w:rsidRPr="004B0E20">
        <w:rPr>
          <w:rFonts w:asciiTheme="majorHAnsi" w:hAnsiTheme="majorHAnsi"/>
          <w:sz w:val="22"/>
          <w:szCs w:val="22"/>
        </w:rPr>
        <w:t>respect to</w:t>
      </w:r>
      <w:r w:rsidR="0008301F" w:rsidRPr="004B0E20">
        <w:rPr>
          <w:rFonts w:asciiTheme="majorHAnsi" w:hAnsiTheme="majorHAnsi"/>
          <w:sz w:val="22"/>
          <w:szCs w:val="22"/>
        </w:rPr>
        <w:t xml:space="preserve"> </w:t>
      </w:r>
      <w:r w:rsidR="00AD7161" w:rsidRPr="004B0E20">
        <w:rPr>
          <w:rFonts w:asciiTheme="majorHAnsi" w:hAnsiTheme="majorHAnsi"/>
          <w:sz w:val="22"/>
          <w:szCs w:val="22"/>
        </w:rPr>
        <w:t>Article</w:t>
      </w:r>
      <w:r w:rsidR="00816FE1" w:rsidRPr="004B0E20">
        <w:rPr>
          <w:rFonts w:asciiTheme="majorHAnsi" w:hAnsiTheme="majorHAnsi"/>
          <w:sz w:val="22"/>
          <w:szCs w:val="22"/>
        </w:rPr>
        <w:t>s</w:t>
      </w:r>
      <w:r w:rsidR="00964EBA" w:rsidRPr="004B0E20">
        <w:rPr>
          <w:rFonts w:asciiTheme="majorHAnsi" w:hAnsiTheme="majorHAnsi"/>
          <w:sz w:val="22"/>
          <w:szCs w:val="22"/>
        </w:rPr>
        <w:t xml:space="preserve"> 1.1 (</w:t>
      </w:r>
      <w:r w:rsidR="006C434B" w:rsidRPr="004B0E20">
        <w:rPr>
          <w:rFonts w:asciiTheme="majorHAnsi" w:hAnsiTheme="majorHAnsi"/>
          <w:sz w:val="22"/>
          <w:szCs w:val="22"/>
        </w:rPr>
        <w:t>obligation to respect rights</w:t>
      </w:r>
      <w:r w:rsidR="00964EBA" w:rsidRPr="004B0E20">
        <w:rPr>
          <w:rFonts w:asciiTheme="majorHAnsi" w:hAnsiTheme="majorHAnsi"/>
          <w:sz w:val="22"/>
          <w:szCs w:val="22"/>
        </w:rPr>
        <w:t xml:space="preserve">) </w:t>
      </w:r>
      <w:r w:rsidR="00065A3F" w:rsidRPr="004B0E20">
        <w:rPr>
          <w:rFonts w:asciiTheme="majorHAnsi" w:hAnsiTheme="majorHAnsi"/>
          <w:sz w:val="22"/>
          <w:szCs w:val="22"/>
        </w:rPr>
        <w:t>and</w:t>
      </w:r>
      <w:r w:rsidR="00964EBA" w:rsidRPr="004B0E20">
        <w:rPr>
          <w:rFonts w:asciiTheme="majorHAnsi" w:hAnsiTheme="majorHAnsi"/>
          <w:sz w:val="22"/>
          <w:szCs w:val="22"/>
        </w:rPr>
        <w:t xml:space="preserve"> 2 (</w:t>
      </w:r>
      <w:r w:rsidR="007D1AFC" w:rsidRPr="004B0E20">
        <w:rPr>
          <w:rFonts w:asciiTheme="majorHAnsi" w:hAnsiTheme="majorHAnsi"/>
          <w:sz w:val="22"/>
          <w:szCs w:val="22"/>
        </w:rPr>
        <w:t>domestic legal effects</w:t>
      </w:r>
      <w:r w:rsidR="00964EBA" w:rsidRPr="004B0E20">
        <w:rPr>
          <w:rFonts w:asciiTheme="majorHAnsi" w:hAnsiTheme="majorHAnsi"/>
          <w:sz w:val="22"/>
          <w:szCs w:val="22"/>
        </w:rPr>
        <w:t xml:space="preserve">) </w:t>
      </w:r>
      <w:r w:rsidR="00065A3F" w:rsidRPr="004B0E20">
        <w:rPr>
          <w:rFonts w:asciiTheme="majorHAnsi" w:hAnsiTheme="majorHAnsi"/>
          <w:sz w:val="22"/>
          <w:szCs w:val="22"/>
        </w:rPr>
        <w:t>of the</w:t>
      </w:r>
      <w:r w:rsidR="00964EBA" w:rsidRPr="004B0E20">
        <w:rPr>
          <w:rFonts w:asciiTheme="majorHAnsi" w:hAnsiTheme="majorHAnsi"/>
          <w:sz w:val="22"/>
          <w:szCs w:val="22"/>
        </w:rPr>
        <w:t xml:space="preserve"> </w:t>
      </w:r>
      <w:r w:rsidR="00E729E2" w:rsidRPr="004B0E20">
        <w:rPr>
          <w:rFonts w:asciiTheme="majorHAnsi" w:hAnsiTheme="majorHAnsi"/>
          <w:sz w:val="22"/>
          <w:szCs w:val="22"/>
        </w:rPr>
        <w:t>American Convention</w:t>
      </w:r>
      <w:r w:rsidR="00964EBA" w:rsidRPr="004B0E20">
        <w:rPr>
          <w:rFonts w:asciiTheme="majorHAnsi" w:hAnsiTheme="majorHAnsi"/>
          <w:sz w:val="22"/>
          <w:szCs w:val="22"/>
        </w:rPr>
        <w:t>.</w:t>
      </w:r>
    </w:p>
    <w:p w:rsidR="003239B8" w:rsidRPr="004B0E20" w:rsidRDefault="003239B8" w:rsidP="003239B8">
      <w:pPr>
        <w:pStyle w:val="ListParagraph"/>
        <w:spacing w:before="240" w:after="240"/>
        <w:jc w:val="both"/>
        <w:rPr>
          <w:rFonts w:asciiTheme="majorHAnsi" w:hAnsiTheme="majorHAnsi" w:cs="Times New Roman"/>
          <w:b/>
          <w:bCs/>
          <w:color w:val="auto"/>
          <w:sz w:val="22"/>
          <w:szCs w:val="22"/>
        </w:rPr>
      </w:pPr>
      <w:r w:rsidRPr="004B0E20">
        <w:rPr>
          <w:rFonts w:asciiTheme="majorHAnsi" w:hAnsiTheme="majorHAnsi" w:cs="Times New Roman"/>
          <w:b/>
          <w:bCs/>
          <w:color w:val="auto"/>
          <w:sz w:val="22"/>
          <w:szCs w:val="22"/>
        </w:rPr>
        <w:t xml:space="preserve">VIII. </w:t>
      </w:r>
      <w:r w:rsidRPr="004B0E20">
        <w:rPr>
          <w:rFonts w:asciiTheme="majorHAnsi" w:hAnsiTheme="majorHAnsi" w:cs="Times New Roman"/>
          <w:b/>
          <w:bCs/>
          <w:color w:val="auto"/>
          <w:sz w:val="22"/>
          <w:szCs w:val="22"/>
        </w:rPr>
        <w:tab/>
      </w:r>
      <w:r w:rsidR="005B2DEB" w:rsidRPr="004B0E20">
        <w:rPr>
          <w:rFonts w:asciiTheme="majorHAnsi" w:hAnsiTheme="majorHAnsi" w:cs="Times New Roman"/>
          <w:b/>
          <w:bCs/>
          <w:color w:val="auto"/>
          <w:sz w:val="22"/>
          <w:szCs w:val="22"/>
        </w:rPr>
        <w:t>DECISION</w:t>
      </w:r>
    </w:p>
    <w:p w:rsidR="000419AD" w:rsidRPr="004B0E20" w:rsidRDefault="002455C3" w:rsidP="002E0F7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sz w:val="22"/>
          <w:szCs w:val="22"/>
        </w:rPr>
        <w:t xml:space="preserve">To declare this petition admissible </w:t>
      </w:r>
      <w:r w:rsidR="00941AD5" w:rsidRPr="007321BC">
        <w:rPr>
          <w:rFonts w:asciiTheme="majorHAnsi" w:hAnsiTheme="majorHAnsi"/>
          <w:noProof/>
          <w:sz w:val="22"/>
          <w:szCs w:val="22"/>
        </w:rPr>
        <w:t>with respect to</w:t>
      </w:r>
      <w:r w:rsidR="00941AD5" w:rsidRPr="004B0E20">
        <w:rPr>
          <w:rFonts w:asciiTheme="majorHAnsi" w:hAnsiTheme="majorHAnsi"/>
          <w:sz w:val="22"/>
          <w:szCs w:val="22"/>
        </w:rPr>
        <w:t xml:space="preserve"> </w:t>
      </w:r>
      <w:r w:rsidR="00AD7161" w:rsidRPr="004B0E20">
        <w:rPr>
          <w:rFonts w:asciiTheme="majorHAnsi" w:hAnsiTheme="majorHAnsi"/>
          <w:sz w:val="22"/>
          <w:szCs w:val="22"/>
        </w:rPr>
        <w:t>Article</w:t>
      </w:r>
      <w:r w:rsidR="0022300D" w:rsidRPr="004B0E20">
        <w:rPr>
          <w:rFonts w:asciiTheme="majorHAnsi" w:hAnsiTheme="majorHAnsi"/>
          <w:sz w:val="22"/>
          <w:szCs w:val="22"/>
        </w:rPr>
        <w:t>s 4, 5, 8</w:t>
      </w:r>
      <w:r w:rsidRPr="004B0E20">
        <w:rPr>
          <w:rFonts w:asciiTheme="majorHAnsi" w:hAnsiTheme="majorHAnsi"/>
          <w:sz w:val="22"/>
          <w:szCs w:val="22"/>
        </w:rPr>
        <w:t>,</w:t>
      </w:r>
      <w:r w:rsidR="0022300D" w:rsidRPr="004B0E20">
        <w:rPr>
          <w:rFonts w:asciiTheme="majorHAnsi" w:hAnsiTheme="majorHAnsi"/>
          <w:sz w:val="22"/>
          <w:szCs w:val="22"/>
        </w:rPr>
        <w:t xml:space="preserve"> </w:t>
      </w:r>
      <w:r w:rsidR="00065A3F" w:rsidRPr="004B0E20">
        <w:rPr>
          <w:rFonts w:asciiTheme="majorHAnsi" w:hAnsiTheme="majorHAnsi"/>
          <w:sz w:val="22"/>
          <w:szCs w:val="22"/>
        </w:rPr>
        <w:t>and</w:t>
      </w:r>
      <w:r w:rsidR="0022300D" w:rsidRPr="004B0E20">
        <w:rPr>
          <w:rFonts w:asciiTheme="majorHAnsi" w:hAnsiTheme="majorHAnsi"/>
          <w:sz w:val="22"/>
          <w:szCs w:val="22"/>
        </w:rPr>
        <w:t xml:space="preserve"> 25,</w:t>
      </w:r>
      <w:r w:rsidR="002E0F74" w:rsidRPr="004B0E20">
        <w:rPr>
          <w:rFonts w:asciiTheme="majorHAnsi" w:hAnsiTheme="majorHAnsi"/>
          <w:sz w:val="22"/>
          <w:szCs w:val="22"/>
        </w:rPr>
        <w:t xml:space="preserve"> </w:t>
      </w:r>
      <w:r w:rsidRPr="004B0E20">
        <w:rPr>
          <w:rFonts w:asciiTheme="majorHAnsi" w:hAnsiTheme="majorHAnsi"/>
          <w:sz w:val="22"/>
          <w:szCs w:val="22"/>
        </w:rPr>
        <w:t xml:space="preserve">all </w:t>
      </w:r>
      <w:r w:rsidR="00941AD5" w:rsidRPr="007321BC">
        <w:rPr>
          <w:rFonts w:asciiTheme="majorHAnsi" w:hAnsiTheme="majorHAnsi"/>
          <w:noProof/>
          <w:sz w:val="22"/>
          <w:szCs w:val="22"/>
        </w:rPr>
        <w:t xml:space="preserve">in relation </w:t>
      </w:r>
      <w:r w:rsidRPr="007321BC">
        <w:rPr>
          <w:rFonts w:asciiTheme="majorHAnsi" w:hAnsiTheme="majorHAnsi"/>
          <w:noProof/>
          <w:sz w:val="22"/>
          <w:szCs w:val="22"/>
        </w:rPr>
        <w:t>to</w:t>
      </w:r>
      <w:r w:rsidRPr="004B0E20">
        <w:rPr>
          <w:rFonts w:asciiTheme="majorHAnsi" w:hAnsiTheme="majorHAnsi"/>
          <w:sz w:val="22"/>
          <w:szCs w:val="22"/>
        </w:rPr>
        <w:t xml:space="preserve"> </w:t>
      </w:r>
      <w:r w:rsidR="00AD7161" w:rsidRPr="004B0E20">
        <w:rPr>
          <w:rFonts w:asciiTheme="majorHAnsi" w:hAnsiTheme="majorHAnsi"/>
          <w:sz w:val="22"/>
          <w:szCs w:val="22"/>
        </w:rPr>
        <w:t>Article</w:t>
      </w:r>
      <w:r w:rsidR="002E0F74" w:rsidRPr="004B0E20">
        <w:rPr>
          <w:rFonts w:asciiTheme="majorHAnsi" w:hAnsiTheme="majorHAnsi"/>
          <w:sz w:val="22"/>
          <w:szCs w:val="22"/>
        </w:rPr>
        <w:t xml:space="preserve">s 1.1 </w:t>
      </w:r>
      <w:r w:rsidR="00065A3F" w:rsidRPr="004B0E20">
        <w:rPr>
          <w:rFonts w:asciiTheme="majorHAnsi" w:hAnsiTheme="majorHAnsi"/>
          <w:sz w:val="22"/>
          <w:szCs w:val="22"/>
        </w:rPr>
        <w:t>and</w:t>
      </w:r>
      <w:r w:rsidR="002E0F74" w:rsidRPr="004B0E20">
        <w:rPr>
          <w:rFonts w:asciiTheme="majorHAnsi" w:hAnsiTheme="majorHAnsi"/>
          <w:sz w:val="22"/>
          <w:szCs w:val="22"/>
        </w:rPr>
        <w:t xml:space="preserve"> 2 </w:t>
      </w:r>
      <w:r w:rsidR="00065A3F" w:rsidRPr="004B0E20">
        <w:rPr>
          <w:rFonts w:asciiTheme="majorHAnsi" w:hAnsiTheme="majorHAnsi"/>
          <w:sz w:val="22"/>
          <w:szCs w:val="22"/>
        </w:rPr>
        <w:t>of the</w:t>
      </w:r>
      <w:r w:rsidR="002E0F74" w:rsidRPr="004B0E20">
        <w:rPr>
          <w:rFonts w:asciiTheme="majorHAnsi" w:hAnsiTheme="majorHAnsi"/>
          <w:sz w:val="22"/>
          <w:szCs w:val="22"/>
        </w:rPr>
        <w:t xml:space="preserve"> </w:t>
      </w:r>
      <w:r w:rsidR="00E729E2" w:rsidRPr="004B0E20">
        <w:rPr>
          <w:rFonts w:asciiTheme="majorHAnsi" w:hAnsiTheme="majorHAnsi"/>
          <w:sz w:val="22"/>
          <w:szCs w:val="22"/>
        </w:rPr>
        <w:t>American Convention</w:t>
      </w:r>
      <w:r w:rsidR="0022300D" w:rsidRPr="004B0E20">
        <w:rPr>
          <w:rFonts w:asciiTheme="majorHAnsi" w:hAnsiTheme="majorHAnsi"/>
          <w:sz w:val="22"/>
          <w:szCs w:val="22"/>
        </w:rPr>
        <w:t>;</w:t>
      </w:r>
    </w:p>
    <w:p w:rsidR="00722C9F" w:rsidRPr="004B0E20" w:rsidRDefault="002455C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rPr>
      </w:pPr>
      <w:r w:rsidRPr="004B0E20">
        <w:rPr>
          <w:rFonts w:asciiTheme="majorHAnsi" w:hAnsiTheme="majorHAnsi"/>
          <w:sz w:val="22"/>
          <w:szCs w:val="22"/>
        </w:rPr>
        <w:t xml:space="preserve">To notify the parties </w:t>
      </w:r>
      <w:r w:rsidR="00027555" w:rsidRPr="004B0E20">
        <w:rPr>
          <w:rFonts w:asciiTheme="majorHAnsi" w:hAnsiTheme="majorHAnsi"/>
          <w:sz w:val="22"/>
          <w:szCs w:val="22"/>
        </w:rPr>
        <w:t xml:space="preserve">of this </w:t>
      </w:r>
      <w:r w:rsidR="005B2DEB" w:rsidRPr="004B0E20">
        <w:rPr>
          <w:rFonts w:asciiTheme="majorHAnsi" w:hAnsiTheme="majorHAnsi"/>
          <w:sz w:val="22"/>
          <w:szCs w:val="22"/>
        </w:rPr>
        <w:t>decision</w:t>
      </w:r>
      <w:r w:rsidR="00A53003" w:rsidRPr="004B0E20">
        <w:rPr>
          <w:rFonts w:asciiTheme="majorHAnsi" w:hAnsiTheme="majorHAnsi"/>
          <w:sz w:val="22"/>
          <w:szCs w:val="22"/>
        </w:rPr>
        <w:t xml:space="preserve">; </w:t>
      </w:r>
      <w:r w:rsidR="00027555" w:rsidRPr="004B0E20">
        <w:rPr>
          <w:rFonts w:asciiTheme="majorHAnsi" w:hAnsiTheme="majorHAnsi"/>
          <w:sz w:val="22"/>
          <w:szCs w:val="22"/>
        </w:rPr>
        <w:t>to continue to examine the merits of the matter</w:t>
      </w:r>
      <w:r w:rsidR="007321BC">
        <w:rPr>
          <w:rFonts w:asciiTheme="majorHAnsi" w:hAnsiTheme="majorHAnsi"/>
          <w:noProof/>
          <w:sz w:val="22"/>
          <w:szCs w:val="22"/>
        </w:rPr>
        <w:t>,</w:t>
      </w:r>
      <w:r w:rsidR="00A53003" w:rsidRPr="007321BC">
        <w:rPr>
          <w:rFonts w:asciiTheme="majorHAnsi" w:hAnsiTheme="majorHAnsi"/>
          <w:noProof/>
          <w:sz w:val="22"/>
          <w:szCs w:val="22"/>
        </w:rPr>
        <w:t xml:space="preserve"> </w:t>
      </w:r>
      <w:r w:rsidR="00065A3F" w:rsidRPr="007321BC">
        <w:rPr>
          <w:rFonts w:asciiTheme="majorHAnsi" w:hAnsiTheme="majorHAnsi"/>
          <w:noProof/>
          <w:sz w:val="22"/>
          <w:szCs w:val="22"/>
        </w:rPr>
        <w:t>and</w:t>
      </w:r>
      <w:r w:rsidR="004A6A54" w:rsidRPr="004B0E20">
        <w:rPr>
          <w:rFonts w:asciiTheme="majorHAnsi" w:hAnsiTheme="majorHAnsi"/>
          <w:sz w:val="22"/>
          <w:szCs w:val="22"/>
        </w:rPr>
        <w:t xml:space="preserve"> </w:t>
      </w:r>
      <w:r w:rsidR="00027555" w:rsidRPr="004B0E20">
        <w:rPr>
          <w:rFonts w:asciiTheme="majorHAnsi" w:hAnsiTheme="majorHAnsi"/>
          <w:sz w:val="22"/>
          <w:szCs w:val="22"/>
        </w:rPr>
        <w:t xml:space="preserve">to publish this </w:t>
      </w:r>
      <w:r w:rsidR="005B2DEB" w:rsidRPr="004B0E20">
        <w:rPr>
          <w:rFonts w:asciiTheme="majorHAnsi" w:hAnsiTheme="majorHAnsi"/>
          <w:sz w:val="22"/>
          <w:szCs w:val="22"/>
        </w:rPr>
        <w:t>decision</w:t>
      </w:r>
      <w:r w:rsidR="007665A8" w:rsidRPr="004B0E20">
        <w:rPr>
          <w:rFonts w:asciiTheme="majorHAnsi" w:hAnsiTheme="majorHAnsi"/>
          <w:sz w:val="22"/>
          <w:szCs w:val="22"/>
        </w:rPr>
        <w:t xml:space="preserve"> </w:t>
      </w:r>
      <w:r w:rsidR="00065A3F" w:rsidRPr="004B0E20">
        <w:rPr>
          <w:rFonts w:asciiTheme="majorHAnsi" w:hAnsiTheme="majorHAnsi"/>
          <w:sz w:val="22"/>
          <w:szCs w:val="22"/>
        </w:rPr>
        <w:t>and</w:t>
      </w:r>
      <w:r w:rsidR="007665A8" w:rsidRPr="004B0E20">
        <w:rPr>
          <w:rFonts w:asciiTheme="majorHAnsi" w:hAnsiTheme="majorHAnsi"/>
          <w:sz w:val="22"/>
          <w:szCs w:val="22"/>
        </w:rPr>
        <w:t xml:space="preserve"> inclu</w:t>
      </w:r>
      <w:r w:rsidR="00027555" w:rsidRPr="004B0E20">
        <w:rPr>
          <w:rFonts w:asciiTheme="majorHAnsi" w:hAnsiTheme="majorHAnsi"/>
          <w:sz w:val="22"/>
          <w:szCs w:val="22"/>
        </w:rPr>
        <w:t>de it in its Annual Report to the General Assembly of the Organization of American States</w:t>
      </w:r>
      <w:r w:rsidR="00A53003" w:rsidRPr="004B0E20">
        <w:rPr>
          <w:rFonts w:asciiTheme="majorHAnsi" w:hAnsiTheme="majorHAnsi"/>
          <w:sz w:val="22"/>
          <w:szCs w:val="22"/>
        </w:rPr>
        <w:t xml:space="preserve">. </w:t>
      </w:r>
    </w:p>
    <w:p w:rsidR="00B11763" w:rsidRPr="005E4FF2" w:rsidRDefault="00B11763" w:rsidP="00B117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Pr>
          <w:rFonts w:asciiTheme="majorHAnsi" w:hAnsiTheme="majorHAnsi"/>
          <w:sz w:val="20"/>
          <w:szCs w:val="20"/>
        </w:rPr>
        <w:tab/>
      </w:r>
      <w:r w:rsidRPr="00342D45">
        <w:rPr>
          <w:rFonts w:asciiTheme="majorHAnsi" w:hAnsiTheme="majorHAnsi"/>
          <w:sz w:val="20"/>
          <w:szCs w:val="20"/>
        </w:rPr>
        <w:t xml:space="preserve">Approved by the Inter-American Commission on Human Rights on the </w:t>
      </w:r>
      <w:r>
        <w:rPr>
          <w:rFonts w:asciiTheme="majorHAnsi" w:hAnsiTheme="majorHAnsi"/>
          <w:sz w:val="20"/>
          <w:szCs w:val="20"/>
        </w:rPr>
        <w:t>31</w:t>
      </w:r>
      <w:r w:rsidRPr="00B11763">
        <w:rPr>
          <w:rFonts w:asciiTheme="majorHAnsi" w:hAnsiTheme="majorHAnsi"/>
          <w:sz w:val="20"/>
          <w:szCs w:val="20"/>
          <w:vertAlign w:val="superscript"/>
        </w:rPr>
        <w:t>st</w:t>
      </w:r>
      <w:r>
        <w:rPr>
          <w:rFonts w:asciiTheme="majorHAnsi" w:hAnsiTheme="majorHAnsi"/>
          <w:sz w:val="20"/>
          <w:szCs w:val="20"/>
        </w:rPr>
        <w:t xml:space="preserve"> </w:t>
      </w:r>
      <w:r w:rsidRPr="00342D45">
        <w:rPr>
          <w:rFonts w:asciiTheme="majorHAnsi" w:hAnsiTheme="majorHAnsi"/>
          <w:sz w:val="20"/>
          <w:szCs w:val="20"/>
        </w:rPr>
        <w:t>day of the month of March, 2019. (Signed):  Esmeralda E. Arosemena Bernal de Troitiño, President; Joel Hernández García, First Vice President; Antonia Urrejola, Second Vice President; Margarette May Macaulay, Francisco José Eguiguren Praeli,</w:t>
      </w:r>
      <w:r>
        <w:rPr>
          <w:rFonts w:asciiTheme="majorHAnsi" w:hAnsiTheme="majorHAnsi"/>
          <w:sz w:val="20"/>
          <w:szCs w:val="20"/>
        </w:rPr>
        <w:t xml:space="preserve"> and</w:t>
      </w:r>
      <w:r w:rsidRPr="00342D45">
        <w:rPr>
          <w:rFonts w:asciiTheme="majorHAnsi" w:hAnsiTheme="majorHAnsi"/>
          <w:sz w:val="20"/>
          <w:szCs w:val="20"/>
        </w:rPr>
        <w:t xml:space="preserve"> Luis Ernesto Vargas Silva, Commissioners.</w:t>
      </w:r>
    </w:p>
    <w:p w:rsidR="00941AD5" w:rsidRPr="008604D9" w:rsidRDefault="00941AD5" w:rsidP="00941A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rPr>
      </w:pPr>
    </w:p>
    <w:sectPr w:rsidR="00941AD5" w:rsidRPr="008604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36" w:rsidRDefault="00386536">
      <w:r>
        <w:separator/>
      </w:r>
    </w:p>
  </w:endnote>
  <w:endnote w:type="continuationSeparator" w:id="0">
    <w:p w:rsidR="00386536" w:rsidRDefault="0038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C6" w:rsidRDefault="004A3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6C434B" w:rsidRPr="00934A2C" w:rsidRDefault="009F50D1">
        <w:pPr>
          <w:pStyle w:val="Footer"/>
          <w:jc w:val="center"/>
          <w:rPr>
            <w:sz w:val="16"/>
            <w:szCs w:val="22"/>
          </w:rPr>
        </w:pPr>
        <w:r w:rsidRPr="00934A2C">
          <w:rPr>
            <w:sz w:val="16"/>
            <w:szCs w:val="22"/>
          </w:rPr>
          <w:fldChar w:fldCharType="begin"/>
        </w:r>
        <w:r w:rsidR="006C434B" w:rsidRPr="00934A2C">
          <w:rPr>
            <w:sz w:val="16"/>
            <w:szCs w:val="22"/>
          </w:rPr>
          <w:instrText xml:space="preserve"> PAGE   \* MERGEFORMAT </w:instrText>
        </w:r>
        <w:r w:rsidRPr="00934A2C">
          <w:rPr>
            <w:sz w:val="16"/>
            <w:szCs w:val="22"/>
          </w:rPr>
          <w:fldChar w:fldCharType="separate"/>
        </w:r>
        <w:r w:rsidR="00911BCF">
          <w:rPr>
            <w:noProof/>
            <w:sz w:val="16"/>
            <w:szCs w:val="22"/>
          </w:rPr>
          <w:t>1</w:t>
        </w:r>
        <w:r w:rsidRPr="00934A2C">
          <w:rPr>
            <w:noProof/>
            <w:sz w:val="16"/>
            <w:szCs w:val="22"/>
          </w:rPr>
          <w:fldChar w:fldCharType="end"/>
        </w:r>
      </w:p>
    </w:sdtContent>
  </w:sdt>
  <w:p w:rsidR="006C434B" w:rsidRDefault="006C4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4B" w:rsidRPr="00934A2C" w:rsidRDefault="006C434B">
    <w:pPr>
      <w:pStyle w:val="Footer"/>
      <w:jc w:val="center"/>
      <w:rPr>
        <w:sz w:val="16"/>
        <w:szCs w:val="22"/>
      </w:rPr>
    </w:pPr>
  </w:p>
  <w:p w:rsidR="006C434B" w:rsidRDefault="006C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36" w:rsidRPr="000F35ED" w:rsidRDefault="0038653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86536" w:rsidRPr="000F35ED" w:rsidRDefault="00386536" w:rsidP="000F35ED">
      <w:pPr>
        <w:rPr>
          <w:rFonts w:asciiTheme="majorHAnsi" w:hAnsiTheme="majorHAnsi"/>
          <w:sz w:val="16"/>
          <w:szCs w:val="16"/>
        </w:rPr>
      </w:pPr>
      <w:r w:rsidRPr="000F35ED">
        <w:rPr>
          <w:rFonts w:asciiTheme="majorHAnsi" w:hAnsiTheme="majorHAnsi"/>
          <w:sz w:val="16"/>
          <w:szCs w:val="16"/>
        </w:rPr>
        <w:separator/>
      </w:r>
    </w:p>
    <w:p w:rsidR="00386536" w:rsidRPr="000F35ED" w:rsidRDefault="00386536"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rsidR="00386536" w:rsidRPr="000F35ED" w:rsidRDefault="0038653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Other alleged victims: Fábio </w:t>
      </w:r>
      <w:r w:rsidR="00C70982" w:rsidRPr="008604D9">
        <w:rPr>
          <w:rFonts w:asciiTheme="majorHAnsi" w:hAnsiTheme="majorHAnsi"/>
          <w:color w:val="auto"/>
          <w:sz w:val="16"/>
          <w:szCs w:val="16"/>
        </w:rPr>
        <w:t>de</w:t>
      </w:r>
      <w:r w:rsidRPr="008604D9">
        <w:rPr>
          <w:rFonts w:asciiTheme="majorHAnsi" w:hAnsiTheme="majorHAnsi"/>
          <w:color w:val="auto"/>
          <w:sz w:val="16"/>
          <w:szCs w:val="16"/>
        </w:rPr>
        <w:t xml:space="preserve"> Lima Andrade, Israel Alves </w:t>
      </w:r>
      <w:r w:rsidR="00C70982" w:rsidRPr="008604D9">
        <w:rPr>
          <w:rFonts w:asciiTheme="majorHAnsi" w:hAnsiTheme="majorHAnsi"/>
          <w:color w:val="auto"/>
          <w:sz w:val="16"/>
          <w:szCs w:val="16"/>
        </w:rPr>
        <w:t>de</w:t>
      </w:r>
      <w:r w:rsidRPr="008604D9">
        <w:rPr>
          <w:rFonts w:asciiTheme="majorHAnsi" w:hAnsiTheme="majorHAnsi"/>
          <w:color w:val="auto"/>
          <w:sz w:val="16"/>
          <w:szCs w:val="16"/>
        </w:rPr>
        <w:t xml:space="preserve"> Souza, Eduardo Barbosa </w:t>
      </w:r>
      <w:r w:rsidR="00C70982" w:rsidRPr="008604D9">
        <w:rPr>
          <w:rFonts w:asciiTheme="majorHAnsi" w:hAnsiTheme="majorHAnsi"/>
          <w:color w:val="auto"/>
          <w:sz w:val="16"/>
          <w:szCs w:val="16"/>
        </w:rPr>
        <w:t>de</w:t>
      </w:r>
      <w:r w:rsidRPr="008604D9">
        <w:rPr>
          <w:rFonts w:asciiTheme="majorHAnsi" w:hAnsiTheme="majorHAnsi"/>
          <w:color w:val="auto"/>
          <w:sz w:val="16"/>
          <w:szCs w:val="16"/>
        </w:rPr>
        <w:t xml:space="preserve"> Andrade, and Fernando Elza.</w:t>
      </w:r>
    </w:p>
  </w:footnote>
  <w:footnote w:id="3">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As provided </w:t>
      </w:r>
      <w:r w:rsidR="00C70982" w:rsidRPr="008604D9">
        <w:rPr>
          <w:rFonts w:asciiTheme="majorHAnsi" w:hAnsiTheme="majorHAnsi"/>
          <w:color w:val="auto"/>
          <w:sz w:val="16"/>
          <w:szCs w:val="16"/>
        </w:rPr>
        <w:t>in</w:t>
      </w:r>
      <w:r w:rsidRPr="008604D9">
        <w:rPr>
          <w:rFonts w:asciiTheme="majorHAnsi" w:hAnsiTheme="majorHAnsi"/>
          <w:color w:val="auto"/>
          <w:sz w:val="16"/>
          <w:szCs w:val="16"/>
        </w:rPr>
        <w:t xml:space="preserve"> Article 17.2.</w:t>
      </w:r>
      <w:r w:rsidR="00C70982" w:rsidRPr="008604D9">
        <w:rPr>
          <w:rFonts w:asciiTheme="majorHAnsi" w:hAnsiTheme="majorHAnsi"/>
          <w:color w:val="auto"/>
          <w:sz w:val="16"/>
          <w:szCs w:val="16"/>
        </w:rPr>
        <w:t>a</w:t>
      </w:r>
      <w:r w:rsidRPr="008604D9">
        <w:rPr>
          <w:rFonts w:asciiTheme="majorHAnsi" w:hAnsiTheme="majorHAnsi"/>
          <w:color w:val="auto"/>
          <w:sz w:val="16"/>
          <w:szCs w:val="16"/>
        </w:rPr>
        <w:t xml:space="preserve"> of the Rules of Procedure of the Commission, IACHR member Flávia Piovesan, a Brazilian national, did not participate in the discussions or decision on this matter.</w:t>
      </w:r>
    </w:p>
  </w:footnote>
  <w:footnote w:id="4">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Hereinafter “American Convention” or “Convention”.</w:t>
      </w:r>
    </w:p>
  </w:footnote>
  <w:footnote w:id="5">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The observations of each party were duly conveyed to the other party.</w:t>
      </w:r>
    </w:p>
  </w:footnote>
  <w:footnote w:id="6">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Also known as federalization of serious crimes against human rights.</w:t>
      </w:r>
    </w:p>
  </w:footnote>
  <w:footnote w:id="7">
    <w:p w:rsidR="006C434B" w:rsidRPr="008604D9" w:rsidRDefault="006C434B" w:rsidP="008604D9">
      <w:pPr>
        <w:pStyle w:val="FootnoteText"/>
        <w:ind w:firstLine="720"/>
        <w:jc w:val="both"/>
        <w:rPr>
          <w:rFonts w:asciiTheme="majorHAnsi" w:hAnsiTheme="majorHAnsi"/>
          <w:color w:val="auto"/>
          <w:sz w:val="16"/>
          <w:szCs w:val="16"/>
        </w:rPr>
      </w:pP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IACHR, Report No. 14/08, Petition 652-04. Admissibility. Hugo Humberto Ruiz Fuentes. Guatemala. </w:t>
      </w:r>
      <w:r w:rsidR="00C70982" w:rsidRPr="008604D9">
        <w:rPr>
          <w:rFonts w:asciiTheme="majorHAnsi" w:hAnsiTheme="majorHAnsi"/>
          <w:color w:val="auto"/>
          <w:sz w:val="16"/>
          <w:szCs w:val="16"/>
        </w:rPr>
        <w:t xml:space="preserve"> </w:t>
      </w:r>
      <w:r w:rsidRPr="008604D9">
        <w:rPr>
          <w:rFonts w:asciiTheme="majorHAnsi" w:hAnsiTheme="majorHAnsi"/>
          <w:color w:val="auto"/>
          <w:sz w:val="16"/>
          <w:szCs w:val="16"/>
        </w:rPr>
        <w:t>March 5, 2008, para. 68.</w:t>
      </w:r>
    </w:p>
  </w:footnote>
  <w:footnote w:id="8">
    <w:p w:rsidR="006C434B" w:rsidRPr="008604D9" w:rsidRDefault="006C434B" w:rsidP="008604D9">
      <w:pPr>
        <w:pStyle w:val="FootnoteText"/>
        <w:jc w:val="both"/>
        <w:rPr>
          <w:rFonts w:asciiTheme="majorHAnsi" w:hAnsiTheme="majorHAnsi"/>
          <w:color w:val="auto"/>
          <w:sz w:val="16"/>
          <w:szCs w:val="16"/>
          <w:lang w:val="pt-PT"/>
        </w:rPr>
      </w:pPr>
      <w:r w:rsidRPr="008604D9">
        <w:rPr>
          <w:rFonts w:asciiTheme="majorHAnsi" w:hAnsiTheme="majorHAnsi"/>
          <w:color w:val="auto"/>
          <w:sz w:val="16"/>
          <w:szCs w:val="16"/>
        </w:rPr>
        <w:tab/>
      </w:r>
      <w:r w:rsidRPr="008604D9">
        <w:rPr>
          <w:rStyle w:val="FootnoteReference"/>
          <w:rFonts w:asciiTheme="majorHAnsi" w:hAnsiTheme="majorHAnsi"/>
          <w:color w:val="auto"/>
          <w:sz w:val="16"/>
          <w:szCs w:val="16"/>
        </w:rPr>
        <w:footnoteRef/>
      </w:r>
      <w:r w:rsidRPr="008604D9">
        <w:rPr>
          <w:rFonts w:asciiTheme="majorHAnsi" w:hAnsiTheme="majorHAnsi"/>
          <w:color w:val="auto"/>
          <w:sz w:val="16"/>
          <w:szCs w:val="16"/>
        </w:rPr>
        <w:t xml:space="preserve"> IACHR, Report No. 78/16, Petition 1170-09. Admissibility. </w:t>
      </w:r>
      <w:r w:rsidRPr="002D0A96">
        <w:rPr>
          <w:rFonts w:asciiTheme="majorHAnsi" w:hAnsiTheme="majorHAnsi"/>
          <w:color w:val="auto"/>
          <w:sz w:val="16"/>
          <w:szCs w:val="16"/>
          <w:lang w:val="pt-BR"/>
        </w:rPr>
        <w:t xml:space="preserve">Almir Muniz da Silva. Brazil.  </w:t>
      </w:r>
      <w:r w:rsidRPr="008604D9">
        <w:rPr>
          <w:rFonts w:asciiTheme="majorHAnsi" w:hAnsiTheme="majorHAnsi"/>
          <w:color w:val="auto"/>
          <w:sz w:val="16"/>
          <w:szCs w:val="16"/>
        </w:rPr>
        <w:t>December 30, 2016,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4B" w:rsidRDefault="009F50D1" w:rsidP="00065A3F">
    <w:pPr>
      <w:pStyle w:val="Header"/>
      <w:framePr w:wrap="around" w:vAnchor="text" w:hAnchor="margin" w:xAlign="center" w:y="1"/>
      <w:rPr>
        <w:rStyle w:val="PageNumber"/>
        <w:rFonts w:eastAsia="Trebuchet MS"/>
      </w:rPr>
    </w:pPr>
    <w:r>
      <w:rPr>
        <w:rStyle w:val="PageNumber"/>
        <w:rFonts w:eastAsia="Trebuchet MS"/>
      </w:rPr>
      <w:fldChar w:fldCharType="begin"/>
    </w:r>
    <w:r w:rsidR="006C434B">
      <w:rPr>
        <w:rStyle w:val="PageNumber"/>
        <w:rFonts w:eastAsia="Trebuchet MS"/>
      </w:rPr>
      <w:instrText xml:space="preserve">PAGE  </w:instrText>
    </w:r>
    <w:r>
      <w:rPr>
        <w:rStyle w:val="PageNumber"/>
        <w:rFonts w:eastAsia="Trebuchet MS"/>
      </w:rPr>
      <w:fldChar w:fldCharType="end"/>
    </w:r>
  </w:p>
  <w:p w:rsidR="006C434B" w:rsidRDefault="006C4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4B" w:rsidRDefault="006C434B" w:rsidP="00A50FCF">
    <w:pPr>
      <w:pStyle w:val="Header"/>
      <w:tabs>
        <w:tab w:val="clear" w:pos="4320"/>
        <w:tab w:val="clear" w:pos="8640"/>
      </w:tabs>
      <w:jc w:val="center"/>
      <w:rPr>
        <w:sz w:val="22"/>
        <w:szCs w:val="22"/>
      </w:rPr>
    </w:pPr>
    <w:r>
      <w:rPr>
        <w:noProof/>
        <w:sz w:val="22"/>
        <w:szCs w:val="22"/>
      </w:rPr>
      <w:drawing>
        <wp:inline distT="0" distB="0" distL="0" distR="0" wp14:anchorId="505BE714" wp14:editId="70BCBDCF">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rsidR="006C434B" w:rsidRPr="00EC7D62" w:rsidRDefault="0038653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C6" w:rsidRDefault="004A3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o:colormru v:ext="edit" colors="#67ae3c"/>
    </o:shapedefaults>
  </w:hdrShapeDefaults>
  <w:footnotePr>
    <w:footnote w:id="-1"/>
    <w:footnote w:id="0"/>
    <w:footnote w:id="1"/>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3CF"/>
    <w:rsid w:val="00000CDA"/>
    <w:rsid w:val="000048CD"/>
    <w:rsid w:val="00005EAF"/>
    <w:rsid w:val="00006D73"/>
    <w:rsid w:val="00006E1F"/>
    <w:rsid w:val="000070D7"/>
    <w:rsid w:val="00007570"/>
    <w:rsid w:val="00010DC0"/>
    <w:rsid w:val="00013A8E"/>
    <w:rsid w:val="0001788C"/>
    <w:rsid w:val="00027555"/>
    <w:rsid w:val="000337EF"/>
    <w:rsid w:val="000369D6"/>
    <w:rsid w:val="00040C3A"/>
    <w:rsid w:val="000419AD"/>
    <w:rsid w:val="000433C9"/>
    <w:rsid w:val="0006019A"/>
    <w:rsid w:val="00065A3F"/>
    <w:rsid w:val="000716C5"/>
    <w:rsid w:val="00075E23"/>
    <w:rsid w:val="0008301F"/>
    <w:rsid w:val="0009344A"/>
    <w:rsid w:val="000A392E"/>
    <w:rsid w:val="000A575F"/>
    <w:rsid w:val="000C1DE0"/>
    <w:rsid w:val="000D0A59"/>
    <w:rsid w:val="000D10DB"/>
    <w:rsid w:val="000E5EB5"/>
    <w:rsid w:val="000F1361"/>
    <w:rsid w:val="000F35ED"/>
    <w:rsid w:val="000F3BC6"/>
    <w:rsid w:val="00100EE6"/>
    <w:rsid w:val="001029B7"/>
    <w:rsid w:val="0010462A"/>
    <w:rsid w:val="00107131"/>
    <w:rsid w:val="0010736F"/>
    <w:rsid w:val="00113F73"/>
    <w:rsid w:val="001162E2"/>
    <w:rsid w:val="00121CC2"/>
    <w:rsid w:val="00126384"/>
    <w:rsid w:val="001301C0"/>
    <w:rsid w:val="00133EE5"/>
    <w:rsid w:val="00134767"/>
    <w:rsid w:val="00144ADB"/>
    <w:rsid w:val="00167A34"/>
    <w:rsid w:val="001A31B4"/>
    <w:rsid w:val="001A3200"/>
    <w:rsid w:val="001A32FB"/>
    <w:rsid w:val="001A7870"/>
    <w:rsid w:val="001B3A00"/>
    <w:rsid w:val="001B7013"/>
    <w:rsid w:val="001C1B41"/>
    <w:rsid w:val="001D2651"/>
    <w:rsid w:val="001D2676"/>
    <w:rsid w:val="001D65EF"/>
    <w:rsid w:val="001E4912"/>
    <w:rsid w:val="001E49E7"/>
    <w:rsid w:val="001F258D"/>
    <w:rsid w:val="001F7201"/>
    <w:rsid w:val="0022300D"/>
    <w:rsid w:val="00223A29"/>
    <w:rsid w:val="002250A3"/>
    <w:rsid w:val="0022736D"/>
    <w:rsid w:val="00234C00"/>
    <w:rsid w:val="00235217"/>
    <w:rsid w:val="002455C3"/>
    <w:rsid w:val="00246D1F"/>
    <w:rsid w:val="00247403"/>
    <w:rsid w:val="00247542"/>
    <w:rsid w:val="00266B61"/>
    <w:rsid w:val="0026712A"/>
    <w:rsid w:val="00267BCE"/>
    <w:rsid w:val="002704DB"/>
    <w:rsid w:val="00283151"/>
    <w:rsid w:val="00286A9F"/>
    <w:rsid w:val="002A0AAE"/>
    <w:rsid w:val="002A5820"/>
    <w:rsid w:val="002D0A96"/>
    <w:rsid w:val="002D2B26"/>
    <w:rsid w:val="002D7EA2"/>
    <w:rsid w:val="002E0F74"/>
    <w:rsid w:val="002E187C"/>
    <w:rsid w:val="00302733"/>
    <w:rsid w:val="00314078"/>
    <w:rsid w:val="0031535D"/>
    <w:rsid w:val="003239B8"/>
    <w:rsid w:val="00331659"/>
    <w:rsid w:val="0033169F"/>
    <w:rsid w:val="00344977"/>
    <w:rsid w:val="00346C95"/>
    <w:rsid w:val="00356185"/>
    <w:rsid w:val="00360380"/>
    <w:rsid w:val="00372CDB"/>
    <w:rsid w:val="0037519E"/>
    <w:rsid w:val="00386413"/>
    <w:rsid w:val="00386536"/>
    <w:rsid w:val="00386CF0"/>
    <w:rsid w:val="0038709A"/>
    <w:rsid w:val="0039480A"/>
    <w:rsid w:val="003B210C"/>
    <w:rsid w:val="003B70FB"/>
    <w:rsid w:val="003C676B"/>
    <w:rsid w:val="003C67FE"/>
    <w:rsid w:val="003C72B4"/>
    <w:rsid w:val="003D2682"/>
    <w:rsid w:val="003D3BC2"/>
    <w:rsid w:val="003E6CA1"/>
    <w:rsid w:val="003F301E"/>
    <w:rsid w:val="00405BE6"/>
    <w:rsid w:val="004065A8"/>
    <w:rsid w:val="00415BE7"/>
    <w:rsid w:val="004165C2"/>
    <w:rsid w:val="004238FD"/>
    <w:rsid w:val="0043208E"/>
    <w:rsid w:val="00441ECB"/>
    <w:rsid w:val="00445193"/>
    <w:rsid w:val="00462C1B"/>
    <w:rsid w:val="00465D9C"/>
    <w:rsid w:val="00467B7E"/>
    <w:rsid w:val="00473BB4"/>
    <w:rsid w:val="00477592"/>
    <w:rsid w:val="004812AC"/>
    <w:rsid w:val="00486F1C"/>
    <w:rsid w:val="0049002E"/>
    <w:rsid w:val="00490469"/>
    <w:rsid w:val="00493E4C"/>
    <w:rsid w:val="0049419D"/>
    <w:rsid w:val="004A2321"/>
    <w:rsid w:val="004A31C6"/>
    <w:rsid w:val="004A6A54"/>
    <w:rsid w:val="004B0E20"/>
    <w:rsid w:val="004B59FF"/>
    <w:rsid w:val="004C20D2"/>
    <w:rsid w:val="004C2312"/>
    <w:rsid w:val="004C4B62"/>
    <w:rsid w:val="004C54C9"/>
    <w:rsid w:val="004D4ABA"/>
    <w:rsid w:val="004D6025"/>
    <w:rsid w:val="004E204F"/>
    <w:rsid w:val="004E2649"/>
    <w:rsid w:val="004F2EA5"/>
    <w:rsid w:val="004F5D21"/>
    <w:rsid w:val="00501399"/>
    <w:rsid w:val="0050633D"/>
    <w:rsid w:val="00507BC4"/>
    <w:rsid w:val="005128E4"/>
    <w:rsid w:val="005133DB"/>
    <w:rsid w:val="00516957"/>
    <w:rsid w:val="00521CE9"/>
    <w:rsid w:val="00525560"/>
    <w:rsid w:val="00544C49"/>
    <w:rsid w:val="00547C53"/>
    <w:rsid w:val="005516A1"/>
    <w:rsid w:val="00563557"/>
    <w:rsid w:val="0057402A"/>
    <w:rsid w:val="005771D0"/>
    <w:rsid w:val="0058480B"/>
    <w:rsid w:val="0059191A"/>
    <w:rsid w:val="005921FF"/>
    <w:rsid w:val="00594645"/>
    <w:rsid w:val="005A24ED"/>
    <w:rsid w:val="005A6D0E"/>
    <w:rsid w:val="005B1B8A"/>
    <w:rsid w:val="005B2DEB"/>
    <w:rsid w:val="005B52B0"/>
    <w:rsid w:val="005B6806"/>
    <w:rsid w:val="005C4225"/>
    <w:rsid w:val="005C51A7"/>
    <w:rsid w:val="005C72E3"/>
    <w:rsid w:val="005D3D70"/>
    <w:rsid w:val="005F0DAD"/>
    <w:rsid w:val="005F0F33"/>
    <w:rsid w:val="005F1C27"/>
    <w:rsid w:val="00600DEB"/>
    <w:rsid w:val="0060137D"/>
    <w:rsid w:val="00627C9F"/>
    <w:rsid w:val="006311E9"/>
    <w:rsid w:val="00632354"/>
    <w:rsid w:val="00632AEB"/>
    <w:rsid w:val="00633D18"/>
    <w:rsid w:val="0064068C"/>
    <w:rsid w:val="00642810"/>
    <w:rsid w:val="00642B5D"/>
    <w:rsid w:val="00652333"/>
    <w:rsid w:val="0066484A"/>
    <w:rsid w:val="006772F5"/>
    <w:rsid w:val="0068009E"/>
    <w:rsid w:val="00692219"/>
    <w:rsid w:val="006A17D2"/>
    <w:rsid w:val="006A20E7"/>
    <w:rsid w:val="006A73E6"/>
    <w:rsid w:val="006B2D5C"/>
    <w:rsid w:val="006B5EE6"/>
    <w:rsid w:val="006C0375"/>
    <w:rsid w:val="006C0A0D"/>
    <w:rsid w:val="006C434B"/>
    <w:rsid w:val="006C4EB1"/>
    <w:rsid w:val="006E0166"/>
    <w:rsid w:val="006E7B34"/>
    <w:rsid w:val="0070697F"/>
    <w:rsid w:val="00712B8A"/>
    <w:rsid w:val="0072199C"/>
    <w:rsid w:val="00722C9F"/>
    <w:rsid w:val="007253B8"/>
    <w:rsid w:val="007321BC"/>
    <w:rsid w:val="0073741F"/>
    <w:rsid w:val="007374EE"/>
    <w:rsid w:val="0076643F"/>
    <w:rsid w:val="007665A8"/>
    <w:rsid w:val="00777F63"/>
    <w:rsid w:val="007844BB"/>
    <w:rsid w:val="00785370"/>
    <w:rsid w:val="00787FC9"/>
    <w:rsid w:val="007A0F84"/>
    <w:rsid w:val="007A5817"/>
    <w:rsid w:val="007B05C4"/>
    <w:rsid w:val="007B515C"/>
    <w:rsid w:val="007B60E9"/>
    <w:rsid w:val="007B6CC3"/>
    <w:rsid w:val="007B76D3"/>
    <w:rsid w:val="007C1AD0"/>
    <w:rsid w:val="007C3334"/>
    <w:rsid w:val="007C68C8"/>
    <w:rsid w:val="007D1AFC"/>
    <w:rsid w:val="007D2B98"/>
    <w:rsid w:val="007E21BC"/>
    <w:rsid w:val="007E7C82"/>
    <w:rsid w:val="007F380E"/>
    <w:rsid w:val="007F588D"/>
    <w:rsid w:val="00803F1C"/>
    <w:rsid w:val="0080600E"/>
    <w:rsid w:val="00816FE1"/>
    <w:rsid w:val="00817612"/>
    <w:rsid w:val="008338A4"/>
    <w:rsid w:val="00834D49"/>
    <w:rsid w:val="00837C45"/>
    <w:rsid w:val="00844730"/>
    <w:rsid w:val="008457C2"/>
    <w:rsid w:val="00854FAD"/>
    <w:rsid w:val="00857A82"/>
    <w:rsid w:val="008604D9"/>
    <w:rsid w:val="0086358B"/>
    <w:rsid w:val="008669BF"/>
    <w:rsid w:val="00872776"/>
    <w:rsid w:val="00873836"/>
    <w:rsid w:val="008833FF"/>
    <w:rsid w:val="00885737"/>
    <w:rsid w:val="00890650"/>
    <w:rsid w:val="00890DB9"/>
    <w:rsid w:val="00897E12"/>
    <w:rsid w:val="008A2328"/>
    <w:rsid w:val="008A7E0F"/>
    <w:rsid w:val="008B12F5"/>
    <w:rsid w:val="008D768D"/>
    <w:rsid w:val="008E3759"/>
    <w:rsid w:val="008E3BFE"/>
    <w:rsid w:val="008F1912"/>
    <w:rsid w:val="0090270B"/>
    <w:rsid w:val="009041DC"/>
    <w:rsid w:val="00906A95"/>
    <w:rsid w:val="00911BCF"/>
    <w:rsid w:val="00917B5A"/>
    <w:rsid w:val="00920A58"/>
    <w:rsid w:val="00920A8C"/>
    <w:rsid w:val="00932FE5"/>
    <w:rsid w:val="00934A2C"/>
    <w:rsid w:val="00941AD5"/>
    <w:rsid w:val="00953D29"/>
    <w:rsid w:val="00964EBA"/>
    <w:rsid w:val="0096706E"/>
    <w:rsid w:val="009702C9"/>
    <w:rsid w:val="0097360F"/>
    <w:rsid w:val="00974491"/>
    <w:rsid w:val="00975C4E"/>
    <w:rsid w:val="00975F59"/>
    <w:rsid w:val="00981FBA"/>
    <w:rsid w:val="00997BC5"/>
    <w:rsid w:val="009A4F41"/>
    <w:rsid w:val="009A76B5"/>
    <w:rsid w:val="009B381B"/>
    <w:rsid w:val="009C4B44"/>
    <w:rsid w:val="009C73C2"/>
    <w:rsid w:val="009D1753"/>
    <w:rsid w:val="009D7611"/>
    <w:rsid w:val="009E0B61"/>
    <w:rsid w:val="009E53DE"/>
    <w:rsid w:val="009F50D1"/>
    <w:rsid w:val="00A11212"/>
    <w:rsid w:val="00A11E44"/>
    <w:rsid w:val="00A16564"/>
    <w:rsid w:val="00A328B3"/>
    <w:rsid w:val="00A34EB4"/>
    <w:rsid w:val="00A37F2E"/>
    <w:rsid w:val="00A4100B"/>
    <w:rsid w:val="00A42DF1"/>
    <w:rsid w:val="00A44F0C"/>
    <w:rsid w:val="00A50FCF"/>
    <w:rsid w:val="00A528D1"/>
    <w:rsid w:val="00A53003"/>
    <w:rsid w:val="00A610CD"/>
    <w:rsid w:val="00A70C68"/>
    <w:rsid w:val="00A7502D"/>
    <w:rsid w:val="00A758AA"/>
    <w:rsid w:val="00A75CC3"/>
    <w:rsid w:val="00A82C2F"/>
    <w:rsid w:val="00A87666"/>
    <w:rsid w:val="00AA09A2"/>
    <w:rsid w:val="00AA7996"/>
    <w:rsid w:val="00AB47B1"/>
    <w:rsid w:val="00AC0E8D"/>
    <w:rsid w:val="00AC19CB"/>
    <w:rsid w:val="00AD7161"/>
    <w:rsid w:val="00AE1A14"/>
    <w:rsid w:val="00AE5488"/>
    <w:rsid w:val="00AE6F91"/>
    <w:rsid w:val="00AE70AD"/>
    <w:rsid w:val="00AF1A6A"/>
    <w:rsid w:val="00AF5571"/>
    <w:rsid w:val="00B07341"/>
    <w:rsid w:val="00B11763"/>
    <w:rsid w:val="00B20D5C"/>
    <w:rsid w:val="00B30539"/>
    <w:rsid w:val="00B314DB"/>
    <w:rsid w:val="00B361F2"/>
    <w:rsid w:val="00B3718B"/>
    <w:rsid w:val="00B4632A"/>
    <w:rsid w:val="00B51266"/>
    <w:rsid w:val="00B530F1"/>
    <w:rsid w:val="00B86B39"/>
    <w:rsid w:val="00BA1A75"/>
    <w:rsid w:val="00BA276C"/>
    <w:rsid w:val="00BB306F"/>
    <w:rsid w:val="00BB3F88"/>
    <w:rsid w:val="00BB4D6E"/>
    <w:rsid w:val="00BC5AB3"/>
    <w:rsid w:val="00BC781B"/>
    <w:rsid w:val="00BD4B89"/>
    <w:rsid w:val="00BD5922"/>
    <w:rsid w:val="00BD60FD"/>
    <w:rsid w:val="00BF02CB"/>
    <w:rsid w:val="00BF6FD8"/>
    <w:rsid w:val="00C00579"/>
    <w:rsid w:val="00C009C9"/>
    <w:rsid w:val="00C03680"/>
    <w:rsid w:val="00C054DF"/>
    <w:rsid w:val="00C20521"/>
    <w:rsid w:val="00C21762"/>
    <w:rsid w:val="00C21FEF"/>
    <w:rsid w:val="00C24543"/>
    <w:rsid w:val="00C256A2"/>
    <w:rsid w:val="00C34D87"/>
    <w:rsid w:val="00C45E8C"/>
    <w:rsid w:val="00C51515"/>
    <w:rsid w:val="00C51B82"/>
    <w:rsid w:val="00C5660B"/>
    <w:rsid w:val="00C6029C"/>
    <w:rsid w:val="00C61B99"/>
    <w:rsid w:val="00C66B72"/>
    <w:rsid w:val="00C70982"/>
    <w:rsid w:val="00C714B3"/>
    <w:rsid w:val="00C726C3"/>
    <w:rsid w:val="00C87AC4"/>
    <w:rsid w:val="00C9567A"/>
    <w:rsid w:val="00CB212D"/>
    <w:rsid w:val="00CB2660"/>
    <w:rsid w:val="00CC5E90"/>
    <w:rsid w:val="00CD046C"/>
    <w:rsid w:val="00CE076C"/>
    <w:rsid w:val="00CE5199"/>
    <w:rsid w:val="00CE66D5"/>
    <w:rsid w:val="00CF637A"/>
    <w:rsid w:val="00CF6BA4"/>
    <w:rsid w:val="00D059DE"/>
    <w:rsid w:val="00D05ABD"/>
    <w:rsid w:val="00D1099E"/>
    <w:rsid w:val="00D13FCE"/>
    <w:rsid w:val="00D21316"/>
    <w:rsid w:val="00D30266"/>
    <w:rsid w:val="00D306D1"/>
    <w:rsid w:val="00D30800"/>
    <w:rsid w:val="00D34786"/>
    <w:rsid w:val="00D358AF"/>
    <w:rsid w:val="00D37BFC"/>
    <w:rsid w:val="00D47A8E"/>
    <w:rsid w:val="00D52D14"/>
    <w:rsid w:val="00D55E6A"/>
    <w:rsid w:val="00D712D3"/>
    <w:rsid w:val="00D71422"/>
    <w:rsid w:val="00D72DC6"/>
    <w:rsid w:val="00D7558D"/>
    <w:rsid w:val="00D81D92"/>
    <w:rsid w:val="00D876F9"/>
    <w:rsid w:val="00D97F94"/>
    <w:rsid w:val="00DA2224"/>
    <w:rsid w:val="00DA7B5F"/>
    <w:rsid w:val="00DB0829"/>
    <w:rsid w:val="00DC11E7"/>
    <w:rsid w:val="00DC7023"/>
    <w:rsid w:val="00DC769A"/>
    <w:rsid w:val="00DD2D2E"/>
    <w:rsid w:val="00DD3D86"/>
    <w:rsid w:val="00DD4AD2"/>
    <w:rsid w:val="00DE39EB"/>
    <w:rsid w:val="00DF1EC4"/>
    <w:rsid w:val="00DF20E7"/>
    <w:rsid w:val="00DF2D01"/>
    <w:rsid w:val="00DF7360"/>
    <w:rsid w:val="00E0340B"/>
    <w:rsid w:val="00E04A90"/>
    <w:rsid w:val="00E0551F"/>
    <w:rsid w:val="00E20385"/>
    <w:rsid w:val="00E219C7"/>
    <w:rsid w:val="00E3586E"/>
    <w:rsid w:val="00E4118C"/>
    <w:rsid w:val="00E43157"/>
    <w:rsid w:val="00E461CE"/>
    <w:rsid w:val="00E46FA7"/>
    <w:rsid w:val="00E50B21"/>
    <w:rsid w:val="00E52D11"/>
    <w:rsid w:val="00E63398"/>
    <w:rsid w:val="00E720CA"/>
    <w:rsid w:val="00E729E2"/>
    <w:rsid w:val="00E8022C"/>
    <w:rsid w:val="00E84DBA"/>
    <w:rsid w:val="00E84EB5"/>
    <w:rsid w:val="00E85662"/>
    <w:rsid w:val="00E8789F"/>
    <w:rsid w:val="00E92D95"/>
    <w:rsid w:val="00E97B71"/>
    <w:rsid w:val="00EA30AA"/>
    <w:rsid w:val="00EA3D34"/>
    <w:rsid w:val="00EB1A2F"/>
    <w:rsid w:val="00EB454D"/>
    <w:rsid w:val="00EC6097"/>
    <w:rsid w:val="00ED549D"/>
    <w:rsid w:val="00ED76BE"/>
    <w:rsid w:val="00EE00E9"/>
    <w:rsid w:val="00EF4915"/>
    <w:rsid w:val="00EF50BF"/>
    <w:rsid w:val="00EF619B"/>
    <w:rsid w:val="00F00B55"/>
    <w:rsid w:val="00F02AD1"/>
    <w:rsid w:val="00F253CC"/>
    <w:rsid w:val="00F36B65"/>
    <w:rsid w:val="00F37106"/>
    <w:rsid w:val="00F46366"/>
    <w:rsid w:val="00F511F8"/>
    <w:rsid w:val="00F519CF"/>
    <w:rsid w:val="00F55ED9"/>
    <w:rsid w:val="00F56BA5"/>
    <w:rsid w:val="00F60E22"/>
    <w:rsid w:val="00F81395"/>
    <w:rsid w:val="00F81BB8"/>
    <w:rsid w:val="00F917D1"/>
    <w:rsid w:val="00F92D3F"/>
    <w:rsid w:val="00F9653B"/>
    <w:rsid w:val="00FA1E60"/>
    <w:rsid w:val="00FA28AC"/>
    <w:rsid w:val="00FA7765"/>
    <w:rsid w:val="00FB62CF"/>
    <w:rsid w:val="00FC3B7D"/>
    <w:rsid w:val="00FC5D49"/>
    <w:rsid w:val="00FD3C3B"/>
    <w:rsid w:val="00FD77C8"/>
    <w:rsid w:val="00FE07DD"/>
    <w:rsid w:val="00FE6B45"/>
    <w:rsid w:val="00FF371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67ae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C5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7C53"/>
    <w:rPr>
      <w:u w:val="single"/>
    </w:rPr>
  </w:style>
  <w:style w:type="paragraph" w:customStyle="1" w:styleId="Cabeceraypie">
    <w:name w:val="Cabecera y pie"/>
    <w:rsid w:val="00547C5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547C5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547C53"/>
    <w:rPr>
      <w:rFonts w:ascii="Cambria" w:eastAsia="Cambria" w:hAnsi="Cambria" w:cs="Cambria"/>
      <w:color w:val="000000"/>
      <w:sz w:val="24"/>
      <w:szCs w:val="24"/>
      <w:u w:color="000000"/>
    </w:rPr>
  </w:style>
  <w:style w:type="paragraph" w:styleId="BodyTextIndent">
    <w:name w:val="Body Text Indent"/>
    <w:rsid w:val="00547C53"/>
    <w:pPr>
      <w:ind w:left="2160" w:hanging="720"/>
    </w:pPr>
    <w:rPr>
      <w:rFonts w:eastAsia="Times New Roman"/>
      <w:color w:val="000000"/>
      <w:sz w:val="24"/>
      <w:szCs w:val="24"/>
      <w:u w:color="000000"/>
      <w:lang w:val="es-ES_tradnl"/>
    </w:rPr>
  </w:style>
  <w:style w:type="paragraph" w:styleId="ListParagraph">
    <w:name w:val="List Paragraph"/>
    <w:uiPriority w:val="34"/>
    <w:qFormat/>
    <w:rsid w:val="00547C5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547C53"/>
    <w:pPr>
      <w:numPr>
        <w:numId w:val="74"/>
      </w:numPr>
    </w:pPr>
  </w:style>
  <w:style w:type="numbering" w:customStyle="1" w:styleId="Estiloimportado1">
    <w:name w:val="Estilo importado 1"/>
    <w:rsid w:val="00547C53"/>
  </w:style>
  <w:style w:type="numbering" w:customStyle="1" w:styleId="List1">
    <w:name w:val="List 1"/>
    <w:basedOn w:val="Estiloimportado2"/>
    <w:rsid w:val="00547C53"/>
    <w:pPr>
      <w:numPr>
        <w:numId w:val="2"/>
      </w:numPr>
    </w:pPr>
  </w:style>
  <w:style w:type="numbering" w:customStyle="1" w:styleId="Estiloimportado2">
    <w:name w:val="Estilo importado 2"/>
    <w:rsid w:val="00547C53"/>
  </w:style>
  <w:style w:type="numbering" w:customStyle="1" w:styleId="List210">
    <w:name w:val="List 21"/>
    <w:basedOn w:val="Estiloimportado3"/>
    <w:rsid w:val="00547C53"/>
    <w:pPr>
      <w:numPr>
        <w:numId w:val="95"/>
      </w:numPr>
    </w:pPr>
  </w:style>
  <w:style w:type="numbering" w:customStyle="1" w:styleId="Estiloimportado3">
    <w:name w:val="Estilo importado 3"/>
    <w:rsid w:val="00547C53"/>
  </w:style>
  <w:style w:type="numbering" w:customStyle="1" w:styleId="List31">
    <w:name w:val="List 31"/>
    <w:basedOn w:val="Estiloimportado4"/>
    <w:rsid w:val="00547C53"/>
    <w:pPr>
      <w:numPr>
        <w:numId w:val="94"/>
      </w:numPr>
    </w:pPr>
  </w:style>
  <w:style w:type="numbering" w:customStyle="1" w:styleId="Estiloimportado4">
    <w:name w:val="Estilo importado 4"/>
    <w:rsid w:val="00547C53"/>
  </w:style>
  <w:style w:type="numbering" w:customStyle="1" w:styleId="List41">
    <w:name w:val="List 41"/>
    <w:basedOn w:val="Estiloimportado5"/>
    <w:rsid w:val="00547C53"/>
    <w:pPr>
      <w:numPr>
        <w:numId w:val="5"/>
      </w:numPr>
    </w:pPr>
  </w:style>
  <w:style w:type="numbering" w:customStyle="1" w:styleId="Estiloimportado5">
    <w:name w:val="Estilo importado 5"/>
    <w:rsid w:val="00547C53"/>
  </w:style>
  <w:style w:type="numbering" w:customStyle="1" w:styleId="List510">
    <w:name w:val="List 51"/>
    <w:basedOn w:val="Estiloimportado6"/>
    <w:rsid w:val="00547C53"/>
    <w:pPr>
      <w:numPr>
        <w:numId w:val="98"/>
      </w:numPr>
    </w:pPr>
  </w:style>
  <w:style w:type="numbering" w:customStyle="1" w:styleId="Estiloimportado6">
    <w:name w:val="Estilo importado 6"/>
    <w:rsid w:val="00547C53"/>
  </w:style>
  <w:style w:type="numbering" w:customStyle="1" w:styleId="List6">
    <w:name w:val="List 6"/>
    <w:basedOn w:val="Estiloimportado7"/>
    <w:rsid w:val="00547C53"/>
    <w:pPr>
      <w:numPr>
        <w:numId w:val="7"/>
      </w:numPr>
    </w:pPr>
  </w:style>
  <w:style w:type="numbering" w:customStyle="1" w:styleId="Estiloimportado7">
    <w:name w:val="Estilo importado 7"/>
    <w:rsid w:val="00547C53"/>
  </w:style>
  <w:style w:type="numbering" w:customStyle="1" w:styleId="List7">
    <w:name w:val="List 7"/>
    <w:basedOn w:val="Estiloimportado8"/>
    <w:rsid w:val="00547C53"/>
    <w:pPr>
      <w:numPr>
        <w:numId w:val="8"/>
      </w:numPr>
    </w:pPr>
  </w:style>
  <w:style w:type="numbering" w:customStyle="1" w:styleId="Estiloimportado8">
    <w:name w:val="Estilo importado 8"/>
    <w:rsid w:val="00547C53"/>
  </w:style>
  <w:style w:type="numbering" w:customStyle="1" w:styleId="List8">
    <w:name w:val="List 8"/>
    <w:basedOn w:val="Estiloimportado9"/>
    <w:rsid w:val="00547C53"/>
    <w:pPr>
      <w:numPr>
        <w:numId w:val="9"/>
      </w:numPr>
    </w:pPr>
  </w:style>
  <w:style w:type="numbering" w:customStyle="1" w:styleId="Estiloimportado9">
    <w:name w:val="Estilo importado 9"/>
    <w:rsid w:val="00547C53"/>
  </w:style>
  <w:style w:type="numbering" w:customStyle="1" w:styleId="List9">
    <w:name w:val="List 9"/>
    <w:basedOn w:val="Estiloimportado10"/>
    <w:rsid w:val="00547C53"/>
    <w:pPr>
      <w:numPr>
        <w:numId w:val="65"/>
      </w:numPr>
    </w:pPr>
  </w:style>
  <w:style w:type="numbering" w:customStyle="1" w:styleId="Estiloimportado10">
    <w:name w:val="Estilo importado 10"/>
    <w:rsid w:val="00547C53"/>
  </w:style>
  <w:style w:type="numbering" w:customStyle="1" w:styleId="List10">
    <w:name w:val="List 10"/>
    <w:basedOn w:val="Estiloimportado11"/>
    <w:rsid w:val="00547C53"/>
    <w:pPr>
      <w:numPr>
        <w:numId w:val="11"/>
      </w:numPr>
    </w:pPr>
  </w:style>
  <w:style w:type="numbering" w:customStyle="1" w:styleId="Estiloimportado11">
    <w:name w:val="Estilo importado 11"/>
    <w:rsid w:val="00547C53"/>
  </w:style>
  <w:style w:type="numbering" w:customStyle="1" w:styleId="List11">
    <w:name w:val="List 11"/>
    <w:basedOn w:val="Estiloimportado12"/>
    <w:rsid w:val="00547C53"/>
    <w:pPr>
      <w:numPr>
        <w:numId w:val="20"/>
      </w:numPr>
    </w:pPr>
  </w:style>
  <w:style w:type="numbering" w:customStyle="1" w:styleId="Estiloimportado12">
    <w:name w:val="Estilo importado 12"/>
    <w:rsid w:val="00547C53"/>
  </w:style>
  <w:style w:type="numbering" w:customStyle="1" w:styleId="List12">
    <w:name w:val="List 12"/>
    <w:basedOn w:val="Estiloimportado13"/>
    <w:rsid w:val="00547C53"/>
    <w:pPr>
      <w:numPr>
        <w:numId w:val="79"/>
      </w:numPr>
    </w:pPr>
  </w:style>
  <w:style w:type="numbering" w:customStyle="1" w:styleId="Estiloimportado13">
    <w:name w:val="Estilo importado 13"/>
    <w:rsid w:val="00547C53"/>
  </w:style>
  <w:style w:type="numbering" w:customStyle="1" w:styleId="List13">
    <w:name w:val="List 13"/>
    <w:basedOn w:val="Estiloimportado14"/>
    <w:rsid w:val="00547C53"/>
    <w:pPr>
      <w:numPr>
        <w:numId w:val="85"/>
      </w:numPr>
    </w:pPr>
  </w:style>
  <w:style w:type="numbering" w:customStyle="1" w:styleId="Estiloimportado14">
    <w:name w:val="Estilo importado 14"/>
    <w:rsid w:val="00547C53"/>
  </w:style>
  <w:style w:type="numbering" w:customStyle="1" w:styleId="List14">
    <w:name w:val="List 14"/>
    <w:basedOn w:val="Estiloimportado15"/>
    <w:rsid w:val="00547C53"/>
    <w:pPr>
      <w:numPr>
        <w:numId w:val="60"/>
      </w:numPr>
    </w:pPr>
  </w:style>
  <w:style w:type="numbering" w:customStyle="1" w:styleId="Estiloimportado15">
    <w:name w:val="Estilo importado 15"/>
    <w:rsid w:val="00547C53"/>
  </w:style>
  <w:style w:type="numbering" w:customStyle="1" w:styleId="List15">
    <w:name w:val="List 15"/>
    <w:basedOn w:val="Estiloimportado16"/>
    <w:rsid w:val="00547C53"/>
    <w:pPr>
      <w:numPr>
        <w:numId w:val="59"/>
      </w:numPr>
    </w:pPr>
  </w:style>
  <w:style w:type="numbering" w:customStyle="1" w:styleId="Estiloimportado16">
    <w:name w:val="Estilo importado 16"/>
    <w:rsid w:val="00547C53"/>
  </w:style>
  <w:style w:type="numbering" w:customStyle="1" w:styleId="List16">
    <w:name w:val="List 16"/>
    <w:basedOn w:val="Estiloimportado16"/>
    <w:rsid w:val="00547C53"/>
    <w:pPr>
      <w:numPr>
        <w:numId w:val="53"/>
      </w:numPr>
    </w:pPr>
  </w:style>
  <w:style w:type="numbering" w:customStyle="1" w:styleId="List17">
    <w:name w:val="List 17"/>
    <w:basedOn w:val="Estiloimportado17"/>
    <w:rsid w:val="00547C53"/>
    <w:pPr>
      <w:numPr>
        <w:numId w:val="68"/>
      </w:numPr>
    </w:pPr>
  </w:style>
  <w:style w:type="numbering" w:customStyle="1" w:styleId="Estiloimportado17">
    <w:name w:val="Estilo importado 17"/>
    <w:rsid w:val="00547C53"/>
  </w:style>
  <w:style w:type="numbering" w:customStyle="1" w:styleId="List18">
    <w:name w:val="List 18"/>
    <w:basedOn w:val="Estiloimportado18"/>
    <w:rsid w:val="00547C53"/>
    <w:pPr>
      <w:numPr>
        <w:numId w:val="70"/>
      </w:numPr>
    </w:pPr>
  </w:style>
  <w:style w:type="numbering" w:customStyle="1" w:styleId="Estiloimportado18">
    <w:name w:val="Estilo importado 18"/>
    <w:rsid w:val="00547C53"/>
  </w:style>
  <w:style w:type="numbering" w:customStyle="1" w:styleId="List19">
    <w:name w:val="List 19"/>
    <w:basedOn w:val="Estiloimportado10"/>
    <w:rsid w:val="00547C53"/>
    <w:pPr>
      <w:numPr>
        <w:numId w:val="62"/>
      </w:numPr>
    </w:pPr>
  </w:style>
  <w:style w:type="numbering" w:customStyle="1" w:styleId="List20">
    <w:name w:val="List 20"/>
    <w:basedOn w:val="Estiloimportado12"/>
    <w:rsid w:val="00547C53"/>
    <w:pPr>
      <w:numPr>
        <w:numId w:val="86"/>
      </w:numPr>
    </w:pPr>
  </w:style>
  <w:style w:type="numbering" w:customStyle="1" w:styleId="List21">
    <w:name w:val="List 21"/>
    <w:basedOn w:val="Estiloimportado19"/>
    <w:rsid w:val="00547C53"/>
    <w:pPr>
      <w:numPr>
        <w:numId w:val="81"/>
      </w:numPr>
    </w:pPr>
  </w:style>
  <w:style w:type="numbering" w:customStyle="1" w:styleId="Estiloimportado19">
    <w:name w:val="Estilo importado 19"/>
    <w:rsid w:val="00547C53"/>
  </w:style>
  <w:style w:type="numbering" w:customStyle="1" w:styleId="List22">
    <w:name w:val="List 22"/>
    <w:basedOn w:val="Estiloimportado19"/>
    <w:rsid w:val="00547C53"/>
    <w:pPr>
      <w:numPr>
        <w:numId w:val="71"/>
      </w:numPr>
    </w:pPr>
  </w:style>
  <w:style w:type="numbering" w:customStyle="1" w:styleId="List23">
    <w:name w:val="List 23"/>
    <w:basedOn w:val="Estiloimportado19"/>
    <w:rsid w:val="00547C53"/>
    <w:pPr>
      <w:numPr>
        <w:numId w:val="61"/>
      </w:numPr>
    </w:pPr>
  </w:style>
  <w:style w:type="numbering" w:customStyle="1" w:styleId="List24">
    <w:name w:val="List 24"/>
    <w:basedOn w:val="Estiloimportado20"/>
    <w:rsid w:val="00547C53"/>
    <w:pPr>
      <w:numPr>
        <w:numId w:val="56"/>
      </w:numPr>
    </w:pPr>
  </w:style>
  <w:style w:type="numbering" w:customStyle="1" w:styleId="Estiloimportado20">
    <w:name w:val="Estilo importado 20"/>
    <w:rsid w:val="00547C53"/>
  </w:style>
  <w:style w:type="numbering" w:customStyle="1" w:styleId="List25">
    <w:name w:val="List 25"/>
    <w:basedOn w:val="Estiloimportado21"/>
    <w:rsid w:val="00547C53"/>
    <w:pPr>
      <w:numPr>
        <w:numId w:val="58"/>
      </w:numPr>
    </w:pPr>
  </w:style>
  <w:style w:type="numbering" w:customStyle="1" w:styleId="Estiloimportado21">
    <w:name w:val="Estilo importado 21"/>
    <w:rsid w:val="00547C53"/>
  </w:style>
  <w:style w:type="numbering" w:customStyle="1" w:styleId="List26">
    <w:name w:val="List 26"/>
    <w:basedOn w:val="Estiloimportado22"/>
    <w:rsid w:val="00547C53"/>
    <w:pPr>
      <w:numPr>
        <w:numId w:val="92"/>
      </w:numPr>
    </w:pPr>
  </w:style>
  <w:style w:type="numbering" w:customStyle="1" w:styleId="Estiloimportado22">
    <w:name w:val="Estilo importado 22"/>
    <w:rsid w:val="00547C53"/>
  </w:style>
  <w:style w:type="numbering" w:customStyle="1" w:styleId="List27">
    <w:name w:val="List 27"/>
    <w:basedOn w:val="Estiloimportado23"/>
    <w:rsid w:val="00547C53"/>
    <w:pPr>
      <w:numPr>
        <w:numId w:val="84"/>
      </w:numPr>
    </w:pPr>
  </w:style>
  <w:style w:type="numbering" w:customStyle="1" w:styleId="Estiloimportado23">
    <w:name w:val="Estilo importado 23"/>
    <w:rsid w:val="00547C53"/>
  </w:style>
  <w:style w:type="numbering" w:customStyle="1" w:styleId="List28">
    <w:name w:val="List 28"/>
    <w:basedOn w:val="Estiloimportado24"/>
    <w:rsid w:val="00547C53"/>
    <w:pPr>
      <w:numPr>
        <w:numId w:val="73"/>
      </w:numPr>
    </w:pPr>
  </w:style>
  <w:style w:type="numbering" w:customStyle="1" w:styleId="Estiloimportado24">
    <w:name w:val="Estilo importado 24"/>
    <w:rsid w:val="00547C53"/>
  </w:style>
  <w:style w:type="numbering" w:customStyle="1" w:styleId="List29">
    <w:name w:val="List 29"/>
    <w:basedOn w:val="Estiloimportado25"/>
    <w:rsid w:val="00547C53"/>
    <w:pPr>
      <w:numPr>
        <w:numId w:val="77"/>
      </w:numPr>
    </w:pPr>
  </w:style>
  <w:style w:type="numbering" w:customStyle="1" w:styleId="Estiloimportado25">
    <w:name w:val="Estilo importado 25"/>
    <w:rsid w:val="00547C53"/>
  </w:style>
  <w:style w:type="numbering" w:customStyle="1" w:styleId="List30">
    <w:name w:val="List 30"/>
    <w:basedOn w:val="Estiloimportado26"/>
    <w:rsid w:val="00547C53"/>
    <w:pPr>
      <w:numPr>
        <w:numId w:val="75"/>
      </w:numPr>
    </w:pPr>
  </w:style>
  <w:style w:type="numbering" w:customStyle="1" w:styleId="Estiloimportado26">
    <w:name w:val="Estilo importado 26"/>
    <w:rsid w:val="00547C53"/>
  </w:style>
  <w:style w:type="numbering" w:customStyle="1" w:styleId="List310">
    <w:name w:val="List 31"/>
    <w:basedOn w:val="Estiloimportado27"/>
    <w:rsid w:val="00547C53"/>
    <w:pPr>
      <w:numPr>
        <w:numId w:val="88"/>
      </w:numPr>
    </w:pPr>
  </w:style>
  <w:style w:type="numbering" w:customStyle="1" w:styleId="Estiloimportado27">
    <w:name w:val="Estilo importado 27"/>
    <w:rsid w:val="00547C53"/>
  </w:style>
  <w:style w:type="numbering" w:customStyle="1" w:styleId="List32">
    <w:name w:val="List 32"/>
    <w:basedOn w:val="Estiloimportado28"/>
    <w:rsid w:val="00547C53"/>
    <w:pPr>
      <w:numPr>
        <w:numId w:val="91"/>
      </w:numPr>
    </w:pPr>
  </w:style>
  <w:style w:type="numbering" w:customStyle="1" w:styleId="Estiloimportado28">
    <w:name w:val="Estilo importado 28"/>
    <w:rsid w:val="00547C5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547C53"/>
    <w:rPr>
      <w:rFonts w:ascii="Calibri" w:eastAsia="Calibri" w:hAnsi="Calibri" w:cs="Calibri"/>
      <w:color w:val="000000"/>
      <w:u w:color="000000"/>
      <w:lang w:val="en-US"/>
    </w:rPr>
  </w:style>
  <w:style w:type="numbering" w:customStyle="1" w:styleId="List33">
    <w:name w:val="List 33"/>
    <w:basedOn w:val="Estiloimportado29"/>
    <w:rsid w:val="00547C53"/>
    <w:pPr>
      <w:numPr>
        <w:numId w:val="69"/>
      </w:numPr>
    </w:pPr>
  </w:style>
  <w:style w:type="numbering" w:customStyle="1" w:styleId="Estiloimportado29">
    <w:name w:val="Estilo importado 29"/>
    <w:rsid w:val="00547C53"/>
  </w:style>
  <w:style w:type="numbering" w:customStyle="1" w:styleId="List34">
    <w:name w:val="List 34"/>
    <w:basedOn w:val="Estiloimportado30"/>
    <w:rsid w:val="00547C53"/>
    <w:pPr>
      <w:numPr>
        <w:numId w:val="54"/>
      </w:numPr>
    </w:pPr>
  </w:style>
  <w:style w:type="numbering" w:customStyle="1" w:styleId="Estiloimportado30">
    <w:name w:val="Estilo importado 30"/>
    <w:rsid w:val="00547C53"/>
  </w:style>
  <w:style w:type="numbering" w:customStyle="1" w:styleId="List35">
    <w:name w:val="List 35"/>
    <w:basedOn w:val="Estiloimportado31"/>
    <w:rsid w:val="00547C53"/>
    <w:pPr>
      <w:numPr>
        <w:numId w:val="35"/>
      </w:numPr>
    </w:pPr>
  </w:style>
  <w:style w:type="numbering" w:customStyle="1" w:styleId="Estiloimportado31">
    <w:name w:val="Estilo importado 31"/>
    <w:rsid w:val="00547C53"/>
  </w:style>
  <w:style w:type="numbering" w:customStyle="1" w:styleId="List36">
    <w:name w:val="List 36"/>
    <w:basedOn w:val="Estiloimportado32"/>
    <w:rsid w:val="00547C53"/>
    <w:pPr>
      <w:numPr>
        <w:numId w:val="57"/>
      </w:numPr>
    </w:pPr>
  </w:style>
  <w:style w:type="numbering" w:customStyle="1" w:styleId="Estiloimportado32">
    <w:name w:val="Estilo importado 32"/>
    <w:rsid w:val="00547C53"/>
  </w:style>
  <w:style w:type="numbering" w:customStyle="1" w:styleId="List37">
    <w:name w:val="List 37"/>
    <w:basedOn w:val="Estiloimportado33"/>
    <w:rsid w:val="00547C53"/>
    <w:pPr>
      <w:numPr>
        <w:numId w:val="90"/>
      </w:numPr>
    </w:pPr>
  </w:style>
  <w:style w:type="numbering" w:customStyle="1" w:styleId="Estiloimportado33">
    <w:name w:val="Estilo importado 33"/>
    <w:rsid w:val="00547C53"/>
  </w:style>
  <w:style w:type="numbering" w:customStyle="1" w:styleId="List38">
    <w:name w:val="List 38"/>
    <w:basedOn w:val="Estiloimportado34"/>
    <w:rsid w:val="00547C53"/>
    <w:pPr>
      <w:numPr>
        <w:numId w:val="78"/>
      </w:numPr>
    </w:pPr>
  </w:style>
  <w:style w:type="numbering" w:customStyle="1" w:styleId="Estiloimportado34">
    <w:name w:val="Estilo importado 34"/>
    <w:rsid w:val="00547C53"/>
  </w:style>
  <w:style w:type="numbering" w:customStyle="1" w:styleId="List39">
    <w:name w:val="List 39"/>
    <w:basedOn w:val="Estiloimportado35"/>
    <w:rsid w:val="00547C53"/>
    <w:pPr>
      <w:numPr>
        <w:numId w:val="89"/>
      </w:numPr>
    </w:pPr>
  </w:style>
  <w:style w:type="numbering" w:customStyle="1" w:styleId="Estiloimportado35">
    <w:name w:val="Estilo importado 35"/>
    <w:rsid w:val="00547C53"/>
  </w:style>
  <w:style w:type="numbering" w:customStyle="1" w:styleId="List40">
    <w:name w:val="List 40"/>
    <w:basedOn w:val="Estiloimportado36"/>
    <w:rsid w:val="00547C53"/>
    <w:pPr>
      <w:numPr>
        <w:numId w:val="64"/>
      </w:numPr>
    </w:pPr>
  </w:style>
  <w:style w:type="numbering" w:customStyle="1" w:styleId="Estiloimportado36">
    <w:name w:val="Estilo importado 36"/>
    <w:rsid w:val="00547C53"/>
  </w:style>
  <w:style w:type="numbering" w:customStyle="1" w:styleId="List410">
    <w:name w:val="List 41"/>
    <w:basedOn w:val="Estiloimportado37"/>
    <w:rsid w:val="00547C53"/>
    <w:pPr>
      <w:numPr>
        <w:numId w:val="87"/>
      </w:numPr>
    </w:pPr>
  </w:style>
  <w:style w:type="numbering" w:customStyle="1" w:styleId="Estiloimportado37">
    <w:name w:val="Estilo importado 37"/>
    <w:rsid w:val="00547C53"/>
  </w:style>
  <w:style w:type="numbering" w:customStyle="1" w:styleId="List42">
    <w:name w:val="List 42"/>
    <w:basedOn w:val="Estiloimportado12"/>
    <w:rsid w:val="00547C53"/>
    <w:pPr>
      <w:numPr>
        <w:numId w:val="55"/>
      </w:numPr>
    </w:pPr>
  </w:style>
  <w:style w:type="numbering" w:customStyle="1" w:styleId="List43">
    <w:name w:val="List 43"/>
    <w:basedOn w:val="Estiloimportado38"/>
    <w:rsid w:val="00547C53"/>
    <w:pPr>
      <w:numPr>
        <w:numId w:val="66"/>
      </w:numPr>
    </w:pPr>
  </w:style>
  <w:style w:type="numbering" w:customStyle="1" w:styleId="Estiloimportado38">
    <w:name w:val="Estilo importado 38"/>
    <w:rsid w:val="00547C53"/>
  </w:style>
  <w:style w:type="numbering" w:customStyle="1" w:styleId="List44">
    <w:name w:val="List 44"/>
    <w:basedOn w:val="Estiloimportado39"/>
    <w:rsid w:val="00547C53"/>
    <w:pPr>
      <w:numPr>
        <w:numId w:val="83"/>
      </w:numPr>
    </w:pPr>
  </w:style>
  <w:style w:type="numbering" w:customStyle="1" w:styleId="Estiloimportado39">
    <w:name w:val="Estilo importado 39"/>
    <w:rsid w:val="00547C53"/>
  </w:style>
  <w:style w:type="numbering" w:customStyle="1" w:styleId="List45">
    <w:name w:val="List 45"/>
    <w:basedOn w:val="Estiloimportado40"/>
    <w:rsid w:val="00547C53"/>
    <w:pPr>
      <w:numPr>
        <w:numId w:val="63"/>
      </w:numPr>
    </w:pPr>
  </w:style>
  <w:style w:type="numbering" w:customStyle="1" w:styleId="Estiloimportado40">
    <w:name w:val="Estilo importado 40"/>
    <w:rsid w:val="00547C53"/>
  </w:style>
  <w:style w:type="numbering" w:customStyle="1" w:styleId="List46">
    <w:name w:val="List 46"/>
    <w:basedOn w:val="Estiloimportado41"/>
    <w:rsid w:val="00547C53"/>
    <w:pPr>
      <w:numPr>
        <w:numId w:val="67"/>
      </w:numPr>
    </w:pPr>
  </w:style>
  <w:style w:type="numbering" w:customStyle="1" w:styleId="Estiloimportado41">
    <w:name w:val="Estilo importado 41"/>
    <w:rsid w:val="00547C53"/>
  </w:style>
  <w:style w:type="numbering" w:customStyle="1" w:styleId="List47">
    <w:name w:val="List 47"/>
    <w:basedOn w:val="Estiloimportado42"/>
    <w:rsid w:val="00547C53"/>
    <w:pPr>
      <w:numPr>
        <w:numId w:val="72"/>
      </w:numPr>
    </w:pPr>
  </w:style>
  <w:style w:type="numbering" w:customStyle="1" w:styleId="Estiloimportado42">
    <w:name w:val="Estilo importado 42"/>
    <w:rsid w:val="00547C53"/>
  </w:style>
  <w:style w:type="numbering" w:customStyle="1" w:styleId="List48">
    <w:name w:val="List 48"/>
    <w:basedOn w:val="Estiloimportado43"/>
    <w:rsid w:val="00547C53"/>
    <w:pPr>
      <w:numPr>
        <w:numId w:val="93"/>
      </w:numPr>
    </w:pPr>
  </w:style>
  <w:style w:type="numbering" w:customStyle="1" w:styleId="Estiloimportado43">
    <w:name w:val="Estilo importado 43"/>
    <w:rsid w:val="00547C53"/>
  </w:style>
  <w:style w:type="numbering" w:customStyle="1" w:styleId="List49">
    <w:name w:val="List 49"/>
    <w:basedOn w:val="Estiloimportado44"/>
    <w:rsid w:val="00547C53"/>
    <w:pPr>
      <w:numPr>
        <w:numId w:val="82"/>
      </w:numPr>
    </w:pPr>
  </w:style>
  <w:style w:type="numbering" w:customStyle="1" w:styleId="Estiloimportado44">
    <w:name w:val="Estilo importado 44"/>
    <w:rsid w:val="00547C53"/>
  </w:style>
  <w:style w:type="numbering" w:customStyle="1" w:styleId="List50">
    <w:name w:val="List 50"/>
    <w:basedOn w:val="Estiloimportado45"/>
    <w:rsid w:val="00547C53"/>
    <w:pPr>
      <w:numPr>
        <w:numId w:val="80"/>
      </w:numPr>
    </w:pPr>
  </w:style>
  <w:style w:type="numbering" w:customStyle="1" w:styleId="Estiloimportado45">
    <w:name w:val="Estilo importado 45"/>
    <w:rsid w:val="00547C53"/>
  </w:style>
  <w:style w:type="numbering" w:customStyle="1" w:styleId="List51">
    <w:name w:val="List 51"/>
    <w:basedOn w:val="Estiloimportado46"/>
    <w:rsid w:val="00547C53"/>
    <w:pPr>
      <w:numPr>
        <w:numId w:val="76"/>
      </w:numPr>
    </w:pPr>
  </w:style>
  <w:style w:type="numbering" w:customStyle="1" w:styleId="Estiloimportado46">
    <w:name w:val="Estilo importado 46"/>
    <w:rsid w:val="00547C53"/>
  </w:style>
  <w:style w:type="numbering" w:customStyle="1" w:styleId="List52">
    <w:name w:val="List 52"/>
    <w:basedOn w:val="Estiloimportado1"/>
    <w:rsid w:val="00547C53"/>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D0FF-60AB-40BA-B0C7-9E263E47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10138</Characters>
  <Application>Microsoft Office Word</Application>
  <DocSecurity>0</DocSecurity>
  <Lines>220</Lines>
  <Paragraphs>72</Paragraphs>
  <ScaleCrop>false</ScaleCrop>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31/19</dc:title>
  <dc:creator/>
  <cp:lastModifiedBy/>
  <cp:revision>1</cp:revision>
  <dcterms:created xsi:type="dcterms:W3CDTF">2019-05-24T14:07:00Z</dcterms:created>
  <dcterms:modified xsi:type="dcterms:W3CDTF">2019-05-24T14:09:00Z</dcterms:modified>
</cp:coreProperties>
</file>