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C92732" w14:textId="77777777" w:rsidR="00040C3A" w:rsidRPr="00283A5A" w:rsidRDefault="006311DA" w:rsidP="00627C9F">
      <w:pPr>
        <w:jc w:val="both"/>
        <w:rPr>
          <w:rFonts w:asciiTheme="majorHAnsi" w:hAnsiTheme="majorHAnsi" w:cs="Univers"/>
          <w:b/>
          <w:bCs/>
          <w:sz w:val="22"/>
          <w:szCs w:val="22"/>
        </w:rPr>
      </w:pPr>
      <w:bookmarkStart w:id="0" w:name="_GoBack"/>
      <w:bookmarkEnd w:id="0"/>
      <w:r w:rsidRPr="00283A5A">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E8FEB72" wp14:editId="12483814">
                <wp:simplePos x="0" y="0"/>
                <wp:positionH relativeFrom="column">
                  <wp:posOffset>-415925</wp:posOffset>
                </wp:positionH>
                <wp:positionV relativeFrom="paragraph">
                  <wp:posOffset>-356870</wp:posOffset>
                </wp:positionV>
                <wp:extent cx="1409700" cy="8977630"/>
                <wp:effectExtent l="0" t="0" r="1270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56D35D"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" fillcolor="#67ae3c" stroked="f" strokeweight="2pt"/>
            </w:pict>
          </mc:Fallback>
        </mc:AlternateContent>
      </w:r>
      <w:r w:rsidR="00B31EBE" w:rsidRPr="00283A5A">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779C0B90" wp14:editId="38748B46">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E04174E" w14:textId="77777777" w:rsidR="00CB2660" w:rsidRDefault="002C1641">
                            <w:r>
                              <w:rPr>
                                <w:noProof/>
                              </w:rPr>
                              <w:drawing>
                                <wp:inline distT="0" distB="0" distL="0" distR="0" wp14:anchorId="1E7DADD1" wp14:editId="5681F807">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9C0B90"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" filled="f" stroked="f" strokeweight=".5pt">
                <v:textbox>
                  <w:txbxContent>
                    <w:p w14:paraId="1E04174E" w14:textId="77777777" w:rsidR="00CB2660" w:rsidRDefault="002C1641">
                      <w:r>
                        <w:rPr>
                          <w:noProof/>
                        </w:rPr>
                        <w:drawing>
                          <wp:inline distT="0" distB="0" distL="0" distR="0" wp14:anchorId="1E7DADD1" wp14:editId="5681F807">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v:textbox>
              </v:shape>
            </w:pict>
          </mc:Fallback>
        </mc:AlternateContent>
      </w:r>
    </w:p>
    <w:p w14:paraId="08F18A33" w14:textId="77777777" w:rsidR="00040C3A" w:rsidRPr="00283A5A" w:rsidRDefault="00040C3A" w:rsidP="00040C3A">
      <w:pPr>
        <w:tabs>
          <w:tab w:val="center" w:pos="5400"/>
        </w:tabs>
        <w:suppressAutoHyphens/>
        <w:jc w:val="both"/>
        <w:rPr>
          <w:rFonts w:asciiTheme="majorHAnsi" w:hAnsiTheme="majorHAnsi"/>
          <w:sz w:val="22"/>
          <w:szCs w:val="22"/>
        </w:rPr>
      </w:pPr>
    </w:p>
    <w:p w14:paraId="354F829F" w14:textId="77777777" w:rsidR="00040C3A" w:rsidRPr="00283A5A" w:rsidRDefault="00040C3A" w:rsidP="00040C3A">
      <w:pPr>
        <w:tabs>
          <w:tab w:val="center" w:pos="5400"/>
        </w:tabs>
        <w:suppressAutoHyphens/>
        <w:jc w:val="both"/>
        <w:rPr>
          <w:rFonts w:asciiTheme="majorHAnsi" w:hAnsiTheme="majorHAnsi"/>
          <w:sz w:val="22"/>
          <w:szCs w:val="22"/>
        </w:rPr>
      </w:pPr>
    </w:p>
    <w:p w14:paraId="4652DB2A" w14:textId="77777777" w:rsidR="005128E4" w:rsidRPr="00283A5A" w:rsidRDefault="005128E4" w:rsidP="00040C3A">
      <w:pPr>
        <w:tabs>
          <w:tab w:val="center" w:pos="5400"/>
        </w:tabs>
        <w:suppressAutoHyphens/>
        <w:rPr>
          <w:rFonts w:asciiTheme="majorHAnsi" w:hAnsiTheme="majorHAnsi"/>
          <w:sz w:val="22"/>
          <w:szCs w:val="22"/>
        </w:rPr>
      </w:pPr>
    </w:p>
    <w:p w14:paraId="73AEA615" w14:textId="77777777" w:rsidR="005128E4" w:rsidRPr="00283A5A" w:rsidRDefault="005128E4" w:rsidP="00040C3A">
      <w:pPr>
        <w:tabs>
          <w:tab w:val="center" w:pos="5400"/>
        </w:tabs>
        <w:suppressAutoHyphens/>
        <w:rPr>
          <w:rFonts w:asciiTheme="majorHAnsi" w:hAnsiTheme="majorHAnsi"/>
          <w:sz w:val="22"/>
          <w:szCs w:val="22"/>
        </w:rPr>
      </w:pPr>
    </w:p>
    <w:p w14:paraId="0E266CF1" w14:textId="77777777" w:rsidR="005128E4" w:rsidRPr="00283A5A" w:rsidRDefault="005128E4" w:rsidP="00040C3A">
      <w:pPr>
        <w:tabs>
          <w:tab w:val="center" w:pos="5400"/>
        </w:tabs>
        <w:suppressAutoHyphens/>
        <w:rPr>
          <w:rFonts w:asciiTheme="majorHAnsi" w:hAnsiTheme="majorHAnsi"/>
          <w:sz w:val="22"/>
          <w:szCs w:val="22"/>
        </w:rPr>
      </w:pPr>
    </w:p>
    <w:p w14:paraId="732E1005" w14:textId="77777777" w:rsidR="00040C3A" w:rsidRPr="00283A5A" w:rsidRDefault="00040C3A" w:rsidP="005128E4">
      <w:pPr>
        <w:tabs>
          <w:tab w:val="center" w:pos="5400"/>
        </w:tabs>
        <w:suppressAutoHyphens/>
        <w:jc w:val="center"/>
        <w:rPr>
          <w:rFonts w:asciiTheme="majorHAnsi" w:hAnsiTheme="majorHAnsi"/>
          <w:sz w:val="22"/>
          <w:szCs w:val="22"/>
        </w:rPr>
      </w:pPr>
    </w:p>
    <w:p w14:paraId="4929920B" w14:textId="77777777" w:rsidR="00040C3A" w:rsidRPr="00283A5A" w:rsidRDefault="00040C3A" w:rsidP="005128E4">
      <w:pPr>
        <w:tabs>
          <w:tab w:val="center" w:pos="5400"/>
        </w:tabs>
        <w:suppressAutoHyphens/>
        <w:jc w:val="center"/>
        <w:rPr>
          <w:rFonts w:asciiTheme="majorHAnsi" w:hAnsiTheme="majorHAnsi"/>
          <w:sz w:val="22"/>
          <w:szCs w:val="22"/>
        </w:rPr>
      </w:pPr>
    </w:p>
    <w:p w14:paraId="5AD47E25" w14:textId="77777777" w:rsidR="005B52B0" w:rsidRPr="00283A5A" w:rsidRDefault="005B52B0" w:rsidP="005128E4">
      <w:pPr>
        <w:tabs>
          <w:tab w:val="center" w:pos="5400"/>
        </w:tabs>
        <w:suppressAutoHyphens/>
        <w:jc w:val="center"/>
        <w:rPr>
          <w:rFonts w:asciiTheme="majorHAnsi" w:hAnsiTheme="majorHAnsi"/>
          <w:sz w:val="22"/>
          <w:szCs w:val="22"/>
        </w:rPr>
      </w:pPr>
    </w:p>
    <w:p w14:paraId="24F83C97" w14:textId="77777777" w:rsidR="005B52B0" w:rsidRPr="00283A5A" w:rsidRDefault="005B52B0" w:rsidP="005128E4">
      <w:pPr>
        <w:tabs>
          <w:tab w:val="center" w:pos="5400"/>
        </w:tabs>
        <w:suppressAutoHyphens/>
        <w:jc w:val="center"/>
        <w:rPr>
          <w:rFonts w:asciiTheme="majorHAnsi" w:hAnsiTheme="majorHAnsi"/>
          <w:sz w:val="22"/>
          <w:szCs w:val="22"/>
        </w:rPr>
      </w:pPr>
    </w:p>
    <w:p w14:paraId="62393CF4" w14:textId="77777777" w:rsidR="005B52B0" w:rsidRPr="00283A5A" w:rsidRDefault="005B52B0" w:rsidP="005128E4">
      <w:pPr>
        <w:tabs>
          <w:tab w:val="center" w:pos="5400"/>
        </w:tabs>
        <w:suppressAutoHyphens/>
        <w:jc w:val="center"/>
        <w:rPr>
          <w:rFonts w:asciiTheme="majorHAnsi" w:hAnsiTheme="majorHAnsi"/>
          <w:sz w:val="22"/>
          <w:szCs w:val="22"/>
        </w:rPr>
      </w:pPr>
    </w:p>
    <w:p w14:paraId="48E43D26" w14:textId="77777777" w:rsidR="00040C3A" w:rsidRPr="00283A5A" w:rsidRDefault="00040C3A" w:rsidP="00040C3A">
      <w:pPr>
        <w:tabs>
          <w:tab w:val="center" w:pos="5400"/>
        </w:tabs>
        <w:suppressAutoHyphens/>
        <w:jc w:val="center"/>
        <w:rPr>
          <w:rFonts w:asciiTheme="majorHAnsi" w:hAnsiTheme="majorHAnsi"/>
          <w:sz w:val="22"/>
          <w:szCs w:val="22"/>
        </w:rPr>
      </w:pPr>
    </w:p>
    <w:p w14:paraId="770AB2D8" w14:textId="77777777" w:rsidR="00040C3A" w:rsidRPr="00283A5A" w:rsidRDefault="00040C3A" w:rsidP="00040C3A">
      <w:pPr>
        <w:tabs>
          <w:tab w:val="center" w:pos="5400"/>
        </w:tabs>
        <w:suppressAutoHyphens/>
        <w:jc w:val="center"/>
        <w:rPr>
          <w:rFonts w:asciiTheme="majorHAnsi" w:hAnsiTheme="majorHAnsi"/>
          <w:sz w:val="22"/>
          <w:szCs w:val="22"/>
        </w:rPr>
      </w:pPr>
    </w:p>
    <w:p w14:paraId="707BF2B7" w14:textId="77777777" w:rsidR="00040C3A" w:rsidRPr="00283A5A" w:rsidRDefault="00040C3A" w:rsidP="00040C3A">
      <w:pPr>
        <w:tabs>
          <w:tab w:val="center" w:pos="5400"/>
        </w:tabs>
        <w:suppressAutoHyphens/>
        <w:jc w:val="center"/>
        <w:rPr>
          <w:rFonts w:asciiTheme="majorHAnsi" w:hAnsiTheme="majorHAnsi"/>
          <w:sz w:val="22"/>
          <w:szCs w:val="22"/>
        </w:rPr>
      </w:pPr>
    </w:p>
    <w:p w14:paraId="5E1B4632" w14:textId="77777777" w:rsidR="00040C3A" w:rsidRPr="00283A5A" w:rsidRDefault="00E533FF" w:rsidP="00040C3A">
      <w:pPr>
        <w:tabs>
          <w:tab w:val="center" w:pos="5400"/>
        </w:tabs>
        <w:suppressAutoHyphens/>
        <w:jc w:val="center"/>
        <w:rPr>
          <w:rFonts w:asciiTheme="majorHAnsi" w:hAnsiTheme="majorHAnsi"/>
          <w:sz w:val="22"/>
          <w:szCs w:val="22"/>
        </w:rPr>
      </w:pPr>
      <w:r w:rsidRPr="00283A5A">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6A0FCEEC" wp14:editId="7B823369">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993FD5A" w14:textId="05DADD5A" w:rsidR="00043E3E" w:rsidRPr="00043E3E" w:rsidRDefault="00967BB9" w:rsidP="00043E3E">
                            <w:pPr>
                              <w:spacing w:line="276" w:lineRule="auto"/>
                              <w:rPr>
                                <w:rFonts w:asciiTheme="majorHAnsi" w:hAnsiTheme="majorHAnsi" w:cs="Arial"/>
                                <w:b/>
                                <w:bCs/>
                                <w:color w:val="0D0D0D" w:themeColor="text1" w:themeTint="F2"/>
                                <w:sz w:val="36"/>
                                <w:szCs w:val="22"/>
                              </w:rPr>
                            </w:pPr>
                            <w:r>
                              <w:rPr>
                                <w:rFonts w:asciiTheme="majorHAnsi" w:hAnsiTheme="majorHAnsi" w:cs="Arial"/>
                                <w:b/>
                                <w:bCs/>
                                <w:color w:val="0D0D0D" w:themeColor="text1" w:themeTint="F2"/>
                                <w:sz w:val="36"/>
                                <w:szCs w:val="22"/>
                              </w:rPr>
                              <w:t>REPORT No</w:t>
                            </w:r>
                            <w:r w:rsidR="00043E3E" w:rsidRPr="00043E3E">
                              <w:rPr>
                                <w:rFonts w:asciiTheme="majorHAnsi" w:hAnsiTheme="majorHAnsi" w:cs="Arial"/>
                                <w:b/>
                                <w:bCs/>
                                <w:color w:val="0D0D0D" w:themeColor="text1" w:themeTint="F2"/>
                                <w:sz w:val="36"/>
                                <w:szCs w:val="22"/>
                              </w:rPr>
                              <w:t xml:space="preserve">. </w:t>
                            </w:r>
                            <w:r w:rsidR="003375D3">
                              <w:rPr>
                                <w:rFonts w:asciiTheme="majorHAnsi" w:hAnsiTheme="majorHAnsi" w:cs="Arial"/>
                                <w:b/>
                                <w:bCs/>
                                <w:color w:val="0D0D0D" w:themeColor="text1" w:themeTint="F2"/>
                                <w:sz w:val="36"/>
                                <w:szCs w:val="22"/>
                              </w:rPr>
                              <w:t>49</w:t>
                            </w:r>
                            <w:r w:rsidR="00043E3E" w:rsidRPr="00043E3E">
                              <w:rPr>
                                <w:rFonts w:asciiTheme="majorHAnsi" w:hAnsiTheme="majorHAnsi" w:cs="Arial"/>
                                <w:b/>
                                <w:bCs/>
                                <w:color w:val="0D0D0D" w:themeColor="text1" w:themeTint="F2"/>
                                <w:sz w:val="36"/>
                                <w:szCs w:val="22"/>
                              </w:rPr>
                              <w:t>/19</w:t>
                            </w:r>
                          </w:p>
                          <w:p w14:paraId="3D6B636D" w14:textId="77777777" w:rsidR="00043E3E" w:rsidRPr="00043E3E" w:rsidRDefault="00043E3E" w:rsidP="00043E3E">
                            <w:pPr>
                              <w:spacing w:line="276" w:lineRule="auto"/>
                              <w:rPr>
                                <w:rFonts w:asciiTheme="majorHAnsi" w:hAnsiTheme="majorHAnsi" w:cs="Arial"/>
                                <w:b/>
                                <w:color w:val="0D0D0D" w:themeColor="text1" w:themeTint="F2"/>
                                <w:sz w:val="36"/>
                                <w:szCs w:val="22"/>
                              </w:rPr>
                            </w:pPr>
                            <w:r w:rsidRPr="00043E3E">
                              <w:rPr>
                                <w:rFonts w:asciiTheme="majorHAnsi" w:hAnsiTheme="majorHAnsi" w:cs="Arial"/>
                                <w:b/>
                                <w:color w:val="0D0D0D" w:themeColor="text1" w:themeTint="F2"/>
                                <w:sz w:val="36"/>
                                <w:szCs w:val="22"/>
                              </w:rPr>
                              <w:t xml:space="preserve">PETITION 722-10 </w:t>
                            </w:r>
                          </w:p>
                          <w:p w14:paraId="5BD21EA5" w14:textId="77777777" w:rsidR="00043E3E" w:rsidRPr="00043E3E" w:rsidRDefault="00043E3E" w:rsidP="00043E3E">
                            <w:pPr>
                              <w:spacing w:line="276" w:lineRule="auto"/>
                              <w:rPr>
                                <w:rFonts w:asciiTheme="majorHAnsi" w:hAnsiTheme="majorHAnsi" w:cs="Arial"/>
                                <w:color w:val="0D0D0D" w:themeColor="text1" w:themeTint="F2"/>
                                <w:szCs w:val="22"/>
                              </w:rPr>
                            </w:pPr>
                            <w:r w:rsidRPr="00043E3E">
                              <w:rPr>
                                <w:rFonts w:asciiTheme="majorHAnsi" w:hAnsiTheme="majorHAnsi" w:cs="Arial"/>
                                <w:color w:val="0D0D0D" w:themeColor="text1" w:themeTint="F2"/>
                                <w:szCs w:val="22"/>
                              </w:rPr>
                              <w:t xml:space="preserve">REPORT ON ADMISSIBILITY </w:t>
                            </w:r>
                          </w:p>
                          <w:p w14:paraId="26EE75D0" w14:textId="77777777" w:rsidR="00043E3E" w:rsidRPr="00043E3E" w:rsidRDefault="00043E3E" w:rsidP="00043E3E">
                            <w:pPr>
                              <w:spacing w:line="276" w:lineRule="auto"/>
                              <w:rPr>
                                <w:rFonts w:asciiTheme="majorHAnsi" w:hAnsiTheme="majorHAnsi" w:cs="Arial"/>
                                <w:color w:val="0D0D0D" w:themeColor="text1" w:themeTint="F2"/>
                                <w:szCs w:val="22"/>
                              </w:rPr>
                            </w:pPr>
                            <w:bookmarkStart w:id="1" w:name="_ftnref1"/>
                          </w:p>
                          <w:p w14:paraId="252A662F" w14:textId="77777777" w:rsidR="00043E3E" w:rsidRPr="0010736F" w:rsidRDefault="00043E3E" w:rsidP="00043E3E">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HAWIN PARRA RENTERÍA AND RELATIVES</w:t>
                            </w:r>
                          </w:p>
                          <w:bookmarkEnd w:id="1"/>
                          <w:p w14:paraId="669EE6B3" w14:textId="77777777" w:rsidR="00043E3E" w:rsidRPr="0010736F" w:rsidRDefault="00043E3E" w:rsidP="00043E3E">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p w14:paraId="790541C2" w14:textId="77777777" w:rsidR="00043E3E" w:rsidRPr="00AE5488" w:rsidRDefault="00043E3E" w:rsidP="00043E3E">
                            <w:pPr>
                              <w:rPr>
                                <w:color w:val="0D0D0D" w:themeColor="text1" w:themeTint="F2"/>
                                <w:lang w:val="es-ES_tradnl"/>
                              </w:rPr>
                            </w:pPr>
                          </w:p>
                          <w:p w14:paraId="3AC5A16F" w14:textId="77777777" w:rsidR="005B52B0" w:rsidRPr="00043E3E" w:rsidRDefault="005B52B0" w:rsidP="00F42B71">
                            <w:pPr>
                              <w:spacing w:line="276" w:lineRule="auto"/>
                              <w:rPr>
                                <w:rFonts w:asciiTheme="majorHAnsi" w:hAnsiTheme="majorHAnsi"/>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0FCEEC"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" filled="f" stroked="f" strokeweight=".5pt">
                <v:textbox>
                  <w:txbxContent>
                    <w:p w14:paraId="7993FD5A" w14:textId="05DADD5A" w:rsidR="00043E3E" w:rsidRPr="00043E3E" w:rsidRDefault="00967BB9" w:rsidP="00043E3E">
                      <w:pPr>
                        <w:spacing w:line="276" w:lineRule="auto"/>
                        <w:rPr>
                          <w:rFonts w:asciiTheme="majorHAnsi" w:hAnsiTheme="majorHAnsi" w:cs="Arial"/>
                          <w:b/>
                          <w:bCs/>
                          <w:color w:val="0D0D0D" w:themeColor="text1" w:themeTint="F2"/>
                          <w:sz w:val="36"/>
                          <w:szCs w:val="22"/>
                        </w:rPr>
                      </w:pPr>
                      <w:r>
                        <w:rPr>
                          <w:rFonts w:asciiTheme="majorHAnsi" w:hAnsiTheme="majorHAnsi" w:cs="Arial"/>
                          <w:b/>
                          <w:bCs/>
                          <w:color w:val="0D0D0D" w:themeColor="text1" w:themeTint="F2"/>
                          <w:sz w:val="36"/>
                          <w:szCs w:val="22"/>
                        </w:rPr>
                        <w:t>REPORT No</w:t>
                      </w:r>
                      <w:r w:rsidR="00043E3E" w:rsidRPr="00043E3E">
                        <w:rPr>
                          <w:rFonts w:asciiTheme="majorHAnsi" w:hAnsiTheme="majorHAnsi" w:cs="Arial"/>
                          <w:b/>
                          <w:bCs/>
                          <w:color w:val="0D0D0D" w:themeColor="text1" w:themeTint="F2"/>
                          <w:sz w:val="36"/>
                          <w:szCs w:val="22"/>
                        </w:rPr>
                        <w:t xml:space="preserve">. </w:t>
                      </w:r>
                      <w:r w:rsidR="003375D3">
                        <w:rPr>
                          <w:rFonts w:asciiTheme="majorHAnsi" w:hAnsiTheme="majorHAnsi" w:cs="Arial"/>
                          <w:b/>
                          <w:bCs/>
                          <w:color w:val="0D0D0D" w:themeColor="text1" w:themeTint="F2"/>
                          <w:sz w:val="36"/>
                          <w:szCs w:val="22"/>
                        </w:rPr>
                        <w:t>49</w:t>
                      </w:r>
                      <w:r w:rsidR="00043E3E" w:rsidRPr="00043E3E">
                        <w:rPr>
                          <w:rFonts w:asciiTheme="majorHAnsi" w:hAnsiTheme="majorHAnsi" w:cs="Arial"/>
                          <w:b/>
                          <w:bCs/>
                          <w:color w:val="0D0D0D" w:themeColor="text1" w:themeTint="F2"/>
                          <w:sz w:val="36"/>
                          <w:szCs w:val="22"/>
                        </w:rPr>
                        <w:t>/19</w:t>
                      </w:r>
                    </w:p>
                    <w:p w14:paraId="3D6B636D" w14:textId="77777777" w:rsidR="00043E3E" w:rsidRPr="00043E3E" w:rsidRDefault="00043E3E" w:rsidP="00043E3E">
                      <w:pPr>
                        <w:spacing w:line="276" w:lineRule="auto"/>
                        <w:rPr>
                          <w:rFonts w:asciiTheme="majorHAnsi" w:hAnsiTheme="majorHAnsi" w:cs="Arial"/>
                          <w:b/>
                          <w:color w:val="0D0D0D" w:themeColor="text1" w:themeTint="F2"/>
                          <w:sz w:val="36"/>
                          <w:szCs w:val="22"/>
                        </w:rPr>
                      </w:pPr>
                      <w:r w:rsidRPr="00043E3E">
                        <w:rPr>
                          <w:rFonts w:asciiTheme="majorHAnsi" w:hAnsiTheme="majorHAnsi" w:cs="Arial"/>
                          <w:b/>
                          <w:color w:val="0D0D0D" w:themeColor="text1" w:themeTint="F2"/>
                          <w:sz w:val="36"/>
                          <w:szCs w:val="22"/>
                        </w:rPr>
                        <w:t xml:space="preserve">PETITION 722-10 </w:t>
                      </w:r>
                    </w:p>
                    <w:p w14:paraId="5BD21EA5" w14:textId="77777777" w:rsidR="00043E3E" w:rsidRPr="00043E3E" w:rsidRDefault="00043E3E" w:rsidP="00043E3E">
                      <w:pPr>
                        <w:spacing w:line="276" w:lineRule="auto"/>
                        <w:rPr>
                          <w:rFonts w:asciiTheme="majorHAnsi" w:hAnsiTheme="majorHAnsi" w:cs="Arial"/>
                          <w:color w:val="0D0D0D" w:themeColor="text1" w:themeTint="F2"/>
                          <w:szCs w:val="22"/>
                        </w:rPr>
                      </w:pPr>
                      <w:r w:rsidRPr="00043E3E">
                        <w:rPr>
                          <w:rFonts w:asciiTheme="majorHAnsi" w:hAnsiTheme="majorHAnsi" w:cs="Arial"/>
                          <w:color w:val="0D0D0D" w:themeColor="text1" w:themeTint="F2"/>
                          <w:szCs w:val="22"/>
                        </w:rPr>
                        <w:t xml:space="preserve">REPORT ON ADMISSIBILITY </w:t>
                      </w:r>
                    </w:p>
                    <w:p w14:paraId="26EE75D0" w14:textId="77777777" w:rsidR="00043E3E" w:rsidRPr="00043E3E" w:rsidRDefault="00043E3E" w:rsidP="00043E3E">
                      <w:pPr>
                        <w:spacing w:line="276" w:lineRule="auto"/>
                        <w:rPr>
                          <w:rFonts w:asciiTheme="majorHAnsi" w:hAnsiTheme="majorHAnsi" w:cs="Arial"/>
                          <w:color w:val="0D0D0D" w:themeColor="text1" w:themeTint="F2"/>
                          <w:szCs w:val="22"/>
                        </w:rPr>
                      </w:pPr>
                      <w:bookmarkStart w:id="2" w:name="_ftnref1"/>
                    </w:p>
                    <w:p w14:paraId="252A662F" w14:textId="77777777" w:rsidR="00043E3E" w:rsidRPr="0010736F" w:rsidRDefault="00043E3E" w:rsidP="00043E3E">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HAWIN PARRA RENTERÍA AND RELATIVES</w:t>
                      </w:r>
                    </w:p>
                    <w:bookmarkEnd w:id="2"/>
                    <w:p w14:paraId="669EE6B3" w14:textId="77777777" w:rsidR="00043E3E" w:rsidRPr="0010736F" w:rsidRDefault="00043E3E" w:rsidP="00043E3E">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p w14:paraId="790541C2" w14:textId="77777777" w:rsidR="00043E3E" w:rsidRPr="00AE5488" w:rsidRDefault="00043E3E" w:rsidP="00043E3E">
                      <w:pPr>
                        <w:rPr>
                          <w:color w:val="0D0D0D" w:themeColor="text1" w:themeTint="F2"/>
                          <w:lang w:val="es-ES_tradnl"/>
                        </w:rPr>
                      </w:pPr>
                    </w:p>
                    <w:p w14:paraId="3AC5A16F" w14:textId="77777777" w:rsidR="005B52B0" w:rsidRPr="00043E3E" w:rsidRDefault="005B52B0" w:rsidP="00F42B71">
                      <w:pPr>
                        <w:spacing w:line="276" w:lineRule="auto"/>
                        <w:rPr>
                          <w:rFonts w:asciiTheme="majorHAnsi" w:hAnsiTheme="majorHAnsi"/>
                          <w:color w:val="0D0D0D" w:themeColor="text1" w:themeTint="F2"/>
                          <w:lang w:val="es-ES_tradnl"/>
                        </w:rPr>
                      </w:pPr>
                    </w:p>
                  </w:txbxContent>
                </v:textbox>
              </v:shape>
            </w:pict>
          </mc:Fallback>
        </mc:AlternateContent>
      </w:r>
      <w:r w:rsidR="004B7EB6" w:rsidRPr="00283A5A">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4CFB30C4" wp14:editId="5B8A9F26">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567C27" w14:textId="3E997762" w:rsidR="00627C9F" w:rsidRPr="003375D3" w:rsidRDefault="009E566A" w:rsidP="009E566A">
                            <w:pPr>
                              <w:jc w:val="right"/>
                              <w:rPr>
                                <w:rFonts w:asciiTheme="minorHAnsi" w:hAnsiTheme="minorHAnsi"/>
                                <w:color w:val="FFFFFF" w:themeColor="background1"/>
                                <w:sz w:val="22"/>
                              </w:rPr>
                            </w:pPr>
                            <w:r w:rsidRPr="003375D3">
                              <w:rPr>
                                <w:rFonts w:asciiTheme="minorHAnsi" w:hAnsiTheme="minorHAnsi"/>
                                <w:color w:val="FFFFFF" w:themeColor="background1"/>
                                <w:sz w:val="22"/>
                              </w:rPr>
                              <w:t>OEA/</w:t>
                            </w:r>
                            <w:proofErr w:type="spellStart"/>
                            <w:r w:rsidRPr="003375D3">
                              <w:rPr>
                                <w:rFonts w:asciiTheme="minorHAnsi" w:hAnsiTheme="minorHAnsi"/>
                                <w:color w:val="FFFFFF" w:themeColor="background1"/>
                                <w:sz w:val="22"/>
                              </w:rPr>
                              <w:t>Ser.L</w:t>
                            </w:r>
                            <w:proofErr w:type="spellEnd"/>
                            <w:r w:rsidRPr="003375D3">
                              <w:rPr>
                                <w:rFonts w:asciiTheme="minorHAnsi" w:hAnsiTheme="minorHAnsi"/>
                                <w:color w:val="FFFFFF" w:themeColor="background1"/>
                                <w:sz w:val="22"/>
                              </w:rPr>
                              <w:t>/V/II.</w:t>
                            </w:r>
                          </w:p>
                          <w:p w14:paraId="10E5837E" w14:textId="72628270" w:rsidR="00627C9F" w:rsidRPr="003375D3" w:rsidRDefault="00CA6577" w:rsidP="009E566A">
                            <w:pPr>
                              <w:jc w:val="right"/>
                              <w:rPr>
                                <w:rFonts w:asciiTheme="minorHAnsi" w:hAnsiTheme="minorHAnsi"/>
                                <w:color w:val="FFFFFF" w:themeColor="background1"/>
                                <w:sz w:val="22"/>
                              </w:rPr>
                            </w:pPr>
                            <w:r w:rsidRPr="003375D3">
                              <w:rPr>
                                <w:rFonts w:asciiTheme="minorHAnsi" w:hAnsiTheme="minorHAnsi"/>
                                <w:color w:val="FFFFFF" w:themeColor="background1"/>
                                <w:sz w:val="22"/>
                              </w:rPr>
                              <w:t xml:space="preserve">Doc. </w:t>
                            </w:r>
                            <w:r w:rsidR="003375D3" w:rsidRPr="003375D3">
                              <w:rPr>
                                <w:rFonts w:asciiTheme="minorHAnsi" w:hAnsiTheme="minorHAnsi"/>
                                <w:color w:val="FFFFFF" w:themeColor="background1"/>
                                <w:sz w:val="22"/>
                              </w:rPr>
                              <w:t>5</w:t>
                            </w:r>
                            <w:r w:rsidR="003375D3">
                              <w:rPr>
                                <w:rFonts w:asciiTheme="minorHAnsi" w:hAnsiTheme="minorHAnsi"/>
                                <w:color w:val="FFFFFF" w:themeColor="background1"/>
                                <w:sz w:val="22"/>
                              </w:rPr>
                              <w:t>8</w:t>
                            </w:r>
                          </w:p>
                          <w:p w14:paraId="4FF22967" w14:textId="5521EE82" w:rsidR="00627C9F" w:rsidRPr="003375D3" w:rsidRDefault="003375D3" w:rsidP="009E566A">
                            <w:pPr>
                              <w:jc w:val="right"/>
                              <w:rPr>
                                <w:rFonts w:asciiTheme="minorHAnsi" w:hAnsiTheme="minorHAnsi"/>
                                <w:color w:val="FFFFFF" w:themeColor="background1"/>
                                <w:sz w:val="22"/>
                              </w:rPr>
                            </w:pPr>
                            <w:r>
                              <w:rPr>
                                <w:rFonts w:asciiTheme="minorHAnsi" w:hAnsiTheme="minorHAnsi"/>
                                <w:color w:val="FFFFFF" w:themeColor="background1"/>
                                <w:sz w:val="22"/>
                              </w:rPr>
                              <w:t>24 April</w:t>
                            </w:r>
                            <w:r w:rsidR="000C4365" w:rsidRPr="003375D3">
                              <w:rPr>
                                <w:rFonts w:asciiTheme="minorHAnsi" w:hAnsiTheme="minorHAnsi"/>
                                <w:color w:val="FFFFFF" w:themeColor="background1"/>
                                <w:sz w:val="22"/>
                              </w:rPr>
                              <w:t xml:space="preserve"> </w:t>
                            </w:r>
                            <w:r w:rsidR="00F42B71" w:rsidRPr="003375D3">
                              <w:rPr>
                                <w:rFonts w:asciiTheme="minorHAnsi" w:hAnsiTheme="minorHAnsi"/>
                                <w:color w:val="FFFFFF" w:themeColor="background1"/>
                                <w:sz w:val="22"/>
                              </w:rPr>
                              <w:t>20</w:t>
                            </w:r>
                            <w:r w:rsidR="00043E3E" w:rsidRPr="003375D3">
                              <w:rPr>
                                <w:rFonts w:asciiTheme="minorHAnsi" w:hAnsiTheme="minorHAnsi"/>
                                <w:color w:val="FFFFFF" w:themeColor="background1"/>
                                <w:sz w:val="22"/>
                              </w:rPr>
                              <w:t>19</w:t>
                            </w:r>
                          </w:p>
                          <w:p w14:paraId="182B3835" w14:textId="6162E9AB" w:rsidR="00627C9F" w:rsidRPr="00043E3E" w:rsidRDefault="00627C9F" w:rsidP="009E566A">
                            <w:pPr>
                              <w:jc w:val="right"/>
                              <w:rPr>
                                <w:rFonts w:asciiTheme="minorHAnsi" w:hAnsiTheme="minorHAnsi"/>
                                <w:color w:val="FFFFFF" w:themeColor="background1"/>
                                <w:sz w:val="22"/>
                              </w:rPr>
                            </w:pPr>
                            <w:r w:rsidRPr="003375D3">
                              <w:rPr>
                                <w:rFonts w:asciiTheme="minorHAnsi" w:hAnsiTheme="minorHAnsi"/>
                                <w:color w:val="FFFFFF" w:themeColor="background1"/>
                                <w:sz w:val="22"/>
                              </w:rPr>
                              <w:t>Original:</w:t>
                            </w:r>
                            <w:r w:rsidR="002C1641" w:rsidRPr="003375D3">
                              <w:rPr>
                                <w:rFonts w:asciiTheme="minorHAnsi" w:hAnsiTheme="minorHAnsi"/>
                                <w:color w:val="FFFFFF" w:themeColor="background1"/>
                                <w:sz w:val="22"/>
                              </w:rPr>
                              <w:t xml:space="preserve"> </w:t>
                            </w:r>
                            <w:r w:rsidR="00F42B71" w:rsidRPr="003375D3">
                              <w:rPr>
                                <w:rFonts w:asciiTheme="minorHAnsi" w:hAnsiTheme="minorHAnsi"/>
                                <w:color w:val="FFFFFF" w:themeColor="background1"/>
                                <w:sz w:val="22"/>
                              </w:rPr>
                              <w:t>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FB30C4"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" filled="f" stroked="f" strokeweight=".5pt">
                <v:textbox>
                  <w:txbxContent>
                    <w:p w14:paraId="00567C27" w14:textId="3E997762" w:rsidR="00627C9F" w:rsidRPr="003375D3" w:rsidRDefault="009E566A" w:rsidP="009E566A">
                      <w:pPr>
                        <w:jc w:val="right"/>
                        <w:rPr>
                          <w:rFonts w:asciiTheme="minorHAnsi" w:hAnsiTheme="minorHAnsi"/>
                          <w:color w:val="FFFFFF" w:themeColor="background1"/>
                          <w:sz w:val="22"/>
                        </w:rPr>
                      </w:pPr>
                      <w:r w:rsidRPr="003375D3">
                        <w:rPr>
                          <w:rFonts w:asciiTheme="minorHAnsi" w:hAnsiTheme="minorHAnsi"/>
                          <w:color w:val="FFFFFF" w:themeColor="background1"/>
                          <w:sz w:val="22"/>
                        </w:rPr>
                        <w:t>OEA/</w:t>
                      </w:r>
                      <w:proofErr w:type="spellStart"/>
                      <w:r w:rsidRPr="003375D3">
                        <w:rPr>
                          <w:rFonts w:asciiTheme="minorHAnsi" w:hAnsiTheme="minorHAnsi"/>
                          <w:color w:val="FFFFFF" w:themeColor="background1"/>
                          <w:sz w:val="22"/>
                        </w:rPr>
                        <w:t>Ser.L</w:t>
                      </w:r>
                      <w:proofErr w:type="spellEnd"/>
                      <w:r w:rsidRPr="003375D3">
                        <w:rPr>
                          <w:rFonts w:asciiTheme="minorHAnsi" w:hAnsiTheme="minorHAnsi"/>
                          <w:color w:val="FFFFFF" w:themeColor="background1"/>
                          <w:sz w:val="22"/>
                        </w:rPr>
                        <w:t>/V/II.</w:t>
                      </w:r>
                    </w:p>
                    <w:p w14:paraId="10E5837E" w14:textId="72628270" w:rsidR="00627C9F" w:rsidRPr="003375D3" w:rsidRDefault="00CA6577" w:rsidP="009E566A">
                      <w:pPr>
                        <w:jc w:val="right"/>
                        <w:rPr>
                          <w:rFonts w:asciiTheme="minorHAnsi" w:hAnsiTheme="minorHAnsi"/>
                          <w:color w:val="FFFFFF" w:themeColor="background1"/>
                          <w:sz w:val="22"/>
                        </w:rPr>
                      </w:pPr>
                      <w:r w:rsidRPr="003375D3">
                        <w:rPr>
                          <w:rFonts w:asciiTheme="minorHAnsi" w:hAnsiTheme="minorHAnsi"/>
                          <w:color w:val="FFFFFF" w:themeColor="background1"/>
                          <w:sz w:val="22"/>
                        </w:rPr>
                        <w:t xml:space="preserve">Doc. </w:t>
                      </w:r>
                      <w:r w:rsidR="003375D3" w:rsidRPr="003375D3">
                        <w:rPr>
                          <w:rFonts w:asciiTheme="minorHAnsi" w:hAnsiTheme="minorHAnsi"/>
                          <w:color w:val="FFFFFF" w:themeColor="background1"/>
                          <w:sz w:val="22"/>
                        </w:rPr>
                        <w:t>5</w:t>
                      </w:r>
                      <w:r w:rsidR="003375D3">
                        <w:rPr>
                          <w:rFonts w:asciiTheme="minorHAnsi" w:hAnsiTheme="minorHAnsi"/>
                          <w:color w:val="FFFFFF" w:themeColor="background1"/>
                          <w:sz w:val="22"/>
                        </w:rPr>
                        <w:t>8</w:t>
                      </w:r>
                    </w:p>
                    <w:p w14:paraId="4FF22967" w14:textId="5521EE82" w:rsidR="00627C9F" w:rsidRPr="003375D3" w:rsidRDefault="003375D3" w:rsidP="009E566A">
                      <w:pPr>
                        <w:jc w:val="right"/>
                        <w:rPr>
                          <w:rFonts w:asciiTheme="minorHAnsi" w:hAnsiTheme="minorHAnsi"/>
                          <w:color w:val="FFFFFF" w:themeColor="background1"/>
                          <w:sz w:val="22"/>
                        </w:rPr>
                      </w:pPr>
                      <w:r>
                        <w:rPr>
                          <w:rFonts w:asciiTheme="minorHAnsi" w:hAnsiTheme="minorHAnsi"/>
                          <w:color w:val="FFFFFF" w:themeColor="background1"/>
                          <w:sz w:val="22"/>
                        </w:rPr>
                        <w:t>24 April</w:t>
                      </w:r>
                      <w:r w:rsidR="000C4365" w:rsidRPr="003375D3">
                        <w:rPr>
                          <w:rFonts w:asciiTheme="minorHAnsi" w:hAnsiTheme="minorHAnsi"/>
                          <w:color w:val="FFFFFF" w:themeColor="background1"/>
                          <w:sz w:val="22"/>
                        </w:rPr>
                        <w:t xml:space="preserve"> </w:t>
                      </w:r>
                      <w:r w:rsidR="00F42B71" w:rsidRPr="003375D3">
                        <w:rPr>
                          <w:rFonts w:asciiTheme="minorHAnsi" w:hAnsiTheme="minorHAnsi"/>
                          <w:color w:val="FFFFFF" w:themeColor="background1"/>
                          <w:sz w:val="22"/>
                        </w:rPr>
                        <w:t>20</w:t>
                      </w:r>
                      <w:r w:rsidR="00043E3E" w:rsidRPr="003375D3">
                        <w:rPr>
                          <w:rFonts w:asciiTheme="minorHAnsi" w:hAnsiTheme="minorHAnsi"/>
                          <w:color w:val="FFFFFF" w:themeColor="background1"/>
                          <w:sz w:val="22"/>
                        </w:rPr>
                        <w:t>19</w:t>
                      </w:r>
                    </w:p>
                    <w:p w14:paraId="182B3835" w14:textId="6162E9AB" w:rsidR="00627C9F" w:rsidRPr="00043E3E" w:rsidRDefault="00627C9F" w:rsidP="009E566A">
                      <w:pPr>
                        <w:jc w:val="right"/>
                        <w:rPr>
                          <w:rFonts w:asciiTheme="minorHAnsi" w:hAnsiTheme="minorHAnsi"/>
                          <w:color w:val="FFFFFF" w:themeColor="background1"/>
                          <w:sz w:val="22"/>
                        </w:rPr>
                      </w:pPr>
                      <w:r w:rsidRPr="003375D3">
                        <w:rPr>
                          <w:rFonts w:asciiTheme="minorHAnsi" w:hAnsiTheme="minorHAnsi"/>
                          <w:color w:val="FFFFFF" w:themeColor="background1"/>
                          <w:sz w:val="22"/>
                        </w:rPr>
                        <w:t>Original:</w:t>
                      </w:r>
                      <w:r w:rsidR="002C1641" w:rsidRPr="003375D3">
                        <w:rPr>
                          <w:rFonts w:asciiTheme="minorHAnsi" w:hAnsiTheme="minorHAnsi"/>
                          <w:color w:val="FFFFFF" w:themeColor="background1"/>
                          <w:sz w:val="22"/>
                        </w:rPr>
                        <w:t xml:space="preserve"> </w:t>
                      </w:r>
                      <w:r w:rsidR="00F42B71" w:rsidRPr="003375D3">
                        <w:rPr>
                          <w:rFonts w:asciiTheme="minorHAnsi" w:hAnsiTheme="minorHAnsi"/>
                          <w:color w:val="FFFFFF" w:themeColor="background1"/>
                          <w:sz w:val="22"/>
                        </w:rPr>
                        <w:t>Spanish</w:t>
                      </w:r>
                    </w:p>
                  </w:txbxContent>
                </v:textbox>
              </v:shape>
            </w:pict>
          </mc:Fallback>
        </mc:AlternateContent>
      </w:r>
    </w:p>
    <w:p w14:paraId="5760E5C6" w14:textId="77777777" w:rsidR="00040C3A" w:rsidRPr="00283A5A" w:rsidRDefault="00040C3A" w:rsidP="00040C3A">
      <w:pPr>
        <w:tabs>
          <w:tab w:val="center" w:pos="5400"/>
        </w:tabs>
        <w:suppressAutoHyphens/>
        <w:jc w:val="center"/>
        <w:rPr>
          <w:rFonts w:asciiTheme="majorHAnsi" w:hAnsiTheme="majorHAnsi"/>
          <w:sz w:val="22"/>
          <w:szCs w:val="22"/>
        </w:rPr>
      </w:pPr>
    </w:p>
    <w:p w14:paraId="3B5BAF34" w14:textId="77777777" w:rsidR="00040C3A" w:rsidRPr="00283A5A" w:rsidRDefault="00040C3A" w:rsidP="00040C3A">
      <w:pPr>
        <w:tabs>
          <w:tab w:val="center" w:pos="5400"/>
        </w:tabs>
        <w:suppressAutoHyphens/>
        <w:jc w:val="center"/>
        <w:rPr>
          <w:rFonts w:asciiTheme="majorHAnsi" w:hAnsiTheme="majorHAnsi" w:cs="Arial"/>
          <w:sz w:val="22"/>
          <w:szCs w:val="22"/>
        </w:rPr>
      </w:pPr>
    </w:p>
    <w:p w14:paraId="475D224D" w14:textId="77777777" w:rsidR="00040C3A" w:rsidRPr="00283A5A" w:rsidRDefault="00040C3A" w:rsidP="00040C3A">
      <w:pPr>
        <w:tabs>
          <w:tab w:val="center" w:pos="5400"/>
        </w:tabs>
        <w:suppressAutoHyphens/>
        <w:jc w:val="center"/>
        <w:rPr>
          <w:rFonts w:asciiTheme="majorHAnsi" w:hAnsiTheme="majorHAnsi"/>
          <w:sz w:val="22"/>
          <w:szCs w:val="22"/>
        </w:rPr>
      </w:pPr>
    </w:p>
    <w:p w14:paraId="5AF9B797" w14:textId="77777777" w:rsidR="00040C3A" w:rsidRPr="00283A5A" w:rsidRDefault="00040C3A" w:rsidP="00040C3A">
      <w:pPr>
        <w:tabs>
          <w:tab w:val="center" w:pos="5400"/>
        </w:tabs>
        <w:suppressAutoHyphens/>
        <w:jc w:val="center"/>
        <w:rPr>
          <w:rFonts w:asciiTheme="majorHAnsi" w:hAnsiTheme="majorHAnsi"/>
          <w:sz w:val="22"/>
          <w:szCs w:val="22"/>
        </w:rPr>
      </w:pPr>
    </w:p>
    <w:p w14:paraId="390510F8" w14:textId="77777777" w:rsidR="00040C3A" w:rsidRPr="00283A5A" w:rsidRDefault="00040C3A" w:rsidP="00040C3A">
      <w:pPr>
        <w:tabs>
          <w:tab w:val="center" w:pos="5400"/>
        </w:tabs>
        <w:suppressAutoHyphens/>
        <w:jc w:val="center"/>
        <w:rPr>
          <w:rFonts w:asciiTheme="majorHAnsi" w:hAnsiTheme="majorHAnsi"/>
          <w:sz w:val="22"/>
          <w:szCs w:val="22"/>
        </w:rPr>
      </w:pPr>
    </w:p>
    <w:p w14:paraId="1268D044" w14:textId="77777777" w:rsidR="00040C3A" w:rsidRPr="00283A5A" w:rsidRDefault="00040C3A" w:rsidP="00040C3A">
      <w:pPr>
        <w:tabs>
          <w:tab w:val="center" w:pos="5400"/>
        </w:tabs>
        <w:suppressAutoHyphens/>
        <w:jc w:val="center"/>
        <w:rPr>
          <w:rFonts w:asciiTheme="majorHAnsi" w:hAnsiTheme="majorHAnsi"/>
          <w:sz w:val="22"/>
          <w:szCs w:val="22"/>
        </w:rPr>
      </w:pPr>
    </w:p>
    <w:p w14:paraId="5A0A6FD5" w14:textId="77777777" w:rsidR="005128E4" w:rsidRPr="00283A5A" w:rsidRDefault="005128E4" w:rsidP="00040C3A">
      <w:pPr>
        <w:tabs>
          <w:tab w:val="center" w:pos="5400"/>
        </w:tabs>
        <w:suppressAutoHyphens/>
        <w:jc w:val="center"/>
        <w:rPr>
          <w:rFonts w:asciiTheme="majorHAnsi" w:hAnsiTheme="majorHAnsi"/>
          <w:sz w:val="22"/>
          <w:szCs w:val="22"/>
        </w:rPr>
      </w:pPr>
    </w:p>
    <w:p w14:paraId="5D7121E2" w14:textId="77777777" w:rsidR="00040C3A" w:rsidRPr="00283A5A" w:rsidRDefault="00040C3A" w:rsidP="00040C3A">
      <w:pPr>
        <w:tabs>
          <w:tab w:val="center" w:pos="5400"/>
        </w:tabs>
        <w:suppressAutoHyphens/>
        <w:jc w:val="center"/>
        <w:rPr>
          <w:rFonts w:asciiTheme="majorHAnsi" w:hAnsiTheme="majorHAnsi"/>
          <w:sz w:val="22"/>
          <w:szCs w:val="22"/>
        </w:rPr>
      </w:pPr>
    </w:p>
    <w:p w14:paraId="582DBD55" w14:textId="77777777" w:rsidR="005128E4" w:rsidRPr="00283A5A" w:rsidRDefault="005128E4" w:rsidP="00040C3A">
      <w:pPr>
        <w:tabs>
          <w:tab w:val="center" w:pos="5400"/>
        </w:tabs>
        <w:suppressAutoHyphens/>
        <w:jc w:val="center"/>
        <w:rPr>
          <w:rFonts w:asciiTheme="majorHAnsi" w:hAnsiTheme="majorHAnsi"/>
          <w:sz w:val="22"/>
          <w:szCs w:val="22"/>
        </w:rPr>
      </w:pPr>
    </w:p>
    <w:p w14:paraId="6DC544BC" w14:textId="77777777" w:rsidR="005128E4" w:rsidRPr="00283A5A" w:rsidRDefault="005128E4" w:rsidP="00040C3A">
      <w:pPr>
        <w:tabs>
          <w:tab w:val="center" w:pos="5400"/>
        </w:tabs>
        <w:suppressAutoHyphens/>
        <w:jc w:val="center"/>
        <w:rPr>
          <w:rFonts w:asciiTheme="majorHAnsi" w:hAnsiTheme="majorHAnsi"/>
          <w:sz w:val="22"/>
          <w:szCs w:val="22"/>
        </w:rPr>
      </w:pPr>
    </w:p>
    <w:p w14:paraId="43EADEDA" w14:textId="77777777" w:rsidR="005128E4" w:rsidRPr="00283A5A" w:rsidRDefault="005128E4" w:rsidP="00040C3A">
      <w:pPr>
        <w:tabs>
          <w:tab w:val="center" w:pos="5400"/>
        </w:tabs>
        <w:suppressAutoHyphens/>
        <w:jc w:val="center"/>
        <w:rPr>
          <w:rFonts w:asciiTheme="majorHAnsi" w:hAnsiTheme="majorHAnsi"/>
          <w:sz w:val="22"/>
          <w:szCs w:val="22"/>
        </w:rPr>
      </w:pPr>
    </w:p>
    <w:p w14:paraId="24742318" w14:textId="77777777" w:rsidR="00040C3A" w:rsidRPr="00283A5A" w:rsidRDefault="00040C3A" w:rsidP="00040C3A">
      <w:pPr>
        <w:tabs>
          <w:tab w:val="center" w:pos="5400"/>
        </w:tabs>
        <w:suppressAutoHyphens/>
        <w:jc w:val="center"/>
        <w:rPr>
          <w:rFonts w:asciiTheme="majorHAnsi" w:hAnsiTheme="majorHAnsi"/>
          <w:sz w:val="22"/>
          <w:szCs w:val="22"/>
        </w:rPr>
      </w:pPr>
    </w:p>
    <w:p w14:paraId="167317A7" w14:textId="77777777" w:rsidR="00040C3A" w:rsidRPr="00283A5A" w:rsidRDefault="00040C3A" w:rsidP="00040C3A">
      <w:pPr>
        <w:tabs>
          <w:tab w:val="center" w:pos="5400"/>
        </w:tabs>
        <w:suppressAutoHyphens/>
        <w:jc w:val="center"/>
        <w:rPr>
          <w:rFonts w:asciiTheme="majorHAnsi" w:hAnsiTheme="majorHAnsi"/>
          <w:sz w:val="22"/>
          <w:szCs w:val="22"/>
        </w:rPr>
      </w:pPr>
    </w:p>
    <w:p w14:paraId="585F2387" w14:textId="77777777" w:rsidR="002C1641" w:rsidRPr="00283A5A" w:rsidRDefault="002C1641" w:rsidP="00040C3A">
      <w:pPr>
        <w:tabs>
          <w:tab w:val="center" w:pos="5400"/>
        </w:tabs>
        <w:suppressAutoHyphens/>
        <w:jc w:val="center"/>
        <w:rPr>
          <w:rFonts w:asciiTheme="majorHAnsi" w:hAnsiTheme="majorHAnsi"/>
          <w:sz w:val="18"/>
          <w:szCs w:val="22"/>
        </w:rPr>
      </w:pPr>
    </w:p>
    <w:p w14:paraId="54E2E548" w14:textId="77777777" w:rsidR="002C1641" w:rsidRPr="00283A5A" w:rsidRDefault="002C1641" w:rsidP="00040C3A">
      <w:pPr>
        <w:tabs>
          <w:tab w:val="center" w:pos="5400"/>
        </w:tabs>
        <w:suppressAutoHyphens/>
        <w:jc w:val="center"/>
        <w:rPr>
          <w:rFonts w:asciiTheme="majorHAnsi" w:hAnsiTheme="majorHAnsi"/>
          <w:sz w:val="18"/>
          <w:szCs w:val="22"/>
        </w:rPr>
      </w:pPr>
    </w:p>
    <w:p w14:paraId="1F82E2EF" w14:textId="77777777" w:rsidR="002C1641" w:rsidRPr="00283A5A" w:rsidRDefault="002C1641" w:rsidP="00040C3A">
      <w:pPr>
        <w:tabs>
          <w:tab w:val="center" w:pos="5400"/>
        </w:tabs>
        <w:suppressAutoHyphens/>
        <w:jc w:val="center"/>
        <w:rPr>
          <w:rFonts w:asciiTheme="majorHAnsi" w:hAnsiTheme="majorHAnsi"/>
          <w:sz w:val="18"/>
          <w:szCs w:val="22"/>
        </w:rPr>
      </w:pPr>
    </w:p>
    <w:p w14:paraId="7B48B440" w14:textId="77777777" w:rsidR="002C1641" w:rsidRPr="00283A5A" w:rsidRDefault="002C1641" w:rsidP="00040C3A">
      <w:pPr>
        <w:tabs>
          <w:tab w:val="center" w:pos="5400"/>
        </w:tabs>
        <w:suppressAutoHyphens/>
        <w:jc w:val="center"/>
        <w:rPr>
          <w:rFonts w:asciiTheme="majorHAnsi" w:hAnsiTheme="majorHAnsi"/>
          <w:sz w:val="18"/>
          <w:szCs w:val="22"/>
        </w:rPr>
      </w:pPr>
    </w:p>
    <w:p w14:paraId="2F37FBC1" w14:textId="77777777" w:rsidR="002C1641" w:rsidRPr="00283A5A" w:rsidRDefault="002C1641" w:rsidP="00040C3A">
      <w:pPr>
        <w:tabs>
          <w:tab w:val="center" w:pos="5400"/>
        </w:tabs>
        <w:suppressAutoHyphens/>
        <w:jc w:val="center"/>
        <w:rPr>
          <w:rFonts w:asciiTheme="majorHAnsi" w:hAnsiTheme="majorHAnsi"/>
          <w:sz w:val="18"/>
          <w:szCs w:val="22"/>
        </w:rPr>
      </w:pPr>
    </w:p>
    <w:p w14:paraId="11C1E260" w14:textId="77777777" w:rsidR="002C1641" w:rsidRPr="00283A5A" w:rsidRDefault="002C1641" w:rsidP="00040C3A">
      <w:pPr>
        <w:tabs>
          <w:tab w:val="center" w:pos="5400"/>
        </w:tabs>
        <w:suppressAutoHyphens/>
        <w:jc w:val="center"/>
        <w:rPr>
          <w:rFonts w:asciiTheme="majorHAnsi" w:hAnsiTheme="majorHAnsi"/>
          <w:sz w:val="18"/>
          <w:szCs w:val="22"/>
        </w:rPr>
      </w:pPr>
    </w:p>
    <w:p w14:paraId="56162662" w14:textId="77777777" w:rsidR="002C1641" w:rsidRPr="00283A5A" w:rsidRDefault="002C1641" w:rsidP="00040C3A">
      <w:pPr>
        <w:tabs>
          <w:tab w:val="center" w:pos="5400"/>
        </w:tabs>
        <w:suppressAutoHyphens/>
        <w:jc w:val="center"/>
        <w:rPr>
          <w:rFonts w:asciiTheme="majorHAnsi" w:hAnsiTheme="majorHAnsi"/>
          <w:sz w:val="18"/>
          <w:szCs w:val="22"/>
        </w:rPr>
      </w:pPr>
    </w:p>
    <w:p w14:paraId="2ACB6F92" w14:textId="77777777" w:rsidR="002C1641" w:rsidRPr="00283A5A" w:rsidRDefault="002C1641" w:rsidP="00040C3A">
      <w:pPr>
        <w:tabs>
          <w:tab w:val="center" w:pos="5400"/>
        </w:tabs>
        <w:suppressAutoHyphens/>
        <w:jc w:val="center"/>
        <w:rPr>
          <w:rFonts w:asciiTheme="majorHAnsi" w:hAnsiTheme="majorHAnsi"/>
          <w:sz w:val="18"/>
          <w:szCs w:val="22"/>
        </w:rPr>
      </w:pPr>
    </w:p>
    <w:p w14:paraId="5983F214" w14:textId="77777777" w:rsidR="002C1641" w:rsidRPr="00283A5A" w:rsidRDefault="002C1641" w:rsidP="00040C3A">
      <w:pPr>
        <w:tabs>
          <w:tab w:val="center" w:pos="5400"/>
        </w:tabs>
        <w:suppressAutoHyphens/>
        <w:jc w:val="center"/>
        <w:rPr>
          <w:rFonts w:asciiTheme="majorHAnsi" w:hAnsiTheme="majorHAnsi"/>
          <w:sz w:val="18"/>
          <w:szCs w:val="22"/>
        </w:rPr>
      </w:pPr>
    </w:p>
    <w:p w14:paraId="35EAD264" w14:textId="77777777" w:rsidR="002C1641" w:rsidRPr="00283A5A" w:rsidRDefault="002C1641" w:rsidP="00040C3A">
      <w:pPr>
        <w:tabs>
          <w:tab w:val="center" w:pos="5400"/>
        </w:tabs>
        <w:suppressAutoHyphens/>
        <w:jc w:val="center"/>
        <w:rPr>
          <w:rFonts w:asciiTheme="majorHAnsi" w:hAnsiTheme="majorHAnsi"/>
          <w:sz w:val="18"/>
          <w:szCs w:val="22"/>
        </w:rPr>
      </w:pPr>
    </w:p>
    <w:p w14:paraId="0C961A1A" w14:textId="77777777" w:rsidR="002C1641" w:rsidRPr="00283A5A" w:rsidRDefault="002C1641" w:rsidP="00040C3A">
      <w:pPr>
        <w:tabs>
          <w:tab w:val="center" w:pos="5400"/>
        </w:tabs>
        <w:suppressAutoHyphens/>
        <w:jc w:val="center"/>
        <w:rPr>
          <w:rFonts w:asciiTheme="majorHAnsi" w:hAnsiTheme="majorHAnsi"/>
          <w:sz w:val="18"/>
          <w:szCs w:val="22"/>
        </w:rPr>
      </w:pPr>
    </w:p>
    <w:p w14:paraId="75740DC4" w14:textId="77777777" w:rsidR="002C1641" w:rsidRPr="00283A5A" w:rsidRDefault="002C1641" w:rsidP="00040C3A">
      <w:pPr>
        <w:tabs>
          <w:tab w:val="center" w:pos="5400"/>
        </w:tabs>
        <w:suppressAutoHyphens/>
        <w:jc w:val="center"/>
        <w:rPr>
          <w:rFonts w:asciiTheme="majorHAnsi" w:hAnsiTheme="majorHAnsi"/>
          <w:sz w:val="18"/>
          <w:szCs w:val="22"/>
        </w:rPr>
      </w:pPr>
    </w:p>
    <w:p w14:paraId="00410C7F" w14:textId="77777777" w:rsidR="002C1641" w:rsidRPr="00283A5A" w:rsidRDefault="003C32BC" w:rsidP="00040C3A">
      <w:pPr>
        <w:tabs>
          <w:tab w:val="center" w:pos="5400"/>
        </w:tabs>
        <w:suppressAutoHyphens/>
        <w:jc w:val="center"/>
        <w:rPr>
          <w:rFonts w:asciiTheme="majorHAnsi" w:hAnsiTheme="majorHAnsi"/>
          <w:sz w:val="18"/>
          <w:szCs w:val="22"/>
        </w:rPr>
      </w:pPr>
      <w:r w:rsidRPr="00283A5A">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70086DBD" wp14:editId="00AD0A26">
                <wp:simplePos x="0" y="0"/>
                <wp:positionH relativeFrom="column">
                  <wp:posOffset>1209675</wp:posOffset>
                </wp:positionH>
                <wp:positionV relativeFrom="paragraph">
                  <wp:posOffset>6985</wp:posOffset>
                </wp:positionV>
                <wp:extent cx="4595495" cy="561340"/>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5613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9E53FA3" w14:textId="4B1D2970" w:rsidR="00D514D0" w:rsidRPr="00D514D0" w:rsidRDefault="00D514D0" w:rsidP="00D514D0">
                            <w:pPr>
                              <w:tabs>
                                <w:tab w:val="center" w:pos="5400"/>
                              </w:tabs>
                              <w:suppressAutoHyphens/>
                              <w:spacing w:before="60"/>
                              <w:rPr>
                                <w:rFonts w:asciiTheme="majorHAnsi" w:hAnsiTheme="majorHAnsi"/>
                                <w:color w:val="0D0D0D" w:themeColor="text1" w:themeTint="F2"/>
                                <w:sz w:val="18"/>
                                <w:szCs w:val="22"/>
                              </w:rPr>
                            </w:pPr>
                            <w:r w:rsidRPr="00D514D0">
                              <w:rPr>
                                <w:rFonts w:asciiTheme="majorHAnsi" w:hAnsiTheme="majorHAnsi"/>
                                <w:color w:val="0D0D0D" w:themeColor="text1" w:themeTint="F2"/>
                                <w:sz w:val="18"/>
                                <w:szCs w:val="22"/>
                              </w:rPr>
                              <w:t xml:space="preserve">Electronically approved by the Commission on </w:t>
                            </w:r>
                            <w:r w:rsidR="003375D3">
                              <w:rPr>
                                <w:rFonts w:asciiTheme="majorHAnsi" w:hAnsiTheme="majorHAnsi"/>
                                <w:color w:val="0D0D0D" w:themeColor="text1" w:themeTint="F2"/>
                                <w:sz w:val="18"/>
                                <w:szCs w:val="22"/>
                              </w:rPr>
                              <w:t>April 24</w:t>
                            </w:r>
                            <w:r w:rsidRPr="00D514D0">
                              <w:rPr>
                                <w:rFonts w:asciiTheme="majorHAnsi" w:hAnsiTheme="majorHAnsi"/>
                                <w:color w:val="0D0D0D" w:themeColor="text1" w:themeTint="F2"/>
                                <w:sz w:val="18"/>
                                <w:szCs w:val="22"/>
                              </w:rPr>
                              <w:t>, 201</w:t>
                            </w:r>
                            <w:r w:rsidR="003375D3">
                              <w:rPr>
                                <w:rFonts w:asciiTheme="majorHAnsi" w:hAnsiTheme="majorHAnsi"/>
                                <w:color w:val="0D0D0D" w:themeColor="text1" w:themeTint="F2"/>
                                <w:sz w:val="18"/>
                                <w:szCs w:val="22"/>
                              </w:rPr>
                              <w:t>9</w:t>
                            </w:r>
                          </w:p>
                          <w:p w14:paraId="40488A0F" w14:textId="77777777" w:rsidR="00D514D0" w:rsidRPr="003C32BC" w:rsidRDefault="00D514D0" w:rsidP="004165C2">
                            <w:pPr>
                              <w:tabs>
                                <w:tab w:val="center" w:pos="5400"/>
                              </w:tabs>
                              <w:suppressAutoHyphens/>
                              <w:spacing w:before="60"/>
                              <w:rPr>
                                <w:rFonts w:asciiTheme="majorHAnsi" w:hAnsiTheme="majorHAnsi"/>
                                <w:color w:val="0D0D0D" w:themeColor="text1" w:themeTint="F2"/>
                                <w:sz w:val="18"/>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086DBD" id="Text Box 7" o:spid="_x0000_s1029" type="#_x0000_t202" style="position:absolute;left:0;text-align:left;margin-left:95.25pt;margin-top:.55pt;width:361.85pt;height:44.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" filled="f" stroked="f" strokeweight=".5pt">
                <v:textbox>
                  <w:txbxContent>
                    <w:p w14:paraId="39E53FA3" w14:textId="4B1D2970" w:rsidR="00D514D0" w:rsidRPr="00D514D0" w:rsidRDefault="00D514D0" w:rsidP="00D514D0">
                      <w:pPr>
                        <w:tabs>
                          <w:tab w:val="center" w:pos="5400"/>
                        </w:tabs>
                        <w:suppressAutoHyphens/>
                        <w:spacing w:before="60"/>
                        <w:rPr>
                          <w:rFonts w:asciiTheme="majorHAnsi" w:hAnsiTheme="majorHAnsi"/>
                          <w:color w:val="0D0D0D" w:themeColor="text1" w:themeTint="F2"/>
                          <w:sz w:val="18"/>
                          <w:szCs w:val="22"/>
                        </w:rPr>
                      </w:pPr>
                      <w:r w:rsidRPr="00D514D0">
                        <w:rPr>
                          <w:rFonts w:asciiTheme="majorHAnsi" w:hAnsiTheme="majorHAnsi"/>
                          <w:color w:val="0D0D0D" w:themeColor="text1" w:themeTint="F2"/>
                          <w:sz w:val="18"/>
                          <w:szCs w:val="22"/>
                        </w:rPr>
                        <w:t xml:space="preserve">Electronically approved by the Commission on </w:t>
                      </w:r>
                      <w:r w:rsidR="003375D3">
                        <w:rPr>
                          <w:rFonts w:asciiTheme="majorHAnsi" w:hAnsiTheme="majorHAnsi"/>
                          <w:color w:val="0D0D0D" w:themeColor="text1" w:themeTint="F2"/>
                          <w:sz w:val="18"/>
                          <w:szCs w:val="22"/>
                        </w:rPr>
                        <w:t>April 24</w:t>
                      </w:r>
                      <w:r w:rsidRPr="00D514D0">
                        <w:rPr>
                          <w:rFonts w:asciiTheme="majorHAnsi" w:hAnsiTheme="majorHAnsi"/>
                          <w:color w:val="0D0D0D" w:themeColor="text1" w:themeTint="F2"/>
                          <w:sz w:val="18"/>
                          <w:szCs w:val="22"/>
                        </w:rPr>
                        <w:t>, 201</w:t>
                      </w:r>
                      <w:r w:rsidR="003375D3">
                        <w:rPr>
                          <w:rFonts w:asciiTheme="majorHAnsi" w:hAnsiTheme="majorHAnsi"/>
                          <w:color w:val="0D0D0D" w:themeColor="text1" w:themeTint="F2"/>
                          <w:sz w:val="18"/>
                          <w:szCs w:val="22"/>
                        </w:rPr>
                        <w:t>9</w:t>
                      </w:r>
                    </w:p>
                    <w:p w14:paraId="40488A0F" w14:textId="77777777" w:rsidR="00D514D0" w:rsidRPr="003C32BC" w:rsidRDefault="00D514D0" w:rsidP="004165C2">
                      <w:pPr>
                        <w:tabs>
                          <w:tab w:val="center" w:pos="5400"/>
                        </w:tabs>
                        <w:suppressAutoHyphens/>
                        <w:spacing w:before="60"/>
                        <w:rPr>
                          <w:rFonts w:asciiTheme="majorHAnsi" w:hAnsiTheme="majorHAnsi"/>
                          <w:color w:val="0D0D0D" w:themeColor="text1" w:themeTint="F2"/>
                          <w:sz w:val="18"/>
                          <w:szCs w:val="22"/>
                        </w:rPr>
                      </w:pPr>
                    </w:p>
                  </w:txbxContent>
                </v:textbox>
              </v:shape>
            </w:pict>
          </mc:Fallback>
        </mc:AlternateContent>
      </w:r>
    </w:p>
    <w:p w14:paraId="5A891404" w14:textId="77777777" w:rsidR="002C1641" w:rsidRPr="00283A5A" w:rsidRDefault="002C1641" w:rsidP="00040C3A">
      <w:pPr>
        <w:tabs>
          <w:tab w:val="center" w:pos="5400"/>
        </w:tabs>
        <w:suppressAutoHyphens/>
        <w:jc w:val="center"/>
        <w:rPr>
          <w:rFonts w:asciiTheme="majorHAnsi" w:hAnsiTheme="majorHAnsi"/>
          <w:sz w:val="18"/>
          <w:szCs w:val="22"/>
        </w:rPr>
      </w:pPr>
    </w:p>
    <w:p w14:paraId="57D1B9EA" w14:textId="77777777" w:rsidR="002C1641" w:rsidRPr="00283A5A" w:rsidRDefault="002C1641" w:rsidP="00040C3A">
      <w:pPr>
        <w:tabs>
          <w:tab w:val="center" w:pos="5400"/>
        </w:tabs>
        <w:suppressAutoHyphens/>
        <w:jc w:val="center"/>
        <w:rPr>
          <w:rFonts w:asciiTheme="majorHAnsi" w:hAnsiTheme="majorHAnsi"/>
          <w:sz w:val="18"/>
          <w:szCs w:val="22"/>
        </w:rPr>
      </w:pPr>
    </w:p>
    <w:p w14:paraId="23D633C8" w14:textId="77777777" w:rsidR="002C1641" w:rsidRPr="00283A5A" w:rsidRDefault="002C1641" w:rsidP="00040C3A">
      <w:pPr>
        <w:tabs>
          <w:tab w:val="center" w:pos="5400"/>
        </w:tabs>
        <w:suppressAutoHyphens/>
        <w:jc w:val="center"/>
        <w:rPr>
          <w:rFonts w:asciiTheme="majorHAnsi" w:hAnsiTheme="majorHAnsi"/>
          <w:sz w:val="18"/>
          <w:szCs w:val="22"/>
        </w:rPr>
      </w:pPr>
    </w:p>
    <w:p w14:paraId="6B8D371A" w14:textId="77777777" w:rsidR="002C1641" w:rsidRPr="00283A5A" w:rsidRDefault="002C1641" w:rsidP="00040C3A">
      <w:pPr>
        <w:tabs>
          <w:tab w:val="center" w:pos="5400"/>
        </w:tabs>
        <w:suppressAutoHyphens/>
        <w:jc w:val="center"/>
        <w:rPr>
          <w:rFonts w:asciiTheme="majorHAnsi" w:hAnsiTheme="majorHAnsi"/>
          <w:sz w:val="18"/>
          <w:szCs w:val="22"/>
        </w:rPr>
      </w:pPr>
    </w:p>
    <w:p w14:paraId="2387CA2C" w14:textId="77777777" w:rsidR="002C1641" w:rsidRPr="00283A5A" w:rsidRDefault="003C32BC" w:rsidP="00040C3A">
      <w:pPr>
        <w:tabs>
          <w:tab w:val="center" w:pos="5400"/>
        </w:tabs>
        <w:suppressAutoHyphens/>
        <w:jc w:val="center"/>
        <w:rPr>
          <w:rFonts w:asciiTheme="majorHAnsi" w:hAnsiTheme="majorHAnsi"/>
          <w:sz w:val="18"/>
          <w:szCs w:val="22"/>
        </w:rPr>
      </w:pPr>
      <w:r w:rsidRPr="00283A5A">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18AAC621" wp14:editId="6A7F90D7">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52C62DE" w14:textId="3E46940B" w:rsidR="00F644E6" w:rsidRPr="003C32BC" w:rsidRDefault="00F644E6" w:rsidP="00043E3E">
                            <w:pPr>
                              <w:spacing w:line="276" w:lineRule="auto"/>
                              <w:jc w:val="both"/>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00043E3E" w:rsidRPr="00E8662E">
                              <w:rPr>
                                <w:rFonts w:asciiTheme="majorHAnsi" w:hAnsiTheme="majorHAnsi"/>
                                <w:color w:val="595959" w:themeColor="text1" w:themeTint="A6"/>
                                <w:sz w:val="18"/>
                                <w:szCs w:val="18"/>
                              </w:rPr>
                              <w:t xml:space="preserve">IACHR, Report No. </w:t>
                            </w:r>
                            <w:r w:rsidR="003375D3">
                              <w:rPr>
                                <w:rFonts w:asciiTheme="majorHAnsi" w:hAnsiTheme="majorHAnsi"/>
                                <w:color w:val="595959" w:themeColor="text1" w:themeTint="A6"/>
                                <w:sz w:val="18"/>
                                <w:szCs w:val="18"/>
                              </w:rPr>
                              <w:t>49</w:t>
                            </w:r>
                            <w:r w:rsidR="00043E3E" w:rsidRPr="00E8662E">
                              <w:rPr>
                                <w:rFonts w:asciiTheme="majorHAnsi" w:hAnsiTheme="majorHAnsi"/>
                                <w:color w:val="595959" w:themeColor="text1" w:themeTint="A6"/>
                                <w:sz w:val="18"/>
                                <w:szCs w:val="18"/>
                              </w:rPr>
                              <w:t>/</w:t>
                            </w:r>
                            <w:r w:rsidR="003375D3">
                              <w:rPr>
                                <w:rFonts w:asciiTheme="majorHAnsi" w:hAnsiTheme="majorHAnsi"/>
                                <w:color w:val="595959" w:themeColor="text1" w:themeTint="A6"/>
                                <w:sz w:val="18"/>
                                <w:szCs w:val="18"/>
                              </w:rPr>
                              <w:t>19</w:t>
                            </w:r>
                            <w:r w:rsidR="00043E3E" w:rsidRPr="00E8662E">
                              <w:rPr>
                                <w:rFonts w:asciiTheme="majorHAnsi" w:hAnsiTheme="majorHAnsi"/>
                                <w:color w:val="595959" w:themeColor="text1" w:themeTint="A6"/>
                                <w:sz w:val="18"/>
                                <w:szCs w:val="18"/>
                              </w:rPr>
                              <w:t xml:space="preserve">. Petition 722-10. Admissibility. Hawin Parra and Relatives. </w:t>
                            </w:r>
                            <w:r w:rsidR="00043E3E" w:rsidRPr="00E8662E">
                              <w:rPr>
                                <w:rFonts w:asciiTheme="majorHAnsi" w:hAnsiTheme="majorHAnsi"/>
                                <w:color w:val="595959" w:themeColor="text1" w:themeTint="A6"/>
                                <w:sz w:val="18"/>
                                <w:szCs w:val="18"/>
                                <w:lang w:val="pt-BR"/>
                              </w:rPr>
                              <w:t xml:space="preserve">Colombia. </w:t>
                            </w:r>
                            <w:r w:rsidR="003375D3">
                              <w:rPr>
                                <w:rFonts w:asciiTheme="majorHAnsi" w:hAnsiTheme="majorHAnsi"/>
                                <w:color w:val="595959" w:themeColor="text1" w:themeTint="A6"/>
                                <w:sz w:val="18"/>
                                <w:szCs w:val="18"/>
                                <w:lang w:val="pt-BR"/>
                              </w:rPr>
                              <w:t>April 24, 2019</w:t>
                            </w:r>
                            <w:r w:rsidR="00043E3E" w:rsidRPr="00E8662E">
                              <w:rPr>
                                <w:rFonts w:asciiTheme="majorHAnsi" w:hAnsiTheme="majorHAnsi"/>
                                <w:color w:val="595959" w:themeColor="text1" w:themeTint="A6"/>
                                <w:sz w:val="18"/>
                                <w:szCs w:val="18"/>
                                <w:lang w:val="pt-BR"/>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AAC621"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" filled="f" stroked="f" strokeweight=".5pt">
                <v:textbox>
                  <w:txbxContent>
                    <w:p w14:paraId="252C62DE" w14:textId="3E46940B" w:rsidR="00F644E6" w:rsidRPr="003C32BC" w:rsidRDefault="00F644E6" w:rsidP="00043E3E">
                      <w:pPr>
                        <w:spacing w:line="276" w:lineRule="auto"/>
                        <w:jc w:val="both"/>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00043E3E" w:rsidRPr="00E8662E">
                        <w:rPr>
                          <w:rFonts w:asciiTheme="majorHAnsi" w:hAnsiTheme="majorHAnsi"/>
                          <w:color w:val="595959" w:themeColor="text1" w:themeTint="A6"/>
                          <w:sz w:val="18"/>
                          <w:szCs w:val="18"/>
                        </w:rPr>
                        <w:t xml:space="preserve">IACHR, Report No. </w:t>
                      </w:r>
                      <w:r w:rsidR="003375D3">
                        <w:rPr>
                          <w:rFonts w:asciiTheme="majorHAnsi" w:hAnsiTheme="majorHAnsi"/>
                          <w:color w:val="595959" w:themeColor="text1" w:themeTint="A6"/>
                          <w:sz w:val="18"/>
                          <w:szCs w:val="18"/>
                        </w:rPr>
                        <w:t>49</w:t>
                      </w:r>
                      <w:r w:rsidR="00043E3E" w:rsidRPr="00E8662E">
                        <w:rPr>
                          <w:rFonts w:asciiTheme="majorHAnsi" w:hAnsiTheme="majorHAnsi"/>
                          <w:color w:val="595959" w:themeColor="text1" w:themeTint="A6"/>
                          <w:sz w:val="18"/>
                          <w:szCs w:val="18"/>
                        </w:rPr>
                        <w:t>/</w:t>
                      </w:r>
                      <w:r w:rsidR="003375D3">
                        <w:rPr>
                          <w:rFonts w:asciiTheme="majorHAnsi" w:hAnsiTheme="majorHAnsi"/>
                          <w:color w:val="595959" w:themeColor="text1" w:themeTint="A6"/>
                          <w:sz w:val="18"/>
                          <w:szCs w:val="18"/>
                        </w:rPr>
                        <w:t>19</w:t>
                      </w:r>
                      <w:r w:rsidR="00043E3E" w:rsidRPr="00E8662E">
                        <w:rPr>
                          <w:rFonts w:asciiTheme="majorHAnsi" w:hAnsiTheme="majorHAnsi"/>
                          <w:color w:val="595959" w:themeColor="text1" w:themeTint="A6"/>
                          <w:sz w:val="18"/>
                          <w:szCs w:val="18"/>
                        </w:rPr>
                        <w:t xml:space="preserve">. Petition 722-10. Admissibility. Hawin Parra and Relatives. </w:t>
                      </w:r>
                      <w:r w:rsidR="00043E3E" w:rsidRPr="00E8662E">
                        <w:rPr>
                          <w:rFonts w:asciiTheme="majorHAnsi" w:hAnsiTheme="majorHAnsi"/>
                          <w:color w:val="595959" w:themeColor="text1" w:themeTint="A6"/>
                          <w:sz w:val="18"/>
                          <w:szCs w:val="18"/>
                          <w:lang w:val="pt-BR"/>
                        </w:rPr>
                        <w:t xml:space="preserve">Colombia. </w:t>
                      </w:r>
                      <w:r w:rsidR="003375D3">
                        <w:rPr>
                          <w:rFonts w:asciiTheme="majorHAnsi" w:hAnsiTheme="majorHAnsi"/>
                          <w:color w:val="595959" w:themeColor="text1" w:themeTint="A6"/>
                          <w:sz w:val="18"/>
                          <w:szCs w:val="18"/>
                          <w:lang w:val="pt-BR"/>
                        </w:rPr>
                        <w:t>April 24, 2019</w:t>
                      </w:r>
                      <w:r w:rsidR="00043E3E" w:rsidRPr="00E8662E">
                        <w:rPr>
                          <w:rFonts w:asciiTheme="majorHAnsi" w:hAnsiTheme="majorHAnsi"/>
                          <w:color w:val="595959" w:themeColor="text1" w:themeTint="A6"/>
                          <w:sz w:val="18"/>
                          <w:szCs w:val="18"/>
                          <w:lang w:val="pt-BR"/>
                        </w:rPr>
                        <w:t>.</w:t>
                      </w:r>
                    </w:p>
                  </w:txbxContent>
                </v:textbox>
              </v:shape>
            </w:pict>
          </mc:Fallback>
        </mc:AlternateContent>
      </w:r>
    </w:p>
    <w:p w14:paraId="2B63B8DA" w14:textId="77777777" w:rsidR="002C1641" w:rsidRPr="00283A5A" w:rsidRDefault="002C1641" w:rsidP="00040C3A">
      <w:pPr>
        <w:tabs>
          <w:tab w:val="center" w:pos="5400"/>
        </w:tabs>
        <w:suppressAutoHyphens/>
        <w:jc w:val="center"/>
        <w:rPr>
          <w:rFonts w:asciiTheme="majorHAnsi" w:hAnsiTheme="majorHAnsi"/>
          <w:sz w:val="18"/>
          <w:szCs w:val="22"/>
        </w:rPr>
      </w:pPr>
    </w:p>
    <w:p w14:paraId="2BB745E2" w14:textId="77777777" w:rsidR="002C1641" w:rsidRPr="00283A5A" w:rsidRDefault="002C1641" w:rsidP="00040C3A">
      <w:pPr>
        <w:tabs>
          <w:tab w:val="center" w:pos="5400"/>
        </w:tabs>
        <w:suppressAutoHyphens/>
        <w:jc w:val="center"/>
        <w:rPr>
          <w:rFonts w:asciiTheme="majorHAnsi" w:hAnsiTheme="majorHAnsi"/>
          <w:sz w:val="18"/>
          <w:szCs w:val="22"/>
        </w:rPr>
      </w:pPr>
    </w:p>
    <w:p w14:paraId="3100BBE8" w14:textId="77777777" w:rsidR="003C32BC" w:rsidRPr="00283A5A" w:rsidRDefault="003C32BC" w:rsidP="003C32BC">
      <w:pPr>
        <w:tabs>
          <w:tab w:val="center" w:pos="5400"/>
        </w:tabs>
        <w:suppressAutoHyphens/>
        <w:jc w:val="center"/>
        <w:rPr>
          <w:rFonts w:asciiTheme="majorHAnsi" w:hAnsiTheme="majorHAnsi"/>
          <w:sz w:val="18"/>
          <w:szCs w:val="22"/>
        </w:rPr>
      </w:pPr>
    </w:p>
    <w:p w14:paraId="04356DBB" w14:textId="77777777" w:rsidR="003C32BC" w:rsidRPr="00283A5A" w:rsidRDefault="006311DA" w:rsidP="003C32BC">
      <w:pPr>
        <w:tabs>
          <w:tab w:val="center" w:pos="5400"/>
        </w:tabs>
        <w:suppressAutoHyphens/>
        <w:jc w:val="center"/>
        <w:rPr>
          <w:rFonts w:asciiTheme="majorHAnsi" w:hAnsiTheme="majorHAnsi"/>
          <w:sz w:val="18"/>
          <w:szCs w:val="22"/>
        </w:rPr>
      </w:pPr>
      <w:r w:rsidRPr="00283A5A">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3AE4726E" wp14:editId="6906B622">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30941CA" w14:textId="77777777"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E4726E"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rQW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" filled="f" stroked="f" strokeweight=".5pt">
                <v:textbox>
                  <w:txbxContent>
                    <w:p w14:paraId="630941CA" w14:textId="77777777"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sidRPr="00283A5A">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41861DD4" wp14:editId="513321EF">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B68F106" w14:textId="77777777" w:rsidR="003C32BC" w:rsidRDefault="003C32BC">
                            <w:r>
                              <w:rPr>
                                <w:noProof/>
                              </w:rPr>
                              <w:drawing>
                                <wp:inline distT="0" distB="0" distL="0" distR="0" wp14:anchorId="5314FADC" wp14:editId="66E8AD5A">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861DD4"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" fillcolor="white [3201]" stroked="f" strokeweight=".5pt">
                <v:textbox>
                  <w:txbxContent>
                    <w:p w14:paraId="7B68F106" w14:textId="77777777" w:rsidR="003C32BC" w:rsidRDefault="003C32BC">
                      <w:r>
                        <w:rPr>
                          <w:noProof/>
                        </w:rPr>
                        <w:drawing>
                          <wp:inline distT="0" distB="0" distL="0" distR="0" wp14:anchorId="5314FADC" wp14:editId="66E8AD5A">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v:textbox>
              </v:shape>
            </w:pict>
          </mc:Fallback>
        </mc:AlternateContent>
      </w:r>
    </w:p>
    <w:p w14:paraId="10BF4620" w14:textId="77777777" w:rsidR="007607C4" w:rsidRPr="00283A5A" w:rsidRDefault="007607C4" w:rsidP="003C32BC">
      <w:pPr>
        <w:tabs>
          <w:tab w:val="center" w:pos="5400"/>
        </w:tabs>
        <w:suppressAutoHyphens/>
        <w:jc w:val="center"/>
        <w:rPr>
          <w:rFonts w:asciiTheme="majorHAnsi" w:hAnsiTheme="majorHAnsi"/>
          <w:sz w:val="18"/>
          <w:szCs w:val="22"/>
        </w:rPr>
        <w:sectPr w:rsidR="007607C4" w:rsidRPr="00283A5A" w:rsidSect="00853419">
          <w:headerReference w:type="even" r:id="rId10"/>
          <w:headerReference w:type="default" r:id="rId11"/>
          <w:footerReference w:type="even" r:id="rId12"/>
          <w:footerReference w:type="default" r:id="rId13"/>
          <w:headerReference w:type="first" r:id="rId14"/>
          <w:footerReference w:type="first" r:id="rId15"/>
          <w:type w:val="oddPage"/>
          <w:pgSz w:w="12240" w:h="15840"/>
          <w:pgMar w:top="1440" w:right="1440" w:bottom="1440" w:left="1440" w:header="720" w:footer="720" w:gutter="0"/>
          <w:pgNumType w:start="0"/>
          <w:cols w:space="720"/>
          <w:titlePg/>
          <w:docGrid w:linePitch="326"/>
        </w:sectPr>
      </w:pPr>
    </w:p>
    <w:p w14:paraId="14F1ED07" w14:textId="77777777" w:rsidR="00F621C3" w:rsidRPr="00283A5A" w:rsidRDefault="00F621C3" w:rsidP="00F621C3">
      <w:pPr>
        <w:spacing w:after="240"/>
        <w:ind w:firstLine="720"/>
        <w:jc w:val="both"/>
        <w:rPr>
          <w:rFonts w:asciiTheme="majorHAnsi" w:hAnsiTheme="majorHAnsi"/>
          <w:b/>
          <w:bCs/>
          <w:sz w:val="20"/>
          <w:szCs w:val="20"/>
        </w:rPr>
      </w:pPr>
      <w:r w:rsidRPr="00283A5A">
        <w:rPr>
          <w:rFonts w:asciiTheme="majorHAnsi" w:hAnsiTheme="majorHAnsi"/>
          <w:b/>
          <w:bCs/>
          <w:sz w:val="20"/>
          <w:szCs w:val="20"/>
        </w:rPr>
        <w:lastRenderedPageBreak/>
        <w:t>I.</w:t>
      </w:r>
      <w:r w:rsidRPr="00283A5A">
        <w:rPr>
          <w:rFonts w:asciiTheme="majorHAnsi" w:hAnsiTheme="majorHAnsi"/>
          <w:b/>
          <w:bCs/>
          <w:sz w:val="20"/>
          <w:szCs w:val="20"/>
        </w:rPr>
        <w:tab/>
      </w:r>
      <w:r w:rsidR="00592718" w:rsidRPr="00283A5A">
        <w:rPr>
          <w:rFonts w:asciiTheme="majorHAnsi" w:hAnsiTheme="majorHAnsi"/>
          <w:b/>
          <w:bCs/>
          <w:sz w:val="20"/>
          <w:szCs w:val="20"/>
        </w:rPr>
        <w:t>INFORMATION ABOUT THE PETITION</w:t>
      </w:r>
      <w:r w:rsidRPr="00283A5A">
        <w:rPr>
          <w:rFonts w:asciiTheme="majorHAnsi" w:hAnsiTheme="majorHAnsi"/>
          <w:b/>
          <w:bCs/>
          <w:sz w:val="20"/>
          <w:szCs w:val="20"/>
        </w:rPr>
        <w:t xml:space="preserv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283A5A" w:rsidRPr="00283A5A" w14:paraId="6144DCE7" w14:textId="77777777" w:rsidTr="00283A5A">
        <w:tc>
          <w:tcPr>
            <w:tcW w:w="3690" w:type="dxa"/>
            <w:tcBorders>
              <w:top w:val="single" w:sz="4" w:space="0" w:color="auto"/>
              <w:bottom w:val="single" w:sz="6" w:space="0" w:color="auto"/>
            </w:tcBorders>
            <w:shd w:val="clear" w:color="auto" w:fill="67AE3C"/>
            <w:vAlign w:val="center"/>
          </w:tcPr>
          <w:p w14:paraId="201EF040" w14:textId="77777777" w:rsidR="00283A5A" w:rsidRPr="00283A5A" w:rsidRDefault="00283A5A" w:rsidP="00283A5A">
            <w:pPr>
              <w:jc w:val="center"/>
              <w:rPr>
                <w:rFonts w:ascii="Cambria" w:hAnsi="Cambria"/>
                <w:b/>
                <w:bCs/>
                <w:color w:val="FFFFFF" w:themeColor="background1"/>
                <w:sz w:val="20"/>
                <w:szCs w:val="20"/>
              </w:rPr>
            </w:pPr>
            <w:r w:rsidRPr="00283A5A">
              <w:rPr>
                <w:rFonts w:ascii="Cambria" w:hAnsi="Cambria"/>
                <w:b/>
                <w:bCs/>
                <w:color w:val="FFFFFF" w:themeColor="background1"/>
                <w:sz w:val="20"/>
                <w:szCs w:val="20"/>
              </w:rPr>
              <w:t>Petitioner:</w:t>
            </w:r>
          </w:p>
        </w:tc>
        <w:tc>
          <w:tcPr>
            <w:tcW w:w="5670" w:type="dxa"/>
            <w:vAlign w:val="center"/>
          </w:tcPr>
          <w:p w14:paraId="2320D475" w14:textId="1513D4D2" w:rsidR="00283A5A" w:rsidRPr="00283A5A" w:rsidRDefault="00283A5A" w:rsidP="00283A5A">
            <w:pPr>
              <w:jc w:val="both"/>
              <w:rPr>
                <w:rFonts w:ascii="Cambria" w:hAnsi="Cambria"/>
                <w:bCs/>
                <w:sz w:val="20"/>
                <w:szCs w:val="20"/>
              </w:rPr>
            </w:pPr>
            <w:r w:rsidRPr="00283A5A">
              <w:rPr>
                <w:rFonts w:asciiTheme="majorHAnsi" w:hAnsiTheme="majorHAnsi"/>
                <w:bCs/>
                <w:sz w:val="19"/>
                <w:szCs w:val="19"/>
              </w:rPr>
              <w:t>Walter Raúl Mejía Cardona</w:t>
            </w:r>
          </w:p>
        </w:tc>
      </w:tr>
      <w:tr w:rsidR="00283A5A" w:rsidRPr="00283A5A" w14:paraId="33858FA2" w14:textId="77777777" w:rsidTr="00283A5A">
        <w:tc>
          <w:tcPr>
            <w:tcW w:w="3690" w:type="dxa"/>
            <w:tcBorders>
              <w:top w:val="single" w:sz="6" w:space="0" w:color="auto"/>
              <w:bottom w:val="single" w:sz="6" w:space="0" w:color="auto"/>
            </w:tcBorders>
            <w:shd w:val="clear" w:color="auto" w:fill="67AE3C"/>
            <w:vAlign w:val="center"/>
          </w:tcPr>
          <w:p w14:paraId="29DB7F8F" w14:textId="77777777" w:rsidR="00283A5A" w:rsidRPr="00283A5A" w:rsidRDefault="00FA37D9" w:rsidP="00283A5A">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3111C32ACE394FD4A6F448F82D40BCE5"/>
                </w:placeholder>
                <w:dropDownList>
                  <w:listItem w:value="Choose an item."/>
                  <w:listItem w:displayText="Alleged victim" w:value="Alleged victim"/>
                  <w:listItem w:displayText="Alleged victims" w:value="Alleged victims"/>
                </w:dropDownList>
              </w:sdtPr>
              <w:sdtEndPr/>
              <w:sdtContent>
                <w:r w:rsidR="00283A5A" w:rsidRPr="00283A5A">
                  <w:rPr>
                    <w:rFonts w:ascii="Cambria" w:hAnsi="Cambria"/>
                    <w:b/>
                    <w:bCs/>
                    <w:color w:val="FFFFFF" w:themeColor="background1"/>
                    <w:sz w:val="20"/>
                    <w:szCs w:val="20"/>
                  </w:rPr>
                  <w:t>Alleged victim</w:t>
                </w:r>
              </w:sdtContent>
            </w:sdt>
            <w:r w:rsidR="00283A5A" w:rsidRPr="00283A5A">
              <w:rPr>
                <w:rFonts w:ascii="Cambria" w:hAnsi="Cambria"/>
                <w:b/>
                <w:bCs/>
                <w:color w:val="FFFFFF" w:themeColor="background1"/>
                <w:sz w:val="20"/>
                <w:szCs w:val="20"/>
              </w:rPr>
              <w:t>:</w:t>
            </w:r>
          </w:p>
        </w:tc>
        <w:tc>
          <w:tcPr>
            <w:tcW w:w="5670" w:type="dxa"/>
            <w:vAlign w:val="center"/>
          </w:tcPr>
          <w:p w14:paraId="74A99342" w14:textId="00A47ACD" w:rsidR="00283A5A" w:rsidRPr="00283A5A" w:rsidRDefault="00283A5A" w:rsidP="00283A5A">
            <w:pPr>
              <w:jc w:val="both"/>
              <w:rPr>
                <w:rFonts w:ascii="Cambria" w:hAnsi="Cambria"/>
                <w:bCs/>
                <w:sz w:val="20"/>
                <w:szCs w:val="20"/>
              </w:rPr>
            </w:pPr>
            <w:r w:rsidRPr="00283A5A">
              <w:rPr>
                <w:rFonts w:asciiTheme="majorHAnsi" w:hAnsiTheme="majorHAnsi"/>
                <w:bCs/>
                <w:sz w:val="19"/>
                <w:szCs w:val="19"/>
              </w:rPr>
              <w:t>Hawin Parra Rentería and relatives</w:t>
            </w:r>
            <w:r w:rsidRPr="00283A5A">
              <w:rPr>
                <w:rStyle w:val="FootnoteReference"/>
                <w:rFonts w:asciiTheme="majorHAnsi" w:hAnsiTheme="majorHAnsi"/>
                <w:bCs/>
                <w:sz w:val="19"/>
                <w:szCs w:val="19"/>
              </w:rPr>
              <w:footnoteReference w:id="2"/>
            </w:r>
          </w:p>
        </w:tc>
      </w:tr>
      <w:tr w:rsidR="00283A5A" w:rsidRPr="00283A5A" w14:paraId="36C8BDE6" w14:textId="77777777" w:rsidTr="00283A5A">
        <w:tc>
          <w:tcPr>
            <w:tcW w:w="3690" w:type="dxa"/>
            <w:tcBorders>
              <w:top w:val="single" w:sz="6" w:space="0" w:color="auto"/>
              <w:bottom w:val="single" w:sz="6" w:space="0" w:color="auto"/>
            </w:tcBorders>
            <w:shd w:val="clear" w:color="auto" w:fill="67AE3C"/>
            <w:vAlign w:val="center"/>
          </w:tcPr>
          <w:p w14:paraId="25E3F99E" w14:textId="77777777" w:rsidR="00283A5A" w:rsidRPr="00283A5A" w:rsidRDefault="00283A5A" w:rsidP="00283A5A">
            <w:pPr>
              <w:jc w:val="center"/>
              <w:rPr>
                <w:rFonts w:ascii="Cambria" w:hAnsi="Cambria"/>
                <w:b/>
                <w:bCs/>
                <w:color w:val="FFFFFF" w:themeColor="background1"/>
                <w:sz w:val="20"/>
                <w:szCs w:val="20"/>
              </w:rPr>
            </w:pPr>
            <w:r w:rsidRPr="00283A5A">
              <w:rPr>
                <w:rFonts w:ascii="Cambria" w:hAnsi="Cambria"/>
                <w:b/>
                <w:bCs/>
                <w:color w:val="FFFFFF" w:themeColor="background1"/>
                <w:sz w:val="20"/>
                <w:szCs w:val="20"/>
              </w:rPr>
              <w:t>Respondent State:</w:t>
            </w:r>
          </w:p>
        </w:tc>
        <w:tc>
          <w:tcPr>
            <w:tcW w:w="5670" w:type="dxa"/>
            <w:vAlign w:val="center"/>
          </w:tcPr>
          <w:p w14:paraId="4FE235B7" w14:textId="6128C3C9" w:rsidR="00283A5A" w:rsidRPr="00283A5A" w:rsidRDefault="00283A5A" w:rsidP="00283A5A">
            <w:pPr>
              <w:jc w:val="both"/>
              <w:rPr>
                <w:rFonts w:ascii="Cambria" w:hAnsi="Cambria"/>
                <w:bCs/>
                <w:sz w:val="20"/>
                <w:szCs w:val="20"/>
              </w:rPr>
            </w:pPr>
            <w:r w:rsidRPr="00283A5A">
              <w:rPr>
                <w:rFonts w:asciiTheme="majorHAnsi" w:hAnsiTheme="majorHAnsi"/>
                <w:bCs/>
                <w:sz w:val="19"/>
                <w:szCs w:val="19"/>
              </w:rPr>
              <w:t>Colombia</w:t>
            </w:r>
            <w:r w:rsidRPr="00283A5A">
              <w:rPr>
                <w:rStyle w:val="FootnoteReference"/>
                <w:rFonts w:asciiTheme="majorHAnsi" w:hAnsiTheme="majorHAnsi"/>
                <w:bCs/>
                <w:sz w:val="19"/>
                <w:szCs w:val="19"/>
              </w:rPr>
              <w:footnoteReference w:id="3"/>
            </w:r>
          </w:p>
        </w:tc>
      </w:tr>
      <w:tr w:rsidR="00283A5A" w:rsidRPr="00283A5A" w14:paraId="5843386D" w14:textId="77777777" w:rsidTr="00283A5A">
        <w:tc>
          <w:tcPr>
            <w:tcW w:w="3690" w:type="dxa"/>
            <w:tcBorders>
              <w:top w:val="single" w:sz="6" w:space="0" w:color="auto"/>
              <w:bottom w:val="single" w:sz="6" w:space="0" w:color="auto"/>
            </w:tcBorders>
            <w:shd w:val="clear" w:color="auto" w:fill="67AE3C"/>
            <w:vAlign w:val="center"/>
          </w:tcPr>
          <w:p w14:paraId="4E29DF7E" w14:textId="77777777" w:rsidR="00283A5A" w:rsidRPr="00283A5A" w:rsidRDefault="00283A5A" w:rsidP="00283A5A">
            <w:pPr>
              <w:jc w:val="center"/>
              <w:rPr>
                <w:rFonts w:ascii="Cambria" w:hAnsi="Cambria"/>
                <w:b/>
                <w:bCs/>
                <w:color w:val="FFFFFF" w:themeColor="background1"/>
                <w:sz w:val="20"/>
                <w:szCs w:val="20"/>
              </w:rPr>
            </w:pPr>
            <w:r w:rsidRPr="00283A5A">
              <w:rPr>
                <w:rFonts w:ascii="Cambria" w:hAnsi="Cambria"/>
                <w:b/>
                <w:bCs/>
                <w:color w:val="FFFFFF" w:themeColor="background1"/>
                <w:sz w:val="20"/>
                <w:szCs w:val="20"/>
              </w:rPr>
              <w:t>Rights invoked:</w:t>
            </w:r>
          </w:p>
        </w:tc>
        <w:tc>
          <w:tcPr>
            <w:tcW w:w="5670" w:type="dxa"/>
            <w:vAlign w:val="center"/>
          </w:tcPr>
          <w:p w14:paraId="3A116CFC" w14:textId="3A696763" w:rsidR="00283A5A" w:rsidRPr="00283A5A" w:rsidRDefault="00283A5A" w:rsidP="00283A5A">
            <w:pPr>
              <w:jc w:val="both"/>
              <w:rPr>
                <w:rFonts w:ascii="Cambria" w:hAnsi="Cambria"/>
                <w:bCs/>
                <w:sz w:val="20"/>
                <w:szCs w:val="20"/>
              </w:rPr>
            </w:pPr>
            <w:r w:rsidRPr="00283A5A">
              <w:rPr>
                <w:rFonts w:asciiTheme="majorHAnsi" w:hAnsiTheme="majorHAnsi"/>
                <w:bCs/>
                <w:sz w:val="19"/>
                <w:szCs w:val="19"/>
              </w:rPr>
              <w:t>Articles 2 (domestic legal effects), 5 (humane treatment), 7 (personal liberty), 8 (fair trial), 11 (privacy) and 25 (judicial protection) of the American Convention on Human Rights;</w:t>
            </w:r>
            <w:r w:rsidRPr="00283A5A">
              <w:rPr>
                <w:rStyle w:val="FootnoteReference"/>
                <w:rFonts w:asciiTheme="majorHAnsi" w:hAnsiTheme="majorHAnsi"/>
                <w:bCs/>
                <w:sz w:val="19"/>
                <w:szCs w:val="19"/>
              </w:rPr>
              <w:footnoteReference w:id="4"/>
            </w:r>
            <w:r w:rsidRPr="00283A5A">
              <w:rPr>
                <w:rFonts w:asciiTheme="majorHAnsi" w:hAnsiTheme="majorHAnsi"/>
                <w:bCs/>
                <w:sz w:val="19"/>
                <w:szCs w:val="19"/>
              </w:rPr>
              <w:t xml:space="preserve"> Articles I (life, liberty and personal security) and XVIII (fair trial) of the American Declaration of the Rights and Duties of Man</w:t>
            </w:r>
            <w:r w:rsidRPr="00283A5A">
              <w:rPr>
                <w:rStyle w:val="FootnoteReference"/>
                <w:rFonts w:asciiTheme="majorHAnsi" w:hAnsiTheme="majorHAnsi"/>
                <w:bCs/>
                <w:sz w:val="19"/>
                <w:szCs w:val="19"/>
              </w:rPr>
              <w:footnoteReference w:id="5"/>
            </w:r>
          </w:p>
        </w:tc>
      </w:tr>
    </w:tbl>
    <w:p w14:paraId="25D88EC8" w14:textId="77777777" w:rsidR="00F621C3" w:rsidRPr="00283A5A" w:rsidRDefault="00F621C3" w:rsidP="00F621C3">
      <w:pPr>
        <w:spacing w:before="240" w:after="240"/>
        <w:ind w:firstLine="720"/>
        <w:jc w:val="both"/>
        <w:rPr>
          <w:rFonts w:asciiTheme="majorHAnsi" w:hAnsiTheme="majorHAnsi"/>
          <w:b/>
          <w:bCs/>
          <w:sz w:val="20"/>
          <w:szCs w:val="20"/>
        </w:rPr>
      </w:pPr>
      <w:r w:rsidRPr="00283A5A">
        <w:rPr>
          <w:rFonts w:asciiTheme="majorHAnsi" w:hAnsiTheme="majorHAnsi"/>
          <w:b/>
          <w:bCs/>
          <w:sz w:val="20"/>
          <w:szCs w:val="20"/>
        </w:rPr>
        <w:t>II.</w:t>
      </w:r>
      <w:r w:rsidRPr="00283A5A">
        <w:rPr>
          <w:rFonts w:asciiTheme="majorHAnsi" w:hAnsiTheme="majorHAnsi"/>
          <w:b/>
          <w:bCs/>
          <w:sz w:val="20"/>
          <w:szCs w:val="20"/>
        </w:rPr>
        <w:tab/>
        <w:t>PROCEDURE BEFORE THE IACHR</w:t>
      </w:r>
      <w:r w:rsidR="00653EA6" w:rsidRPr="00283A5A">
        <w:rPr>
          <w:rStyle w:val="FootnoteReference"/>
          <w:rFonts w:ascii="Cambria" w:hAnsi="Cambria"/>
          <w:b/>
          <w:sz w:val="20"/>
          <w:szCs w:val="20"/>
        </w:rPr>
        <w:footnoteReference w:id="6"/>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283A5A" w:rsidRPr="00283A5A" w14:paraId="61BE14BB" w14:textId="77777777" w:rsidTr="00283A5A">
        <w:tc>
          <w:tcPr>
            <w:tcW w:w="3690" w:type="dxa"/>
            <w:tcBorders>
              <w:top w:val="single" w:sz="6" w:space="0" w:color="auto"/>
              <w:bottom w:val="single" w:sz="6" w:space="0" w:color="auto"/>
            </w:tcBorders>
            <w:shd w:val="clear" w:color="auto" w:fill="67AE3C"/>
            <w:vAlign w:val="center"/>
          </w:tcPr>
          <w:p w14:paraId="7FEA58AF" w14:textId="77777777" w:rsidR="00283A5A" w:rsidRPr="00283A5A" w:rsidRDefault="00283A5A" w:rsidP="00283A5A">
            <w:pPr>
              <w:jc w:val="center"/>
              <w:rPr>
                <w:rFonts w:ascii="Cambria" w:hAnsi="Cambria"/>
                <w:b/>
                <w:bCs/>
                <w:color w:val="FFFFFF" w:themeColor="background1"/>
                <w:sz w:val="20"/>
                <w:szCs w:val="20"/>
              </w:rPr>
            </w:pPr>
            <w:r w:rsidRPr="00283A5A">
              <w:rPr>
                <w:rFonts w:ascii="Cambria" w:hAnsi="Cambria"/>
                <w:b/>
                <w:bCs/>
                <w:color w:val="FFFFFF" w:themeColor="background1"/>
                <w:sz w:val="20"/>
                <w:szCs w:val="20"/>
              </w:rPr>
              <w:t>Filing of the petition:</w:t>
            </w:r>
          </w:p>
        </w:tc>
        <w:tc>
          <w:tcPr>
            <w:tcW w:w="5670" w:type="dxa"/>
            <w:vAlign w:val="center"/>
          </w:tcPr>
          <w:p w14:paraId="107DCA90" w14:textId="7870F80E" w:rsidR="00283A5A" w:rsidRPr="00283A5A" w:rsidRDefault="00283A5A" w:rsidP="00283A5A">
            <w:pPr>
              <w:jc w:val="both"/>
              <w:rPr>
                <w:rFonts w:ascii="Cambria" w:hAnsi="Cambria"/>
                <w:bCs/>
                <w:sz w:val="20"/>
                <w:szCs w:val="20"/>
              </w:rPr>
            </w:pPr>
            <w:r w:rsidRPr="00283A5A">
              <w:rPr>
                <w:rFonts w:asciiTheme="majorHAnsi" w:hAnsiTheme="majorHAnsi"/>
                <w:bCs/>
                <w:sz w:val="19"/>
                <w:szCs w:val="19"/>
              </w:rPr>
              <w:t>May 14, 2010</w:t>
            </w:r>
          </w:p>
        </w:tc>
      </w:tr>
      <w:tr w:rsidR="00283A5A" w:rsidRPr="00283A5A" w14:paraId="444BFD1C" w14:textId="77777777" w:rsidTr="00283A5A">
        <w:tc>
          <w:tcPr>
            <w:tcW w:w="3690" w:type="dxa"/>
            <w:tcBorders>
              <w:top w:val="single" w:sz="6" w:space="0" w:color="auto"/>
              <w:bottom w:val="single" w:sz="6" w:space="0" w:color="auto"/>
            </w:tcBorders>
            <w:shd w:val="clear" w:color="auto" w:fill="67AE3C"/>
            <w:vAlign w:val="center"/>
          </w:tcPr>
          <w:p w14:paraId="311FE36D" w14:textId="77777777" w:rsidR="00283A5A" w:rsidRPr="00283A5A" w:rsidRDefault="00283A5A" w:rsidP="00283A5A">
            <w:pPr>
              <w:jc w:val="center"/>
              <w:rPr>
                <w:rFonts w:ascii="Cambria" w:hAnsi="Cambria"/>
                <w:b/>
                <w:bCs/>
                <w:color w:val="FFFFFF" w:themeColor="background1"/>
                <w:sz w:val="20"/>
                <w:szCs w:val="20"/>
              </w:rPr>
            </w:pPr>
            <w:r w:rsidRPr="00283A5A">
              <w:rPr>
                <w:rFonts w:ascii="Cambria" w:hAnsi="Cambria"/>
                <w:b/>
                <w:color w:val="FFFFFF" w:themeColor="background1"/>
                <w:sz w:val="20"/>
                <w:szCs w:val="20"/>
              </w:rPr>
              <w:t>Notification of the petition to the State:</w:t>
            </w:r>
          </w:p>
        </w:tc>
        <w:tc>
          <w:tcPr>
            <w:tcW w:w="5670" w:type="dxa"/>
            <w:vAlign w:val="center"/>
          </w:tcPr>
          <w:p w14:paraId="163C22F8" w14:textId="20E91F75" w:rsidR="00283A5A" w:rsidRPr="00283A5A" w:rsidRDefault="00283A5A" w:rsidP="00283A5A">
            <w:pPr>
              <w:jc w:val="both"/>
              <w:rPr>
                <w:rFonts w:ascii="Cambria" w:hAnsi="Cambria"/>
                <w:bCs/>
                <w:sz w:val="20"/>
                <w:szCs w:val="20"/>
              </w:rPr>
            </w:pPr>
            <w:r w:rsidRPr="00283A5A">
              <w:rPr>
                <w:rFonts w:asciiTheme="majorHAnsi" w:hAnsiTheme="majorHAnsi"/>
                <w:bCs/>
                <w:sz w:val="19"/>
                <w:szCs w:val="19"/>
              </w:rPr>
              <w:t>May 11, 2016</w:t>
            </w:r>
          </w:p>
        </w:tc>
      </w:tr>
      <w:tr w:rsidR="00283A5A" w:rsidRPr="00283A5A" w14:paraId="1720713E" w14:textId="77777777" w:rsidTr="00283A5A">
        <w:trPr>
          <w:trHeight w:val="264"/>
        </w:trPr>
        <w:tc>
          <w:tcPr>
            <w:tcW w:w="3690" w:type="dxa"/>
            <w:tcBorders>
              <w:top w:val="single" w:sz="6" w:space="0" w:color="auto"/>
              <w:bottom w:val="single" w:sz="6" w:space="0" w:color="auto"/>
            </w:tcBorders>
            <w:shd w:val="clear" w:color="auto" w:fill="67AE3C"/>
            <w:vAlign w:val="center"/>
          </w:tcPr>
          <w:p w14:paraId="3239E74D" w14:textId="77777777" w:rsidR="00283A5A" w:rsidRPr="00283A5A" w:rsidRDefault="00283A5A" w:rsidP="00283A5A">
            <w:pPr>
              <w:jc w:val="center"/>
              <w:rPr>
                <w:rFonts w:ascii="Cambria" w:hAnsi="Cambria"/>
                <w:b/>
                <w:bCs/>
                <w:color w:val="FFFFFF" w:themeColor="background1"/>
                <w:sz w:val="20"/>
                <w:szCs w:val="20"/>
              </w:rPr>
            </w:pPr>
            <w:r w:rsidRPr="00283A5A">
              <w:rPr>
                <w:rFonts w:ascii="Cambria" w:hAnsi="Cambria"/>
                <w:b/>
                <w:color w:val="FFFFFF" w:themeColor="background1"/>
                <w:sz w:val="20"/>
                <w:szCs w:val="20"/>
              </w:rPr>
              <w:t>State’s first response:</w:t>
            </w:r>
          </w:p>
        </w:tc>
        <w:tc>
          <w:tcPr>
            <w:tcW w:w="5670" w:type="dxa"/>
            <w:vAlign w:val="center"/>
          </w:tcPr>
          <w:p w14:paraId="1C3923E2" w14:textId="2A689469" w:rsidR="00283A5A" w:rsidRPr="00283A5A" w:rsidRDefault="00283A5A" w:rsidP="00283A5A">
            <w:pPr>
              <w:jc w:val="both"/>
              <w:rPr>
                <w:rFonts w:ascii="Cambria" w:hAnsi="Cambria"/>
                <w:bCs/>
                <w:sz w:val="20"/>
                <w:szCs w:val="20"/>
              </w:rPr>
            </w:pPr>
            <w:r w:rsidRPr="00283A5A">
              <w:rPr>
                <w:rFonts w:asciiTheme="majorHAnsi" w:hAnsiTheme="majorHAnsi"/>
                <w:bCs/>
                <w:sz w:val="19"/>
                <w:szCs w:val="19"/>
              </w:rPr>
              <w:t>October 2, 2016</w:t>
            </w:r>
          </w:p>
        </w:tc>
      </w:tr>
      <w:tr w:rsidR="00283A5A" w:rsidRPr="00283A5A" w14:paraId="536EFCAF" w14:textId="77777777" w:rsidTr="00283A5A">
        <w:tc>
          <w:tcPr>
            <w:tcW w:w="3690" w:type="dxa"/>
            <w:tcBorders>
              <w:top w:val="single" w:sz="6" w:space="0" w:color="auto"/>
              <w:bottom w:val="single" w:sz="6" w:space="0" w:color="auto"/>
            </w:tcBorders>
            <w:shd w:val="clear" w:color="auto" w:fill="67AE3C"/>
            <w:vAlign w:val="center"/>
          </w:tcPr>
          <w:p w14:paraId="52A507B4" w14:textId="77777777" w:rsidR="00283A5A" w:rsidRPr="00283A5A" w:rsidRDefault="00283A5A" w:rsidP="00283A5A">
            <w:pPr>
              <w:jc w:val="center"/>
              <w:rPr>
                <w:rFonts w:ascii="Cambria" w:hAnsi="Cambria"/>
                <w:b/>
                <w:bCs/>
                <w:color w:val="FFFFFF" w:themeColor="background1"/>
                <w:sz w:val="20"/>
                <w:szCs w:val="20"/>
              </w:rPr>
            </w:pPr>
            <w:r w:rsidRPr="00283A5A">
              <w:rPr>
                <w:rFonts w:ascii="Cambria" w:hAnsi="Cambria"/>
                <w:b/>
                <w:bCs/>
                <w:color w:val="FFFFFF" w:themeColor="background1"/>
                <w:sz w:val="20"/>
                <w:szCs w:val="20"/>
              </w:rPr>
              <w:t>Additional observations from the petitioner:</w:t>
            </w:r>
          </w:p>
        </w:tc>
        <w:tc>
          <w:tcPr>
            <w:tcW w:w="5670" w:type="dxa"/>
            <w:vAlign w:val="center"/>
          </w:tcPr>
          <w:p w14:paraId="5E0430DC" w14:textId="09124FDF" w:rsidR="00283A5A" w:rsidRPr="00283A5A" w:rsidRDefault="00283A5A" w:rsidP="00283A5A">
            <w:pPr>
              <w:jc w:val="both"/>
              <w:rPr>
                <w:rFonts w:ascii="Cambria" w:hAnsi="Cambria"/>
                <w:bCs/>
                <w:sz w:val="20"/>
                <w:szCs w:val="20"/>
              </w:rPr>
            </w:pPr>
            <w:r w:rsidRPr="00283A5A">
              <w:rPr>
                <w:rFonts w:asciiTheme="majorHAnsi" w:hAnsiTheme="majorHAnsi"/>
                <w:bCs/>
                <w:sz w:val="19"/>
                <w:szCs w:val="19"/>
              </w:rPr>
              <w:t>July 14, 2017</w:t>
            </w:r>
          </w:p>
        </w:tc>
      </w:tr>
      <w:tr w:rsidR="00283A5A" w:rsidRPr="00283A5A" w14:paraId="1CA7A420" w14:textId="77777777" w:rsidTr="00283A5A">
        <w:tc>
          <w:tcPr>
            <w:tcW w:w="3690" w:type="dxa"/>
            <w:tcBorders>
              <w:top w:val="single" w:sz="6" w:space="0" w:color="auto"/>
              <w:bottom w:val="single" w:sz="6" w:space="0" w:color="auto"/>
            </w:tcBorders>
            <w:shd w:val="clear" w:color="auto" w:fill="67AE3C"/>
            <w:vAlign w:val="center"/>
          </w:tcPr>
          <w:p w14:paraId="63E0A9AD" w14:textId="77777777" w:rsidR="00283A5A" w:rsidRPr="00283A5A" w:rsidRDefault="00283A5A" w:rsidP="00283A5A">
            <w:pPr>
              <w:jc w:val="center"/>
              <w:rPr>
                <w:rFonts w:ascii="Cambria" w:hAnsi="Cambria"/>
                <w:b/>
                <w:bCs/>
                <w:color w:val="FFFFFF" w:themeColor="background1"/>
                <w:sz w:val="20"/>
                <w:szCs w:val="20"/>
              </w:rPr>
            </w:pPr>
            <w:r w:rsidRPr="00283A5A">
              <w:rPr>
                <w:rFonts w:ascii="Cambria" w:hAnsi="Cambria"/>
                <w:b/>
                <w:bCs/>
                <w:color w:val="FFFFFF" w:themeColor="background1"/>
                <w:sz w:val="20"/>
                <w:szCs w:val="20"/>
              </w:rPr>
              <w:t>Additional observations from the State:</w:t>
            </w:r>
          </w:p>
        </w:tc>
        <w:tc>
          <w:tcPr>
            <w:tcW w:w="5670" w:type="dxa"/>
            <w:vAlign w:val="center"/>
          </w:tcPr>
          <w:p w14:paraId="04547C10" w14:textId="1E8EDBAE" w:rsidR="00283A5A" w:rsidRPr="00283A5A" w:rsidRDefault="00283A5A" w:rsidP="00283A5A">
            <w:pPr>
              <w:jc w:val="both"/>
              <w:rPr>
                <w:rFonts w:ascii="Cambria" w:hAnsi="Cambria"/>
                <w:bCs/>
                <w:sz w:val="20"/>
                <w:szCs w:val="20"/>
              </w:rPr>
            </w:pPr>
            <w:r w:rsidRPr="00283A5A">
              <w:rPr>
                <w:rFonts w:asciiTheme="majorHAnsi" w:hAnsiTheme="majorHAnsi"/>
                <w:bCs/>
                <w:sz w:val="19"/>
                <w:szCs w:val="19"/>
              </w:rPr>
              <w:t>October 2, 2018</w:t>
            </w:r>
          </w:p>
        </w:tc>
      </w:tr>
    </w:tbl>
    <w:p w14:paraId="23A17901" w14:textId="77777777" w:rsidR="00F621C3" w:rsidRPr="00283A5A" w:rsidRDefault="00F621C3" w:rsidP="00F621C3">
      <w:pPr>
        <w:spacing w:before="240" w:after="240"/>
        <w:ind w:firstLine="720"/>
        <w:jc w:val="both"/>
        <w:rPr>
          <w:rFonts w:asciiTheme="majorHAnsi" w:hAnsiTheme="majorHAnsi"/>
          <w:b/>
          <w:bCs/>
          <w:sz w:val="20"/>
          <w:szCs w:val="20"/>
        </w:rPr>
      </w:pPr>
      <w:r w:rsidRPr="00283A5A">
        <w:rPr>
          <w:rFonts w:asciiTheme="majorHAnsi" w:hAnsiTheme="majorHAnsi"/>
          <w:b/>
          <w:bCs/>
          <w:sz w:val="20"/>
          <w:szCs w:val="20"/>
        </w:rPr>
        <w:t xml:space="preserve">III. </w:t>
      </w:r>
      <w:r w:rsidRPr="00283A5A">
        <w:rPr>
          <w:rFonts w:asciiTheme="majorHAnsi" w:hAnsiTheme="majorHAnsi"/>
          <w:b/>
          <w:bCs/>
          <w:sz w:val="20"/>
          <w:szCs w:val="20"/>
        </w:rPr>
        <w:tab/>
        <w:t xml:space="preserve">COMPETENCE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283A5A" w:rsidRPr="00283A5A" w14:paraId="47576797" w14:textId="77777777" w:rsidTr="00283A5A">
        <w:trPr>
          <w:cantSplit/>
        </w:trPr>
        <w:tc>
          <w:tcPr>
            <w:tcW w:w="3690" w:type="dxa"/>
            <w:tcBorders>
              <w:top w:val="single" w:sz="4" w:space="0" w:color="auto"/>
              <w:bottom w:val="single" w:sz="6" w:space="0" w:color="auto"/>
            </w:tcBorders>
            <w:shd w:val="clear" w:color="auto" w:fill="67AE3C"/>
            <w:vAlign w:val="center"/>
          </w:tcPr>
          <w:p w14:paraId="04ABF07C" w14:textId="77777777" w:rsidR="00283A5A" w:rsidRPr="00283A5A" w:rsidRDefault="00283A5A" w:rsidP="00283A5A">
            <w:pPr>
              <w:jc w:val="center"/>
              <w:rPr>
                <w:rFonts w:ascii="Cambria" w:hAnsi="Cambria"/>
                <w:b/>
                <w:bCs/>
                <w:i/>
                <w:color w:val="FFFFFF" w:themeColor="background1"/>
                <w:sz w:val="20"/>
                <w:szCs w:val="20"/>
              </w:rPr>
            </w:pPr>
            <w:r w:rsidRPr="00283A5A">
              <w:rPr>
                <w:rFonts w:ascii="Cambria" w:hAnsi="Cambria"/>
                <w:b/>
                <w:bCs/>
                <w:color w:val="FFFFFF" w:themeColor="background1"/>
                <w:sz w:val="20"/>
                <w:szCs w:val="20"/>
              </w:rPr>
              <w:t>Competence</w:t>
            </w:r>
            <w:r w:rsidRPr="00283A5A">
              <w:rPr>
                <w:rFonts w:ascii="Cambria" w:hAnsi="Cambria"/>
                <w:b/>
                <w:bCs/>
                <w:i/>
                <w:color w:val="FFFFFF" w:themeColor="background1"/>
                <w:sz w:val="20"/>
                <w:szCs w:val="20"/>
              </w:rPr>
              <w:t xml:space="preserve"> Ratione personae:</w:t>
            </w:r>
          </w:p>
        </w:tc>
        <w:tc>
          <w:tcPr>
            <w:tcW w:w="5670" w:type="dxa"/>
            <w:vAlign w:val="center"/>
          </w:tcPr>
          <w:p w14:paraId="572B6297" w14:textId="65EAE235" w:rsidR="00283A5A" w:rsidRPr="00283A5A" w:rsidRDefault="00283A5A" w:rsidP="00283A5A">
            <w:pPr>
              <w:rPr>
                <w:rFonts w:asciiTheme="majorHAnsi" w:hAnsiTheme="majorHAnsi"/>
                <w:bCs/>
                <w:sz w:val="20"/>
                <w:szCs w:val="20"/>
              </w:rPr>
            </w:pPr>
            <w:r w:rsidRPr="00283A5A">
              <w:rPr>
                <w:rFonts w:asciiTheme="majorHAnsi" w:hAnsiTheme="majorHAnsi"/>
                <w:bCs/>
                <w:sz w:val="19"/>
                <w:szCs w:val="19"/>
              </w:rPr>
              <w:t>Yes</w:t>
            </w:r>
          </w:p>
        </w:tc>
      </w:tr>
      <w:tr w:rsidR="00283A5A" w:rsidRPr="00283A5A" w14:paraId="04CDAF0B" w14:textId="77777777" w:rsidTr="00283A5A">
        <w:trPr>
          <w:cantSplit/>
        </w:trPr>
        <w:tc>
          <w:tcPr>
            <w:tcW w:w="3690" w:type="dxa"/>
            <w:tcBorders>
              <w:top w:val="single" w:sz="6" w:space="0" w:color="auto"/>
              <w:bottom w:val="single" w:sz="6" w:space="0" w:color="auto"/>
            </w:tcBorders>
            <w:shd w:val="clear" w:color="auto" w:fill="67AE3C"/>
            <w:vAlign w:val="center"/>
          </w:tcPr>
          <w:p w14:paraId="7F2DE8D7" w14:textId="77777777" w:rsidR="00283A5A" w:rsidRPr="00283A5A" w:rsidRDefault="00283A5A" w:rsidP="00283A5A">
            <w:pPr>
              <w:jc w:val="center"/>
              <w:rPr>
                <w:rFonts w:ascii="Cambria" w:hAnsi="Cambria"/>
                <w:b/>
                <w:bCs/>
                <w:color w:val="FFFFFF" w:themeColor="background1"/>
                <w:sz w:val="20"/>
                <w:szCs w:val="20"/>
              </w:rPr>
            </w:pPr>
            <w:r w:rsidRPr="00283A5A">
              <w:rPr>
                <w:rFonts w:ascii="Cambria" w:hAnsi="Cambria"/>
                <w:b/>
                <w:bCs/>
                <w:color w:val="FFFFFF" w:themeColor="background1"/>
                <w:sz w:val="20"/>
                <w:szCs w:val="20"/>
              </w:rPr>
              <w:t>Competence</w:t>
            </w:r>
            <w:r w:rsidRPr="00283A5A">
              <w:rPr>
                <w:rFonts w:ascii="Cambria" w:hAnsi="Cambria"/>
                <w:b/>
                <w:bCs/>
                <w:i/>
                <w:color w:val="FFFFFF" w:themeColor="background1"/>
                <w:sz w:val="20"/>
                <w:szCs w:val="20"/>
              </w:rPr>
              <w:t xml:space="preserve"> Ratione loci</w:t>
            </w:r>
            <w:r w:rsidRPr="00283A5A">
              <w:rPr>
                <w:rFonts w:ascii="Cambria" w:hAnsi="Cambria"/>
                <w:b/>
                <w:bCs/>
                <w:color w:val="FFFFFF" w:themeColor="background1"/>
                <w:sz w:val="20"/>
                <w:szCs w:val="20"/>
              </w:rPr>
              <w:t>:</w:t>
            </w:r>
          </w:p>
        </w:tc>
        <w:tc>
          <w:tcPr>
            <w:tcW w:w="5670" w:type="dxa"/>
            <w:vAlign w:val="center"/>
          </w:tcPr>
          <w:p w14:paraId="50BEEBC7" w14:textId="7EF4F739" w:rsidR="00283A5A" w:rsidRPr="00283A5A" w:rsidRDefault="00283A5A" w:rsidP="00283A5A">
            <w:pPr>
              <w:rPr>
                <w:rFonts w:asciiTheme="majorHAnsi" w:hAnsiTheme="majorHAnsi"/>
                <w:bCs/>
                <w:sz w:val="20"/>
                <w:szCs w:val="20"/>
              </w:rPr>
            </w:pPr>
            <w:r w:rsidRPr="00283A5A">
              <w:rPr>
                <w:rFonts w:asciiTheme="majorHAnsi" w:hAnsiTheme="majorHAnsi"/>
                <w:bCs/>
                <w:sz w:val="19"/>
                <w:szCs w:val="19"/>
              </w:rPr>
              <w:t>Yes</w:t>
            </w:r>
          </w:p>
        </w:tc>
      </w:tr>
      <w:tr w:rsidR="00283A5A" w:rsidRPr="00283A5A" w14:paraId="014B4CDE" w14:textId="77777777" w:rsidTr="00283A5A">
        <w:trPr>
          <w:cantSplit/>
        </w:trPr>
        <w:tc>
          <w:tcPr>
            <w:tcW w:w="3690" w:type="dxa"/>
            <w:tcBorders>
              <w:top w:val="single" w:sz="6" w:space="0" w:color="auto"/>
              <w:bottom w:val="single" w:sz="6" w:space="0" w:color="auto"/>
            </w:tcBorders>
            <w:shd w:val="clear" w:color="auto" w:fill="67AE3C"/>
            <w:vAlign w:val="center"/>
          </w:tcPr>
          <w:p w14:paraId="61C0F097" w14:textId="77777777" w:rsidR="00283A5A" w:rsidRPr="00283A5A" w:rsidRDefault="00283A5A" w:rsidP="00283A5A">
            <w:pPr>
              <w:jc w:val="center"/>
              <w:rPr>
                <w:rFonts w:ascii="Cambria" w:hAnsi="Cambria"/>
                <w:b/>
                <w:bCs/>
                <w:color w:val="FFFFFF" w:themeColor="background1"/>
                <w:sz w:val="20"/>
                <w:szCs w:val="20"/>
              </w:rPr>
            </w:pPr>
            <w:r w:rsidRPr="00283A5A">
              <w:rPr>
                <w:rFonts w:ascii="Cambria" w:hAnsi="Cambria"/>
                <w:b/>
                <w:bCs/>
                <w:color w:val="FFFFFF" w:themeColor="background1"/>
                <w:sz w:val="20"/>
                <w:szCs w:val="20"/>
              </w:rPr>
              <w:t>Competence</w:t>
            </w:r>
            <w:r w:rsidRPr="00283A5A">
              <w:rPr>
                <w:rFonts w:ascii="Cambria" w:hAnsi="Cambria"/>
                <w:b/>
                <w:bCs/>
                <w:i/>
                <w:color w:val="FFFFFF" w:themeColor="background1"/>
                <w:sz w:val="20"/>
                <w:szCs w:val="20"/>
              </w:rPr>
              <w:t xml:space="preserve"> Ratione temporis</w:t>
            </w:r>
            <w:r w:rsidRPr="00283A5A">
              <w:rPr>
                <w:rFonts w:ascii="Cambria" w:hAnsi="Cambria"/>
                <w:b/>
                <w:bCs/>
                <w:color w:val="FFFFFF" w:themeColor="background1"/>
                <w:sz w:val="20"/>
                <w:szCs w:val="20"/>
              </w:rPr>
              <w:t>:</w:t>
            </w:r>
          </w:p>
        </w:tc>
        <w:tc>
          <w:tcPr>
            <w:tcW w:w="5670" w:type="dxa"/>
            <w:vAlign w:val="center"/>
          </w:tcPr>
          <w:p w14:paraId="7C85D445" w14:textId="16BD3C19" w:rsidR="00283A5A" w:rsidRPr="00283A5A" w:rsidRDefault="00283A5A" w:rsidP="00283A5A">
            <w:pPr>
              <w:rPr>
                <w:rFonts w:asciiTheme="majorHAnsi" w:hAnsiTheme="majorHAnsi"/>
                <w:bCs/>
                <w:sz w:val="20"/>
                <w:szCs w:val="20"/>
              </w:rPr>
            </w:pPr>
            <w:r w:rsidRPr="00283A5A">
              <w:rPr>
                <w:rFonts w:asciiTheme="majorHAnsi" w:hAnsiTheme="majorHAnsi"/>
                <w:bCs/>
                <w:sz w:val="19"/>
                <w:szCs w:val="19"/>
              </w:rPr>
              <w:t>Yes</w:t>
            </w:r>
          </w:p>
        </w:tc>
      </w:tr>
      <w:tr w:rsidR="00283A5A" w:rsidRPr="00283A5A" w14:paraId="0BD62859" w14:textId="77777777" w:rsidTr="00283A5A">
        <w:trPr>
          <w:cantSplit/>
        </w:trPr>
        <w:tc>
          <w:tcPr>
            <w:tcW w:w="3690" w:type="dxa"/>
            <w:tcBorders>
              <w:top w:val="single" w:sz="6" w:space="0" w:color="auto"/>
              <w:bottom w:val="single" w:sz="6" w:space="0" w:color="auto"/>
            </w:tcBorders>
            <w:shd w:val="clear" w:color="auto" w:fill="67AE3C"/>
            <w:vAlign w:val="center"/>
          </w:tcPr>
          <w:p w14:paraId="40D09D1E" w14:textId="77777777" w:rsidR="00283A5A" w:rsidRPr="00283A5A" w:rsidRDefault="00283A5A" w:rsidP="00283A5A">
            <w:pPr>
              <w:jc w:val="center"/>
              <w:rPr>
                <w:rFonts w:ascii="Cambria" w:hAnsi="Cambria"/>
                <w:b/>
                <w:bCs/>
                <w:color w:val="FFFFFF" w:themeColor="background1"/>
                <w:sz w:val="20"/>
                <w:szCs w:val="20"/>
              </w:rPr>
            </w:pPr>
            <w:r w:rsidRPr="00283A5A">
              <w:rPr>
                <w:rFonts w:ascii="Cambria" w:hAnsi="Cambria"/>
                <w:b/>
                <w:bCs/>
                <w:color w:val="FFFFFF" w:themeColor="background1"/>
                <w:sz w:val="20"/>
                <w:szCs w:val="20"/>
              </w:rPr>
              <w:t>Competence</w:t>
            </w:r>
            <w:r w:rsidRPr="00283A5A">
              <w:rPr>
                <w:rFonts w:ascii="Cambria" w:hAnsi="Cambria"/>
                <w:b/>
                <w:bCs/>
                <w:i/>
                <w:color w:val="FFFFFF" w:themeColor="background1"/>
                <w:sz w:val="20"/>
                <w:szCs w:val="20"/>
              </w:rPr>
              <w:t xml:space="preserve"> Ratione materiae</w:t>
            </w:r>
            <w:r w:rsidRPr="00283A5A">
              <w:rPr>
                <w:rFonts w:ascii="Cambria" w:hAnsi="Cambria"/>
                <w:b/>
                <w:bCs/>
                <w:color w:val="FFFFFF" w:themeColor="background1"/>
                <w:sz w:val="20"/>
                <w:szCs w:val="20"/>
              </w:rPr>
              <w:t>:</w:t>
            </w:r>
          </w:p>
        </w:tc>
        <w:tc>
          <w:tcPr>
            <w:tcW w:w="5670" w:type="dxa"/>
            <w:vAlign w:val="center"/>
          </w:tcPr>
          <w:p w14:paraId="29FEC1C6" w14:textId="34DC4624" w:rsidR="00283A5A" w:rsidRPr="00283A5A" w:rsidRDefault="00283A5A" w:rsidP="00283A5A">
            <w:pPr>
              <w:jc w:val="both"/>
              <w:rPr>
                <w:rFonts w:asciiTheme="majorHAnsi" w:hAnsiTheme="majorHAnsi"/>
                <w:bCs/>
                <w:sz w:val="20"/>
                <w:szCs w:val="20"/>
              </w:rPr>
            </w:pPr>
            <w:r w:rsidRPr="00283A5A">
              <w:rPr>
                <w:rFonts w:asciiTheme="majorHAnsi" w:hAnsiTheme="majorHAnsi"/>
                <w:bCs/>
                <w:sz w:val="19"/>
                <w:szCs w:val="19"/>
              </w:rPr>
              <w:t>Yes, American Convention (deposit of ratification instrument on July 31, 1973)</w:t>
            </w:r>
          </w:p>
        </w:tc>
      </w:tr>
    </w:tbl>
    <w:p w14:paraId="31D684C5" w14:textId="77777777" w:rsidR="00F621C3" w:rsidRPr="00283A5A" w:rsidRDefault="00F621C3" w:rsidP="00F621C3">
      <w:pPr>
        <w:spacing w:before="240" w:after="240"/>
        <w:ind w:firstLine="720"/>
        <w:jc w:val="both"/>
        <w:rPr>
          <w:rFonts w:asciiTheme="majorHAnsi" w:hAnsiTheme="majorHAnsi"/>
          <w:b/>
          <w:bCs/>
          <w:sz w:val="20"/>
          <w:szCs w:val="20"/>
        </w:rPr>
      </w:pPr>
      <w:r w:rsidRPr="00283A5A">
        <w:rPr>
          <w:rFonts w:asciiTheme="majorHAnsi" w:hAnsiTheme="majorHAnsi"/>
          <w:b/>
          <w:bCs/>
          <w:sz w:val="20"/>
          <w:szCs w:val="20"/>
        </w:rPr>
        <w:t xml:space="preserve">IV. </w:t>
      </w:r>
      <w:r w:rsidRPr="00283A5A">
        <w:rPr>
          <w:rFonts w:asciiTheme="majorHAnsi" w:hAnsiTheme="majorHAnsi"/>
          <w:b/>
          <w:bCs/>
          <w:sz w:val="20"/>
          <w:szCs w:val="20"/>
        </w:rPr>
        <w:tab/>
        <w:t xml:space="preserve">DUPLICATION OF PROCEDURES AND INTERNATIONAL </w:t>
      </w:r>
      <w:r w:rsidRPr="00283A5A">
        <w:rPr>
          <w:rFonts w:asciiTheme="majorHAnsi" w:hAnsiTheme="majorHAnsi"/>
          <w:b/>
          <w:bCs/>
          <w:i/>
          <w:sz w:val="20"/>
          <w:szCs w:val="20"/>
        </w:rPr>
        <w:t>RES JUDICATA</w:t>
      </w:r>
      <w:r w:rsidRPr="00283A5A">
        <w:rPr>
          <w:rFonts w:asciiTheme="majorHAnsi" w:hAnsiTheme="majorHAnsi"/>
          <w:b/>
          <w:bCs/>
          <w:sz w:val="20"/>
          <w:szCs w:val="20"/>
        </w:rPr>
        <w:t>, COLORABLE CLAIM, EXHAUSTION OF DOMESTIC REMEDIES AND TIMELINESS OF THE PETITION</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283A5A" w:rsidRPr="00283A5A" w14:paraId="1506495D" w14:textId="77777777" w:rsidTr="00283A5A">
        <w:trPr>
          <w:cantSplit/>
        </w:trPr>
        <w:tc>
          <w:tcPr>
            <w:tcW w:w="3690" w:type="dxa"/>
            <w:tcBorders>
              <w:top w:val="single" w:sz="4" w:space="0" w:color="auto"/>
              <w:bottom w:val="single" w:sz="6" w:space="0" w:color="auto"/>
            </w:tcBorders>
            <w:shd w:val="clear" w:color="auto" w:fill="67AE3C"/>
            <w:vAlign w:val="center"/>
          </w:tcPr>
          <w:p w14:paraId="0DB05A61" w14:textId="77777777" w:rsidR="00283A5A" w:rsidRPr="00283A5A" w:rsidRDefault="00283A5A" w:rsidP="00283A5A">
            <w:pPr>
              <w:jc w:val="center"/>
              <w:rPr>
                <w:rFonts w:ascii="Cambria" w:hAnsi="Cambria"/>
                <w:b/>
                <w:bCs/>
                <w:color w:val="FFFFFF" w:themeColor="background1"/>
                <w:sz w:val="20"/>
                <w:szCs w:val="20"/>
              </w:rPr>
            </w:pPr>
            <w:r w:rsidRPr="00283A5A">
              <w:rPr>
                <w:rFonts w:ascii="Cambria" w:hAnsi="Cambria"/>
                <w:b/>
                <w:bCs/>
                <w:color w:val="FFFFFF" w:themeColor="background1"/>
                <w:sz w:val="20"/>
                <w:szCs w:val="20"/>
              </w:rPr>
              <w:t xml:space="preserve">Duplication of procedures and International </w:t>
            </w:r>
            <w:r w:rsidRPr="00283A5A">
              <w:rPr>
                <w:rFonts w:ascii="Cambria" w:hAnsi="Cambria"/>
                <w:b/>
                <w:bCs/>
                <w:i/>
                <w:color w:val="FFFFFF" w:themeColor="background1"/>
                <w:sz w:val="20"/>
                <w:szCs w:val="20"/>
              </w:rPr>
              <w:t>res judicata</w:t>
            </w:r>
            <w:r w:rsidRPr="00283A5A">
              <w:rPr>
                <w:rFonts w:ascii="Cambria" w:hAnsi="Cambria"/>
                <w:b/>
                <w:bCs/>
                <w:color w:val="FFFFFF" w:themeColor="background1"/>
                <w:sz w:val="20"/>
                <w:szCs w:val="20"/>
              </w:rPr>
              <w:t>:</w:t>
            </w:r>
          </w:p>
        </w:tc>
        <w:tc>
          <w:tcPr>
            <w:tcW w:w="5670" w:type="dxa"/>
            <w:vAlign w:val="center"/>
          </w:tcPr>
          <w:p w14:paraId="64BFF89D" w14:textId="25D146F7" w:rsidR="00283A5A" w:rsidRPr="00283A5A" w:rsidRDefault="00283A5A" w:rsidP="00283A5A">
            <w:pPr>
              <w:jc w:val="both"/>
              <w:rPr>
                <w:rFonts w:ascii="Cambria" w:hAnsi="Cambria"/>
                <w:bCs/>
                <w:sz w:val="20"/>
                <w:szCs w:val="20"/>
              </w:rPr>
            </w:pPr>
            <w:r w:rsidRPr="00283A5A">
              <w:rPr>
                <w:rFonts w:asciiTheme="majorHAnsi" w:hAnsiTheme="majorHAnsi"/>
                <w:bCs/>
                <w:sz w:val="19"/>
                <w:szCs w:val="19"/>
              </w:rPr>
              <w:t>No</w:t>
            </w:r>
          </w:p>
        </w:tc>
      </w:tr>
      <w:tr w:rsidR="00283A5A" w:rsidRPr="00283A5A" w14:paraId="6CAFDA95" w14:textId="77777777" w:rsidTr="00283A5A">
        <w:trPr>
          <w:cantSplit/>
        </w:trPr>
        <w:tc>
          <w:tcPr>
            <w:tcW w:w="3690" w:type="dxa"/>
            <w:tcBorders>
              <w:top w:val="single" w:sz="6" w:space="0" w:color="auto"/>
              <w:bottom w:val="single" w:sz="6" w:space="0" w:color="auto"/>
            </w:tcBorders>
            <w:shd w:val="clear" w:color="auto" w:fill="67AE3C"/>
            <w:vAlign w:val="center"/>
          </w:tcPr>
          <w:p w14:paraId="2D393F7D" w14:textId="77777777" w:rsidR="00283A5A" w:rsidRPr="00283A5A" w:rsidRDefault="00283A5A" w:rsidP="00283A5A">
            <w:pPr>
              <w:jc w:val="center"/>
              <w:rPr>
                <w:rFonts w:ascii="Cambria" w:hAnsi="Cambria"/>
                <w:b/>
                <w:bCs/>
                <w:i/>
                <w:color w:val="FFFFFF" w:themeColor="background1"/>
                <w:sz w:val="20"/>
                <w:szCs w:val="20"/>
              </w:rPr>
            </w:pPr>
            <w:r w:rsidRPr="00283A5A">
              <w:rPr>
                <w:rFonts w:ascii="Cambria" w:hAnsi="Cambria"/>
                <w:b/>
                <w:bCs/>
                <w:color w:val="FFFFFF" w:themeColor="background1"/>
                <w:sz w:val="20"/>
                <w:szCs w:val="20"/>
              </w:rPr>
              <w:t>Rights declared admissible</w:t>
            </w:r>
          </w:p>
        </w:tc>
        <w:tc>
          <w:tcPr>
            <w:tcW w:w="5670" w:type="dxa"/>
            <w:vAlign w:val="center"/>
          </w:tcPr>
          <w:p w14:paraId="3FC3BE01" w14:textId="689C3E88" w:rsidR="00283A5A" w:rsidRPr="00283A5A" w:rsidRDefault="00283A5A" w:rsidP="00283A5A">
            <w:pPr>
              <w:jc w:val="both"/>
              <w:rPr>
                <w:rFonts w:ascii="Cambria" w:hAnsi="Cambria"/>
                <w:bCs/>
                <w:sz w:val="20"/>
                <w:szCs w:val="20"/>
              </w:rPr>
            </w:pPr>
            <w:r w:rsidRPr="00283A5A">
              <w:rPr>
                <w:rFonts w:asciiTheme="majorHAnsi" w:hAnsiTheme="majorHAnsi"/>
                <w:sz w:val="19"/>
                <w:szCs w:val="19"/>
              </w:rPr>
              <w:t>Articles 3 (juridical personality), 4 (life), 5 (humane treatment), 7 (personal liberty), 8 (fair trial), 11 (privacy) and 25 (judicial protection) of the American Convention, in relation to its Articles 1.1 (obligation to respect rights) and 2 (domestic legal effects)</w:t>
            </w:r>
          </w:p>
        </w:tc>
      </w:tr>
      <w:tr w:rsidR="00283A5A" w:rsidRPr="00283A5A" w14:paraId="3D9AEA74" w14:textId="77777777" w:rsidTr="00283A5A">
        <w:trPr>
          <w:cantSplit/>
        </w:trPr>
        <w:tc>
          <w:tcPr>
            <w:tcW w:w="3690" w:type="dxa"/>
            <w:tcBorders>
              <w:top w:val="single" w:sz="6" w:space="0" w:color="auto"/>
              <w:bottom w:val="single" w:sz="6" w:space="0" w:color="auto"/>
            </w:tcBorders>
            <w:shd w:val="clear" w:color="auto" w:fill="67AE3C"/>
            <w:vAlign w:val="center"/>
          </w:tcPr>
          <w:p w14:paraId="31617BC4" w14:textId="77777777" w:rsidR="00283A5A" w:rsidRPr="00283A5A" w:rsidRDefault="00283A5A" w:rsidP="00283A5A">
            <w:pPr>
              <w:jc w:val="center"/>
              <w:rPr>
                <w:rFonts w:ascii="Cambria" w:hAnsi="Cambria"/>
                <w:b/>
                <w:bCs/>
                <w:color w:val="FFFFFF" w:themeColor="background1"/>
                <w:sz w:val="20"/>
                <w:szCs w:val="20"/>
              </w:rPr>
            </w:pPr>
            <w:r w:rsidRPr="00283A5A">
              <w:rPr>
                <w:rFonts w:ascii="Cambria" w:hAnsi="Cambria"/>
                <w:b/>
                <w:bCs/>
                <w:color w:val="FFFFFF" w:themeColor="background1"/>
                <w:sz w:val="20"/>
                <w:szCs w:val="20"/>
              </w:rPr>
              <w:t>Exhaustion of domestic remedies or applicability of an exception to the rule:</w:t>
            </w:r>
          </w:p>
        </w:tc>
        <w:tc>
          <w:tcPr>
            <w:tcW w:w="5670" w:type="dxa"/>
            <w:vAlign w:val="center"/>
          </w:tcPr>
          <w:p w14:paraId="346777AF" w14:textId="4D17C837" w:rsidR="00283A5A" w:rsidRPr="00283A5A" w:rsidRDefault="00283A5A" w:rsidP="00283A5A">
            <w:pPr>
              <w:rPr>
                <w:rFonts w:ascii="Cambria" w:hAnsi="Cambria"/>
                <w:bCs/>
                <w:sz w:val="20"/>
                <w:szCs w:val="20"/>
              </w:rPr>
            </w:pPr>
            <w:r w:rsidRPr="00283A5A">
              <w:rPr>
                <w:rFonts w:asciiTheme="majorHAnsi" w:hAnsiTheme="majorHAnsi"/>
                <w:bCs/>
                <w:sz w:val="19"/>
                <w:szCs w:val="19"/>
              </w:rPr>
              <w:t>Yes, under the terms of Section VI</w:t>
            </w:r>
          </w:p>
        </w:tc>
      </w:tr>
      <w:tr w:rsidR="00283A5A" w:rsidRPr="00283A5A" w14:paraId="0805E6A9" w14:textId="77777777" w:rsidTr="00283A5A">
        <w:trPr>
          <w:cantSplit/>
        </w:trPr>
        <w:tc>
          <w:tcPr>
            <w:tcW w:w="3690" w:type="dxa"/>
            <w:tcBorders>
              <w:top w:val="single" w:sz="6" w:space="0" w:color="auto"/>
              <w:bottom w:val="single" w:sz="6" w:space="0" w:color="auto"/>
            </w:tcBorders>
            <w:shd w:val="clear" w:color="auto" w:fill="67AE3C"/>
            <w:vAlign w:val="center"/>
          </w:tcPr>
          <w:p w14:paraId="7B212E77" w14:textId="77777777" w:rsidR="00283A5A" w:rsidRPr="00283A5A" w:rsidRDefault="00283A5A" w:rsidP="00283A5A">
            <w:pPr>
              <w:jc w:val="center"/>
              <w:rPr>
                <w:rFonts w:ascii="Cambria" w:hAnsi="Cambria"/>
                <w:b/>
                <w:bCs/>
                <w:color w:val="FFFFFF" w:themeColor="background1"/>
                <w:sz w:val="20"/>
                <w:szCs w:val="20"/>
              </w:rPr>
            </w:pPr>
            <w:r w:rsidRPr="00283A5A">
              <w:rPr>
                <w:rFonts w:ascii="Cambria" w:hAnsi="Cambria"/>
                <w:b/>
                <w:bCs/>
                <w:color w:val="FFFFFF" w:themeColor="background1"/>
                <w:sz w:val="20"/>
                <w:szCs w:val="20"/>
              </w:rPr>
              <w:t>Timeliness of the petition:</w:t>
            </w:r>
          </w:p>
        </w:tc>
        <w:tc>
          <w:tcPr>
            <w:tcW w:w="5670" w:type="dxa"/>
            <w:vAlign w:val="center"/>
          </w:tcPr>
          <w:p w14:paraId="1238B839" w14:textId="2468B389" w:rsidR="00283A5A" w:rsidRPr="00283A5A" w:rsidRDefault="00283A5A" w:rsidP="00283A5A">
            <w:pPr>
              <w:rPr>
                <w:rFonts w:asciiTheme="majorHAnsi" w:hAnsiTheme="majorHAnsi"/>
                <w:bCs/>
                <w:sz w:val="20"/>
                <w:szCs w:val="20"/>
              </w:rPr>
            </w:pPr>
            <w:r w:rsidRPr="00283A5A">
              <w:rPr>
                <w:rFonts w:asciiTheme="majorHAnsi" w:hAnsiTheme="majorHAnsi"/>
                <w:bCs/>
                <w:sz w:val="19"/>
                <w:szCs w:val="19"/>
              </w:rPr>
              <w:t>Yes, under the terms of Section VI</w:t>
            </w:r>
          </w:p>
        </w:tc>
      </w:tr>
    </w:tbl>
    <w:p w14:paraId="656E8F66" w14:textId="77777777" w:rsidR="00210F4B" w:rsidRPr="00283A5A" w:rsidRDefault="00210F4B" w:rsidP="00F621C3">
      <w:pPr>
        <w:spacing w:before="240" w:after="240"/>
        <w:ind w:firstLine="720"/>
        <w:jc w:val="both"/>
        <w:rPr>
          <w:rFonts w:asciiTheme="majorHAnsi" w:hAnsiTheme="majorHAnsi"/>
          <w:b/>
          <w:sz w:val="20"/>
          <w:szCs w:val="20"/>
        </w:rPr>
      </w:pPr>
    </w:p>
    <w:p w14:paraId="5D802A1F" w14:textId="77777777" w:rsidR="00B06BB7" w:rsidRPr="00283A5A" w:rsidRDefault="00B06BB7">
      <w:pPr>
        <w:rPr>
          <w:rFonts w:asciiTheme="majorHAnsi" w:hAnsiTheme="majorHAnsi"/>
          <w:b/>
          <w:sz w:val="20"/>
          <w:szCs w:val="20"/>
        </w:rPr>
      </w:pPr>
      <w:r w:rsidRPr="00283A5A">
        <w:rPr>
          <w:rFonts w:asciiTheme="majorHAnsi" w:hAnsiTheme="majorHAnsi"/>
          <w:b/>
          <w:sz w:val="20"/>
          <w:szCs w:val="20"/>
        </w:rPr>
        <w:br w:type="page"/>
      </w:r>
    </w:p>
    <w:p w14:paraId="18DCE0F3" w14:textId="77777777" w:rsidR="00F621C3" w:rsidRPr="00283A5A" w:rsidRDefault="00F621C3" w:rsidP="00F621C3">
      <w:pPr>
        <w:spacing w:before="240" w:after="240"/>
        <w:ind w:firstLine="720"/>
        <w:jc w:val="both"/>
        <w:rPr>
          <w:rFonts w:asciiTheme="majorHAnsi" w:hAnsiTheme="majorHAnsi"/>
          <w:b/>
          <w:sz w:val="20"/>
          <w:szCs w:val="20"/>
        </w:rPr>
      </w:pPr>
      <w:r w:rsidRPr="00283A5A">
        <w:rPr>
          <w:rFonts w:asciiTheme="majorHAnsi" w:hAnsiTheme="majorHAnsi"/>
          <w:b/>
          <w:sz w:val="20"/>
          <w:szCs w:val="20"/>
        </w:rPr>
        <w:lastRenderedPageBreak/>
        <w:t xml:space="preserve">V. </w:t>
      </w:r>
      <w:r w:rsidRPr="00283A5A">
        <w:rPr>
          <w:rFonts w:asciiTheme="majorHAnsi" w:hAnsiTheme="majorHAnsi"/>
          <w:b/>
          <w:sz w:val="20"/>
          <w:szCs w:val="20"/>
        </w:rPr>
        <w:tab/>
        <w:t xml:space="preserve">ALLEGED FACTS </w:t>
      </w:r>
    </w:p>
    <w:p w14:paraId="0B2866E2" w14:textId="6E4B3BFB" w:rsidR="00D02453" w:rsidRPr="00283A5A" w:rsidRDefault="00D02453" w:rsidP="00D02453">
      <w:pPr>
        <w:pStyle w:val="ListParagraph"/>
        <w:numPr>
          <w:ilvl w:val="0"/>
          <w:numId w:val="103"/>
        </w:numPr>
        <w:spacing w:after="240"/>
        <w:jc w:val="both"/>
        <w:rPr>
          <w:rFonts w:eastAsia="Arial Unicode MS" w:cs="Times New Roman"/>
          <w:color w:val="auto"/>
          <w:sz w:val="20"/>
          <w:szCs w:val="20"/>
          <w:lang w:eastAsia="en-US"/>
        </w:rPr>
      </w:pPr>
      <w:r w:rsidRPr="00283A5A">
        <w:rPr>
          <w:rFonts w:eastAsia="Arial Unicode MS" w:cs="Times New Roman"/>
          <w:color w:val="auto"/>
          <w:sz w:val="20"/>
          <w:szCs w:val="20"/>
          <w:lang w:eastAsia="en-US"/>
        </w:rPr>
        <w:t xml:space="preserve">The instant petition concerns alleged human rights violations to the detriment of Hawin Parra Rentería (“the alleged victim” or “Mr. Rentería”) and his relatives. The petitioner alleges that Mr. Rentería was killed by officers of the National Army of Colombia, who passed him off as “a dangerous extortionist,” and that the State has not provided prompt reparations to the relatives or punished the perpetrators, which has created a situation of impunity. </w:t>
      </w:r>
    </w:p>
    <w:p w14:paraId="27FFB263" w14:textId="1B299EA3" w:rsidR="00D02453" w:rsidRPr="00283A5A" w:rsidRDefault="00D02453" w:rsidP="00D02453">
      <w:pPr>
        <w:pStyle w:val="ListParagraph"/>
        <w:numPr>
          <w:ilvl w:val="0"/>
          <w:numId w:val="103"/>
        </w:numPr>
        <w:spacing w:after="240"/>
        <w:jc w:val="both"/>
        <w:rPr>
          <w:rFonts w:eastAsia="Arial Unicode MS" w:cs="Times New Roman"/>
          <w:color w:val="auto"/>
          <w:sz w:val="20"/>
          <w:szCs w:val="20"/>
          <w:lang w:eastAsia="en-US"/>
        </w:rPr>
      </w:pPr>
      <w:r w:rsidRPr="00283A5A">
        <w:rPr>
          <w:rFonts w:eastAsia="Arial Unicode MS" w:cs="Times New Roman"/>
          <w:color w:val="auto"/>
          <w:sz w:val="20"/>
          <w:szCs w:val="20"/>
          <w:lang w:eastAsia="en-US"/>
        </w:rPr>
        <w:t>The petitioner indicates that the alleged victim was an 18-year-old Afro-descendent youth who went missing on April 27, 2007</w:t>
      </w:r>
      <w:r w:rsidR="001B70C9">
        <w:rPr>
          <w:rFonts w:eastAsia="Arial Unicode MS" w:cs="Times New Roman"/>
          <w:color w:val="auto"/>
          <w:sz w:val="20"/>
          <w:szCs w:val="20"/>
          <w:lang w:eastAsia="en-US"/>
        </w:rPr>
        <w:t>,</w:t>
      </w:r>
      <w:r w:rsidRPr="00283A5A">
        <w:rPr>
          <w:rFonts w:eastAsia="Arial Unicode MS" w:cs="Times New Roman"/>
          <w:color w:val="auto"/>
          <w:sz w:val="20"/>
          <w:szCs w:val="20"/>
          <w:lang w:eastAsia="en-US"/>
        </w:rPr>
        <w:t xml:space="preserve"> after going to Parque de San Antonio, Medellín, to search for employment. The petitioner submits that Mr. Rentería lived with his aunt, Ms. Dina Luz Parra, and that she began searching for the latter when she noticed that he was not back home. Mr. Rentería’s parents joined her. Their efforts unsuccessfully continued for several days until someone called them to inform that the alleged victim’s body was at the local morgue in Girardota, Antioquia. </w:t>
      </w:r>
    </w:p>
    <w:p w14:paraId="176B41FB" w14:textId="3EA6A7F9" w:rsidR="00D02453" w:rsidRPr="00283A5A" w:rsidRDefault="00D02453" w:rsidP="00D02453">
      <w:pPr>
        <w:pStyle w:val="ListParagraph"/>
        <w:numPr>
          <w:ilvl w:val="0"/>
          <w:numId w:val="103"/>
        </w:numPr>
        <w:spacing w:after="240"/>
        <w:jc w:val="both"/>
        <w:rPr>
          <w:rFonts w:eastAsia="Arial Unicode MS" w:cs="Times New Roman"/>
          <w:color w:val="auto"/>
          <w:sz w:val="20"/>
          <w:szCs w:val="20"/>
          <w:lang w:eastAsia="en-US"/>
        </w:rPr>
      </w:pPr>
      <w:r w:rsidRPr="00283A5A">
        <w:rPr>
          <w:rFonts w:eastAsia="Arial Unicode MS" w:cs="Times New Roman"/>
          <w:color w:val="auto"/>
          <w:sz w:val="20"/>
          <w:szCs w:val="20"/>
          <w:lang w:eastAsia="en-US"/>
        </w:rPr>
        <w:t xml:space="preserve">According to the petitioner, the Public Prosecutor’s Office of Medellin informed that the body was found in Girardota, at 10:00 p.m. </w:t>
      </w:r>
      <w:r w:rsidR="00B92917">
        <w:rPr>
          <w:rFonts w:eastAsia="Arial Unicode MS" w:cs="Times New Roman"/>
          <w:color w:val="auto"/>
          <w:sz w:val="20"/>
          <w:szCs w:val="20"/>
          <w:lang w:eastAsia="en-US"/>
        </w:rPr>
        <w:t>on</w:t>
      </w:r>
      <w:r w:rsidRPr="00283A5A">
        <w:rPr>
          <w:rFonts w:eastAsia="Arial Unicode MS" w:cs="Times New Roman"/>
          <w:color w:val="auto"/>
          <w:sz w:val="20"/>
          <w:szCs w:val="20"/>
          <w:lang w:eastAsia="en-US"/>
        </w:rPr>
        <w:t xml:space="preserve"> April 27, 2007, and was guarded by soldiers, and that next to the alleged victim’s body lied the dead body of a 17-year-old youth. The petitioner indicates that army officers claimed that they were deployed to the area because of the “Autoridad” strategic mission, aimed at fighting criminal groups operating in that region, and that, in responding to the shooting against them, they killed the alleged victim and the other youth. He affirms that</w:t>
      </w:r>
      <w:r w:rsidR="00755C03" w:rsidRPr="00283A5A">
        <w:rPr>
          <w:rFonts w:eastAsia="Arial Unicode MS" w:cs="Times New Roman"/>
          <w:color w:val="auto"/>
          <w:sz w:val="20"/>
          <w:szCs w:val="20"/>
          <w:lang w:eastAsia="en-US"/>
        </w:rPr>
        <w:t xml:space="preserve"> Mr.</w:t>
      </w:r>
      <w:r w:rsidRPr="00283A5A">
        <w:rPr>
          <w:rFonts w:eastAsia="Arial Unicode MS" w:cs="Times New Roman"/>
          <w:color w:val="auto"/>
          <w:sz w:val="20"/>
          <w:szCs w:val="20"/>
          <w:lang w:eastAsia="en-US"/>
        </w:rPr>
        <w:t xml:space="preserve"> </w:t>
      </w:r>
      <w:proofErr w:type="spellStart"/>
      <w:r w:rsidRPr="00283A5A">
        <w:rPr>
          <w:rFonts w:eastAsia="Arial Unicode MS" w:cs="Times New Roman"/>
          <w:color w:val="auto"/>
          <w:sz w:val="20"/>
          <w:szCs w:val="20"/>
          <w:lang w:eastAsia="en-US"/>
        </w:rPr>
        <w:t>Rentería’s</w:t>
      </w:r>
      <w:proofErr w:type="spellEnd"/>
      <w:r w:rsidRPr="00283A5A">
        <w:rPr>
          <w:rFonts w:eastAsia="Arial Unicode MS" w:cs="Times New Roman"/>
          <w:color w:val="auto"/>
          <w:sz w:val="20"/>
          <w:szCs w:val="20"/>
          <w:lang w:eastAsia="en-US"/>
        </w:rPr>
        <w:t xml:space="preserve"> death was</w:t>
      </w:r>
      <w:r w:rsidR="00755C03">
        <w:rPr>
          <w:rFonts w:eastAsia="Arial Unicode MS" w:cs="Times New Roman"/>
          <w:color w:val="auto"/>
          <w:sz w:val="20"/>
          <w:szCs w:val="20"/>
          <w:lang w:eastAsia="en-US"/>
        </w:rPr>
        <w:t xml:space="preserve"> </w:t>
      </w:r>
      <w:r w:rsidR="009D5004">
        <w:rPr>
          <w:rFonts w:eastAsia="Arial Unicode MS" w:cs="Times New Roman"/>
          <w:color w:val="auto"/>
          <w:sz w:val="20"/>
          <w:szCs w:val="20"/>
          <w:lang w:eastAsia="en-US"/>
        </w:rPr>
        <w:t xml:space="preserve">the </w:t>
      </w:r>
      <w:r w:rsidRPr="00283A5A">
        <w:rPr>
          <w:rFonts w:eastAsia="Arial Unicode MS" w:cs="Times New Roman"/>
          <w:color w:val="auto"/>
          <w:sz w:val="20"/>
          <w:szCs w:val="20"/>
          <w:lang w:eastAsia="en-US"/>
        </w:rPr>
        <w:t>homicide of a protected person (someone not participating in hostilities in an armed conflict)</w:t>
      </w:r>
      <w:r w:rsidR="00755C03">
        <w:rPr>
          <w:rFonts w:eastAsia="Arial Unicode MS" w:cs="Times New Roman"/>
          <w:color w:val="auto"/>
          <w:sz w:val="20"/>
          <w:szCs w:val="20"/>
          <w:lang w:eastAsia="en-US"/>
        </w:rPr>
        <w:t xml:space="preserve">. He claims that </w:t>
      </w:r>
      <w:r w:rsidRPr="00283A5A">
        <w:rPr>
          <w:rFonts w:eastAsia="Arial Unicode MS" w:cs="Times New Roman"/>
          <w:color w:val="auto"/>
          <w:sz w:val="20"/>
          <w:szCs w:val="20"/>
          <w:lang w:eastAsia="en-US"/>
        </w:rPr>
        <w:t xml:space="preserve">the army passed the alleged victim off as “a dangerous extortionist killed in action” and placed a handgun next to his dead body, although officers knew very well that these men were neither hostile nor killed in action. He further explains that the alleged victim had a clean police record and no reasons to be in Girardota. He submits that, in this case, the actions by the army coincide with the modus operandi in Colombia known as “false positives” or “extrajudicial killings.” </w:t>
      </w:r>
    </w:p>
    <w:p w14:paraId="08CEEEA3" w14:textId="3C20922A" w:rsidR="00D02453" w:rsidRPr="00283A5A" w:rsidRDefault="00D02453" w:rsidP="00D02453">
      <w:pPr>
        <w:pStyle w:val="ListParagraph"/>
        <w:numPr>
          <w:ilvl w:val="0"/>
          <w:numId w:val="103"/>
        </w:numPr>
        <w:spacing w:after="240"/>
        <w:jc w:val="both"/>
        <w:rPr>
          <w:rFonts w:eastAsia="Arial Unicode MS" w:cs="Times New Roman"/>
          <w:color w:val="auto"/>
          <w:sz w:val="20"/>
          <w:szCs w:val="20"/>
          <w:lang w:eastAsia="en-US"/>
        </w:rPr>
      </w:pPr>
      <w:r w:rsidRPr="00283A5A">
        <w:rPr>
          <w:rFonts w:eastAsia="Arial Unicode MS" w:cs="Times New Roman"/>
          <w:color w:val="auto"/>
          <w:sz w:val="20"/>
          <w:szCs w:val="20"/>
          <w:lang w:eastAsia="en-US"/>
        </w:rPr>
        <w:t>As for the investigations, the petitioner claims that some individuals have confessed</w:t>
      </w:r>
      <w:r w:rsidR="00B7419B">
        <w:rPr>
          <w:rFonts w:eastAsia="Arial Unicode MS" w:cs="Times New Roman"/>
          <w:color w:val="auto"/>
          <w:sz w:val="20"/>
          <w:szCs w:val="20"/>
          <w:lang w:eastAsia="en-US"/>
        </w:rPr>
        <w:t>,</w:t>
      </w:r>
      <w:r w:rsidRPr="00283A5A">
        <w:rPr>
          <w:rFonts w:eastAsia="Arial Unicode MS" w:cs="Times New Roman"/>
          <w:color w:val="auto"/>
          <w:sz w:val="20"/>
          <w:szCs w:val="20"/>
          <w:lang w:eastAsia="en-US"/>
        </w:rPr>
        <w:t xml:space="preserve"> but progress in the case has been insufficient because there is not yet “a tangible outcome that provides the victims with </w:t>
      </w:r>
      <w:r w:rsidR="00752DBA">
        <w:rPr>
          <w:rFonts w:eastAsia="Arial Unicode MS" w:cs="Times New Roman"/>
          <w:color w:val="auto"/>
          <w:sz w:val="20"/>
          <w:szCs w:val="20"/>
          <w:lang w:eastAsia="en-US"/>
        </w:rPr>
        <w:t xml:space="preserve">a </w:t>
      </w:r>
      <w:r w:rsidRPr="00283A5A">
        <w:rPr>
          <w:rFonts w:eastAsia="Arial Unicode MS" w:cs="Times New Roman"/>
          <w:color w:val="auto"/>
          <w:sz w:val="20"/>
          <w:szCs w:val="20"/>
          <w:lang w:eastAsia="en-US"/>
        </w:rPr>
        <w:t xml:space="preserve">higher degree of certainty about </w:t>
      </w:r>
      <w:r w:rsidR="00524D8D">
        <w:rPr>
          <w:rFonts w:eastAsia="Arial Unicode MS" w:cs="Times New Roman"/>
          <w:color w:val="auto"/>
          <w:sz w:val="20"/>
          <w:szCs w:val="20"/>
          <w:lang w:eastAsia="en-US"/>
        </w:rPr>
        <w:t>the identity of</w:t>
      </w:r>
      <w:r w:rsidRPr="00283A5A">
        <w:rPr>
          <w:rFonts w:eastAsia="Arial Unicode MS" w:cs="Times New Roman"/>
          <w:color w:val="auto"/>
          <w:sz w:val="20"/>
          <w:szCs w:val="20"/>
          <w:lang w:eastAsia="en-US"/>
        </w:rPr>
        <w:t xml:space="preserve"> the masterminds, their motives</w:t>
      </w:r>
      <w:r w:rsidR="00B7419B">
        <w:rPr>
          <w:rFonts w:eastAsia="Arial Unicode MS" w:cs="Times New Roman"/>
          <w:color w:val="auto"/>
          <w:sz w:val="20"/>
          <w:szCs w:val="20"/>
          <w:lang w:eastAsia="en-US"/>
        </w:rPr>
        <w:t>,</w:t>
      </w:r>
      <w:r w:rsidRPr="00283A5A">
        <w:rPr>
          <w:rFonts w:eastAsia="Arial Unicode MS" w:cs="Times New Roman"/>
          <w:color w:val="auto"/>
          <w:sz w:val="20"/>
          <w:szCs w:val="20"/>
          <w:lang w:eastAsia="en-US"/>
        </w:rPr>
        <w:t xml:space="preserve"> and premeditation, in the context of systematicity.” He moreover indicates that on December 10, 2014, the Administrative Court of Antioquia found the Ministry of Defense-the National Army guilty of Mr. Rentería’s death, ruling payment of compensation in favor of the victims. Reportedly, the defendant has not paid reparations because of budgetary limitations and its running behind schedule. The petitioner argues that the judgment not only has been disregarded but it</w:t>
      </w:r>
      <w:r w:rsidR="005553E1">
        <w:rPr>
          <w:rFonts w:eastAsia="Arial Unicode MS" w:cs="Times New Roman"/>
          <w:color w:val="auto"/>
          <w:sz w:val="20"/>
          <w:szCs w:val="20"/>
          <w:lang w:eastAsia="en-US"/>
        </w:rPr>
        <w:t xml:space="preserve"> also lacks</w:t>
      </w:r>
      <w:r w:rsidRPr="00283A5A">
        <w:rPr>
          <w:rFonts w:eastAsia="Arial Unicode MS" w:cs="Times New Roman"/>
          <w:color w:val="auto"/>
          <w:sz w:val="20"/>
          <w:szCs w:val="20"/>
          <w:lang w:eastAsia="en-US"/>
        </w:rPr>
        <w:t xml:space="preserve"> </w:t>
      </w:r>
      <w:r w:rsidR="005553E1">
        <w:rPr>
          <w:rFonts w:eastAsia="Arial Unicode MS" w:cs="Times New Roman"/>
          <w:color w:val="auto"/>
          <w:sz w:val="20"/>
          <w:szCs w:val="20"/>
          <w:lang w:eastAsia="en-US"/>
        </w:rPr>
        <w:t>m</w:t>
      </w:r>
      <w:r w:rsidRPr="00283A5A">
        <w:rPr>
          <w:rFonts w:eastAsia="Arial Unicode MS" w:cs="Times New Roman"/>
          <w:color w:val="auto"/>
          <w:sz w:val="20"/>
          <w:szCs w:val="20"/>
          <w:lang w:eastAsia="en-US"/>
        </w:rPr>
        <w:t>easures of truth, restitution, rehabilitation, satisfaction</w:t>
      </w:r>
      <w:r w:rsidR="00B7419B">
        <w:rPr>
          <w:rFonts w:eastAsia="Arial Unicode MS" w:cs="Times New Roman"/>
          <w:color w:val="auto"/>
          <w:sz w:val="20"/>
          <w:szCs w:val="20"/>
          <w:lang w:eastAsia="en-US"/>
        </w:rPr>
        <w:t>,</w:t>
      </w:r>
      <w:r w:rsidRPr="00283A5A">
        <w:rPr>
          <w:rFonts w:eastAsia="Arial Unicode MS" w:cs="Times New Roman"/>
          <w:color w:val="auto"/>
          <w:sz w:val="20"/>
          <w:szCs w:val="20"/>
          <w:lang w:eastAsia="en-US"/>
        </w:rPr>
        <w:t xml:space="preserve"> and non-repetition. </w:t>
      </w:r>
    </w:p>
    <w:p w14:paraId="05A59C64" w14:textId="6794D36E" w:rsidR="00D02453" w:rsidRPr="00283A5A" w:rsidRDefault="00D02453" w:rsidP="00D02453">
      <w:pPr>
        <w:pStyle w:val="ListParagraph"/>
        <w:numPr>
          <w:ilvl w:val="0"/>
          <w:numId w:val="103"/>
        </w:numPr>
        <w:spacing w:after="240"/>
        <w:jc w:val="both"/>
        <w:rPr>
          <w:rFonts w:eastAsia="Arial Unicode MS" w:cs="Times New Roman"/>
          <w:color w:val="auto"/>
          <w:sz w:val="20"/>
          <w:szCs w:val="20"/>
          <w:lang w:eastAsia="en-US"/>
        </w:rPr>
      </w:pPr>
      <w:r w:rsidRPr="00283A5A">
        <w:rPr>
          <w:rFonts w:eastAsia="Arial Unicode MS" w:cs="Times New Roman"/>
          <w:color w:val="auto"/>
          <w:sz w:val="20"/>
          <w:szCs w:val="20"/>
          <w:lang w:eastAsia="en-US"/>
        </w:rPr>
        <w:t>For its part, the State indicates that on April 27, 2007, the Public Prosecutor’s Office filed proceedings to establish the facts and investigations have progressed diligently since then. It submits that the criminal proceedings are currently in the stage of investigation for aggravated murder and the hypothesis of the crime is “homicide by public officers with the object to present the youths as persons killed in action.” It emphasizes that the time taken by the investigation is not due to a lack of diligence but to circumstances such as the number of victims, perpetrators</w:t>
      </w:r>
      <w:r w:rsidR="00B7419B">
        <w:rPr>
          <w:rFonts w:eastAsia="Arial Unicode MS" w:cs="Times New Roman"/>
          <w:color w:val="auto"/>
          <w:sz w:val="20"/>
          <w:szCs w:val="20"/>
          <w:lang w:eastAsia="en-US"/>
        </w:rPr>
        <w:t>,</w:t>
      </w:r>
      <w:r w:rsidRPr="00283A5A">
        <w:rPr>
          <w:rFonts w:eastAsia="Arial Unicode MS" w:cs="Times New Roman"/>
          <w:color w:val="auto"/>
          <w:sz w:val="20"/>
          <w:szCs w:val="20"/>
          <w:lang w:eastAsia="en-US"/>
        </w:rPr>
        <w:t xml:space="preserve"> and sanctionable actions; the false testimonies initially rendered by subjects involved and the difficulty to collect evidentiary material. It argues that in 2017 the Prosecutor’s Office entered preliminary plea agreements with eight suspects, who pleaded guilty of the murder of Mr. Rentería, and formally accused other two individuals who refused to plead guilty. </w:t>
      </w:r>
    </w:p>
    <w:p w14:paraId="3D6D4C25" w14:textId="1FA0FC93" w:rsidR="00D02453" w:rsidRPr="00283A5A" w:rsidRDefault="00D02453" w:rsidP="00D02453">
      <w:pPr>
        <w:pStyle w:val="ListParagraph"/>
        <w:numPr>
          <w:ilvl w:val="0"/>
          <w:numId w:val="103"/>
        </w:numPr>
        <w:spacing w:after="240"/>
        <w:jc w:val="both"/>
        <w:rPr>
          <w:rFonts w:eastAsia="Arial Unicode MS" w:cs="Times New Roman"/>
          <w:color w:val="auto"/>
          <w:sz w:val="20"/>
          <w:szCs w:val="20"/>
          <w:lang w:eastAsia="en-US"/>
        </w:rPr>
      </w:pPr>
      <w:r w:rsidRPr="00283A5A">
        <w:rPr>
          <w:rFonts w:eastAsia="Arial Unicode MS" w:cs="Times New Roman"/>
          <w:color w:val="auto"/>
          <w:sz w:val="20"/>
          <w:szCs w:val="20"/>
          <w:lang w:eastAsia="en-US"/>
        </w:rPr>
        <w:t>It indicates that, apart from the criminal investigation, on August 3, 2007</w:t>
      </w:r>
      <w:r w:rsidR="00B7419B">
        <w:rPr>
          <w:rFonts w:eastAsia="Arial Unicode MS" w:cs="Times New Roman"/>
          <w:color w:val="auto"/>
          <w:sz w:val="20"/>
          <w:szCs w:val="20"/>
          <w:lang w:eastAsia="en-US"/>
        </w:rPr>
        <w:t>,</w:t>
      </w:r>
      <w:r w:rsidRPr="00283A5A">
        <w:rPr>
          <w:rFonts w:eastAsia="Arial Unicode MS" w:cs="Times New Roman"/>
          <w:color w:val="auto"/>
          <w:sz w:val="20"/>
          <w:szCs w:val="20"/>
          <w:lang w:eastAsia="en-US"/>
        </w:rPr>
        <w:t xml:space="preserve"> a disciplinary investigation was filed against army officers on duty in the city of Girardota. As a result, on February 11, 2009, the Vice-Inspector General’s Office of Colombia ruled to open an investigation into a corporal second class and seven professional soldiers. Subsequently, on February 14, 2013, the Vice-Inspector General’s Office closed the disciplinary </w:t>
      </w:r>
      <w:r w:rsidR="00963338" w:rsidRPr="00283A5A">
        <w:rPr>
          <w:rFonts w:eastAsia="Arial Unicode MS" w:cs="Times New Roman"/>
          <w:color w:val="auto"/>
          <w:sz w:val="20"/>
          <w:szCs w:val="20"/>
          <w:lang w:eastAsia="en-US"/>
        </w:rPr>
        <w:t>investigation,</w:t>
      </w:r>
      <w:r w:rsidRPr="00283A5A">
        <w:rPr>
          <w:rFonts w:eastAsia="Arial Unicode MS" w:cs="Times New Roman"/>
          <w:color w:val="auto"/>
          <w:sz w:val="20"/>
          <w:szCs w:val="20"/>
          <w:lang w:eastAsia="en-US"/>
        </w:rPr>
        <w:t xml:space="preserve"> and</w:t>
      </w:r>
      <w:r w:rsidR="00B7419B">
        <w:rPr>
          <w:rFonts w:eastAsia="Arial Unicode MS" w:cs="Times New Roman"/>
          <w:color w:val="auto"/>
          <w:sz w:val="20"/>
          <w:szCs w:val="20"/>
          <w:lang w:eastAsia="en-US"/>
        </w:rPr>
        <w:t>,</w:t>
      </w:r>
      <w:r w:rsidRPr="00283A5A">
        <w:rPr>
          <w:rFonts w:eastAsia="Arial Unicode MS" w:cs="Times New Roman"/>
          <w:color w:val="auto"/>
          <w:sz w:val="20"/>
          <w:szCs w:val="20"/>
          <w:lang w:eastAsia="en-US"/>
        </w:rPr>
        <w:t xml:space="preserve"> on January 13, 2017</w:t>
      </w:r>
      <w:r w:rsidR="005553E1">
        <w:rPr>
          <w:rFonts w:eastAsia="Arial Unicode MS" w:cs="Times New Roman"/>
          <w:color w:val="auto"/>
          <w:sz w:val="20"/>
          <w:szCs w:val="20"/>
          <w:lang w:eastAsia="en-US"/>
        </w:rPr>
        <w:t>,</w:t>
      </w:r>
      <w:r w:rsidRPr="00283A5A">
        <w:rPr>
          <w:rFonts w:eastAsia="Arial Unicode MS" w:cs="Times New Roman"/>
          <w:color w:val="auto"/>
          <w:sz w:val="20"/>
          <w:szCs w:val="20"/>
          <w:lang w:eastAsia="en-US"/>
        </w:rPr>
        <w:t xml:space="preserve"> it </w:t>
      </w:r>
      <w:r w:rsidR="00F377D4">
        <w:rPr>
          <w:rFonts w:eastAsia="Arial Unicode MS" w:cs="Times New Roman"/>
          <w:color w:val="auto"/>
          <w:sz w:val="20"/>
          <w:szCs w:val="20"/>
          <w:lang w:eastAsia="en-US"/>
        </w:rPr>
        <w:t>ordered the</w:t>
      </w:r>
      <w:r w:rsidR="005553E1">
        <w:rPr>
          <w:rFonts w:eastAsia="Arial Unicode MS" w:cs="Times New Roman"/>
          <w:color w:val="auto"/>
          <w:sz w:val="20"/>
          <w:szCs w:val="20"/>
          <w:lang w:eastAsia="en-US"/>
        </w:rPr>
        <w:t xml:space="preserve"> accusation of </w:t>
      </w:r>
      <w:r w:rsidRPr="00283A5A">
        <w:rPr>
          <w:rFonts w:eastAsia="Arial Unicode MS" w:cs="Times New Roman"/>
          <w:color w:val="auto"/>
          <w:sz w:val="20"/>
          <w:szCs w:val="20"/>
          <w:lang w:eastAsia="en-US"/>
        </w:rPr>
        <w:t>the eight suspects with</w:t>
      </w:r>
      <w:r w:rsidR="009D5004">
        <w:rPr>
          <w:rFonts w:eastAsia="Arial Unicode MS" w:cs="Times New Roman"/>
          <w:color w:val="auto"/>
          <w:sz w:val="20"/>
          <w:szCs w:val="20"/>
          <w:lang w:eastAsia="en-US"/>
        </w:rPr>
        <w:t xml:space="preserve"> charges of</w:t>
      </w:r>
      <w:r w:rsidRPr="00283A5A">
        <w:rPr>
          <w:rFonts w:eastAsia="Arial Unicode MS" w:cs="Times New Roman"/>
          <w:color w:val="auto"/>
          <w:sz w:val="20"/>
          <w:szCs w:val="20"/>
          <w:lang w:eastAsia="en-US"/>
        </w:rPr>
        <w:t xml:space="preserve"> “grievous violations of international humanitarian law for the homicide of a protected person.” </w:t>
      </w:r>
    </w:p>
    <w:p w14:paraId="250EFA8A" w14:textId="4B450CDA" w:rsidR="00D02453" w:rsidRPr="00283A5A" w:rsidRDefault="00D02453" w:rsidP="00D02453">
      <w:pPr>
        <w:pStyle w:val="ListParagraph"/>
        <w:numPr>
          <w:ilvl w:val="0"/>
          <w:numId w:val="103"/>
        </w:numPr>
        <w:spacing w:after="240"/>
        <w:jc w:val="both"/>
        <w:rPr>
          <w:rFonts w:eastAsia="Arial Unicode MS" w:cs="Times New Roman"/>
          <w:color w:val="auto"/>
          <w:sz w:val="20"/>
          <w:szCs w:val="20"/>
          <w:lang w:eastAsia="en-US"/>
        </w:rPr>
      </w:pPr>
      <w:r w:rsidRPr="00283A5A">
        <w:rPr>
          <w:rFonts w:eastAsia="Arial Unicode MS" w:cs="Times New Roman"/>
          <w:color w:val="auto"/>
          <w:sz w:val="20"/>
          <w:szCs w:val="20"/>
          <w:lang w:eastAsia="en-US"/>
        </w:rPr>
        <w:lastRenderedPageBreak/>
        <w:t xml:space="preserve">It claims inadmissibility of the instant petition based on Article 47, paragraph b of the Convention “in light of the application of the fourth-instance formula.” It indicates that the criminal and disciplinary investigations were conducted with due diligence, </w:t>
      </w:r>
      <w:r w:rsidR="00B40916">
        <w:rPr>
          <w:rFonts w:eastAsia="Arial Unicode MS" w:cs="Times New Roman"/>
          <w:color w:val="auto"/>
          <w:sz w:val="20"/>
          <w:szCs w:val="20"/>
          <w:lang w:eastAsia="en-US"/>
        </w:rPr>
        <w:t xml:space="preserve">resulting in real progress </w:t>
      </w:r>
      <w:r w:rsidRPr="00283A5A">
        <w:rPr>
          <w:rFonts w:eastAsia="Arial Unicode MS" w:cs="Times New Roman"/>
          <w:color w:val="auto"/>
          <w:sz w:val="20"/>
          <w:szCs w:val="20"/>
          <w:lang w:eastAsia="en-US"/>
        </w:rPr>
        <w:t xml:space="preserve">which has allowed the alleged victim’s relatives to know the truth about the facts. </w:t>
      </w:r>
    </w:p>
    <w:p w14:paraId="4AAE4478" w14:textId="7E0659E8" w:rsidR="00D02453" w:rsidRPr="00283A5A" w:rsidRDefault="00D02453" w:rsidP="00D0245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jc w:val="both"/>
        <w:rPr>
          <w:rFonts w:ascii="Cambria" w:eastAsia="Calibri" w:hAnsi="Cambria" w:cs="Arial"/>
          <w:iCs/>
          <w:color w:val="434343"/>
          <w:sz w:val="20"/>
          <w:szCs w:val="20"/>
        </w:rPr>
      </w:pPr>
      <w:r w:rsidRPr="00283A5A">
        <w:rPr>
          <w:rFonts w:ascii="Cambria" w:hAnsi="Cambria"/>
          <w:sz w:val="20"/>
          <w:szCs w:val="20"/>
        </w:rPr>
        <w:t xml:space="preserve">Regarding the claim for damages, it submits that the alleged victim’s relatives presented it on December 19, 2008, but a trial court dismissed it on April 28, 2012. On September 23, 2014, a court of appeals admitted the appeal filed by the complainants and revoked the lower court’s decision by establishing that “contrary to the claims by the Military Institution, the victims were not killed in action but unwarrantedly killed in utterly reproachable circumstances which members of the accused institution then changed to conceal the real motives of their actions and legitimize the deaths.” It argues that authorities already took measures to enforce the payment of compensation ordered by the court. It alleges that the State has a margin of appreciation </w:t>
      </w:r>
      <w:r w:rsidR="00B40916">
        <w:rPr>
          <w:rFonts w:ascii="Cambria" w:hAnsi="Cambria"/>
          <w:sz w:val="20"/>
          <w:szCs w:val="20"/>
        </w:rPr>
        <w:t>for the</w:t>
      </w:r>
      <w:r w:rsidRPr="00283A5A">
        <w:rPr>
          <w:rFonts w:ascii="Cambria" w:hAnsi="Cambria"/>
          <w:sz w:val="20"/>
          <w:szCs w:val="20"/>
        </w:rPr>
        <w:t xml:space="preserve"> fulfil</w:t>
      </w:r>
      <w:r w:rsidR="005553E1">
        <w:rPr>
          <w:rFonts w:ascii="Cambria" w:hAnsi="Cambria"/>
          <w:sz w:val="20"/>
          <w:szCs w:val="20"/>
        </w:rPr>
        <w:t>l</w:t>
      </w:r>
      <w:r w:rsidR="00B40916">
        <w:rPr>
          <w:rFonts w:ascii="Cambria" w:hAnsi="Cambria"/>
          <w:sz w:val="20"/>
          <w:szCs w:val="20"/>
        </w:rPr>
        <w:t>ing of</w:t>
      </w:r>
      <w:r w:rsidRPr="00283A5A">
        <w:rPr>
          <w:rFonts w:ascii="Cambria" w:hAnsi="Cambria"/>
          <w:sz w:val="20"/>
          <w:szCs w:val="20"/>
        </w:rPr>
        <w:t xml:space="preserve"> its obligations and that, according to the domestic legal framework, the procedure in place is adequate. Therefore, it contends that t</w:t>
      </w:r>
      <w:r w:rsidR="005553E1">
        <w:rPr>
          <w:rFonts w:ascii="Cambria" w:hAnsi="Cambria"/>
          <w:sz w:val="20"/>
          <w:szCs w:val="20"/>
        </w:rPr>
        <w:t xml:space="preserve">he </w:t>
      </w:r>
      <w:r w:rsidRPr="00283A5A">
        <w:rPr>
          <w:rFonts w:ascii="Cambria" w:hAnsi="Cambria"/>
          <w:sz w:val="20"/>
          <w:szCs w:val="20"/>
        </w:rPr>
        <w:t xml:space="preserve">State’s adherence to domestic procedures of purely administrative nature </w:t>
      </w:r>
      <w:r w:rsidR="005553E1">
        <w:rPr>
          <w:rFonts w:ascii="Cambria" w:hAnsi="Cambria"/>
          <w:sz w:val="20"/>
          <w:szCs w:val="20"/>
        </w:rPr>
        <w:t>is</w:t>
      </w:r>
      <w:r w:rsidRPr="00283A5A">
        <w:rPr>
          <w:rFonts w:ascii="Cambria" w:hAnsi="Cambria"/>
          <w:sz w:val="20"/>
          <w:szCs w:val="20"/>
        </w:rPr>
        <w:t xml:space="preserve"> </w:t>
      </w:r>
      <w:r w:rsidR="005553E1">
        <w:rPr>
          <w:rFonts w:ascii="Cambria" w:hAnsi="Cambria"/>
          <w:sz w:val="20"/>
          <w:szCs w:val="20"/>
        </w:rPr>
        <w:t xml:space="preserve">an </w:t>
      </w:r>
      <w:r w:rsidRPr="00283A5A">
        <w:rPr>
          <w:rFonts w:ascii="Cambria" w:hAnsi="Cambria"/>
          <w:sz w:val="20"/>
          <w:szCs w:val="20"/>
        </w:rPr>
        <w:t xml:space="preserve">invalid ground to allege negligence by the State. </w:t>
      </w:r>
    </w:p>
    <w:p w14:paraId="1A857C3F" w14:textId="77777777" w:rsidR="00D02453" w:rsidRPr="00283A5A" w:rsidRDefault="00D02453" w:rsidP="00D02453">
      <w:pPr>
        <w:spacing w:before="240" w:after="240"/>
        <w:ind w:firstLine="720"/>
        <w:jc w:val="both"/>
        <w:rPr>
          <w:rFonts w:ascii="Cambria" w:hAnsi="Cambria"/>
          <w:sz w:val="20"/>
          <w:szCs w:val="20"/>
        </w:rPr>
      </w:pPr>
      <w:r w:rsidRPr="00283A5A">
        <w:rPr>
          <w:rFonts w:ascii="Cambria" w:eastAsia="Cambria" w:hAnsi="Cambria" w:cs="Cambria"/>
          <w:b/>
          <w:bCs/>
          <w:color w:val="000000"/>
          <w:sz w:val="20"/>
          <w:szCs w:val="20"/>
          <w:u w:color="000000"/>
          <w:lang w:eastAsia="es-ES"/>
        </w:rPr>
        <w:t>VI.</w:t>
      </w:r>
      <w:r w:rsidRPr="00283A5A">
        <w:rPr>
          <w:rFonts w:ascii="Cambria" w:eastAsia="Cambria" w:hAnsi="Cambria" w:cs="Cambria"/>
          <w:b/>
          <w:bCs/>
          <w:color w:val="000000"/>
          <w:sz w:val="20"/>
          <w:szCs w:val="20"/>
          <w:u w:color="000000"/>
          <w:lang w:eastAsia="es-ES"/>
        </w:rPr>
        <w:tab/>
      </w:r>
      <w:r w:rsidRPr="00283A5A">
        <w:rPr>
          <w:rFonts w:ascii="Cambria" w:hAnsi="Cambria"/>
          <w:b/>
          <w:bCs/>
          <w:sz w:val="20"/>
          <w:szCs w:val="20"/>
        </w:rPr>
        <w:t>ANALYSIS OF EXHAUSTION OF DOMESTIC REMEDIES AND TIMELINESS OF THE PETITION</w:t>
      </w:r>
      <w:r w:rsidRPr="00283A5A">
        <w:rPr>
          <w:rFonts w:ascii="Cambria" w:eastAsia="Cambria" w:hAnsi="Cambria" w:cs="Cambria"/>
          <w:b/>
          <w:bCs/>
          <w:color w:val="000000"/>
          <w:sz w:val="20"/>
          <w:szCs w:val="20"/>
          <w:u w:color="000000"/>
          <w:lang w:eastAsia="es-ES"/>
        </w:rPr>
        <w:t xml:space="preserve"> </w:t>
      </w:r>
    </w:p>
    <w:p w14:paraId="0DFC4FC3" w14:textId="344B88E8" w:rsidR="00D02453" w:rsidRPr="00283A5A" w:rsidRDefault="00D02453" w:rsidP="00D0245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jc w:val="both"/>
        <w:rPr>
          <w:rFonts w:ascii="Cambria" w:eastAsia="Calibri" w:hAnsi="Cambria" w:cs="Arial"/>
          <w:iCs/>
          <w:sz w:val="20"/>
          <w:szCs w:val="20"/>
        </w:rPr>
      </w:pPr>
      <w:r w:rsidRPr="00283A5A">
        <w:rPr>
          <w:rFonts w:ascii="Cambria" w:hAnsi="Cambria" w:cs="Arial"/>
          <w:iCs/>
          <w:sz w:val="20"/>
          <w:szCs w:val="20"/>
        </w:rPr>
        <w:t xml:space="preserve">In a written communication of July 14, 2017, the petitioner requested the Commission to declare his petition admissible because over 10 years had passed since Mr. </w:t>
      </w:r>
      <w:proofErr w:type="spellStart"/>
      <w:r w:rsidRPr="00283A5A">
        <w:rPr>
          <w:rFonts w:ascii="Cambria" w:hAnsi="Cambria" w:cs="Arial"/>
          <w:iCs/>
          <w:sz w:val="20"/>
          <w:szCs w:val="20"/>
        </w:rPr>
        <w:t>Rentería’s</w:t>
      </w:r>
      <w:proofErr w:type="spellEnd"/>
      <w:r w:rsidRPr="00283A5A">
        <w:rPr>
          <w:rFonts w:ascii="Cambria" w:hAnsi="Cambria" w:cs="Arial"/>
          <w:iCs/>
          <w:sz w:val="20"/>
          <w:szCs w:val="20"/>
        </w:rPr>
        <w:t xml:space="preserve"> death, </w:t>
      </w:r>
      <w:r w:rsidR="00F377D4">
        <w:rPr>
          <w:rFonts w:ascii="Cambria" w:hAnsi="Cambria" w:cs="Arial"/>
          <w:iCs/>
          <w:sz w:val="20"/>
          <w:szCs w:val="20"/>
        </w:rPr>
        <w:t>without</w:t>
      </w:r>
      <w:r w:rsidRPr="00283A5A">
        <w:rPr>
          <w:rFonts w:ascii="Cambria" w:hAnsi="Cambria" w:cs="Arial"/>
          <w:iCs/>
          <w:sz w:val="20"/>
          <w:szCs w:val="20"/>
        </w:rPr>
        <w:t xml:space="preserve"> s of truth, justice and </w:t>
      </w:r>
      <w:proofErr w:type="gramStart"/>
      <w:r w:rsidRPr="00283A5A">
        <w:rPr>
          <w:rFonts w:ascii="Cambria" w:hAnsi="Cambria" w:cs="Arial"/>
          <w:iCs/>
          <w:sz w:val="20"/>
          <w:szCs w:val="20"/>
        </w:rPr>
        <w:t xml:space="preserve">reparation </w:t>
      </w:r>
      <w:r w:rsidR="00986660">
        <w:rPr>
          <w:rFonts w:ascii="Cambria" w:hAnsi="Cambria" w:cs="Arial"/>
          <w:iCs/>
          <w:sz w:val="20"/>
          <w:szCs w:val="20"/>
        </w:rPr>
        <w:t xml:space="preserve"> </w:t>
      </w:r>
      <w:r w:rsidR="00F377D4">
        <w:rPr>
          <w:rFonts w:ascii="Cambria" w:hAnsi="Cambria" w:cs="Arial"/>
          <w:iCs/>
          <w:sz w:val="20"/>
          <w:szCs w:val="20"/>
        </w:rPr>
        <w:t>being</w:t>
      </w:r>
      <w:proofErr w:type="gramEnd"/>
      <w:r w:rsidR="00F377D4" w:rsidRPr="00283A5A">
        <w:rPr>
          <w:rFonts w:ascii="Cambria" w:hAnsi="Cambria" w:cs="Arial"/>
          <w:iCs/>
          <w:sz w:val="20"/>
          <w:szCs w:val="20"/>
        </w:rPr>
        <w:t xml:space="preserve"> provided</w:t>
      </w:r>
      <w:r w:rsidRPr="00283A5A">
        <w:rPr>
          <w:rFonts w:ascii="Cambria" w:hAnsi="Cambria" w:cs="Arial"/>
          <w:iCs/>
          <w:sz w:val="20"/>
          <w:szCs w:val="20"/>
        </w:rPr>
        <w:t xml:space="preserve"> </w:t>
      </w:r>
      <w:r w:rsidR="00986660">
        <w:rPr>
          <w:rFonts w:ascii="Cambria" w:hAnsi="Cambria" w:cs="Arial"/>
          <w:iCs/>
          <w:sz w:val="20"/>
          <w:szCs w:val="20"/>
        </w:rPr>
        <w:t xml:space="preserve"> to</w:t>
      </w:r>
      <w:r w:rsidRPr="00283A5A">
        <w:rPr>
          <w:rFonts w:ascii="Cambria" w:hAnsi="Cambria" w:cs="Arial"/>
          <w:iCs/>
          <w:sz w:val="20"/>
          <w:szCs w:val="20"/>
        </w:rPr>
        <w:t xml:space="preserve"> the relatives. Thus, he believed this established unwarranted delay.</w:t>
      </w:r>
      <w:r w:rsidRPr="00283A5A">
        <w:rPr>
          <w:rFonts w:ascii="Cambria" w:hAnsi="Cambria"/>
          <w:sz w:val="20"/>
          <w:szCs w:val="20"/>
        </w:rPr>
        <w:t xml:space="preserve"> </w:t>
      </w:r>
    </w:p>
    <w:p w14:paraId="238C9B46" w14:textId="0FA19D53" w:rsidR="00D02453" w:rsidRPr="00283A5A" w:rsidRDefault="00D02453" w:rsidP="00D0245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jc w:val="both"/>
        <w:rPr>
          <w:rFonts w:ascii="Cambria" w:hAnsi="Cambria" w:cs="Arial"/>
          <w:iCs/>
          <w:color w:val="434343"/>
          <w:sz w:val="20"/>
          <w:szCs w:val="20"/>
        </w:rPr>
      </w:pPr>
      <w:r w:rsidRPr="00283A5A">
        <w:rPr>
          <w:rFonts w:ascii="Cambria" w:hAnsi="Cambria"/>
          <w:sz w:val="20"/>
          <w:szCs w:val="20"/>
        </w:rPr>
        <w:t xml:space="preserve">The State requests that the petition is declared inadmissible on the grounds of lack of exhaustion of domestic remedies. It claims that the petitioner disregarded the subsidiary nature of the Inter-American System in that he submitted his petition before the disciplinary, criminal and administrative authorities issued final judgments. The State alleges </w:t>
      </w:r>
      <w:r w:rsidR="005553E1">
        <w:rPr>
          <w:rFonts w:ascii="Cambria" w:hAnsi="Cambria"/>
          <w:sz w:val="20"/>
          <w:szCs w:val="20"/>
        </w:rPr>
        <w:t xml:space="preserve">the </w:t>
      </w:r>
      <w:r w:rsidRPr="00283A5A">
        <w:rPr>
          <w:rFonts w:ascii="Cambria" w:hAnsi="Cambria"/>
          <w:sz w:val="20"/>
          <w:szCs w:val="20"/>
        </w:rPr>
        <w:t xml:space="preserve">criminal </w:t>
      </w:r>
      <w:r w:rsidR="005553E1">
        <w:rPr>
          <w:rFonts w:ascii="Cambria" w:hAnsi="Cambria"/>
          <w:sz w:val="20"/>
          <w:szCs w:val="20"/>
        </w:rPr>
        <w:t>proceedings were</w:t>
      </w:r>
      <w:r w:rsidRPr="00283A5A">
        <w:rPr>
          <w:rFonts w:ascii="Cambria" w:hAnsi="Cambria"/>
          <w:sz w:val="20"/>
          <w:szCs w:val="20"/>
        </w:rPr>
        <w:t xml:space="preserve"> adequate and effective </w:t>
      </w:r>
      <w:r w:rsidR="00986660">
        <w:rPr>
          <w:rFonts w:ascii="Cambria" w:hAnsi="Cambria"/>
          <w:sz w:val="20"/>
          <w:szCs w:val="20"/>
        </w:rPr>
        <w:t xml:space="preserve">in respect of </w:t>
      </w:r>
      <w:r w:rsidR="00F377D4">
        <w:rPr>
          <w:rFonts w:ascii="Cambria" w:hAnsi="Cambria"/>
          <w:sz w:val="20"/>
          <w:szCs w:val="20"/>
        </w:rPr>
        <w:t>the</w:t>
      </w:r>
      <w:r w:rsidR="00F377D4" w:rsidRPr="00283A5A">
        <w:rPr>
          <w:rFonts w:ascii="Cambria" w:hAnsi="Cambria"/>
          <w:sz w:val="20"/>
          <w:szCs w:val="20"/>
        </w:rPr>
        <w:t xml:space="preserve"> petitioner’s</w:t>
      </w:r>
      <w:r w:rsidRPr="00283A5A">
        <w:rPr>
          <w:rFonts w:ascii="Cambria" w:hAnsi="Cambria"/>
          <w:sz w:val="20"/>
          <w:szCs w:val="20"/>
        </w:rPr>
        <w:t xml:space="preserve"> claims and that the fact that this and the disciplinary proceedings are still pending is due to the complexity of the case, not to a lack of diligence by state authorities. It argues that Article 46, paragraph 2.c of the Convention does not apply to this petition. </w:t>
      </w:r>
    </w:p>
    <w:p w14:paraId="642D7F14" w14:textId="1AD2E6D2" w:rsidR="00D02453" w:rsidRPr="00283A5A" w:rsidRDefault="00D02453" w:rsidP="00D0245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jc w:val="both"/>
        <w:rPr>
          <w:rFonts w:ascii="Cambria" w:hAnsi="Cambria" w:cs="Arial"/>
          <w:iCs/>
          <w:color w:val="434343"/>
          <w:sz w:val="20"/>
          <w:szCs w:val="20"/>
        </w:rPr>
      </w:pPr>
      <w:r w:rsidRPr="00283A5A">
        <w:rPr>
          <w:rFonts w:ascii="Cambria" w:hAnsi="Cambria" w:cs="Arial"/>
          <w:iCs/>
          <w:sz w:val="20"/>
          <w:szCs w:val="20"/>
        </w:rPr>
        <w:t>It also indicates that should the alleged victim’s relatives not be satisfied with the ruling in their favor regarding the claim for damages, they can file remedies that have not been exhausted yet, such as a constitutional appeal for protection from court decisions and a request for comprehensive reparations under the Law on Victims and Land Restitution. It deems that</w:t>
      </w:r>
      <w:r w:rsidR="00857DAA">
        <w:rPr>
          <w:rFonts w:ascii="Cambria" w:hAnsi="Cambria" w:cs="Arial"/>
          <w:iCs/>
          <w:sz w:val="20"/>
          <w:szCs w:val="20"/>
        </w:rPr>
        <w:t>,</w:t>
      </w:r>
      <w:r w:rsidRPr="00283A5A">
        <w:rPr>
          <w:rFonts w:ascii="Cambria" w:hAnsi="Cambria" w:cs="Arial"/>
          <w:iCs/>
          <w:sz w:val="20"/>
          <w:szCs w:val="20"/>
        </w:rPr>
        <w:t xml:space="preserve"> </w:t>
      </w:r>
      <w:r w:rsidR="009E74A1">
        <w:rPr>
          <w:rFonts w:ascii="Cambria" w:hAnsi="Cambria" w:cs="Arial"/>
          <w:iCs/>
          <w:sz w:val="20"/>
          <w:szCs w:val="20"/>
        </w:rPr>
        <w:t xml:space="preserve">because of the </w:t>
      </w:r>
      <w:r w:rsidR="00F377D4">
        <w:rPr>
          <w:rFonts w:ascii="Cambria" w:hAnsi="Cambria" w:cs="Arial"/>
          <w:iCs/>
          <w:sz w:val="20"/>
          <w:szCs w:val="20"/>
        </w:rPr>
        <w:t>non-exhaustion</w:t>
      </w:r>
      <w:r w:rsidR="009E74A1">
        <w:rPr>
          <w:rFonts w:ascii="Cambria" w:hAnsi="Cambria" w:cs="Arial"/>
          <w:iCs/>
          <w:sz w:val="20"/>
          <w:szCs w:val="20"/>
        </w:rPr>
        <w:t xml:space="preserve"> of these remedies</w:t>
      </w:r>
      <w:r w:rsidRPr="00283A5A">
        <w:rPr>
          <w:rFonts w:ascii="Cambria" w:hAnsi="Cambria" w:cs="Arial"/>
          <w:iCs/>
          <w:sz w:val="20"/>
          <w:szCs w:val="20"/>
        </w:rPr>
        <w:t xml:space="preserve">, the State has not had the opportunity to address the issue concerning the purported lack of full reparation measures. </w:t>
      </w:r>
    </w:p>
    <w:p w14:paraId="40711A60" w14:textId="77777777" w:rsidR="00D02453" w:rsidRPr="00283A5A" w:rsidRDefault="00D02453" w:rsidP="00D0245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jc w:val="both"/>
        <w:rPr>
          <w:rFonts w:ascii="Cambria" w:hAnsi="Cambria" w:cs="Arial"/>
          <w:iCs/>
          <w:color w:val="434343"/>
          <w:sz w:val="20"/>
          <w:szCs w:val="20"/>
        </w:rPr>
      </w:pPr>
      <w:r w:rsidRPr="00283A5A">
        <w:rPr>
          <w:rFonts w:ascii="Cambria" w:hAnsi="Cambria"/>
          <w:sz w:val="20"/>
          <w:szCs w:val="20"/>
        </w:rPr>
        <w:t>The Commission reiterates that, in the case of claims of crimes against life and integrity, the domestic remedies to be considered in deciding on the admissibility of a petition are those concerning the investigation and punishment of the persons responsible.</w:t>
      </w:r>
      <w:r w:rsidRPr="00283A5A">
        <w:rPr>
          <w:rStyle w:val="FootnoteReference"/>
          <w:rFonts w:ascii="Cambria" w:hAnsi="Cambria"/>
          <w:sz w:val="20"/>
          <w:szCs w:val="20"/>
        </w:rPr>
        <w:footnoteReference w:id="7"/>
      </w:r>
      <w:r w:rsidRPr="00283A5A">
        <w:rPr>
          <w:rFonts w:ascii="Cambria" w:hAnsi="Cambria"/>
          <w:sz w:val="20"/>
          <w:szCs w:val="20"/>
        </w:rPr>
        <w:t xml:space="preserve"> The Commission moreover stresses that the determination of reparation, whether determined judicially or administratively (with the two jurisdictions not being mutually exclusive), does not exempt the State of its obligations regarding the component of justice for the violations caused, which obligates the State to guarantee the victims that there will be an investigation </w:t>
      </w:r>
      <w:r w:rsidRPr="00283A5A">
        <w:rPr>
          <w:rFonts w:ascii="Cambria" w:hAnsi="Cambria"/>
          <w:sz w:val="20"/>
          <w:szCs w:val="20"/>
        </w:rPr>
        <w:lastRenderedPageBreak/>
        <w:t>into and punishment of the persons responsible for those violations, as per the requirements of international law.</w:t>
      </w:r>
      <w:r w:rsidRPr="00283A5A">
        <w:rPr>
          <w:rStyle w:val="FootnoteReference"/>
          <w:rFonts w:ascii="Cambria" w:hAnsi="Cambria"/>
          <w:sz w:val="20"/>
          <w:szCs w:val="20"/>
        </w:rPr>
        <w:footnoteReference w:id="8"/>
      </w:r>
      <w:r w:rsidRPr="00283A5A">
        <w:rPr>
          <w:rFonts w:ascii="Cambria" w:hAnsi="Cambria"/>
          <w:sz w:val="20"/>
          <w:szCs w:val="20"/>
        </w:rPr>
        <w:t xml:space="preserve"> </w:t>
      </w:r>
    </w:p>
    <w:p w14:paraId="4E0DB53B" w14:textId="2747DB2C" w:rsidR="00D02453" w:rsidRPr="00283A5A" w:rsidRDefault="00D02453" w:rsidP="00D0245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jc w:val="both"/>
        <w:rPr>
          <w:rFonts w:ascii="Cambria" w:hAnsi="Cambria" w:cs="Arial"/>
          <w:iCs/>
          <w:color w:val="434343"/>
          <w:sz w:val="20"/>
          <w:szCs w:val="20"/>
        </w:rPr>
      </w:pPr>
      <w:r w:rsidRPr="00283A5A">
        <w:rPr>
          <w:rFonts w:ascii="Cambria" w:hAnsi="Cambria"/>
          <w:sz w:val="20"/>
          <w:szCs w:val="20"/>
        </w:rPr>
        <w:t xml:space="preserve">Regarding claims of unwarranted delay, the Commission evaluates the circumstances and conducts a case-by-case analysis to determine whether an undue delay occurred. As a rule, the Commission determines that “a criminal investigation should be carried out promptly to protect the interests of the victims and to preserve evidence.” To determine whether an investigation has been carried out “promptly,” the Commission considers </w:t>
      </w:r>
      <w:r w:rsidR="007A3A20">
        <w:rPr>
          <w:rFonts w:ascii="Cambria" w:hAnsi="Cambria"/>
          <w:sz w:val="20"/>
          <w:szCs w:val="20"/>
        </w:rPr>
        <w:t>several</w:t>
      </w:r>
      <w:r w:rsidRPr="00283A5A">
        <w:rPr>
          <w:rFonts w:ascii="Cambria" w:hAnsi="Cambria"/>
          <w:sz w:val="20"/>
          <w:szCs w:val="20"/>
        </w:rPr>
        <w:t xml:space="preserve"> factors, such as the time passed since the crime was committed, whether the investigation has moved beyond the preliminary stage, the measures adopted by the authorities, and the complexity of the case.</w:t>
      </w:r>
      <w:bookmarkStart w:id="3" w:name="_ftnref8"/>
      <w:bookmarkEnd w:id="3"/>
      <w:r w:rsidRPr="00283A5A">
        <w:rPr>
          <w:rStyle w:val="FootnoteReference"/>
          <w:rFonts w:ascii="Cambria" w:hAnsi="Cambria"/>
          <w:sz w:val="20"/>
          <w:szCs w:val="20"/>
        </w:rPr>
        <w:footnoteReference w:id="9"/>
      </w:r>
      <w:r w:rsidRPr="00283A5A">
        <w:rPr>
          <w:rFonts w:ascii="Cambria" w:hAnsi="Cambria"/>
          <w:sz w:val="20"/>
          <w:szCs w:val="20"/>
        </w:rPr>
        <w:t xml:space="preserve"> </w:t>
      </w:r>
    </w:p>
    <w:p w14:paraId="7EEE88E6" w14:textId="0BEA0188" w:rsidR="00D02453" w:rsidRPr="00283A5A" w:rsidRDefault="00D02453" w:rsidP="00D0245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jc w:val="both"/>
        <w:rPr>
          <w:rFonts w:ascii="Cambria" w:hAnsi="Cambria" w:cs="Arial"/>
          <w:iCs/>
          <w:sz w:val="20"/>
          <w:szCs w:val="20"/>
        </w:rPr>
      </w:pPr>
      <w:r w:rsidRPr="00283A5A">
        <w:rPr>
          <w:rFonts w:ascii="Cambria" w:hAnsi="Cambria" w:cs="Arial"/>
          <w:iCs/>
          <w:sz w:val="20"/>
          <w:szCs w:val="20"/>
        </w:rPr>
        <w:t xml:space="preserve">In this </w:t>
      </w:r>
      <w:r w:rsidR="006132E6">
        <w:rPr>
          <w:rFonts w:ascii="Cambria" w:hAnsi="Cambria" w:cs="Arial"/>
          <w:iCs/>
          <w:sz w:val="20"/>
          <w:szCs w:val="20"/>
        </w:rPr>
        <w:t>respect</w:t>
      </w:r>
      <w:r w:rsidRPr="00283A5A">
        <w:rPr>
          <w:rFonts w:ascii="Cambria" w:hAnsi="Cambria" w:cs="Arial"/>
          <w:iCs/>
          <w:sz w:val="20"/>
          <w:szCs w:val="20"/>
        </w:rPr>
        <w:t xml:space="preserve">, the Commission notices that the State has accounted for the progress made in the criminal and disciplinary proceedings as well as the complexities and difficulties affecting the duration of the proceedings. However, according to the information on the case file, over 11 years have elapsed since the investigations began, yet the disciplinary and criminal proceedings </w:t>
      </w:r>
      <w:r w:rsidR="00F377D4">
        <w:rPr>
          <w:rFonts w:ascii="Cambria" w:hAnsi="Cambria" w:cs="Arial"/>
          <w:iCs/>
          <w:sz w:val="20"/>
          <w:szCs w:val="20"/>
        </w:rPr>
        <w:t>remain</w:t>
      </w:r>
      <w:r w:rsidR="00F377D4" w:rsidRPr="00283A5A">
        <w:rPr>
          <w:rFonts w:ascii="Cambria" w:hAnsi="Cambria" w:cs="Arial"/>
          <w:iCs/>
          <w:sz w:val="20"/>
          <w:szCs w:val="20"/>
        </w:rPr>
        <w:t xml:space="preserve"> pending</w:t>
      </w:r>
      <w:r w:rsidRPr="00283A5A">
        <w:rPr>
          <w:rFonts w:ascii="Cambria" w:hAnsi="Cambria" w:cs="Arial"/>
          <w:iCs/>
          <w:sz w:val="20"/>
          <w:szCs w:val="20"/>
        </w:rPr>
        <w:t>. The Commission observes that</w:t>
      </w:r>
      <w:r w:rsidR="003119D4">
        <w:rPr>
          <w:rFonts w:ascii="Cambria" w:hAnsi="Cambria" w:cs="Arial"/>
          <w:iCs/>
          <w:sz w:val="20"/>
          <w:szCs w:val="20"/>
        </w:rPr>
        <w:t>,</w:t>
      </w:r>
      <w:r w:rsidRPr="00283A5A">
        <w:rPr>
          <w:rFonts w:ascii="Cambria" w:hAnsi="Cambria" w:cs="Arial"/>
          <w:iCs/>
          <w:sz w:val="20"/>
          <w:szCs w:val="20"/>
        </w:rPr>
        <w:t xml:space="preserve"> </w:t>
      </w:r>
      <w:r w:rsidR="003119D4">
        <w:rPr>
          <w:rFonts w:ascii="Cambria" w:hAnsi="Cambria" w:cs="Arial"/>
          <w:iCs/>
          <w:sz w:val="20"/>
          <w:szCs w:val="20"/>
        </w:rPr>
        <w:t xml:space="preserve">while there </w:t>
      </w:r>
      <w:r w:rsidR="00F377D4">
        <w:rPr>
          <w:rFonts w:ascii="Cambria" w:hAnsi="Cambria" w:cs="Arial"/>
          <w:iCs/>
          <w:sz w:val="20"/>
          <w:szCs w:val="20"/>
        </w:rPr>
        <w:t>are</w:t>
      </w:r>
      <w:r w:rsidR="00F377D4" w:rsidRPr="00283A5A">
        <w:rPr>
          <w:rFonts w:ascii="Cambria" w:hAnsi="Cambria" w:cs="Arial"/>
          <w:iCs/>
          <w:sz w:val="20"/>
          <w:szCs w:val="20"/>
        </w:rPr>
        <w:t xml:space="preserve"> preliminary</w:t>
      </w:r>
      <w:r w:rsidRPr="00283A5A">
        <w:rPr>
          <w:rFonts w:ascii="Cambria" w:hAnsi="Cambria" w:cs="Arial"/>
          <w:iCs/>
          <w:sz w:val="20"/>
          <w:szCs w:val="20"/>
        </w:rPr>
        <w:t xml:space="preserve"> plea agreements with the suspects who </w:t>
      </w:r>
      <w:r w:rsidR="003119D4">
        <w:rPr>
          <w:rFonts w:ascii="Cambria" w:hAnsi="Cambria" w:cs="Arial"/>
          <w:iCs/>
          <w:sz w:val="20"/>
          <w:szCs w:val="20"/>
        </w:rPr>
        <w:t xml:space="preserve">admitted their responsibility </w:t>
      </w:r>
      <w:r w:rsidRPr="00283A5A">
        <w:rPr>
          <w:rFonts w:ascii="Cambria" w:hAnsi="Cambria" w:cs="Arial"/>
          <w:iCs/>
          <w:sz w:val="20"/>
          <w:szCs w:val="20"/>
        </w:rPr>
        <w:t xml:space="preserve">in 2016, these are not final judgments. Considering the circumstances and without prejudging the merits of the case, the Commission deems that the exception to the rule on the exhaustion of domestic remedies established in Article 46, paragraph 2.c of the Convention applies to the instant petition. </w:t>
      </w:r>
    </w:p>
    <w:p w14:paraId="2006D20C" w14:textId="66151FAD" w:rsidR="00D02453" w:rsidRPr="00283A5A" w:rsidRDefault="00D02453" w:rsidP="00D02453">
      <w:pPr>
        <w:pStyle w:val="ListParagraph"/>
        <w:numPr>
          <w:ilvl w:val="0"/>
          <w:numId w:val="103"/>
        </w:numPr>
        <w:spacing w:after="240"/>
        <w:jc w:val="both"/>
        <w:rPr>
          <w:rFonts w:eastAsia="Arial Unicode MS" w:cs="Times New Roman"/>
          <w:color w:val="auto"/>
          <w:sz w:val="20"/>
          <w:szCs w:val="20"/>
          <w:lang w:eastAsia="en-US"/>
        </w:rPr>
      </w:pPr>
      <w:r w:rsidRPr="00283A5A">
        <w:rPr>
          <w:sz w:val="20"/>
          <w:szCs w:val="20"/>
        </w:rPr>
        <w:t xml:space="preserve">Under Article 46, paragraph 2 of the Convention, the six-month period established for filing a petition does not apply when an exception to the requirement of prior exhaustion of domestic remedies applies. In such cases, the Commission will analyze if the petition was lodged within a reasonable period </w:t>
      </w:r>
      <w:r w:rsidR="003119D4">
        <w:rPr>
          <w:sz w:val="20"/>
          <w:szCs w:val="20"/>
        </w:rPr>
        <w:t xml:space="preserve">considering </w:t>
      </w:r>
      <w:r w:rsidRPr="00283A5A">
        <w:rPr>
          <w:sz w:val="20"/>
          <w:szCs w:val="20"/>
        </w:rPr>
        <w:t xml:space="preserve">the date when the alleged violation took place and the circumstances of each case, in accordance with Article 32, paragraph 2 </w:t>
      </w:r>
      <w:proofErr w:type="gramStart"/>
      <w:r w:rsidRPr="00283A5A">
        <w:rPr>
          <w:sz w:val="20"/>
          <w:szCs w:val="20"/>
        </w:rPr>
        <w:t xml:space="preserve">of </w:t>
      </w:r>
      <w:r w:rsidR="00923F39">
        <w:rPr>
          <w:sz w:val="20"/>
          <w:szCs w:val="20"/>
        </w:rPr>
        <w:t xml:space="preserve"> </w:t>
      </w:r>
      <w:r w:rsidR="00F377D4">
        <w:rPr>
          <w:sz w:val="20"/>
          <w:szCs w:val="20"/>
        </w:rPr>
        <w:t>its</w:t>
      </w:r>
      <w:proofErr w:type="gramEnd"/>
      <w:r w:rsidR="00F377D4" w:rsidRPr="00283A5A">
        <w:rPr>
          <w:sz w:val="20"/>
          <w:szCs w:val="20"/>
        </w:rPr>
        <w:t xml:space="preserve"> Rules</w:t>
      </w:r>
      <w:r w:rsidR="00923F39">
        <w:rPr>
          <w:sz w:val="20"/>
          <w:szCs w:val="20"/>
        </w:rPr>
        <w:t xml:space="preserve"> of Procedure</w:t>
      </w:r>
      <w:r w:rsidRPr="00283A5A">
        <w:rPr>
          <w:sz w:val="20"/>
          <w:szCs w:val="20"/>
        </w:rPr>
        <w:t>. In the present case, the Commission notes that Mr. Rentería’s family members learned about his death in May 2007 and that the IACHR received the petition on May 14, 2010. It also observes that, 12 years after the facts occurred, the purported denial of justice and the situation of partial impunity persist. Therefore, given the context and the characteristics of this case, the Commission deems that the instant petition was lodged within a reasonable period</w:t>
      </w:r>
      <w:r w:rsidR="00AC06B7">
        <w:rPr>
          <w:sz w:val="20"/>
          <w:szCs w:val="20"/>
        </w:rPr>
        <w:t xml:space="preserve"> of time</w:t>
      </w:r>
      <w:r w:rsidRPr="00283A5A">
        <w:rPr>
          <w:sz w:val="20"/>
          <w:szCs w:val="20"/>
        </w:rPr>
        <w:t>.</w:t>
      </w:r>
      <w:r w:rsidRPr="00283A5A">
        <w:rPr>
          <w:rStyle w:val="FootnoteReference"/>
          <w:rFonts w:eastAsia="Arial Unicode MS"/>
          <w:color w:val="auto"/>
          <w:sz w:val="20"/>
          <w:szCs w:val="20"/>
          <w:lang w:eastAsia="en-US"/>
        </w:rPr>
        <w:footnoteReference w:id="10"/>
      </w:r>
    </w:p>
    <w:p w14:paraId="40B4DED1" w14:textId="63510CB5" w:rsidR="00D02453" w:rsidRPr="00283A5A" w:rsidRDefault="00D02453" w:rsidP="00D0245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jc w:val="both"/>
        <w:rPr>
          <w:rFonts w:ascii="Cambria" w:eastAsia="Calibri" w:hAnsi="Cambria" w:cs="Arial"/>
          <w:iCs/>
          <w:sz w:val="20"/>
          <w:szCs w:val="20"/>
        </w:rPr>
      </w:pPr>
      <w:r w:rsidRPr="00283A5A">
        <w:rPr>
          <w:rFonts w:ascii="Cambria" w:hAnsi="Cambria" w:cs="Arial"/>
          <w:iCs/>
          <w:sz w:val="20"/>
          <w:szCs w:val="20"/>
        </w:rPr>
        <w:t xml:space="preserve">As to the claim regarding the compensation ordered by the Administrative Court of Antioquia, the Commission observes that, according to the information on the case file, it has been over four years since that judgment was passed; however, payment </w:t>
      </w:r>
      <w:r w:rsidR="00AC06B7">
        <w:rPr>
          <w:rFonts w:ascii="Cambria" w:hAnsi="Cambria" w:cs="Arial"/>
          <w:iCs/>
          <w:sz w:val="20"/>
          <w:szCs w:val="20"/>
        </w:rPr>
        <w:t xml:space="preserve"> </w:t>
      </w:r>
      <w:r w:rsidR="00F377D4">
        <w:rPr>
          <w:rFonts w:ascii="Cambria" w:hAnsi="Cambria" w:cs="Arial"/>
          <w:iCs/>
          <w:sz w:val="20"/>
          <w:szCs w:val="20"/>
        </w:rPr>
        <w:t>remains</w:t>
      </w:r>
      <w:r w:rsidR="00F377D4" w:rsidRPr="00283A5A">
        <w:rPr>
          <w:rFonts w:ascii="Cambria" w:hAnsi="Cambria" w:cs="Arial"/>
          <w:iCs/>
          <w:sz w:val="20"/>
          <w:szCs w:val="20"/>
        </w:rPr>
        <w:t xml:space="preserve"> pending</w:t>
      </w:r>
      <w:r w:rsidRPr="00283A5A">
        <w:rPr>
          <w:rFonts w:ascii="Cambria" w:hAnsi="Cambria" w:cs="Arial"/>
          <w:iCs/>
          <w:sz w:val="20"/>
          <w:szCs w:val="20"/>
        </w:rPr>
        <w:t xml:space="preserve">. The State has referred to remedies that the alleged victim’s relatives can use to have the judgment reviewed or to seek full reparation through </w:t>
      </w:r>
      <w:r w:rsidR="00F377D4">
        <w:rPr>
          <w:rFonts w:ascii="Cambria" w:hAnsi="Cambria" w:cs="Arial"/>
          <w:iCs/>
          <w:sz w:val="20"/>
          <w:szCs w:val="20"/>
        </w:rPr>
        <w:t>other means</w:t>
      </w:r>
      <w:r w:rsidRPr="00283A5A">
        <w:rPr>
          <w:rFonts w:ascii="Cambria" w:hAnsi="Cambria" w:cs="Arial"/>
          <w:iCs/>
          <w:sz w:val="20"/>
          <w:szCs w:val="20"/>
        </w:rPr>
        <w:t xml:space="preserve">. Nevertheless, it has not mentioned which remedies should be exhausted </w:t>
      </w:r>
      <w:r w:rsidR="001A7236">
        <w:rPr>
          <w:rFonts w:ascii="Cambria" w:hAnsi="Cambria" w:cs="Arial"/>
          <w:iCs/>
          <w:sz w:val="20"/>
          <w:szCs w:val="20"/>
        </w:rPr>
        <w:t xml:space="preserve">to obtain the execution </w:t>
      </w:r>
      <w:r w:rsidR="00F377D4">
        <w:rPr>
          <w:rFonts w:ascii="Cambria" w:hAnsi="Cambria" w:cs="Arial"/>
          <w:iCs/>
          <w:sz w:val="20"/>
          <w:szCs w:val="20"/>
        </w:rPr>
        <w:t>of the</w:t>
      </w:r>
      <w:r w:rsidRPr="00283A5A">
        <w:rPr>
          <w:rFonts w:ascii="Cambria" w:hAnsi="Cambria" w:cs="Arial"/>
          <w:iCs/>
          <w:sz w:val="20"/>
          <w:szCs w:val="20"/>
        </w:rPr>
        <w:t xml:space="preserve"> final judgment</w:t>
      </w:r>
      <w:r w:rsidR="001A7236">
        <w:rPr>
          <w:rFonts w:ascii="Cambria" w:hAnsi="Cambria" w:cs="Arial"/>
          <w:iCs/>
          <w:sz w:val="20"/>
          <w:szCs w:val="20"/>
        </w:rPr>
        <w:t xml:space="preserve"> issued</w:t>
      </w:r>
      <w:r w:rsidRPr="00283A5A">
        <w:rPr>
          <w:rFonts w:ascii="Cambria" w:hAnsi="Cambria" w:cs="Arial"/>
          <w:iCs/>
          <w:sz w:val="20"/>
          <w:szCs w:val="20"/>
        </w:rPr>
        <w:t xml:space="preserve"> in their favor. Therefore, the Commission believes that domestic remedies have been exhausted regarding th</w:t>
      </w:r>
      <w:r w:rsidR="001A7236">
        <w:rPr>
          <w:rFonts w:ascii="Cambria" w:hAnsi="Cambria" w:cs="Arial"/>
          <w:iCs/>
          <w:sz w:val="20"/>
          <w:szCs w:val="20"/>
        </w:rPr>
        <w:t>is</w:t>
      </w:r>
      <w:r w:rsidRPr="00283A5A">
        <w:rPr>
          <w:rFonts w:ascii="Cambria" w:hAnsi="Cambria" w:cs="Arial"/>
          <w:iCs/>
          <w:sz w:val="20"/>
          <w:szCs w:val="20"/>
        </w:rPr>
        <w:t xml:space="preserve"> claim under the terms of Article 46, paragraph 1.a of the Convention. Considering that the decision that exhausted domestic remedies dates from September 23, 2014</w:t>
      </w:r>
      <w:r w:rsidR="00B7419B">
        <w:rPr>
          <w:rFonts w:ascii="Cambria" w:hAnsi="Cambria" w:cs="Arial"/>
          <w:iCs/>
          <w:sz w:val="20"/>
          <w:szCs w:val="20"/>
        </w:rPr>
        <w:t>,</w:t>
      </w:r>
      <w:r w:rsidRPr="00283A5A">
        <w:rPr>
          <w:rFonts w:ascii="Cambria" w:hAnsi="Cambria" w:cs="Arial"/>
          <w:iCs/>
          <w:sz w:val="20"/>
          <w:szCs w:val="20"/>
        </w:rPr>
        <w:t xml:space="preserve"> and that the IACHR received the petition on May 14, 2010, the Commission decides that it meets the requirement on timeliness set out in Article 46, paragraph 1.b of the Convention. </w:t>
      </w:r>
    </w:p>
    <w:p w14:paraId="75D4C433" w14:textId="77777777" w:rsidR="00D02453" w:rsidRPr="00283A5A" w:rsidRDefault="00D02453" w:rsidP="00D0245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jc w:val="both"/>
        <w:rPr>
          <w:rFonts w:ascii="Cambria" w:hAnsi="Cambria" w:cs="Arial"/>
          <w:iCs/>
          <w:color w:val="434343"/>
          <w:sz w:val="20"/>
          <w:szCs w:val="20"/>
        </w:rPr>
      </w:pPr>
      <w:r w:rsidRPr="00283A5A">
        <w:rPr>
          <w:rFonts w:ascii="Cambria" w:hAnsi="Cambria" w:cs="Calibri"/>
          <w:sz w:val="20"/>
          <w:szCs w:val="20"/>
        </w:rPr>
        <w:t xml:space="preserve">Regarding the State’s observation that the instant petition was filed when legal proceedings were pending at the domestic level, the IACHR has consistently established that the situation to be considered to determine the exhaustion of domestic remedies, is that existing when such decision is made, because the time when the petition was filed and the time of the decision on admissibility are different. </w:t>
      </w:r>
    </w:p>
    <w:p w14:paraId="34AA37D9" w14:textId="77777777" w:rsidR="003375D3" w:rsidRDefault="003375D3" w:rsidP="00D02453">
      <w:pPr>
        <w:spacing w:after="240"/>
        <w:ind w:firstLine="720"/>
        <w:jc w:val="both"/>
        <w:rPr>
          <w:rFonts w:ascii="Cambria" w:hAnsi="Cambria"/>
          <w:b/>
          <w:bCs/>
          <w:sz w:val="20"/>
          <w:szCs w:val="20"/>
        </w:rPr>
      </w:pPr>
    </w:p>
    <w:p w14:paraId="012D4F1C" w14:textId="77777777" w:rsidR="003375D3" w:rsidRDefault="003375D3" w:rsidP="00D02453">
      <w:pPr>
        <w:spacing w:after="240"/>
        <w:ind w:firstLine="720"/>
        <w:jc w:val="both"/>
        <w:rPr>
          <w:rFonts w:ascii="Cambria" w:hAnsi="Cambria"/>
          <w:b/>
          <w:bCs/>
          <w:sz w:val="20"/>
          <w:szCs w:val="20"/>
        </w:rPr>
      </w:pPr>
    </w:p>
    <w:p w14:paraId="7E77D548" w14:textId="77777777" w:rsidR="00D02453" w:rsidRPr="00283A5A" w:rsidRDefault="00D02453" w:rsidP="00D02453">
      <w:pPr>
        <w:spacing w:after="240"/>
        <w:ind w:firstLine="720"/>
        <w:jc w:val="both"/>
        <w:rPr>
          <w:rFonts w:ascii="Cambria" w:hAnsi="Cambria"/>
          <w:b/>
          <w:bCs/>
          <w:sz w:val="20"/>
          <w:szCs w:val="20"/>
        </w:rPr>
      </w:pPr>
      <w:r w:rsidRPr="00283A5A">
        <w:rPr>
          <w:rFonts w:ascii="Cambria" w:hAnsi="Cambria"/>
          <w:b/>
          <w:bCs/>
          <w:sz w:val="20"/>
          <w:szCs w:val="20"/>
        </w:rPr>
        <w:lastRenderedPageBreak/>
        <w:t>VII.</w:t>
      </w:r>
      <w:r w:rsidRPr="00283A5A">
        <w:rPr>
          <w:rFonts w:ascii="Cambria" w:hAnsi="Cambria"/>
          <w:b/>
          <w:bCs/>
          <w:sz w:val="20"/>
          <w:szCs w:val="20"/>
        </w:rPr>
        <w:tab/>
        <w:t>ANALYSIS OF COLORABLE CLAIM</w:t>
      </w:r>
    </w:p>
    <w:p w14:paraId="563E15A1" w14:textId="691E78CB" w:rsidR="00D02453" w:rsidRPr="00283A5A" w:rsidRDefault="00D02453" w:rsidP="00D02453">
      <w:pPr>
        <w:numPr>
          <w:ilvl w:val="0"/>
          <w:numId w:val="103"/>
        </w:numPr>
        <w:pBdr>
          <w:left w:val="none" w:sz="0" w:space="0" w:color="auto"/>
          <w:bottom w:val="none" w:sz="0" w:space="0" w:color="auto"/>
          <w:right w:val="none" w:sz="0" w:space="0" w:color="auto"/>
          <w:between w:val="none" w:sz="0" w:space="0" w:color="auto"/>
          <w:bar w:val="none" w:sz="0" w:color="auto"/>
        </w:pBdr>
        <w:autoSpaceDE w:val="0"/>
        <w:autoSpaceDN w:val="0"/>
        <w:adjustRightInd w:val="0"/>
        <w:spacing w:after="240"/>
        <w:jc w:val="both"/>
        <w:rPr>
          <w:rFonts w:ascii="Cambria" w:hAnsi="Cambria" w:cs="Arial"/>
          <w:iCs/>
          <w:color w:val="434343"/>
          <w:sz w:val="20"/>
          <w:szCs w:val="20"/>
        </w:rPr>
      </w:pPr>
      <w:r w:rsidRPr="00283A5A">
        <w:rPr>
          <w:rFonts w:ascii="Cambria" w:hAnsi="Cambria"/>
          <w:sz w:val="20"/>
          <w:szCs w:val="20"/>
        </w:rPr>
        <w:t xml:space="preserve">In view of the elements of fact and law submitted by the parties and the nature of the matter brought to its attention, the Commission believes that the allegations regarding the extrajudicial killing of Mr. Rentería by officers of the army and the subsequent concealment by the false attribution of criminal actions to him; the lack of prompt resolution of the criminal and disciplinary proceedings; the lack of full reparations for the alleged victim’s relatives, and the lack of prompt payment of compensation established in a final judgment, if proven, could constitute violations of Articles 3 (juridical personality), 4 (life), 5 (humane treatment), 7 (personal liberty), 8 (fair trial), 11 (privacy) and 25 (judicial protection) of the American Convention, </w:t>
      </w:r>
      <w:r w:rsidR="00B40C6F">
        <w:rPr>
          <w:rFonts w:ascii="Cambria" w:hAnsi="Cambria"/>
          <w:sz w:val="20"/>
          <w:szCs w:val="20"/>
        </w:rPr>
        <w:t>in relation to</w:t>
      </w:r>
      <w:r w:rsidR="00B40C6F" w:rsidRPr="00283A5A">
        <w:rPr>
          <w:rFonts w:ascii="Cambria" w:hAnsi="Cambria"/>
          <w:sz w:val="20"/>
          <w:szCs w:val="20"/>
        </w:rPr>
        <w:t xml:space="preserve"> </w:t>
      </w:r>
      <w:r w:rsidRPr="00283A5A">
        <w:rPr>
          <w:rFonts w:ascii="Cambria" w:hAnsi="Cambria"/>
          <w:sz w:val="20"/>
          <w:szCs w:val="20"/>
        </w:rPr>
        <w:t xml:space="preserve">its Articles 1, paragraph 1 (obligation to respect rights) and 2 (domestic legal effects). </w:t>
      </w:r>
    </w:p>
    <w:p w14:paraId="26D09FAD" w14:textId="77777777" w:rsidR="00D02453" w:rsidRPr="00283A5A" w:rsidRDefault="00D02453" w:rsidP="00D02453">
      <w:pPr>
        <w:numPr>
          <w:ilvl w:val="0"/>
          <w:numId w:val="103"/>
        </w:numPr>
        <w:pBdr>
          <w:left w:val="none" w:sz="0" w:space="0" w:color="auto"/>
          <w:bottom w:val="none" w:sz="0" w:space="0" w:color="auto"/>
          <w:right w:val="none" w:sz="0" w:space="0" w:color="auto"/>
          <w:between w:val="none" w:sz="0" w:space="0" w:color="auto"/>
          <w:bar w:val="none" w:sz="0" w:color="auto"/>
        </w:pBdr>
        <w:autoSpaceDE w:val="0"/>
        <w:autoSpaceDN w:val="0"/>
        <w:adjustRightInd w:val="0"/>
        <w:spacing w:after="240"/>
        <w:jc w:val="both"/>
        <w:rPr>
          <w:rFonts w:ascii="Cambria" w:hAnsi="Cambria" w:cs="Arial"/>
          <w:iCs/>
          <w:color w:val="434343"/>
          <w:sz w:val="20"/>
          <w:szCs w:val="20"/>
        </w:rPr>
      </w:pPr>
      <w:r w:rsidRPr="00283A5A">
        <w:rPr>
          <w:rFonts w:ascii="Cambria" w:hAnsi="Cambria"/>
          <w:bCs/>
          <w:sz w:val="20"/>
          <w:szCs w:val="20"/>
        </w:rPr>
        <w:t xml:space="preserve">In regard to the purported violations of the American Declaration, the Commission has previously established that once the American Convention comes into effect in relation to a State, it is this, not the Declaration, that becomes the primary source of law applicable by the Commission provided that the petition concerns the alleged violation of identical rights found in both instruments, and that this is not an ongoing situation. In this case, the alleged violations of the American Declaration are related to Articles 4, 8 and 25 of the American Convention. Therefore, the Commission will examine these claims in the light of the Convention. </w:t>
      </w:r>
    </w:p>
    <w:p w14:paraId="2C8A6FB0" w14:textId="77777777" w:rsidR="00D02453" w:rsidRPr="00283A5A" w:rsidRDefault="00D02453" w:rsidP="00D02453">
      <w:pPr>
        <w:numPr>
          <w:ilvl w:val="0"/>
          <w:numId w:val="103"/>
        </w:numPr>
        <w:pBdr>
          <w:left w:val="none" w:sz="0" w:space="0" w:color="auto"/>
          <w:bottom w:val="none" w:sz="0" w:space="0" w:color="auto"/>
          <w:right w:val="none" w:sz="0" w:space="0" w:color="auto"/>
          <w:between w:val="none" w:sz="0" w:space="0" w:color="auto"/>
          <w:bar w:val="none" w:sz="0" w:color="auto"/>
        </w:pBdr>
        <w:autoSpaceDE w:val="0"/>
        <w:autoSpaceDN w:val="0"/>
        <w:adjustRightInd w:val="0"/>
        <w:spacing w:after="240"/>
        <w:jc w:val="both"/>
        <w:rPr>
          <w:rFonts w:ascii="Cambria" w:hAnsi="Cambria" w:cs="Arial"/>
          <w:iCs/>
          <w:color w:val="434343"/>
          <w:sz w:val="20"/>
          <w:szCs w:val="20"/>
        </w:rPr>
      </w:pPr>
      <w:r w:rsidRPr="00283A5A">
        <w:rPr>
          <w:rFonts w:ascii="Cambria" w:hAnsi="Cambria"/>
          <w:sz w:val="20"/>
          <w:szCs w:val="20"/>
        </w:rPr>
        <w:t>Regarding the State’s claim of the application of the fourth-instance formula, the Commission recognizes its lack of competence to review decisions by domestic courts acting within the sphere of their jurisdiction and following the principle of due process and judicial guarantees. However, the Commission reiterates that it is competent to find a petition admissible and rule on the merits of the case when said petition concerns domestic proceedings that may be contrary to the rights enshrined in the American Convention.</w:t>
      </w:r>
      <w:r w:rsidRPr="00283A5A">
        <w:rPr>
          <w:rStyle w:val="FootnoteReference"/>
          <w:rFonts w:ascii="Cambria" w:hAnsi="Cambria"/>
          <w:sz w:val="20"/>
          <w:szCs w:val="20"/>
        </w:rPr>
        <w:footnoteReference w:id="11"/>
      </w:r>
      <w:r w:rsidRPr="00283A5A">
        <w:rPr>
          <w:rFonts w:ascii="Cambria" w:hAnsi="Cambria"/>
          <w:sz w:val="20"/>
          <w:szCs w:val="20"/>
        </w:rPr>
        <w:t xml:space="preserve"> </w:t>
      </w:r>
    </w:p>
    <w:p w14:paraId="55EB837C" w14:textId="77777777" w:rsidR="00D02453" w:rsidRPr="00283A5A" w:rsidRDefault="00D02453" w:rsidP="00D02453">
      <w:pPr>
        <w:pStyle w:val="ListParagraph"/>
        <w:spacing w:before="240" w:after="240"/>
        <w:jc w:val="both"/>
        <w:rPr>
          <w:b/>
          <w:bCs/>
          <w:sz w:val="20"/>
          <w:szCs w:val="20"/>
        </w:rPr>
      </w:pPr>
      <w:r w:rsidRPr="00283A5A">
        <w:rPr>
          <w:b/>
          <w:bCs/>
          <w:sz w:val="20"/>
          <w:szCs w:val="20"/>
        </w:rPr>
        <w:t xml:space="preserve">VIII. </w:t>
      </w:r>
      <w:r w:rsidRPr="00283A5A">
        <w:rPr>
          <w:b/>
          <w:bCs/>
          <w:sz w:val="20"/>
          <w:szCs w:val="20"/>
        </w:rPr>
        <w:tab/>
        <w:t>DECISION</w:t>
      </w:r>
    </w:p>
    <w:p w14:paraId="47201000" w14:textId="77777777" w:rsidR="00D02453" w:rsidRPr="00283A5A" w:rsidRDefault="00D02453" w:rsidP="00D02453">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283A5A">
        <w:rPr>
          <w:rFonts w:ascii="Cambria" w:hAnsi="Cambria"/>
          <w:sz w:val="20"/>
          <w:szCs w:val="20"/>
        </w:rPr>
        <w:t xml:space="preserve">To find the instant petition admissible regarding Articles 3, 4, 5, 7, 8, 11 and 25 of the American Convention, in relation to its Articles 1.1 and 2; and  </w:t>
      </w:r>
    </w:p>
    <w:p w14:paraId="3412B5AE" w14:textId="77777777" w:rsidR="00D02453" w:rsidRPr="00283A5A" w:rsidRDefault="00D02453" w:rsidP="00D02453">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283A5A">
        <w:rPr>
          <w:rFonts w:ascii="Cambria" w:hAnsi="Cambria"/>
          <w:sz w:val="20"/>
          <w:szCs w:val="20"/>
        </w:rPr>
        <w:t>To notify the parties of this decision; to continue with the analysis on the merits, and to publish this decision and include it in its Annual Report to the General Assembly of the Organization of American States.</w:t>
      </w:r>
    </w:p>
    <w:p w14:paraId="1E7A7DEE" w14:textId="63D97F77" w:rsidR="003375D3" w:rsidRPr="009D7EFE" w:rsidRDefault="003375D3" w:rsidP="005F6DBD">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hAnsi="Cambria"/>
        </w:rPr>
      </w:pPr>
      <w:r w:rsidRPr="00B9132D">
        <w:rPr>
          <w:rFonts w:ascii="Cambria" w:hAnsi="Cambria"/>
          <w:sz w:val="20"/>
          <w:szCs w:val="20"/>
        </w:rPr>
        <w:t xml:space="preserve">Approved by the Inter-American Commission on Human Rights on the </w:t>
      </w:r>
      <w:r>
        <w:rPr>
          <w:rFonts w:ascii="Cambria" w:hAnsi="Cambria"/>
          <w:sz w:val="20"/>
          <w:szCs w:val="20"/>
        </w:rPr>
        <w:t>24</w:t>
      </w:r>
      <w:r w:rsidRPr="00B9132D">
        <w:rPr>
          <w:rFonts w:ascii="Cambria" w:hAnsi="Cambria"/>
          <w:sz w:val="20"/>
          <w:szCs w:val="20"/>
          <w:vertAlign w:val="superscript"/>
        </w:rPr>
        <w:t>th</w:t>
      </w:r>
      <w:r>
        <w:rPr>
          <w:rFonts w:ascii="Cambria" w:hAnsi="Cambria"/>
          <w:sz w:val="20"/>
          <w:szCs w:val="20"/>
        </w:rPr>
        <w:t xml:space="preserve"> </w:t>
      </w:r>
      <w:r w:rsidRPr="00B9132D">
        <w:rPr>
          <w:rFonts w:ascii="Cambria" w:hAnsi="Cambria"/>
          <w:sz w:val="20"/>
          <w:szCs w:val="20"/>
        </w:rPr>
        <w:t xml:space="preserve">day of the month of </w:t>
      </w:r>
      <w:r>
        <w:rPr>
          <w:rFonts w:ascii="Cambria" w:hAnsi="Cambria"/>
          <w:sz w:val="20"/>
          <w:szCs w:val="20"/>
        </w:rPr>
        <w:t>April</w:t>
      </w:r>
      <w:r w:rsidRPr="00B9132D">
        <w:rPr>
          <w:rFonts w:ascii="Cambria" w:hAnsi="Cambria"/>
          <w:sz w:val="20"/>
          <w:szCs w:val="20"/>
        </w:rPr>
        <w:t xml:space="preserve">, 2019. (Signed):  </w:t>
      </w:r>
      <w:r w:rsidRPr="009D7EFE">
        <w:rPr>
          <w:rFonts w:ascii="Cambria" w:hAnsi="Cambria"/>
          <w:sz w:val="20"/>
          <w:szCs w:val="20"/>
        </w:rPr>
        <w:t>Esmeralda E. Arosemena Bernal de Troitiño, President;</w:t>
      </w:r>
      <w:r>
        <w:rPr>
          <w:rFonts w:ascii="Cambria" w:hAnsi="Cambria"/>
          <w:sz w:val="20"/>
          <w:szCs w:val="20"/>
        </w:rPr>
        <w:t xml:space="preserve"> </w:t>
      </w:r>
      <w:r w:rsidRPr="009D7EFE">
        <w:rPr>
          <w:rFonts w:ascii="Cambria" w:hAnsi="Cambria"/>
          <w:sz w:val="20"/>
          <w:szCs w:val="20"/>
        </w:rPr>
        <w:t xml:space="preserve">Joel Hernández García, First Vice President; Antonia Urrejola, Second Vice President; </w:t>
      </w:r>
      <w:r>
        <w:rPr>
          <w:rFonts w:ascii="Cambria" w:hAnsi="Cambria"/>
          <w:sz w:val="20"/>
          <w:szCs w:val="20"/>
        </w:rPr>
        <w:t xml:space="preserve">Margarette May Macaulay, </w:t>
      </w:r>
      <w:r w:rsidRPr="009D7EFE">
        <w:rPr>
          <w:rFonts w:ascii="Cambria" w:hAnsi="Cambria"/>
          <w:sz w:val="20"/>
          <w:szCs w:val="20"/>
        </w:rPr>
        <w:t xml:space="preserve">Francisco José Eguiguren Praeli, and </w:t>
      </w:r>
      <w:proofErr w:type="spellStart"/>
      <w:r w:rsidRPr="009D7EFE">
        <w:rPr>
          <w:rFonts w:ascii="Cambria" w:hAnsi="Cambria"/>
          <w:sz w:val="20"/>
          <w:szCs w:val="20"/>
        </w:rPr>
        <w:t>Flávia</w:t>
      </w:r>
      <w:proofErr w:type="spellEnd"/>
      <w:r w:rsidRPr="009D7EFE">
        <w:rPr>
          <w:rFonts w:ascii="Cambria" w:hAnsi="Cambria"/>
          <w:sz w:val="20"/>
          <w:szCs w:val="20"/>
        </w:rPr>
        <w:t xml:space="preserve"> </w:t>
      </w:r>
      <w:proofErr w:type="spellStart"/>
      <w:r w:rsidRPr="009D7EFE">
        <w:rPr>
          <w:rFonts w:ascii="Cambria" w:hAnsi="Cambria"/>
          <w:sz w:val="20"/>
          <w:szCs w:val="20"/>
        </w:rPr>
        <w:t>Piovesan</w:t>
      </w:r>
      <w:proofErr w:type="spellEnd"/>
      <w:r w:rsidRPr="009D7EFE">
        <w:rPr>
          <w:rFonts w:ascii="Cambria" w:hAnsi="Cambria"/>
          <w:sz w:val="20"/>
          <w:szCs w:val="20"/>
        </w:rPr>
        <w:t>, Commissioners.</w:t>
      </w:r>
    </w:p>
    <w:p w14:paraId="7D5D0A1C" w14:textId="089A7E12" w:rsidR="00F621C3" w:rsidRPr="00283A5A" w:rsidRDefault="00F621C3" w:rsidP="00D02453">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Cambria" w:hAnsi="Cambria"/>
          <w:sz w:val="20"/>
          <w:szCs w:val="20"/>
        </w:rPr>
      </w:pPr>
    </w:p>
    <w:p w14:paraId="7559C277" w14:textId="77777777" w:rsidR="00F621C3" w:rsidRPr="00283A5A" w:rsidRDefault="00F621C3" w:rsidP="00D02453">
      <w:pPr>
        <w:suppressAutoHyphens/>
        <w:spacing w:before="240" w:after="240"/>
        <w:jc w:val="both"/>
        <w:rPr>
          <w:rFonts w:asciiTheme="majorHAnsi" w:hAnsiTheme="majorHAnsi"/>
          <w:sz w:val="20"/>
          <w:szCs w:val="20"/>
        </w:rPr>
      </w:pPr>
    </w:p>
    <w:p w14:paraId="0D3AA9C7" w14:textId="77777777" w:rsidR="00C55560" w:rsidRPr="00283A5A" w:rsidRDefault="00C55560" w:rsidP="00230163">
      <w:pPr>
        <w:tabs>
          <w:tab w:val="left" w:pos="2820"/>
        </w:tabs>
        <w:suppressAutoHyphens/>
        <w:spacing w:line="276" w:lineRule="auto"/>
        <w:rPr>
          <w:rFonts w:asciiTheme="majorHAnsi" w:hAnsiTheme="majorHAnsi"/>
          <w:sz w:val="20"/>
          <w:szCs w:val="20"/>
        </w:rPr>
      </w:pPr>
    </w:p>
    <w:sectPr w:rsidR="00C55560" w:rsidRPr="00283A5A" w:rsidSect="00F621C3">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8363E4" w14:textId="77777777" w:rsidR="00FA37D9" w:rsidRDefault="00FA37D9" w:rsidP="00036A8A">
      <w:r>
        <w:separator/>
      </w:r>
    </w:p>
  </w:endnote>
  <w:endnote w:type="continuationSeparator" w:id="0">
    <w:p w14:paraId="34C866B0" w14:textId="77777777" w:rsidR="00FA37D9" w:rsidRDefault="00FA37D9"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A9C862" w14:textId="77777777" w:rsidR="00737684" w:rsidRDefault="0073768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3163477"/>
      <w:docPartObj>
        <w:docPartGallery w:val="Page Numbers (Bottom of Page)"/>
        <w:docPartUnique/>
      </w:docPartObj>
    </w:sdtPr>
    <w:sdtEndPr>
      <w:rPr>
        <w:noProof/>
        <w:sz w:val="16"/>
      </w:rPr>
    </w:sdtEndPr>
    <w:sdtContent>
      <w:p w14:paraId="09EA854A" w14:textId="77777777" w:rsidR="00F1380F" w:rsidRPr="006311DA" w:rsidRDefault="00F1380F">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737684">
          <w:rPr>
            <w:noProof/>
            <w:sz w:val="16"/>
          </w:rPr>
          <w:t>1</w:t>
        </w:r>
        <w:r w:rsidRPr="006311DA">
          <w:rPr>
            <w:noProof/>
            <w:sz w:val="16"/>
          </w:rPr>
          <w:fldChar w:fldCharType="end"/>
        </w:r>
      </w:p>
    </w:sdtContent>
  </w:sdt>
  <w:p w14:paraId="05081777" w14:textId="77777777" w:rsidR="00F1380F" w:rsidRDefault="00F1380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BB71CC" w14:textId="77777777" w:rsidR="007607C4" w:rsidRDefault="007607C4">
    <w:pPr>
      <w:pStyle w:val="Footer"/>
      <w:jc w:val="center"/>
    </w:pPr>
  </w:p>
  <w:p w14:paraId="760959DA" w14:textId="77777777" w:rsidR="007607C4" w:rsidRDefault="007607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B42AEF" w14:textId="77777777" w:rsidR="00FA37D9" w:rsidRPr="00036A8A" w:rsidRDefault="00FA37D9"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14:paraId="13C5ED91" w14:textId="77777777" w:rsidR="00FA37D9" w:rsidRPr="00036A8A" w:rsidRDefault="00FA37D9" w:rsidP="00036A8A">
      <w:pPr>
        <w:rPr>
          <w:rFonts w:asciiTheme="majorHAnsi" w:hAnsiTheme="majorHAnsi"/>
          <w:sz w:val="16"/>
          <w:szCs w:val="16"/>
        </w:rPr>
      </w:pPr>
      <w:r w:rsidRPr="00036A8A">
        <w:rPr>
          <w:rFonts w:asciiTheme="majorHAnsi" w:hAnsiTheme="majorHAnsi"/>
          <w:sz w:val="16"/>
          <w:szCs w:val="16"/>
        </w:rPr>
        <w:separator/>
      </w:r>
    </w:p>
    <w:p w14:paraId="2B379A7C" w14:textId="77777777" w:rsidR="00FA37D9" w:rsidRPr="00036A8A" w:rsidRDefault="00FA37D9"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r>
        <w:rPr>
          <w:rFonts w:asciiTheme="majorHAnsi" w:hAnsiTheme="majorHAnsi"/>
          <w:sz w:val="16"/>
          <w:szCs w:val="16"/>
        </w:rPr>
        <w:t>c</w:t>
      </w:r>
      <w:r w:rsidRPr="00036A8A">
        <w:rPr>
          <w:rFonts w:asciiTheme="majorHAnsi" w:hAnsiTheme="majorHAnsi"/>
          <w:sz w:val="16"/>
          <w:szCs w:val="16"/>
        </w:rPr>
        <w:t>ontinuation</w:t>
      </w:r>
      <w:r>
        <w:rPr>
          <w:rFonts w:asciiTheme="majorHAnsi" w:hAnsiTheme="majorHAnsi"/>
          <w:sz w:val="16"/>
          <w:szCs w:val="16"/>
        </w:rPr>
        <w:t>]</w:t>
      </w:r>
    </w:p>
  </w:footnote>
  <w:footnote w:type="continuationNotice" w:id="1">
    <w:p w14:paraId="7F452D48" w14:textId="77777777" w:rsidR="00FA37D9" w:rsidRPr="0093441A" w:rsidRDefault="00FA37D9" w:rsidP="005B222D">
      <w:pPr>
        <w:jc w:val="right"/>
        <w:rPr>
          <w:rFonts w:asciiTheme="majorHAnsi" w:hAnsiTheme="majorHAnsi"/>
          <w:sz w:val="16"/>
          <w:szCs w:val="16"/>
          <w:lang w:val="es-ES_tradnl"/>
        </w:rPr>
      </w:pPr>
      <w:r>
        <w:rPr>
          <w:rFonts w:asciiTheme="majorHAnsi" w:hAnsiTheme="majorHAnsi"/>
          <w:sz w:val="16"/>
          <w:szCs w:val="16"/>
        </w:rPr>
        <w:t>[</w:t>
      </w:r>
      <w:r w:rsidRPr="0093441A">
        <w:rPr>
          <w:rFonts w:asciiTheme="majorHAnsi" w:hAnsiTheme="majorHAnsi"/>
          <w:sz w:val="16"/>
          <w:szCs w:val="16"/>
        </w:rPr>
        <w:t>contin</w:t>
      </w:r>
      <w:r>
        <w:rPr>
          <w:rFonts w:asciiTheme="majorHAnsi" w:hAnsiTheme="majorHAnsi"/>
          <w:sz w:val="16"/>
          <w:szCs w:val="16"/>
        </w:rPr>
        <w:t xml:space="preserve">ues </w:t>
      </w:r>
      <w:r w:rsidRPr="0093441A">
        <w:rPr>
          <w:rFonts w:asciiTheme="majorHAnsi" w:hAnsiTheme="majorHAnsi"/>
          <w:sz w:val="16"/>
          <w:szCs w:val="16"/>
        </w:rPr>
        <w:t>…</w:t>
      </w:r>
      <w:r>
        <w:rPr>
          <w:rFonts w:asciiTheme="majorHAnsi" w:hAnsiTheme="majorHAnsi"/>
          <w:sz w:val="16"/>
          <w:szCs w:val="16"/>
        </w:rPr>
        <w:t>]</w:t>
      </w:r>
    </w:p>
  </w:footnote>
  <w:footnote w:id="2">
    <w:p w14:paraId="4107BE9F" w14:textId="77777777" w:rsidR="00283A5A" w:rsidRPr="00E8662E" w:rsidRDefault="00283A5A" w:rsidP="00283A5A">
      <w:pPr>
        <w:pStyle w:val="FootnoteText"/>
        <w:ind w:firstLine="720"/>
        <w:jc w:val="both"/>
        <w:rPr>
          <w:rFonts w:asciiTheme="majorHAnsi" w:hAnsiTheme="majorHAnsi"/>
          <w:sz w:val="16"/>
          <w:szCs w:val="16"/>
        </w:rPr>
      </w:pPr>
      <w:r w:rsidRPr="00E62179">
        <w:rPr>
          <w:rStyle w:val="FootnoteReference"/>
          <w:rFonts w:asciiTheme="majorHAnsi" w:hAnsiTheme="majorHAnsi"/>
          <w:sz w:val="16"/>
          <w:szCs w:val="16"/>
        </w:rPr>
        <w:footnoteRef/>
      </w:r>
      <w:r w:rsidRPr="00E8662E">
        <w:rPr>
          <w:rFonts w:asciiTheme="majorHAnsi" w:hAnsiTheme="majorHAnsi"/>
          <w:sz w:val="16"/>
          <w:szCs w:val="16"/>
        </w:rPr>
        <w:t xml:space="preserve"> According to the petitioner, the relatives are as follows: Berlin Rentería Serna (mother), Ángel Parra Rentería (father), Dina Luz Parra (aunt), Ángel and Diana Milena Parra Rentería (siblings).</w:t>
      </w:r>
    </w:p>
  </w:footnote>
  <w:footnote w:id="3">
    <w:p w14:paraId="73EBDC25" w14:textId="77777777" w:rsidR="00283A5A" w:rsidRPr="00E8662E" w:rsidRDefault="00283A5A" w:rsidP="00283A5A">
      <w:pPr>
        <w:pStyle w:val="FootnoteText"/>
        <w:ind w:firstLine="720"/>
        <w:jc w:val="both"/>
        <w:rPr>
          <w:rFonts w:asciiTheme="majorHAnsi" w:hAnsiTheme="majorHAnsi"/>
          <w:sz w:val="16"/>
          <w:szCs w:val="16"/>
        </w:rPr>
      </w:pPr>
      <w:r w:rsidRPr="00E62179">
        <w:rPr>
          <w:rStyle w:val="FootnoteReference"/>
          <w:rFonts w:asciiTheme="majorHAnsi" w:hAnsiTheme="majorHAnsi"/>
          <w:sz w:val="16"/>
          <w:szCs w:val="16"/>
        </w:rPr>
        <w:footnoteRef/>
      </w:r>
      <w:r w:rsidRPr="00E8662E">
        <w:rPr>
          <w:rFonts w:asciiTheme="majorHAnsi" w:hAnsiTheme="majorHAnsi"/>
          <w:sz w:val="16"/>
          <w:szCs w:val="16"/>
        </w:rPr>
        <w:t xml:space="preserve"> Pursuant Article 17, paragraph 2.a of the IACHR Rules of Procedure, Commissioner Luis Ernesto Vargas Silva, a Colombian national, did not partake in the discussion or the decision on this matter.</w:t>
      </w:r>
    </w:p>
  </w:footnote>
  <w:footnote w:id="4">
    <w:p w14:paraId="78B002D3" w14:textId="77777777" w:rsidR="00283A5A" w:rsidRPr="00E8662E" w:rsidRDefault="00283A5A" w:rsidP="00283A5A">
      <w:pPr>
        <w:pStyle w:val="FootnoteText"/>
        <w:ind w:firstLine="720"/>
        <w:jc w:val="both"/>
        <w:rPr>
          <w:rFonts w:asciiTheme="majorHAnsi" w:hAnsiTheme="majorHAnsi"/>
          <w:sz w:val="16"/>
          <w:szCs w:val="16"/>
        </w:rPr>
      </w:pPr>
      <w:r w:rsidRPr="00197E08">
        <w:rPr>
          <w:rStyle w:val="FootnoteReference"/>
          <w:rFonts w:asciiTheme="majorHAnsi" w:hAnsiTheme="majorHAnsi"/>
          <w:sz w:val="16"/>
          <w:szCs w:val="16"/>
        </w:rPr>
        <w:footnoteRef/>
      </w:r>
      <w:r w:rsidRPr="00E8662E">
        <w:rPr>
          <w:rFonts w:asciiTheme="majorHAnsi" w:hAnsiTheme="majorHAnsi"/>
          <w:sz w:val="16"/>
          <w:szCs w:val="16"/>
        </w:rPr>
        <w:t xml:space="preserve"> Hereinafter </w:t>
      </w:r>
      <w:r>
        <w:rPr>
          <w:rFonts w:asciiTheme="majorHAnsi" w:hAnsiTheme="majorHAnsi"/>
          <w:sz w:val="16"/>
          <w:szCs w:val="16"/>
        </w:rPr>
        <w:t>“</w:t>
      </w:r>
      <w:r w:rsidRPr="00E8662E">
        <w:rPr>
          <w:rFonts w:asciiTheme="majorHAnsi" w:hAnsiTheme="majorHAnsi"/>
          <w:sz w:val="16"/>
          <w:szCs w:val="16"/>
        </w:rPr>
        <w:t>Convention</w:t>
      </w:r>
      <w:r>
        <w:rPr>
          <w:rFonts w:asciiTheme="majorHAnsi" w:hAnsiTheme="majorHAnsi"/>
          <w:sz w:val="16"/>
          <w:szCs w:val="16"/>
        </w:rPr>
        <w:t>”</w:t>
      </w:r>
      <w:r w:rsidRPr="00E8662E">
        <w:rPr>
          <w:rFonts w:asciiTheme="majorHAnsi" w:hAnsiTheme="majorHAnsi"/>
          <w:sz w:val="16"/>
          <w:szCs w:val="16"/>
        </w:rPr>
        <w:t xml:space="preserve"> or </w:t>
      </w:r>
      <w:r>
        <w:rPr>
          <w:rFonts w:asciiTheme="majorHAnsi" w:hAnsiTheme="majorHAnsi"/>
          <w:sz w:val="16"/>
          <w:szCs w:val="16"/>
        </w:rPr>
        <w:t>“</w:t>
      </w:r>
      <w:r w:rsidRPr="00E8662E">
        <w:rPr>
          <w:rFonts w:asciiTheme="majorHAnsi" w:hAnsiTheme="majorHAnsi"/>
          <w:sz w:val="16"/>
          <w:szCs w:val="16"/>
        </w:rPr>
        <w:t>American Convention.</w:t>
      </w:r>
      <w:r>
        <w:rPr>
          <w:rFonts w:asciiTheme="majorHAnsi" w:hAnsiTheme="majorHAnsi"/>
          <w:sz w:val="16"/>
          <w:szCs w:val="16"/>
        </w:rPr>
        <w:t>”</w:t>
      </w:r>
    </w:p>
  </w:footnote>
  <w:footnote w:id="5">
    <w:p w14:paraId="13694BE5" w14:textId="77777777" w:rsidR="00283A5A" w:rsidRPr="00E8662E" w:rsidRDefault="00283A5A" w:rsidP="00283A5A">
      <w:pPr>
        <w:pStyle w:val="FootnoteText"/>
        <w:ind w:firstLine="720"/>
      </w:pPr>
      <w:r w:rsidRPr="00197E08">
        <w:rPr>
          <w:rStyle w:val="FootnoteReference"/>
          <w:rFonts w:asciiTheme="majorHAnsi" w:hAnsiTheme="majorHAnsi"/>
          <w:sz w:val="16"/>
          <w:szCs w:val="16"/>
        </w:rPr>
        <w:footnoteRef/>
      </w:r>
      <w:r w:rsidRPr="00E8662E">
        <w:rPr>
          <w:rFonts w:asciiTheme="majorHAnsi" w:hAnsiTheme="majorHAnsi"/>
          <w:sz w:val="16"/>
          <w:szCs w:val="16"/>
        </w:rPr>
        <w:t xml:space="preserve"> Hereinafter </w:t>
      </w:r>
      <w:r>
        <w:rPr>
          <w:rFonts w:asciiTheme="majorHAnsi" w:hAnsiTheme="majorHAnsi"/>
          <w:sz w:val="16"/>
          <w:szCs w:val="16"/>
        </w:rPr>
        <w:t>“</w:t>
      </w:r>
      <w:r w:rsidRPr="00E8662E">
        <w:rPr>
          <w:rFonts w:asciiTheme="majorHAnsi" w:hAnsiTheme="majorHAnsi"/>
          <w:sz w:val="16"/>
          <w:szCs w:val="16"/>
        </w:rPr>
        <w:t>American Declaration</w:t>
      </w:r>
      <w:r>
        <w:rPr>
          <w:rFonts w:asciiTheme="majorHAnsi" w:hAnsiTheme="majorHAnsi"/>
          <w:sz w:val="16"/>
          <w:szCs w:val="16"/>
        </w:rPr>
        <w:t>”</w:t>
      </w:r>
      <w:r w:rsidRPr="00E8662E">
        <w:rPr>
          <w:rFonts w:asciiTheme="majorHAnsi" w:hAnsiTheme="majorHAnsi"/>
          <w:sz w:val="16"/>
          <w:szCs w:val="16"/>
        </w:rPr>
        <w:t xml:space="preserve"> or </w:t>
      </w:r>
      <w:r>
        <w:rPr>
          <w:rFonts w:asciiTheme="majorHAnsi" w:hAnsiTheme="majorHAnsi"/>
          <w:sz w:val="16"/>
          <w:szCs w:val="16"/>
        </w:rPr>
        <w:t>“</w:t>
      </w:r>
      <w:r w:rsidRPr="00E8662E">
        <w:rPr>
          <w:rFonts w:asciiTheme="majorHAnsi" w:hAnsiTheme="majorHAnsi"/>
          <w:sz w:val="16"/>
          <w:szCs w:val="16"/>
        </w:rPr>
        <w:t>Declaration.</w:t>
      </w:r>
      <w:r>
        <w:rPr>
          <w:rFonts w:asciiTheme="majorHAnsi" w:hAnsiTheme="majorHAnsi"/>
          <w:sz w:val="16"/>
          <w:szCs w:val="16"/>
        </w:rPr>
        <w:t>”</w:t>
      </w:r>
    </w:p>
  </w:footnote>
  <w:footnote w:id="6">
    <w:p w14:paraId="5F419F3E" w14:textId="77777777" w:rsidR="00653EA6" w:rsidRPr="000B6B7A" w:rsidRDefault="00653EA6" w:rsidP="00210F4B">
      <w:pPr>
        <w:pStyle w:val="FootnoteText"/>
        <w:ind w:firstLine="720"/>
        <w:jc w:val="both"/>
        <w:rPr>
          <w:rFonts w:ascii="Cambria" w:hAnsi="Cambria"/>
          <w:sz w:val="16"/>
          <w:szCs w:val="16"/>
        </w:rPr>
      </w:pPr>
      <w:r w:rsidRPr="000B6B7A">
        <w:rPr>
          <w:rStyle w:val="FootnoteReference"/>
          <w:rFonts w:ascii="Cambria" w:hAnsi="Cambria"/>
          <w:sz w:val="16"/>
          <w:szCs w:val="16"/>
        </w:rPr>
        <w:footnoteRef/>
      </w:r>
      <w:r w:rsidRPr="000B6B7A">
        <w:rPr>
          <w:rFonts w:ascii="Cambria" w:hAnsi="Cambria"/>
          <w:sz w:val="16"/>
          <w:szCs w:val="16"/>
        </w:rPr>
        <w:t xml:space="preserve"> </w:t>
      </w:r>
      <w:r>
        <w:rPr>
          <w:rFonts w:ascii="Cambria" w:hAnsi="Cambria"/>
          <w:sz w:val="16"/>
          <w:szCs w:val="16"/>
        </w:rPr>
        <w:t xml:space="preserve">The observations </w:t>
      </w:r>
      <w:r w:rsidR="00926D2F">
        <w:rPr>
          <w:rFonts w:ascii="Cambria" w:hAnsi="Cambria"/>
          <w:sz w:val="16"/>
          <w:szCs w:val="16"/>
        </w:rPr>
        <w:t>submitted</w:t>
      </w:r>
      <w:r>
        <w:rPr>
          <w:rFonts w:ascii="Cambria" w:hAnsi="Cambria"/>
          <w:sz w:val="16"/>
          <w:szCs w:val="16"/>
        </w:rPr>
        <w:t xml:space="preserve"> by each party were duly transmitted to the opposing party.</w:t>
      </w:r>
    </w:p>
  </w:footnote>
  <w:footnote w:id="7">
    <w:p w14:paraId="0B8B64AE" w14:textId="77777777" w:rsidR="00D02453" w:rsidRPr="00E8662E" w:rsidRDefault="00D02453" w:rsidP="00D02453">
      <w:pPr>
        <w:pStyle w:val="FootnoteText"/>
        <w:ind w:firstLine="720"/>
        <w:jc w:val="both"/>
        <w:rPr>
          <w:rFonts w:asciiTheme="majorHAnsi" w:hAnsiTheme="majorHAnsi"/>
          <w:sz w:val="16"/>
          <w:szCs w:val="16"/>
        </w:rPr>
      </w:pPr>
      <w:r>
        <w:rPr>
          <w:rStyle w:val="FootnoteReference"/>
        </w:rPr>
        <w:footnoteRef/>
      </w:r>
      <w:r w:rsidRPr="00E8662E">
        <w:t xml:space="preserve"> </w:t>
      </w:r>
      <w:r w:rsidRPr="00E8662E">
        <w:rPr>
          <w:rFonts w:asciiTheme="majorHAnsi" w:hAnsiTheme="majorHAnsi"/>
          <w:sz w:val="16"/>
          <w:szCs w:val="16"/>
        </w:rPr>
        <w:t xml:space="preserve">IACHR, Report No. 55/13. Petition 375-07. Admissibility. Spencer Friend Montehermoso </w:t>
      </w:r>
      <w:r w:rsidRPr="0010619D">
        <w:rPr>
          <w:rFonts w:asciiTheme="majorHAnsi" w:hAnsiTheme="majorHAnsi"/>
          <w:i/>
          <w:sz w:val="16"/>
          <w:szCs w:val="16"/>
        </w:rPr>
        <w:t>et al</w:t>
      </w:r>
      <w:r w:rsidRPr="00E8662E">
        <w:rPr>
          <w:rFonts w:asciiTheme="majorHAnsi" w:hAnsiTheme="majorHAnsi"/>
          <w:sz w:val="16"/>
          <w:szCs w:val="16"/>
        </w:rPr>
        <w:t>. Guatemala. July 16, 2013, para. 31; IACHR, Report No. 49/14, Petition 1196/07, Admissibility. Juan Carlos Martínez Gil, Colombia, July 21, 2014, para. 29; IACHR, Report No. 72/18, Petition 1131-08, Admissibility. Moisés de Jesús Hernández Pinto and Family. Guatemala, June 20, 2018, para. 10; IACHR, Report No. 81/18. Petition 190-07. Admissibility. Edgar José Sánchez Duarte. Colombia. July 7, 2018, para. 13; IACHR, Report No. 89/18. Petition 1110-07. Admissibili</w:t>
      </w:r>
      <w:r>
        <w:rPr>
          <w:rFonts w:asciiTheme="majorHAnsi" w:hAnsiTheme="majorHAnsi"/>
          <w:sz w:val="16"/>
          <w:szCs w:val="16"/>
        </w:rPr>
        <w:t>ty</w:t>
      </w:r>
      <w:r w:rsidRPr="00E8662E">
        <w:rPr>
          <w:rFonts w:asciiTheme="majorHAnsi" w:hAnsiTheme="majorHAnsi"/>
          <w:sz w:val="16"/>
          <w:szCs w:val="16"/>
        </w:rPr>
        <w:t>. Juan Simón Cantillo Raigoza, Keyla Sandrith Cantillo Vides and Family. Colombia. July 27, 2018, para. 10; IACHR, Report No. 126/18, Admissibility. Luis Mariano Pertuz Lara and Family. Colombia, October 19, 2018, para. 10.</w:t>
      </w:r>
    </w:p>
  </w:footnote>
  <w:footnote w:id="8">
    <w:p w14:paraId="7DA22001" w14:textId="77777777" w:rsidR="00D02453" w:rsidRPr="00E8662E" w:rsidRDefault="00D02453" w:rsidP="00D02453">
      <w:pPr>
        <w:pStyle w:val="FootnoteText"/>
        <w:ind w:firstLine="720"/>
        <w:jc w:val="both"/>
      </w:pPr>
      <w:r>
        <w:rPr>
          <w:rStyle w:val="FootnoteReference"/>
        </w:rPr>
        <w:footnoteRef/>
      </w:r>
      <w:r w:rsidRPr="00E8662E">
        <w:t xml:space="preserve"> </w:t>
      </w:r>
      <w:r w:rsidRPr="00E8662E">
        <w:rPr>
          <w:rFonts w:asciiTheme="majorHAnsi" w:hAnsiTheme="majorHAnsi"/>
          <w:sz w:val="16"/>
          <w:szCs w:val="16"/>
        </w:rPr>
        <w:t>IACHR, Truth, Justice and Reparation: Fourth Report on Human Rights Situation in Colombia, December 31, 2007, para. 467.</w:t>
      </w:r>
    </w:p>
  </w:footnote>
  <w:footnote w:id="9">
    <w:p w14:paraId="4FB2BA6D" w14:textId="77777777" w:rsidR="00D02453" w:rsidRPr="00E8662E" w:rsidRDefault="00D02453" w:rsidP="00D02453">
      <w:pPr>
        <w:pStyle w:val="FootnoteText"/>
        <w:ind w:firstLine="720"/>
        <w:jc w:val="both"/>
        <w:rPr>
          <w:rFonts w:ascii="Cambria" w:hAnsi="Cambria"/>
          <w:sz w:val="16"/>
          <w:szCs w:val="16"/>
        </w:rPr>
      </w:pPr>
      <w:r w:rsidRPr="00E9598C">
        <w:rPr>
          <w:rStyle w:val="FootnoteReference"/>
          <w:rFonts w:ascii="Cambria" w:hAnsi="Cambria"/>
          <w:sz w:val="16"/>
          <w:szCs w:val="16"/>
        </w:rPr>
        <w:footnoteRef/>
      </w:r>
      <w:r w:rsidRPr="00E8662E">
        <w:rPr>
          <w:rFonts w:ascii="Cambria" w:hAnsi="Cambria"/>
          <w:sz w:val="16"/>
          <w:szCs w:val="16"/>
        </w:rPr>
        <w:t xml:space="preserve"> IACHR, Report No. 50/18. Petition 298-2007. Admissibility. Néstor José Uzcategui </w:t>
      </w:r>
      <w:r w:rsidRPr="0010619D">
        <w:rPr>
          <w:rFonts w:ascii="Cambria" w:hAnsi="Cambria"/>
          <w:i/>
          <w:sz w:val="16"/>
          <w:szCs w:val="16"/>
        </w:rPr>
        <w:t>et al.</w:t>
      </w:r>
      <w:r w:rsidRPr="00E8662E">
        <w:rPr>
          <w:rFonts w:ascii="Cambria" w:hAnsi="Cambria"/>
          <w:sz w:val="16"/>
          <w:szCs w:val="16"/>
        </w:rPr>
        <w:t>, Venezuela, July 24, 2008, para. 42.</w:t>
      </w:r>
    </w:p>
  </w:footnote>
  <w:footnote w:id="10">
    <w:p w14:paraId="16A6CF60" w14:textId="77777777" w:rsidR="00D02453" w:rsidRPr="00E8662E" w:rsidRDefault="00D02453" w:rsidP="00D02453">
      <w:pPr>
        <w:pStyle w:val="FootnoteText"/>
        <w:ind w:firstLine="720"/>
        <w:jc w:val="both"/>
        <w:rPr>
          <w:rFonts w:ascii="Cambria" w:hAnsi="Cambria"/>
          <w:sz w:val="16"/>
          <w:szCs w:val="16"/>
        </w:rPr>
      </w:pPr>
      <w:r w:rsidRPr="00DA3F9E">
        <w:rPr>
          <w:rStyle w:val="FootnoteReference"/>
          <w:rFonts w:ascii="Cambria" w:hAnsi="Cambria"/>
          <w:sz w:val="16"/>
          <w:szCs w:val="16"/>
        </w:rPr>
        <w:footnoteRef/>
      </w:r>
      <w:r w:rsidRPr="00E8662E">
        <w:rPr>
          <w:rFonts w:ascii="Cambria" w:hAnsi="Cambria"/>
          <w:sz w:val="16"/>
          <w:szCs w:val="16"/>
        </w:rPr>
        <w:t xml:space="preserve"> IACHR, Report No. 40/18. Admissibility. Nelson Enrique Giraldo Ramírez and Family. Colombia. May 4, 2018, para. 16; IACHR, Report No. 89/18. Petition 1110-07. Admissibility. Juan Simón Cantillo Raigoza, Keyla Sandrith Cantillo Vides and Family. Colombia. July 27, 2018, para. 11.</w:t>
      </w:r>
    </w:p>
  </w:footnote>
  <w:footnote w:id="11">
    <w:p w14:paraId="186E5F4F" w14:textId="77777777" w:rsidR="00D02453" w:rsidRPr="008E0BC9" w:rsidRDefault="00D02453" w:rsidP="00283A5A">
      <w:pPr>
        <w:pStyle w:val="FootnoteText"/>
        <w:ind w:left="720"/>
        <w:jc w:val="both"/>
        <w:rPr>
          <w:rFonts w:asciiTheme="majorHAnsi" w:hAnsiTheme="majorHAnsi"/>
          <w:sz w:val="16"/>
          <w:szCs w:val="16"/>
          <w:lang w:val="es-AR"/>
        </w:rPr>
      </w:pPr>
      <w:r w:rsidRPr="008E0BC9">
        <w:rPr>
          <w:rStyle w:val="FootnoteReference"/>
          <w:rFonts w:asciiTheme="majorHAnsi" w:hAnsiTheme="majorHAnsi"/>
          <w:sz w:val="16"/>
          <w:szCs w:val="16"/>
        </w:rPr>
        <w:footnoteRef/>
      </w:r>
      <w:r w:rsidRPr="00E8662E">
        <w:rPr>
          <w:rFonts w:asciiTheme="majorHAnsi" w:hAnsiTheme="majorHAnsi"/>
          <w:sz w:val="16"/>
          <w:szCs w:val="16"/>
        </w:rPr>
        <w:t xml:space="preserve"> IACHR, Report No. 40/18. Admissibility. Nelson Enrique Giraldo Ramírez and Family. </w:t>
      </w:r>
      <w:r w:rsidRPr="008E0BC9">
        <w:rPr>
          <w:rFonts w:asciiTheme="majorHAnsi" w:hAnsiTheme="majorHAnsi"/>
          <w:sz w:val="16"/>
          <w:szCs w:val="16"/>
          <w:lang w:val="es-AR"/>
        </w:rPr>
        <w:t>Colombia. May 4, 2018, para. 20; IACHR, Report No. 81/18. Petition 190-07. Admissibility. Edgar José Sánchez Duarte. Colombia. July 7, 2018, para. 18.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D6B9CD"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64A2D326" w14:textId="77777777"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EE7569" w14:textId="77777777" w:rsidR="002C1641" w:rsidRDefault="002C1641" w:rsidP="002C1641">
    <w:pPr>
      <w:pStyle w:val="Header"/>
      <w:tabs>
        <w:tab w:val="clear" w:pos="4320"/>
        <w:tab w:val="clear" w:pos="8640"/>
      </w:tabs>
      <w:jc w:val="center"/>
      <w:rPr>
        <w:sz w:val="22"/>
        <w:szCs w:val="22"/>
      </w:rPr>
    </w:pPr>
    <w:r>
      <w:rPr>
        <w:noProof/>
        <w:sz w:val="22"/>
        <w:szCs w:val="22"/>
      </w:rPr>
      <w:drawing>
        <wp:inline distT="0" distB="0" distL="0" distR="0" wp14:anchorId="46704C12" wp14:editId="5D2319D7">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091B2034" w14:textId="77777777" w:rsidR="00040C3A" w:rsidRPr="00EC7D62" w:rsidRDefault="00FA37D9" w:rsidP="002C1641">
    <w:pPr>
      <w:pStyle w:val="Header"/>
      <w:tabs>
        <w:tab w:val="clear" w:pos="4320"/>
        <w:tab w:val="clear" w:pos="8640"/>
      </w:tabs>
      <w:jc w:val="center"/>
      <w:rPr>
        <w:sz w:val="22"/>
        <w:szCs w:val="22"/>
      </w:rPr>
    </w:pPr>
    <w:r>
      <w:rPr>
        <w:sz w:val="22"/>
        <w:szCs w:val="22"/>
      </w:rPr>
      <w:pict w14:anchorId="26A33C00">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483AC8" w14:textId="77777777" w:rsidR="00737684" w:rsidRDefault="0073768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E6BC44CE"/>
    <w:lvl w:ilvl="0" w:tplc="B61A847A">
      <w:start w:val="1"/>
      <w:numFmt w:val="decimal"/>
      <w:lvlText w:val="%1."/>
      <w:lvlJc w:val="left"/>
      <w:pPr>
        <w:tabs>
          <w:tab w:val="num" w:pos="720"/>
        </w:tabs>
        <w:ind w:left="0" w:firstLine="720"/>
      </w:pPr>
      <w:rPr>
        <w:rFonts w:hint="default"/>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C402F6"/>
    <w:multiLevelType w:val="hybridMultilevel"/>
    <w:tmpl w:val="E7D808FC"/>
    <w:lvl w:ilvl="0" w:tplc="C40A67D6">
      <w:start w:val="2"/>
      <w:numFmt w:val="upperLetter"/>
      <w:lvlText w:val="%1."/>
      <w:lvlJc w:val="left"/>
      <w:pPr>
        <w:tabs>
          <w:tab w:val="num" w:pos="1440"/>
        </w:tabs>
        <w:ind w:left="1440" w:hanging="720"/>
      </w:pPr>
      <w:rPr>
        <w:rFonts w:cs="Times New Roman" w:hint="default"/>
      </w:rPr>
    </w:lvl>
    <w:lvl w:ilvl="1" w:tplc="2B26BAEC">
      <w:start w:val="1"/>
      <w:numFmt w:val="decimal"/>
      <w:lvlText w:val="%2."/>
      <w:lvlJc w:val="left"/>
      <w:pPr>
        <w:tabs>
          <w:tab w:val="num" w:pos="1800"/>
        </w:tabs>
        <w:ind w:left="1800" w:hanging="36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6"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1"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2"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8"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29"/>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4"/>
  </w:num>
  <w:num w:numId="3">
    <w:abstractNumId w:val="42"/>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6"/>
  </w:num>
  <w:num w:numId="6">
    <w:abstractNumId w:val="46"/>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57"/>
  </w:num>
  <w:num w:numId="8">
    <w:abstractNumId w:val="22"/>
  </w:num>
  <w:num w:numId="9">
    <w:abstractNumId w:val="49"/>
  </w:num>
  <w:num w:numId="10">
    <w:abstractNumId w:val="15"/>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8"/>
  </w:num>
  <w:num w:numId="12">
    <w:abstractNumId w:val="55"/>
  </w:num>
  <w:num w:numId="13">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8"/>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1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2"/>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7"/>
  </w:num>
  <w:num w:numId="21">
    <w:abstractNumId w:val="3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4"/>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0"/>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5"/>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0"/>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3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8"/>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5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4"/>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39"/>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7"/>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5"/>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3"/>
  </w:num>
  <w:num w:numId="53">
    <w:abstractNumId w:val="0"/>
  </w:num>
  <w:num w:numId="54">
    <w:abstractNumId w:val="38"/>
  </w:num>
  <w:num w:numId="55">
    <w:abstractNumId w:val="39"/>
  </w:num>
  <w:num w:numId="56">
    <w:abstractNumId w:val="45"/>
  </w:num>
  <w:num w:numId="57">
    <w:abstractNumId w:val="1"/>
  </w:num>
  <w:num w:numId="58">
    <w:abstractNumId w:val="2"/>
  </w:num>
  <w:num w:numId="59">
    <w:abstractNumId w:val="8"/>
  </w:num>
  <w:num w:numId="60">
    <w:abstractNumId w:val="9"/>
  </w:num>
  <w:num w:numId="61">
    <w:abstractNumId w:val="10"/>
  </w:num>
  <w:num w:numId="62">
    <w:abstractNumId w:val="12"/>
  </w:num>
  <w:num w:numId="63">
    <w:abstractNumId w:val="13"/>
  </w:num>
  <w:num w:numId="64">
    <w:abstractNumId w:val="14"/>
  </w:num>
  <w:num w:numId="65">
    <w:abstractNumId w:val="15"/>
  </w:num>
  <w:num w:numId="66">
    <w:abstractNumId w:val="16"/>
  </w:num>
  <w:num w:numId="67">
    <w:abstractNumId w:val="17"/>
  </w:num>
  <w:num w:numId="68">
    <w:abstractNumId w:val="19"/>
  </w:num>
  <w:num w:numId="69">
    <w:abstractNumId w:val="20"/>
  </w:num>
  <w:num w:numId="70">
    <w:abstractNumId w:val="23"/>
  </w:num>
  <w:num w:numId="71">
    <w:abstractNumId w:val="24"/>
  </w:num>
  <w:num w:numId="72">
    <w:abstractNumId w:val="25"/>
  </w:num>
  <w:num w:numId="73">
    <w:abstractNumId w:val="27"/>
  </w:num>
  <w:num w:numId="74">
    <w:abstractNumId w:val="29"/>
  </w:num>
  <w:num w:numId="75">
    <w:abstractNumId w:val="30"/>
  </w:num>
  <w:num w:numId="76">
    <w:abstractNumId w:val="31"/>
  </w:num>
  <w:num w:numId="77">
    <w:abstractNumId w:val="32"/>
  </w:num>
  <w:num w:numId="78">
    <w:abstractNumId w:val="33"/>
  </w:num>
  <w:num w:numId="79">
    <w:abstractNumId w:val="34"/>
  </w:num>
  <w:num w:numId="80">
    <w:abstractNumId w:val="35"/>
  </w:num>
  <w:num w:numId="81">
    <w:abstractNumId w:val="36"/>
  </w:num>
  <w:num w:numId="82">
    <w:abstractNumId w:val="40"/>
  </w:num>
  <w:num w:numId="83">
    <w:abstractNumId w:val="41"/>
  </w:num>
  <w:num w:numId="84">
    <w:abstractNumId w:val="47"/>
  </w:num>
  <w:num w:numId="85">
    <w:abstractNumId w:val="50"/>
  </w:num>
  <w:num w:numId="86">
    <w:abstractNumId w:val="52"/>
  </w:num>
  <w:num w:numId="87">
    <w:abstractNumId w:val="54"/>
  </w:num>
  <w:num w:numId="88">
    <w:abstractNumId w:val="56"/>
  </w:num>
  <w:num w:numId="89">
    <w:abstractNumId w:val="58"/>
  </w:num>
  <w:num w:numId="90">
    <w:abstractNumId w:val="59"/>
  </w:num>
  <w:num w:numId="91">
    <w:abstractNumId w:val="60"/>
  </w:num>
  <w:num w:numId="92">
    <w:abstractNumId w:val="61"/>
  </w:num>
  <w:num w:numId="93">
    <w:abstractNumId w:val="62"/>
  </w:num>
  <w:num w:numId="94">
    <w:abstractNumId w:val="21"/>
  </w:num>
  <w:num w:numId="95">
    <w:abstractNumId w:val="42"/>
  </w:num>
  <w:num w:numId="96">
    <w:abstractNumId w:val="53"/>
  </w:num>
  <w:num w:numId="97">
    <w:abstractNumId w:val="51"/>
  </w:num>
  <w:num w:numId="98">
    <w:abstractNumId w:val="46"/>
  </w:num>
  <w:num w:numId="99">
    <w:abstractNumId w:val="37"/>
  </w:num>
  <w:num w:numId="100">
    <w:abstractNumId w:val="3"/>
  </w:num>
  <w:num w:numId="101">
    <w:abstractNumId w:val="26"/>
  </w:num>
  <w:num w:numId="102">
    <w:abstractNumId w:val="48"/>
  </w:num>
  <w:num w:numId="103">
    <w:abstractNumId w:val="5"/>
  </w:num>
  <w:num w:numId="104">
    <w:abstractNumId w:val="11"/>
  </w:num>
  <w:num w:numId="105">
    <w:abstractNumId w:val="44"/>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D5C"/>
    <w:rsid w:val="0000036F"/>
    <w:rsid w:val="00000CDA"/>
    <w:rsid w:val="000070D7"/>
    <w:rsid w:val="000111A8"/>
    <w:rsid w:val="0001788C"/>
    <w:rsid w:val="00022CF5"/>
    <w:rsid w:val="00033530"/>
    <w:rsid w:val="00036A8A"/>
    <w:rsid w:val="00040C3A"/>
    <w:rsid w:val="000438DC"/>
    <w:rsid w:val="00043E3E"/>
    <w:rsid w:val="000458B9"/>
    <w:rsid w:val="000639C0"/>
    <w:rsid w:val="00070F3A"/>
    <w:rsid w:val="000716C5"/>
    <w:rsid w:val="00075E23"/>
    <w:rsid w:val="00092F32"/>
    <w:rsid w:val="0009344A"/>
    <w:rsid w:val="000A575F"/>
    <w:rsid w:val="000C4365"/>
    <w:rsid w:val="000D0F59"/>
    <w:rsid w:val="000D10DB"/>
    <w:rsid w:val="00124116"/>
    <w:rsid w:val="0013104F"/>
    <w:rsid w:val="00137EBA"/>
    <w:rsid w:val="00145EDC"/>
    <w:rsid w:val="00153084"/>
    <w:rsid w:val="00167A34"/>
    <w:rsid w:val="001714B4"/>
    <w:rsid w:val="0018037F"/>
    <w:rsid w:val="0019460A"/>
    <w:rsid w:val="001A5F27"/>
    <w:rsid w:val="001A65E4"/>
    <w:rsid w:val="001A7236"/>
    <w:rsid w:val="001A7870"/>
    <w:rsid w:val="001B70C9"/>
    <w:rsid w:val="001C1B41"/>
    <w:rsid w:val="001E366B"/>
    <w:rsid w:val="001F1902"/>
    <w:rsid w:val="00210E0E"/>
    <w:rsid w:val="00210F4B"/>
    <w:rsid w:val="00230163"/>
    <w:rsid w:val="0023351C"/>
    <w:rsid w:val="00247403"/>
    <w:rsid w:val="00247542"/>
    <w:rsid w:val="00257893"/>
    <w:rsid w:val="00266092"/>
    <w:rsid w:val="00266B61"/>
    <w:rsid w:val="0026712A"/>
    <w:rsid w:val="002704DB"/>
    <w:rsid w:val="002760CE"/>
    <w:rsid w:val="00283A5A"/>
    <w:rsid w:val="002B7A85"/>
    <w:rsid w:val="002C1641"/>
    <w:rsid w:val="002D7EA2"/>
    <w:rsid w:val="002E15DF"/>
    <w:rsid w:val="002E187C"/>
    <w:rsid w:val="002E6E57"/>
    <w:rsid w:val="00301075"/>
    <w:rsid w:val="00302733"/>
    <w:rsid w:val="003119D4"/>
    <w:rsid w:val="00311A4F"/>
    <w:rsid w:val="00314078"/>
    <w:rsid w:val="00322450"/>
    <w:rsid w:val="003246B5"/>
    <w:rsid w:val="0033169F"/>
    <w:rsid w:val="003375D3"/>
    <w:rsid w:val="003414AC"/>
    <w:rsid w:val="00356185"/>
    <w:rsid w:val="00360380"/>
    <w:rsid w:val="00366777"/>
    <w:rsid w:val="003771A3"/>
    <w:rsid w:val="00386CF0"/>
    <w:rsid w:val="003A4348"/>
    <w:rsid w:val="003C32BC"/>
    <w:rsid w:val="003E3E03"/>
    <w:rsid w:val="003F1BBF"/>
    <w:rsid w:val="00410FB5"/>
    <w:rsid w:val="004162B1"/>
    <w:rsid w:val="004165C2"/>
    <w:rsid w:val="00450A4A"/>
    <w:rsid w:val="004666FB"/>
    <w:rsid w:val="00466D0B"/>
    <w:rsid w:val="00467B7E"/>
    <w:rsid w:val="0049419D"/>
    <w:rsid w:val="004B2762"/>
    <w:rsid w:val="004B7EB6"/>
    <w:rsid w:val="004C41DE"/>
    <w:rsid w:val="004C4B62"/>
    <w:rsid w:val="004D6025"/>
    <w:rsid w:val="004D72BC"/>
    <w:rsid w:val="004F6B67"/>
    <w:rsid w:val="00501399"/>
    <w:rsid w:val="00507BC4"/>
    <w:rsid w:val="005128E4"/>
    <w:rsid w:val="00524D8D"/>
    <w:rsid w:val="00525560"/>
    <w:rsid w:val="005357A6"/>
    <w:rsid w:val="00544C49"/>
    <w:rsid w:val="005553E1"/>
    <w:rsid w:val="0057402A"/>
    <w:rsid w:val="005771D0"/>
    <w:rsid w:val="0059191A"/>
    <w:rsid w:val="005921FF"/>
    <w:rsid w:val="00592718"/>
    <w:rsid w:val="005A6D0E"/>
    <w:rsid w:val="005B222D"/>
    <w:rsid w:val="005B52B0"/>
    <w:rsid w:val="005B6806"/>
    <w:rsid w:val="005C00F9"/>
    <w:rsid w:val="005C4225"/>
    <w:rsid w:val="005F0F33"/>
    <w:rsid w:val="005F6DBD"/>
    <w:rsid w:val="00600DEB"/>
    <w:rsid w:val="00613027"/>
    <w:rsid w:val="006132E6"/>
    <w:rsid w:val="00627C9F"/>
    <w:rsid w:val="006311DA"/>
    <w:rsid w:val="006311E9"/>
    <w:rsid w:val="006318B2"/>
    <w:rsid w:val="00632354"/>
    <w:rsid w:val="006344DD"/>
    <w:rsid w:val="00642810"/>
    <w:rsid w:val="00652333"/>
    <w:rsid w:val="00653EA6"/>
    <w:rsid w:val="0068009E"/>
    <w:rsid w:val="006A17D2"/>
    <w:rsid w:val="006A73E6"/>
    <w:rsid w:val="006B2D5C"/>
    <w:rsid w:val="006C4EB1"/>
    <w:rsid w:val="006D4707"/>
    <w:rsid w:val="006E0166"/>
    <w:rsid w:val="006E7B34"/>
    <w:rsid w:val="00701B24"/>
    <w:rsid w:val="0071495F"/>
    <w:rsid w:val="00737684"/>
    <w:rsid w:val="0073798E"/>
    <w:rsid w:val="00745899"/>
    <w:rsid w:val="00752DBA"/>
    <w:rsid w:val="00755C03"/>
    <w:rsid w:val="007607C4"/>
    <w:rsid w:val="0076643F"/>
    <w:rsid w:val="00781653"/>
    <w:rsid w:val="007A2F70"/>
    <w:rsid w:val="007A3A20"/>
    <w:rsid w:val="007C3334"/>
    <w:rsid w:val="007C52BB"/>
    <w:rsid w:val="007D2B98"/>
    <w:rsid w:val="00803F1C"/>
    <w:rsid w:val="0080600E"/>
    <w:rsid w:val="00817612"/>
    <w:rsid w:val="00837C45"/>
    <w:rsid w:val="00853419"/>
    <w:rsid w:val="00857DAA"/>
    <w:rsid w:val="00897E12"/>
    <w:rsid w:val="008D43BA"/>
    <w:rsid w:val="008E3759"/>
    <w:rsid w:val="009041DC"/>
    <w:rsid w:val="009104B4"/>
    <w:rsid w:val="009228DA"/>
    <w:rsid w:val="00923F39"/>
    <w:rsid w:val="00925FCD"/>
    <w:rsid w:val="00926D2F"/>
    <w:rsid w:val="0093441A"/>
    <w:rsid w:val="00954BF7"/>
    <w:rsid w:val="00963338"/>
    <w:rsid w:val="0096706E"/>
    <w:rsid w:val="00967BB9"/>
    <w:rsid w:val="00981FBA"/>
    <w:rsid w:val="00986660"/>
    <w:rsid w:val="009B381B"/>
    <w:rsid w:val="009D5004"/>
    <w:rsid w:val="009D7611"/>
    <w:rsid w:val="009E53DE"/>
    <w:rsid w:val="009E566A"/>
    <w:rsid w:val="009E74A1"/>
    <w:rsid w:val="00A00121"/>
    <w:rsid w:val="00A12DBC"/>
    <w:rsid w:val="00A43458"/>
    <w:rsid w:val="00A528D1"/>
    <w:rsid w:val="00A66BE5"/>
    <w:rsid w:val="00A70CAB"/>
    <w:rsid w:val="00AC06B7"/>
    <w:rsid w:val="00AD37C1"/>
    <w:rsid w:val="00AE66EC"/>
    <w:rsid w:val="00AE6F91"/>
    <w:rsid w:val="00AF5571"/>
    <w:rsid w:val="00B06BB7"/>
    <w:rsid w:val="00B167E9"/>
    <w:rsid w:val="00B179ED"/>
    <w:rsid w:val="00B314DB"/>
    <w:rsid w:val="00B31EBE"/>
    <w:rsid w:val="00B3718B"/>
    <w:rsid w:val="00B40916"/>
    <w:rsid w:val="00B40C6F"/>
    <w:rsid w:val="00B44B23"/>
    <w:rsid w:val="00B4632A"/>
    <w:rsid w:val="00B7419B"/>
    <w:rsid w:val="00B92917"/>
    <w:rsid w:val="00B92E49"/>
    <w:rsid w:val="00BA276C"/>
    <w:rsid w:val="00BB306F"/>
    <w:rsid w:val="00BD232B"/>
    <w:rsid w:val="00BD2E42"/>
    <w:rsid w:val="00BD4B89"/>
    <w:rsid w:val="00C13927"/>
    <w:rsid w:val="00C21762"/>
    <w:rsid w:val="00C24543"/>
    <w:rsid w:val="00C256A2"/>
    <w:rsid w:val="00C3492D"/>
    <w:rsid w:val="00C55560"/>
    <w:rsid w:val="00C66B72"/>
    <w:rsid w:val="00C9567A"/>
    <w:rsid w:val="00CA6577"/>
    <w:rsid w:val="00CB2660"/>
    <w:rsid w:val="00CC5E90"/>
    <w:rsid w:val="00CD046C"/>
    <w:rsid w:val="00CE5199"/>
    <w:rsid w:val="00CE66D5"/>
    <w:rsid w:val="00D02453"/>
    <w:rsid w:val="00D34786"/>
    <w:rsid w:val="00D40A1E"/>
    <w:rsid w:val="00D514D0"/>
    <w:rsid w:val="00D533C0"/>
    <w:rsid w:val="00D712D3"/>
    <w:rsid w:val="00D71422"/>
    <w:rsid w:val="00D7145E"/>
    <w:rsid w:val="00D746CF"/>
    <w:rsid w:val="00D75084"/>
    <w:rsid w:val="00D7558D"/>
    <w:rsid w:val="00D81D92"/>
    <w:rsid w:val="00D93446"/>
    <w:rsid w:val="00DA7B5F"/>
    <w:rsid w:val="00DF078B"/>
    <w:rsid w:val="00DF350D"/>
    <w:rsid w:val="00E227C1"/>
    <w:rsid w:val="00E43157"/>
    <w:rsid w:val="00E47F3D"/>
    <w:rsid w:val="00E533FF"/>
    <w:rsid w:val="00E709B3"/>
    <w:rsid w:val="00E7588C"/>
    <w:rsid w:val="00E850B6"/>
    <w:rsid w:val="00E8789F"/>
    <w:rsid w:val="00E97B71"/>
    <w:rsid w:val="00EB454D"/>
    <w:rsid w:val="00ED0D1B"/>
    <w:rsid w:val="00EE0F98"/>
    <w:rsid w:val="00EE3522"/>
    <w:rsid w:val="00EF619B"/>
    <w:rsid w:val="00F00B55"/>
    <w:rsid w:val="00F01D38"/>
    <w:rsid w:val="00F1380F"/>
    <w:rsid w:val="00F14F0E"/>
    <w:rsid w:val="00F15A3B"/>
    <w:rsid w:val="00F24C29"/>
    <w:rsid w:val="00F253CC"/>
    <w:rsid w:val="00F377D4"/>
    <w:rsid w:val="00F42B71"/>
    <w:rsid w:val="00F56BA5"/>
    <w:rsid w:val="00F621C3"/>
    <w:rsid w:val="00F644E6"/>
    <w:rsid w:val="00F9653B"/>
    <w:rsid w:val="00FA37D9"/>
    <w:rsid w:val="00FB25DF"/>
    <w:rsid w:val="00FB62CF"/>
    <w:rsid w:val="00FC3EB4"/>
    <w:rsid w:val="00FC6C58"/>
    <w:rsid w:val="00FE6B45"/>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160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uiPriority w:val="99"/>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uiPriority w:val="99"/>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uiPriority w:val="99"/>
    <w:locked/>
    <w:rsid w:val="00036A8A"/>
    <w:rPr>
      <w:rFonts w:ascii="Calibri" w:eastAsia="Calibri" w:hAnsi="Calibri" w:cs="Calibri"/>
      <w:color w:val="000000"/>
      <w:u w:color="000000"/>
      <w:lang w:val="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F42B71"/>
    <w:rPr>
      <w:rFonts w:ascii="Calibri" w:eastAsia="Times New Roman" w:hAnsi="Calibri"/>
      <w:color w:val="000000"/>
      <w:u w:color="000000"/>
      <w:lang w:val="en-US"/>
    </w:rPr>
  </w:style>
  <w:style w:type="table" w:styleId="TableGrid">
    <w:name w:val="Table Grid"/>
    <w:basedOn w:val="TableNormal"/>
    <w:uiPriority w:val="59"/>
    <w:rsid w:val="00F62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C436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111C32ACE394FD4A6F448F82D40BCE5"/>
        <w:category>
          <w:name w:val="General"/>
          <w:gallery w:val="placeholder"/>
        </w:category>
        <w:types>
          <w:type w:val="bbPlcHdr"/>
        </w:types>
        <w:behaviors>
          <w:behavior w:val="content"/>
        </w:behaviors>
        <w:guid w:val="{601D9DF2-FFDA-4B94-B4EB-0A811E09C930}"/>
      </w:docPartPr>
      <w:docPartBody>
        <w:p w:rsidR="00E95C37" w:rsidRDefault="00FC759D" w:rsidP="00FC759D">
          <w:pPr>
            <w:pStyle w:val="3111C32ACE394FD4A6F448F82D40BCE5"/>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4F1"/>
    <w:rsid w:val="001748D3"/>
    <w:rsid w:val="002D26D9"/>
    <w:rsid w:val="00366F05"/>
    <w:rsid w:val="004108B1"/>
    <w:rsid w:val="00663631"/>
    <w:rsid w:val="0092032A"/>
    <w:rsid w:val="00AB44F1"/>
    <w:rsid w:val="00B763C4"/>
    <w:rsid w:val="00BF48BC"/>
    <w:rsid w:val="00E715BD"/>
    <w:rsid w:val="00E95C37"/>
    <w:rsid w:val="00EA0868"/>
    <w:rsid w:val="00EC32A6"/>
    <w:rsid w:val="00FC75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C759D"/>
    <w:rPr>
      <w:color w:val="808080"/>
    </w:rPr>
  </w:style>
  <w:style w:type="paragraph" w:customStyle="1" w:styleId="4DBB5F3FC358F64B9E5EFB773263C7D2">
    <w:name w:val="4DBB5F3FC358F64B9E5EFB773263C7D2"/>
    <w:rsid w:val="00AB44F1"/>
  </w:style>
  <w:style w:type="paragraph" w:customStyle="1" w:styleId="BFF6100A2FB44DE2B75A1FB6C50E7C77">
    <w:name w:val="BFF6100A2FB44DE2B75A1FB6C50E7C77"/>
    <w:rsid w:val="00FC759D"/>
    <w:pPr>
      <w:spacing w:after="160" w:line="259" w:lineRule="auto"/>
    </w:pPr>
    <w:rPr>
      <w:sz w:val="22"/>
      <w:szCs w:val="22"/>
    </w:rPr>
  </w:style>
  <w:style w:type="paragraph" w:customStyle="1" w:styleId="DB8A4FF42E7F4EE3930909F7350D5A7B">
    <w:name w:val="DB8A4FF42E7F4EE3930909F7350D5A7B"/>
    <w:rsid w:val="00FC759D"/>
    <w:pPr>
      <w:spacing w:after="160" w:line="259" w:lineRule="auto"/>
    </w:pPr>
    <w:rPr>
      <w:sz w:val="22"/>
      <w:szCs w:val="22"/>
    </w:rPr>
  </w:style>
  <w:style w:type="paragraph" w:customStyle="1" w:styleId="3111C32ACE394FD4A6F448F82D40BCE5">
    <w:name w:val="3111C32ACE394FD4A6F448F82D40BCE5"/>
    <w:rsid w:val="00FC759D"/>
    <w:pPr>
      <w:spacing w:after="160" w:line="259" w:lineRule="auto"/>
    </w:pPr>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1CAF4D-D56E-42E6-81BB-5F1D262C4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2522</Words>
  <Characters>14380</Characters>
  <Application>Microsoft Office Word</Application>
  <DocSecurity>0</DocSecurity>
  <Lines>119</Lines>
  <Paragraphs>33</Paragraphs>
  <ScaleCrop>false</ScaleCrop>
  <Company/>
  <LinksUpToDate>false</LinksUpToDate>
  <CharactersWithSpaces>16869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49/19</dc:title>
  <dc:creator/>
  <cp:lastModifiedBy/>
  <cp:revision>1</cp:revision>
  <dcterms:created xsi:type="dcterms:W3CDTF">2019-06-24T18:37:00Z</dcterms:created>
  <dcterms:modified xsi:type="dcterms:W3CDTF">2019-06-24T18:37:00Z</dcterms:modified>
</cp:coreProperties>
</file>