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667CC3" w:rsidRDefault="006311DA" w:rsidP="00627C9F">
      <w:pPr>
        <w:jc w:val="both"/>
        <w:rPr>
          <w:rFonts w:asciiTheme="majorHAnsi" w:hAnsiTheme="majorHAnsi" w:cs="Univers"/>
          <w:b/>
          <w:bCs/>
          <w:sz w:val="22"/>
          <w:szCs w:val="22"/>
        </w:rPr>
      </w:pPr>
      <w:bookmarkStart w:id="0" w:name="_GoBack"/>
      <w:bookmarkEnd w:id="0"/>
      <w:r w:rsidRPr="00667CC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CC0F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667CC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667CC3" w:rsidRDefault="00040C3A" w:rsidP="00040C3A">
      <w:pPr>
        <w:tabs>
          <w:tab w:val="center" w:pos="5400"/>
        </w:tabs>
        <w:suppressAutoHyphens/>
        <w:jc w:val="both"/>
        <w:rPr>
          <w:rFonts w:asciiTheme="majorHAnsi" w:hAnsiTheme="majorHAnsi"/>
          <w:sz w:val="22"/>
          <w:szCs w:val="22"/>
        </w:rPr>
      </w:pPr>
    </w:p>
    <w:p w14:paraId="513C008C" w14:textId="77777777" w:rsidR="00040C3A" w:rsidRPr="00667CC3" w:rsidRDefault="00040C3A" w:rsidP="00040C3A">
      <w:pPr>
        <w:tabs>
          <w:tab w:val="center" w:pos="5400"/>
        </w:tabs>
        <w:suppressAutoHyphens/>
        <w:jc w:val="both"/>
        <w:rPr>
          <w:rFonts w:asciiTheme="majorHAnsi" w:hAnsiTheme="majorHAnsi"/>
          <w:sz w:val="22"/>
          <w:szCs w:val="22"/>
        </w:rPr>
      </w:pPr>
    </w:p>
    <w:p w14:paraId="05EDDB39" w14:textId="77777777" w:rsidR="005128E4" w:rsidRPr="00667CC3" w:rsidRDefault="005128E4" w:rsidP="00040C3A">
      <w:pPr>
        <w:tabs>
          <w:tab w:val="center" w:pos="5400"/>
        </w:tabs>
        <w:suppressAutoHyphens/>
        <w:rPr>
          <w:rFonts w:asciiTheme="majorHAnsi" w:hAnsiTheme="majorHAnsi"/>
          <w:sz w:val="22"/>
          <w:szCs w:val="22"/>
        </w:rPr>
      </w:pPr>
    </w:p>
    <w:p w14:paraId="10FFBD73" w14:textId="77777777" w:rsidR="005128E4" w:rsidRPr="00667CC3" w:rsidRDefault="005128E4" w:rsidP="00040C3A">
      <w:pPr>
        <w:tabs>
          <w:tab w:val="center" w:pos="5400"/>
        </w:tabs>
        <w:suppressAutoHyphens/>
        <w:rPr>
          <w:rFonts w:asciiTheme="majorHAnsi" w:hAnsiTheme="majorHAnsi"/>
          <w:sz w:val="22"/>
          <w:szCs w:val="22"/>
        </w:rPr>
      </w:pPr>
    </w:p>
    <w:p w14:paraId="3E13B0E8" w14:textId="77777777" w:rsidR="005128E4" w:rsidRPr="00667CC3" w:rsidRDefault="005128E4" w:rsidP="00040C3A">
      <w:pPr>
        <w:tabs>
          <w:tab w:val="center" w:pos="5400"/>
        </w:tabs>
        <w:suppressAutoHyphens/>
        <w:rPr>
          <w:rFonts w:asciiTheme="majorHAnsi" w:hAnsiTheme="majorHAnsi"/>
          <w:sz w:val="22"/>
          <w:szCs w:val="22"/>
        </w:rPr>
      </w:pPr>
    </w:p>
    <w:p w14:paraId="14767CBD" w14:textId="77777777" w:rsidR="00040C3A" w:rsidRPr="00667CC3" w:rsidRDefault="00040C3A" w:rsidP="005128E4">
      <w:pPr>
        <w:tabs>
          <w:tab w:val="center" w:pos="5400"/>
        </w:tabs>
        <w:suppressAutoHyphens/>
        <w:jc w:val="center"/>
        <w:rPr>
          <w:rFonts w:asciiTheme="majorHAnsi" w:hAnsiTheme="majorHAnsi"/>
          <w:sz w:val="22"/>
          <w:szCs w:val="22"/>
        </w:rPr>
      </w:pPr>
    </w:p>
    <w:p w14:paraId="209C2AF0" w14:textId="77777777" w:rsidR="00040C3A" w:rsidRPr="00667CC3" w:rsidRDefault="00040C3A" w:rsidP="005128E4">
      <w:pPr>
        <w:tabs>
          <w:tab w:val="center" w:pos="5400"/>
        </w:tabs>
        <w:suppressAutoHyphens/>
        <w:jc w:val="center"/>
        <w:rPr>
          <w:rFonts w:asciiTheme="majorHAnsi" w:hAnsiTheme="majorHAnsi"/>
          <w:sz w:val="22"/>
          <w:szCs w:val="22"/>
        </w:rPr>
      </w:pPr>
    </w:p>
    <w:p w14:paraId="22280F95" w14:textId="77777777" w:rsidR="005B52B0" w:rsidRPr="00667CC3" w:rsidRDefault="005B52B0" w:rsidP="005128E4">
      <w:pPr>
        <w:tabs>
          <w:tab w:val="center" w:pos="5400"/>
        </w:tabs>
        <w:suppressAutoHyphens/>
        <w:jc w:val="center"/>
        <w:rPr>
          <w:rFonts w:asciiTheme="majorHAnsi" w:hAnsiTheme="majorHAnsi"/>
          <w:sz w:val="22"/>
          <w:szCs w:val="22"/>
        </w:rPr>
      </w:pPr>
    </w:p>
    <w:p w14:paraId="75EA8B29" w14:textId="77777777" w:rsidR="005B52B0" w:rsidRPr="00667CC3" w:rsidRDefault="005B52B0" w:rsidP="005128E4">
      <w:pPr>
        <w:tabs>
          <w:tab w:val="center" w:pos="5400"/>
        </w:tabs>
        <w:suppressAutoHyphens/>
        <w:jc w:val="center"/>
        <w:rPr>
          <w:rFonts w:asciiTheme="majorHAnsi" w:hAnsiTheme="majorHAnsi"/>
          <w:sz w:val="22"/>
          <w:szCs w:val="22"/>
        </w:rPr>
      </w:pPr>
    </w:p>
    <w:p w14:paraId="41E9A166" w14:textId="77777777" w:rsidR="005B52B0" w:rsidRPr="00667CC3" w:rsidRDefault="005B52B0" w:rsidP="005128E4">
      <w:pPr>
        <w:tabs>
          <w:tab w:val="center" w:pos="5400"/>
        </w:tabs>
        <w:suppressAutoHyphens/>
        <w:jc w:val="center"/>
        <w:rPr>
          <w:rFonts w:asciiTheme="majorHAnsi" w:hAnsiTheme="majorHAnsi"/>
          <w:sz w:val="22"/>
          <w:szCs w:val="22"/>
        </w:rPr>
      </w:pPr>
    </w:p>
    <w:p w14:paraId="3AE1A97C" w14:textId="77777777" w:rsidR="00040C3A" w:rsidRPr="00667CC3" w:rsidRDefault="00040C3A" w:rsidP="00040C3A">
      <w:pPr>
        <w:tabs>
          <w:tab w:val="center" w:pos="5400"/>
        </w:tabs>
        <w:suppressAutoHyphens/>
        <w:jc w:val="center"/>
        <w:rPr>
          <w:rFonts w:asciiTheme="majorHAnsi" w:hAnsiTheme="majorHAnsi"/>
          <w:sz w:val="22"/>
          <w:szCs w:val="22"/>
        </w:rPr>
      </w:pPr>
    </w:p>
    <w:p w14:paraId="7E2FD54E" w14:textId="77777777" w:rsidR="00040C3A" w:rsidRPr="00667CC3" w:rsidRDefault="00040C3A" w:rsidP="00040C3A">
      <w:pPr>
        <w:tabs>
          <w:tab w:val="center" w:pos="5400"/>
        </w:tabs>
        <w:suppressAutoHyphens/>
        <w:jc w:val="center"/>
        <w:rPr>
          <w:rFonts w:asciiTheme="majorHAnsi" w:hAnsiTheme="majorHAnsi"/>
          <w:sz w:val="22"/>
          <w:szCs w:val="22"/>
        </w:rPr>
      </w:pPr>
    </w:p>
    <w:p w14:paraId="0C171AAF" w14:textId="77777777" w:rsidR="00040C3A" w:rsidRPr="00667CC3" w:rsidRDefault="00040C3A" w:rsidP="00040C3A">
      <w:pPr>
        <w:tabs>
          <w:tab w:val="center" w:pos="5400"/>
        </w:tabs>
        <w:suppressAutoHyphens/>
        <w:jc w:val="center"/>
        <w:rPr>
          <w:rFonts w:asciiTheme="majorHAnsi" w:hAnsiTheme="majorHAnsi"/>
          <w:sz w:val="22"/>
          <w:szCs w:val="22"/>
        </w:rPr>
      </w:pPr>
    </w:p>
    <w:p w14:paraId="6D675D19" w14:textId="77777777" w:rsidR="00040C3A" w:rsidRPr="00667CC3" w:rsidRDefault="00E533FF" w:rsidP="00040C3A">
      <w:pPr>
        <w:tabs>
          <w:tab w:val="center" w:pos="5400"/>
        </w:tabs>
        <w:suppressAutoHyphens/>
        <w:jc w:val="center"/>
        <w:rPr>
          <w:rFonts w:asciiTheme="majorHAnsi" w:hAnsiTheme="majorHAnsi"/>
          <w:sz w:val="22"/>
          <w:szCs w:val="22"/>
        </w:rPr>
      </w:pPr>
      <w:r w:rsidRPr="00667CC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48364" w14:textId="5CA93017" w:rsidR="007C605F" w:rsidRPr="004B7EB6" w:rsidRDefault="007C605F" w:rsidP="007C605F">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B062FC">
                              <w:rPr>
                                <w:rFonts w:asciiTheme="majorHAnsi" w:hAnsiTheme="majorHAnsi" w:cs="Arial"/>
                                <w:b/>
                                <w:bCs/>
                                <w:color w:val="0D0D0D" w:themeColor="text1" w:themeTint="F2"/>
                                <w:sz w:val="36"/>
                                <w:szCs w:val="40"/>
                              </w:rPr>
                              <w:t>187</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7F014A06" w14:textId="77777777" w:rsidR="007C605F" w:rsidRPr="004B7EB6" w:rsidRDefault="007C605F" w:rsidP="007C605F">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1013-11</w:t>
                            </w:r>
                          </w:p>
                          <w:p w14:paraId="6F81B8F2" w14:textId="77777777" w:rsidR="007C605F" w:rsidRPr="004B7EB6" w:rsidRDefault="007C605F" w:rsidP="007C605F">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5EA103FD" w14:textId="77777777" w:rsidR="007C605F" w:rsidRPr="004B7EB6" w:rsidRDefault="007C605F" w:rsidP="007C605F">
                            <w:pPr>
                              <w:spacing w:line="276" w:lineRule="auto"/>
                              <w:rPr>
                                <w:rFonts w:asciiTheme="majorHAnsi" w:hAnsiTheme="majorHAnsi" w:cs="Arial"/>
                                <w:color w:val="0D0D0D" w:themeColor="text1" w:themeTint="F2"/>
                                <w:szCs w:val="22"/>
                              </w:rPr>
                            </w:pPr>
                          </w:p>
                          <w:p w14:paraId="6222E649" w14:textId="77777777" w:rsidR="007C605F" w:rsidRPr="004B625D" w:rsidRDefault="007C605F" w:rsidP="007C605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VÍCTOR LUIS PADILLA TEJADA</w:t>
                            </w:r>
                          </w:p>
                          <w:p w14:paraId="6FE97581" w14:textId="77777777" w:rsidR="007C605F" w:rsidRPr="004B625D" w:rsidRDefault="007C605F" w:rsidP="007C605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6A4DC0C9" w14:textId="77777777" w:rsidR="007C605F" w:rsidRPr="000C4365" w:rsidRDefault="007C605F" w:rsidP="007C605F">
                            <w:pPr>
                              <w:spacing w:line="276" w:lineRule="auto"/>
                              <w:rPr>
                                <w:rFonts w:asciiTheme="majorHAnsi" w:hAnsiTheme="majorHAnsi"/>
                                <w:color w:val="0D0D0D" w:themeColor="text1" w:themeTint="F2"/>
                              </w:rPr>
                            </w:pPr>
                          </w:p>
                          <w:p w14:paraId="67476ECA" w14:textId="5FA62CE0" w:rsidR="005B52B0" w:rsidRPr="000C4365" w:rsidRDefault="005B52B0" w:rsidP="00261E08">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05148364" w14:textId="5CA93017" w:rsidR="007C605F" w:rsidRPr="004B7EB6" w:rsidRDefault="007C605F" w:rsidP="007C605F">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B062FC">
                        <w:rPr>
                          <w:rFonts w:asciiTheme="majorHAnsi" w:hAnsiTheme="majorHAnsi" w:cs="Arial"/>
                          <w:b/>
                          <w:bCs/>
                          <w:color w:val="0D0D0D" w:themeColor="text1" w:themeTint="F2"/>
                          <w:sz w:val="36"/>
                          <w:szCs w:val="40"/>
                        </w:rPr>
                        <w:t>187</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7F014A06" w14:textId="77777777" w:rsidR="007C605F" w:rsidRPr="004B7EB6" w:rsidRDefault="007C605F" w:rsidP="007C605F">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1013-11</w:t>
                      </w:r>
                    </w:p>
                    <w:p w14:paraId="6F81B8F2" w14:textId="77777777" w:rsidR="007C605F" w:rsidRPr="004B7EB6" w:rsidRDefault="007C605F" w:rsidP="007C605F">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5EA103FD" w14:textId="77777777" w:rsidR="007C605F" w:rsidRPr="004B7EB6" w:rsidRDefault="007C605F" w:rsidP="007C605F">
                      <w:pPr>
                        <w:spacing w:line="276" w:lineRule="auto"/>
                        <w:rPr>
                          <w:rFonts w:asciiTheme="majorHAnsi" w:hAnsiTheme="majorHAnsi" w:cs="Arial"/>
                          <w:color w:val="0D0D0D" w:themeColor="text1" w:themeTint="F2"/>
                          <w:szCs w:val="22"/>
                        </w:rPr>
                      </w:pPr>
                    </w:p>
                    <w:p w14:paraId="6222E649" w14:textId="77777777" w:rsidR="007C605F" w:rsidRPr="004B625D" w:rsidRDefault="007C605F" w:rsidP="007C605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VÍCTOR LUIS PADILLA TEJADA</w:t>
                      </w:r>
                    </w:p>
                    <w:p w14:paraId="6FE97581" w14:textId="77777777" w:rsidR="007C605F" w:rsidRPr="004B625D" w:rsidRDefault="007C605F" w:rsidP="007C605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6A4DC0C9" w14:textId="77777777" w:rsidR="007C605F" w:rsidRPr="000C4365" w:rsidRDefault="007C605F" w:rsidP="007C605F">
                      <w:pPr>
                        <w:spacing w:line="276" w:lineRule="auto"/>
                        <w:rPr>
                          <w:rFonts w:asciiTheme="majorHAnsi" w:hAnsiTheme="majorHAnsi"/>
                          <w:color w:val="0D0D0D" w:themeColor="text1" w:themeTint="F2"/>
                        </w:rPr>
                      </w:pPr>
                    </w:p>
                    <w:p w14:paraId="67476ECA" w14:textId="5FA62CE0" w:rsidR="005B52B0" w:rsidRPr="000C4365" w:rsidRDefault="005B52B0" w:rsidP="00261E08">
                      <w:pPr>
                        <w:spacing w:line="276" w:lineRule="auto"/>
                        <w:rPr>
                          <w:rFonts w:asciiTheme="majorHAnsi" w:hAnsiTheme="majorHAnsi"/>
                          <w:color w:val="0D0D0D" w:themeColor="text1" w:themeTint="F2"/>
                        </w:rPr>
                      </w:pPr>
                    </w:p>
                  </w:txbxContent>
                </v:textbox>
              </v:shape>
            </w:pict>
          </mc:Fallback>
        </mc:AlternateContent>
      </w:r>
      <w:r w:rsidR="004B7EB6" w:rsidRPr="00667CC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063BAD1F" w:rsidR="00627C9F" w:rsidRPr="00B062FC"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2B86BB36" w14:textId="091C1B2F" w:rsidR="00627C9F" w:rsidRPr="00B062FC" w:rsidRDefault="00CA6577" w:rsidP="009E566A">
                            <w:pPr>
                              <w:jc w:val="right"/>
                              <w:rPr>
                                <w:rFonts w:asciiTheme="minorHAnsi" w:hAnsiTheme="minorHAnsi"/>
                                <w:color w:val="FFFFFF" w:themeColor="background1"/>
                                <w:sz w:val="22"/>
                                <w:lang w:val="pt-BR"/>
                              </w:rPr>
                            </w:pPr>
                            <w:r w:rsidRPr="00B062FC">
                              <w:rPr>
                                <w:rFonts w:asciiTheme="minorHAnsi" w:hAnsiTheme="minorHAnsi"/>
                                <w:color w:val="FFFFFF" w:themeColor="background1"/>
                                <w:sz w:val="22"/>
                                <w:lang w:val="pt-BR"/>
                              </w:rPr>
                              <w:t xml:space="preserve">Doc. </w:t>
                            </w:r>
                            <w:r w:rsidR="00B062FC">
                              <w:rPr>
                                <w:rFonts w:asciiTheme="minorHAnsi" w:hAnsiTheme="minorHAnsi"/>
                                <w:color w:val="FFFFFF" w:themeColor="background1"/>
                                <w:sz w:val="22"/>
                                <w:lang w:val="pt-BR"/>
                              </w:rPr>
                              <w:t>209</w:t>
                            </w:r>
                          </w:p>
                          <w:p w14:paraId="6AC8D657" w14:textId="69C3DC26" w:rsidR="00627C9F" w:rsidRPr="00B062FC" w:rsidRDefault="00B062FC" w:rsidP="009E566A">
                            <w:pPr>
                              <w:jc w:val="right"/>
                              <w:rPr>
                                <w:rFonts w:asciiTheme="minorHAnsi" w:hAnsiTheme="minorHAnsi"/>
                                <w:color w:val="FFFFFF" w:themeColor="background1"/>
                                <w:sz w:val="22"/>
                              </w:rPr>
                            </w:pPr>
                            <w:r>
                              <w:rPr>
                                <w:rFonts w:asciiTheme="minorHAnsi" w:hAnsiTheme="minorHAnsi"/>
                                <w:color w:val="FFFFFF" w:themeColor="background1"/>
                                <w:sz w:val="22"/>
                              </w:rPr>
                              <w:t>5 December</w:t>
                            </w:r>
                            <w:r w:rsidR="000C4365" w:rsidRPr="00B062FC">
                              <w:rPr>
                                <w:rFonts w:asciiTheme="minorHAnsi" w:hAnsiTheme="minorHAnsi"/>
                                <w:color w:val="FFFFFF" w:themeColor="background1"/>
                                <w:sz w:val="22"/>
                              </w:rPr>
                              <w:t xml:space="preserve"> </w:t>
                            </w:r>
                            <w:r w:rsidR="00F42B71" w:rsidRPr="00B062FC">
                              <w:rPr>
                                <w:rFonts w:asciiTheme="minorHAnsi" w:hAnsiTheme="minorHAnsi"/>
                                <w:color w:val="FFFFFF" w:themeColor="background1"/>
                                <w:sz w:val="22"/>
                              </w:rPr>
                              <w:t>2</w:t>
                            </w:r>
                            <w:r w:rsidR="007C605F" w:rsidRPr="00B062FC">
                              <w:rPr>
                                <w:rFonts w:asciiTheme="minorHAnsi" w:hAnsiTheme="minorHAnsi"/>
                                <w:color w:val="FFFFFF" w:themeColor="background1"/>
                                <w:sz w:val="22"/>
                              </w:rPr>
                              <w:t>019</w:t>
                            </w:r>
                          </w:p>
                          <w:p w14:paraId="35D3ABA3" w14:textId="4D5A616E" w:rsidR="00627C9F" w:rsidRPr="004B7EB6" w:rsidRDefault="00627C9F" w:rsidP="009E566A">
                            <w:pPr>
                              <w:jc w:val="right"/>
                              <w:rPr>
                                <w:rFonts w:asciiTheme="minorHAnsi" w:hAnsiTheme="minorHAnsi"/>
                                <w:color w:val="FFFFFF" w:themeColor="background1"/>
                                <w:sz w:val="22"/>
                              </w:rPr>
                            </w:pPr>
                            <w:r w:rsidRPr="00B062FC">
                              <w:rPr>
                                <w:rFonts w:asciiTheme="minorHAnsi" w:hAnsiTheme="minorHAnsi"/>
                                <w:color w:val="FFFFFF" w:themeColor="background1"/>
                                <w:sz w:val="22"/>
                              </w:rPr>
                              <w:t>Original:</w:t>
                            </w:r>
                            <w:r w:rsidR="002C1641" w:rsidRPr="00B062FC">
                              <w:rPr>
                                <w:rFonts w:asciiTheme="minorHAnsi" w:hAnsiTheme="minorHAnsi"/>
                                <w:color w:val="FFFFFF" w:themeColor="background1"/>
                                <w:sz w:val="22"/>
                              </w:rPr>
                              <w:t xml:space="preserve"> </w:t>
                            </w:r>
                            <w:r w:rsidR="00F42B71" w:rsidRPr="00B062F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063BAD1F" w:rsidR="00627C9F" w:rsidRPr="00B062FC"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2B86BB36" w14:textId="091C1B2F" w:rsidR="00627C9F" w:rsidRPr="00B062FC" w:rsidRDefault="00CA6577" w:rsidP="009E566A">
                      <w:pPr>
                        <w:jc w:val="right"/>
                        <w:rPr>
                          <w:rFonts w:asciiTheme="minorHAnsi" w:hAnsiTheme="minorHAnsi"/>
                          <w:color w:val="FFFFFF" w:themeColor="background1"/>
                          <w:sz w:val="22"/>
                          <w:lang w:val="pt-BR"/>
                        </w:rPr>
                      </w:pPr>
                      <w:r w:rsidRPr="00B062FC">
                        <w:rPr>
                          <w:rFonts w:asciiTheme="minorHAnsi" w:hAnsiTheme="minorHAnsi"/>
                          <w:color w:val="FFFFFF" w:themeColor="background1"/>
                          <w:sz w:val="22"/>
                          <w:lang w:val="pt-BR"/>
                        </w:rPr>
                        <w:t xml:space="preserve">Doc. </w:t>
                      </w:r>
                      <w:r w:rsidR="00B062FC">
                        <w:rPr>
                          <w:rFonts w:asciiTheme="minorHAnsi" w:hAnsiTheme="minorHAnsi"/>
                          <w:color w:val="FFFFFF" w:themeColor="background1"/>
                          <w:sz w:val="22"/>
                          <w:lang w:val="pt-BR"/>
                        </w:rPr>
                        <w:t>209</w:t>
                      </w:r>
                    </w:p>
                    <w:p w14:paraId="6AC8D657" w14:textId="69C3DC26" w:rsidR="00627C9F" w:rsidRPr="00B062FC" w:rsidRDefault="00B062FC" w:rsidP="009E566A">
                      <w:pPr>
                        <w:jc w:val="right"/>
                        <w:rPr>
                          <w:rFonts w:asciiTheme="minorHAnsi" w:hAnsiTheme="minorHAnsi"/>
                          <w:color w:val="FFFFFF" w:themeColor="background1"/>
                          <w:sz w:val="22"/>
                        </w:rPr>
                      </w:pPr>
                      <w:r>
                        <w:rPr>
                          <w:rFonts w:asciiTheme="minorHAnsi" w:hAnsiTheme="minorHAnsi"/>
                          <w:color w:val="FFFFFF" w:themeColor="background1"/>
                          <w:sz w:val="22"/>
                        </w:rPr>
                        <w:t>5 December</w:t>
                      </w:r>
                      <w:r w:rsidR="000C4365" w:rsidRPr="00B062FC">
                        <w:rPr>
                          <w:rFonts w:asciiTheme="minorHAnsi" w:hAnsiTheme="minorHAnsi"/>
                          <w:color w:val="FFFFFF" w:themeColor="background1"/>
                          <w:sz w:val="22"/>
                        </w:rPr>
                        <w:t xml:space="preserve"> </w:t>
                      </w:r>
                      <w:r w:rsidR="00F42B71" w:rsidRPr="00B062FC">
                        <w:rPr>
                          <w:rFonts w:asciiTheme="minorHAnsi" w:hAnsiTheme="minorHAnsi"/>
                          <w:color w:val="FFFFFF" w:themeColor="background1"/>
                          <w:sz w:val="22"/>
                        </w:rPr>
                        <w:t>2</w:t>
                      </w:r>
                      <w:r w:rsidR="007C605F" w:rsidRPr="00B062FC">
                        <w:rPr>
                          <w:rFonts w:asciiTheme="minorHAnsi" w:hAnsiTheme="minorHAnsi"/>
                          <w:color w:val="FFFFFF" w:themeColor="background1"/>
                          <w:sz w:val="22"/>
                        </w:rPr>
                        <w:t>019</w:t>
                      </w:r>
                    </w:p>
                    <w:p w14:paraId="35D3ABA3" w14:textId="4D5A616E" w:rsidR="00627C9F" w:rsidRPr="004B7EB6" w:rsidRDefault="00627C9F" w:rsidP="009E566A">
                      <w:pPr>
                        <w:jc w:val="right"/>
                        <w:rPr>
                          <w:rFonts w:asciiTheme="minorHAnsi" w:hAnsiTheme="minorHAnsi"/>
                          <w:color w:val="FFFFFF" w:themeColor="background1"/>
                          <w:sz w:val="22"/>
                        </w:rPr>
                      </w:pPr>
                      <w:r w:rsidRPr="00B062FC">
                        <w:rPr>
                          <w:rFonts w:asciiTheme="minorHAnsi" w:hAnsiTheme="minorHAnsi"/>
                          <w:color w:val="FFFFFF" w:themeColor="background1"/>
                          <w:sz w:val="22"/>
                        </w:rPr>
                        <w:t>Original:</w:t>
                      </w:r>
                      <w:r w:rsidR="002C1641" w:rsidRPr="00B062FC">
                        <w:rPr>
                          <w:rFonts w:asciiTheme="minorHAnsi" w:hAnsiTheme="minorHAnsi"/>
                          <w:color w:val="FFFFFF" w:themeColor="background1"/>
                          <w:sz w:val="22"/>
                        </w:rPr>
                        <w:t xml:space="preserve"> </w:t>
                      </w:r>
                      <w:r w:rsidR="00F42B71" w:rsidRPr="00B062FC">
                        <w:rPr>
                          <w:rFonts w:asciiTheme="minorHAnsi" w:hAnsiTheme="minorHAnsi"/>
                          <w:color w:val="FFFFFF" w:themeColor="background1"/>
                          <w:sz w:val="22"/>
                        </w:rPr>
                        <w:t>Spanish</w:t>
                      </w:r>
                    </w:p>
                  </w:txbxContent>
                </v:textbox>
              </v:shape>
            </w:pict>
          </mc:Fallback>
        </mc:AlternateContent>
      </w:r>
    </w:p>
    <w:p w14:paraId="316B8AC2" w14:textId="77777777" w:rsidR="00040C3A" w:rsidRPr="00667CC3" w:rsidRDefault="00040C3A" w:rsidP="00040C3A">
      <w:pPr>
        <w:tabs>
          <w:tab w:val="center" w:pos="5400"/>
        </w:tabs>
        <w:suppressAutoHyphens/>
        <w:jc w:val="center"/>
        <w:rPr>
          <w:rFonts w:asciiTheme="majorHAnsi" w:hAnsiTheme="majorHAnsi"/>
          <w:sz w:val="22"/>
          <w:szCs w:val="22"/>
        </w:rPr>
      </w:pPr>
    </w:p>
    <w:p w14:paraId="05B705ED" w14:textId="77777777" w:rsidR="00040C3A" w:rsidRPr="00667CC3" w:rsidRDefault="00040C3A" w:rsidP="00040C3A">
      <w:pPr>
        <w:tabs>
          <w:tab w:val="center" w:pos="5400"/>
        </w:tabs>
        <w:suppressAutoHyphens/>
        <w:jc w:val="center"/>
        <w:rPr>
          <w:rFonts w:asciiTheme="majorHAnsi" w:hAnsiTheme="majorHAnsi" w:cs="Arial"/>
          <w:sz w:val="22"/>
          <w:szCs w:val="22"/>
        </w:rPr>
      </w:pPr>
    </w:p>
    <w:p w14:paraId="596B1995" w14:textId="77777777" w:rsidR="00040C3A" w:rsidRPr="00667CC3" w:rsidRDefault="00040C3A" w:rsidP="00040C3A">
      <w:pPr>
        <w:tabs>
          <w:tab w:val="center" w:pos="5400"/>
        </w:tabs>
        <w:suppressAutoHyphens/>
        <w:jc w:val="center"/>
        <w:rPr>
          <w:rFonts w:asciiTheme="majorHAnsi" w:hAnsiTheme="majorHAnsi"/>
          <w:sz w:val="22"/>
          <w:szCs w:val="22"/>
        </w:rPr>
      </w:pPr>
    </w:p>
    <w:p w14:paraId="7CC143B7" w14:textId="77777777" w:rsidR="00040C3A" w:rsidRPr="00667CC3" w:rsidRDefault="00040C3A" w:rsidP="00040C3A">
      <w:pPr>
        <w:tabs>
          <w:tab w:val="center" w:pos="5400"/>
        </w:tabs>
        <w:suppressAutoHyphens/>
        <w:jc w:val="center"/>
        <w:rPr>
          <w:rFonts w:asciiTheme="majorHAnsi" w:hAnsiTheme="majorHAnsi"/>
          <w:sz w:val="22"/>
          <w:szCs w:val="22"/>
        </w:rPr>
      </w:pPr>
    </w:p>
    <w:p w14:paraId="1D4FB47A" w14:textId="77777777" w:rsidR="00040C3A" w:rsidRPr="00667CC3" w:rsidRDefault="00040C3A" w:rsidP="00040C3A">
      <w:pPr>
        <w:tabs>
          <w:tab w:val="center" w:pos="5400"/>
        </w:tabs>
        <w:suppressAutoHyphens/>
        <w:jc w:val="center"/>
        <w:rPr>
          <w:rFonts w:asciiTheme="majorHAnsi" w:hAnsiTheme="majorHAnsi"/>
          <w:sz w:val="22"/>
          <w:szCs w:val="22"/>
        </w:rPr>
      </w:pPr>
    </w:p>
    <w:p w14:paraId="15CB5C81" w14:textId="77777777" w:rsidR="00040C3A" w:rsidRPr="00667CC3" w:rsidRDefault="00040C3A" w:rsidP="00040C3A">
      <w:pPr>
        <w:tabs>
          <w:tab w:val="center" w:pos="5400"/>
        </w:tabs>
        <w:suppressAutoHyphens/>
        <w:jc w:val="center"/>
        <w:rPr>
          <w:rFonts w:asciiTheme="majorHAnsi" w:hAnsiTheme="majorHAnsi"/>
          <w:sz w:val="22"/>
          <w:szCs w:val="22"/>
        </w:rPr>
      </w:pPr>
    </w:p>
    <w:p w14:paraId="35A86C79" w14:textId="77777777" w:rsidR="005128E4" w:rsidRPr="00667CC3" w:rsidRDefault="005128E4" w:rsidP="00040C3A">
      <w:pPr>
        <w:tabs>
          <w:tab w:val="center" w:pos="5400"/>
        </w:tabs>
        <w:suppressAutoHyphens/>
        <w:jc w:val="center"/>
        <w:rPr>
          <w:rFonts w:asciiTheme="majorHAnsi" w:hAnsiTheme="majorHAnsi"/>
          <w:sz w:val="22"/>
          <w:szCs w:val="22"/>
        </w:rPr>
      </w:pPr>
    </w:p>
    <w:p w14:paraId="19562CDC" w14:textId="77777777" w:rsidR="00040C3A" w:rsidRPr="00667CC3" w:rsidRDefault="00040C3A" w:rsidP="00040C3A">
      <w:pPr>
        <w:tabs>
          <w:tab w:val="center" w:pos="5400"/>
        </w:tabs>
        <w:suppressAutoHyphens/>
        <w:jc w:val="center"/>
        <w:rPr>
          <w:rFonts w:asciiTheme="majorHAnsi" w:hAnsiTheme="majorHAnsi"/>
          <w:sz w:val="22"/>
          <w:szCs w:val="22"/>
        </w:rPr>
      </w:pPr>
    </w:p>
    <w:p w14:paraId="1A03B1AA" w14:textId="77777777" w:rsidR="005128E4" w:rsidRPr="00667CC3" w:rsidRDefault="005128E4" w:rsidP="00040C3A">
      <w:pPr>
        <w:tabs>
          <w:tab w:val="center" w:pos="5400"/>
        </w:tabs>
        <w:suppressAutoHyphens/>
        <w:jc w:val="center"/>
        <w:rPr>
          <w:rFonts w:asciiTheme="majorHAnsi" w:hAnsiTheme="majorHAnsi"/>
          <w:sz w:val="22"/>
          <w:szCs w:val="22"/>
        </w:rPr>
      </w:pPr>
    </w:p>
    <w:p w14:paraId="1AC39403" w14:textId="77777777" w:rsidR="005128E4" w:rsidRPr="00667CC3" w:rsidRDefault="005128E4" w:rsidP="00040C3A">
      <w:pPr>
        <w:tabs>
          <w:tab w:val="center" w:pos="5400"/>
        </w:tabs>
        <w:suppressAutoHyphens/>
        <w:jc w:val="center"/>
        <w:rPr>
          <w:rFonts w:asciiTheme="majorHAnsi" w:hAnsiTheme="majorHAnsi"/>
          <w:sz w:val="22"/>
          <w:szCs w:val="22"/>
        </w:rPr>
      </w:pPr>
    </w:p>
    <w:p w14:paraId="5C11F4FB" w14:textId="77777777" w:rsidR="005128E4" w:rsidRPr="00667CC3" w:rsidRDefault="005128E4" w:rsidP="00040C3A">
      <w:pPr>
        <w:tabs>
          <w:tab w:val="center" w:pos="5400"/>
        </w:tabs>
        <w:suppressAutoHyphens/>
        <w:jc w:val="center"/>
        <w:rPr>
          <w:rFonts w:asciiTheme="majorHAnsi" w:hAnsiTheme="majorHAnsi"/>
          <w:sz w:val="22"/>
          <w:szCs w:val="22"/>
        </w:rPr>
      </w:pPr>
    </w:p>
    <w:p w14:paraId="37F01C5F" w14:textId="77777777" w:rsidR="00040C3A" w:rsidRPr="00667CC3" w:rsidRDefault="00040C3A" w:rsidP="00040C3A">
      <w:pPr>
        <w:tabs>
          <w:tab w:val="center" w:pos="5400"/>
        </w:tabs>
        <w:suppressAutoHyphens/>
        <w:jc w:val="center"/>
        <w:rPr>
          <w:rFonts w:asciiTheme="majorHAnsi" w:hAnsiTheme="majorHAnsi"/>
          <w:sz w:val="22"/>
          <w:szCs w:val="22"/>
        </w:rPr>
      </w:pPr>
    </w:p>
    <w:p w14:paraId="117D4487" w14:textId="77777777" w:rsidR="00040C3A" w:rsidRPr="00667CC3" w:rsidRDefault="00040C3A" w:rsidP="00040C3A">
      <w:pPr>
        <w:tabs>
          <w:tab w:val="center" w:pos="5400"/>
        </w:tabs>
        <w:suppressAutoHyphens/>
        <w:jc w:val="center"/>
        <w:rPr>
          <w:rFonts w:asciiTheme="majorHAnsi" w:hAnsiTheme="majorHAnsi"/>
          <w:sz w:val="22"/>
          <w:szCs w:val="22"/>
        </w:rPr>
      </w:pPr>
    </w:p>
    <w:p w14:paraId="0DBAA49F" w14:textId="77777777" w:rsidR="002C1641" w:rsidRPr="00667CC3" w:rsidRDefault="002C1641" w:rsidP="00040C3A">
      <w:pPr>
        <w:tabs>
          <w:tab w:val="center" w:pos="5400"/>
        </w:tabs>
        <w:suppressAutoHyphens/>
        <w:jc w:val="center"/>
        <w:rPr>
          <w:rFonts w:asciiTheme="majorHAnsi" w:hAnsiTheme="majorHAnsi"/>
          <w:sz w:val="18"/>
          <w:szCs w:val="22"/>
        </w:rPr>
      </w:pPr>
    </w:p>
    <w:p w14:paraId="4C4A165E" w14:textId="77777777" w:rsidR="002C1641" w:rsidRPr="00667CC3" w:rsidRDefault="002C1641" w:rsidP="00040C3A">
      <w:pPr>
        <w:tabs>
          <w:tab w:val="center" w:pos="5400"/>
        </w:tabs>
        <w:suppressAutoHyphens/>
        <w:jc w:val="center"/>
        <w:rPr>
          <w:rFonts w:asciiTheme="majorHAnsi" w:hAnsiTheme="majorHAnsi"/>
          <w:sz w:val="18"/>
          <w:szCs w:val="22"/>
        </w:rPr>
      </w:pPr>
    </w:p>
    <w:p w14:paraId="5148ED3D" w14:textId="77777777" w:rsidR="002C1641" w:rsidRPr="00667CC3" w:rsidRDefault="002C1641" w:rsidP="00040C3A">
      <w:pPr>
        <w:tabs>
          <w:tab w:val="center" w:pos="5400"/>
        </w:tabs>
        <w:suppressAutoHyphens/>
        <w:jc w:val="center"/>
        <w:rPr>
          <w:rFonts w:asciiTheme="majorHAnsi" w:hAnsiTheme="majorHAnsi"/>
          <w:sz w:val="18"/>
          <w:szCs w:val="22"/>
        </w:rPr>
      </w:pPr>
    </w:p>
    <w:p w14:paraId="75C215DF" w14:textId="77777777" w:rsidR="002C1641" w:rsidRPr="00667CC3" w:rsidRDefault="002C1641" w:rsidP="00040C3A">
      <w:pPr>
        <w:tabs>
          <w:tab w:val="center" w:pos="5400"/>
        </w:tabs>
        <w:suppressAutoHyphens/>
        <w:jc w:val="center"/>
        <w:rPr>
          <w:rFonts w:asciiTheme="majorHAnsi" w:hAnsiTheme="majorHAnsi"/>
          <w:sz w:val="18"/>
          <w:szCs w:val="22"/>
        </w:rPr>
      </w:pPr>
    </w:p>
    <w:p w14:paraId="31CE0E9D" w14:textId="77777777" w:rsidR="002C1641" w:rsidRPr="00667CC3" w:rsidRDefault="002C1641" w:rsidP="00040C3A">
      <w:pPr>
        <w:tabs>
          <w:tab w:val="center" w:pos="5400"/>
        </w:tabs>
        <w:suppressAutoHyphens/>
        <w:jc w:val="center"/>
        <w:rPr>
          <w:rFonts w:asciiTheme="majorHAnsi" w:hAnsiTheme="majorHAnsi"/>
          <w:sz w:val="18"/>
          <w:szCs w:val="22"/>
        </w:rPr>
      </w:pPr>
    </w:p>
    <w:p w14:paraId="49136797" w14:textId="77777777" w:rsidR="002C1641" w:rsidRPr="00667CC3" w:rsidRDefault="002C1641" w:rsidP="00040C3A">
      <w:pPr>
        <w:tabs>
          <w:tab w:val="center" w:pos="5400"/>
        </w:tabs>
        <w:suppressAutoHyphens/>
        <w:jc w:val="center"/>
        <w:rPr>
          <w:rFonts w:asciiTheme="majorHAnsi" w:hAnsiTheme="majorHAnsi"/>
          <w:sz w:val="18"/>
          <w:szCs w:val="22"/>
        </w:rPr>
      </w:pPr>
    </w:p>
    <w:p w14:paraId="0879DB6F" w14:textId="77777777" w:rsidR="002C1641" w:rsidRPr="00667CC3" w:rsidRDefault="002C1641" w:rsidP="00040C3A">
      <w:pPr>
        <w:tabs>
          <w:tab w:val="center" w:pos="5400"/>
        </w:tabs>
        <w:suppressAutoHyphens/>
        <w:jc w:val="center"/>
        <w:rPr>
          <w:rFonts w:asciiTheme="majorHAnsi" w:hAnsiTheme="majorHAnsi"/>
          <w:sz w:val="18"/>
          <w:szCs w:val="22"/>
        </w:rPr>
      </w:pPr>
    </w:p>
    <w:p w14:paraId="45E3E10E" w14:textId="77777777" w:rsidR="002C1641" w:rsidRPr="00667CC3" w:rsidRDefault="002C1641" w:rsidP="00040C3A">
      <w:pPr>
        <w:tabs>
          <w:tab w:val="center" w:pos="5400"/>
        </w:tabs>
        <w:suppressAutoHyphens/>
        <w:jc w:val="center"/>
        <w:rPr>
          <w:rFonts w:asciiTheme="majorHAnsi" w:hAnsiTheme="majorHAnsi"/>
          <w:sz w:val="18"/>
          <w:szCs w:val="22"/>
        </w:rPr>
      </w:pPr>
    </w:p>
    <w:p w14:paraId="523DA49C" w14:textId="77777777" w:rsidR="002C1641" w:rsidRPr="00667CC3" w:rsidRDefault="002C1641" w:rsidP="00040C3A">
      <w:pPr>
        <w:tabs>
          <w:tab w:val="center" w:pos="5400"/>
        </w:tabs>
        <w:suppressAutoHyphens/>
        <w:jc w:val="center"/>
        <w:rPr>
          <w:rFonts w:asciiTheme="majorHAnsi" w:hAnsiTheme="majorHAnsi"/>
          <w:sz w:val="18"/>
          <w:szCs w:val="22"/>
        </w:rPr>
      </w:pPr>
    </w:p>
    <w:p w14:paraId="21E0DC4D" w14:textId="77777777" w:rsidR="002C1641" w:rsidRPr="00667CC3" w:rsidRDefault="002C1641" w:rsidP="00040C3A">
      <w:pPr>
        <w:tabs>
          <w:tab w:val="center" w:pos="5400"/>
        </w:tabs>
        <w:suppressAutoHyphens/>
        <w:jc w:val="center"/>
        <w:rPr>
          <w:rFonts w:asciiTheme="majorHAnsi" w:hAnsiTheme="majorHAnsi"/>
          <w:sz w:val="18"/>
          <w:szCs w:val="22"/>
        </w:rPr>
      </w:pPr>
    </w:p>
    <w:p w14:paraId="4A703177" w14:textId="77777777" w:rsidR="002C1641" w:rsidRPr="00667CC3" w:rsidRDefault="002C1641" w:rsidP="00040C3A">
      <w:pPr>
        <w:tabs>
          <w:tab w:val="center" w:pos="5400"/>
        </w:tabs>
        <w:suppressAutoHyphens/>
        <w:jc w:val="center"/>
        <w:rPr>
          <w:rFonts w:asciiTheme="majorHAnsi" w:hAnsiTheme="majorHAnsi"/>
          <w:sz w:val="18"/>
          <w:szCs w:val="22"/>
        </w:rPr>
      </w:pPr>
    </w:p>
    <w:p w14:paraId="4D26849C" w14:textId="77777777" w:rsidR="002C1641" w:rsidRPr="00667CC3" w:rsidRDefault="002C1641" w:rsidP="00040C3A">
      <w:pPr>
        <w:tabs>
          <w:tab w:val="center" w:pos="5400"/>
        </w:tabs>
        <w:suppressAutoHyphens/>
        <w:jc w:val="center"/>
        <w:rPr>
          <w:rFonts w:asciiTheme="majorHAnsi" w:hAnsiTheme="majorHAnsi"/>
          <w:sz w:val="18"/>
          <w:szCs w:val="22"/>
        </w:rPr>
      </w:pPr>
    </w:p>
    <w:p w14:paraId="59BA4177" w14:textId="60A2BB5F" w:rsidR="002C1641" w:rsidRPr="00667CC3" w:rsidRDefault="009B306D" w:rsidP="00040C3A">
      <w:pPr>
        <w:tabs>
          <w:tab w:val="center" w:pos="5400"/>
        </w:tabs>
        <w:suppressAutoHyphens/>
        <w:jc w:val="center"/>
        <w:rPr>
          <w:rFonts w:asciiTheme="majorHAnsi" w:hAnsiTheme="majorHAnsi"/>
          <w:sz w:val="18"/>
          <w:szCs w:val="22"/>
        </w:rPr>
      </w:pPr>
      <w:r w:rsidRPr="00667CC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680BF902" w:rsidR="009B306D" w:rsidRPr="009B306D" w:rsidRDefault="00742EF1"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w:t>
                            </w:r>
                            <w:r w:rsidR="009B306D">
                              <w:rPr>
                                <w:rFonts w:asciiTheme="majorHAnsi" w:hAnsiTheme="majorHAnsi"/>
                                <w:color w:val="0D0D0D" w:themeColor="text1" w:themeTint="F2"/>
                                <w:sz w:val="20"/>
                              </w:rPr>
                              <w:t xml:space="preserve">pproved by the Commission on </w:t>
                            </w:r>
                            <w:r w:rsidR="00B062FC">
                              <w:rPr>
                                <w:rFonts w:asciiTheme="majorHAnsi" w:hAnsiTheme="majorHAnsi"/>
                                <w:color w:val="0D0D0D" w:themeColor="text1" w:themeTint="F2"/>
                                <w:sz w:val="20"/>
                              </w:rPr>
                              <w:t>December 5</w:t>
                            </w:r>
                            <w:r w:rsidR="009B306D">
                              <w:rPr>
                                <w:rFonts w:asciiTheme="majorHAnsi" w:hAnsiTheme="majorHAnsi"/>
                                <w:color w:val="0D0D0D" w:themeColor="text1" w:themeTint="F2"/>
                                <w:sz w:val="20"/>
                              </w:rPr>
                              <w:t>, 20</w:t>
                            </w:r>
                            <w:r w:rsidR="007C605F">
                              <w:rPr>
                                <w:rFonts w:asciiTheme="majorHAnsi" w:hAnsiTheme="majorHAnsi"/>
                                <w:color w:val="0D0D0D" w:themeColor="text1" w:themeTint="F2"/>
                                <w:sz w:val="20"/>
                              </w:rPr>
                              <w:t>19</w:t>
                            </w:r>
                            <w:r>
                              <w:rPr>
                                <w:rFonts w:asciiTheme="majorHAnsi" w:hAnsiTheme="majorHAnsi"/>
                                <w:color w:val="0D0D0D" w:themeColor="text1" w:themeTint="F2"/>
                                <w:sz w:val="20"/>
                              </w:rPr>
                              <w:t xml:space="preserve"> in San Salvador, 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680BF902" w:rsidR="009B306D" w:rsidRPr="009B306D" w:rsidRDefault="00742EF1"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w:t>
                      </w:r>
                      <w:r w:rsidR="009B306D">
                        <w:rPr>
                          <w:rFonts w:asciiTheme="majorHAnsi" w:hAnsiTheme="majorHAnsi"/>
                          <w:color w:val="0D0D0D" w:themeColor="text1" w:themeTint="F2"/>
                          <w:sz w:val="20"/>
                        </w:rPr>
                        <w:t xml:space="preserve">pproved by the Commission on </w:t>
                      </w:r>
                      <w:r w:rsidR="00B062FC">
                        <w:rPr>
                          <w:rFonts w:asciiTheme="majorHAnsi" w:hAnsiTheme="majorHAnsi"/>
                          <w:color w:val="0D0D0D" w:themeColor="text1" w:themeTint="F2"/>
                          <w:sz w:val="20"/>
                        </w:rPr>
                        <w:t>December 5</w:t>
                      </w:r>
                      <w:r w:rsidR="009B306D">
                        <w:rPr>
                          <w:rFonts w:asciiTheme="majorHAnsi" w:hAnsiTheme="majorHAnsi"/>
                          <w:color w:val="0D0D0D" w:themeColor="text1" w:themeTint="F2"/>
                          <w:sz w:val="20"/>
                        </w:rPr>
                        <w:t>, 20</w:t>
                      </w:r>
                      <w:r w:rsidR="007C605F">
                        <w:rPr>
                          <w:rFonts w:asciiTheme="majorHAnsi" w:hAnsiTheme="majorHAnsi"/>
                          <w:color w:val="0D0D0D" w:themeColor="text1" w:themeTint="F2"/>
                          <w:sz w:val="20"/>
                        </w:rPr>
                        <w:t>19</w:t>
                      </w:r>
                      <w:r>
                        <w:rPr>
                          <w:rFonts w:asciiTheme="majorHAnsi" w:hAnsiTheme="majorHAnsi"/>
                          <w:color w:val="0D0D0D" w:themeColor="text1" w:themeTint="F2"/>
                          <w:sz w:val="20"/>
                        </w:rPr>
                        <w:t xml:space="preserve"> in San Salvador, El Salvador.</w:t>
                      </w:r>
                    </w:p>
                  </w:txbxContent>
                </v:textbox>
              </v:shape>
            </w:pict>
          </mc:Fallback>
        </mc:AlternateContent>
      </w:r>
    </w:p>
    <w:p w14:paraId="596E688A" w14:textId="0B94A5A1" w:rsidR="002C1641" w:rsidRPr="00667CC3" w:rsidRDefault="002C1641" w:rsidP="00040C3A">
      <w:pPr>
        <w:tabs>
          <w:tab w:val="center" w:pos="5400"/>
        </w:tabs>
        <w:suppressAutoHyphens/>
        <w:jc w:val="center"/>
        <w:rPr>
          <w:rFonts w:asciiTheme="majorHAnsi" w:hAnsiTheme="majorHAnsi"/>
          <w:sz w:val="18"/>
          <w:szCs w:val="22"/>
        </w:rPr>
      </w:pPr>
    </w:p>
    <w:p w14:paraId="7BAD6F10" w14:textId="77777777" w:rsidR="002C1641" w:rsidRPr="00667CC3" w:rsidRDefault="002C1641" w:rsidP="00040C3A">
      <w:pPr>
        <w:tabs>
          <w:tab w:val="center" w:pos="5400"/>
        </w:tabs>
        <w:suppressAutoHyphens/>
        <w:jc w:val="center"/>
        <w:rPr>
          <w:rFonts w:asciiTheme="majorHAnsi" w:hAnsiTheme="majorHAnsi"/>
          <w:sz w:val="18"/>
          <w:szCs w:val="22"/>
        </w:rPr>
      </w:pPr>
    </w:p>
    <w:p w14:paraId="478ABF75" w14:textId="77777777" w:rsidR="002C1641" w:rsidRPr="00667CC3" w:rsidRDefault="002C1641" w:rsidP="00040C3A">
      <w:pPr>
        <w:tabs>
          <w:tab w:val="center" w:pos="5400"/>
        </w:tabs>
        <w:suppressAutoHyphens/>
        <w:jc w:val="center"/>
        <w:rPr>
          <w:rFonts w:asciiTheme="majorHAnsi" w:hAnsiTheme="majorHAnsi"/>
          <w:sz w:val="18"/>
          <w:szCs w:val="22"/>
        </w:rPr>
      </w:pPr>
    </w:p>
    <w:p w14:paraId="30DFD514" w14:textId="77777777" w:rsidR="002C1641" w:rsidRPr="00667CC3" w:rsidRDefault="002C1641" w:rsidP="00040C3A">
      <w:pPr>
        <w:tabs>
          <w:tab w:val="center" w:pos="5400"/>
        </w:tabs>
        <w:suppressAutoHyphens/>
        <w:jc w:val="center"/>
        <w:rPr>
          <w:rFonts w:asciiTheme="majorHAnsi" w:hAnsiTheme="majorHAnsi"/>
          <w:sz w:val="18"/>
          <w:szCs w:val="22"/>
        </w:rPr>
      </w:pPr>
    </w:p>
    <w:p w14:paraId="15FE377C" w14:textId="77777777" w:rsidR="002C1641" w:rsidRPr="00667CC3" w:rsidRDefault="003C32BC" w:rsidP="00040C3A">
      <w:pPr>
        <w:tabs>
          <w:tab w:val="center" w:pos="5400"/>
        </w:tabs>
        <w:suppressAutoHyphens/>
        <w:jc w:val="center"/>
        <w:rPr>
          <w:rFonts w:asciiTheme="majorHAnsi" w:hAnsiTheme="majorHAnsi"/>
          <w:sz w:val="18"/>
          <w:szCs w:val="22"/>
        </w:rPr>
      </w:pPr>
      <w:r w:rsidRPr="00667CC3">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2EB05223" w:rsidR="00F644E6" w:rsidRPr="003C32BC" w:rsidRDefault="007C605F"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062FC">
                              <w:rPr>
                                <w:rFonts w:asciiTheme="majorHAnsi" w:hAnsiTheme="majorHAnsi"/>
                                <w:color w:val="595959" w:themeColor="text1" w:themeTint="A6"/>
                                <w:sz w:val="18"/>
                              </w:rPr>
                              <w:t>187</w:t>
                            </w:r>
                            <w:r w:rsidRPr="007C605F">
                              <w:rPr>
                                <w:rFonts w:asciiTheme="majorHAnsi" w:hAnsiTheme="majorHAnsi"/>
                                <w:color w:val="595959" w:themeColor="text1" w:themeTint="A6"/>
                                <w:sz w:val="18"/>
                              </w:rPr>
                              <w:t>/1</w:t>
                            </w:r>
                            <w:r>
                              <w:rPr>
                                <w:rFonts w:asciiTheme="majorHAnsi" w:hAnsiTheme="majorHAnsi"/>
                                <w:color w:val="595959" w:themeColor="text1" w:themeTint="A6"/>
                                <w:sz w:val="18"/>
                              </w:rPr>
                              <w:t>9</w:t>
                            </w:r>
                            <w:r w:rsidR="00B062FC">
                              <w:rPr>
                                <w:rFonts w:asciiTheme="majorHAnsi" w:hAnsiTheme="majorHAnsi"/>
                                <w:color w:val="595959" w:themeColor="text1" w:themeTint="A6"/>
                                <w:sz w:val="18"/>
                              </w:rPr>
                              <w:t>.</w:t>
                            </w:r>
                            <w:r w:rsidRPr="007C605F">
                              <w:rPr>
                                <w:rFonts w:asciiTheme="majorHAnsi" w:hAnsiTheme="majorHAnsi"/>
                                <w:color w:val="595959" w:themeColor="text1" w:themeTint="A6"/>
                                <w:sz w:val="18"/>
                              </w:rPr>
                              <w:t xml:space="preserve"> </w:t>
                            </w:r>
                            <w:proofErr w:type="spellStart"/>
                            <w:r w:rsidRPr="00742EF1">
                              <w:rPr>
                                <w:rFonts w:asciiTheme="majorHAnsi" w:hAnsiTheme="majorHAnsi"/>
                                <w:color w:val="595959" w:themeColor="text1" w:themeTint="A6"/>
                                <w:sz w:val="18"/>
                                <w:lang w:val="es-US"/>
                              </w:rPr>
                              <w:t>Petition</w:t>
                            </w:r>
                            <w:proofErr w:type="spellEnd"/>
                            <w:r w:rsidRPr="00742EF1">
                              <w:rPr>
                                <w:rFonts w:asciiTheme="majorHAnsi" w:hAnsiTheme="majorHAnsi"/>
                                <w:color w:val="595959" w:themeColor="text1" w:themeTint="A6"/>
                                <w:sz w:val="18"/>
                                <w:lang w:val="es-US"/>
                              </w:rPr>
                              <w:t xml:space="preserve"> 1013-11</w:t>
                            </w:r>
                            <w:r w:rsidR="00B062FC" w:rsidRPr="00742EF1">
                              <w:rPr>
                                <w:rFonts w:asciiTheme="majorHAnsi" w:hAnsiTheme="majorHAnsi"/>
                                <w:color w:val="595959" w:themeColor="text1" w:themeTint="A6"/>
                                <w:sz w:val="18"/>
                                <w:lang w:val="es-US"/>
                              </w:rPr>
                              <w:t xml:space="preserve">. </w:t>
                            </w:r>
                            <w:proofErr w:type="spellStart"/>
                            <w:r w:rsidRPr="00742EF1">
                              <w:rPr>
                                <w:rFonts w:asciiTheme="majorHAnsi" w:hAnsiTheme="majorHAnsi"/>
                                <w:color w:val="595959" w:themeColor="text1" w:themeTint="A6"/>
                                <w:sz w:val="18"/>
                                <w:lang w:val="es-US"/>
                              </w:rPr>
                              <w:t>Admissibility</w:t>
                            </w:r>
                            <w:proofErr w:type="spellEnd"/>
                            <w:r w:rsidRPr="00742EF1">
                              <w:rPr>
                                <w:rFonts w:asciiTheme="majorHAnsi" w:hAnsiTheme="majorHAnsi"/>
                                <w:color w:val="595959" w:themeColor="text1" w:themeTint="A6"/>
                                <w:sz w:val="18"/>
                                <w:lang w:val="es-US"/>
                              </w:rPr>
                              <w:t xml:space="preserve">. </w:t>
                            </w:r>
                            <w:r w:rsidRPr="00833FE3">
                              <w:rPr>
                                <w:rFonts w:asciiTheme="majorHAnsi" w:hAnsiTheme="majorHAnsi"/>
                                <w:color w:val="595959" w:themeColor="text1" w:themeTint="A6"/>
                                <w:sz w:val="18"/>
                                <w:lang w:val="es-ES"/>
                              </w:rPr>
                              <w:t xml:space="preserve">Víctor Luis Padilla Tejada. </w:t>
                            </w:r>
                            <w:r>
                              <w:rPr>
                                <w:rFonts w:asciiTheme="majorHAnsi" w:hAnsiTheme="majorHAnsi"/>
                                <w:color w:val="595959" w:themeColor="text1" w:themeTint="A6"/>
                                <w:sz w:val="18"/>
                              </w:rPr>
                              <w:t xml:space="preserve">Peru. </w:t>
                            </w:r>
                            <w:r w:rsidR="00B062FC">
                              <w:rPr>
                                <w:rFonts w:asciiTheme="majorHAnsi" w:hAnsiTheme="majorHAnsi"/>
                                <w:color w:val="595959" w:themeColor="text1" w:themeTint="A6"/>
                                <w:sz w:val="18"/>
                              </w:rPr>
                              <w:t>December 5, 2019</w:t>
                            </w:r>
                            <w:r>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2EB05223" w:rsidR="00F644E6" w:rsidRPr="003C32BC" w:rsidRDefault="007C605F"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062FC">
                        <w:rPr>
                          <w:rFonts w:asciiTheme="majorHAnsi" w:hAnsiTheme="majorHAnsi"/>
                          <w:color w:val="595959" w:themeColor="text1" w:themeTint="A6"/>
                          <w:sz w:val="18"/>
                        </w:rPr>
                        <w:t>187</w:t>
                      </w:r>
                      <w:r w:rsidRPr="007C605F">
                        <w:rPr>
                          <w:rFonts w:asciiTheme="majorHAnsi" w:hAnsiTheme="majorHAnsi"/>
                          <w:color w:val="595959" w:themeColor="text1" w:themeTint="A6"/>
                          <w:sz w:val="18"/>
                        </w:rPr>
                        <w:t>/1</w:t>
                      </w:r>
                      <w:r>
                        <w:rPr>
                          <w:rFonts w:asciiTheme="majorHAnsi" w:hAnsiTheme="majorHAnsi"/>
                          <w:color w:val="595959" w:themeColor="text1" w:themeTint="A6"/>
                          <w:sz w:val="18"/>
                        </w:rPr>
                        <w:t>9</w:t>
                      </w:r>
                      <w:r w:rsidR="00B062FC">
                        <w:rPr>
                          <w:rFonts w:asciiTheme="majorHAnsi" w:hAnsiTheme="majorHAnsi"/>
                          <w:color w:val="595959" w:themeColor="text1" w:themeTint="A6"/>
                          <w:sz w:val="18"/>
                        </w:rPr>
                        <w:t>.</w:t>
                      </w:r>
                      <w:r w:rsidRPr="007C605F">
                        <w:rPr>
                          <w:rFonts w:asciiTheme="majorHAnsi" w:hAnsiTheme="majorHAnsi"/>
                          <w:color w:val="595959" w:themeColor="text1" w:themeTint="A6"/>
                          <w:sz w:val="18"/>
                        </w:rPr>
                        <w:t xml:space="preserve"> </w:t>
                      </w:r>
                      <w:proofErr w:type="spellStart"/>
                      <w:r w:rsidRPr="00742EF1">
                        <w:rPr>
                          <w:rFonts w:asciiTheme="majorHAnsi" w:hAnsiTheme="majorHAnsi"/>
                          <w:color w:val="595959" w:themeColor="text1" w:themeTint="A6"/>
                          <w:sz w:val="18"/>
                          <w:lang w:val="es-US"/>
                        </w:rPr>
                        <w:t>Petition</w:t>
                      </w:r>
                      <w:proofErr w:type="spellEnd"/>
                      <w:r w:rsidRPr="00742EF1">
                        <w:rPr>
                          <w:rFonts w:asciiTheme="majorHAnsi" w:hAnsiTheme="majorHAnsi"/>
                          <w:color w:val="595959" w:themeColor="text1" w:themeTint="A6"/>
                          <w:sz w:val="18"/>
                          <w:lang w:val="es-US"/>
                        </w:rPr>
                        <w:t xml:space="preserve"> 1013-11</w:t>
                      </w:r>
                      <w:r w:rsidR="00B062FC" w:rsidRPr="00742EF1">
                        <w:rPr>
                          <w:rFonts w:asciiTheme="majorHAnsi" w:hAnsiTheme="majorHAnsi"/>
                          <w:color w:val="595959" w:themeColor="text1" w:themeTint="A6"/>
                          <w:sz w:val="18"/>
                          <w:lang w:val="es-US"/>
                        </w:rPr>
                        <w:t xml:space="preserve">. </w:t>
                      </w:r>
                      <w:proofErr w:type="spellStart"/>
                      <w:r w:rsidRPr="00742EF1">
                        <w:rPr>
                          <w:rFonts w:asciiTheme="majorHAnsi" w:hAnsiTheme="majorHAnsi"/>
                          <w:color w:val="595959" w:themeColor="text1" w:themeTint="A6"/>
                          <w:sz w:val="18"/>
                          <w:lang w:val="es-US"/>
                        </w:rPr>
                        <w:t>Admissibility</w:t>
                      </w:r>
                      <w:proofErr w:type="spellEnd"/>
                      <w:r w:rsidRPr="00742EF1">
                        <w:rPr>
                          <w:rFonts w:asciiTheme="majorHAnsi" w:hAnsiTheme="majorHAnsi"/>
                          <w:color w:val="595959" w:themeColor="text1" w:themeTint="A6"/>
                          <w:sz w:val="18"/>
                          <w:lang w:val="es-US"/>
                        </w:rPr>
                        <w:t xml:space="preserve">. </w:t>
                      </w:r>
                      <w:r w:rsidRPr="00833FE3">
                        <w:rPr>
                          <w:rFonts w:asciiTheme="majorHAnsi" w:hAnsiTheme="majorHAnsi"/>
                          <w:color w:val="595959" w:themeColor="text1" w:themeTint="A6"/>
                          <w:sz w:val="18"/>
                          <w:lang w:val="es-ES"/>
                        </w:rPr>
                        <w:t xml:space="preserve">Víctor Luis Padilla Tejada. </w:t>
                      </w:r>
                      <w:r>
                        <w:rPr>
                          <w:rFonts w:asciiTheme="majorHAnsi" w:hAnsiTheme="majorHAnsi"/>
                          <w:color w:val="595959" w:themeColor="text1" w:themeTint="A6"/>
                          <w:sz w:val="18"/>
                        </w:rPr>
                        <w:t xml:space="preserve">Peru. </w:t>
                      </w:r>
                      <w:r w:rsidR="00B062FC">
                        <w:rPr>
                          <w:rFonts w:asciiTheme="majorHAnsi" w:hAnsiTheme="majorHAnsi"/>
                          <w:color w:val="595959" w:themeColor="text1" w:themeTint="A6"/>
                          <w:sz w:val="18"/>
                        </w:rPr>
                        <w:t>December 5, 2019</w:t>
                      </w:r>
                      <w:r>
                        <w:rPr>
                          <w:rFonts w:asciiTheme="majorHAnsi" w:hAnsiTheme="majorHAnsi"/>
                          <w:color w:val="595959" w:themeColor="text1" w:themeTint="A6"/>
                          <w:sz w:val="18"/>
                        </w:rPr>
                        <w:t xml:space="preserve">. </w:t>
                      </w:r>
                    </w:p>
                  </w:txbxContent>
                </v:textbox>
              </v:shape>
            </w:pict>
          </mc:Fallback>
        </mc:AlternateContent>
      </w:r>
    </w:p>
    <w:p w14:paraId="54A35402" w14:textId="54732CD0" w:rsidR="002C1641" w:rsidRPr="00667CC3" w:rsidRDefault="002C1641" w:rsidP="00040C3A">
      <w:pPr>
        <w:tabs>
          <w:tab w:val="center" w:pos="5400"/>
        </w:tabs>
        <w:suppressAutoHyphens/>
        <w:jc w:val="center"/>
        <w:rPr>
          <w:rFonts w:asciiTheme="majorHAnsi" w:hAnsiTheme="majorHAnsi"/>
          <w:sz w:val="18"/>
          <w:szCs w:val="22"/>
        </w:rPr>
      </w:pPr>
    </w:p>
    <w:p w14:paraId="18DAA0E7" w14:textId="4FC54D86" w:rsidR="002C1641" w:rsidRPr="00667CC3" w:rsidRDefault="002C1641" w:rsidP="00040C3A">
      <w:pPr>
        <w:tabs>
          <w:tab w:val="center" w:pos="5400"/>
        </w:tabs>
        <w:suppressAutoHyphens/>
        <w:jc w:val="center"/>
        <w:rPr>
          <w:rFonts w:asciiTheme="majorHAnsi" w:hAnsiTheme="majorHAnsi"/>
          <w:sz w:val="18"/>
          <w:szCs w:val="22"/>
        </w:rPr>
      </w:pPr>
    </w:p>
    <w:p w14:paraId="165B7F09" w14:textId="24B09380" w:rsidR="003C32BC" w:rsidRPr="00667CC3" w:rsidRDefault="003C32BC" w:rsidP="003C32BC">
      <w:pPr>
        <w:tabs>
          <w:tab w:val="center" w:pos="5400"/>
        </w:tabs>
        <w:suppressAutoHyphens/>
        <w:jc w:val="center"/>
        <w:rPr>
          <w:rFonts w:asciiTheme="majorHAnsi" w:hAnsiTheme="majorHAnsi"/>
          <w:sz w:val="18"/>
          <w:szCs w:val="22"/>
        </w:rPr>
      </w:pPr>
    </w:p>
    <w:p w14:paraId="4F2529D3" w14:textId="0F6A110E" w:rsidR="003C32BC" w:rsidRPr="00667CC3" w:rsidRDefault="00126E08" w:rsidP="003C32BC">
      <w:pPr>
        <w:tabs>
          <w:tab w:val="center" w:pos="5400"/>
        </w:tabs>
        <w:suppressAutoHyphens/>
        <w:jc w:val="center"/>
        <w:rPr>
          <w:rFonts w:asciiTheme="majorHAnsi" w:hAnsiTheme="majorHAnsi"/>
          <w:sz w:val="18"/>
          <w:szCs w:val="22"/>
        </w:rPr>
      </w:pPr>
      <w:r w:rsidRPr="00667CC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67CC3">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FC26E46" w14:textId="3ECDB0B5" w:rsidR="007607C4" w:rsidRPr="00667CC3" w:rsidRDefault="007607C4" w:rsidP="003C32BC">
      <w:pPr>
        <w:tabs>
          <w:tab w:val="center" w:pos="5400"/>
        </w:tabs>
        <w:suppressAutoHyphens/>
        <w:jc w:val="center"/>
        <w:rPr>
          <w:rFonts w:asciiTheme="majorHAnsi" w:hAnsiTheme="majorHAnsi"/>
          <w:sz w:val="18"/>
          <w:szCs w:val="22"/>
        </w:rPr>
        <w:sectPr w:rsidR="007607C4" w:rsidRPr="00667CC3"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410D5F7A" w14:textId="4F255D2D" w:rsidR="00F621C3" w:rsidRPr="00667CC3" w:rsidRDefault="00F621C3" w:rsidP="00C355B4">
      <w:pPr>
        <w:spacing w:after="120"/>
        <w:ind w:firstLine="720"/>
        <w:jc w:val="both"/>
        <w:rPr>
          <w:rFonts w:asciiTheme="majorHAnsi" w:hAnsiTheme="majorHAnsi"/>
          <w:b/>
          <w:bCs/>
          <w:sz w:val="19"/>
          <w:szCs w:val="19"/>
        </w:rPr>
      </w:pPr>
      <w:r w:rsidRPr="00667CC3">
        <w:rPr>
          <w:rFonts w:asciiTheme="majorHAnsi" w:hAnsiTheme="majorHAnsi"/>
          <w:b/>
          <w:bCs/>
          <w:sz w:val="19"/>
          <w:szCs w:val="19"/>
        </w:rPr>
        <w:lastRenderedPageBreak/>
        <w:t>I.</w:t>
      </w:r>
      <w:r w:rsidRPr="00667CC3">
        <w:rPr>
          <w:rFonts w:asciiTheme="majorHAnsi" w:hAnsiTheme="majorHAnsi"/>
          <w:b/>
          <w:bCs/>
          <w:sz w:val="19"/>
          <w:szCs w:val="19"/>
        </w:rPr>
        <w:tab/>
      </w:r>
      <w:r w:rsidR="00592718" w:rsidRPr="00667CC3">
        <w:rPr>
          <w:rFonts w:asciiTheme="majorHAnsi" w:hAnsiTheme="majorHAnsi"/>
          <w:b/>
          <w:bCs/>
          <w:sz w:val="19"/>
          <w:szCs w:val="19"/>
        </w:rPr>
        <w:t>INFORMATION ABOUT THE PETITION</w:t>
      </w:r>
      <w:r w:rsidRPr="00667CC3">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667CC3" w14:paraId="0D1CC739" w14:textId="77777777" w:rsidTr="009F0C0E">
        <w:tc>
          <w:tcPr>
            <w:tcW w:w="2790" w:type="dxa"/>
            <w:tcBorders>
              <w:top w:val="single" w:sz="4" w:space="0" w:color="auto"/>
              <w:bottom w:val="single" w:sz="6" w:space="0" w:color="auto"/>
            </w:tcBorders>
            <w:shd w:val="clear" w:color="auto" w:fill="67AE3C"/>
            <w:vAlign w:val="center"/>
          </w:tcPr>
          <w:p w14:paraId="3914A250" w14:textId="77777777" w:rsidR="00261E08" w:rsidRPr="00667CC3" w:rsidRDefault="00261E08" w:rsidP="009163FC">
            <w:pPr>
              <w:jc w:val="center"/>
              <w:rPr>
                <w:rFonts w:asciiTheme="majorHAnsi" w:hAnsiTheme="majorHAnsi"/>
                <w:bCs/>
                <w:color w:val="FFFFFF" w:themeColor="background1"/>
                <w:sz w:val="19"/>
                <w:szCs w:val="19"/>
              </w:rPr>
            </w:pPr>
            <w:r w:rsidRPr="00667CC3">
              <w:rPr>
                <w:rFonts w:asciiTheme="majorHAnsi" w:hAnsiTheme="majorHAnsi"/>
                <w:bCs/>
                <w:color w:val="FFFFFF" w:themeColor="background1"/>
                <w:sz w:val="19"/>
                <w:szCs w:val="19"/>
              </w:rPr>
              <w:t>Petitioner</w:t>
            </w:r>
          </w:p>
        </w:tc>
        <w:tc>
          <w:tcPr>
            <w:tcW w:w="6570" w:type="dxa"/>
          </w:tcPr>
          <w:p w14:paraId="67A3AC7B" w14:textId="7B73F65A" w:rsidR="00261E08" w:rsidRPr="00667CC3" w:rsidRDefault="00A6788C" w:rsidP="009163FC">
            <w:pPr>
              <w:jc w:val="both"/>
              <w:rPr>
                <w:rFonts w:asciiTheme="majorHAnsi" w:hAnsiTheme="majorHAnsi"/>
                <w:bCs/>
                <w:sz w:val="19"/>
                <w:szCs w:val="19"/>
              </w:rPr>
            </w:pPr>
            <w:r w:rsidRPr="00667CC3">
              <w:rPr>
                <w:rFonts w:ascii="Cambria" w:hAnsi="Cambria"/>
                <w:bCs/>
                <w:sz w:val="19"/>
                <w:szCs w:val="19"/>
              </w:rPr>
              <w:t>Víctor Luis Padilla Tejada</w:t>
            </w:r>
          </w:p>
        </w:tc>
      </w:tr>
      <w:tr w:rsidR="00261E08" w:rsidRPr="00667CC3" w14:paraId="4A730984" w14:textId="77777777" w:rsidTr="009F0C0E">
        <w:tc>
          <w:tcPr>
            <w:tcW w:w="2790" w:type="dxa"/>
            <w:tcBorders>
              <w:top w:val="single" w:sz="6" w:space="0" w:color="auto"/>
              <w:bottom w:val="single" w:sz="6" w:space="0" w:color="auto"/>
            </w:tcBorders>
            <w:shd w:val="clear" w:color="auto" w:fill="67AE3C"/>
            <w:vAlign w:val="center"/>
          </w:tcPr>
          <w:p w14:paraId="241395B3" w14:textId="77777777" w:rsidR="00261E08" w:rsidRPr="00667CC3" w:rsidRDefault="00261E08" w:rsidP="009163FC">
            <w:pPr>
              <w:jc w:val="center"/>
              <w:rPr>
                <w:rFonts w:asciiTheme="majorHAnsi" w:hAnsiTheme="majorHAnsi"/>
                <w:bCs/>
                <w:color w:val="FFFFFF" w:themeColor="background1"/>
                <w:sz w:val="19"/>
                <w:szCs w:val="19"/>
              </w:rPr>
            </w:pPr>
            <w:r w:rsidRPr="00667CC3">
              <w:rPr>
                <w:rFonts w:asciiTheme="majorHAnsi" w:hAnsiTheme="majorHAnsi"/>
                <w:bCs/>
                <w:color w:val="FFFFFF" w:themeColor="background1"/>
                <w:sz w:val="19"/>
                <w:szCs w:val="19"/>
              </w:rPr>
              <w:t>Alleged victim</w:t>
            </w:r>
          </w:p>
        </w:tc>
        <w:tc>
          <w:tcPr>
            <w:tcW w:w="6570" w:type="dxa"/>
          </w:tcPr>
          <w:p w14:paraId="1E62AC27" w14:textId="5EC9B8F1" w:rsidR="00261E08" w:rsidRPr="00667CC3" w:rsidRDefault="00A6788C" w:rsidP="009163FC">
            <w:pPr>
              <w:jc w:val="both"/>
              <w:rPr>
                <w:rFonts w:asciiTheme="majorHAnsi" w:hAnsiTheme="majorHAnsi"/>
                <w:bCs/>
                <w:sz w:val="19"/>
                <w:szCs w:val="19"/>
              </w:rPr>
            </w:pPr>
            <w:r w:rsidRPr="00667CC3">
              <w:rPr>
                <w:rFonts w:ascii="Cambria" w:hAnsi="Cambria"/>
                <w:bCs/>
                <w:sz w:val="19"/>
                <w:szCs w:val="19"/>
              </w:rPr>
              <w:t>Víctor Luis Padilla Tejada</w:t>
            </w:r>
          </w:p>
        </w:tc>
      </w:tr>
      <w:tr w:rsidR="00261E08" w:rsidRPr="00667CC3"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667CC3" w:rsidRDefault="00261E08" w:rsidP="005816E5">
            <w:pPr>
              <w:jc w:val="center"/>
              <w:rPr>
                <w:rFonts w:asciiTheme="majorHAnsi" w:hAnsiTheme="majorHAnsi"/>
                <w:bCs/>
                <w:color w:val="FFFFFF" w:themeColor="background1"/>
                <w:sz w:val="19"/>
                <w:szCs w:val="19"/>
              </w:rPr>
            </w:pPr>
            <w:r w:rsidRPr="00667CC3">
              <w:rPr>
                <w:rFonts w:asciiTheme="majorHAnsi" w:hAnsiTheme="majorHAnsi"/>
                <w:bCs/>
                <w:color w:val="FFFFFF" w:themeColor="background1"/>
                <w:sz w:val="19"/>
                <w:szCs w:val="19"/>
              </w:rPr>
              <w:t>Respondent State</w:t>
            </w:r>
          </w:p>
        </w:tc>
        <w:tc>
          <w:tcPr>
            <w:tcW w:w="6570" w:type="dxa"/>
          </w:tcPr>
          <w:p w14:paraId="68C5B5B0" w14:textId="330041D7" w:rsidR="00261E08" w:rsidRPr="00667CC3" w:rsidRDefault="00A6788C" w:rsidP="009163FC">
            <w:pPr>
              <w:jc w:val="both"/>
              <w:rPr>
                <w:rFonts w:asciiTheme="majorHAnsi" w:hAnsiTheme="majorHAnsi"/>
                <w:bCs/>
                <w:sz w:val="19"/>
                <w:szCs w:val="19"/>
              </w:rPr>
            </w:pPr>
            <w:r w:rsidRPr="00667CC3">
              <w:rPr>
                <w:rFonts w:asciiTheme="majorHAnsi" w:hAnsiTheme="majorHAnsi"/>
                <w:bCs/>
                <w:sz w:val="19"/>
                <w:szCs w:val="19"/>
              </w:rPr>
              <w:t>Peru</w:t>
            </w:r>
            <w:r w:rsidRPr="00667CC3">
              <w:rPr>
                <w:rStyle w:val="FootnoteReference"/>
                <w:rFonts w:asciiTheme="majorHAnsi" w:hAnsiTheme="majorHAnsi"/>
                <w:bCs/>
                <w:sz w:val="19"/>
                <w:szCs w:val="19"/>
              </w:rPr>
              <w:footnoteReference w:id="2"/>
            </w:r>
          </w:p>
        </w:tc>
      </w:tr>
      <w:tr w:rsidR="00261E08" w:rsidRPr="00667CC3"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667CC3" w:rsidRDefault="00261E08" w:rsidP="00E7588C">
            <w:pPr>
              <w:jc w:val="center"/>
              <w:rPr>
                <w:rFonts w:asciiTheme="majorHAnsi" w:hAnsiTheme="majorHAnsi"/>
                <w:bCs/>
                <w:color w:val="FFFFFF" w:themeColor="background1"/>
                <w:sz w:val="19"/>
                <w:szCs w:val="19"/>
              </w:rPr>
            </w:pPr>
            <w:r w:rsidRPr="00667CC3">
              <w:rPr>
                <w:rFonts w:asciiTheme="majorHAnsi" w:hAnsiTheme="majorHAnsi"/>
                <w:bCs/>
                <w:color w:val="FFFFFF" w:themeColor="background1"/>
                <w:sz w:val="19"/>
                <w:szCs w:val="19"/>
              </w:rPr>
              <w:t>Rights invoked</w:t>
            </w:r>
          </w:p>
        </w:tc>
        <w:tc>
          <w:tcPr>
            <w:tcW w:w="6570" w:type="dxa"/>
          </w:tcPr>
          <w:p w14:paraId="6C99BD6B" w14:textId="5821E47F" w:rsidR="00261E08" w:rsidRPr="00667CC3" w:rsidRDefault="00A6788C" w:rsidP="00261E08">
            <w:pPr>
              <w:jc w:val="both"/>
              <w:rPr>
                <w:rFonts w:asciiTheme="majorHAnsi" w:hAnsiTheme="majorHAnsi"/>
                <w:bCs/>
                <w:sz w:val="19"/>
                <w:szCs w:val="19"/>
              </w:rPr>
            </w:pPr>
            <w:r w:rsidRPr="00667CC3">
              <w:rPr>
                <w:rFonts w:asciiTheme="majorHAnsi" w:hAnsiTheme="majorHAnsi"/>
                <w:sz w:val="19"/>
                <w:szCs w:val="19"/>
              </w:rPr>
              <w:t>Articles 3 (juridical personality), 4 (life), 8 (fair trial), 10 (compensation), 17 (rights of the family), 21 (property), 24 (equal protection), and 25 (judicial protection)</w:t>
            </w:r>
            <w:r w:rsidR="00261E08" w:rsidRPr="00667CC3">
              <w:rPr>
                <w:rFonts w:asciiTheme="majorHAnsi" w:hAnsiTheme="majorHAnsi"/>
                <w:sz w:val="19"/>
                <w:szCs w:val="19"/>
              </w:rPr>
              <w:t xml:space="preserve"> </w:t>
            </w:r>
            <w:r w:rsidRPr="00667CC3">
              <w:rPr>
                <w:rFonts w:asciiTheme="majorHAnsi" w:hAnsiTheme="majorHAnsi"/>
                <w:sz w:val="19"/>
                <w:szCs w:val="19"/>
              </w:rPr>
              <w:t>of the American Convention on Human Rights</w:t>
            </w:r>
            <w:r w:rsidRPr="00667CC3">
              <w:rPr>
                <w:rStyle w:val="FootnoteReference"/>
                <w:rFonts w:asciiTheme="majorHAnsi" w:hAnsiTheme="majorHAnsi"/>
                <w:sz w:val="19"/>
                <w:szCs w:val="19"/>
              </w:rPr>
              <w:footnoteReference w:id="3"/>
            </w:r>
            <w:r w:rsidRPr="00667CC3">
              <w:rPr>
                <w:rFonts w:asciiTheme="majorHAnsi" w:hAnsiTheme="majorHAnsi"/>
                <w:sz w:val="19"/>
                <w:szCs w:val="19"/>
              </w:rPr>
              <w:t xml:space="preserve"> in relation to its Articles 1.1 (obligation to respect rights) and 2 (domestic legal effects); Articles I (</w:t>
            </w:r>
            <w:r w:rsidR="00706E6A" w:rsidRPr="00667CC3">
              <w:rPr>
                <w:rFonts w:asciiTheme="majorHAnsi" w:hAnsiTheme="majorHAnsi"/>
                <w:sz w:val="19"/>
                <w:szCs w:val="19"/>
              </w:rPr>
              <w:t>life, liberty, and personal security</w:t>
            </w:r>
            <w:r w:rsidRPr="00667CC3">
              <w:rPr>
                <w:rFonts w:asciiTheme="majorHAnsi" w:hAnsiTheme="majorHAnsi"/>
                <w:sz w:val="19"/>
                <w:szCs w:val="19"/>
              </w:rPr>
              <w:t>), II (</w:t>
            </w:r>
            <w:r w:rsidR="00706E6A" w:rsidRPr="00667CC3">
              <w:rPr>
                <w:rFonts w:asciiTheme="majorHAnsi" w:hAnsiTheme="majorHAnsi"/>
                <w:sz w:val="19"/>
                <w:szCs w:val="19"/>
              </w:rPr>
              <w:t>equality before law</w:t>
            </w:r>
            <w:r w:rsidRPr="00667CC3">
              <w:rPr>
                <w:rFonts w:asciiTheme="majorHAnsi" w:hAnsiTheme="majorHAnsi"/>
                <w:sz w:val="19"/>
                <w:szCs w:val="19"/>
              </w:rPr>
              <w:t>), VI (</w:t>
            </w:r>
            <w:r w:rsidR="00706E6A" w:rsidRPr="00667CC3">
              <w:rPr>
                <w:rFonts w:asciiTheme="majorHAnsi" w:hAnsiTheme="majorHAnsi"/>
                <w:sz w:val="19"/>
                <w:szCs w:val="19"/>
              </w:rPr>
              <w:t>right to a family and protection thereof</w:t>
            </w:r>
            <w:r w:rsidRPr="00667CC3">
              <w:rPr>
                <w:rFonts w:asciiTheme="majorHAnsi" w:hAnsiTheme="majorHAnsi"/>
                <w:sz w:val="19"/>
                <w:szCs w:val="19"/>
              </w:rPr>
              <w:t>), VIII (</w:t>
            </w:r>
            <w:r w:rsidR="00706E6A" w:rsidRPr="00667CC3">
              <w:rPr>
                <w:rFonts w:asciiTheme="majorHAnsi" w:hAnsiTheme="majorHAnsi"/>
                <w:sz w:val="19"/>
                <w:szCs w:val="19"/>
              </w:rPr>
              <w:t>residence and movement</w:t>
            </w:r>
            <w:r w:rsidRPr="00667CC3">
              <w:rPr>
                <w:rFonts w:asciiTheme="majorHAnsi" w:hAnsiTheme="majorHAnsi"/>
                <w:sz w:val="19"/>
                <w:szCs w:val="19"/>
              </w:rPr>
              <w:t>), IX (</w:t>
            </w:r>
            <w:r w:rsidR="00706E6A" w:rsidRPr="00667CC3">
              <w:rPr>
                <w:rFonts w:asciiTheme="majorHAnsi" w:hAnsiTheme="majorHAnsi"/>
                <w:sz w:val="19"/>
                <w:szCs w:val="19"/>
              </w:rPr>
              <w:t>inviolability of the home</w:t>
            </w:r>
            <w:r w:rsidRPr="00667CC3">
              <w:rPr>
                <w:rFonts w:asciiTheme="majorHAnsi" w:hAnsiTheme="majorHAnsi"/>
                <w:sz w:val="19"/>
                <w:szCs w:val="19"/>
              </w:rPr>
              <w:t>), XVI (</w:t>
            </w:r>
            <w:r w:rsidR="00706E6A" w:rsidRPr="00667CC3">
              <w:rPr>
                <w:rFonts w:asciiTheme="majorHAnsi" w:hAnsiTheme="majorHAnsi"/>
                <w:sz w:val="19"/>
                <w:szCs w:val="19"/>
              </w:rPr>
              <w:t>social security</w:t>
            </w:r>
            <w:r w:rsidRPr="00667CC3">
              <w:rPr>
                <w:rFonts w:asciiTheme="majorHAnsi" w:hAnsiTheme="majorHAnsi"/>
                <w:sz w:val="19"/>
                <w:szCs w:val="19"/>
              </w:rPr>
              <w:t>), XVII (</w:t>
            </w:r>
            <w:r w:rsidR="00706E6A" w:rsidRPr="00667CC3">
              <w:rPr>
                <w:rFonts w:asciiTheme="majorHAnsi" w:hAnsiTheme="majorHAnsi"/>
                <w:sz w:val="19"/>
                <w:szCs w:val="19"/>
              </w:rPr>
              <w:t>recognition of juridical personality and civil rights</w:t>
            </w:r>
            <w:r w:rsidRPr="00667CC3">
              <w:rPr>
                <w:rFonts w:asciiTheme="majorHAnsi" w:hAnsiTheme="majorHAnsi"/>
                <w:sz w:val="19"/>
                <w:szCs w:val="19"/>
              </w:rPr>
              <w:t xml:space="preserve">), and </w:t>
            </w:r>
            <w:r w:rsidR="004B01E1">
              <w:rPr>
                <w:rFonts w:asciiTheme="majorHAnsi" w:hAnsiTheme="majorHAnsi"/>
                <w:sz w:val="19"/>
                <w:szCs w:val="19"/>
              </w:rPr>
              <w:t>XXIV</w:t>
            </w:r>
            <w:r w:rsidRPr="00667CC3">
              <w:rPr>
                <w:rFonts w:asciiTheme="majorHAnsi" w:hAnsiTheme="majorHAnsi"/>
                <w:sz w:val="19"/>
                <w:szCs w:val="19"/>
              </w:rPr>
              <w:t xml:space="preserve"> (</w:t>
            </w:r>
            <w:r w:rsidR="00667CC3">
              <w:rPr>
                <w:rFonts w:asciiTheme="majorHAnsi" w:hAnsiTheme="majorHAnsi"/>
                <w:sz w:val="19"/>
                <w:szCs w:val="19"/>
              </w:rPr>
              <w:t>petition</w:t>
            </w:r>
            <w:r w:rsidRPr="00667CC3">
              <w:rPr>
                <w:rFonts w:asciiTheme="majorHAnsi" w:hAnsiTheme="majorHAnsi"/>
                <w:sz w:val="19"/>
                <w:szCs w:val="19"/>
              </w:rPr>
              <w:t>) of the American Declaration of the Rights and Duties of Man;</w:t>
            </w:r>
            <w:r w:rsidRPr="00667CC3">
              <w:rPr>
                <w:rStyle w:val="FootnoteReference"/>
                <w:rFonts w:asciiTheme="majorHAnsi" w:hAnsiTheme="majorHAnsi"/>
                <w:sz w:val="19"/>
                <w:szCs w:val="19"/>
              </w:rPr>
              <w:footnoteReference w:id="4"/>
            </w:r>
            <w:r w:rsidRPr="00667CC3">
              <w:rPr>
                <w:rFonts w:asciiTheme="majorHAnsi" w:hAnsiTheme="majorHAnsi"/>
                <w:sz w:val="19"/>
                <w:szCs w:val="19"/>
              </w:rPr>
              <w:t xml:space="preserve"> and other international instruments</w:t>
            </w:r>
            <w:r w:rsidRPr="00667CC3">
              <w:rPr>
                <w:rStyle w:val="FootnoteReference"/>
                <w:rFonts w:asciiTheme="majorHAnsi" w:hAnsiTheme="majorHAnsi"/>
                <w:sz w:val="19"/>
                <w:szCs w:val="19"/>
              </w:rPr>
              <w:footnoteReference w:id="5"/>
            </w:r>
            <w:r w:rsidRPr="00667CC3">
              <w:rPr>
                <w:rFonts w:asciiTheme="majorHAnsi" w:hAnsiTheme="majorHAnsi"/>
                <w:sz w:val="19"/>
                <w:szCs w:val="19"/>
              </w:rPr>
              <w:t xml:space="preserve"> </w:t>
            </w:r>
          </w:p>
        </w:tc>
      </w:tr>
    </w:tbl>
    <w:p w14:paraId="08C39C2C" w14:textId="77777777" w:rsidR="00F621C3" w:rsidRPr="00667CC3" w:rsidRDefault="00F621C3" w:rsidP="00C355B4">
      <w:pPr>
        <w:spacing w:before="120" w:after="120"/>
        <w:ind w:firstLine="720"/>
        <w:jc w:val="both"/>
        <w:rPr>
          <w:rFonts w:asciiTheme="majorHAnsi" w:hAnsiTheme="majorHAnsi"/>
          <w:b/>
          <w:bCs/>
          <w:sz w:val="19"/>
          <w:szCs w:val="19"/>
        </w:rPr>
      </w:pPr>
      <w:r w:rsidRPr="00667CC3">
        <w:rPr>
          <w:rFonts w:asciiTheme="majorHAnsi" w:hAnsiTheme="majorHAnsi"/>
          <w:b/>
          <w:bCs/>
          <w:sz w:val="19"/>
          <w:szCs w:val="19"/>
        </w:rPr>
        <w:t>II.</w:t>
      </w:r>
      <w:r w:rsidRPr="00667CC3">
        <w:rPr>
          <w:rFonts w:asciiTheme="majorHAnsi" w:hAnsiTheme="majorHAnsi"/>
          <w:b/>
          <w:bCs/>
          <w:sz w:val="19"/>
          <w:szCs w:val="19"/>
        </w:rPr>
        <w:tab/>
        <w:t>PROCE</w:t>
      </w:r>
      <w:r w:rsidR="00321AFD" w:rsidRPr="00667CC3">
        <w:rPr>
          <w:rFonts w:asciiTheme="majorHAnsi" w:hAnsiTheme="majorHAnsi"/>
          <w:b/>
          <w:bCs/>
          <w:sz w:val="19"/>
          <w:szCs w:val="19"/>
        </w:rPr>
        <w:t>EDINGS</w:t>
      </w:r>
      <w:r w:rsidRPr="00667CC3">
        <w:rPr>
          <w:rFonts w:asciiTheme="majorHAnsi" w:hAnsiTheme="majorHAnsi"/>
          <w:b/>
          <w:bCs/>
          <w:sz w:val="19"/>
          <w:szCs w:val="19"/>
        </w:rPr>
        <w:t xml:space="preserve"> BEFORE THE IACHR</w:t>
      </w:r>
      <w:r w:rsidR="00653EA6" w:rsidRPr="00667CC3">
        <w:rPr>
          <w:rStyle w:val="FootnoteReference"/>
          <w:rFonts w:asciiTheme="majorHAnsi" w:hAnsiTheme="majorHAnsi"/>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667CC3"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667CC3" w:rsidRDefault="00AB4FA4" w:rsidP="00B06BB7">
            <w:pPr>
              <w:jc w:val="center"/>
              <w:rPr>
                <w:rFonts w:asciiTheme="majorHAnsi" w:hAnsiTheme="majorHAnsi"/>
                <w:bCs/>
                <w:color w:val="FFFFFF" w:themeColor="background1"/>
                <w:sz w:val="19"/>
                <w:szCs w:val="19"/>
              </w:rPr>
            </w:pPr>
            <w:r w:rsidRPr="00667CC3">
              <w:rPr>
                <w:rFonts w:asciiTheme="majorHAnsi" w:hAnsiTheme="majorHAnsi"/>
                <w:bCs/>
                <w:color w:val="FFFFFF" w:themeColor="background1"/>
                <w:sz w:val="19"/>
                <w:szCs w:val="19"/>
              </w:rPr>
              <w:t xml:space="preserve">Date of </w:t>
            </w:r>
            <w:r w:rsidR="006E270D" w:rsidRPr="00667CC3">
              <w:rPr>
                <w:rFonts w:asciiTheme="majorHAnsi" w:hAnsiTheme="majorHAnsi"/>
                <w:bCs/>
                <w:color w:val="FFFFFF" w:themeColor="background1"/>
                <w:sz w:val="19"/>
                <w:szCs w:val="19"/>
              </w:rPr>
              <w:t>filing</w:t>
            </w:r>
          </w:p>
        </w:tc>
        <w:tc>
          <w:tcPr>
            <w:tcW w:w="6570" w:type="dxa"/>
            <w:vAlign w:val="center"/>
          </w:tcPr>
          <w:p w14:paraId="7EADD3E8" w14:textId="6A2E7FD8" w:rsidR="00261E08" w:rsidRPr="00667CC3" w:rsidRDefault="004A7069" w:rsidP="009163FC">
            <w:pPr>
              <w:jc w:val="both"/>
              <w:rPr>
                <w:rFonts w:asciiTheme="majorHAnsi" w:hAnsiTheme="majorHAnsi"/>
                <w:bCs/>
                <w:sz w:val="19"/>
                <w:szCs w:val="19"/>
              </w:rPr>
            </w:pPr>
            <w:r w:rsidRPr="00667CC3">
              <w:rPr>
                <w:rFonts w:asciiTheme="majorHAnsi" w:hAnsiTheme="majorHAnsi"/>
                <w:bCs/>
                <w:sz w:val="19"/>
                <w:szCs w:val="19"/>
              </w:rPr>
              <w:t>July 29, 2011</w:t>
            </w:r>
          </w:p>
        </w:tc>
      </w:tr>
      <w:tr w:rsidR="00261E08" w:rsidRPr="00667CC3"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667CC3" w:rsidRDefault="00261E08" w:rsidP="00C355B4">
            <w:pPr>
              <w:jc w:val="center"/>
              <w:rPr>
                <w:rFonts w:asciiTheme="majorHAnsi" w:hAnsiTheme="majorHAnsi"/>
                <w:bCs/>
                <w:color w:val="FFFFFF" w:themeColor="background1"/>
                <w:sz w:val="19"/>
                <w:szCs w:val="19"/>
              </w:rPr>
            </w:pPr>
            <w:r w:rsidRPr="00667CC3">
              <w:rPr>
                <w:rFonts w:asciiTheme="majorHAnsi" w:hAnsiTheme="majorHAnsi"/>
                <w:color w:val="FFFFFF" w:themeColor="background1"/>
                <w:sz w:val="19"/>
                <w:szCs w:val="19"/>
              </w:rPr>
              <w:t>Notification of the petition</w:t>
            </w:r>
          </w:p>
        </w:tc>
        <w:tc>
          <w:tcPr>
            <w:tcW w:w="6570" w:type="dxa"/>
            <w:vAlign w:val="center"/>
          </w:tcPr>
          <w:p w14:paraId="425D0EC0" w14:textId="69D259E9" w:rsidR="00261E08" w:rsidRPr="00667CC3" w:rsidRDefault="004A7069" w:rsidP="009163FC">
            <w:pPr>
              <w:jc w:val="both"/>
              <w:rPr>
                <w:rFonts w:asciiTheme="majorHAnsi" w:hAnsiTheme="majorHAnsi"/>
                <w:bCs/>
                <w:sz w:val="19"/>
                <w:szCs w:val="19"/>
              </w:rPr>
            </w:pPr>
            <w:r w:rsidRPr="00667CC3">
              <w:rPr>
                <w:rFonts w:asciiTheme="majorHAnsi" w:hAnsiTheme="majorHAnsi"/>
                <w:bCs/>
                <w:sz w:val="19"/>
                <w:szCs w:val="19"/>
              </w:rPr>
              <w:t>July 234 2016</w:t>
            </w:r>
          </w:p>
        </w:tc>
      </w:tr>
      <w:tr w:rsidR="00261E08" w:rsidRPr="00667CC3"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667CC3" w:rsidRDefault="00261E08" w:rsidP="009163FC">
            <w:pPr>
              <w:jc w:val="center"/>
              <w:rPr>
                <w:rFonts w:asciiTheme="majorHAnsi" w:hAnsiTheme="majorHAnsi"/>
                <w:bCs/>
                <w:color w:val="FFFFFF" w:themeColor="background1"/>
                <w:sz w:val="19"/>
                <w:szCs w:val="19"/>
              </w:rPr>
            </w:pPr>
            <w:r w:rsidRPr="00667CC3">
              <w:rPr>
                <w:rFonts w:asciiTheme="majorHAnsi" w:hAnsiTheme="majorHAnsi"/>
                <w:color w:val="FFFFFF" w:themeColor="background1"/>
                <w:sz w:val="19"/>
                <w:szCs w:val="19"/>
              </w:rPr>
              <w:t>State’s first response</w:t>
            </w:r>
          </w:p>
        </w:tc>
        <w:tc>
          <w:tcPr>
            <w:tcW w:w="6570" w:type="dxa"/>
            <w:vAlign w:val="center"/>
          </w:tcPr>
          <w:p w14:paraId="7B420FC0" w14:textId="4B715E79" w:rsidR="00261E08" w:rsidRPr="00667CC3" w:rsidRDefault="004A7069" w:rsidP="009163FC">
            <w:pPr>
              <w:jc w:val="both"/>
              <w:rPr>
                <w:rFonts w:asciiTheme="majorHAnsi" w:hAnsiTheme="majorHAnsi"/>
                <w:bCs/>
                <w:sz w:val="19"/>
                <w:szCs w:val="19"/>
              </w:rPr>
            </w:pPr>
            <w:r w:rsidRPr="00667CC3">
              <w:rPr>
                <w:rFonts w:asciiTheme="majorHAnsi" w:hAnsiTheme="majorHAnsi"/>
                <w:bCs/>
                <w:sz w:val="19"/>
                <w:szCs w:val="19"/>
              </w:rPr>
              <w:t>September 23, 2016</w:t>
            </w:r>
          </w:p>
        </w:tc>
      </w:tr>
      <w:tr w:rsidR="00261E08" w:rsidRPr="00667CC3" w14:paraId="158C8FCC" w14:textId="77777777" w:rsidTr="00C355B4">
        <w:tc>
          <w:tcPr>
            <w:tcW w:w="2790" w:type="dxa"/>
            <w:tcBorders>
              <w:top w:val="single" w:sz="6" w:space="0" w:color="auto"/>
              <w:bottom w:val="single" w:sz="6" w:space="0" w:color="auto"/>
            </w:tcBorders>
            <w:shd w:val="clear" w:color="auto" w:fill="67AE3C"/>
            <w:vAlign w:val="center"/>
          </w:tcPr>
          <w:p w14:paraId="666ABE64" w14:textId="77777777" w:rsidR="00261E08" w:rsidRPr="00667CC3" w:rsidRDefault="00261E08" w:rsidP="0023351C">
            <w:pPr>
              <w:jc w:val="center"/>
              <w:rPr>
                <w:rFonts w:asciiTheme="majorHAnsi" w:hAnsiTheme="majorHAnsi"/>
                <w:bCs/>
                <w:color w:val="FFFFFF" w:themeColor="background1"/>
                <w:sz w:val="19"/>
                <w:szCs w:val="19"/>
              </w:rPr>
            </w:pPr>
            <w:r w:rsidRPr="00667CC3">
              <w:rPr>
                <w:rFonts w:asciiTheme="majorHAnsi" w:hAnsiTheme="majorHAnsi"/>
                <w:bCs/>
                <w:color w:val="FFFFFF" w:themeColor="background1"/>
                <w:sz w:val="19"/>
                <w:szCs w:val="19"/>
              </w:rPr>
              <w:t>Additional observations from the petitioner</w:t>
            </w:r>
          </w:p>
        </w:tc>
        <w:tc>
          <w:tcPr>
            <w:tcW w:w="6570" w:type="dxa"/>
            <w:vAlign w:val="center"/>
          </w:tcPr>
          <w:p w14:paraId="281700F5" w14:textId="2C795740" w:rsidR="00261E08" w:rsidRPr="00667CC3" w:rsidRDefault="004A7069" w:rsidP="009163FC">
            <w:pPr>
              <w:jc w:val="both"/>
              <w:rPr>
                <w:rFonts w:asciiTheme="majorHAnsi" w:hAnsiTheme="majorHAnsi"/>
                <w:bCs/>
                <w:sz w:val="19"/>
                <w:szCs w:val="19"/>
              </w:rPr>
            </w:pPr>
            <w:r w:rsidRPr="00667CC3">
              <w:rPr>
                <w:rFonts w:asciiTheme="majorHAnsi" w:hAnsiTheme="majorHAnsi"/>
                <w:bCs/>
                <w:sz w:val="19"/>
                <w:szCs w:val="19"/>
              </w:rPr>
              <w:t>October 20, 2011; September 6, 2012; January 28, 2013; September 8, 9</w:t>
            </w:r>
            <w:r w:rsidR="00FB54AD">
              <w:rPr>
                <w:rFonts w:asciiTheme="majorHAnsi" w:hAnsiTheme="majorHAnsi"/>
                <w:bCs/>
                <w:sz w:val="19"/>
                <w:szCs w:val="19"/>
              </w:rPr>
              <w:t>,</w:t>
            </w:r>
            <w:r w:rsidRPr="00667CC3">
              <w:rPr>
                <w:rFonts w:asciiTheme="majorHAnsi" w:hAnsiTheme="majorHAnsi"/>
                <w:bCs/>
                <w:sz w:val="19"/>
                <w:szCs w:val="19"/>
              </w:rPr>
              <w:t xml:space="preserve"> and 23, 2016; February 14, April 20, June 20 and 27, and August 8, 15 and 30, September 5 and 28, October 4 and 24, 2017; January 24, February 12, May 24, and September 8, 2018</w:t>
            </w:r>
          </w:p>
        </w:tc>
      </w:tr>
      <w:tr w:rsidR="00261E08" w:rsidRPr="00667CC3" w14:paraId="66F06CFA" w14:textId="77777777" w:rsidTr="00C355B4">
        <w:tc>
          <w:tcPr>
            <w:tcW w:w="2790" w:type="dxa"/>
            <w:tcBorders>
              <w:top w:val="single" w:sz="6" w:space="0" w:color="auto"/>
              <w:bottom w:val="single" w:sz="6" w:space="0" w:color="auto"/>
            </w:tcBorders>
            <w:shd w:val="clear" w:color="auto" w:fill="67AE3C"/>
            <w:vAlign w:val="center"/>
          </w:tcPr>
          <w:p w14:paraId="4C7541F3" w14:textId="77777777" w:rsidR="00261E08" w:rsidRPr="00667CC3" w:rsidRDefault="00261E08" w:rsidP="00653EA6">
            <w:pPr>
              <w:jc w:val="center"/>
              <w:rPr>
                <w:rFonts w:asciiTheme="majorHAnsi" w:hAnsiTheme="majorHAnsi"/>
                <w:bCs/>
                <w:color w:val="FFFFFF" w:themeColor="background1"/>
                <w:sz w:val="19"/>
                <w:szCs w:val="19"/>
              </w:rPr>
            </w:pPr>
            <w:r w:rsidRPr="00667CC3">
              <w:rPr>
                <w:rFonts w:asciiTheme="majorHAnsi" w:hAnsiTheme="majorHAnsi"/>
                <w:bCs/>
                <w:color w:val="FFFFFF" w:themeColor="background1"/>
                <w:sz w:val="19"/>
                <w:szCs w:val="19"/>
              </w:rPr>
              <w:t>Additional observations from the State</w:t>
            </w:r>
          </w:p>
        </w:tc>
        <w:tc>
          <w:tcPr>
            <w:tcW w:w="6570" w:type="dxa"/>
            <w:vAlign w:val="center"/>
          </w:tcPr>
          <w:p w14:paraId="496FF3FF" w14:textId="3A0DF9A7" w:rsidR="00261E08" w:rsidRPr="00667CC3" w:rsidRDefault="0021157D" w:rsidP="009163FC">
            <w:pPr>
              <w:jc w:val="both"/>
              <w:rPr>
                <w:rFonts w:asciiTheme="majorHAnsi" w:hAnsiTheme="majorHAnsi"/>
                <w:bCs/>
                <w:sz w:val="19"/>
                <w:szCs w:val="19"/>
              </w:rPr>
            </w:pPr>
            <w:r w:rsidRPr="00667CC3">
              <w:rPr>
                <w:rFonts w:asciiTheme="majorHAnsi" w:hAnsiTheme="majorHAnsi"/>
                <w:bCs/>
                <w:sz w:val="19"/>
                <w:szCs w:val="19"/>
              </w:rPr>
              <w:t>August 28, 2017</w:t>
            </w:r>
          </w:p>
        </w:tc>
      </w:tr>
    </w:tbl>
    <w:p w14:paraId="3091AFE0" w14:textId="77777777" w:rsidR="00F621C3" w:rsidRPr="00667CC3" w:rsidRDefault="00F621C3" w:rsidP="00C355B4">
      <w:pPr>
        <w:spacing w:before="120" w:after="120"/>
        <w:ind w:firstLine="720"/>
        <w:jc w:val="both"/>
        <w:rPr>
          <w:rFonts w:asciiTheme="majorHAnsi" w:hAnsiTheme="majorHAnsi"/>
          <w:b/>
          <w:bCs/>
          <w:sz w:val="19"/>
          <w:szCs w:val="19"/>
        </w:rPr>
      </w:pPr>
      <w:r w:rsidRPr="00667CC3">
        <w:rPr>
          <w:rFonts w:asciiTheme="majorHAnsi" w:hAnsiTheme="majorHAnsi"/>
          <w:b/>
          <w:bCs/>
          <w:sz w:val="19"/>
          <w:szCs w:val="19"/>
        </w:rPr>
        <w:t xml:space="preserve">III. </w:t>
      </w:r>
      <w:r w:rsidRPr="00667CC3">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667CC3"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667CC3" w:rsidRDefault="00261E08" w:rsidP="009163FC">
            <w:pPr>
              <w:jc w:val="center"/>
              <w:rPr>
                <w:rFonts w:asciiTheme="majorHAnsi" w:hAnsiTheme="majorHAnsi"/>
                <w:bCs/>
                <w:i/>
                <w:color w:val="FFFFFF" w:themeColor="background1"/>
                <w:sz w:val="19"/>
                <w:szCs w:val="19"/>
              </w:rPr>
            </w:pPr>
            <w:r w:rsidRPr="00667CC3">
              <w:rPr>
                <w:rFonts w:asciiTheme="majorHAnsi" w:hAnsiTheme="majorHAnsi"/>
                <w:bCs/>
                <w:i/>
                <w:color w:val="FFFFFF" w:themeColor="background1"/>
                <w:sz w:val="19"/>
                <w:szCs w:val="19"/>
              </w:rPr>
              <w:t>Ratione personae</w:t>
            </w:r>
          </w:p>
        </w:tc>
        <w:tc>
          <w:tcPr>
            <w:tcW w:w="6622" w:type="dxa"/>
            <w:vAlign w:val="center"/>
          </w:tcPr>
          <w:p w14:paraId="21522B2E" w14:textId="469067D7" w:rsidR="00261E08" w:rsidRPr="00667CC3" w:rsidRDefault="0021157D" w:rsidP="009163FC">
            <w:pPr>
              <w:rPr>
                <w:rFonts w:asciiTheme="majorHAnsi" w:hAnsiTheme="majorHAnsi"/>
                <w:bCs/>
                <w:sz w:val="19"/>
                <w:szCs w:val="19"/>
              </w:rPr>
            </w:pPr>
            <w:r w:rsidRPr="00667CC3">
              <w:rPr>
                <w:rFonts w:asciiTheme="majorHAnsi" w:hAnsiTheme="majorHAnsi"/>
                <w:bCs/>
                <w:sz w:val="19"/>
                <w:szCs w:val="19"/>
              </w:rPr>
              <w:t>Yes</w:t>
            </w:r>
          </w:p>
        </w:tc>
      </w:tr>
      <w:tr w:rsidR="00261E08" w:rsidRPr="00667CC3" w14:paraId="6438DD58" w14:textId="77777777" w:rsidTr="00FB2DCE">
        <w:trPr>
          <w:cantSplit/>
        </w:trPr>
        <w:tc>
          <w:tcPr>
            <w:tcW w:w="2763" w:type="dxa"/>
            <w:tcBorders>
              <w:top w:val="single" w:sz="6" w:space="0" w:color="auto"/>
              <w:bottom w:val="single" w:sz="6" w:space="0" w:color="auto"/>
            </w:tcBorders>
            <w:shd w:val="clear" w:color="auto" w:fill="67AE3C"/>
            <w:vAlign w:val="center"/>
          </w:tcPr>
          <w:p w14:paraId="43AB8B19" w14:textId="6682D917" w:rsidR="00261E08" w:rsidRPr="00667CC3" w:rsidRDefault="00261E08" w:rsidP="00C355B4">
            <w:pPr>
              <w:jc w:val="center"/>
              <w:rPr>
                <w:rFonts w:asciiTheme="majorHAnsi" w:hAnsiTheme="majorHAnsi"/>
                <w:bCs/>
                <w:color w:val="FFFFFF" w:themeColor="background1"/>
                <w:sz w:val="19"/>
                <w:szCs w:val="19"/>
              </w:rPr>
            </w:pPr>
            <w:r w:rsidRPr="00667CC3">
              <w:rPr>
                <w:rFonts w:asciiTheme="majorHAnsi" w:hAnsiTheme="majorHAnsi"/>
                <w:bCs/>
                <w:i/>
                <w:color w:val="FFFFFF" w:themeColor="background1"/>
                <w:sz w:val="19"/>
                <w:szCs w:val="19"/>
              </w:rPr>
              <w:t>Ratione loci</w:t>
            </w:r>
          </w:p>
        </w:tc>
        <w:tc>
          <w:tcPr>
            <w:tcW w:w="6622" w:type="dxa"/>
            <w:vAlign w:val="center"/>
          </w:tcPr>
          <w:p w14:paraId="27041F7E" w14:textId="23EBF864" w:rsidR="00261E08" w:rsidRPr="00667CC3" w:rsidRDefault="0021157D" w:rsidP="009163FC">
            <w:pPr>
              <w:rPr>
                <w:rFonts w:asciiTheme="majorHAnsi" w:hAnsiTheme="majorHAnsi"/>
                <w:bCs/>
                <w:sz w:val="19"/>
                <w:szCs w:val="19"/>
              </w:rPr>
            </w:pPr>
            <w:r w:rsidRPr="00667CC3">
              <w:rPr>
                <w:rFonts w:asciiTheme="majorHAnsi" w:hAnsiTheme="majorHAnsi"/>
                <w:bCs/>
                <w:sz w:val="19"/>
                <w:szCs w:val="19"/>
              </w:rPr>
              <w:t>Yes</w:t>
            </w:r>
          </w:p>
        </w:tc>
      </w:tr>
      <w:tr w:rsidR="00261E08" w:rsidRPr="00667CC3" w14:paraId="5140C2B6" w14:textId="77777777" w:rsidTr="00FB2DCE">
        <w:trPr>
          <w:cantSplit/>
        </w:trPr>
        <w:tc>
          <w:tcPr>
            <w:tcW w:w="2763" w:type="dxa"/>
            <w:tcBorders>
              <w:top w:val="single" w:sz="6" w:space="0" w:color="auto"/>
              <w:bottom w:val="single" w:sz="6" w:space="0" w:color="auto"/>
            </w:tcBorders>
            <w:shd w:val="clear" w:color="auto" w:fill="67AE3C"/>
            <w:vAlign w:val="center"/>
          </w:tcPr>
          <w:p w14:paraId="74905820" w14:textId="44CF3A98" w:rsidR="00261E08" w:rsidRPr="00667CC3" w:rsidRDefault="00261E08" w:rsidP="009163FC">
            <w:pPr>
              <w:jc w:val="center"/>
              <w:rPr>
                <w:rFonts w:asciiTheme="majorHAnsi" w:hAnsiTheme="majorHAnsi"/>
                <w:bCs/>
                <w:color w:val="FFFFFF" w:themeColor="background1"/>
                <w:sz w:val="19"/>
                <w:szCs w:val="19"/>
              </w:rPr>
            </w:pPr>
            <w:r w:rsidRPr="00667CC3">
              <w:rPr>
                <w:rFonts w:asciiTheme="majorHAnsi" w:hAnsiTheme="majorHAnsi"/>
                <w:bCs/>
                <w:i/>
                <w:color w:val="FFFFFF" w:themeColor="background1"/>
                <w:sz w:val="19"/>
                <w:szCs w:val="19"/>
              </w:rPr>
              <w:t>Ratione temporis</w:t>
            </w:r>
          </w:p>
        </w:tc>
        <w:tc>
          <w:tcPr>
            <w:tcW w:w="6622" w:type="dxa"/>
            <w:vAlign w:val="center"/>
          </w:tcPr>
          <w:p w14:paraId="6091B7B0" w14:textId="5803E416" w:rsidR="00261E08" w:rsidRPr="00667CC3" w:rsidRDefault="0021157D" w:rsidP="009163FC">
            <w:pPr>
              <w:rPr>
                <w:rFonts w:asciiTheme="majorHAnsi" w:hAnsiTheme="majorHAnsi"/>
                <w:bCs/>
                <w:sz w:val="19"/>
                <w:szCs w:val="19"/>
              </w:rPr>
            </w:pPr>
            <w:r w:rsidRPr="00667CC3">
              <w:rPr>
                <w:rFonts w:asciiTheme="majorHAnsi" w:hAnsiTheme="majorHAnsi"/>
                <w:bCs/>
                <w:sz w:val="19"/>
                <w:szCs w:val="19"/>
              </w:rPr>
              <w:t>Yes</w:t>
            </w:r>
          </w:p>
        </w:tc>
      </w:tr>
      <w:tr w:rsidR="00261E08" w:rsidRPr="00667CC3" w14:paraId="33238134" w14:textId="77777777" w:rsidTr="00FB2DCE">
        <w:trPr>
          <w:cantSplit/>
        </w:trPr>
        <w:tc>
          <w:tcPr>
            <w:tcW w:w="2763" w:type="dxa"/>
            <w:tcBorders>
              <w:top w:val="single" w:sz="6" w:space="0" w:color="auto"/>
              <w:bottom w:val="single" w:sz="6" w:space="0" w:color="auto"/>
            </w:tcBorders>
            <w:shd w:val="clear" w:color="auto" w:fill="67AE3C"/>
            <w:vAlign w:val="center"/>
          </w:tcPr>
          <w:p w14:paraId="3C7AAFE9" w14:textId="5D07C0FE" w:rsidR="00261E08" w:rsidRPr="00667CC3" w:rsidRDefault="00261E08" w:rsidP="009163FC">
            <w:pPr>
              <w:jc w:val="center"/>
              <w:rPr>
                <w:rFonts w:asciiTheme="majorHAnsi" w:hAnsiTheme="majorHAnsi"/>
                <w:bCs/>
                <w:color w:val="FFFFFF" w:themeColor="background1"/>
                <w:sz w:val="19"/>
                <w:szCs w:val="19"/>
              </w:rPr>
            </w:pPr>
            <w:r w:rsidRPr="00667CC3">
              <w:rPr>
                <w:rFonts w:asciiTheme="majorHAnsi" w:hAnsiTheme="majorHAnsi"/>
                <w:bCs/>
                <w:i/>
                <w:color w:val="FFFFFF" w:themeColor="background1"/>
                <w:sz w:val="19"/>
                <w:szCs w:val="19"/>
              </w:rPr>
              <w:t>Ratione materiae</w:t>
            </w:r>
          </w:p>
        </w:tc>
        <w:tc>
          <w:tcPr>
            <w:tcW w:w="6622" w:type="dxa"/>
            <w:vAlign w:val="center"/>
          </w:tcPr>
          <w:p w14:paraId="49BB57C8" w14:textId="163C0FF7" w:rsidR="00261E08" w:rsidRPr="00667CC3" w:rsidRDefault="0021157D" w:rsidP="009163FC">
            <w:pPr>
              <w:jc w:val="both"/>
              <w:rPr>
                <w:rFonts w:asciiTheme="majorHAnsi" w:hAnsiTheme="majorHAnsi"/>
                <w:bCs/>
                <w:sz w:val="19"/>
                <w:szCs w:val="19"/>
              </w:rPr>
            </w:pPr>
            <w:r w:rsidRPr="00667CC3">
              <w:rPr>
                <w:rFonts w:asciiTheme="majorHAnsi" w:hAnsiTheme="majorHAnsi"/>
                <w:bCs/>
                <w:sz w:val="19"/>
                <w:szCs w:val="19"/>
              </w:rPr>
              <w:t>Yes. American Convention (deposit of instrument of ratification on July 28, 1978)</w:t>
            </w:r>
          </w:p>
        </w:tc>
      </w:tr>
    </w:tbl>
    <w:p w14:paraId="742070CB" w14:textId="77777777" w:rsidR="00F621C3" w:rsidRPr="00667CC3" w:rsidRDefault="00F621C3" w:rsidP="00C355B4">
      <w:pPr>
        <w:spacing w:before="120" w:after="120"/>
        <w:ind w:firstLine="720"/>
        <w:jc w:val="both"/>
        <w:rPr>
          <w:rFonts w:asciiTheme="majorHAnsi" w:hAnsiTheme="majorHAnsi"/>
          <w:b/>
          <w:bCs/>
          <w:sz w:val="19"/>
          <w:szCs w:val="19"/>
        </w:rPr>
      </w:pPr>
      <w:r w:rsidRPr="00667CC3">
        <w:rPr>
          <w:rFonts w:asciiTheme="majorHAnsi" w:hAnsiTheme="majorHAnsi"/>
          <w:b/>
          <w:bCs/>
          <w:sz w:val="19"/>
          <w:szCs w:val="19"/>
        </w:rPr>
        <w:t xml:space="preserve">IV. </w:t>
      </w:r>
      <w:r w:rsidRPr="00667CC3">
        <w:rPr>
          <w:rFonts w:asciiTheme="majorHAnsi" w:hAnsiTheme="majorHAnsi"/>
          <w:b/>
          <w:bCs/>
          <w:sz w:val="19"/>
          <w:szCs w:val="19"/>
        </w:rPr>
        <w:tab/>
        <w:t xml:space="preserve">DUPLICATION OF PROCEDURES AND INTERNATIONAL </w:t>
      </w:r>
      <w:r w:rsidRPr="00667CC3">
        <w:rPr>
          <w:rFonts w:asciiTheme="majorHAnsi" w:hAnsiTheme="majorHAnsi"/>
          <w:b/>
          <w:bCs/>
          <w:i/>
          <w:sz w:val="19"/>
          <w:szCs w:val="19"/>
        </w:rPr>
        <w:t>RES JUDICATA</w:t>
      </w:r>
      <w:r w:rsidRPr="00667CC3">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667CC3"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667CC3" w:rsidRDefault="00261E08" w:rsidP="008546E5">
            <w:pPr>
              <w:jc w:val="center"/>
              <w:rPr>
                <w:rFonts w:asciiTheme="majorHAnsi" w:hAnsiTheme="majorHAnsi"/>
                <w:bCs/>
                <w:color w:val="FFFFFF" w:themeColor="background1"/>
                <w:sz w:val="19"/>
                <w:szCs w:val="19"/>
              </w:rPr>
            </w:pPr>
            <w:r w:rsidRPr="00667CC3">
              <w:rPr>
                <w:rFonts w:asciiTheme="majorHAnsi" w:hAnsiTheme="majorHAnsi"/>
                <w:bCs/>
                <w:color w:val="FFFFFF" w:themeColor="background1"/>
                <w:sz w:val="19"/>
                <w:szCs w:val="19"/>
              </w:rPr>
              <w:t xml:space="preserve">Duplication of procedures and international </w:t>
            </w:r>
            <w:r w:rsidRPr="00667CC3">
              <w:rPr>
                <w:rFonts w:asciiTheme="majorHAnsi" w:hAnsiTheme="majorHAnsi"/>
                <w:bCs/>
                <w:i/>
                <w:color w:val="FFFFFF" w:themeColor="background1"/>
                <w:sz w:val="19"/>
                <w:szCs w:val="19"/>
              </w:rPr>
              <w:t>res judicata</w:t>
            </w:r>
          </w:p>
        </w:tc>
        <w:tc>
          <w:tcPr>
            <w:tcW w:w="6618" w:type="dxa"/>
            <w:vAlign w:val="center"/>
          </w:tcPr>
          <w:p w14:paraId="1A7CFC69" w14:textId="5A806550" w:rsidR="00261E08" w:rsidRPr="00667CC3" w:rsidRDefault="0021157D" w:rsidP="009163FC">
            <w:pPr>
              <w:jc w:val="both"/>
              <w:rPr>
                <w:rFonts w:asciiTheme="majorHAnsi" w:hAnsiTheme="majorHAnsi"/>
                <w:bCs/>
                <w:sz w:val="19"/>
                <w:szCs w:val="19"/>
              </w:rPr>
            </w:pPr>
            <w:r w:rsidRPr="00667CC3">
              <w:rPr>
                <w:rFonts w:asciiTheme="majorHAnsi" w:hAnsiTheme="majorHAnsi"/>
                <w:bCs/>
                <w:sz w:val="19"/>
                <w:szCs w:val="19"/>
              </w:rPr>
              <w:t>No</w:t>
            </w:r>
          </w:p>
        </w:tc>
      </w:tr>
      <w:tr w:rsidR="00261E08" w:rsidRPr="00667CC3"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667CC3" w:rsidRDefault="00261E08" w:rsidP="009163FC">
            <w:pPr>
              <w:jc w:val="center"/>
              <w:rPr>
                <w:rFonts w:asciiTheme="majorHAnsi" w:hAnsiTheme="majorHAnsi"/>
                <w:bCs/>
                <w:i/>
                <w:color w:val="FFFFFF" w:themeColor="background1"/>
                <w:sz w:val="19"/>
                <w:szCs w:val="19"/>
              </w:rPr>
            </w:pPr>
            <w:r w:rsidRPr="00667CC3">
              <w:rPr>
                <w:rFonts w:asciiTheme="majorHAnsi" w:hAnsiTheme="majorHAnsi"/>
                <w:bCs/>
                <w:color w:val="FFFFFF" w:themeColor="background1"/>
                <w:sz w:val="19"/>
                <w:szCs w:val="19"/>
              </w:rPr>
              <w:t>Rights declared admissible</w:t>
            </w:r>
          </w:p>
        </w:tc>
        <w:tc>
          <w:tcPr>
            <w:tcW w:w="6618" w:type="dxa"/>
            <w:vAlign w:val="center"/>
          </w:tcPr>
          <w:p w14:paraId="7C8C5244" w14:textId="6F59D5CD" w:rsidR="00261E08" w:rsidRPr="00667CC3" w:rsidRDefault="002119C7" w:rsidP="009163FC">
            <w:pPr>
              <w:jc w:val="both"/>
              <w:rPr>
                <w:rFonts w:asciiTheme="majorHAnsi" w:hAnsiTheme="majorHAnsi"/>
                <w:bCs/>
                <w:sz w:val="19"/>
                <w:szCs w:val="19"/>
              </w:rPr>
            </w:pPr>
            <w:r w:rsidRPr="00667CC3">
              <w:rPr>
                <w:rFonts w:asciiTheme="majorHAnsi" w:hAnsiTheme="majorHAnsi"/>
                <w:sz w:val="19"/>
                <w:szCs w:val="19"/>
              </w:rPr>
              <w:t>Articles 5 (humane treatment), 8 (fair trial), 21 (property), 24 (equal protection), 25 (judicial protection), and 26 (economic, social, and cultural rights) of the American Convention in relation to its Articles 1.1 (obligation to respect rights) and 2 (domestic legal effects)</w:t>
            </w:r>
          </w:p>
        </w:tc>
      </w:tr>
      <w:tr w:rsidR="00261E08" w:rsidRPr="00667CC3"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667CC3" w:rsidRDefault="00261E08" w:rsidP="008546E5">
            <w:pPr>
              <w:jc w:val="center"/>
              <w:rPr>
                <w:rFonts w:asciiTheme="majorHAnsi" w:hAnsiTheme="majorHAnsi"/>
                <w:bCs/>
                <w:color w:val="FFFFFF" w:themeColor="background1"/>
                <w:sz w:val="19"/>
                <w:szCs w:val="19"/>
              </w:rPr>
            </w:pPr>
            <w:r w:rsidRPr="00667CC3">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1B5BA58A" w:rsidR="00261E08" w:rsidRPr="00667CC3" w:rsidRDefault="0021157D" w:rsidP="009163FC">
            <w:pPr>
              <w:rPr>
                <w:rFonts w:asciiTheme="majorHAnsi" w:hAnsiTheme="majorHAnsi"/>
                <w:bCs/>
                <w:sz w:val="19"/>
                <w:szCs w:val="19"/>
              </w:rPr>
            </w:pPr>
            <w:r w:rsidRPr="00667CC3">
              <w:rPr>
                <w:rFonts w:asciiTheme="majorHAnsi" w:hAnsiTheme="majorHAnsi"/>
                <w:bCs/>
                <w:sz w:val="19"/>
                <w:szCs w:val="19"/>
              </w:rPr>
              <w:t>Yes. October 9, 2013</w:t>
            </w:r>
          </w:p>
        </w:tc>
      </w:tr>
      <w:tr w:rsidR="00261E08" w:rsidRPr="00667CC3"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667CC3" w:rsidRDefault="00261E08" w:rsidP="009163FC">
            <w:pPr>
              <w:jc w:val="center"/>
              <w:rPr>
                <w:rFonts w:asciiTheme="majorHAnsi" w:hAnsiTheme="majorHAnsi"/>
                <w:bCs/>
                <w:color w:val="FFFFFF" w:themeColor="background1"/>
                <w:sz w:val="19"/>
                <w:szCs w:val="19"/>
              </w:rPr>
            </w:pPr>
            <w:r w:rsidRPr="00667CC3">
              <w:rPr>
                <w:rFonts w:asciiTheme="majorHAnsi" w:hAnsiTheme="majorHAnsi"/>
                <w:bCs/>
                <w:color w:val="FFFFFF" w:themeColor="background1"/>
                <w:sz w:val="19"/>
                <w:szCs w:val="19"/>
              </w:rPr>
              <w:t>Timeliness of the petition</w:t>
            </w:r>
          </w:p>
        </w:tc>
        <w:tc>
          <w:tcPr>
            <w:tcW w:w="6618" w:type="dxa"/>
            <w:vAlign w:val="center"/>
          </w:tcPr>
          <w:p w14:paraId="474C25FA" w14:textId="6428A0A2" w:rsidR="00261E08" w:rsidRPr="00667CC3" w:rsidRDefault="0021157D" w:rsidP="009163FC">
            <w:pPr>
              <w:rPr>
                <w:rFonts w:asciiTheme="majorHAnsi" w:hAnsiTheme="majorHAnsi"/>
                <w:bCs/>
                <w:sz w:val="19"/>
                <w:szCs w:val="19"/>
              </w:rPr>
            </w:pPr>
            <w:r w:rsidRPr="00667CC3">
              <w:rPr>
                <w:rFonts w:asciiTheme="majorHAnsi" w:hAnsiTheme="majorHAnsi"/>
                <w:bCs/>
                <w:sz w:val="19"/>
                <w:szCs w:val="19"/>
              </w:rPr>
              <w:t>Yes. July 29, 2011</w:t>
            </w:r>
          </w:p>
        </w:tc>
      </w:tr>
    </w:tbl>
    <w:p w14:paraId="3FEBD323" w14:textId="6C19C762" w:rsidR="00F621C3" w:rsidRPr="00667CC3" w:rsidRDefault="00F621C3" w:rsidP="00742EF1">
      <w:pPr>
        <w:spacing w:before="120" w:after="240"/>
        <w:ind w:firstLine="720"/>
        <w:jc w:val="both"/>
        <w:rPr>
          <w:rFonts w:asciiTheme="majorHAnsi" w:hAnsiTheme="majorHAnsi"/>
          <w:b/>
          <w:sz w:val="20"/>
          <w:szCs w:val="20"/>
        </w:rPr>
      </w:pPr>
      <w:r w:rsidRPr="00667CC3">
        <w:rPr>
          <w:rFonts w:asciiTheme="majorHAnsi" w:hAnsiTheme="majorHAnsi"/>
          <w:b/>
          <w:sz w:val="20"/>
          <w:szCs w:val="20"/>
        </w:rPr>
        <w:t xml:space="preserve">V. </w:t>
      </w:r>
      <w:r w:rsidRPr="00667CC3">
        <w:rPr>
          <w:rFonts w:asciiTheme="majorHAnsi" w:hAnsiTheme="majorHAnsi"/>
          <w:b/>
          <w:sz w:val="20"/>
          <w:szCs w:val="20"/>
        </w:rPr>
        <w:tab/>
      </w:r>
      <w:r w:rsidR="003D6EE0" w:rsidRPr="00667CC3">
        <w:rPr>
          <w:rFonts w:asciiTheme="majorHAnsi" w:hAnsiTheme="majorHAnsi"/>
          <w:b/>
          <w:sz w:val="20"/>
          <w:szCs w:val="20"/>
        </w:rPr>
        <w:t xml:space="preserve">SUMMARY OF </w:t>
      </w:r>
      <w:r w:rsidR="00706858" w:rsidRPr="00667CC3">
        <w:rPr>
          <w:rFonts w:asciiTheme="majorHAnsi" w:hAnsiTheme="majorHAnsi"/>
          <w:b/>
          <w:sz w:val="20"/>
          <w:szCs w:val="20"/>
        </w:rPr>
        <w:t xml:space="preserve">ALLEGED </w:t>
      </w:r>
      <w:r w:rsidRPr="00667CC3">
        <w:rPr>
          <w:rFonts w:asciiTheme="majorHAnsi" w:hAnsiTheme="majorHAnsi"/>
          <w:b/>
          <w:sz w:val="20"/>
          <w:szCs w:val="20"/>
        </w:rPr>
        <w:t xml:space="preserve">FACTS </w:t>
      </w:r>
    </w:p>
    <w:p w14:paraId="075DA886" w14:textId="4D129C88" w:rsidR="00ED4220" w:rsidRDefault="00ED4220" w:rsidP="00742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Víctor Luis Padilla Tejada (“the petitioner” or “the alleged victim”) indicates that starting on March 1, 1955</w:t>
      </w:r>
      <w:r w:rsidR="009B1436">
        <w:rPr>
          <w:rFonts w:ascii="Cambria" w:hAnsi="Cambria"/>
          <w:sz w:val="20"/>
          <w:szCs w:val="20"/>
          <w:lang w:val="en"/>
        </w:rPr>
        <w:t>,</w:t>
      </w:r>
      <w:r>
        <w:rPr>
          <w:rFonts w:ascii="Cambria" w:hAnsi="Cambria"/>
          <w:sz w:val="20"/>
          <w:szCs w:val="20"/>
          <w:lang w:val="en"/>
        </w:rPr>
        <w:t xml:space="preserve"> he worked as a teacher in the public sector and developed an outstanding career that led him </w:t>
      </w:r>
      <w:r>
        <w:rPr>
          <w:rFonts w:ascii="Cambria" w:hAnsi="Cambria"/>
          <w:sz w:val="20"/>
          <w:szCs w:val="20"/>
          <w:lang w:val="en"/>
        </w:rPr>
        <w:lastRenderedPageBreak/>
        <w:t>to become dean of the School of Communication Sciences at San Martín de Porres University. He claims that in 1985</w:t>
      </w:r>
      <w:r w:rsidR="009B1436">
        <w:rPr>
          <w:rFonts w:ascii="Cambria" w:hAnsi="Cambria"/>
          <w:sz w:val="20"/>
          <w:szCs w:val="20"/>
          <w:lang w:val="en"/>
        </w:rPr>
        <w:t>,</w:t>
      </w:r>
      <w:r>
        <w:rPr>
          <w:rFonts w:ascii="Cambria" w:hAnsi="Cambria"/>
          <w:sz w:val="20"/>
          <w:szCs w:val="20"/>
          <w:lang w:val="en"/>
        </w:rPr>
        <w:t xml:space="preserve"> he was compelled to </w:t>
      </w:r>
      <w:r w:rsidR="009B1436">
        <w:rPr>
          <w:rFonts w:ascii="Cambria" w:hAnsi="Cambria"/>
          <w:sz w:val="20"/>
          <w:szCs w:val="20"/>
          <w:lang w:val="en"/>
        </w:rPr>
        <w:t xml:space="preserve">apply </w:t>
      </w:r>
      <w:r>
        <w:rPr>
          <w:rFonts w:ascii="Cambria" w:hAnsi="Cambria"/>
          <w:sz w:val="20"/>
          <w:szCs w:val="20"/>
          <w:lang w:val="en"/>
        </w:rPr>
        <w:t>for voluntary termination of employment in order to preserve his life, for he had been exposed to several acts of violence.</w:t>
      </w:r>
      <w:r>
        <w:rPr>
          <w:rStyle w:val="FootnoteReference"/>
          <w:rFonts w:ascii="Cambria" w:hAnsi="Cambria"/>
          <w:sz w:val="20"/>
          <w:szCs w:val="20"/>
          <w:lang w:val="en"/>
        </w:rPr>
        <w:footnoteReference w:id="7"/>
      </w:r>
      <w:r>
        <w:rPr>
          <w:rFonts w:ascii="Cambria" w:hAnsi="Cambria"/>
          <w:sz w:val="20"/>
          <w:szCs w:val="20"/>
          <w:lang w:val="en"/>
        </w:rPr>
        <w:t xml:space="preserve"> According to him, on July 1, 1985, he was terminated but not granted his teaching retirement pension, which he was entitled to under Law No. 20530,</w:t>
      </w:r>
      <w:r>
        <w:rPr>
          <w:rStyle w:val="FootnoteReference"/>
          <w:rFonts w:ascii="Cambria" w:hAnsi="Cambria"/>
          <w:sz w:val="20"/>
          <w:szCs w:val="20"/>
          <w:lang w:val="en"/>
        </w:rPr>
        <w:footnoteReference w:id="8"/>
      </w:r>
      <w:r>
        <w:rPr>
          <w:rFonts w:ascii="Cambria" w:hAnsi="Cambria"/>
          <w:sz w:val="20"/>
          <w:szCs w:val="20"/>
          <w:lang w:val="en"/>
        </w:rPr>
        <w:t xml:space="preserve"> or additional benefits.</w:t>
      </w:r>
      <w:r>
        <w:rPr>
          <w:rStyle w:val="FootnoteReference"/>
          <w:rFonts w:ascii="Cambria" w:hAnsi="Cambria"/>
          <w:sz w:val="20"/>
          <w:szCs w:val="20"/>
          <w:lang w:val="en"/>
        </w:rPr>
        <w:footnoteReference w:id="9"/>
      </w:r>
      <w:r>
        <w:rPr>
          <w:rFonts w:ascii="Cambria" w:hAnsi="Cambria"/>
          <w:sz w:val="20"/>
          <w:szCs w:val="20"/>
          <w:lang w:val="en"/>
        </w:rPr>
        <w:t xml:space="preserve"> He claims that the resolution recognized only 22 years, 3 months, and 25 days</w:t>
      </w:r>
      <w:r>
        <w:rPr>
          <w:rStyle w:val="FootnoteReference"/>
          <w:rFonts w:ascii="Cambria" w:hAnsi="Cambria"/>
          <w:sz w:val="20"/>
          <w:szCs w:val="20"/>
          <w:lang w:val="en"/>
        </w:rPr>
        <w:footnoteReference w:id="10"/>
      </w:r>
      <w:r>
        <w:rPr>
          <w:rFonts w:ascii="Cambria" w:hAnsi="Cambria"/>
          <w:sz w:val="20"/>
          <w:szCs w:val="20"/>
          <w:lang w:val="en"/>
        </w:rPr>
        <w:t xml:space="preserve"> of his actual 34 years and 7 months of service.</w:t>
      </w:r>
      <w:r>
        <w:rPr>
          <w:rStyle w:val="FootnoteReference"/>
          <w:rFonts w:ascii="Cambria" w:hAnsi="Cambria"/>
          <w:sz w:val="20"/>
          <w:szCs w:val="20"/>
          <w:lang w:val="en"/>
        </w:rPr>
        <w:footnoteReference w:id="11"/>
      </w:r>
      <w:r w:rsidR="00F62449">
        <w:rPr>
          <w:rFonts w:ascii="Cambria" w:hAnsi="Cambria"/>
          <w:sz w:val="20"/>
          <w:szCs w:val="20"/>
          <w:lang w:val="en"/>
        </w:rPr>
        <w:t xml:space="preserve"> He </w:t>
      </w:r>
      <w:r>
        <w:rPr>
          <w:rFonts w:ascii="Cambria" w:hAnsi="Cambria"/>
          <w:sz w:val="20"/>
          <w:szCs w:val="20"/>
          <w:lang w:val="en"/>
        </w:rPr>
        <w:t>alleges that on September 5, 1985, he lodged an appeal</w:t>
      </w:r>
      <w:r w:rsidR="00F62449">
        <w:rPr>
          <w:rFonts w:ascii="Cambria" w:hAnsi="Cambria"/>
          <w:sz w:val="20"/>
          <w:szCs w:val="20"/>
          <w:lang w:val="en"/>
        </w:rPr>
        <w:t xml:space="preserve"> for reconsideration</w:t>
      </w:r>
      <w:r>
        <w:rPr>
          <w:rFonts w:ascii="Cambria" w:hAnsi="Cambria"/>
          <w:sz w:val="20"/>
          <w:szCs w:val="20"/>
          <w:lang w:val="en"/>
        </w:rPr>
        <w:t xml:space="preserve">, of which he has had no answer. He adds that on June 30, 1998, he filed two applications to the Ministry of Education, one regarding a provisional post-termination pension and another regarding a life pension, none of which </w:t>
      </w:r>
      <w:r w:rsidR="009B1436">
        <w:rPr>
          <w:rFonts w:ascii="Cambria" w:hAnsi="Cambria"/>
          <w:sz w:val="20"/>
          <w:szCs w:val="20"/>
          <w:lang w:val="en"/>
        </w:rPr>
        <w:t>have</w:t>
      </w:r>
      <w:r>
        <w:rPr>
          <w:rFonts w:ascii="Cambria" w:hAnsi="Cambria"/>
          <w:sz w:val="20"/>
          <w:szCs w:val="20"/>
          <w:lang w:val="en"/>
        </w:rPr>
        <w:t xml:space="preserve"> been answered. He claims given the lack of administrative processing of his pension applications, from 2012 to 2016 he had to file several complaints and applications to the Local Unit for Educational Management (hereinafter “UGEL”) and the Ministry of Education, despite which his pension applications have not been processed.</w:t>
      </w:r>
      <w:r>
        <w:rPr>
          <w:rStyle w:val="FootnoteReference"/>
          <w:rFonts w:ascii="Cambria" w:hAnsi="Cambria"/>
          <w:sz w:val="20"/>
          <w:szCs w:val="20"/>
          <w:lang w:val="en"/>
        </w:rPr>
        <w:footnoteReference w:id="12"/>
      </w:r>
      <w:r>
        <w:rPr>
          <w:rFonts w:ascii="Cambria" w:hAnsi="Cambria"/>
          <w:sz w:val="20"/>
          <w:szCs w:val="20"/>
          <w:lang w:val="en"/>
        </w:rPr>
        <w:t xml:space="preserve"> </w:t>
      </w:r>
    </w:p>
    <w:p w14:paraId="2F16CD16" w14:textId="12C088FC" w:rsidR="00ED4220" w:rsidRDefault="00ED4220" w:rsidP="00742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He indicates that in 2005 he applied for a writ of mandamus requiring the Ministry of Education to fulfill its administrative duties. He alleges </w:t>
      </w:r>
      <w:r w:rsidR="00E41BCA">
        <w:rPr>
          <w:rFonts w:ascii="Cambria" w:hAnsi="Cambria"/>
          <w:sz w:val="20"/>
          <w:szCs w:val="20"/>
          <w:lang w:val="en"/>
        </w:rPr>
        <w:t xml:space="preserve">there was </w:t>
      </w:r>
      <w:r>
        <w:rPr>
          <w:rFonts w:ascii="Cambria" w:hAnsi="Cambria"/>
          <w:sz w:val="20"/>
          <w:szCs w:val="20"/>
          <w:lang w:val="en"/>
        </w:rPr>
        <w:t xml:space="preserve">an unwarranted delay in the </w:t>
      </w:r>
      <w:r w:rsidR="00DC5F1A">
        <w:rPr>
          <w:rFonts w:ascii="Cambria" w:hAnsi="Cambria"/>
          <w:sz w:val="20"/>
          <w:szCs w:val="20"/>
          <w:lang w:val="en"/>
        </w:rPr>
        <w:t>resolution of</w:t>
      </w:r>
      <w:r>
        <w:rPr>
          <w:rFonts w:ascii="Cambria" w:hAnsi="Cambria"/>
          <w:sz w:val="20"/>
          <w:szCs w:val="20"/>
          <w:lang w:val="en"/>
        </w:rPr>
        <w:t xml:space="preserve"> this</w:t>
      </w:r>
      <w:r w:rsidR="00DC5F1A">
        <w:rPr>
          <w:rFonts w:ascii="Cambria" w:hAnsi="Cambria"/>
          <w:sz w:val="20"/>
          <w:szCs w:val="20"/>
          <w:lang w:val="en"/>
        </w:rPr>
        <w:t xml:space="preserve"> legal</w:t>
      </w:r>
      <w:r>
        <w:rPr>
          <w:rFonts w:ascii="Cambria" w:hAnsi="Cambria"/>
          <w:sz w:val="20"/>
          <w:szCs w:val="20"/>
          <w:lang w:val="en"/>
        </w:rPr>
        <w:t xml:space="preserve"> action.</w:t>
      </w:r>
      <w:r>
        <w:rPr>
          <w:rStyle w:val="FootnoteReference"/>
          <w:rFonts w:ascii="Cambria" w:hAnsi="Cambria"/>
          <w:sz w:val="20"/>
          <w:szCs w:val="20"/>
          <w:lang w:val="en"/>
        </w:rPr>
        <w:footnoteReference w:id="13"/>
      </w:r>
      <w:r>
        <w:rPr>
          <w:rFonts w:ascii="Cambria" w:hAnsi="Cambria"/>
          <w:sz w:val="20"/>
          <w:szCs w:val="20"/>
          <w:lang w:val="en"/>
        </w:rPr>
        <w:t xml:space="preserve"> He submits that when he filed his petition in 2011, his </w:t>
      </w:r>
      <w:r w:rsidR="00DC5F1A">
        <w:rPr>
          <w:rFonts w:ascii="Cambria" w:hAnsi="Cambria"/>
          <w:sz w:val="20"/>
          <w:szCs w:val="20"/>
          <w:lang w:val="en"/>
        </w:rPr>
        <w:t>case file</w:t>
      </w:r>
      <w:r>
        <w:rPr>
          <w:rFonts w:ascii="Cambria" w:hAnsi="Cambria"/>
          <w:sz w:val="20"/>
          <w:szCs w:val="20"/>
          <w:lang w:val="en"/>
        </w:rPr>
        <w:t xml:space="preserve"> was still </w:t>
      </w:r>
      <w:r w:rsidR="00DC5F1A">
        <w:rPr>
          <w:rFonts w:ascii="Cambria" w:hAnsi="Cambria"/>
          <w:sz w:val="20"/>
          <w:szCs w:val="20"/>
          <w:lang w:val="en"/>
        </w:rPr>
        <w:t>pending</w:t>
      </w:r>
      <w:r>
        <w:rPr>
          <w:rFonts w:ascii="Cambria" w:hAnsi="Cambria"/>
          <w:sz w:val="20"/>
          <w:szCs w:val="20"/>
          <w:lang w:val="en"/>
        </w:rPr>
        <w:t xml:space="preserve">; and only in 2013 did a trial court issue judgment. He adds that he filed a </w:t>
      </w:r>
      <w:r w:rsidRPr="003F0E9A">
        <w:rPr>
          <w:rFonts w:ascii="Cambria" w:hAnsi="Cambria"/>
          <w:i/>
          <w:iCs/>
          <w:sz w:val="20"/>
          <w:szCs w:val="20"/>
          <w:lang w:val="en"/>
        </w:rPr>
        <w:t>habeas data</w:t>
      </w:r>
      <w:r>
        <w:rPr>
          <w:rFonts w:ascii="Cambria" w:hAnsi="Cambria"/>
          <w:sz w:val="20"/>
          <w:szCs w:val="20"/>
          <w:lang w:val="en"/>
        </w:rPr>
        <w:t xml:space="preserve"> petition, ruled inadmissible by Constitutional Court No. 10 on October 30, 2015. He filed criminal complaint 541-2013 against the UGEL director, for abuse of power, crimes against public administration, and discrimination; however, the public prosecutor’s office dismissed it on June 4, 2015. He lodged a criminal complaint against a reluctant UGEL for abuse of power, discrimination, and coercion and a complaint with the Ombudsman’s Office, </w:t>
      </w:r>
      <w:r w:rsidR="00FA41FD">
        <w:rPr>
          <w:rFonts w:ascii="Cambria" w:hAnsi="Cambria"/>
          <w:sz w:val="20"/>
          <w:szCs w:val="20"/>
          <w:lang w:val="en"/>
        </w:rPr>
        <w:t>both of which remained</w:t>
      </w:r>
      <w:r>
        <w:rPr>
          <w:rFonts w:ascii="Cambria" w:hAnsi="Cambria"/>
          <w:sz w:val="20"/>
          <w:szCs w:val="20"/>
          <w:lang w:val="en"/>
        </w:rPr>
        <w:t xml:space="preserve"> unprocessed in 2016. Contrary to the State’s claims, he contends that he has </w:t>
      </w:r>
      <w:r w:rsidR="00F40C93">
        <w:rPr>
          <w:rFonts w:ascii="Cambria" w:hAnsi="Cambria"/>
          <w:sz w:val="20"/>
          <w:szCs w:val="20"/>
          <w:lang w:val="en"/>
        </w:rPr>
        <w:t xml:space="preserve">not </w:t>
      </w:r>
      <w:r>
        <w:rPr>
          <w:rFonts w:ascii="Cambria" w:hAnsi="Cambria"/>
          <w:sz w:val="20"/>
          <w:szCs w:val="20"/>
          <w:lang w:val="en"/>
        </w:rPr>
        <w:t xml:space="preserve">been granted any retirement pension under any scheme. </w:t>
      </w:r>
    </w:p>
    <w:p w14:paraId="18C68582" w14:textId="27ED8A8E" w:rsidR="00ED4220" w:rsidRDefault="00ED4220" w:rsidP="00742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The State</w:t>
      </w:r>
      <w:r>
        <w:rPr>
          <w:rStyle w:val="FootnoteReference"/>
          <w:rFonts w:ascii="Cambria" w:hAnsi="Cambria"/>
          <w:sz w:val="20"/>
          <w:szCs w:val="20"/>
          <w:lang w:val="en"/>
        </w:rPr>
        <w:footnoteReference w:id="14"/>
      </w:r>
      <w:r>
        <w:rPr>
          <w:rFonts w:ascii="Cambria" w:hAnsi="Cambria"/>
          <w:sz w:val="20"/>
          <w:szCs w:val="20"/>
          <w:lang w:val="en"/>
        </w:rPr>
        <w:t xml:space="preserve"> claims that there </w:t>
      </w:r>
      <w:r w:rsidR="00FA41FD">
        <w:rPr>
          <w:rFonts w:ascii="Cambria" w:hAnsi="Cambria"/>
          <w:sz w:val="20"/>
          <w:szCs w:val="20"/>
          <w:lang w:val="en"/>
        </w:rPr>
        <w:t>has been no</w:t>
      </w:r>
      <w:r>
        <w:rPr>
          <w:rFonts w:ascii="Cambria" w:hAnsi="Cambria"/>
          <w:sz w:val="20"/>
          <w:szCs w:val="20"/>
          <w:lang w:val="en"/>
        </w:rPr>
        <w:t xml:space="preserve"> </w:t>
      </w:r>
      <w:r w:rsidR="00F0785A">
        <w:rPr>
          <w:rFonts w:ascii="Cambria" w:hAnsi="Cambria"/>
          <w:sz w:val="20"/>
          <w:szCs w:val="20"/>
          <w:lang w:val="en"/>
        </w:rPr>
        <w:t>unwarranted delay in</w:t>
      </w:r>
      <w:r>
        <w:rPr>
          <w:rFonts w:ascii="Cambria" w:hAnsi="Cambria"/>
          <w:sz w:val="20"/>
          <w:szCs w:val="20"/>
          <w:lang w:val="en"/>
        </w:rPr>
        <w:t xml:space="preserve"> </w:t>
      </w:r>
      <w:r w:rsidR="00FA41FD">
        <w:rPr>
          <w:rFonts w:ascii="Cambria" w:hAnsi="Cambria"/>
          <w:sz w:val="20"/>
          <w:szCs w:val="20"/>
          <w:lang w:val="en"/>
        </w:rPr>
        <w:t>the judicial process</w:t>
      </w:r>
      <w:r>
        <w:rPr>
          <w:rFonts w:ascii="Cambria" w:hAnsi="Cambria"/>
          <w:sz w:val="20"/>
          <w:szCs w:val="20"/>
          <w:lang w:val="en"/>
        </w:rPr>
        <w:t>, because</w:t>
      </w:r>
      <w:r w:rsidR="009B1436">
        <w:rPr>
          <w:rFonts w:ascii="Cambria" w:hAnsi="Cambria"/>
          <w:sz w:val="20"/>
          <w:szCs w:val="20"/>
          <w:lang w:val="en"/>
        </w:rPr>
        <w:t xml:space="preserve"> on January 24, 2013 a trial court</w:t>
      </w:r>
      <w:r>
        <w:rPr>
          <w:rFonts w:ascii="Cambria" w:hAnsi="Cambria"/>
          <w:sz w:val="20"/>
          <w:szCs w:val="20"/>
          <w:lang w:val="en"/>
        </w:rPr>
        <w:t xml:space="preserve"> </w:t>
      </w:r>
      <w:r w:rsidR="009B1436">
        <w:rPr>
          <w:rFonts w:ascii="Cambria" w:hAnsi="Cambria"/>
          <w:sz w:val="20"/>
          <w:szCs w:val="20"/>
          <w:lang w:val="en"/>
        </w:rPr>
        <w:t xml:space="preserve">dismissed </w:t>
      </w:r>
      <w:r>
        <w:rPr>
          <w:rFonts w:ascii="Cambria" w:hAnsi="Cambria"/>
          <w:sz w:val="20"/>
          <w:szCs w:val="20"/>
          <w:lang w:val="en"/>
        </w:rPr>
        <w:t xml:space="preserve">the petitioner’s application for a writ requiring administrative processing; </w:t>
      </w:r>
      <w:r w:rsidR="00C272BF">
        <w:rPr>
          <w:rFonts w:ascii="Cambria" w:hAnsi="Cambria"/>
          <w:sz w:val="20"/>
          <w:szCs w:val="20"/>
          <w:lang w:val="en"/>
        </w:rPr>
        <w:t>after the</w:t>
      </w:r>
      <w:r>
        <w:rPr>
          <w:rFonts w:ascii="Cambria" w:hAnsi="Cambria"/>
          <w:sz w:val="20"/>
          <w:szCs w:val="20"/>
          <w:lang w:val="en"/>
        </w:rPr>
        <w:t xml:space="preserve"> Provisional Court of Appeals for Contentious Ad</w:t>
      </w:r>
      <w:r w:rsidR="00C272BF">
        <w:rPr>
          <w:rFonts w:ascii="Cambria" w:hAnsi="Cambria"/>
          <w:sz w:val="20"/>
          <w:szCs w:val="20"/>
          <w:lang w:val="en"/>
        </w:rPr>
        <w:t>ministrative Matters No. 2 concluded</w:t>
      </w:r>
      <w:r>
        <w:rPr>
          <w:rFonts w:ascii="Cambria" w:hAnsi="Cambria"/>
          <w:sz w:val="20"/>
          <w:szCs w:val="20"/>
          <w:lang w:val="en"/>
        </w:rPr>
        <w:t xml:space="preserve"> that the petitioner did not meet two of the three statutory requirements to access the pension </w:t>
      </w:r>
      <w:r w:rsidR="00C272BF">
        <w:rPr>
          <w:rFonts w:ascii="Cambria" w:hAnsi="Cambria"/>
          <w:sz w:val="20"/>
          <w:szCs w:val="20"/>
          <w:lang w:val="en"/>
        </w:rPr>
        <w:t>requested</w:t>
      </w:r>
      <w:r>
        <w:rPr>
          <w:rFonts w:ascii="Cambria" w:hAnsi="Cambria"/>
          <w:sz w:val="20"/>
          <w:szCs w:val="20"/>
          <w:lang w:val="en"/>
        </w:rPr>
        <w:t>.</w:t>
      </w:r>
      <w:r>
        <w:rPr>
          <w:rStyle w:val="FootnoteReference"/>
          <w:rFonts w:ascii="Cambria" w:hAnsi="Cambria"/>
          <w:sz w:val="20"/>
          <w:szCs w:val="20"/>
          <w:lang w:val="en"/>
        </w:rPr>
        <w:footnoteReference w:id="15"/>
      </w:r>
      <w:r>
        <w:rPr>
          <w:rFonts w:ascii="Cambria" w:hAnsi="Cambria"/>
          <w:sz w:val="20"/>
          <w:szCs w:val="20"/>
          <w:lang w:val="en"/>
        </w:rPr>
        <w:t xml:space="preserve"> It </w:t>
      </w:r>
      <w:r w:rsidR="00C272BF">
        <w:rPr>
          <w:rFonts w:ascii="Cambria" w:hAnsi="Cambria"/>
          <w:sz w:val="20"/>
          <w:szCs w:val="20"/>
          <w:lang w:val="en"/>
        </w:rPr>
        <w:t>notes</w:t>
      </w:r>
      <w:r>
        <w:rPr>
          <w:rFonts w:ascii="Cambria" w:hAnsi="Cambria"/>
          <w:sz w:val="20"/>
          <w:szCs w:val="20"/>
          <w:lang w:val="en"/>
        </w:rPr>
        <w:t xml:space="preserve"> that the petitioner appealed this decision, but Court for Contentious Administrative Matters No. 4 of the Superior Court of Justice of Lima upheld it on October 9, 2013. It considers that the petitioner accepted the content of this judgment because he did</w:t>
      </w:r>
      <w:r w:rsidR="00C272BF">
        <w:rPr>
          <w:rFonts w:ascii="Cambria" w:hAnsi="Cambria"/>
          <w:sz w:val="20"/>
          <w:szCs w:val="20"/>
          <w:lang w:val="en"/>
        </w:rPr>
        <w:t xml:space="preserve"> file a cassation </w:t>
      </w:r>
      <w:r>
        <w:rPr>
          <w:rFonts w:ascii="Cambria" w:hAnsi="Cambria"/>
          <w:sz w:val="20"/>
          <w:szCs w:val="20"/>
          <w:lang w:val="en"/>
        </w:rPr>
        <w:t xml:space="preserve">appeal. </w:t>
      </w:r>
    </w:p>
    <w:p w14:paraId="12FC8EC4" w14:textId="5EE92CB8" w:rsidR="00ED4220" w:rsidRPr="0033345A" w:rsidRDefault="00F0785A" w:rsidP="00742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lastRenderedPageBreak/>
        <w:t>T</w:t>
      </w:r>
      <w:r w:rsidR="00ED4220">
        <w:rPr>
          <w:rFonts w:ascii="Cambria" w:hAnsi="Cambria"/>
          <w:sz w:val="20"/>
          <w:szCs w:val="20"/>
          <w:lang w:val="en"/>
        </w:rPr>
        <w:t>he State</w:t>
      </w:r>
      <w:r>
        <w:rPr>
          <w:rFonts w:ascii="Cambria" w:hAnsi="Cambria"/>
          <w:sz w:val="20"/>
          <w:szCs w:val="20"/>
          <w:lang w:val="en"/>
        </w:rPr>
        <w:t xml:space="preserve"> moreover</w:t>
      </w:r>
      <w:r w:rsidR="00ED4220">
        <w:rPr>
          <w:rFonts w:ascii="Cambria" w:hAnsi="Cambria"/>
          <w:sz w:val="20"/>
          <w:szCs w:val="20"/>
          <w:lang w:val="en"/>
        </w:rPr>
        <w:t xml:space="preserve"> argues that the petitioner’s claim for a pension equal to a vice-minister’s income is contrary to the law and the Constitution due to an express prohibition to bring pensions into line with active workers’ salaries. It refutes the petitioner’s assertion that he does not receive his retirement pension, claiming that he has a retirement pension under</w:t>
      </w:r>
      <w:r w:rsidR="00C272BF">
        <w:rPr>
          <w:rFonts w:ascii="Cambria" w:hAnsi="Cambria"/>
          <w:sz w:val="20"/>
          <w:szCs w:val="20"/>
          <w:lang w:val="en"/>
        </w:rPr>
        <w:t xml:space="preserve"> the</w:t>
      </w:r>
      <w:r w:rsidR="00ED4220">
        <w:rPr>
          <w:rFonts w:ascii="Cambria" w:hAnsi="Cambria"/>
          <w:sz w:val="20"/>
          <w:szCs w:val="20"/>
          <w:lang w:val="en"/>
        </w:rPr>
        <w:t xml:space="preserve"> Decree-Law No. 19990 scheme. </w:t>
      </w:r>
    </w:p>
    <w:p w14:paraId="7DFDB411" w14:textId="77777777" w:rsidR="00ED4220" w:rsidRPr="00006B74" w:rsidRDefault="00ED4220" w:rsidP="00742EF1">
      <w:pPr>
        <w:pStyle w:val="ListParagraph"/>
        <w:spacing w:before="120" w:after="240"/>
        <w:jc w:val="both"/>
        <w:rPr>
          <w:rFonts w:asciiTheme="majorHAnsi" w:hAnsiTheme="majorHAnsi"/>
          <w:b/>
          <w:bCs/>
          <w:sz w:val="20"/>
          <w:szCs w:val="20"/>
        </w:rPr>
      </w:pPr>
      <w:r>
        <w:rPr>
          <w:rFonts w:asciiTheme="majorHAnsi" w:hAnsiTheme="majorHAnsi"/>
          <w:b/>
          <w:bCs/>
          <w:sz w:val="20"/>
          <w:szCs w:val="20"/>
          <w:lang w:val="en"/>
        </w:rPr>
        <w:t xml:space="preserve">VI. </w:t>
      </w:r>
      <w:r>
        <w:rPr>
          <w:rFonts w:asciiTheme="majorHAnsi" w:hAnsiTheme="majorHAnsi"/>
          <w:b/>
          <w:bCs/>
          <w:sz w:val="20"/>
          <w:szCs w:val="20"/>
          <w:lang w:val="en"/>
        </w:rPr>
        <w:tab/>
        <w:t>EXHAUSTION OF DOMESTIC REMEDIES AND TIMELINESS OF THE PETITION</w:t>
      </w:r>
    </w:p>
    <w:p w14:paraId="08F1D93B" w14:textId="4E7CA4AF" w:rsidR="00ED4220" w:rsidRDefault="00BF17A3" w:rsidP="00742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The petitioner believes that a cassation</w:t>
      </w:r>
      <w:r w:rsidR="00ED4220">
        <w:rPr>
          <w:rFonts w:ascii="Cambria" w:hAnsi="Cambria"/>
          <w:sz w:val="20"/>
          <w:szCs w:val="20"/>
          <w:lang w:val="en"/>
        </w:rPr>
        <w:t xml:space="preserve"> appeal would have been inadmissible regarding the decision of October 9, 2013, because in Peru contentious-administrative matters are settled in</w:t>
      </w:r>
      <w:r>
        <w:rPr>
          <w:rFonts w:ascii="Cambria" w:hAnsi="Cambria"/>
          <w:sz w:val="20"/>
          <w:szCs w:val="20"/>
          <w:lang w:val="en"/>
        </w:rPr>
        <w:t xml:space="preserve"> the</w:t>
      </w:r>
      <w:r w:rsidR="00ED4220">
        <w:rPr>
          <w:rFonts w:ascii="Cambria" w:hAnsi="Cambria"/>
          <w:sz w:val="20"/>
          <w:szCs w:val="20"/>
          <w:lang w:val="en"/>
        </w:rPr>
        <w:t xml:space="preserve"> second instance of jurisdiction. Moreover, he considers that an exception to the exhaustion of domestic remedies applies in his case since when he filed the instant petition</w:t>
      </w:r>
      <w:r w:rsidR="00131C16">
        <w:rPr>
          <w:rFonts w:ascii="Cambria" w:hAnsi="Cambria"/>
          <w:sz w:val="20"/>
          <w:szCs w:val="20"/>
          <w:lang w:val="en"/>
        </w:rPr>
        <w:t>,</w:t>
      </w:r>
      <w:r w:rsidR="00ED4220">
        <w:rPr>
          <w:rFonts w:ascii="Cambria" w:hAnsi="Cambria"/>
          <w:sz w:val="20"/>
          <w:szCs w:val="20"/>
          <w:lang w:val="en"/>
        </w:rPr>
        <w:t xml:space="preserve"> there was an unwarranted delay in the resolution of his application for a mandamus order requiring the administrative processing of his record. According to the State, it is evident that domestic remedies had not been exhausted when the petition was filed back in 2011, as the petitioner continued filing remedies, and internal judgments were passed after that date. It also believes that the petitioner failed to meet the deadline set forth in Article 46.1.b of the American Convention</w:t>
      </w:r>
      <w:r w:rsidR="00131C16">
        <w:rPr>
          <w:rFonts w:ascii="Cambria" w:hAnsi="Cambria"/>
          <w:sz w:val="20"/>
          <w:szCs w:val="20"/>
          <w:lang w:val="en"/>
        </w:rPr>
        <w:t xml:space="preserve">, as </w:t>
      </w:r>
      <w:r w:rsidR="00ED4220">
        <w:rPr>
          <w:rFonts w:ascii="Cambria" w:hAnsi="Cambria"/>
          <w:sz w:val="20"/>
          <w:szCs w:val="20"/>
          <w:lang w:val="en"/>
        </w:rPr>
        <w:t xml:space="preserve">the petition was filed before a final decision was made. </w:t>
      </w:r>
    </w:p>
    <w:p w14:paraId="41275306" w14:textId="29838D0A" w:rsidR="00ED4220" w:rsidRPr="00DB2932" w:rsidRDefault="00ED4220" w:rsidP="00742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The Commission takes note of the State’s alleg</w:t>
      </w:r>
      <w:r w:rsidR="00873B41">
        <w:rPr>
          <w:rFonts w:asciiTheme="majorHAnsi" w:hAnsiTheme="majorHAnsi"/>
          <w:sz w:val="20"/>
          <w:szCs w:val="20"/>
          <w:lang w:val="en"/>
        </w:rPr>
        <w:t>ation that domestic remedies had</w:t>
      </w:r>
      <w:r>
        <w:rPr>
          <w:rFonts w:asciiTheme="majorHAnsi" w:hAnsiTheme="majorHAnsi"/>
          <w:sz w:val="20"/>
          <w:szCs w:val="20"/>
          <w:lang w:val="en"/>
        </w:rPr>
        <w:t xml:space="preserve"> not been exhausted when the instant petition was filed to the Commission. In this regard, the IACHR reiterates its criteria that the exhaustion of domestic remedies </w:t>
      </w:r>
      <w:r w:rsidR="00043766" w:rsidRPr="00BA4717">
        <w:rPr>
          <w:rFonts w:ascii="Cambria" w:hAnsi="Cambria" w:cs="Calibri"/>
          <w:sz w:val="20"/>
          <w:szCs w:val="20"/>
        </w:rPr>
        <w:t xml:space="preserve">should be </w:t>
      </w:r>
      <w:r w:rsidR="00043766">
        <w:rPr>
          <w:rFonts w:ascii="Cambria" w:hAnsi="Cambria" w:cs="Calibri"/>
          <w:sz w:val="20"/>
          <w:szCs w:val="20"/>
        </w:rPr>
        <w:t xml:space="preserve">analyzed </w:t>
      </w:r>
      <w:r w:rsidR="00043766" w:rsidRPr="00BA4717">
        <w:rPr>
          <w:rFonts w:ascii="Cambria" w:hAnsi="Cambria" w:cs="Calibri"/>
          <w:sz w:val="20"/>
          <w:szCs w:val="20"/>
        </w:rPr>
        <w:t>in light of the situation at the time of the ruling on the admissibility or inadmissibility of the claim</w:t>
      </w:r>
      <w:r>
        <w:rPr>
          <w:rFonts w:asciiTheme="majorHAnsi" w:hAnsiTheme="majorHAnsi"/>
          <w:sz w:val="20"/>
          <w:szCs w:val="20"/>
          <w:lang w:val="en"/>
        </w:rPr>
        <w:t>.</w:t>
      </w:r>
      <w:r>
        <w:rPr>
          <w:rStyle w:val="FootnoteReference"/>
          <w:rFonts w:asciiTheme="majorHAnsi" w:hAnsiTheme="majorHAnsi" w:cs="Calibri"/>
          <w:sz w:val="20"/>
          <w:szCs w:val="20"/>
          <w:lang w:val="en"/>
        </w:rPr>
        <w:footnoteReference w:id="16"/>
      </w:r>
      <w:r>
        <w:rPr>
          <w:rFonts w:asciiTheme="majorHAnsi" w:hAnsiTheme="majorHAnsi"/>
          <w:sz w:val="20"/>
          <w:szCs w:val="20"/>
          <w:lang w:val="en"/>
        </w:rPr>
        <w:t xml:space="preserve"> The Commission also observes that according to the State, the petitioner accepted the decision of Court for Contentious Administrative Matters No. 4 of the Superior Court of Justice of Lima from October 9, 2013, because he did not challenge it. However, the State has not submi</w:t>
      </w:r>
      <w:r w:rsidR="00352057">
        <w:rPr>
          <w:rFonts w:asciiTheme="majorHAnsi" w:hAnsiTheme="majorHAnsi"/>
          <w:sz w:val="20"/>
          <w:szCs w:val="20"/>
          <w:lang w:val="en"/>
        </w:rPr>
        <w:t>tted elements indicating that a cassation</w:t>
      </w:r>
      <w:r>
        <w:rPr>
          <w:rFonts w:asciiTheme="majorHAnsi" w:hAnsiTheme="majorHAnsi"/>
          <w:sz w:val="20"/>
          <w:szCs w:val="20"/>
          <w:lang w:val="en"/>
        </w:rPr>
        <w:t xml:space="preserve"> appeal is </w:t>
      </w:r>
      <w:r w:rsidR="00131C16">
        <w:rPr>
          <w:rFonts w:asciiTheme="majorHAnsi" w:hAnsiTheme="majorHAnsi"/>
          <w:sz w:val="20"/>
          <w:szCs w:val="20"/>
          <w:lang w:val="en"/>
        </w:rPr>
        <w:t>an</w:t>
      </w:r>
      <w:r>
        <w:rPr>
          <w:rFonts w:asciiTheme="majorHAnsi" w:hAnsiTheme="majorHAnsi"/>
          <w:sz w:val="20"/>
          <w:szCs w:val="20"/>
          <w:lang w:val="en"/>
        </w:rPr>
        <w:t xml:space="preserve"> adequate and appropriate remedy t</w:t>
      </w:r>
      <w:r w:rsidR="00352057">
        <w:rPr>
          <w:rFonts w:asciiTheme="majorHAnsi" w:hAnsiTheme="majorHAnsi"/>
          <w:sz w:val="20"/>
          <w:szCs w:val="20"/>
          <w:lang w:val="en"/>
        </w:rPr>
        <w:t>hat ordinarily must</w:t>
      </w:r>
      <w:r>
        <w:rPr>
          <w:rFonts w:asciiTheme="majorHAnsi" w:hAnsiTheme="majorHAnsi"/>
          <w:sz w:val="20"/>
          <w:szCs w:val="20"/>
          <w:lang w:val="en"/>
        </w:rPr>
        <w:t xml:space="preserve"> be exhausted regarding claims such as the one raised by </w:t>
      </w:r>
      <w:r w:rsidR="00131C16">
        <w:rPr>
          <w:rFonts w:asciiTheme="majorHAnsi" w:hAnsiTheme="majorHAnsi"/>
          <w:sz w:val="20"/>
          <w:szCs w:val="20"/>
          <w:lang w:val="en"/>
        </w:rPr>
        <w:t xml:space="preserve">the </w:t>
      </w:r>
      <w:r>
        <w:rPr>
          <w:rFonts w:asciiTheme="majorHAnsi" w:hAnsiTheme="majorHAnsi"/>
          <w:sz w:val="20"/>
          <w:szCs w:val="20"/>
          <w:lang w:val="en"/>
        </w:rPr>
        <w:t>petitioner. In this regard, the Commission reiterates that it is the State th</w:t>
      </w:r>
      <w:r w:rsidR="00352057">
        <w:rPr>
          <w:rFonts w:asciiTheme="majorHAnsi" w:hAnsiTheme="majorHAnsi"/>
          <w:sz w:val="20"/>
          <w:szCs w:val="20"/>
          <w:lang w:val="en"/>
        </w:rPr>
        <w:t>at must identify the remedies that must</w:t>
      </w:r>
      <w:r>
        <w:rPr>
          <w:rFonts w:asciiTheme="majorHAnsi" w:hAnsiTheme="majorHAnsi"/>
          <w:sz w:val="20"/>
          <w:szCs w:val="20"/>
          <w:lang w:val="en"/>
        </w:rPr>
        <w:t xml:space="preserve"> be exhausted and demonstrate that those remedies that were not exhausted are “appropriate” for redressing the alleged violation—that is, that the function of those remedies within the national legal system is suitable for protecting the legal right infringed.</w:t>
      </w:r>
      <w:r>
        <w:rPr>
          <w:rStyle w:val="FootnoteReference"/>
          <w:rFonts w:asciiTheme="majorHAnsi" w:hAnsiTheme="majorHAnsi" w:cs="Calibri"/>
          <w:sz w:val="20"/>
          <w:szCs w:val="20"/>
          <w:lang w:val="en"/>
        </w:rPr>
        <w:footnoteReference w:id="17"/>
      </w:r>
      <w:r>
        <w:rPr>
          <w:rFonts w:asciiTheme="majorHAnsi" w:hAnsiTheme="majorHAnsi"/>
          <w:sz w:val="20"/>
          <w:szCs w:val="20"/>
          <w:lang w:val="en"/>
        </w:rPr>
        <w:t xml:space="preserve"> </w:t>
      </w:r>
      <w:r>
        <w:rPr>
          <w:rFonts w:ascii="Cambria" w:hAnsi="Cambria"/>
          <w:sz w:val="20"/>
          <w:szCs w:val="20"/>
          <w:lang w:val="en"/>
        </w:rPr>
        <w:t xml:space="preserve"> Finally, the Commission observes that the State has not argued that the domestic remedies</w:t>
      </w:r>
      <w:r w:rsidR="009D60B4">
        <w:rPr>
          <w:rFonts w:ascii="Cambria" w:hAnsi="Cambria"/>
          <w:sz w:val="20"/>
          <w:szCs w:val="20"/>
          <w:lang w:val="en"/>
        </w:rPr>
        <w:t xml:space="preserve"> are not exhausted</w:t>
      </w:r>
      <w:r>
        <w:rPr>
          <w:rFonts w:ascii="Cambria" w:hAnsi="Cambria"/>
          <w:sz w:val="20"/>
          <w:szCs w:val="20"/>
          <w:lang w:val="en"/>
        </w:rPr>
        <w:t xml:space="preserve"> </w:t>
      </w:r>
      <w:r w:rsidR="00352057">
        <w:rPr>
          <w:rFonts w:ascii="Cambria" w:hAnsi="Cambria"/>
          <w:sz w:val="20"/>
          <w:szCs w:val="20"/>
          <w:lang w:val="en"/>
        </w:rPr>
        <w:t>at</w:t>
      </w:r>
      <w:r>
        <w:rPr>
          <w:rFonts w:ascii="Cambria" w:hAnsi="Cambria"/>
          <w:sz w:val="20"/>
          <w:szCs w:val="20"/>
          <w:lang w:val="en"/>
        </w:rPr>
        <w:t xml:space="preserve"> the </w:t>
      </w:r>
      <w:r w:rsidR="00352057">
        <w:rPr>
          <w:rFonts w:ascii="Cambria" w:hAnsi="Cambria"/>
          <w:sz w:val="20"/>
          <w:szCs w:val="20"/>
          <w:lang w:val="en"/>
        </w:rPr>
        <w:t>moment when the</w:t>
      </w:r>
      <w:r>
        <w:rPr>
          <w:rFonts w:ascii="Cambria" w:hAnsi="Cambria"/>
          <w:sz w:val="20"/>
          <w:szCs w:val="20"/>
          <w:lang w:val="en"/>
        </w:rPr>
        <w:t xml:space="preserve"> decision on the admissibility of this petition</w:t>
      </w:r>
      <w:r w:rsidR="00352057">
        <w:rPr>
          <w:rFonts w:ascii="Cambria" w:hAnsi="Cambria"/>
          <w:sz w:val="20"/>
          <w:szCs w:val="20"/>
          <w:lang w:val="en"/>
        </w:rPr>
        <w:t xml:space="preserve"> is being made</w:t>
      </w:r>
      <w:r w:rsidR="009D60B4">
        <w:rPr>
          <w:rFonts w:ascii="Cambria" w:hAnsi="Cambria"/>
          <w:sz w:val="20"/>
          <w:szCs w:val="20"/>
          <w:lang w:val="en"/>
        </w:rPr>
        <w:t>, nor referred to</w:t>
      </w:r>
      <w:r>
        <w:rPr>
          <w:rFonts w:ascii="Cambria" w:hAnsi="Cambria"/>
          <w:sz w:val="20"/>
          <w:szCs w:val="20"/>
          <w:lang w:val="en"/>
        </w:rPr>
        <w:t xml:space="preserve"> domestic remedies</w:t>
      </w:r>
      <w:r w:rsidR="009D60B4">
        <w:rPr>
          <w:rFonts w:ascii="Cambria" w:hAnsi="Cambria"/>
          <w:sz w:val="20"/>
          <w:szCs w:val="20"/>
          <w:lang w:val="en"/>
        </w:rPr>
        <w:t xml:space="preserve"> pending to be exhausted</w:t>
      </w:r>
      <w:r>
        <w:rPr>
          <w:rFonts w:ascii="Cambria" w:hAnsi="Cambria"/>
          <w:sz w:val="20"/>
          <w:szCs w:val="20"/>
          <w:lang w:val="en"/>
        </w:rPr>
        <w:t xml:space="preserve"> that could be appropriate and effective for having the petitioner’s claims heard at the national level. </w:t>
      </w:r>
    </w:p>
    <w:p w14:paraId="1CA8D590" w14:textId="77777777" w:rsidR="00ED4220" w:rsidRPr="00BB4AC1" w:rsidRDefault="00ED4220" w:rsidP="00742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b/>
          <w:bCs/>
          <w:sz w:val="20"/>
          <w:szCs w:val="20"/>
        </w:rPr>
      </w:pPr>
      <w:r>
        <w:rPr>
          <w:rFonts w:ascii="Cambria" w:hAnsi="Cambria"/>
          <w:sz w:val="20"/>
          <w:szCs w:val="20"/>
          <w:lang w:val="en"/>
        </w:rPr>
        <w:t xml:space="preserve">Based on the above considerations, the Commission believes that, in this case, the domestic remedies were exhausted with the judgment issued by Court for Contentious Administrative Matters No. 4 of the Superior Court of Justice of Lima, on October 9, 2013. Therefore, and since the petition was filed on July 29, 2011, the Commission finds that this petition meets the requirements in Article 46.1, subparagraphs (a) and (b) of the American Convention. </w:t>
      </w:r>
    </w:p>
    <w:p w14:paraId="1415BAA0" w14:textId="77777777" w:rsidR="00ED4220" w:rsidRPr="00BB4AC1" w:rsidRDefault="00ED4220" w:rsidP="00742E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7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b/>
          <w:bCs/>
          <w:sz w:val="20"/>
          <w:szCs w:val="20"/>
          <w:lang w:val="en"/>
        </w:rPr>
        <w:tab/>
        <w:t>COLORABLE CLAIM</w:t>
      </w:r>
    </w:p>
    <w:p w14:paraId="20A54047" w14:textId="2D128E05" w:rsidR="00ED4220" w:rsidRPr="00BB4AC1" w:rsidRDefault="00ED4220" w:rsidP="00742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The petitioner deems that the State has violated his human rights</w:t>
      </w:r>
      <w:r>
        <w:rPr>
          <w:rStyle w:val="FootnoteReference"/>
          <w:rFonts w:ascii="Cambria" w:hAnsi="Cambria"/>
          <w:sz w:val="20"/>
          <w:szCs w:val="20"/>
          <w:lang w:val="en"/>
        </w:rPr>
        <w:footnoteReference w:id="18"/>
      </w:r>
      <w:r>
        <w:rPr>
          <w:rFonts w:ascii="Cambria" w:hAnsi="Cambria"/>
          <w:sz w:val="20"/>
          <w:szCs w:val="20"/>
          <w:lang w:val="en"/>
        </w:rPr>
        <w:t xml:space="preserve"> because it has not recognized him a pension which, he argues, he is legally entitled to and has failed to respond in due course to the several administrative and legal actions filed internally, even though he explained that his situation was urgent as he depended on the payment of his pension to afford a dialysis treatment required by his fragile condition. He contends that, contrary to the State’s allegation, he does not receive any retirement pension under any scheme. The State affirms that the petitioner seeks that the Commission unlawfully work as a fourth instance of jurisdiction and review the decision made by the national courts, which have lawfully found that the petitioner’s claims are groundless. It refutes that the petitioner has been financially deprived </w:t>
      </w:r>
      <w:r w:rsidR="00740DD6">
        <w:rPr>
          <w:rFonts w:ascii="Cambria" w:hAnsi="Cambria"/>
          <w:sz w:val="20"/>
          <w:szCs w:val="20"/>
          <w:lang w:val="en"/>
        </w:rPr>
        <w:t>of</w:t>
      </w:r>
      <w:r>
        <w:rPr>
          <w:rFonts w:ascii="Cambria" w:hAnsi="Cambria"/>
          <w:sz w:val="20"/>
          <w:szCs w:val="20"/>
          <w:lang w:val="en"/>
        </w:rPr>
        <w:t xml:space="preserve"> </w:t>
      </w:r>
      <w:r>
        <w:rPr>
          <w:rFonts w:ascii="Cambria" w:hAnsi="Cambria"/>
          <w:sz w:val="20"/>
          <w:szCs w:val="20"/>
          <w:lang w:val="en"/>
        </w:rPr>
        <w:lastRenderedPageBreak/>
        <w:t>afford</w:t>
      </w:r>
      <w:r w:rsidR="00740DD6">
        <w:rPr>
          <w:rFonts w:ascii="Cambria" w:hAnsi="Cambria"/>
          <w:sz w:val="20"/>
          <w:szCs w:val="20"/>
          <w:lang w:val="en"/>
        </w:rPr>
        <w:t>ing</w:t>
      </w:r>
      <w:r>
        <w:rPr>
          <w:rFonts w:ascii="Cambria" w:hAnsi="Cambria"/>
          <w:sz w:val="20"/>
          <w:szCs w:val="20"/>
          <w:lang w:val="en"/>
        </w:rPr>
        <w:t xml:space="preserve"> his health needs because he has received a retirement pension under the scheme of Decree-Law No. 19990. </w:t>
      </w:r>
    </w:p>
    <w:p w14:paraId="7E9FA773" w14:textId="7E77BD43" w:rsidR="00ED4220" w:rsidRPr="00BB4AC1" w:rsidRDefault="00ED4220" w:rsidP="00742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The Commission observes that the national courts have found that the payment of a pension in the terms required by the petitioner was not applicable. Nonetheless, the State submits that the petitioner has been recognized and is paid a retirement pension under a different pension scheme. In turn, the petitioner denies these allegations, claiming that he has never received a pension under any scheme. The factual claims submitted by the parties being incompatible and none of the parties having submitted elements to prove their claims, the Commission deems necessary to undertake a merits report because, if proven, the petitioner’s lack of a</w:t>
      </w:r>
      <w:r w:rsidR="00AF02C6">
        <w:rPr>
          <w:rFonts w:ascii="Cambria" w:hAnsi="Cambria"/>
          <w:sz w:val="20"/>
          <w:szCs w:val="20"/>
          <w:lang w:val="en"/>
        </w:rPr>
        <w:t>ccess to his retirement pension; as well as</w:t>
      </w:r>
      <w:r>
        <w:rPr>
          <w:rFonts w:ascii="Cambria" w:hAnsi="Cambria"/>
          <w:sz w:val="20"/>
          <w:szCs w:val="20"/>
          <w:lang w:val="en"/>
        </w:rPr>
        <w:t xml:space="preserve"> the claims regarding an unwarranted delay in the resolution of the petitioner’s administrative and legal actions aimed at obtaining his pension might establish violations of Articles 8 (fair trial), 21 (property), 25 (judicial protection), and 26 (economic, social, and cultural rights) of the American Convention in connection with its Articles 1.1 (obligation to respect rights) and 2 (domestic legal effects). The Commission also takes note of the petitioner’s allegations that the administrative and judicial officials failed to observe their international obligations in that they did not process his actions </w:t>
      </w:r>
      <w:r w:rsidR="00AF02C6">
        <w:rPr>
          <w:rFonts w:ascii="Cambria" w:hAnsi="Cambria"/>
          <w:sz w:val="20"/>
          <w:szCs w:val="20"/>
          <w:lang w:val="en"/>
        </w:rPr>
        <w:t>as an urgent matter despite this being required by</w:t>
      </w:r>
      <w:r>
        <w:rPr>
          <w:rFonts w:ascii="Cambria" w:hAnsi="Cambria"/>
          <w:sz w:val="20"/>
          <w:szCs w:val="20"/>
          <w:lang w:val="en"/>
        </w:rPr>
        <w:t xml:space="preserve"> his health condition. The Commission shall examine these claims in the merits stage in the light of Article 24 (equal protection) of the American Convention in connection with its Article 5 (humane treatment). </w:t>
      </w:r>
    </w:p>
    <w:p w14:paraId="4DE7E7CE" w14:textId="12823EBA" w:rsidR="00ED4220" w:rsidRPr="004477B4" w:rsidRDefault="00ED4220" w:rsidP="00742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rPr>
      </w:pPr>
      <w:r>
        <w:rPr>
          <w:rFonts w:asciiTheme="majorHAnsi" w:hAnsiTheme="majorHAnsi"/>
          <w:sz w:val="20"/>
          <w:szCs w:val="20"/>
          <w:lang w:val="en"/>
        </w:rPr>
        <w:t xml:space="preserve">In regard to the alleged violations of Articles I, II, XVII, and </w:t>
      </w:r>
      <w:r w:rsidR="004B01E1">
        <w:rPr>
          <w:rFonts w:asciiTheme="majorHAnsi" w:hAnsiTheme="majorHAnsi"/>
          <w:sz w:val="20"/>
          <w:szCs w:val="20"/>
          <w:lang w:val="en"/>
        </w:rPr>
        <w:t>XXIV</w:t>
      </w:r>
      <w:r>
        <w:rPr>
          <w:rFonts w:asciiTheme="majorHAnsi" w:hAnsiTheme="majorHAnsi"/>
          <w:sz w:val="20"/>
          <w:szCs w:val="20"/>
          <w:lang w:val="en"/>
        </w:rPr>
        <w:t xml:space="preserve"> of the American Declaration, the Commission has previously established that once the American Convention becomes effective in relation to a State, it is this and not the Declaration that becomes the primary source of law applicable by the Commission, provided that the petition concerns a violation of similar rights set forth in both instruments and that it is not an ongoing situation.</w:t>
      </w:r>
      <w:r w:rsidR="004477B4">
        <w:rPr>
          <w:rFonts w:asciiTheme="majorHAnsi" w:hAnsiTheme="majorHAnsi"/>
          <w:sz w:val="20"/>
          <w:szCs w:val="20"/>
          <w:lang w:val="en"/>
        </w:rPr>
        <w:t xml:space="preserve"> In this case, the alleged violations of these articles fall under the scope of Articles 5, 8, 24, and 25 of the American Convention. Accordingly, the Commission shall examine these pleadings in the light of the American Convention. </w:t>
      </w:r>
      <w:r w:rsidR="004477B4">
        <w:rPr>
          <w:rFonts w:asciiTheme="majorHAnsi" w:hAnsiTheme="majorHAnsi" w:cs="Calibri"/>
          <w:sz w:val="20"/>
          <w:szCs w:val="20"/>
        </w:rPr>
        <w:t xml:space="preserve"> </w:t>
      </w:r>
      <w:r w:rsidRPr="004477B4">
        <w:rPr>
          <w:rFonts w:asciiTheme="majorHAnsi" w:hAnsiTheme="majorHAnsi"/>
          <w:sz w:val="20"/>
          <w:szCs w:val="20"/>
          <w:lang w:val="en"/>
        </w:rPr>
        <w:t xml:space="preserve">As for the claim about the alleged violation of Article XVI (social security) of the American Declaration, in addition to the observation on the primary source of law applicable and considering that Article 26 of the Convention broadly refers to economic, social, and cultural rights and that these shall be determined in relation to the OAS Charter and other applicable instruments, the Commission believes that when a petition concerns a specific violation of the Declaration that is related to the general content of Article 26, such correspondence and identity shall be analyzed in the merits stage. </w:t>
      </w:r>
    </w:p>
    <w:p w14:paraId="54B49B95" w14:textId="10752205" w:rsidR="00ED4220" w:rsidRDefault="00ED4220" w:rsidP="00742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rPr>
      </w:pPr>
      <w:r>
        <w:rPr>
          <w:rFonts w:ascii="Cambria" w:hAnsi="Cambria"/>
          <w:sz w:val="20"/>
          <w:szCs w:val="20"/>
          <w:lang w:val="en"/>
        </w:rPr>
        <w:t xml:space="preserve">As for the allegations regarding violations of Articles 3, 4, 10, and 17 of the American Convention, as well as the right to life, </w:t>
      </w:r>
      <w:r>
        <w:rPr>
          <w:rFonts w:ascii="Cambria" w:hAnsi="Cambria"/>
          <w:sz w:val="19"/>
          <w:szCs w:val="19"/>
          <w:lang w:val="en"/>
        </w:rPr>
        <w:t xml:space="preserve">the right to a family </w:t>
      </w:r>
      <w:r>
        <w:rPr>
          <w:rFonts w:ascii="Cambria" w:hAnsi="Cambria"/>
          <w:color w:val="000000" w:themeColor="text1"/>
          <w:sz w:val="19"/>
          <w:szCs w:val="19"/>
          <w:lang w:val="en"/>
        </w:rPr>
        <w:t xml:space="preserve">and the protection thereof, the freedom of residence and movement, the inviolability of the home and the recognition of juridical personality and civil rights, the Commission believes that in the case file there are no factual or legal elements to consider, not even </w:t>
      </w:r>
      <w:r>
        <w:rPr>
          <w:rFonts w:ascii="Cambria" w:hAnsi="Cambria"/>
          <w:i/>
          <w:iCs/>
          <w:color w:val="000000" w:themeColor="text1"/>
          <w:sz w:val="19"/>
          <w:szCs w:val="19"/>
          <w:lang w:val="en"/>
        </w:rPr>
        <w:t>prima facie</w:t>
      </w:r>
      <w:r w:rsidR="003F1DA6">
        <w:rPr>
          <w:rFonts w:ascii="Cambria" w:hAnsi="Cambria"/>
          <w:color w:val="000000" w:themeColor="text1"/>
          <w:sz w:val="19"/>
          <w:szCs w:val="19"/>
          <w:lang w:val="en"/>
        </w:rPr>
        <w:t>, that they may have been violated</w:t>
      </w:r>
      <w:r>
        <w:rPr>
          <w:rFonts w:ascii="Cambria" w:hAnsi="Cambria"/>
          <w:color w:val="000000" w:themeColor="text1"/>
          <w:sz w:val="19"/>
          <w:szCs w:val="19"/>
          <w:lang w:val="en"/>
        </w:rPr>
        <w:t xml:space="preserve">. </w:t>
      </w:r>
    </w:p>
    <w:p w14:paraId="2FC1837D" w14:textId="77777777" w:rsidR="00ED4220" w:rsidRDefault="00ED4220" w:rsidP="00742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rPr>
      </w:pPr>
      <w:r>
        <w:rPr>
          <w:rFonts w:asciiTheme="majorHAnsi" w:hAnsiTheme="majorHAnsi"/>
          <w:sz w:val="20"/>
          <w:szCs w:val="20"/>
          <w:lang w:val="en"/>
        </w:rPr>
        <w:t xml:space="preserve">The Inter-American Commission lacks competence </w:t>
      </w:r>
      <w:r>
        <w:rPr>
          <w:rFonts w:asciiTheme="majorHAnsi" w:hAnsiTheme="majorHAnsi"/>
          <w:i/>
          <w:iCs/>
          <w:sz w:val="20"/>
          <w:szCs w:val="20"/>
          <w:lang w:val="en"/>
        </w:rPr>
        <w:t>ratione materiae</w:t>
      </w:r>
      <w:r>
        <w:rPr>
          <w:rFonts w:asciiTheme="majorHAnsi" w:hAnsiTheme="majorHAnsi"/>
          <w:sz w:val="20"/>
          <w:szCs w:val="20"/>
          <w:lang w:val="en"/>
        </w:rPr>
        <w:t xml:space="preserve"> to rule, within its system of petitions, on possible violations of the Inter-American Convention on the Elimination of All Forms of Discrimination against Persons with Disabilities and articles of the Protocol of San Salvador other than those referred to in article 19.6 of this treaty.  However, pursuant to Article 29 of the American Convention, the Commission may consider them to interpret or apply the American Convention or other applicable instruments. </w:t>
      </w:r>
    </w:p>
    <w:p w14:paraId="2DDE1C84" w14:textId="3BDF2CA9" w:rsidR="00ED4220" w:rsidRPr="00703CFB" w:rsidRDefault="00ED4220" w:rsidP="00742E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rPr>
      </w:pPr>
      <w:r>
        <w:rPr>
          <w:rFonts w:asciiTheme="majorHAnsi" w:hAnsiTheme="majorHAnsi" w:cs="Calibri"/>
          <w:sz w:val="20"/>
          <w:szCs w:val="20"/>
          <w:lang w:val="en"/>
        </w:rPr>
        <w:t>As for the State’s claim on the fourth instance of jurisdiction, the Commission observes that in declaring this petition admissible, it does not seek to replace the competence of national judicial authorities. Instead, this means that in the merits stage</w:t>
      </w:r>
      <w:r w:rsidR="00740DD6">
        <w:rPr>
          <w:rFonts w:asciiTheme="majorHAnsi" w:hAnsiTheme="majorHAnsi" w:cs="Calibri"/>
          <w:sz w:val="20"/>
          <w:szCs w:val="20"/>
          <w:lang w:val="en"/>
        </w:rPr>
        <w:t>,</w:t>
      </w:r>
      <w:r>
        <w:rPr>
          <w:rFonts w:asciiTheme="majorHAnsi" w:hAnsiTheme="majorHAnsi" w:cs="Calibri"/>
          <w:sz w:val="20"/>
          <w:szCs w:val="20"/>
          <w:lang w:val="en"/>
        </w:rPr>
        <w:t xml:space="preserve"> the Commission shall analyze if the domestic proceedings were held pursuant to the American Convention. </w:t>
      </w:r>
    </w:p>
    <w:p w14:paraId="3CF8C015" w14:textId="77777777" w:rsidR="00ED4220" w:rsidRPr="00006B74" w:rsidRDefault="00ED4220" w:rsidP="00742E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2DEDAE16" w14:textId="29AD23C3" w:rsidR="00ED4220" w:rsidRPr="00006B74" w:rsidRDefault="00ED4220" w:rsidP="00742EF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lang w:val="en"/>
        </w:rPr>
        <w:t xml:space="preserve">To declare this petition admissible with regard to </w:t>
      </w:r>
      <w:r>
        <w:rPr>
          <w:rFonts w:ascii="Cambria" w:hAnsi="Cambria"/>
          <w:sz w:val="20"/>
          <w:szCs w:val="20"/>
          <w:lang w:val="en"/>
        </w:rPr>
        <w:t>Articles 5, 8, 24, 25, and 26 of the American Convention in accordance with its Articles 1.1 and 2</w:t>
      </w:r>
      <w:r w:rsidR="004477B4">
        <w:rPr>
          <w:rFonts w:ascii="Cambria" w:hAnsi="Cambria"/>
          <w:sz w:val="20"/>
          <w:szCs w:val="20"/>
          <w:lang w:val="en"/>
        </w:rPr>
        <w:t>, and article XVI of the American Declaration</w:t>
      </w:r>
      <w:r>
        <w:rPr>
          <w:rFonts w:ascii="Cambria" w:hAnsi="Cambria"/>
          <w:sz w:val="20"/>
          <w:szCs w:val="20"/>
          <w:lang w:val="en"/>
        </w:rPr>
        <w:t>; and</w:t>
      </w:r>
    </w:p>
    <w:p w14:paraId="123C4E46" w14:textId="77777777" w:rsidR="00ED4220" w:rsidRPr="00006B74" w:rsidRDefault="00ED4220" w:rsidP="00742EF1">
      <w:pPr>
        <w:pStyle w:val="ListParagraph"/>
        <w:numPr>
          <w:ilvl w:val="0"/>
          <w:numId w:val="105"/>
        </w:numPr>
        <w:spacing w:after="240"/>
        <w:jc w:val="both"/>
        <w:rPr>
          <w:rFonts w:eastAsia="Arial Unicode MS" w:cs="Times New Roman"/>
          <w:color w:val="auto"/>
          <w:sz w:val="20"/>
          <w:szCs w:val="20"/>
        </w:rPr>
      </w:pPr>
      <w:r>
        <w:rPr>
          <w:color w:val="auto"/>
          <w:sz w:val="20"/>
          <w:szCs w:val="20"/>
          <w:lang w:val="en"/>
        </w:rPr>
        <w:lastRenderedPageBreak/>
        <w:t xml:space="preserve">To declare the instant petition inadmissible with regard to </w:t>
      </w:r>
      <w:r>
        <w:rPr>
          <w:sz w:val="20"/>
          <w:szCs w:val="20"/>
          <w:lang w:val="en"/>
        </w:rPr>
        <w:t xml:space="preserve">Articles </w:t>
      </w:r>
      <w:r>
        <w:rPr>
          <w:color w:val="auto"/>
          <w:sz w:val="20"/>
          <w:szCs w:val="20"/>
          <w:lang w:val="en"/>
        </w:rPr>
        <w:t xml:space="preserve">3, 4, 10, and 17 of the American Convention, as well as to the right to life, the right to a family and the protection thereof, the freedom of residence and movement, the inviolability of the home and the recognition of juridical personality and civil rights; and </w:t>
      </w:r>
    </w:p>
    <w:p w14:paraId="2E938376" w14:textId="77777777" w:rsidR="00ED4220" w:rsidRPr="00006B74" w:rsidRDefault="00ED4220" w:rsidP="00742EF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To notify the parties of this decision; to continue with the analysis on the merits; and to publish this decision and include it in its Annual Report to the General Assembly of the Organization of American States. </w:t>
      </w:r>
    </w:p>
    <w:p w14:paraId="6B9E5A69" w14:textId="1C59F5AA" w:rsidR="007008C1" w:rsidRPr="000B6B7A" w:rsidRDefault="003053BF" w:rsidP="00742EF1">
      <w:pPr>
        <w:spacing w:after="240"/>
        <w:jc w:val="both"/>
        <w:rPr>
          <w:rFonts w:ascii="Cambria" w:hAnsi="Cambria" w:cs="Calibri"/>
          <w:sz w:val="20"/>
          <w:szCs w:val="20"/>
        </w:rPr>
      </w:pPr>
      <w:r w:rsidRPr="00667CC3">
        <w:rPr>
          <w:rFonts w:asciiTheme="majorHAnsi" w:hAnsiTheme="majorHAnsi"/>
          <w:sz w:val="20"/>
          <w:szCs w:val="20"/>
        </w:rPr>
        <w:t xml:space="preserve"> </w:t>
      </w:r>
      <w:r w:rsidR="007008C1">
        <w:rPr>
          <w:rFonts w:asciiTheme="majorHAnsi" w:hAnsiTheme="majorHAnsi"/>
          <w:sz w:val="20"/>
          <w:szCs w:val="20"/>
        </w:rPr>
        <w:tab/>
      </w:r>
      <w:r w:rsidR="007008C1" w:rsidRPr="001C6390">
        <w:rPr>
          <w:rFonts w:ascii="Cambria" w:hAnsi="Cambria" w:cs="Calibri"/>
          <w:sz w:val="20"/>
          <w:szCs w:val="20"/>
        </w:rPr>
        <w:t xml:space="preserve">Approved by the Inter-American Commission on Human Rights on the </w:t>
      </w:r>
      <w:r w:rsidR="007008C1">
        <w:rPr>
          <w:rFonts w:ascii="Cambria" w:hAnsi="Cambria" w:cs="Calibri"/>
          <w:sz w:val="20"/>
          <w:szCs w:val="20"/>
        </w:rPr>
        <w:t>5</w:t>
      </w:r>
      <w:r w:rsidR="007008C1" w:rsidRPr="001C6390">
        <w:rPr>
          <w:rFonts w:ascii="Cambria" w:hAnsi="Cambria" w:cs="Calibri"/>
          <w:sz w:val="20"/>
          <w:szCs w:val="20"/>
          <w:vertAlign w:val="superscript"/>
        </w:rPr>
        <w:t>th</w:t>
      </w:r>
      <w:r w:rsidR="007008C1">
        <w:rPr>
          <w:rFonts w:ascii="Cambria" w:hAnsi="Cambria" w:cs="Calibri"/>
          <w:sz w:val="20"/>
          <w:szCs w:val="20"/>
        </w:rPr>
        <w:t xml:space="preserve"> </w:t>
      </w:r>
      <w:r w:rsidR="007008C1" w:rsidRPr="001C6390">
        <w:rPr>
          <w:rFonts w:ascii="Cambria" w:hAnsi="Cambria" w:cs="Calibri"/>
          <w:sz w:val="20"/>
          <w:szCs w:val="20"/>
        </w:rPr>
        <w:t xml:space="preserve">day of the month of </w:t>
      </w:r>
      <w:r w:rsidR="007008C1">
        <w:rPr>
          <w:rFonts w:ascii="Cambria" w:hAnsi="Cambria" w:cs="Calibri"/>
          <w:sz w:val="20"/>
          <w:szCs w:val="20"/>
        </w:rPr>
        <w:t>December</w:t>
      </w:r>
      <w:r w:rsidR="007008C1" w:rsidRPr="001C6390">
        <w:rPr>
          <w:rFonts w:ascii="Cambria" w:hAnsi="Cambria" w:cs="Calibri"/>
          <w:sz w:val="20"/>
          <w:szCs w:val="20"/>
        </w:rPr>
        <w:t>, 2019. (Signed):  Esmeralda E. Arosemena Bernal de Troitiño, President; Joel Hernández García, First Vice President; Antonia Urrejola, Second Vice President; Margarette May Macaulay, Luis Ernesto Vargas Silva and Flávia Piovesan, Commissioners.</w:t>
      </w:r>
    </w:p>
    <w:p w14:paraId="535F5BF9" w14:textId="53D40200" w:rsidR="003053BF" w:rsidRPr="00667CC3" w:rsidRDefault="003053BF" w:rsidP="00ED422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49C91919" w14:textId="77777777" w:rsidR="00F621C3" w:rsidRPr="00667CC3" w:rsidRDefault="00F621C3" w:rsidP="00F621C3">
      <w:pPr>
        <w:pStyle w:val="ListParagraph"/>
        <w:suppressAutoHyphens/>
        <w:spacing w:before="240" w:after="240"/>
        <w:jc w:val="both"/>
        <w:rPr>
          <w:rFonts w:asciiTheme="majorHAnsi" w:hAnsiTheme="majorHAnsi"/>
          <w:sz w:val="20"/>
          <w:szCs w:val="20"/>
        </w:rPr>
      </w:pPr>
    </w:p>
    <w:p w14:paraId="42D4A60E" w14:textId="77777777" w:rsidR="00F621C3" w:rsidRPr="00667CC3" w:rsidRDefault="00F621C3" w:rsidP="00F621C3">
      <w:pPr>
        <w:tabs>
          <w:tab w:val="center" w:pos="5400"/>
        </w:tabs>
        <w:suppressAutoHyphens/>
        <w:spacing w:line="276" w:lineRule="auto"/>
        <w:rPr>
          <w:rFonts w:asciiTheme="majorHAnsi" w:hAnsiTheme="majorHAnsi"/>
          <w:sz w:val="20"/>
          <w:szCs w:val="20"/>
        </w:rPr>
      </w:pPr>
    </w:p>
    <w:p w14:paraId="72F335FC" w14:textId="77777777" w:rsidR="00F621C3" w:rsidRPr="00667CC3" w:rsidRDefault="00F621C3" w:rsidP="00F621C3">
      <w:pPr>
        <w:tabs>
          <w:tab w:val="center" w:pos="5400"/>
        </w:tabs>
        <w:suppressAutoHyphens/>
        <w:spacing w:line="276" w:lineRule="auto"/>
        <w:rPr>
          <w:rFonts w:asciiTheme="majorHAnsi" w:hAnsiTheme="majorHAnsi"/>
          <w:sz w:val="20"/>
          <w:szCs w:val="20"/>
        </w:rPr>
      </w:pPr>
    </w:p>
    <w:p w14:paraId="776AE8A6" w14:textId="77777777" w:rsidR="00F621C3" w:rsidRPr="00667CC3" w:rsidRDefault="00F621C3" w:rsidP="00F621C3">
      <w:pPr>
        <w:rPr>
          <w:rFonts w:ascii="Cambria" w:hAnsi="Cambria" w:cs="Calibri"/>
          <w:sz w:val="20"/>
          <w:szCs w:val="20"/>
        </w:rPr>
      </w:pPr>
    </w:p>
    <w:p w14:paraId="5B6C1BEB" w14:textId="77777777" w:rsidR="00C55560" w:rsidRPr="00667CC3" w:rsidRDefault="00C55560" w:rsidP="00230163">
      <w:pPr>
        <w:tabs>
          <w:tab w:val="left" w:pos="2820"/>
        </w:tabs>
        <w:suppressAutoHyphens/>
        <w:spacing w:line="276" w:lineRule="auto"/>
        <w:rPr>
          <w:rFonts w:asciiTheme="majorHAnsi" w:hAnsiTheme="majorHAnsi"/>
          <w:sz w:val="20"/>
          <w:szCs w:val="20"/>
        </w:rPr>
      </w:pPr>
    </w:p>
    <w:sectPr w:rsidR="00C55560" w:rsidRPr="00667CC3"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7115F" w14:textId="77777777" w:rsidR="00035EB2" w:rsidRDefault="00035EB2" w:rsidP="00036A8A">
      <w:r>
        <w:separator/>
      </w:r>
    </w:p>
  </w:endnote>
  <w:endnote w:type="continuationSeparator" w:id="0">
    <w:p w14:paraId="0D76D928" w14:textId="77777777" w:rsidR="00035EB2" w:rsidRDefault="00035EB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49F9C" w14:textId="77777777" w:rsidR="00FA5A3C" w:rsidRDefault="00FA5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A5A3C">
          <w:rPr>
            <w:noProof/>
            <w:sz w:val="16"/>
          </w:rPr>
          <w:t>1</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76F0C" w14:textId="77777777" w:rsidR="00035EB2" w:rsidRPr="00036A8A" w:rsidRDefault="00035EB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3575E28" w14:textId="77777777" w:rsidR="00035EB2" w:rsidRPr="00036A8A" w:rsidRDefault="00035EB2" w:rsidP="00036A8A">
      <w:pPr>
        <w:rPr>
          <w:rFonts w:asciiTheme="majorHAnsi" w:hAnsiTheme="majorHAnsi"/>
          <w:sz w:val="16"/>
          <w:szCs w:val="16"/>
        </w:rPr>
      </w:pPr>
      <w:r w:rsidRPr="00036A8A">
        <w:rPr>
          <w:rFonts w:asciiTheme="majorHAnsi" w:hAnsiTheme="majorHAnsi"/>
          <w:sz w:val="16"/>
          <w:szCs w:val="16"/>
        </w:rPr>
        <w:separator/>
      </w:r>
    </w:p>
    <w:p w14:paraId="19C3E400" w14:textId="77777777" w:rsidR="00035EB2" w:rsidRPr="00036A8A" w:rsidRDefault="00035EB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4692CEF3" w14:textId="77777777" w:rsidR="00035EB2" w:rsidRPr="0093441A" w:rsidRDefault="00035EB2"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2BEA95FF" w14:textId="58F2C89A" w:rsidR="00A6788C" w:rsidRPr="00706E6A" w:rsidRDefault="00A6788C" w:rsidP="00A6788C">
      <w:pPr>
        <w:pStyle w:val="FootnoteText"/>
        <w:jc w:val="both"/>
        <w:rPr>
          <w:rFonts w:asciiTheme="majorHAnsi" w:hAnsiTheme="majorHAnsi"/>
          <w:sz w:val="16"/>
          <w:szCs w:val="16"/>
        </w:rPr>
      </w:pPr>
      <w:r w:rsidRPr="00706E6A">
        <w:rPr>
          <w:rStyle w:val="FootnoteReference"/>
          <w:rFonts w:asciiTheme="majorHAnsi" w:hAnsiTheme="majorHAnsi"/>
          <w:sz w:val="16"/>
          <w:szCs w:val="16"/>
        </w:rPr>
        <w:footnoteRef/>
      </w:r>
      <w:r w:rsidRPr="00706E6A">
        <w:rPr>
          <w:rFonts w:asciiTheme="majorHAnsi" w:hAnsiTheme="majorHAnsi"/>
          <w:sz w:val="16"/>
          <w:szCs w:val="16"/>
        </w:rPr>
        <w:t xml:space="preserve"> Pursuant to the provision of Article 17.2.</w:t>
      </w:r>
      <w:proofErr w:type="spellStart"/>
      <w:r w:rsidRPr="00706E6A">
        <w:rPr>
          <w:rFonts w:asciiTheme="majorHAnsi" w:hAnsiTheme="majorHAnsi"/>
          <w:sz w:val="16"/>
          <w:szCs w:val="16"/>
        </w:rPr>
        <w:t>a</w:t>
      </w:r>
      <w:proofErr w:type="spellEnd"/>
      <w:r w:rsidRPr="00706E6A">
        <w:rPr>
          <w:rFonts w:asciiTheme="majorHAnsi" w:hAnsiTheme="majorHAnsi"/>
          <w:sz w:val="16"/>
          <w:szCs w:val="16"/>
        </w:rPr>
        <w:t xml:space="preserve"> of the IACHR Rules of Procedure, Commissioner Francisco José </w:t>
      </w:r>
      <w:proofErr w:type="spellStart"/>
      <w:r w:rsidRPr="00706E6A">
        <w:rPr>
          <w:rFonts w:asciiTheme="majorHAnsi" w:hAnsiTheme="majorHAnsi"/>
          <w:sz w:val="16"/>
          <w:szCs w:val="16"/>
        </w:rPr>
        <w:t>Eguirguren</w:t>
      </w:r>
      <w:proofErr w:type="spellEnd"/>
      <w:r w:rsidRPr="00706E6A">
        <w:rPr>
          <w:rFonts w:asciiTheme="majorHAnsi" w:hAnsiTheme="majorHAnsi"/>
          <w:sz w:val="16"/>
          <w:szCs w:val="16"/>
        </w:rPr>
        <w:t xml:space="preserve"> Praeli, a Peruvian national, did not participate in the discussion or the voting on this matter.</w:t>
      </w:r>
    </w:p>
  </w:footnote>
  <w:footnote w:id="3">
    <w:p w14:paraId="417B0C6D" w14:textId="50701C4C" w:rsidR="00A6788C" w:rsidRPr="00706E6A" w:rsidRDefault="00A6788C">
      <w:pPr>
        <w:pStyle w:val="FootnoteText"/>
        <w:rPr>
          <w:rFonts w:asciiTheme="majorHAnsi" w:hAnsiTheme="majorHAnsi"/>
          <w:sz w:val="16"/>
          <w:szCs w:val="16"/>
        </w:rPr>
      </w:pPr>
      <w:r w:rsidRPr="00706E6A">
        <w:rPr>
          <w:rStyle w:val="FootnoteReference"/>
          <w:rFonts w:asciiTheme="majorHAnsi" w:hAnsiTheme="majorHAnsi"/>
          <w:sz w:val="16"/>
          <w:szCs w:val="16"/>
        </w:rPr>
        <w:footnoteRef/>
      </w:r>
      <w:r w:rsidRPr="00706E6A">
        <w:rPr>
          <w:rFonts w:asciiTheme="majorHAnsi" w:hAnsiTheme="majorHAnsi"/>
          <w:sz w:val="16"/>
          <w:szCs w:val="16"/>
        </w:rPr>
        <w:t xml:space="preserve"> Hereinafter “American Convention” or “Convention.”</w:t>
      </w:r>
    </w:p>
  </w:footnote>
  <w:footnote w:id="4">
    <w:p w14:paraId="2C207B1A" w14:textId="04A4A41E" w:rsidR="00A6788C" w:rsidRPr="00706E6A" w:rsidRDefault="00A6788C">
      <w:pPr>
        <w:pStyle w:val="FootnoteText"/>
        <w:rPr>
          <w:rFonts w:asciiTheme="majorHAnsi" w:hAnsiTheme="majorHAnsi"/>
          <w:sz w:val="16"/>
          <w:szCs w:val="16"/>
        </w:rPr>
      </w:pPr>
      <w:r w:rsidRPr="00706E6A">
        <w:rPr>
          <w:rStyle w:val="FootnoteReference"/>
          <w:rFonts w:asciiTheme="majorHAnsi" w:hAnsiTheme="majorHAnsi"/>
          <w:sz w:val="16"/>
          <w:szCs w:val="16"/>
        </w:rPr>
        <w:footnoteRef/>
      </w:r>
      <w:r w:rsidRPr="00706E6A">
        <w:rPr>
          <w:rFonts w:asciiTheme="majorHAnsi" w:hAnsiTheme="majorHAnsi"/>
          <w:sz w:val="16"/>
          <w:szCs w:val="16"/>
        </w:rPr>
        <w:t xml:space="preserve"> Hereinafter “American Declaration” or “Declaration.”</w:t>
      </w:r>
    </w:p>
  </w:footnote>
  <w:footnote w:id="5">
    <w:p w14:paraId="6E9E9C9E" w14:textId="322F7B94" w:rsidR="00A6788C" w:rsidRPr="00A6788C" w:rsidRDefault="00A6788C" w:rsidP="00706E6A">
      <w:pPr>
        <w:pStyle w:val="FootnoteText"/>
        <w:jc w:val="both"/>
      </w:pPr>
      <w:r w:rsidRPr="00706E6A">
        <w:rPr>
          <w:rStyle w:val="FootnoteReference"/>
          <w:rFonts w:asciiTheme="majorHAnsi" w:hAnsiTheme="majorHAnsi"/>
          <w:sz w:val="16"/>
          <w:szCs w:val="16"/>
        </w:rPr>
        <w:footnoteRef/>
      </w:r>
      <w:r w:rsidRPr="00706E6A">
        <w:rPr>
          <w:rFonts w:asciiTheme="majorHAnsi" w:hAnsiTheme="majorHAnsi"/>
          <w:sz w:val="16"/>
          <w:szCs w:val="16"/>
        </w:rPr>
        <w:t xml:space="preserve"> Additional Protocol to the American Convention on Human Rights in the Area of Economic, Social, and Cultural Rights, “Protocol of San Salvador,” and Inter-American Convention </w:t>
      </w:r>
      <w:r w:rsidR="00706E6A" w:rsidRPr="00706E6A">
        <w:rPr>
          <w:rFonts w:asciiTheme="majorHAnsi" w:hAnsiTheme="majorHAnsi"/>
          <w:sz w:val="16"/>
          <w:szCs w:val="16"/>
        </w:rPr>
        <w:t>on</w:t>
      </w:r>
      <w:r w:rsidRPr="00706E6A">
        <w:rPr>
          <w:rFonts w:asciiTheme="majorHAnsi" w:hAnsiTheme="majorHAnsi"/>
          <w:sz w:val="16"/>
          <w:szCs w:val="16"/>
        </w:rPr>
        <w:t xml:space="preserve"> the E</w:t>
      </w:r>
      <w:r w:rsidR="00706E6A" w:rsidRPr="00706E6A">
        <w:rPr>
          <w:rFonts w:asciiTheme="majorHAnsi" w:hAnsiTheme="majorHAnsi"/>
          <w:sz w:val="16"/>
          <w:szCs w:val="16"/>
        </w:rPr>
        <w:t>limination</w:t>
      </w:r>
      <w:r w:rsidRPr="00706E6A">
        <w:rPr>
          <w:rFonts w:asciiTheme="majorHAnsi" w:hAnsiTheme="majorHAnsi"/>
          <w:sz w:val="16"/>
          <w:szCs w:val="16"/>
        </w:rPr>
        <w:t xml:space="preserve"> of All Forms of </w:t>
      </w:r>
      <w:r w:rsidR="00706E6A" w:rsidRPr="00706E6A">
        <w:rPr>
          <w:rFonts w:asciiTheme="majorHAnsi" w:hAnsiTheme="majorHAnsi"/>
          <w:sz w:val="16"/>
          <w:szCs w:val="16"/>
        </w:rPr>
        <w:t>Discrimination</w:t>
      </w:r>
      <w:r w:rsidRPr="00706E6A">
        <w:rPr>
          <w:rFonts w:asciiTheme="majorHAnsi" w:hAnsiTheme="majorHAnsi"/>
          <w:sz w:val="16"/>
          <w:szCs w:val="16"/>
        </w:rPr>
        <w:t xml:space="preserve"> </w:t>
      </w:r>
      <w:r w:rsidR="00706E6A" w:rsidRPr="00706E6A">
        <w:rPr>
          <w:rFonts w:asciiTheme="majorHAnsi" w:hAnsiTheme="majorHAnsi"/>
          <w:sz w:val="16"/>
          <w:szCs w:val="16"/>
        </w:rPr>
        <w:t>a</w:t>
      </w:r>
      <w:r w:rsidRPr="00706E6A">
        <w:rPr>
          <w:rFonts w:asciiTheme="majorHAnsi" w:hAnsiTheme="majorHAnsi"/>
          <w:sz w:val="16"/>
          <w:szCs w:val="16"/>
        </w:rPr>
        <w:t>gainst</w:t>
      </w:r>
      <w:r w:rsidR="00706E6A" w:rsidRPr="00706E6A">
        <w:rPr>
          <w:rFonts w:asciiTheme="majorHAnsi" w:hAnsiTheme="majorHAnsi"/>
          <w:sz w:val="16"/>
          <w:szCs w:val="16"/>
        </w:rPr>
        <w:t xml:space="preserve"> Persons with Disabilities.</w:t>
      </w:r>
      <w:r>
        <w:t xml:space="preserve"> </w:t>
      </w:r>
    </w:p>
  </w:footnote>
  <w:footnote w:id="6">
    <w:p w14:paraId="55774E34" w14:textId="77777777" w:rsidR="00653EA6" w:rsidRPr="009D59D2" w:rsidRDefault="00653EA6" w:rsidP="009D59D2">
      <w:pPr>
        <w:pStyle w:val="FootnoteText"/>
        <w:jc w:val="both"/>
        <w:rPr>
          <w:rFonts w:ascii="Cambria" w:hAnsi="Cambria"/>
          <w:sz w:val="16"/>
          <w:szCs w:val="16"/>
        </w:rPr>
      </w:pPr>
      <w:r w:rsidRPr="009D59D2">
        <w:rPr>
          <w:rStyle w:val="FootnoteReference"/>
          <w:rFonts w:ascii="Cambria" w:hAnsi="Cambria"/>
          <w:sz w:val="16"/>
          <w:szCs w:val="16"/>
        </w:rPr>
        <w:footnoteRef/>
      </w:r>
      <w:r w:rsidRPr="009D59D2">
        <w:rPr>
          <w:rFonts w:ascii="Cambria" w:hAnsi="Cambria"/>
          <w:sz w:val="16"/>
          <w:szCs w:val="16"/>
        </w:rPr>
        <w:t xml:space="preserve"> The observations </w:t>
      </w:r>
      <w:r w:rsidR="00321AFD" w:rsidRPr="009D59D2">
        <w:rPr>
          <w:rFonts w:ascii="Cambria" w:hAnsi="Cambria"/>
          <w:sz w:val="16"/>
          <w:szCs w:val="16"/>
        </w:rPr>
        <w:t>submitted</w:t>
      </w:r>
      <w:r w:rsidRPr="009D59D2">
        <w:rPr>
          <w:rFonts w:ascii="Cambria" w:hAnsi="Cambria"/>
          <w:sz w:val="16"/>
          <w:szCs w:val="16"/>
        </w:rPr>
        <w:t xml:space="preserve"> by each party were duly transmitted to the opposing party.</w:t>
      </w:r>
    </w:p>
  </w:footnote>
  <w:footnote w:id="7">
    <w:p w14:paraId="6C2709E6" w14:textId="77777777" w:rsidR="00ED4220" w:rsidRPr="00A626B5" w:rsidRDefault="00ED4220" w:rsidP="00ED4220">
      <w:pPr>
        <w:pStyle w:val="FootnoteText"/>
        <w:ind w:firstLine="720"/>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w:t>
      </w:r>
      <w:r w:rsidRPr="00A626B5">
        <w:rPr>
          <w:rFonts w:asciiTheme="majorHAnsi" w:hAnsiTheme="majorHAnsi"/>
          <w:color w:val="auto"/>
          <w:sz w:val="16"/>
          <w:szCs w:val="16"/>
          <w:lang w:val="en"/>
        </w:rPr>
        <w:t>He explains that due to the opening of the academic year, he and another dean from the university were subjected to death threats and kidnapped, spending 24 hours deprived of liberty; that the items of furniture of his school were stolen and forced; that his car was once shot, and the former dean of the school, who was with him at that moment, was shot thrice and killed; that those responsible for the latter episode were identified as terrorist groups.</w:t>
      </w:r>
    </w:p>
  </w:footnote>
  <w:footnote w:id="8">
    <w:p w14:paraId="30B3BA10" w14:textId="77777777" w:rsidR="00ED4220" w:rsidRPr="00A626B5" w:rsidRDefault="00ED4220" w:rsidP="00ED4220">
      <w:pPr>
        <w:pStyle w:val="FootnoteText"/>
        <w:ind w:firstLine="720"/>
        <w:jc w:val="both"/>
        <w:rPr>
          <w:rFonts w:asciiTheme="majorHAnsi" w:hAnsiTheme="majorHAnsi"/>
          <w:color w:val="auto"/>
          <w:sz w:val="16"/>
          <w:szCs w:val="16"/>
        </w:rPr>
      </w:pPr>
      <w:r w:rsidRPr="00A626B5">
        <w:rPr>
          <w:rStyle w:val="FootnoteReference"/>
          <w:rFonts w:asciiTheme="majorHAnsi" w:hAnsiTheme="majorHAnsi"/>
          <w:color w:val="auto"/>
          <w:sz w:val="16"/>
          <w:szCs w:val="16"/>
          <w:lang w:val="en"/>
        </w:rPr>
        <w:footnoteRef/>
      </w:r>
      <w:r w:rsidRPr="00A626B5">
        <w:rPr>
          <w:rFonts w:asciiTheme="majorHAnsi" w:hAnsiTheme="majorHAnsi"/>
          <w:color w:val="auto"/>
          <w:sz w:val="16"/>
          <w:szCs w:val="16"/>
          <w:lang w:val="en"/>
        </w:rPr>
        <w:t xml:space="preserve"> He submits that under this law, teaching pensions are based on a teacher’s last salary, which in his case is equal to that of a vice-minister because he belongs to seniority level V.</w:t>
      </w:r>
    </w:p>
  </w:footnote>
  <w:footnote w:id="9">
    <w:p w14:paraId="79F5B4E0" w14:textId="5900693A" w:rsidR="00ED4220" w:rsidRPr="00A626B5" w:rsidRDefault="00ED4220" w:rsidP="00ED4220">
      <w:pPr>
        <w:pStyle w:val="FootnoteText"/>
        <w:ind w:firstLine="720"/>
        <w:jc w:val="both"/>
        <w:rPr>
          <w:rFonts w:asciiTheme="majorHAnsi" w:hAnsiTheme="majorHAnsi"/>
          <w:color w:val="auto"/>
          <w:sz w:val="16"/>
          <w:szCs w:val="16"/>
        </w:rPr>
      </w:pPr>
      <w:r w:rsidRPr="00A626B5">
        <w:rPr>
          <w:rStyle w:val="FootnoteReference"/>
          <w:rFonts w:asciiTheme="majorHAnsi" w:hAnsiTheme="majorHAnsi"/>
          <w:color w:val="auto"/>
          <w:sz w:val="16"/>
          <w:szCs w:val="16"/>
          <w:lang w:val="en"/>
        </w:rPr>
        <w:footnoteRef/>
      </w:r>
      <w:r w:rsidRPr="00A626B5">
        <w:rPr>
          <w:rFonts w:asciiTheme="majorHAnsi" w:hAnsiTheme="majorHAnsi"/>
          <w:color w:val="auto"/>
          <w:sz w:val="16"/>
          <w:szCs w:val="16"/>
          <w:lang w:val="en"/>
        </w:rPr>
        <w:t xml:space="preserve"> He alleges that,</w:t>
      </w:r>
      <w:r w:rsidR="00740DD6">
        <w:rPr>
          <w:rFonts w:asciiTheme="majorHAnsi" w:hAnsiTheme="majorHAnsi"/>
          <w:color w:val="auto"/>
          <w:sz w:val="16"/>
          <w:szCs w:val="16"/>
          <w:lang w:val="en"/>
        </w:rPr>
        <w:t xml:space="preserve"> among other things</w:t>
      </w:r>
      <w:r w:rsidRPr="00740DD6">
        <w:rPr>
          <w:rFonts w:asciiTheme="majorHAnsi" w:hAnsiTheme="majorHAnsi"/>
          <w:i/>
          <w:iCs/>
          <w:color w:val="auto"/>
          <w:sz w:val="16"/>
          <w:szCs w:val="16"/>
          <w:lang w:val="en"/>
        </w:rPr>
        <w:t>,</w:t>
      </w:r>
      <w:r w:rsidRPr="00A626B5">
        <w:rPr>
          <w:rFonts w:asciiTheme="majorHAnsi" w:hAnsiTheme="majorHAnsi"/>
          <w:color w:val="auto"/>
          <w:sz w:val="16"/>
          <w:szCs w:val="16"/>
          <w:lang w:val="en"/>
        </w:rPr>
        <w:t xml:space="preserve"> he is entitled to an extra 10 percent of his salary given his academic rank and another 10 percent because the State awarded him a </w:t>
      </w:r>
      <w:r w:rsidRPr="00A626B5">
        <w:rPr>
          <w:rFonts w:asciiTheme="majorHAnsi" w:hAnsiTheme="majorHAnsi"/>
          <w:i/>
          <w:iCs/>
          <w:color w:val="auto"/>
          <w:sz w:val="16"/>
          <w:szCs w:val="16"/>
          <w:lang w:val="en"/>
        </w:rPr>
        <w:t xml:space="preserve">Palmas </w:t>
      </w:r>
      <w:proofErr w:type="spellStart"/>
      <w:r w:rsidRPr="00A626B5">
        <w:rPr>
          <w:rFonts w:asciiTheme="majorHAnsi" w:hAnsiTheme="majorHAnsi"/>
          <w:i/>
          <w:iCs/>
          <w:color w:val="auto"/>
          <w:sz w:val="16"/>
          <w:szCs w:val="16"/>
          <w:lang w:val="en"/>
        </w:rPr>
        <w:t>Magisteriales</w:t>
      </w:r>
      <w:proofErr w:type="spellEnd"/>
      <w:r w:rsidRPr="00A626B5">
        <w:rPr>
          <w:rFonts w:asciiTheme="majorHAnsi" w:hAnsiTheme="majorHAnsi"/>
          <w:color w:val="auto"/>
          <w:sz w:val="16"/>
          <w:szCs w:val="16"/>
          <w:lang w:val="en"/>
        </w:rPr>
        <w:t xml:space="preserve"> decoration. </w:t>
      </w:r>
    </w:p>
  </w:footnote>
  <w:footnote w:id="10">
    <w:p w14:paraId="6228F700" w14:textId="77777777" w:rsidR="00ED4220" w:rsidRPr="00A626B5" w:rsidRDefault="00ED4220" w:rsidP="00ED4220">
      <w:pPr>
        <w:pStyle w:val="FootnoteText"/>
        <w:ind w:firstLine="720"/>
        <w:jc w:val="both"/>
        <w:rPr>
          <w:rFonts w:asciiTheme="majorHAnsi" w:hAnsiTheme="majorHAnsi"/>
          <w:color w:val="auto"/>
          <w:sz w:val="16"/>
          <w:szCs w:val="16"/>
        </w:rPr>
      </w:pPr>
      <w:r w:rsidRPr="00A626B5">
        <w:rPr>
          <w:rStyle w:val="FootnoteReference"/>
          <w:rFonts w:asciiTheme="majorHAnsi" w:hAnsiTheme="majorHAnsi"/>
          <w:color w:val="auto"/>
          <w:sz w:val="16"/>
          <w:szCs w:val="16"/>
          <w:lang w:val="en"/>
        </w:rPr>
        <w:footnoteRef/>
      </w:r>
      <w:r w:rsidRPr="00A626B5">
        <w:rPr>
          <w:rFonts w:asciiTheme="majorHAnsi" w:hAnsiTheme="majorHAnsi"/>
          <w:color w:val="auto"/>
          <w:sz w:val="16"/>
          <w:szCs w:val="16"/>
          <w:lang w:val="en"/>
        </w:rPr>
        <w:t xml:space="preserve"> He submits that even based on this number of years of service, he should have received a pension because under the law, in the case of men, workers are entitled to a pension on reaching 15 years of service.</w:t>
      </w:r>
    </w:p>
  </w:footnote>
  <w:footnote w:id="11">
    <w:p w14:paraId="58989E21" w14:textId="77777777" w:rsidR="00ED4220" w:rsidRPr="00A626B5" w:rsidRDefault="00ED4220" w:rsidP="00ED4220">
      <w:pPr>
        <w:pStyle w:val="FootnoteText"/>
        <w:ind w:firstLine="720"/>
        <w:jc w:val="both"/>
        <w:rPr>
          <w:rFonts w:asciiTheme="majorHAnsi" w:hAnsiTheme="majorHAnsi"/>
          <w:color w:val="auto"/>
          <w:sz w:val="16"/>
          <w:szCs w:val="16"/>
        </w:rPr>
      </w:pPr>
      <w:r w:rsidRPr="00A626B5">
        <w:rPr>
          <w:rStyle w:val="FootnoteReference"/>
          <w:rFonts w:asciiTheme="majorHAnsi" w:hAnsiTheme="majorHAnsi"/>
          <w:color w:val="auto"/>
          <w:sz w:val="16"/>
          <w:szCs w:val="16"/>
          <w:lang w:val="en"/>
        </w:rPr>
        <w:footnoteRef/>
      </w:r>
      <w:r w:rsidRPr="00A626B5">
        <w:rPr>
          <w:rFonts w:asciiTheme="majorHAnsi" w:hAnsiTheme="majorHAnsi"/>
          <w:color w:val="auto"/>
          <w:sz w:val="16"/>
          <w:szCs w:val="16"/>
          <w:lang w:val="en"/>
        </w:rPr>
        <w:t xml:space="preserve"> He alleges that under the law, the State should have recognized him no less than four years for professional training, given his rank and degrees.</w:t>
      </w:r>
    </w:p>
  </w:footnote>
  <w:footnote w:id="12">
    <w:p w14:paraId="71F73DBD" w14:textId="77777777" w:rsidR="00ED4220" w:rsidRPr="00A626B5" w:rsidRDefault="00ED4220" w:rsidP="00ED4220">
      <w:pPr>
        <w:pStyle w:val="FootnoteText"/>
        <w:ind w:firstLine="720"/>
        <w:jc w:val="both"/>
        <w:rPr>
          <w:rFonts w:asciiTheme="majorHAnsi" w:hAnsiTheme="majorHAnsi"/>
          <w:color w:val="auto"/>
          <w:sz w:val="16"/>
          <w:szCs w:val="16"/>
        </w:rPr>
      </w:pPr>
      <w:r w:rsidRPr="00A626B5">
        <w:rPr>
          <w:rStyle w:val="FootnoteReference"/>
          <w:rFonts w:asciiTheme="majorHAnsi" w:hAnsiTheme="majorHAnsi"/>
          <w:color w:val="auto"/>
          <w:sz w:val="16"/>
          <w:szCs w:val="16"/>
          <w:lang w:val="en"/>
        </w:rPr>
        <w:footnoteRef/>
      </w:r>
      <w:r w:rsidRPr="00A626B5">
        <w:rPr>
          <w:rFonts w:asciiTheme="majorHAnsi" w:hAnsiTheme="majorHAnsi"/>
          <w:color w:val="auto"/>
          <w:sz w:val="16"/>
          <w:szCs w:val="16"/>
          <w:lang w:val="en"/>
        </w:rPr>
        <w:t xml:space="preserve"> According to him, petition of August 31, 2012, requesting the </w:t>
      </w:r>
      <w:r w:rsidRPr="00A626B5">
        <w:rPr>
          <w:rFonts w:asciiTheme="majorHAnsi" w:hAnsiTheme="majorHAnsi"/>
          <w:i/>
          <w:iCs/>
          <w:color w:val="auto"/>
          <w:sz w:val="16"/>
          <w:szCs w:val="16"/>
          <w:lang w:val="en"/>
        </w:rPr>
        <w:t>ex officio</w:t>
      </w:r>
      <w:r w:rsidRPr="00A626B5">
        <w:rPr>
          <w:rFonts w:asciiTheme="majorHAnsi" w:hAnsiTheme="majorHAnsi"/>
          <w:color w:val="auto"/>
          <w:sz w:val="16"/>
          <w:szCs w:val="16"/>
          <w:lang w:val="en"/>
        </w:rPr>
        <w:t xml:space="preserve"> payment of his teaching pension; complaint of May 19, 2013, filed with the Ministry of Education </w:t>
      </w:r>
      <w:r>
        <w:rPr>
          <w:rFonts w:asciiTheme="majorHAnsi" w:hAnsiTheme="majorHAnsi"/>
          <w:color w:val="auto"/>
          <w:sz w:val="16"/>
          <w:szCs w:val="16"/>
          <w:lang w:val="en"/>
        </w:rPr>
        <w:t>given</w:t>
      </w:r>
      <w:r w:rsidRPr="00A626B5">
        <w:rPr>
          <w:rFonts w:asciiTheme="majorHAnsi" w:hAnsiTheme="majorHAnsi"/>
          <w:color w:val="auto"/>
          <w:sz w:val="16"/>
          <w:szCs w:val="16"/>
          <w:lang w:val="en"/>
        </w:rPr>
        <w:t xml:space="preserve"> the</w:t>
      </w:r>
      <w:r>
        <w:rPr>
          <w:rFonts w:asciiTheme="majorHAnsi" w:hAnsiTheme="majorHAnsi"/>
          <w:color w:val="auto"/>
          <w:sz w:val="16"/>
          <w:szCs w:val="16"/>
          <w:lang w:val="en"/>
        </w:rPr>
        <w:t xml:space="preserve"> lack</w:t>
      </w:r>
      <w:r w:rsidRPr="00A626B5">
        <w:rPr>
          <w:rFonts w:asciiTheme="majorHAnsi" w:hAnsiTheme="majorHAnsi"/>
          <w:color w:val="auto"/>
          <w:sz w:val="16"/>
          <w:szCs w:val="16"/>
          <w:lang w:val="en"/>
        </w:rPr>
        <w:t xml:space="preserve"> </w:t>
      </w:r>
      <w:r>
        <w:rPr>
          <w:rFonts w:asciiTheme="majorHAnsi" w:hAnsiTheme="majorHAnsi"/>
          <w:color w:val="auto"/>
          <w:sz w:val="16"/>
          <w:szCs w:val="16"/>
          <w:lang w:val="en"/>
        </w:rPr>
        <w:t xml:space="preserve">of </w:t>
      </w:r>
      <w:r w:rsidRPr="00A626B5">
        <w:rPr>
          <w:rFonts w:asciiTheme="majorHAnsi" w:hAnsiTheme="majorHAnsi"/>
          <w:color w:val="auto"/>
          <w:sz w:val="16"/>
          <w:szCs w:val="16"/>
          <w:lang w:val="en"/>
        </w:rPr>
        <w:t xml:space="preserve">administrative </w:t>
      </w:r>
      <w:r>
        <w:rPr>
          <w:rFonts w:asciiTheme="majorHAnsi" w:hAnsiTheme="majorHAnsi"/>
          <w:color w:val="auto"/>
          <w:sz w:val="16"/>
          <w:szCs w:val="16"/>
          <w:lang w:val="en"/>
        </w:rPr>
        <w:t>processing</w:t>
      </w:r>
      <w:r w:rsidRPr="00A626B5">
        <w:rPr>
          <w:rFonts w:asciiTheme="majorHAnsi" w:hAnsiTheme="majorHAnsi"/>
          <w:color w:val="auto"/>
          <w:sz w:val="16"/>
          <w:szCs w:val="16"/>
          <w:lang w:val="en"/>
        </w:rPr>
        <w:t xml:space="preserve"> of his record; appeal/complaint of September 5, 2014, with the UGEL director; complaint of September 10, 2014, with the Ministry of Education over</w:t>
      </w:r>
      <w:r>
        <w:rPr>
          <w:rFonts w:asciiTheme="majorHAnsi" w:hAnsiTheme="majorHAnsi"/>
          <w:color w:val="auto"/>
          <w:sz w:val="16"/>
          <w:szCs w:val="16"/>
          <w:lang w:val="en"/>
        </w:rPr>
        <w:t xml:space="preserve"> the</w:t>
      </w:r>
      <w:r w:rsidRPr="00A626B5">
        <w:rPr>
          <w:rFonts w:asciiTheme="majorHAnsi" w:hAnsiTheme="majorHAnsi"/>
          <w:color w:val="auto"/>
          <w:sz w:val="16"/>
          <w:szCs w:val="16"/>
          <w:lang w:val="en"/>
        </w:rPr>
        <w:t xml:space="preserve"> </w:t>
      </w:r>
      <w:r>
        <w:rPr>
          <w:rFonts w:asciiTheme="majorHAnsi" w:hAnsiTheme="majorHAnsi"/>
          <w:color w:val="auto"/>
          <w:sz w:val="16"/>
          <w:szCs w:val="16"/>
          <w:lang w:val="en"/>
        </w:rPr>
        <w:t>administrative inaction</w:t>
      </w:r>
      <w:r w:rsidRPr="00A626B5">
        <w:rPr>
          <w:rFonts w:asciiTheme="majorHAnsi" w:hAnsiTheme="majorHAnsi"/>
          <w:color w:val="auto"/>
          <w:sz w:val="16"/>
          <w:szCs w:val="16"/>
          <w:lang w:val="en"/>
        </w:rPr>
        <w:t xml:space="preserve">; petition of September 26, 2014, to the UGEL director for damages and quoting </w:t>
      </w:r>
      <w:r w:rsidRPr="00A626B5">
        <w:rPr>
          <w:rFonts w:asciiTheme="majorHAnsi" w:hAnsiTheme="majorHAnsi"/>
          <w:i/>
          <w:iCs/>
          <w:color w:val="auto"/>
          <w:sz w:val="16"/>
          <w:szCs w:val="16"/>
          <w:lang w:val="en"/>
        </w:rPr>
        <w:t xml:space="preserve">in </w:t>
      </w:r>
      <w:proofErr w:type="spellStart"/>
      <w:r w:rsidRPr="00A626B5">
        <w:rPr>
          <w:rFonts w:asciiTheme="majorHAnsi" w:hAnsiTheme="majorHAnsi"/>
          <w:i/>
          <w:iCs/>
          <w:color w:val="auto"/>
          <w:sz w:val="16"/>
          <w:szCs w:val="16"/>
          <w:lang w:val="en"/>
        </w:rPr>
        <w:t>extenso</w:t>
      </w:r>
      <w:proofErr w:type="spellEnd"/>
      <w:r w:rsidRPr="00A626B5">
        <w:rPr>
          <w:rFonts w:asciiTheme="majorHAnsi" w:hAnsiTheme="majorHAnsi"/>
          <w:color w:val="auto"/>
          <w:sz w:val="16"/>
          <w:szCs w:val="16"/>
          <w:lang w:val="en"/>
        </w:rPr>
        <w:t xml:space="preserve"> his petitions from 2012, 2013, and 2014; petition of October 3, 2014, to </w:t>
      </w:r>
      <w:r>
        <w:rPr>
          <w:rFonts w:asciiTheme="majorHAnsi" w:hAnsiTheme="majorHAnsi"/>
          <w:color w:val="auto"/>
          <w:sz w:val="16"/>
          <w:szCs w:val="16"/>
          <w:lang w:val="en"/>
        </w:rPr>
        <w:t xml:space="preserve">the </w:t>
      </w:r>
      <w:r w:rsidRPr="00A626B5">
        <w:rPr>
          <w:rFonts w:asciiTheme="majorHAnsi" w:hAnsiTheme="majorHAnsi"/>
          <w:color w:val="auto"/>
          <w:sz w:val="16"/>
          <w:szCs w:val="16"/>
          <w:lang w:val="en"/>
        </w:rPr>
        <w:t>UGEL direct</w:t>
      </w:r>
      <w:r>
        <w:rPr>
          <w:rFonts w:asciiTheme="majorHAnsi" w:hAnsiTheme="majorHAnsi"/>
          <w:color w:val="auto"/>
          <w:sz w:val="16"/>
          <w:szCs w:val="16"/>
          <w:lang w:val="en"/>
        </w:rPr>
        <w:t>or</w:t>
      </w:r>
      <w:r w:rsidRPr="00A626B5">
        <w:rPr>
          <w:rFonts w:asciiTheme="majorHAnsi" w:hAnsiTheme="majorHAnsi"/>
          <w:color w:val="auto"/>
          <w:sz w:val="16"/>
          <w:szCs w:val="16"/>
          <w:lang w:val="en"/>
        </w:rPr>
        <w:t xml:space="preserve"> and administrative manager, quoting </w:t>
      </w:r>
      <w:r w:rsidRPr="00A626B5">
        <w:rPr>
          <w:rFonts w:asciiTheme="majorHAnsi" w:hAnsiTheme="majorHAnsi"/>
          <w:i/>
          <w:iCs/>
          <w:color w:val="auto"/>
          <w:sz w:val="16"/>
          <w:szCs w:val="16"/>
          <w:lang w:val="en"/>
        </w:rPr>
        <w:t xml:space="preserve">in </w:t>
      </w:r>
      <w:proofErr w:type="spellStart"/>
      <w:r w:rsidRPr="00A626B5">
        <w:rPr>
          <w:rFonts w:asciiTheme="majorHAnsi" w:hAnsiTheme="majorHAnsi"/>
          <w:i/>
          <w:iCs/>
          <w:color w:val="auto"/>
          <w:sz w:val="16"/>
          <w:szCs w:val="16"/>
          <w:lang w:val="en"/>
        </w:rPr>
        <w:t>extenso</w:t>
      </w:r>
      <w:proofErr w:type="spellEnd"/>
      <w:r w:rsidRPr="00A626B5">
        <w:rPr>
          <w:rFonts w:asciiTheme="majorHAnsi" w:hAnsiTheme="majorHAnsi"/>
          <w:color w:val="auto"/>
          <w:sz w:val="16"/>
          <w:szCs w:val="16"/>
          <w:lang w:val="en"/>
        </w:rPr>
        <w:t xml:space="preserve"> his petition for the payment of his teaching pension from administrative records dated 2012, 2013, and 2014; complaint of October 31, 2014, to the UGEL director over the suspicious administrative </w:t>
      </w:r>
      <w:r>
        <w:rPr>
          <w:rFonts w:asciiTheme="majorHAnsi" w:hAnsiTheme="majorHAnsi"/>
          <w:color w:val="auto"/>
          <w:sz w:val="16"/>
          <w:szCs w:val="16"/>
          <w:lang w:val="en"/>
        </w:rPr>
        <w:t>inaction</w:t>
      </w:r>
      <w:r w:rsidRPr="00A626B5">
        <w:rPr>
          <w:rFonts w:asciiTheme="majorHAnsi" w:hAnsiTheme="majorHAnsi"/>
          <w:color w:val="auto"/>
          <w:sz w:val="16"/>
          <w:szCs w:val="16"/>
          <w:lang w:val="en"/>
        </w:rPr>
        <w:t xml:space="preserve">; complaint of November 12, 2014, to the UGEL director over the administrative </w:t>
      </w:r>
      <w:r>
        <w:rPr>
          <w:rFonts w:asciiTheme="majorHAnsi" w:hAnsiTheme="majorHAnsi"/>
          <w:color w:val="auto"/>
          <w:sz w:val="16"/>
          <w:szCs w:val="16"/>
          <w:lang w:val="en"/>
        </w:rPr>
        <w:t>inaction</w:t>
      </w:r>
      <w:r w:rsidRPr="00A626B5">
        <w:rPr>
          <w:rFonts w:asciiTheme="majorHAnsi" w:hAnsiTheme="majorHAnsi"/>
          <w:color w:val="auto"/>
          <w:sz w:val="16"/>
          <w:szCs w:val="16"/>
          <w:lang w:val="en"/>
        </w:rPr>
        <w:t xml:space="preserve"> and the director’s repeated request for illegal information; complaint of November 12, 2014, to the Ministry of Education over UGEL administrative </w:t>
      </w:r>
      <w:r>
        <w:rPr>
          <w:rFonts w:asciiTheme="majorHAnsi" w:hAnsiTheme="majorHAnsi"/>
          <w:color w:val="auto"/>
          <w:sz w:val="16"/>
          <w:szCs w:val="16"/>
          <w:lang w:val="en"/>
        </w:rPr>
        <w:t>inaction</w:t>
      </w:r>
      <w:r w:rsidRPr="00A626B5">
        <w:rPr>
          <w:rFonts w:asciiTheme="majorHAnsi" w:hAnsiTheme="majorHAnsi"/>
          <w:color w:val="auto"/>
          <w:sz w:val="16"/>
          <w:szCs w:val="16"/>
          <w:lang w:val="en"/>
        </w:rPr>
        <w:t>; complaint and appeal of May 22, 2015.</w:t>
      </w:r>
    </w:p>
  </w:footnote>
  <w:footnote w:id="13">
    <w:p w14:paraId="35086F20" w14:textId="77777777" w:rsidR="00ED4220" w:rsidRPr="00A626B5" w:rsidRDefault="00ED4220" w:rsidP="00ED4220">
      <w:pPr>
        <w:pStyle w:val="FootnoteText"/>
        <w:ind w:firstLine="720"/>
        <w:jc w:val="both"/>
        <w:rPr>
          <w:rFonts w:asciiTheme="majorHAnsi" w:hAnsiTheme="majorHAnsi"/>
          <w:color w:val="auto"/>
          <w:sz w:val="16"/>
          <w:szCs w:val="16"/>
        </w:rPr>
      </w:pPr>
      <w:r w:rsidRPr="00A626B5">
        <w:rPr>
          <w:rStyle w:val="FootnoteReference"/>
          <w:rFonts w:asciiTheme="majorHAnsi" w:hAnsiTheme="majorHAnsi"/>
          <w:color w:val="auto"/>
          <w:sz w:val="16"/>
          <w:szCs w:val="16"/>
          <w:lang w:val="en"/>
        </w:rPr>
        <w:footnoteRef/>
      </w:r>
      <w:r w:rsidRPr="00A626B5">
        <w:rPr>
          <w:rFonts w:asciiTheme="majorHAnsi" w:hAnsiTheme="majorHAnsi"/>
          <w:color w:val="auto"/>
          <w:sz w:val="16"/>
          <w:szCs w:val="16"/>
          <w:lang w:val="en"/>
        </w:rPr>
        <w:t xml:space="preserve"> In this regard, he underlines that the court took over four years to</w:t>
      </w:r>
      <w:r>
        <w:rPr>
          <w:rFonts w:asciiTheme="majorHAnsi" w:hAnsiTheme="majorHAnsi"/>
          <w:color w:val="auto"/>
          <w:sz w:val="16"/>
          <w:szCs w:val="16"/>
          <w:lang w:val="en"/>
        </w:rPr>
        <w:t xml:space="preserve"> issue</w:t>
      </w:r>
      <w:r w:rsidRPr="00A626B5">
        <w:rPr>
          <w:rFonts w:asciiTheme="majorHAnsi" w:hAnsiTheme="majorHAnsi"/>
          <w:color w:val="auto"/>
          <w:sz w:val="16"/>
          <w:szCs w:val="16"/>
          <w:lang w:val="en"/>
        </w:rPr>
        <w:t xml:space="preserve"> resolution No. 1 of all the record, regarding which it granted the Ministry’s appeal with suspensive effects.</w:t>
      </w:r>
      <w:r w:rsidRPr="00A626B5">
        <w:rPr>
          <w:rFonts w:asciiTheme="majorHAnsi" w:hAnsiTheme="majorHAnsi"/>
          <w:color w:val="auto"/>
          <w:sz w:val="16"/>
          <w:szCs w:val="16"/>
          <w:shd w:val="clear" w:color="auto" w:fill="92D050"/>
          <w:lang w:val="en"/>
        </w:rPr>
        <w:t xml:space="preserve"> </w:t>
      </w:r>
    </w:p>
  </w:footnote>
  <w:footnote w:id="14">
    <w:p w14:paraId="1F9BF505" w14:textId="77777777" w:rsidR="00ED4220" w:rsidRPr="00A626B5" w:rsidRDefault="00ED4220" w:rsidP="00ED4220">
      <w:pPr>
        <w:pStyle w:val="FootnoteText"/>
        <w:ind w:firstLine="720"/>
        <w:jc w:val="both"/>
        <w:rPr>
          <w:rFonts w:asciiTheme="majorHAnsi" w:hAnsiTheme="majorHAnsi"/>
          <w:color w:val="auto"/>
          <w:sz w:val="16"/>
          <w:szCs w:val="16"/>
        </w:rPr>
      </w:pPr>
      <w:r w:rsidRPr="00A626B5">
        <w:rPr>
          <w:rStyle w:val="FootnoteReference"/>
          <w:rFonts w:asciiTheme="majorHAnsi" w:hAnsiTheme="majorHAnsi"/>
          <w:color w:val="auto"/>
          <w:sz w:val="16"/>
          <w:szCs w:val="16"/>
          <w:lang w:val="en"/>
        </w:rPr>
        <w:footnoteRef/>
      </w:r>
      <w:r w:rsidRPr="00A626B5">
        <w:rPr>
          <w:rFonts w:asciiTheme="majorHAnsi" w:hAnsiTheme="majorHAnsi"/>
          <w:color w:val="auto"/>
          <w:sz w:val="16"/>
          <w:szCs w:val="16"/>
          <w:lang w:val="en"/>
        </w:rPr>
        <w:t xml:space="preserve"> The Commission takes note that the petitioner believes that the </w:t>
      </w:r>
      <w:r>
        <w:rPr>
          <w:rFonts w:asciiTheme="majorHAnsi" w:hAnsiTheme="majorHAnsi"/>
          <w:color w:val="auto"/>
          <w:sz w:val="16"/>
          <w:szCs w:val="16"/>
          <w:lang w:val="en"/>
        </w:rPr>
        <w:t>agents</w:t>
      </w:r>
      <w:r w:rsidRPr="00A626B5">
        <w:rPr>
          <w:rFonts w:asciiTheme="majorHAnsi" w:hAnsiTheme="majorHAnsi"/>
          <w:color w:val="auto"/>
          <w:sz w:val="16"/>
          <w:szCs w:val="16"/>
          <w:lang w:val="en"/>
        </w:rPr>
        <w:t xml:space="preserve"> acting on behalf of the State are not duly qualified under the internal legal framework. However, the Commission has not found elements to question the </w:t>
      </w:r>
      <w:r>
        <w:rPr>
          <w:rFonts w:asciiTheme="majorHAnsi" w:hAnsiTheme="majorHAnsi"/>
          <w:color w:val="auto"/>
          <w:sz w:val="16"/>
          <w:szCs w:val="16"/>
          <w:lang w:val="en"/>
        </w:rPr>
        <w:t xml:space="preserve">capacity of the </w:t>
      </w:r>
      <w:r w:rsidRPr="00A626B5">
        <w:rPr>
          <w:rFonts w:asciiTheme="majorHAnsi" w:hAnsiTheme="majorHAnsi"/>
          <w:color w:val="auto"/>
          <w:sz w:val="16"/>
          <w:szCs w:val="16"/>
          <w:lang w:val="en"/>
        </w:rPr>
        <w:t>Supranational Specialized Public Prosecutor’s Office to act on behalf of the State regarding this admissibility procedure.</w:t>
      </w:r>
      <w:r>
        <w:rPr>
          <w:rFonts w:asciiTheme="majorHAnsi" w:hAnsiTheme="majorHAnsi"/>
          <w:color w:val="auto"/>
          <w:sz w:val="16"/>
          <w:szCs w:val="16"/>
          <w:lang w:val="en"/>
        </w:rPr>
        <w:t xml:space="preserve"> </w:t>
      </w:r>
    </w:p>
  </w:footnote>
  <w:footnote w:id="15">
    <w:p w14:paraId="3D1384DA" w14:textId="1A532758" w:rsidR="00ED4220" w:rsidRPr="00A626B5" w:rsidRDefault="00ED4220" w:rsidP="00ED4220">
      <w:pPr>
        <w:pStyle w:val="FootnoteText"/>
        <w:ind w:firstLine="720"/>
        <w:jc w:val="both"/>
        <w:rPr>
          <w:rFonts w:asciiTheme="majorHAnsi" w:hAnsiTheme="majorHAnsi"/>
          <w:color w:val="auto"/>
          <w:sz w:val="16"/>
          <w:szCs w:val="16"/>
        </w:rPr>
      </w:pPr>
      <w:r w:rsidRPr="00A626B5">
        <w:rPr>
          <w:rStyle w:val="FootnoteReference"/>
          <w:rFonts w:asciiTheme="majorHAnsi" w:hAnsiTheme="majorHAnsi"/>
          <w:color w:val="auto"/>
          <w:sz w:val="16"/>
          <w:szCs w:val="16"/>
          <w:lang w:val="en"/>
        </w:rPr>
        <w:footnoteRef/>
      </w:r>
      <w:r w:rsidRPr="00A626B5">
        <w:rPr>
          <w:rFonts w:asciiTheme="majorHAnsi" w:hAnsiTheme="majorHAnsi"/>
          <w:color w:val="auto"/>
          <w:sz w:val="16"/>
          <w:szCs w:val="16"/>
          <w:lang w:val="en"/>
        </w:rPr>
        <w:t xml:space="preserve"> He was not employed or contributing to the pension scheme under Decree-Law No. 19990 when Law No. 25212 came into force on May 21, 1990. </w:t>
      </w:r>
    </w:p>
  </w:footnote>
  <w:footnote w:id="16">
    <w:p w14:paraId="30DC7657" w14:textId="77777777" w:rsidR="00ED4220" w:rsidRPr="00DB2932" w:rsidRDefault="00ED4220" w:rsidP="00ED4220">
      <w:pPr>
        <w:pStyle w:val="FootnoteText"/>
        <w:ind w:firstLine="720"/>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IACHR, Report No. 35/16, Petition 4480-02. Admissibility. </w:t>
      </w:r>
      <w:r w:rsidRPr="00742EF1">
        <w:rPr>
          <w:rFonts w:asciiTheme="majorHAnsi" w:hAnsiTheme="majorHAnsi"/>
          <w:color w:val="auto"/>
          <w:sz w:val="16"/>
          <w:szCs w:val="16"/>
          <w:lang w:val="es-US"/>
        </w:rPr>
        <w:t xml:space="preserve">Carlos Manuel </w:t>
      </w:r>
      <w:proofErr w:type="spellStart"/>
      <w:r w:rsidRPr="00742EF1">
        <w:rPr>
          <w:rFonts w:asciiTheme="majorHAnsi" w:hAnsiTheme="majorHAnsi"/>
          <w:color w:val="auto"/>
          <w:sz w:val="16"/>
          <w:szCs w:val="16"/>
          <w:lang w:val="es-US"/>
        </w:rPr>
        <w:t>Veraza</w:t>
      </w:r>
      <w:proofErr w:type="spellEnd"/>
      <w:r w:rsidRPr="00742EF1">
        <w:rPr>
          <w:rFonts w:asciiTheme="majorHAnsi" w:hAnsiTheme="majorHAnsi"/>
          <w:color w:val="auto"/>
          <w:sz w:val="16"/>
          <w:szCs w:val="16"/>
          <w:lang w:val="es-US"/>
        </w:rPr>
        <w:t xml:space="preserve"> </w:t>
      </w:r>
      <w:proofErr w:type="spellStart"/>
      <w:r w:rsidRPr="00742EF1">
        <w:rPr>
          <w:rFonts w:asciiTheme="majorHAnsi" w:hAnsiTheme="majorHAnsi"/>
          <w:color w:val="auto"/>
          <w:sz w:val="16"/>
          <w:szCs w:val="16"/>
          <w:lang w:val="es-US"/>
        </w:rPr>
        <w:t>Urtusuástegui</w:t>
      </w:r>
      <w:proofErr w:type="spellEnd"/>
      <w:r w:rsidRPr="00742EF1">
        <w:rPr>
          <w:rFonts w:asciiTheme="majorHAnsi" w:hAnsiTheme="majorHAnsi"/>
          <w:color w:val="auto"/>
          <w:sz w:val="16"/>
          <w:szCs w:val="16"/>
          <w:lang w:val="es-US"/>
        </w:rPr>
        <w:t xml:space="preserve">. </w:t>
      </w:r>
      <w:proofErr w:type="spellStart"/>
      <w:r w:rsidRPr="00742EF1">
        <w:rPr>
          <w:rFonts w:asciiTheme="majorHAnsi" w:hAnsiTheme="majorHAnsi"/>
          <w:color w:val="auto"/>
          <w:sz w:val="16"/>
          <w:szCs w:val="16"/>
          <w:lang w:val="es-US"/>
        </w:rPr>
        <w:t>Mexico</w:t>
      </w:r>
      <w:proofErr w:type="spellEnd"/>
      <w:r w:rsidRPr="00742EF1">
        <w:rPr>
          <w:rFonts w:asciiTheme="majorHAnsi" w:hAnsiTheme="majorHAnsi"/>
          <w:color w:val="auto"/>
          <w:sz w:val="16"/>
          <w:szCs w:val="16"/>
          <w:lang w:val="es-US"/>
        </w:rPr>
        <w:t xml:space="preserve">. </w:t>
      </w:r>
      <w:r>
        <w:rPr>
          <w:rFonts w:asciiTheme="majorHAnsi" w:hAnsiTheme="majorHAnsi"/>
          <w:color w:val="auto"/>
          <w:sz w:val="16"/>
          <w:szCs w:val="16"/>
          <w:lang w:val="en"/>
        </w:rPr>
        <w:t>July 29, 2016, para. 33.</w:t>
      </w:r>
    </w:p>
  </w:footnote>
  <w:footnote w:id="17">
    <w:p w14:paraId="14B4A49A" w14:textId="77777777" w:rsidR="00ED4220" w:rsidRPr="00DB2932" w:rsidRDefault="00ED4220" w:rsidP="00ED4220">
      <w:pPr>
        <w:pStyle w:val="FootnoteText"/>
        <w:jc w:val="both"/>
        <w:rPr>
          <w:rFonts w:asciiTheme="majorHAnsi" w:hAnsiTheme="majorHAnsi"/>
          <w:color w:val="auto"/>
          <w:sz w:val="16"/>
          <w:szCs w:val="16"/>
        </w:rPr>
      </w:pPr>
      <w:r>
        <w:rPr>
          <w:lang w:val="en"/>
        </w:rPr>
        <w:tab/>
      </w: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IACHR, Report No. 26/16, Petition 932-06. Inadmissibility. </w:t>
      </w:r>
      <w:proofErr w:type="spellStart"/>
      <w:r>
        <w:rPr>
          <w:rFonts w:asciiTheme="majorHAnsi" w:hAnsiTheme="majorHAnsi"/>
          <w:color w:val="auto"/>
          <w:sz w:val="16"/>
          <w:szCs w:val="16"/>
          <w:lang w:val="en"/>
        </w:rPr>
        <w:t>Rómulo</w:t>
      </w:r>
      <w:proofErr w:type="spellEnd"/>
      <w:r>
        <w:rPr>
          <w:rFonts w:asciiTheme="majorHAnsi" w:hAnsiTheme="majorHAnsi"/>
          <w:color w:val="auto"/>
          <w:sz w:val="16"/>
          <w:szCs w:val="16"/>
          <w:lang w:val="en"/>
        </w:rPr>
        <w:t xml:space="preserve"> </w:t>
      </w:r>
      <w:proofErr w:type="spellStart"/>
      <w:r>
        <w:rPr>
          <w:rFonts w:asciiTheme="majorHAnsi" w:hAnsiTheme="majorHAnsi"/>
          <w:color w:val="auto"/>
          <w:sz w:val="16"/>
          <w:szCs w:val="16"/>
          <w:lang w:val="en"/>
        </w:rPr>
        <w:t>Jonás</w:t>
      </w:r>
      <w:proofErr w:type="spellEnd"/>
      <w:r>
        <w:rPr>
          <w:rFonts w:asciiTheme="majorHAnsi" w:hAnsiTheme="majorHAnsi"/>
          <w:color w:val="auto"/>
          <w:sz w:val="16"/>
          <w:szCs w:val="16"/>
          <w:lang w:val="en"/>
        </w:rPr>
        <w:t xml:space="preserve"> Ponce </w:t>
      </w:r>
      <w:proofErr w:type="spellStart"/>
      <w:r>
        <w:rPr>
          <w:rFonts w:asciiTheme="majorHAnsi" w:hAnsiTheme="majorHAnsi"/>
          <w:color w:val="auto"/>
          <w:sz w:val="16"/>
          <w:szCs w:val="16"/>
          <w:lang w:val="en"/>
        </w:rPr>
        <w:t>Santamaría</w:t>
      </w:r>
      <w:proofErr w:type="spellEnd"/>
      <w:r>
        <w:rPr>
          <w:rFonts w:asciiTheme="majorHAnsi" w:hAnsiTheme="majorHAnsi"/>
          <w:color w:val="auto"/>
          <w:sz w:val="16"/>
          <w:szCs w:val="16"/>
          <w:lang w:val="en"/>
        </w:rPr>
        <w:t>. Peru. April 15, 2016, para. 25.</w:t>
      </w:r>
    </w:p>
  </w:footnote>
  <w:footnote w:id="18">
    <w:p w14:paraId="711B55E0" w14:textId="4B1EAA30" w:rsidR="00ED4220" w:rsidRPr="00DB2932" w:rsidRDefault="00ED4220" w:rsidP="00ED4220">
      <w:pPr>
        <w:pStyle w:val="FootnoteText"/>
        <w:ind w:firstLine="720"/>
        <w:jc w:val="both"/>
        <w:rPr>
          <w:rFonts w:ascii="Cambria" w:hAnsi="Cambria"/>
          <w:color w:val="auto"/>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See </w:t>
      </w:r>
      <w:r w:rsidR="0013550C">
        <w:rPr>
          <w:rFonts w:asciiTheme="majorHAnsi" w:hAnsiTheme="majorHAnsi"/>
          <w:color w:val="auto"/>
          <w:sz w:val="16"/>
          <w:szCs w:val="16"/>
          <w:lang w:val="en"/>
        </w:rPr>
        <w:t>R</w:t>
      </w:r>
      <w:r>
        <w:rPr>
          <w:rFonts w:asciiTheme="majorHAnsi" w:hAnsiTheme="majorHAnsi"/>
          <w:color w:val="auto"/>
          <w:sz w:val="16"/>
          <w:szCs w:val="16"/>
          <w:lang w:val="en"/>
        </w:rPr>
        <w:t>ights invoked in Section I hereof.</w:t>
      </w:r>
      <w:r>
        <w:rPr>
          <w:rFonts w:ascii="Cambria" w:hAnsi="Cambria"/>
          <w:color w:val="auto"/>
          <w:lang w:val="e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035EB2"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F38DB" w14:textId="77777777" w:rsidR="00FA5A3C" w:rsidRDefault="00FA5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38BA8728"/>
    <w:lvl w:ilvl="0" w:tplc="AE7A218E">
      <w:start w:val="1"/>
      <w:numFmt w:val="decimal"/>
      <w:lvlText w:val="%1."/>
      <w:lvlJc w:val="left"/>
      <w:pPr>
        <w:tabs>
          <w:tab w:val="num" w:pos="720"/>
        </w:tabs>
        <w:ind w:left="0" w:firstLine="720"/>
      </w:pPr>
      <w:rPr>
        <w:rFonts w:hint="default"/>
        <w:b w:val="0"/>
        <w:bCs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756"/>
    <w:rsid w:val="000070D7"/>
    <w:rsid w:val="000111A8"/>
    <w:rsid w:val="0001788C"/>
    <w:rsid w:val="00022CF5"/>
    <w:rsid w:val="00035EB2"/>
    <w:rsid w:val="00036A8A"/>
    <w:rsid w:val="00040C3A"/>
    <w:rsid w:val="00043766"/>
    <w:rsid w:val="000460CA"/>
    <w:rsid w:val="000639C0"/>
    <w:rsid w:val="00070F3A"/>
    <w:rsid w:val="000716C5"/>
    <w:rsid w:val="00075E23"/>
    <w:rsid w:val="00092F32"/>
    <w:rsid w:val="0009344A"/>
    <w:rsid w:val="000A575F"/>
    <w:rsid w:val="000C4365"/>
    <w:rsid w:val="000D10DB"/>
    <w:rsid w:val="00113A4F"/>
    <w:rsid w:val="00115F41"/>
    <w:rsid w:val="00124116"/>
    <w:rsid w:val="00126E08"/>
    <w:rsid w:val="0013104F"/>
    <w:rsid w:val="00131C16"/>
    <w:rsid w:val="0013550C"/>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1157D"/>
    <w:rsid w:val="002119C7"/>
    <w:rsid w:val="00230163"/>
    <w:rsid w:val="0023351C"/>
    <w:rsid w:val="00245B59"/>
    <w:rsid w:val="00247403"/>
    <w:rsid w:val="00247542"/>
    <w:rsid w:val="00257893"/>
    <w:rsid w:val="00261E08"/>
    <w:rsid w:val="00262ADD"/>
    <w:rsid w:val="00263BF5"/>
    <w:rsid w:val="00266092"/>
    <w:rsid w:val="00266B61"/>
    <w:rsid w:val="0026712A"/>
    <w:rsid w:val="002704DB"/>
    <w:rsid w:val="002760CE"/>
    <w:rsid w:val="002826D3"/>
    <w:rsid w:val="002A6B0C"/>
    <w:rsid w:val="002B7A85"/>
    <w:rsid w:val="002C1641"/>
    <w:rsid w:val="002D7EA2"/>
    <w:rsid w:val="002E15DF"/>
    <w:rsid w:val="002E187C"/>
    <w:rsid w:val="002E6E57"/>
    <w:rsid w:val="00301075"/>
    <w:rsid w:val="00302733"/>
    <w:rsid w:val="003053BF"/>
    <w:rsid w:val="00311A4F"/>
    <w:rsid w:val="00314078"/>
    <w:rsid w:val="00315387"/>
    <w:rsid w:val="00321AFD"/>
    <w:rsid w:val="00322450"/>
    <w:rsid w:val="003246B5"/>
    <w:rsid w:val="0033169F"/>
    <w:rsid w:val="003414AC"/>
    <w:rsid w:val="00352057"/>
    <w:rsid w:val="00356185"/>
    <w:rsid w:val="00360380"/>
    <w:rsid w:val="003771A3"/>
    <w:rsid w:val="00386CF0"/>
    <w:rsid w:val="003A4348"/>
    <w:rsid w:val="003A5566"/>
    <w:rsid w:val="003B635E"/>
    <w:rsid w:val="003C32BC"/>
    <w:rsid w:val="003C66BF"/>
    <w:rsid w:val="003D1E33"/>
    <w:rsid w:val="003D5EFB"/>
    <w:rsid w:val="003D6EE0"/>
    <w:rsid w:val="003E1CF5"/>
    <w:rsid w:val="003E3E03"/>
    <w:rsid w:val="003F1BBF"/>
    <w:rsid w:val="003F1DA6"/>
    <w:rsid w:val="004162B1"/>
    <w:rsid w:val="004165C2"/>
    <w:rsid w:val="00433117"/>
    <w:rsid w:val="0043489C"/>
    <w:rsid w:val="004434A5"/>
    <w:rsid w:val="004477B4"/>
    <w:rsid w:val="00450A4A"/>
    <w:rsid w:val="004666FB"/>
    <w:rsid w:val="00466D0B"/>
    <w:rsid w:val="00467B7E"/>
    <w:rsid w:val="0049419D"/>
    <w:rsid w:val="004A7069"/>
    <w:rsid w:val="004B01E1"/>
    <w:rsid w:val="004B2762"/>
    <w:rsid w:val="004B7EB6"/>
    <w:rsid w:val="004C41DE"/>
    <w:rsid w:val="004C4B62"/>
    <w:rsid w:val="004D6025"/>
    <w:rsid w:val="004D72BC"/>
    <w:rsid w:val="004F6B67"/>
    <w:rsid w:val="00501399"/>
    <w:rsid w:val="00507BC4"/>
    <w:rsid w:val="005128E4"/>
    <w:rsid w:val="0052024C"/>
    <w:rsid w:val="005243C2"/>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D2EF7"/>
    <w:rsid w:val="005F0F33"/>
    <w:rsid w:val="005F3E64"/>
    <w:rsid w:val="00600DEB"/>
    <w:rsid w:val="00613027"/>
    <w:rsid w:val="00627C9F"/>
    <w:rsid w:val="006311DA"/>
    <w:rsid w:val="006311E9"/>
    <w:rsid w:val="006318B2"/>
    <w:rsid w:val="00632354"/>
    <w:rsid w:val="00642810"/>
    <w:rsid w:val="00652333"/>
    <w:rsid w:val="00653EA6"/>
    <w:rsid w:val="00667CC3"/>
    <w:rsid w:val="0068009E"/>
    <w:rsid w:val="00685597"/>
    <w:rsid w:val="006A17D2"/>
    <w:rsid w:val="006A73E6"/>
    <w:rsid w:val="006B2D5C"/>
    <w:rsid w:val="006C4EB1"/>
    <w:rsid w:val="006D4707"/>
    <w:rsid w:val="006E0166"/>
    <w:rsid w:val="006E270D"/>
    <w:rsid w:val="006E7B34"/>
    <w:rsid w:val="007008C1"/>
    <w:rsid w:val="00701B24"/>
    <w:rsid w:val="00706858"/>
    <w:rsid w:val="00706E6A"/>
    <w:rsid w:val="00713AED"/>
    <w:rsid w:val="0071495F"/>
    <w:rsid w:val="0073798E"/>
    <w:rsid w:val="00740872"/>
    <w:rsid w:val="00740DD6"/>
    <w:rsid w:val="00742EF1"/>
    <w:rsid w:val="00745899"/>
    <w:rsid w:val="00752D34"/>
    <w:rsid w:val="007607C4"/>
    <w:rsid w:val="0076643F"/>
    <w:rsid w:val="00781653"/>
    <w:rsid w:val="007A2082"/>
    <w:rsid w:val="007A2F70"/>
    <w:rsid w:val="007C3334"/>
    <w:rsid w:val="007C52BB"/>
    <w:rsid w:val="007C605F"/>
    <w:rsid w:val="007D2B98"/>
    <w:rsid w:val="007F6DE9"/>
    <w:rsid w:val="007F7980"/>
    <w:rsid w:val="00803F1C"/>
    <w:rsid w:val="0080600E"/>
    <w:rsid w:val="00817612"/>
    <w:rsid w:val="008258D7"/>
    <w:rsid w:val="00837C45"/>
    <w:rsid w:val="00853419"/>
    <w:rsid w:val="008546E5"/>
    <w:rsid w:val="00873B41"/>
    <w:rsid w:val="008801F8"/>
    <w:rsid w:val="00897E12"/>
    <w:rsid w:val="008D43BA"/>
    <w:rsid w:val="008E3759"/>
    <w:rsid w:val="008E40F5"/>
    <w:rsid w:val="008E4EEF"/>
    <w:rsid w:val="009041DC"/>
    <w:rsid w:val="009104B4"/>
    <w:rsid w:val="009228DA"/>
    <w:rsid w:val="00925FCD"/>
    <w:rsid w:val="0093441A"/>
    <w:rsid w:val="00936805"/>
    <w:rsid w:val="00954BF7"/>
    <w:rsid w:val="0096706E"/>
    <w:rsid w:val="00981FBA"/>
    <w:rsid w:val="0098783D"/>
    <w:rsid w:val="009B1436"/>
    <w:rsid w:val="009B306D"/>
    <w:rsid w:val="009B381B"/>
    <w:rsid w:val="009D59D2"/>
    <w:rsid w:val="009D60B4"/>
    <w:rsid w:val="009D7611"/>
    <w:rsid w:val="009E53DE"/>
    <w:rsid w:val="009E566A"/>
    <w:rsid w:val="00A0523B"/>
    <w:rsid w:val="00A12DBC"/>
    <w:rsid w:val="00A2467F"/>
    <w:rsid w:val="00A43458"/>
    <w:rsid w:val="00A528D1"/>
    <w:rsid w:val="00A66BE5"/>
    <w:rsid w:val="00A6788C"/>
    <w:rsid w:val="00AB4FA4"/>
    <w:rsid w:val="00AD37C1"/>
    <w:rsid w:val="00AE2C03"/>
    <w:rsid w:val="00AE66EC"/>
    <w:rsid w:val="00AE6F91"/>
    <w:rsid w:val="00AF02C6"/>
    <w:rsid w:val="00AF5571"/>
    <w:rsid w:val="00B062FC"/>
    <w:rsid w:val="00B06BB7"/>
    <w:rsid w:val="00B06F3D"/>
    <w:rsid w:val="00B167E9"/>
    <w:rsid w:val="00B179ED"/>
    <w:rsid w:val="00B314DB"/>
    <w:rsid w:val="00B31EBE"/>
    <w:rsid w:val="00B3718B"/>
    <w:rsid w:val="00B44B23"/>
    <w:rsid w:val="00B4632A"/>
    <w:rsid w:val="00B92E49"/>
    <w:rsid w:val="00BA276C"/>
    <w:rsid w:val="00BB306F"/>
    <w:rsid w:val="00BD232B"/>
    <w:rsid w:val="00BD2E42"/>
    <w:rsid w:val="00BD4B89"/>
    <w:rsid w:val="00BE6657"/>
    <w:rsid w:val="00BF17A3"/>
    <w:rsid w:val="00C02721"/>
    <w:rsid w:val="00C21762"/>
    <w:rsid w:val="00C24543"/>
    <w:rsid w:val="00C256A2"/>
    <w:rsid w:val="00C272BF"/>
    <w:rsid w:val="00C3492D"/>
    <w:rsid w:val="00C355B4"/>
    <w:rsid w:val="00C53B5F"/>
    <w:rsid w:val="00C55560"/>
    <w:rsid w:val="00C66B72"/>
    <w:rsid w:val="00C77713"/>
    <w:rsid w:val="00C87C57"/>
    <w:rsid w:val="00C9567A"/>
    <w:rsid w:val="00C962B2"/>
    <w:rsid w:val="00CA6577"/>
    <w:rsid w:val="00CB2660"/>
    <w:rsid w:val="00CC5E90"/>
    <w:rsid w:val="00CD046C"/>
    <w:rsid w:val="00CE5199"/>
    <w:rsid w:val="00CE66D5"/>
    <w:rsid w:val="00D219EA"/>
    <w:rsid w:val="00D34786"/>
    <w:rsid w:val="00D40A1E"/>
    <w:rsid w:val="00D533C0"/>
    <w:rsid w:val="00D66D3C"/>
    <w:rsid w:val="00D707F4"/>
    <w:rsid w:val="00D712D3"/>
    <w:rsid w:val="00D71422"/>
    <w:rsid w:val="00D7145E"/>
    <w:rsid w:val="00D75084"/>
    <w:rsid w:val="00D7558D"/>
    <w:rsid w:val="00D81D92"/>
    <w:rsid w:val="00D93446"/>
    <w:rsid w:val="00DA7B5F"/>
    <w:rsid w:val="00DC5F1A"/>
    <w:rsid w:val="00DC7B91"/>
    <w:rsid w:val="00DF078B"/>
    <w:rsid w:val="00DF350D"/>
    <w:rsid w:val="00E227C1"/>
    <w:rsid w:val="00E41BCA"/>
    <w:rsid w:val="00E43157"/>
    <w:rsid w:val="00E47F3D"/>
    <w:rsid w:val="00E533FF"/>
    <w:rsid w:val="00E709B3"/>
    <w:rsid w:val="00E7588C"/>
    <w:rsid w:val="00E76E74"/>
    <w:rsid w:val="00E7797F"/>
    <w:rsid w:val="00E850B6"/>
    <w:rsid w:val="00E8789F"/>
    <w:rsid w:val="00E97B71"/>
    <w:rsid w:val="00EB454D"/>
    <w:rsid w:val="00ED0D1B"/>
    <w:rsid w:val="00ED4220"/>
    <w:rsid w:val="00ED5FB1"/>
    <w:rsid w:val="00EE3522"/>
    <w:rsid w:val="00EF619B"/>
    <w:rsid w:val="00F00B55"/>
    <w:rsid w:val="00F0785A"/>
    <w:rsid w:val="00F1087C"/>
    <w:rsid w:val="00F1380F"/>
    <w:rsid w:val="00F14F0E"/>
    <w:rsid w:val="00F15A3B"/>
    <w:rsid w:val="00F24C29"/>
    <w:rsid w:val="00F253CC"/>
    <w:rsid w:val="00F40C93"/>
    <w:rsid w:val="00F42B71"/>
    <w:rsid w:val="00F455FB"/>
    <w:rsid w:val="00F56BA5"/>
    <w:rsid w:val="00F621C3"/>
    <w:rsid w:val="00F62449"/>
    <w:rsid w:val="00F644E6"/>
    <w:rsid w:val="00F9653B"/>
    <w:rsid w:val="00FA41FD"/>
    <w:rsid w:val="00FA5A3C"/>
    <w:rsid w:val="00FB2DCE"/>
    <w:rsid w:val="00FB54A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24435-ACEA-4D1D-AA72-2F9D4A90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2443</Words>
  <Characters>12634</Characters>
  <Application>Microsoft Office Word</Application>
  <DocSecurity>0</DocSecurity>
  <Lines>263</Lines>
  <Paragraphs>76</Paragraphs>
  <ScaleCrop>false</ScaleCrop>
  <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187/19</dc:title>
  <dc:creator/>
  <cp:lastModifiedBy/>
  <cp:revision>1</cp:revision>
  <dcterms:created xsi:type="dcterms:W3CDTF">2020-03-30T15:03:00Z</dcterms:created>
  <dcterms:modified xsi:type="dcterms:W3CDTF">2020-03-30T15:03:00Z</dcterms:modified>
</cp:coreProperties>
</file>