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753C6D" w:rsidRDefault="006311DA" w:rsidP="00627C9F">
      <w:pPr>
        <w:jc w:val="both"/>
        <w:rPr>
          <w:rFonts w:asciiTheme="majorHAnsi" w:hAnsiTheme="majorHAnsi" w:cs="Univers"/>
          <w:b/>
          <w:bCs/>
          <w:sz w:val="22"/>
          <w:szCs w:val="22"/>
        </w:rPr>
      </w:pPr>
      <w:r w:rsidRPr="00753C6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4F4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53C6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046E7" w:rsidRDefault="003046E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046E7" w:rsidRDefault="003046E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53C6D" w:rsidRDefault="00040C3A" w:rsidP="00040C3A">
      <w:pPr>
        <w:tabs>
          <w:tab w:val="center" w:pos="5400"/>
        </w:tabs>
        <w:suppressAutoHyphens/>
        <w:jc w:val="both"/>
        <w:rPr>
          <w:rFonts w:asciiTheme="majorHAnsi" w:hAnsiTheme="majorHAnsi"/>
          <w:sz w:val="22"/>
          <w:szCs w:val="22"/>
        </w:rPr>
      </w:pPr>
    </w:p>
    <w:p w14:paraId="54AC1FBF" w14:textId="77777777" w:rsidR="00040C3A" w:rsidRPr="00753C6D" w:rsidRDefault="00040C3A" w:rsidP="00040C3A">
      <w:pPr>
        <w:tabs>
          <w:tab w:val="center" w:pos="5400"/>
        </w:tabs>
        <w:suppressAutoHyphens/>
        <w:jc w:val="both"/>
        <w:rPr>
          <w:rFonts w:asciiTheme="majorHAnsi" w:hAnsiTheme="majorHAnsi"/>
          <w:sz w:val="22"/>
          <w:szCs w:val="22"/>
        </w:rPr>
      </w:pPr>
    </w:p>
    <w:p w14:paraId="6A4AC464" w14:textId="77777777" w:rsidR="005128E4" w:rsidRPr="00753C6D" w:rsidRDefault="005128E4" w:rsidP="00040C3A">
      <w:pPr>
        <w:tabs>
          <w:tab w:val="center" w:pos="5400"/>
        </w:tabs>
        <w:suppressAutoHyphens/>
        <w:rPr>
          <w:rFonts w:asciiTheme="majorHAnsi" w:hAnsiTheme="majorHAnsi"/>
          <w:sz w:val="22"/>
          <w:szCs w:val="22"/>
        </w:rPr>
      </w:pPr>
    </w:p>
    <w:p w14:paraId="515D20A5" w14:textId="77777777" w:rsidR="005128E4" w:rsidRPr="00753C6D" w:rsidRDefault="005128E4" w:rsidP="00040C3A">
      <w:pPr>
        <w:tabs>
          <w:tab w:val="center" w:pos="5400"/>
        </w:tabs>
        <w:suppressAutoHyphens/>
        <w:rPr>
          <w:rFonts w:asciiTheme="majorHAnsi" w:hAnsiTheme="majorHAnsi"/>
          <w:sz w:val="22"/>
          <w:szCs w:val="22"/>
        </w:rPr>
      </w:pPr>
    </w:p>
    <w:p w14:paraId="7CBA3E7E" w14:textId="77777777" w:rsidR="005128E4" w:rsidRPr="00753C6D" w:rsidRDefault="005128E4" w:rsidP="00040C3A">
      <w:pPr>
        <w:tabs>
          <w:tab w:val="center" w:pos="5400"/>
        </w:tabs>
        <w:suppressAutoHyphens/>
        <w:rPr>
          <w:rFonts w:asciiTheme="majorHAnsi" w:hAnsiTheme="majorHAnsi"/>
          <w:sz w:val="22"/>
          <w:szCs w:val="22"/>
        </w:rPr>
      </w:pPr>
    </w:p>
    <w:p w14:paraId="0FFC5ED6" w14:textId="77777777" w:rsidR="00040C3A" w:rsidRPr="00753C6D" w:rsidRDefault="00040C3A" w:rsidP="005128E4">
      <w:pPr>
        <w:tabs>
          <w:tab w:val="center" w:pos="5400"/>
        </w:tabs>
        <w:suppressAutoHyphens/>
        <w:jc w:val="center"/>
        <w:rPr>
          <w:rFonts w:asciiTheme="majorHAnsi" w:hAnsiTheme="majorHAnsi"/>
          <w:sz w:val="22"/>
          <w:szCs w:val="22"/>
        </w:rPr>
      </w:pPr>
    </w:p>
    <w:p w14:paraId="5FCF0358" w14:textId="77777777" w:rsidR="00040C3A" w:rsidRPr="00753C6D" w:rsidRDefault="00040C3A" w:rsidP="005128E4">
      <w:pPr>
        <w:tabs>
          <w:tab w:val="center" w:pos="5400"/>
        </w:tabs>
        <w:suppressAutoHyphens/>
        <w:jc w:val="center"/>
        <w:rPr>
          <w:rFonts w:asciiTheme="majorHAnsi" w:hAnsiTheme="majorHAnsi"/>
          <w:sz w:val="22"/>
          <w:szCs w:val="22"/>
        </w:rPr>
      </w:pPr>
    </w:p>
    <w:p w14:paraId="23C02B60" w14:textId="77777777" w:rsidR="005B52B0" w:rsidRPr="00753C6D" w:rsidRDefault="005B52B0" w:rsidP="005128E4">
      <w:pPr>
        <w:tabs>
          <w:tab w:val="center" w:pos="5400"/>
        </w:tabs>
        <w:suppressAutoHyphens/>
        <w:jc w:val="center"/>
        <w:rPr>
          <w:rFonts w:asciiTheme="majorHAnsi" w:hAnsiTheme="majorHAnsi"/>
          <w:sz w:val="22"/>
          <w:szCs w:val="22"/>
        </w:rPr>
      </w:pPr>
    </w:p>
    <w:p w14:paraId="1E4CC4A3" w14:textId="77777777" w:rsidR="005B52B0" w:rsidRPr="00753C6D" w:rsidRDefault="005B52B0" w:rsidP="005128E4">
      <w:pPr>
        <w:tabs>
          <w:tab w:val="center" w:pos="5400"/>
        </w:tabs>
        <w:suppressAutoHyphens/>
        <w:jc w:val="center"/>
        <w:rPr>
          <w:rFonts w:asciiTheme="majorHAnsi" w:hAnsiTheme="majorHAnsi"/>
          <w:sz w:val="22"/>
          <w:szCs w:val="22"/>
        </w:rPr>
      </w:pPr>
    </w:p>
    <w:p w14:paraId="022074FD" w14:textId="77777777" w:rsidR="005B52B0" w:rsidRPr="00753C6D" w:rsidRDefault="005B52B0" w:rsidP="005128E4">
      <w:pPr>
        <w:tabs>
          <w:tab w:val="center" w:pos="5400"/>
        </w:tabs>
        <w:suppressAutoHyphens/>
        <w:jc w:val="center"/>
        <w:rPr>
          <w:rFonts w:asciiTheme="majorHAnsi" w:hAnsiTheme="majorHAnsi"/>
          <w:sz w:val="22"/>
          <w:szCs w:val="22"/>
        </w:rPr>
      </w:pPr>
    </w:p>
    <w:p w14:paraId="3234C43C" w14:textId="77777777" w:rsidR="00040C3A" w:rsidRPr="00753C6D" w:rsidRDefault="00040C3A" w:rsidP="00040C3A">
      <w:pPr>
        <w:tabs>
          <w:tab w:val="center" w:pos="5400"/>
        </w:tabs>
        <w:suppressAutoHyphens/>
        <w:jc w:val="center"/>
        <w:rPr>
          <w:rFonts w:asciiTheme="majorHAnsi" w:hAnsiTheme="majorHAnsi"/>
          <w:sz w:val="22"/>
          <w:szCs w:val="22"/>
        </w:rPr>
      </w:pPr>
    </w:p>
    <w:p w14:paraId="2D58FFBA" w14:textId="77777777" w:rsidR="00040C3A" w:rsidRPr="00753C6D" w:rsidRDefault="00040C3A" w:rsidP="00040C3A">
      <w:pPr>
        <w:tabs>
          <w:tab w:val="center" w:pos="5400"/>
        </w:tabs>
        <w:suppressAutoHyphens/>
        <w:jc w:val="center"/>
        <w:rPr>
          <w:rFonts w:asciiTheme="majorHAnsi" w:hAnsiTheme="majorHAnsi"/>
          <w:sz w:val="22"/>
          <w:szCs w:val="22"/>
        </w:rPr>
      </w:pPr>
    </w:p>
    <w:p w14:paraId="4A574974" w14:textId="77777777" w:rsidR="00040C3A" w:rsidRPr="00753C6D" w:rsidRDefault="00040C3A" w:rsidP="00040C3A">
      <w:pPr>
        <w:tabs>
          <w:tab w:val="center" w:pos="5400"/>
        </w:tabs>
        <w:suppressAutoHyphens/>
        <w:jc w:val="center"/>
        <w:rPr>
          <w:rFonts w:asciiTheme="majorHAnsi" w:hAnsiTheme="majorHAnsi"/>
          <w:sz w:val="22"/>
          <w:szCs w:val="22"/>
        </w:rPr>
      </w:pPr>
    </w:p>
    <w:p w14:paraId="11A9BA8A" w14:textId="0EFA057E" w:rsidR="00040C3A" w:rsidRPr="00753C6D" w:rsidRDefault="00622EDC" w:rsidP="00040C3A">
      <w:pPr>
        <w:tabs>
          <w:tab w:val="center" w:pos="5400"/>
        </w:tabs>
        <w:suppressAutoHyphens/>
        <w:jc w:val="center"/>
        <w:rPr>
          <w:rFonts w:asciiTheme="majorHAnsi" w:hAnsiTheme="majorHAnsi"/>
          <w:sz w:val="22"/>
          <w:szCs w:val="22"/>
        </w:rPr>
      </w:pPr>
      <w:r w:rsidRPr="00753C6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87BB020">
                <wp:simplePos x="0" y="0"/>
                <wp:positionH relativeFrom="column">
                  <wp:posOffset>-342900</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83106E4" w:rsidR="003046E7" w:rsidRPr="008C2F25" w:rsidRDefault="003046E7" w:rsidP="008C2F25">
                            <w:pPr>
                              <w:spacing w:line="360" w:lineRule="auto"/>
                              <w:jc w:val="right"/>
                              <w:rPr>
                                <w:rFonts w:asciiTheme="minorHAnsi" w:hAnsiTheme="minorHAnsi"/>
                                <w:color w:val="FFFFFF" w:themeColor="background1"/>
                                <w:sz w:val="22"/>
                                <w:lang w:val="pt-BR"/>
                              </w:rPr>
                            </w:pPr>
                            <w:r w:rsidRPr="008C2F25">
                              <w:rPr>
                                <w:rFonts w:asciiTheme="minorHAnsi" w:hAnsiTheme="minorHAnsi"/>
                                <w:color w:val="FFFFFF" w:themeColor="background1"/>
                                <w:sz w:val="22"/>
                                <w:lang w:val="pt-BR"/>
                              </w:rPr>
                              <w:t>OEA/Ser.L/V/II.</w:t>
                            </w:r>
                          </w:p>
                          <w:p w14:paraId="4AA08A8C" w14:textId="5510F705" w:rsidR="003046E7" w:rsidRPr="008C2F25" w:rsidRDefault="003046E7" w:rsidP="008C2F25">
                            <w:pPr>
                              <w:spacing w:line="360" w:lineRule="auto"/>
                              <w:jc w:val="right"/>
                              <w:rPr>
                                <w:rFonts w:asciiTheme="minorHAnsi" w:hAnsiTheme="minorHAnsi"/>
                                <w:color w:val="FFFFFF" w:themeColor="background1"/>
                                <w:sz w:val="22"/>
                                <w:lang w:val="pt-BR"/>
                              </w:rPr>
                            </w:pPr>
                            <w:r w:rsidRPr="008C2F25">
                              <w:rPr>
                                <w:rFonts w:asciiTheme="minorHAnsi" w:hAnsiTheme="minorHAnsi"/>
                                <w:color w:val="FFFFFF" w:themeColor="background1"/>
                                <w:sz w:val="22"/>
                                <w:lang w:val="pt-BR"/>
                              </w:rPr>
                              <w:t xml:space="preserve">Doc. </w:t>
                            </w:r>
                            <w:r w:rsidR="008C2F25" w:rsidRPr="008C2F25">
                              <w:rPr>
                                <w:rFonts w:asciiTheme="minorHAnsi" w:hAnsiTheme="minorHAnsi"/>
                                <w:color w:val="FFFFFF" w:themeColor="background1"/>
                                <w:sz w:val="22"/>
                                <w:lang w:val="pt-BR"/>
                              </w:rPr>
                              <w:t>124</w:t>
                            </w:r>
                          </w:p>
                          <w:p w14:paraId="0BEFF61A" w14:textId="53372E0A" w:rsidR="003046E7" w:rsidRPr="008C2F25" w:rsidRDefault="008C2F25" w:rsidP="008C2F25">
                            <w:pPr>
                              <w:spacing w:line="360" w:lineRule="auto"/>
                              <w:jc w:val="right"/>
                              <w:rPr>
                                <w:rFonts w:asciiTheme="minorHAnsi" w:hAnsiTheme="minorHAnsi"/>
                                <w:color w:val="FFFFFF" w:themeColor="background1"/>
                                <w:sz w:val="22"/>
                              </w:rPr>
                            </w:pPr>
                            <w:r w:rsidRPr="008C2F25">
                              <w:rPr>
                                <w:rFonts w:asciiTheme="minorHAnsi" w:hAnsiTheme="minorHAnsi"/>
                                <w:color w:val="FFFFFF" w:themeColor="background1"/>
                                <w:sz w:val="22"/>
                              </w:rPr>
                              <w:t>3 July</w:t>
                            </w:r>
                            <w:r w:rsidR="003046E7" w:rsidRPr="008C2F25">
                              <w:rPr>
                                <w:rFonts w:asciiTheme="minorHAnsi" w:hAnsiTheme="minorHAnsi"/>
                                <w:color w:val="FFFFFF" w:themeColor="background1"/>
                                <w:sz w:val="22"/>
                              </w:rPr>
                              <w:t xml:space="preserve"> 2019</w:t>
                            </w:r>
                          </w:p>
                          <w:p w14:paraId="0FC103BD" w14:textId="1CCEC7AB" w:rsidR="003046E7" w:rsidRPr="008C2F25" w:rsidRDefault="003046E7" w:rsidP="008C2F25">
                            <w:pPr>
                              <w:spacing w:line="360" w:lineRule="auto"/>
                              <w:jc w:val="right"/>
                              <w:rPr>
                                <w:rFonts w:asciiTheme="minorHAnsi" w:hAnsiTheme="minorHAnsi"/>
                                <w:color w:val="FFFFFF" w:themeColor="background1"/>
                                <w:sz w:val="22"/>
                              </w:rPr>
                            </w:pPr>
                            <w:r w:rsidRPr="008C2F2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" filled="f" stroked="f" strokeweight=".5pt">
                <v:textbox>
                  <w:txbxContent>
                    <w:p w14:paraId="65856C81" w14:textId="583106E4" w:rsidR="003046E7" w:rsidRPr="008C2F25" w:rsidRDefault="003046E7" w:rsidP="008C2F25">
                      <w:pPr>
                        <w:spacing w:line="360" w:lineRule="auto"/>
                        <w:jc w:val="right"/>
                        <w:rPr>
                          <w:rFonts w:asciiTheme="minorHAnsi" w:hAnsiTheme="minorHAnsi"/>
                          <w:color w:val="FFFFFF" w:themeColor="background1"/>
                          <w:sz w:val="22"/>
                          <w:lang w:val="pt-BR"/>
                        </w:rPr>
                      </w:pPr>
                      <w:r w:rsidRPr="008C2F25">
                        <w:rPr>
                          <w:rFonts w:asciiTheme="minorHAnsi" w:hAnsiTheme="minorHAnsi"/>
                          <w:color w:val="FFFFFF" w:themeColor="background1"/>
                          <w:sz w:val="22"/>
                          <w:lang w:val="pt-BR"/>
                        </w:rPr>
                        <w:t>OEA/Ser.L/V/II.</w:t>
                      </w:r>
                    </w:p>
                    <w:p w14:paraId="4AA08A8C" w14:textId="5510F705" w:rsidR="003046E7" w:rsidRPr="008C2F25" w:rsidRDefault="003046E7" w:rsidP="008C2F25">
                      <w:pPr>
                        <w:spacing w:line="360" w:lineRule="auto"/>
                        <w:jc w:val="right"/>
                        <w:rPr>
                          <w:rFonts w:asciiTheme="minorHAnsi" w:hAnsiTheme="minorHAnsi"/>
                          <w:color w:val="FFFFFF" w:themeColor="background1"/>
                          <w:sz w:val="22"/>
                          <w:lang w:val="pt-BR"/>
                        </w:rPr>
                      </w:pPr>
                      <w:r w:rsidRPr="008C2F25">
                        <w:rPr>
                          <w:rFonts w:asciiTheme="minorHAnsi" w:hAnsiTheme="minorHAnsi"/>
                          <w:color w:val="FFFFFF" w:themeColor="background1"/>
                          <w:sz w:val="22"/>
                          <w:lang w:val="pt-BR"/>
                        </w:rPr>
                        <w:t xml:space="preserve">Doc. </w:t>
                      </w:r>
                      <w:r w:rsidR="008C2F25" w:rsidRPr="008C2F25">
                        <w:rPr>
                          <w:rFonts w:asciiTheme="minorHAnsi" w:hAnsiTheme="minorHAnsi"/>
                          <w:color w:val="FFFFFF" w:themeColor="background1"/>
                          <w:sz w:val="22"/>
                          <w:lang w:val="pt-BR"/>
                        </w:rPr>
                        <w:t>124</w:t>
                      </w:r>
                    </w:p>
                    <w:p w14:paraId="0BEFF61A" w14:textId="53372E0A" w:rsidR="003046E7" w:rsidRPr="008C2F25" w:rsidRDefault="008C2F25" w:rsidP="008C2F25">
                      <w:pPr>
                        <w:spacing w:line="360" w:lineRule="auto"/>
                        <w:jc w:val="right"/>
                        <w:rPr>
                          <w:rFonts w:asciiTheme="minorHAnsi" w:hAnsiTheme="minorHAnsi"/>
                          <w:color w:val="FFFFFF" w:themeColor="background1"/>
                          <w:sz w:val="22"/>
                        </w:rPr>
                      </w:pPr>
                      <w:r w:rsidRPr="008C2F25">
                        <w:rPr>
                          <w:rFonts w:asciiTheme="minorHAnsi" w:hAnsiTheme="minorHAnsi"/>
                          <w:color w:val="FFFFFF" w:themeColor="background1"/>
                          <w:sz w:val="22"/>
                        </w:rPr>
                        <w:t>3 July</w:t>
                      </w:r>
                      <w:r w:rsidR="003046E7" w:rsidRPr="008C2F25">
                        <w:rPr>
                          <w:rFonts w:asciiTheme="minorHAnsi" w:hAnsiTheme="minorHAnsi"/>
                          <w:color w:val="FFFFFF" w:themeColor="background1"/>
                          <w:sz w:val="22"/>
                        </w:rPr>
                        <w:t xml:space="preserve"> 2019</w:t>
                      </w:r>
                    </w:p>
                    <w:p w14:paraId="0FC103BD" w14:textId="1CCEC7AB" w:rsidR="003046E7" w:rsidRPr="008C2F25" w:rsidRDefault="003046E7" w:rsidP="008C2F25">
                      <w:pPr>
                        <w:spacing w:line="360" w:lineRule="auto"/>
                        <w:jc w:val="right"/>
                        <w:rPr>
                          <w:rFonts w:asciiTheme="minorHAnsi" w:hAnsiTheme="minorHAnsi"/>
                          <w:color w:val="FFFFFF" w:themeColor="background1"/>
                          <w:sz w:val="22"/>
                        </w:rPr>
                      </w:pPr>
                      <w:r w:rsidRPr="008C2F25">
                        <w:rPr>
                          <w:rFonts w:asciiTheme="minorHAnsi" w:hAnsiTheme="minorHAnsi"/>
                          <w:color w:val="FFFFFF" w:themeColor="background1"/>
                          <w:sz w:val="22"/>
                        </w:rPr>
                        <w:t>Original: Spanish</w:t>
                      </w:r>
                    </w:p>
                  </w:txbxContent>
                </v:textbox>
              </v:shape>
            </w:pict>
          </mc:Fallback>
        </mc:AlternateContent>
      </w:r>
      <w:r w:rsidR="00E533FF" w:rsidRPr="00753C6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8B164F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882ACEE" w:rsidR="003046E7" w:rsidRPr="004B7EB6" w:rsidRDefault="003046E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C2F25">
                              <w:rPr>
                                <w:rFonts w:asciiTheme="majorHAnsi" w:hAnsiTheme="majorHAnsi" w:cs="Arial"/>
                                <w:b/>
                                <w:bCs/>
                                <w:color w:val="0D0D0D" w:themeColor="text1" w:themeTint="F2"/>
                                <w:sz w:val="36"/>
                                <w:szCs w:val="40"/>
                              </w:rPr>
                              <w:t>115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83C98AD" w:rsidR="003046E7" w:rsidRPr="004B7EB6" w:rsidRDefault="003046E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754-10</w:t>
                            </w:r>
                          </w:p>
                          <w:p w14:paraId="34978E5A" w14:textId="5E1ABE7E" w:rsidR="003046E7" w:rsidRPr="004B7EB6" w:rsidRDefault="003046E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046E7" w:rsidRPr="004B7EB6" w:rsidRDefault="003046E7" w:rsidP="004B7EB6">
                            <w:pPr>
                              <w:spacing w:line="276" w:lineRule="auto"/>
                              <w:rPr>
                                <w:rFonts w:asciiTheme="majorHAnsi" w:hAnsiTheme="majorHAnsi" w:cs="Arial"/>
                                <w:color w:val="0D0D0D" w:themeColor="text1" w:themeTint="F2"/>
                                <w:szCs w:val="22"/>
                              </w:rPr>
                            </w:pPr>
                          </w:p>
                          <w:p w14:paraId="7A73D628" w14:textId="10DA5CE1" w:rsidR="003046E7" w:rsidRPr="004B625D" w:rsidRDefault="003046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YAKELINE HERRERA SOLER</w:t>
                            </w:r>
                          </w:p>
                          <w:p w14:paraId="48EBC31A" w14:textId="7648D298" w:rsidR="003046E7" w:rsidRPr="004B625D" w:rsidRDefault="003046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3046E7" w:rsidRPr="000C4365" w:rsidRDefault="003046E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4882ACEE" w:rsidR="003046E7" w:rsidRPr="004B7EB6" w:rsidRDefault="003046E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C2F25">
                        <w:rPr>
                          <w:rFonts w:asciiTheme="majorHAnsi" w:hAnsiTheme="majorHAnsi" w:cs="Arial"/>
                          <w:b/>
                          <w:bCs/>
                          <w:color w:val="0D0D0D" w:themeColor="text1" w:themeTint="F2"/>
                          <w:sz w:val="36"/>
                          <w:szCs w:val="40"/>
                        </w:rPr>
                        <w:t>115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83C98AD" w:rsidR="003046E7" w:rsidRPr="004B7EB6" w:rsidRDefault="003046E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754-10</w:t>
                      </w:r>
                    </w:p>
                    <w:p w14:paraId="34978E5A" w14:textId="5E1ABE7E" w:rsidR="003046E7" w:rsidRPr="004B7EB6" w:rsidRDefault="003046E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046E7" w:rsidRPr="004B7EB6" w:rsidRDefault="003046E7" w:rsidP="004B7EB6">
                      <w:pPr>
                        <w:spacing w:line="276" w:lineRule="auto"/>
                        <w:rPr>
                          <w:rFonts w:asciiTheme="majorHAnsi" w:hAnsiTheme="majorHAnsi" w:cs="Arial"/>
                          <w:color w:val="0D0D0D" w:themeColor="text1" w:themeTint="F2"/>
                          <w:szCs w:val="22"/>
                        </w:rPr>
                      </w:pPr>
                    </w:p>
                    <w:p w14:paraId="7A73D628" w14:textId="10DA5CE1" w:rsidR="003046E7" w:rsidRPr="004B625D" w:rsidRDefault="003046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YAKELINE HERRERA SOLER</w:t>
                      </w:r>
                    </w:p>
                    <w:p w14:paraId="48EBC31A" w14:textId="7648D298" w:rsidR="003046E7" w:rsidRPr="004B625D" w:rsidRDefault="003046E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3046E7" w:rsidRPr="000C4365" w:rsidRDefault="003046E7"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753C6D" w:rsidRDefault="00040C3A" w:rsidP="00040C3A">
      <w:pPr>
        <w:tabs>
          <w:tab w:val="center" w:pos="5400"/>
        </w:tabs>
        <w:suppressAutoHyphens/>
        <w:jc w:val="center"/>
        <w:rPr>
          <w:rFonts w:asciiTheme="majorHAnsi" w:hAnsiTheme="majorHAnsi"/>
          <w:sz w:val="22"/>
          <w:szCs w:val="22"/>
        </w:rPr>
      </w:pPr>
    </w:p>
    <w:p w14:paraId="5E33CE59" w14:textId="77777777" w:rsidR="00040C3A" w:rsidRPr="00753C6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53C6D" w:rsidRDefault="00040C3A" w:rsidP="00040C3A">
      <w:pPr>
        <w:tabs>
          <w:tab w:val="center" w:pos="5400"/>
        </w:tabs>
        <w:suppressAutoHyphens/>
        <w:jc w:val="center"/>
        <w:rPr>
          <w:rFonts w:asciiTheme="majorHAnsi" w:hAnsiTheme="majorHAnsi"/>
          <w:sz w:val="22"/>
          <w:szCs w:val="22"/>
        </w:rPr>
      </w:pPr>
    </w:p>
    <w:p w14:paraId="43677EE2" w14:textId="77777777" w:rsidR="00040C3A" w:rsidRPr="00753C6D" w:rsidRDefault="00040C3A" w:rsidP="00040C3A">
      <w:pPr>
        <w:tabs>
          <w:tab w:val="center" w:pos="5400"/>
        </w:tabs>
        <w:suppressAutoHyphens/>
        <w:jc w:val="center"/>
        <w:rPr>
          <w:rFonts w:asciiTheme="majorHAnsi" w:hAnsiTheme="majorHAnsi"/>
          <w:sz w:val="22"/>
          <w:szCs w:val="22"/>
        </w:rPr>
      </w:pPr>
    </w:p>
    <w:p w14:paraId="747B776B" w14:textId="77777777" w:rsidR="00040C3A" w:rsidRPr="00753C6D" w:rsidRDefault="00040C3A" w:rsidP="00040C3A">
      <w:pPr>
        <w:tabs>
          <w:tab w:val="center" w:pos="5400"/>
        </w:tabs>
        <w:suppressAutoHyphens/>
        <w:jc w:val="center"/>
        <w:rPr>
          <w:rFonts w:asciiTheme="majorHAnsi" w:hAnsiTheme="majorHAnsi"/>
          <w:sz w:val="22"/>
          <w:szCs w:val="22"/>
        </w:rPr>
      </w:pPr>
    </w:p>
    <w:p w14:paraId="3FA14379" w14:textId="77777777" w:rsidR="00040C3A" w:rsidRPr="00753C6D" w:rsidRDefault="00040C3A" w:rsidP="00040C3A">
      <w:pPr>
        <w:tabs>
          <w:tab w:val="center" w:pos="5400"/>
        </w:tabs>
        <w:suppressAutoHyphens/>
        <w:jc w:val="center"/>
        <w:rPr>
          <w:rFonts w:asciiTheme="majorHAnsi" w:hAnsiTheme="majorHAnsi"/>
          <w:sz w:val="22"/>
          <w:szCs w:val="22"/>
        </w:rPr>
      </w:pPr>
    </w:p>
    <w:p w14:paraId="28A65FAF" w14:textId="77777777" w:rsidR="005128E4" w:rsidRPr="00753C6D" w:rsidRDefault="005128E4" w:rsidP="00040C3A">
      <w:pPr>
        <w:tabs>
          <w:tab w:val="center" w:pos="5400"/>
        </w:tabs>
        <w:suppressAutoHyphens/>
        <w:jc w:val="center"/>
        <w:rPr>
          <w:rFonts w:asciiTheme="majorHAnsi" w:hAnsiTheme="majorHAnsi"/>
          <w:sz w:val="22"/>
          <w:szCs w:val="22"/>
        </w:rPr>
      </w:pPr>
    </w:p>
    <w:p w14:paraId="11B1978A" w14:textId="77777777" w:rsidR="00040C3A" w:rsidRPr="00753C6D" w:rsidRDefault="00040C3A" w:rsidP="00040C3A">
      <w:pPr>
        <w:tabs>
          <w:tab w:val="center" w:pos="5400"/>
        </w:tabs>
        <w:suppressAutoHyphens/>
        <w:jc w:val="center"/>
        <w:rPr>
          <w:rFonts w:asciiTheme="majorHAnsi" w:hAnsiTheme="majorHAnsi"/>
          <w:sz w:val="22"/>
          <w:szCs w:val="22"/>
        </w:rPr>
      </w:pPr>
    </w:p>
    <w:p w14:paraId="650F503D" w14:textId="77777777" w:rsidR="005128E4" w:rsidRPr="00753C6D" w:rsidRDefault="005128E4" w:rsidP="00040C3A">
      <w:pPr>
        <w:tabs>
          <w:tab w:val="center" w:pos="5400"/>
        </w:tabs>
        <w:suppressAutoHyphens/>
        <w:jc w:val="center"/>
        <w:rPr>
          <w:rFonts w:asciiTheme="majorHAnsi" w:hAnsiTheme="majorHAnsi"/>
          <w:sz w:val="22"/>
          <w:szCs w:val="22"/>
        </w:rPr>
      </w:pPr>
    </w:p>
    <w:p w14:paraId="17861C77" w14:textId="77777777" w:rsidR="005128E4" w:rsidRPr="00753C6D" w:rsidRDefault="005128E4" w:rsidP="00040C3A">
      <w:pPr>
        <w:tabs>
          <w:tab w:val="center" w:pos="5400"/>
        </w:tabs>
        <w:suppressAutoHyphens/>
        <w:jc w:val="center"/>
        <w:rPr>
          <w:rFonts w:asciiTheme="majorHAnsi" w:hAnsiTheme="majorHAnsi"/>
          <w:sz w:val="22"/>
          <w:szCs w:val="22"/>
        </w:rPr>
      </w:pPr>
    </w:p>
    <w:p w14:paraId="0EFEAEB7" w14:textId="77777777" w:rsidR="005128E4" w:rsidRPr="00753C6D" w:rsidRDefault="005128E4" w:rsidP="00040C3A">
      <w:pPr>
        <w:tabs>
          <w:tab w:val="center" w:pos="5400"/>
        </w:tabs>
        <w:suppressAutoHyphens/>
        <w:jc w:val="center"/>
        <w:rPr>
          <w:rFonts w:asciiTheme="majorHAnsi" w:hAnsiTheme="majorHAnsi"/>
          <w:sz w:val="22"/>
          <w:szCs w:val="22"/>
        </w:rPr>
      </w:pPr>
    </w:p>
    <w:p w14:paraId="5B815FC5" w14:textId="77777777" w:rsidR="00040C3A" w:rsidRPr="00753C6D" w:rsidRDefault="00040C3A" w:rsidP="00040C3A">
      <w:pPr>
        <w:tabs>
          <w:tab w:val="center" w:pos="5400"/>
        </w:tabs>
        <w:suppressAutoHyphens/>
        <w:jc w:val="center"/>
        <w:rPr>
          <w:rFonts w:asciiTheme="majorHAnsi" w:hAnsiTheme="majorHAnsi"/>
          <w:sz w:val="22"/>
          <w:szCs w:val="22"/>
        </w:rPr>
      </w:pPr>
    </w:p>
    <w:p w14:paraId="0D43F8BD" w14:textId="77777777" w:rsidR="00040C3A" w:rsidRPr="00753C6D" w:rsidRDefault="00040C3A" w:rsidP="00040C3A">
      <w:pPr>
        <w:tabs>
          <w:tab w:val="center" w:pos="5400"/>
        </w:tabs>
        <w:suppressAutoHyphens/>
        <w:jc w:val="center"/>
        <w:rPr>
          <w:rFonts w:asciiTheme="majorHAnsi" w:hAnsiTheme="majorHAnsi"/>
          <w:sz w:val="22"/>
          <w:szCs w:val="22"/>
        </w:rPr>
      </w:pPr>
    </w:p>
    <w:p w14:paraId="03AA1AEB" w14:textId="77777777" w:rsidR="002C1641" w:rsidRPr="00753C6D" w:rsidRDefault="002C1641" w:rsidP="00040C3A">
      <w:pPr>
        <w:tabs>
          <w:tab w:val="center" w:pos="5400"/>
        </w:tabs>
        <w:suppressAutoHyphens/>
        <w:jc w:val="center"/>
        <w:rPr>
          <w:rFonts w:asciiTheme="majorHAnsi" w:hAnsiTheme="majorHAnsi"/>
          <w:sz w:val="18"/>
          <w:szCs w:val="22"/>
        </w:rPr>
      </w:pPr>
    </w:p>
    <w:p w14:paraId="2FD75BF3" w14:textId="77777777" w:rsidR="002C1641" w:rsidRPr="00753C6D" w:rsidRDefault="002C1641" w:rsidP="00040C3A">
      <w:pPr>
        <w:tabs>
          <w:tab w:val="center" w:pos="5400"/>
        </w:tabs>
        <w:suppressAutoHyphens/>
        <w:jc w:val="center"/>
        <w:rPr>
          <w:rFonts w:asciiTheme="majorHAnsi" w:hAnsiTheme="majorHAnsi"/>
          <w:sz w:val="18"/>
          <w:szCs w:val="22"/>
        </w:rPr>
      </w:pPr>
    </w:p>
    <w:p w14:paraId="73EF440E" w14:textId="77777777" w:rsidR="002C1641" w:rsidRPr="00753C6D" w:rsidRDefault="002C1641" w:rsidP="00040C3A">
      <w:pPr>
        <w:tabs>
          <w:tab w:val="center" w:pos="5400"/>
        </w:tabs>
        <w:suppressAutoHyphens/>
        <w:jc w:val="center"/>
        <w:rPr>
          <w:rFonts w:asciiTheme="majorHAnsi" w:hAnsiTheme="majorHAnsi"/>
          <w:sz w:val="18"/>
          <w:szCs w:val="22"/>
        </w:rPr>
      </w:pPr>
    </w:p>
    <w:p w14:paraId="3D12B191" w14:textId="77777777" w:rsidR="002C1641" w:rsidRPr="00753C6D" w:rsidRDefault="002C1641" w:rsidP="00040C3A">
      <w:pPr>
        <w:tabs>
          <w:tab w:val="center" w:pos="5400"/>
        </w:tabs>
        <w:suppressAutoHyphens/>
        <w:jc w:val="center"/>
        <w:rPr>
          <w:rFonts w:asciiTheme="majorHAnsi" w:hAnsiTheme="majorHAnsi"/>
          <w:sz w:val="18"/>
          <w:szCs w:val="22"/>
        </w:rPr>
      </w:pPr>
    </w:p>
    <w:p w14:paraId="1132D17C" w14:textId="77777777" w:rsidR="002C1641" w:rsidRPr="00753C6D" w:rsidRDefault="002C1641" w:rsidP="00040C3A">
      <w:pPr>
        <w:tabs>
          <w:tab w:val="center" w:pos="5400"/>
        </w:tabs>
        <w:suppressAutoHyphens/>
        <w:jc w:val="center"/>
        <w:rPr>
          <w:rFonts w:asciiTheme="majorHAnsi" w:hAnsiTheme="majorHAnsi"/>
          <w:sz w:val="18"/>
          <w:szCs w:val="22"/>
        </w:rPr>
      </w:pPr>
      <w:bookmarkStart w:id="0" w:name="_GoBack"/>
      <w:bookmarkEnd w:id="0"/>
    </w:p>
    <w:p w14:paraId="659B324C" w14:textId="77777777" w:rsidR="002C1641" w:rsidRPr="00753C6D" w:rsidRDefault="002C1641" w:rsidP="00040C3A">
      <w:pPr>
        <w:tabs>
          <w:tab w:val="center" w:pos="5400"/>
        </w:tabs>
        <w:suppressAutoHyphens/>
        <w:jc w:val="center"/>
        <w:rPr>
          <w:rFonts w:asciiTheme="majorHAnsi" w:hAnsiTheme="majorHAnsi"/>
          <w:sz w:val="18"/>
          <w:szCs w:val="22"/>
        </w:rPr>
      </w:pPr>
    </w:p>
    <w:p w14:paraId="0DE58CEA" w14:textId="77777777" w:rsidR="002C1641" w:rsidRPr="00753C6D" w:rsidRDefault="002C1641" w:rsidP="00040C3A">
      <w:pPr>
        <w:tabs>
          <w:tab w:val="center" w:pos="5400"/>
        </w:tabs>
        <w:suppressAutoHyphens/>
        <w:jc w:val="center"/>
        <w:rPr>
          <w:rFonts w:asciiTheme="majorHAnsi" w:hAnsiTheme="majorHAnsi"/>
          <w:sz w:val="18"/>
          <w:szCs w:val="22"/>
        </w:rPr>
      </w:pPr>
    </w:p>
    <w:p w14:paraId="3A5BB7C9" w14:textId="4FBCF4D4" w:rsidR="002C1641" w:rsidRPr="00753C6D" w:rsidRDefault="00622EDC" w:rsidP="00040C3A">
      <w:pPr>
        <w:tabs>
          <w:tab w:val="center" w:pos="5400"/>
        </w:tabs>
        <w:suppressAutoHyphens/>
        <w:jc w:val="center"/>
        <w:rPr>
          <w:rFonts w:asciiTheme="majorHAnsi" w:hAnsiTheme="majorHAnsi"/>
          <w:sz w:val="18"/>
          <w:szCs w:val="22"/>
        </w:rPr>
      </w:pPr>
      <w:r w:rsidRPr="00753C6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5611311">
                <wp:simplePos x="0" y="0"/>
                <wp:positionH relativeFrom="column">
                  <wp:posOffset>1257300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4F777" w14:textId="4348468F" w:rsidR="003046E7" w:rsidRPr="003C32BC" w:rsidRDefault="003046E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8C2F25">
                              <w:rPr>
                                <w:rFonts w:asciiTheme="majorHAnsi" w:hAnsiTheme="majorHAnsi" w:cs="Univers"/>
                                <w:color w:val="0D0D0D" w:themeColor="text1" w:themeTint="F2"/>
                                <w:sz w:val="18"/>
                                <w:szCs w:val="20"/>
                              </w:rPr>
                              <w:t>July 3,</w:t>
                            </w:r>
                            <w:r>
                              <w:rPr>
                                <w:rFonts w:asciiTheme="majorHAnsi" w:hAnsiTheme="majorHAnsi" w:cs="Univers"/>
                                <w:color w:val="0D0D0D" w:themeColor="text1" w:themeTint="F2"/>
                                <w:sz w:val="18"/>
                                <w:szCs w:val="20"/>
                              </w:rPr>
                              <w:t xml:space="preserve"> 2019</w:t>
                            </w:r>
                            <w:r w:rsidR="008C2F25">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9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" filled="f" stroked="f" strokeweight=".5pt">
                <v:textbox>
                  <w:txbxContent>
                    <w:p w14:paraId="1544F777" w14:textId="4348468F" w:rsidR="003046E7" w:rsidRPr="003C32BC" w:rsidRDefault="003046E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8C2F25">
                        <w:rPr>
                          <w:rFonts w:asciiTheme="majorHAnsi" w:hAnsiTheme="majorHAnsi" w:cs="Univers"/>
                          <w:color w:val="0D0D0D" w:themeColor="text1" w:themeTint="F2"/>
                          <w:sz w:val="18"/>
                          <w:szCs w:val="20"/>
                        </w:rPr>
                        <w:t>July 3,</w:t>
                      </w:r>
                      <w:r>
                        <w:rPr>
                          <w:rFonts w:asciiTheme="majorHAnsi" w:hAnsiTheme="majorHAnsi" w:cs="Univers"/>
                          <w:color w:val="0D0D0D" w:themeColor="text1" w:themeTint="F2"/>
                          <w:sz w:val="18"/>
                          <w:szCs w:val="20"/>
                        </w:rPr>
                        <w:t xml:space="preserve"> 2019</w:t>
                      </w:r>
                      <w:r w:rsidR="008C2F25">
                        <w:rPr>
                          <w:rFonts w:asciiTheme="majorHAnsi" w:hAnsiTheme="majorHAnsi" w:cs="Univers"/>
                          <w:color w:val="0D0D0D" w:themeColor="text1" w:themeTint="F2"/>
                          <w:sz w:val="18"/>
                          <w:szCs w:val="20"/>
                        </w:rPr>
                        <w:t>.</w:t>
                      </w:r>
                    </w:p>
                  </w:txbxContent>
                </v:textbox>
              </v:shape>
            </w:pict>
          </mc:Fallback>
        </mc:AlternateContent>
      </w:r>
    </w:p>
    <w:p w14:paraId="6BA67E7F" w14:textId="77777777" w:rsidR="002C1641" w:rsidRPr="00753C6D" w:rsidRDefault="002C1641" w:rsidP="00040C3A">
      <w:pPr>
        <w:tabs>
          <w:tab w:val="center" w:pos="5400"/>
        </w:tabs>
        <w:suppressAutoHyphens/>
        <w:jc w:val="center"/>
        <w:rPr>
          <w:rFonts w:asciiTheme="majorHAnsi" w:hAnsiTheme="majorHAnsi"/>
          <w:sz w:val="18"/>
          <w:szCs w:val="22"/>
        </w:rPr>
      </w:pPr>
    </w:p>
    <w:p w14:paraId="6D4FBE3A" w14:textId="77777777" w:rsidR="002C1641" w:rsidRPr="00753C6D" w:rsidRDefault="002C1641" w:rsidP="00040C3A">
      <w:pPr>
        <w:tabs>
          <w:tab w:val="center" w:pos="5400"/>
        </w:tabs>
        <w:suppressAutoHyphens/>
        <w:jc w:val="center"/>
        <w:rPr>
          <w:rFonts w:asciiTheme="majorHAnsi" w:hAnsiTheme="majorHAnsi"/>
          <w:sz w:val="18"/>
          <w:szCs w:val="22"/>
        </w:rPr>
      </w:pPr>
    </w:p>
    <w:p w14:paraId="2741AD16" w14:textId="77777777" w:rsidR="002C1641" w:rsidRPr="00753C6D" w:rsidRDefault="002C1641" w:rsidP="00040C3A">
      <w:pPr>
        <w:tabs>
          <w:tab w:val="center" w:pos="5400"/>
        </w:tabs>
        <w:suppressAutoHyphens/>
        <w:jc w:val="center"/>
        <w:rPr>
          <w:rFonts w:asciiTheme="majorHAnsi" w:hAnsiTheme="majorHAnsi"/>
          <w:sz w:val="18"/>
          <w:szCs w:val="22"/>
        </w:rPr>
      </w:pPr>
    </w:p>
    <w:p w14:paraId="1D99DBC4" w14:textId="77777777" w:rsidR="002C1641" w:rsidRPr="00753C6D" w:rsidRDefault="002C1641" w:rsidP="00040C3A">
      <w:pPr>
        <w:tabs>
          <w:tab w:val="center" w:pos="5400"/>
        </w:tabs>
        <w:suppressAutoHyphens/>
        <w:jc w:val="center"/>
        <w:rPr>
          <w:rFonts w:asciiTheme="majorHAnsi" w:hAnsiTheme="majorHAnsi"/>
          <w:sz w:val="18"/>
          <w:szCs w:val="22"/>
        </w:rPr>
      </w:pPr>
    </w:p>
    <w:p w14:paraId="3290BF94" w14:textId="2205B351" w:rsidR="002C1641" w:rsidRPr="00753C6D" w:rsidRDefault="002C1641" w:rsidP="00040C3A">
      <w:pPr>
        <w:tabs>
          <w:tab w:val="center" w:pos="5400"/>
        </w:tabs>
        <w:suppressAutoHyphens/>
        <w:jc w:val="center"/>
        <w:rPr>
          <w:rFonts w:asciiTheme="majorHAnsi" w:hAnsiTheme="majorHAnsi"/>
          <w:sz w:val="18"/>
          <w:szCs w:val="22"/>
        </w:rPr>
      </w:pPr>
    </w:p>
    <w:p w14:paraId="76124E47" w14:textId="77777777" w:rsidR="002C1641" w:rsidRPr="00753C6D" w:rsidRDefault="002C1641" w:rsidP="00040C3A">
      <w:pPr>
        <w:tabs>
          <w:tab w:val="center" w:pos="5400"/>
        </w:tabs>
        <w:suppressAutoHyphens/>
        <w:jc w:val="center"/>
        <w:rPr>
          <w:rFonts w:asciiTheme="majorHAnsi" w:hAnsiTheme="majorHAnsi"/>
          <w:sz w:val="18"/>
          <w:szCs w:val="22"/>
        </w:rPr>
      </w:pPr>
    </w:p>
    <w:p w14:paraId="3751FEDE" w14:textId="77777777" w:rsidR="002C1641" w:rsidRPr="00753C6D" w:rsidRDefault="002C1641" w:rsidP="00040C3A">
      <w:pPr>
        <w:tabs>
          <w:tab w:val="center" w:pos="5400"/>
        </w:tabs>
        <w:suppressAutoHyphens/>
        <w:jc w:val="center"/>
        <w:rPr>
          <w:rFonts w:asciiTheme="majorHAnsi" w:hAnsiTheme="majorHAnsi"/>
          <w:sz w:val="18"/>
          <w:szCs w:val="22"/>
        </w:rPr>
      </w:pPr>
    </w:p>
    <w:p w14:paraId="5FAB54E7" w14:textId="77777777" w:rsidR="002C1641" w:rsidRPr="00753C6D" w:rsidRDefault="002C1641" w:rsidP="00040C3A">
      <w:pPr>
        <w:tabs>
          <w:tab w:val="center" w:pos="5400"/>
        </w:tabs>
        <w:suppressAutoHyphens/>
        <w:jc w:val="center"/>
        <w:rPr>
          <w:rFonts w:asciiTheme="majorHAnsi" w:hAnsiTheme="majorHAnsi"/>
          <w:sz w:val="18"/>
          <w:szCs w:val="22"/>
        </w:rPr>
      </w:pPr>
    </w:p>
    <w:p w14:paraId="4AE4FBFB" w14:textId="77777777" w:rsidR="002C1641" w:rsidRPr="00753C6D" w:rsidRDefault="002C1641" w:rsidP="00040C3A">
      <w:pPr>
        <w:tabs>
          <w:tab w:val="center" w:pos="5400"/>
        </w:tabs>
        <w:suppressAutoHyphens/>
        <w:jc w:val="center"/>
        <w:rPr>
          <w:rFonts w:asciiTheme="majorHAnsi" w:hAnsiTheme="majorHAnsi"/>
          <w:sz w:val="18"/>
          <w:szCs w:val="22"/>
        </w:rPr>
      </w:pPr>
    </w:p>
    <w:p w14:paraId="4DA3B2C3" w14:textId="77777777" w:rsidR="002C1641" w:rsidRPr="00753C6D" w:rsidRDefault="003C32BC" w:rsidP="00040C3A">
      <w:pPr>
        <w:tabs>
          <w:tab w:val="center" w:pos="5400"/>
        </w:tabs>
        <w:suppressAutoHyphens/>
        <w:jc w:val="center"/>
        <w:rPr>
          <w:rFonts w:asciiTheme="majorHAnsi" w:hAnsiTheme="majorHAnsi"/>
          <w:sz w:val="18"/>
          <w:szCs w:val="22"/>
        </w:rPr>
      </w:pPr>
      <w:r w:rsidRPr="00753C6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15ACD51" w:rsidR="003046E7" w:rsidRPr="003C32BC" w:rsidRDefault="003046E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F25">
                              <w:rPr>
                                <w:rFonts w:asciiTheme="majorHAnsi" w:hAnsiTheme="majorHAnsi"/>
                                <w:color w:val="595959" w:themeColor="text1" w:themeTint="A6"/>
                                <w:sz w:val="18"/>
                              </w:rPr>
                              <w:t>115</w:t>
                            </w:r>
                            <w:r>
                              <w:rPr>
                                <w:rFonts w:asciiTheme="majorHAnsi" w:hAnsiTheme="majorHAnsi"/>
                                <w:color w:val="595959" w:themeColor="text1" w:themeTint="A6"/>
                                <w:sz w:val="18"/>
                              </w:rPr>
                              <w:t>/</w:t>
                            </w:r>
                            <w:r w:rsidR="008C2F2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8C2F25">
                              <w:rPr>
                                <w:rFonts w:asciiTheme="majorHAnsi" w:hAnsiTheme="majorHAnsi"/>
                                <w:color w:val="595959" w:themeColor="text1" w:themeTint="A6"/>
                                <w:sz w:val="18"/>
                              </w:rPr>
                              <w:t>754-10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Yakeline Herrera Soler. Venezuela.</w:t>
                            </w:r>
                            <w:r w:rsidR="008C2F25">
                              <w:rPr>
                                <w:rFonts w:asciiTheme="majorHAnsi" w:hAnsiTheme="majorHAnsi"/>
                                <w:color w:val="595959" w:themeColor="text1" w:themeTint="A6"/>
                                <w:sz w:val="18"/>
                              </w:rPr>
                              <w:t xml:space="preserve"> July 3,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15ACD51" w:rsidR="003046E7" w:rsidRPr="003C32BC" w:rsidRDefault="003046E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2F25">
                        <w:rPr>
                          <w:rFonts w:asciiTheme="majorHAnsi" w:hAnsiTheme="majorHAnsi"/>
                          <w:color w:val="595959" w:themeColor="text1" w:themeTint="A6"/>
                          <w:sz w:val="18"/>
                        </w:rPr>
                        <w:t>115</w:t>
                      </w:r>
                      <w:r>
                        <w:rPr>
                          <w:rFonts w:asciiTheme="majorHAnsi" w:hAnsiTheme="majorHAnsi"/>
                          <w:color w:val="595959" w:themeColor="text1" w:themeTint="A6"/>
                          <w:sz w:val="18"/>
                        </w:rPr>
                        <w:t>/</w:t>
                      </w:r>
                      <w:r w:rsidR="008C2F2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8C2F25">
                        <w:rPr>
                          <w:rFonts w:asciiTheme="majorHAnsi" w:hAnsiTheme="majorHAnsi"/>
                          <w:color w:val="595959" w:themeColor="text1" w:themeTint="A6"/>
                          <w:sz w:val="18"/>
                        </w:rPr>
                        <w:t>754-10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Yakeline Herrera Soler. Venezuela.</w:t>
                      </w:r>
                      <w:r w:rsidR="008C2F25">
                        <w:rPr>
                          <w:rFonts w:asciiTheme="majorHAnsi" w:hAnsiTheme="majorHAnsi"/>
                          <w:color w:val="595959" w:themeColor="text1" w:themeTint="A6"/>
                          <w:sz w:val="18"/>
                        </w:rPr>
                        <w:t xml:space="preserve"> July 3,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53C6D" w:rsidRDefault="002C1641" w:rsidP="00040C3A">
      <w:pPr>
        <w:tabs>
          <w:tab w:val="center" w:pos="5400"/>
        </w:tabs>
        <w:suppressAutoHyphens/>
        <w:jc w:val="center"/>
        <w:rPr>
          <w:rFonts w:asciiTheme="majorHAnsi" w:hAnsiTheme="majorHAnsi"/>
          <w:sz w:val="18"/>
          <w:szCs w:val="22"/>
        </w:rPr>
      </w:pPr>
    </w:p>
    <w:p w14:paraId="5420A6FF" w14:textId="77777777" w:rsidR="002C1641" w:rsidRPr="00753C6D" w:rsidRDefault="002C1641" w:rsidP="00040C3A">
      <w:pPr>
        <w:tabs>
          <w:tab w:val="center" w:pos="5400"/>
        </w:tabs>
        <w:suppressAutoHyphens/>
        <w:jc w:val="center"/>
        <w:rPr>
          <w:rFonts w:asciiTheme="majorHAnsi" w:hAnsiTheme="majorHAnsi"/>
          <w:sz w:val="18"/>
          <w:szCs w:val="22"/>
        </w:rPr>
      </w:pPr>
    </w:p>
    <w:p w14:paraId="03B36C31" w14:textId="77777777" w:rsidR="003C32BC" w:rsidRPr="00753C6D" w:rsidRDefault="003C32BC" w:rsidP="003C32BC">
      <w:pPr>
        <w:tabs>
          <w:tab w:val="center" w:pos="5400"/>
        </w:tabs>
        <w:suppressAutoHyphens/>
        <w:jc w:val="center"/>
        <w:rPr>
          <w:rFonts w:asciiTheme="majorHAnsi" w:hAnsiTheme="majorHAnsi"/>
          <w:sz w:val="18"/>
          <w:szCs w:val="22"/>
        </w:rPr>
      </w:pPr>
    </w:p>
    <w:p w14:paraId="154A4854" w14:textId="77777777" w:rsidR="003C32BC" w:rsidRPr="00753C6D" w:rsidRDefault="006311DA" w:rsidP="003C32BC">
      <w:pPr>
        <w:tabs>
          <w:tab w:val="center" w:pos="5400"/>
        </w:tabs>
        <w:suppressAutoHyphens/>
        <w:jc w:val="center"/>
        <w:rPr>
          <w:rFonts w:asciiTheme="majorHAnsi" w:hAnsiTheme="majorHAnsi"/>
          <w:sz w:val="18"/>
          <w:szCs w:val="22"/>
        </w:rPr>
      </w:pPr>
      <w:r w:rsidRPr="00753C6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046E7" w:rsidRPr="004B7EB6" w:rsidRDefault="003046E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046E7" w:rsidRPr="004B7EB6" w:rsidRDefault="003046E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53C6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046E7" w:rsidRDefault="003046E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046E7" w:rsidRDefault="003046E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753C6D" w:rsidRDefault="007607C4" w:rsidP="003C32BC">
      <w:pPr>
        <w:tabs>
          <w:tab w:val="center" w:pos="5400"/>
        </w:tabs>
        <w:suppressAutoHyphens/>
        <w:jc w:val="center"/>
        <w:rPr>
          <w:rFonts w:asciiTheme="majorHAnsi" w:hAnsiTheme="majorHAnsi"/>
          <w:sz w:val="18"/>
          <w:szCs w:val="22"/>
        </w:rPr>
        <w:sectPr w:rsidR="007607C4" w:rsidRPr="00753C6D"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9A6323" w:rsidRDefault="00F621C3" w:rsidP="00F621C3">
      <w:pPr>
        <w:spacing w:after="240"/>
        <w:ind w:firstLine="720"/>
        <w:jc w:val="both"/>
        <w:rPr>
          <w:rFonts w:asciiTheme="majorHAnsi" w:hAnsiTheme="majorHAnsi"/>
          <w:b/>
          <w:bCs/>
          <w:sz w:val="19"/>
          <w:szCs w:val="19"/>
        </w:rPr>
      </w:pPr>
      <w:r w:rsidRPr="009A6323">
        <w:rPr>
          <w:rFonts w:asciiTheme="majorHAnsi" w:hAnsiTheme="majorHAnsi"/>
          <w:b/>
          <w:bCs/>
          <w:sz w:val="19"/>
          <w:szCs w:val="19"/>
        </w:rPr>
        <w:lastRenderedPageBreak/>
        <w:t>I.</w:t>
      </w:r>
      <w:r w:rsidRPr="009A6323">
        <w:rPr>
          <w:rFonts w:asciiTheme="majorHAnsi" w:hAnsiTheme="majorHAnsi"/>
          <w:b/>
          <w:bCs/>
          <w:sz w:val="19"/>
          <w:szCs w:val="19"/>
        </w:rPr>
        <w:tab/>
      </w:r>
      <w:r w:rsidR="00592718" w:rsidRPr="009A6323">
        <w:rPr>
          <w:rFonts w:asciiTheme="majorHAnsi" w:hAnsiTheme="majorHAnsi"/>
          <w:b/>
          <w:bCs/>
          <w:sz w:val="19"/>
          <w:szCs w:val="19"/>
        </w:rPr>
        <w:t>INFORMATION ABOUT THE PETITION</w:t>
      </w:r>
      <w:r w:rsidRPr="009A6323">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A632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A6323" w:rsidRDefault="003771A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Petitioner</w:t>
            </w:r>
            <w:r w:rsidR="00F621C3" w:rsidRPr="009A6323">
              <w:rPr>
                <w:rFonts w:ascii="Cambria" w:hAnsi="Cambria"/>
                <w:b/>
                <w:bCs/>
                <w:color w:val="FFFFFF" w:themeColor="background1"/>
                <w:sz w:val="19"/>
                <w:szCs w:val="19"/>
              </w:rPr>
              <w:t>:</w:t>
            </w:r>
          </w:p>
        </w:tc>
        <w:tc>
          <w:tcPr>
            <w:tcW w:w="5670" w:type="dxa"/>
            <w:vAlign w:val="center"/>
          </w:tcPr>
          <w:p w14:paraId="0674C7B8" w14:textId="52842D4E" w:rsidR="00F621C3" w:rsidRPr="009A6323" w:rsidRDefault="005268AF" w:rsidP="005C25C2">
            <w:pPr>
              <w:jc w:val="both"/>
              <w:rPr>
                <w:rFonts w:ascii="Cambria" w:hAnsi="Cambria"/>
                <w:bCs/>
                <w:sz w:val="19"/>
                <w:szCs w:val="19"/>
              </w:rPr>
            </w:pPr>
            <w:r w:rsidRPr="009A6323">
              <w:rPr>
                <w:rFonts w:ascii="Cambria" w:hAnsi="Cambria"/>
                <w:bCs/>
                <w:sz w:val="19"/>
                <w:szCs w:val="19"/>
              </w:rPr>
              <w:t>Yakeline Herrera Soler</w:t>
            </w:r>
          </w:p>
        </w:tc>
      </w:tr>
      <w:tr w:rsidR="00F621C3" w:rsidRPr="009A632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A6323" w:rsidRDefault="00941E6F" w:rsidP="005C25C2">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A6323">
                  <w:rPr>
                    <w:rFonts w:ascii="Cambria" w:hAnsi="Cambria"/>
                    <w:b/>
                    <w:bCs/>
                    <w:color w:val="FFFFFF" w:themeColor="background1"/>
                    <w:sz w:val="19"/>
                    <w:szCs w:val="19"/>
                  </w:rPr>
                  <w:t>Alleged victim</w:t>
                </w:r>
              </w:sdtContent>
            </w:sdt>
            <w:r w:rsidR="00F621C3" w:rsidRPr="009A6323">
              <w:rPr>
                <w:rFonts w:ascii="Cambria" w:hAnsi="Cambria"/>
                <w:b/>
                <w:bCs/>
                <w:color w:val="FFFFFF" w:themeColor="background1"/>
                <w:sz w:val="19"/>
                <w:szCs w:val="19"/>
              </w:rPr>
              <w:t>:</w:t>
            </w:r>
          </w:p>
        </w:tc>
        <w:tc>
          <w:tcPr>
            <w:tcW w:w="5670" w:type="dxa"/>
            <w:vAlign w:val="center"/>
          </w:tcPr>
          <w:p w14:paraId="60895337" w14:textId="33CAE653" w:rsidR="00F621C3" w:rsidRPr="009A6323" w:rsidRDefault="005268AF" w:rsidP="005C25C2">
            <w:pPr>
              <w:jc w:val="both"/>
              <w:rPr>
                <w:rFonts w:ascii="Cambria" w:hAnsi="Cambria"/>
                <w:bCs/>
                <w:sz w:val="19"/>
                <w:szCs w:val="19"/>
              </w:rPr>
            </w:pPr>
            <w:r w:rsidRPr="009A6323">
              <w:rPr>
                <w:rFonts w:ascii="Cambria" w:hAnsi="Cambria"/>
                <w:bCs/>
                <w:sz w:val="19"/>
                <w:szCs w:val="19"/>
              </w:rPr>
              <w:t>Yakeline Herrera Soler</w:t>
            </w:r>
          </w:p>
        </w:tc>
      </w:tr>
      <w:tr w:rsidR="00F621C3" w:rsidRPr="009A6323"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A6323" w:rsidRDefault="005816E5" w:rsidP="005816E5">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 xml:space="preserve">Respondent </w:t>
            </w:r>
            <w:r w:rsidR="00F621C3" w:rsidRPr="009A6323">
              <w:rPr>
                <w:rFonts w:ascii="Cambria" w:hAnsi="Cambria"/>
                <w:b/>
                <w:bCs/>
                <w:color w:val="FFFFFF" w:themeColor="background1"/>
                <w:sz w:val="19"/>
                <w:szCs w:val="19"/>
              </w:rPr>
              <w:t>State:</w:t>
            </w:r>
          </w:p>
        </w:tc>
        <w:tc>
          <w:tcPr>
            <w:tcW w:w="5670" w:type="dxa"/>
            <w:vAlign w:val="center"/>
          </w:tcPr>
          <w:p w14:paraId="3539D391" w14:textId="09F2C197" w:rsidR="00F621C3" w:rsidRPr="009A6323" w:rsidRDefault="005268AF" w:rsidP="005C25C2">
            <w:pPr>
              <w:jc w:val="both"/>
              <w:rPr>
                <w:rFonts w:ascii="Cambria" w:hAnsi="Cambria"/>
                <w:bCs/>
                <w:sz w:val="19"/>
                <w:szCs w:val="19"/>
              </w:rPr>
            </w:pPr>
            <w:r w:rsidRPr="009A6323">
              <w:rPr>
                <w:rFonts w:ascii="Cambria" w:hAnsi="Cambria"/>
                <w:bCs/>
                <w:sz w:val="19"/>
                <w:szCs w:val="19"/>
              </w:rPr>
              <w:t>Venezuela</w:t>
            </w:r>
          </w:p>
        </w:tc>
      </w:tr>
      <w:tr w:rsidR="00E47F3D" w:rsidRPr="009A6323"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A6323" w:rsidRDefault="00E47F3D" w:rsidP="00E7588C">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 xml:space="preserve">Rights </w:t>
            </w:r>
            <w:r w:rsidR="00E7588C" w:rsidRPr="009A6323">
              <w:rPr>
                <w:rFonts w:ascii="Cambria" w:hAnsi="Cambria"/>
                <w:b/>
                <w:bCs/>
                <w:color w:val="FFFFFF" w:themeColor="background1"/>
                <w:sz w:val="19"/>
                <w:szCs w:val="19"/>
              </w:rPr>
              <w:t>invoked:</w:t>
            </w:r>
          </w:p>
        </w:tc>
        <w:tc>
          <w:tcPr>
            <w:tcW w:w="5670" w:type="dxa"/>
            <w:vAlign w:val="center"/>
          </w:tcPr>
          <w:p w14:paraId="51EEF9D2" w14:textId="05B2BC4B" w:rsidR="00E47F3D" w:rsidRPr="009A6323" w:rsidRDefault="005268AF" w:rsidP="005C25C2">
            <w:pPr>
              <w:jc w:val="both"/>
              <w:rPr>
                <w:rFonts w:ascii="Cambria" w:hAnsi="Cambria"/>
                <w:bCs/>
                <w:sz w:val="19"/>
                <w:szCs w:val="19"/>
              </w:rPr>
            </w:pPr>
            <w:r w:rsidRPr="009A6323">
              <w:rPr>
                <w:rFonts w:ascii="Cambria" w:hAnsi="Cambria"/>
                <w:bCs/>
                <w:sz w:val="19"/>
                <w:szCs w:val="19"/>
              </w:rPr>
              <w:t>Articles 8 and 25 of the American Convention on Human Rights</w:t>
            </w:r>
            <w:r w:rsidRPr="009A6323">
              <w:rPr>
                <w:rStyle w:val="FootnoteReference"/>
                <w:rFonts w:ascii="Cambria" w:hAnsi="Cambria"/>
                <w:bCs/>
                <w:sz w:val="19"/>
                <w:szCs w:val="19"/>
              </w:rPr>
              <w:footnoteReference w:id="2"/>
            </w:r>
            <w:r w:rsidRPr="009A6323">
              <w:rPr>
                <w:rFonts w:ascii="Cambria" w:hAnsi="Cambria"/>
                <w:bCs/>
                <w:sz w:val="19"/>
                <w:szCs w:val="19"/>
              </w:rPr>
              <w:t xml:space="preserve"> in relation to its Articles 1.1 and 2</w:t>
            </w:r>
          </w:p>
        </w:tc>
      </w:tr>
    </w:tbl>
    <w:p w14:paraId="006E8D49" w14:textId="1C646C41" w:rsidR="00F621C3" w:rsidRPr="009A6323" w:rsidRDefault="00F621C3" w:rsidP="00F621C3">
      <w:pPr>
        <w:spacing w:before="240" w:after="240"/>
        <w:ind w:firstLine="720"/>
        <w:jc w:val="both"/>
        <w:rPr>
          <w:rFonts w:asciiTheme="majorHAnsi" w:hAnsiTheme="majorHAnsi"/>
          <w:b/>
          <w:bCs/>
          <w:sz w:val="19"/>
          <w:szCs w:val="19"/>
        </w:rPr>
      </w:pPr>
      <w:r w:rsidRPr="009A6323">
        <w:rPr>
          <w:rFonts w:asciiTheme="majorHAnsi" w:hAnsiTheme="majorHAnsi"/>
          <w:b/>
          <w:bCs/>
          <w:sz w:val="19"/>
          <w:szCs w:val="19"/>
        </w:rPr>
        <w:t>II.</w:t>
      </w:r>
      <w:r w:rsidRPr="009A6323">
        <w:rPr>
          <w:rFonts w:asciiTheme="majorHAnsi" w:hAnsiTheme="majorHAnsi"/>
          <w:b/>
          <w:bCs/>
          <w:sz w:val="19"/>
          <w:szCs w:val="19"/>
        </w:rPr>
        <w:tab/>
        <w:t>PROCE</w:t>
      </w:r>
      <w:r w:rsidR="00321AFD" w:rsidRPr="009A6323">
        <w:rPr>
          <w:rFonts w:asciiTheme="majorHAnsi" w:hAnsiTheme="majorHAnsi"/>
          <w:b/>
          <w:bCs/>
          <w:sz w:val="19"/>
          <w:szCs w:val="19"/>
        </w:rPr>
        <w:t>EDINGS</w:t>
      </w:r>
      <w:r w:rsidRPr="009A6323">
        <w:rPr>
          <w:rFonts w:asciiTheme="majorHAnsi" w:hAnsiTheme="majorHAnsi"/>
          <w:b/>
          <w:bCs/>
          <w:sz w:val="19"/>
          <w:szCs w:val="19"/>
        </w:rPr>
        <w:t xml:space="preserve"> BEFORE THE IACHR</w:t>
      </w:r>
      <w:r w:rsidR="00653EA6" w:rsidRPr="009A6323">
        <w:rPr>
          <w:rStyle w:val="FootnoteReference"/>
          <w:rFonts w:ascii="Cambria" w:hAnsi="Cambria"/>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A6323"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A6323" w:rsidRDefault="00B06BB7" w:rsidP="00B06BB7">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Filing of the petition</w:t>
            </w:r>
            <w:r w:rsidR="00F621C3" w:rsidRPr="009A6323">
              <w:rPr>
                <w:rFonts w:ascii="Cambria" w:hAnsi="Cambria"/>
                <w:b/>
                <w:bCs/>
                <w:color w:val="FFFFFF" w:themeColor="background1"/>
                <w:sz w:val="19"/>
                <w:szCs w:val="19"/>
              </w:rPr>
              <w:t>:</w:t>
            </w:r>
          </w:p>
        </w:tc>
        <w:tc>
          <w:tcPr>
            <w:tcW w:w="5670" w:type="dxa"/>
            <w:vAlign w:val="center"/>
          </w:tcPr>
          <w:p w14:paraId="1C0C3DE2" w14:textId="68FEAAA0" w:rsidR="00F621C3" w:rsidRPr="009A6323" w:rsidRDefault="005268AF" w:rsidP="005C25C2">
            <w:pPr>
              <w:jc w:val="both"/>
              <w:rPr>
                <w:rFonts w:ascii="Cambria" w:hAnsi="Cambria"/>
                <w:bCs/>
                <w:sz w:val="19"/>
                <w:szCs w:val="19"/>
              </w:rPr>
            </w:pPr>
            <w:r w:rsidRPr="009A6323">
              <w:rPr>
                <w:rFonts w:ascii="Cambria" w:hAnsi="Cambria"/>
                <w:bCs/>
                <w:sz w:val="19"/>
                <w:szCs w:val="19"/>
              </w:rPr>
              <w:t>May 20, 2010</w:t>
            </w:r>
          </w:p>
        </w:tc>
      </w:tr>
      <w:tr w:rsidR="00F621C3" w:rsidRPr="009A6323"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A6323" w:rsidRDefault="00B06BB7" w:rsidP="00B06BB7">
            <w:pPr>
              <w:jc w:val="center"/>
              <w:rPr>
                <w:rFonts w:ascii="Cambria" w:hAnsi="Cambria"/>
                <w:b/>
                <w:bCs/>
                <w:color w:val="FFFFFF" w:themeColor="background1"/>
                <w:sz w:val="19"/>
                <w:szCs w:val="19"/>
              </w:rPr>
            </w:pPr>
            <w:r w:rsidRPr="009A6323">
              <w:rPr>
                <w:rFonts w:ascii="Cambria" w:hAnsi="Cambria"/>
                <w:b/>
                <w:color w:val="FFFFFF" w:themeColor="background1"/>
                <w:sz w:val="19"/>
                <w:szCs w:val="19"/>
              </w:rPr>
              <w:t>Notification of the petition to</w:t>
            </w:r>
            <w:r w:rsidR="00F621C3" w:rsidRPr="009A6323">
              <w:rPr>
                <w:rFonts w:ascii="Cambria" w:hAnsi="Cambria"/>
                <w:b/>
                <w:color w:val="FFFFFF" w:themeColor="background1"/>
                <w:sz w:val="19"/>
                <w:szCs w:val="19"/>
              </w:rPr>
              <w:t xml:space="preserve"> the State:</w:t>
            </w:r>
          </w:p>
        </w:tc>
        <w:tc>
          <w:tcPr>
            <w:tcW w:w="5670" w:type="dxa"/>
            <w:vAlign w:val="center"/>
          </w:tcPr>
          <w:p w14:paraId="22ADBFFE" w14:textId="0CE4A075" w:rsidR="00F621C3" w:rsidRPr="009A6323" w:rsidRDefault="005268AF" w:rsidP="005C25C2">
            <w:pPr>
              <w:jc w:val="both"/>
              <w:rPr>
                <w:rFonts w:ascii="Cambria" w:hAnsi="Cambria"/>
                <w:bCs/>
                <w:sz w:val="19"/>
                <w:szCs w:val="19"/>
              </w:rPr>
            </w:pPr>
            <w:r w:rsidRPr="009A6323">
              <w:rPr>
                <w:rFonts w:ascii="Cambria" w:hAnsi="Cambria"/>
                <w:bCs/>
                <w:sz w:val="19"/>
                <w:szCs w:val="19"/>
              </w:rPr>
              <w:t>December 22, 2016</w:t>
            </w:r>
          </w:p>
        </w:tc>
      </w:tr>
      <w:tr w:rsidR="00F621C3" w:rsidRPr="009A6323"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A6323" w:rsidRDefault="00F621C3" w:rsidP="005C25C2">
            <w:pPr>
              <w:jc w:val="center"/>
              <w:rPr>
                <w:rFonts w:ascii="Cambria" w:hAnsi="Cambria"/>
                <w:b/>
                <w:bCs/>
                <w:color w:val="FFFFFF" w:themeColor="background1"/>
                <w:sz w:val="19"/>
                <w:szCs w:val="19"/>
              </w:rPr>
            </w:pPr>
            <w:r w:rsidRPr="009A6323">
              <w:rPr>
                <w:rFonts w:ascii="Cambria" w:hAnsi="Cambria"/>
                <w:b/>
                <w:color w:val="FFFFFF" w:themeColor="background1"/>
                <w:sz w:val="19"/>
                <w:szCs w:val="19"/>
              </w:rPr>
              <w:t>State’s first response:</w:t>
            </w:r>
          </w:p>
        </w:tc>
        <w:tc>
          <w:tcPr>
            <w:tcW w:w="5670" w:type="dxa"/>
            <w:vAlign w:val="center"/>
          </w:tcPr>
          <w:p w14:paraId="19C5DA57" w14:textId="39EC644C" w:rsidR="00F621C3" w:rsidRPr="009A6323" w:rsidRDefault="005268AF" w:rsidP="005C25C2">
            <w:pPr>
              <w:jc w:val="both"/>
              <w:rPr>
                <w:rFonts w:ascii="Cambria" w:hAnsi="Cambria"/>
                <w:bCs/>
                <w:sz w:val="19"/>
                <w:szCs w:val="19"/>
              </w:rPr>
            </w:pPr>
            <w:r w:rsidRPr="009A6323">
              <w:rPr>
                <w:rFonts w:ascii="Cambria" w:hAnsi="Cambria"/>
                <w:bCs/>
                <w:sz w:val="19"/>
                <w:szCs w:val="19"/>
              </w:rPr>
              <w:t>April 18, 2017</w:t>
            </w:r>
          </w:p>
        </w:tc>
      </w:tr>
    </w:tbl>
    <w:p w14:paraId="7F88B361" w14:textId="77777777" w:rsidR="00F621C3" w:rsidRPr="009A6323" w:rsidRDefault="00F621C3" w:rsidP="00F621C3">
      <w:pPr>
        <w:spacing w:before="240" w:after="240"/>
        <w:ind w:firstLine="720"/>
        <w:jc w:val="both"/>
        <w:rPr>
          <w:rFonts w:asciiTheme="majorHAnsi" w:hAnsiTheme="majorHAnsi"/>
          <w:b/>
          <w:bCs/>
          <w:sz w:val="19"/>
          <w:szCs w:val="19"/>
        </w:rPr>
      </w:pPr>
      <w:r w:rsidRPr="009A6323">
        <w:rPr>
          <w:rFonts w:asciiTheme="majorHAnsi" w:hAnsiTheme="majorHAnsi"/>
          <w:b/>
          <w:bCs/>
          <w:sz w:val="19"/>
          <w:szCs w:val="19"/>
        </w:rPr>
        <w:t xml:space="preserve">III. </w:t>
      </w:r>
      <w:r w:rsidRPr="009A6323">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A6323"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A6323" w:rsidRDefault="00F621C3" w:rsidP="005C25C2">
            <w:pPr>
              <w:jc w:val="center"/>
              <w:rPr>
                <w:rFonts w:ascii="Cambria" w:hAnsi="Cambria"/>
                <w:b/>
                <w:bCs/>
                <w:i/>
                <w:color w:val="FFFFFF" w:themeColor="background1"/>
                <w:sz w:val="19"/>
                <w:szCs w:val="19"/>
              </w:rPr>
            </w:pPr>
            <w:r w:rsidRPr="009A6323">
              <w:rPr>
                <w:rFonts w:ascii="Cambria" w:hAnsi="Cambria"/>
                <w:b/>
                <w:bCs/>
                <w:color w:val="FFFFFF" w:themeColor="background1"/>
                <w:sz w:val="19"/>
                <w:szCs w:val="19"/>
              </w:rPr>
              <w:t>Competence</w:t>
            </w:r>
            <w:r w:rsidRPr="009A6323">
              <w:rPr>
                <w:rFonts w:ascii="Cambria" w:hAnsi="Cambria"/>
                <w:b/>
                <w:bCs/>
                <w:i/>
                <w:color w:val="FFFFFF" w:themeColor="background1"/>
                <w:sz w:val="19"/>
                <w:szCs w:val="19"/>
              </w:rPr>
              <w:t xml:space="preserve"> Ratione personae:</w:t>
            </w:r>
          </w:p>
        </w:tc>
        <w:tc>
          <w:tcPr>
            <w:tcW w:w="5670" w:type="dxa"/>
            <w:vAlign w:val="center"/>
          </w:tcPr>
          <w:p w14:paraId="237A8D0C" w14:textId="3CD08F80" w:rsidR="00F621C3" w:rsidRPr="009A6323" w:rsidRDefault="005268AF" w:rsidP="005C25C2">
            <w:pPr>
              <w:rPr>
                <w:rFonts w:asciiTheme="majorHAnsi" w:hAnsiTheme="majorHAnsi"/>
                <w:bCs/>
                <w:sz w:val="19"/>
                <w:szCs w:val="19"/>
              </w:rPr>
            </w:pPr>
            <w:r w:rsidRPr="009A6323">
              <w:rPr>
                <w:rFonts w:asciiTheme="majorHAnsi" w:hAnsiTheme="majorHAnsi"/>
                <w:bCs/>
                <w:sz w:val="19"/>
                <w:szCs w:val="19"/>
              </w:rPr>
              <w:t>Yes</w:t>
            </w:r>
          </w:p>
        </w:tc>
      </w:tr>
      <w:tr w:rsidR="00F621C3" w:rsidRPr="009A6323"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Competence</w:t>
            </w:r>
            <w:r w:rsidRPr="009A6323">
              <w:rPr>
                <w:rFonts w:ascii="Cambria" w:hAnsi="Cambria"/>
                <w:b/>
                <w:bCs/>
                <w:i/>
                <w:color w:val="FFFFFF" w:themeColor="background1"/>
                <w:sz w:val="19"/>
                <w:szCs w:val="19"/>
              </w:rPr>
              <w:t xml:space="preserve"> Ratione loci</w:t>
            </w:r>
            <w:r w:rsidRPr="009A6323">
              <w:rPr>
                <w:rFonts w:ascii="Cambria" w:hAnsi="Cambria"/>
                <w:b/>
                <w:bCs/>
                <w:color w:val="FFFFFF" w:themeColor="background1"/>
                <w:sz w:val="19"/>
                <w:szCs w:val="19"/>
              </w:rPr>
              <w:t>:</w:t>
            </w:r>
          </w:p>
        </w:tc>
        <w:tc>
          <w:tcPr>
            <w:tcW w:w="5670" w:type="dxa"/>
            <w:vAlign w:val="center"/>
          </w:tcPr>
          <w:p w14:paraId="48257424" w14:textId="281DFDD0" w:rsidR="00F621C3" w:rsidRPr="009A6323" w:rsidRDefault="005268AF" w:rsidP="005C25C2">
            <w:pPr>
              <w:rPr>
                <w:rFonts w:asciiTheme="majorHAnsi" w:hAnsiTheme="majorHAnsi"/>
                <w:bCs/>
                <w:sz w:val="19"/>
                <w:szCs w:val="19"/>
              </w:rPr>
            </w:pPr>
            <w:r w:rsidRPr="009A6323">
              <w:rPr>
                <w:rFonts w:asciiTheme="majorHAnsi" w:hAnsiTheme="majorHAnsi"/>
                <w:bCs/>
                <w:sz w:val="19"/>
                <w:szCs w:val="19"/>
              </w:rPr>
              <w:t>Yes</w:t>
            </w:r>
          </w:p>
        </w:tc>
      </w:tr>
      <w:tr w:rsidR="00F621C3" w:rsidRPr="009A6323"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Competence</w:t>
            </w:r>
            <w:r w:rsidRPr="009A6323">
              <w:rPr>
                <w:rFonts w:ascii="Cambria" w:hAnsi="Cambria"/>
                <w:b/>
                <w:bCs/>
                <w:i/>
                <w:color w:val="FFFFFF" w:themeColor="background1"/>
                <w:sz w:val="19"/>
                <w:szCs w:val="19"/>
              </w:rPr>
              <w:t xml:space="preserve"> Ratione temporis</w:t>
            </w:r>
            <w:r w:rsidRPr="009A6323">
              <w:rPr>
                <w:rFonts w:ascii="Cambria" w:hAnsi="Cambria"/>
                <w:b/>
                <w:bCs/>
                <w:color w:val="FFFFFF" w:themeColor="background1"/>
                <w:sz w:val="19"/>
                <w:szCs w:val="19"/>
              </w:rPr>
              <w:t>:</w:t>
            </w:r>
          </w:p>
        </w:tc>
        <w:tc>
          <w:tcPr>
            <w:tcW w:w="5670" w:type="dxa"/>
            <w:vAlign w:val="center"/>
          </w:tcPr>
          <w:p w14:paraId="74B3F783" w14:textId="219EE603" w:rsidR="00F621C3" w:rsidRPr="009A6323" w:rsidRDefault="005268AF" w:rsidP="005C25C2">
            <w:pPr>
              <w:rPr>
                <w:rFonts w:asciiTheme="majorHAnsi" w:hAnsiTheme="majorHAnsi"/>
                <w:bCs/>
                <w:sz w:val="19"/>
                <w:szCs w:val="19"/>
              </w:rPr>
            </w:pPr>
            <w:r w:rsidRPr="009A6323">
              <w:rPr>
                <w:rFonts w:asciiTheme="majorHAnsi" w:hAnsiTheme="majorHAnsi"/>
                <w:bCs/>
                <w:sz w:val="19"/>
                <w:szCs w:val="19"/>
              </w:rPr>
              <w:t>Yes</w:t>
            </w:r>
          </w:p>
        </w:tc>
      </w:tr>
      <w:tr w:rsidR="00F621C3" w:rsidRPr="009A6323"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Competence</w:t>
            </w:r>
            <w:r w:rsidRPr="009A6323">
              <w:rPr>
                <w:rFonts w:ascii="Cambria" w:hAnsi="Cambria"/>
                <w:b/>
                <w:bCs/>
                <w:i/>
                <w:color w:val="FFFFFF" w:themeColor="background1"/>
                <w:sz w:val="19"/>
                <w:szCs w:val="19"/>
              </w:rPr>
              <w:t xml:space="preserve"> Ratione materiae</w:t>
            </w:r>
            <w:r w:rsidRPr="009A6323">
              <w:rPr>
                <w:rFonts w:ascii="Cambria" w:hAnsi="Cambria"/>
                <w:b/>
                <w:bCs/>
                <w:color w:val="FFFFFF" w:themeColor="background1"/>
                <w:sz w:val="19"/>
                <w:szCs w:val="19"/>
              </w:rPr>
              <w:t>:</w:t>
            </w:r>
          </w:p>
        </w:tc>
        <w:tc>
          <w:tcPr>
            <w:tcW w:w="5670" w:type="dxa"/>
            <w:vAlign w:val="center"/>
          </w:tcPr>
          <w:p w14:paraId="64B3F199" w14:textId="67EAC592" w:rsidR="00F621C3" w:rsidRPr="009A6323" w:rsidRDefault="005268AF" w:rsidP="005C25C2">
            <w:pPr>
              <w:jc w:val="both"/>
              <w:rPr>
                <w:rFonts w:asciiTheme="majorHAnsi" w:hAnsiTheme="majorHAnsi"/>
                <w:bCs/>
                <w:sz w:val="19"/>
                <w:szCs w:val="19"/>
              </w:rPr>
            </w:pPr>
            <w:r w:rsidRPr="009A6323">
              <w:rPr>
                <w:rFonts w:asciiTheme="majorHAnsi" w:hAnsiTheme="majorHAnsi"/>
                <w:bCs/>
                <w:sz w:val="19"/>
                <w:szCs w:val="19"/>
              </w:rPr>
              <w:t>Yes, American Convention (deposit of instrument made on August 9, 1977)</w:t>
            </w:r>
          </w:p>
        </w:tc>
      </w:tr>
    </w:tbl>
    <w:p w14:paraId="0408D4CD" w14:textId="54A61356" w:rsidR="00F621C3" w:rsidRPr="009A6323" w:rsidRDefault="00F621C3" w:rsidP="00F621C3">
      <w:pPr>
        <w:spacing w:before="240" w:after="240"/>
        <w:ind w:firstLine="720"/>
        <w:jc w:val="both"/>
        <w:rPr>
          <w:rFonts w:asciiTheme="majorHAnsi" w:hAnsiTheme="majorHAnsi"/>
          <w:b/>
          <w:bCs/>
          <w:sz w:val="19"/>
          <w:szCs w:val="19"/>
        </w:rPr>
      </w:pPr>
      <w:r w:rsidRPr="009A6323">
        <w:rPr>
          <w:rFonts w:asciiTheme="majorHAnsi" w:hAnsiTheme="majorHAnsi"/>
          <w:b/>
          <w:bCs/>
          <w:sz w:val="19"/>
          <w:szCs w:val="19"/>
        </w:rPr>
        <w:t xml:space="preserve">IV. </w:t>
      </w:r>
      <w:r w:rsidRPr="009A6323">
        <w:rPr>
          <w:rFonts w:asciiTheme="majorHAnsi" w:hAnsiTheme="majorHAnsi"/>
          <w:b/>
          <w:bCs/>
          <w:sz w:val="19"/>
          <w:szCs w:val="19"/>
        </w:rPr>
        <w:tab/>
        <w:t xml:space="preserve">DUPLICATION OF PROCEDURES AND INTERNATIONAL </w:t>
      </w:r>
      <w:r w:rsidRPr="009A6323">
        <w:rPr>
          <w:rFonts w:asciiTheme="majorHAnsi" w:hAnsiTheme="majorHAnsi"/>
          <w:b/>
          <w:bCs/>
          <w:i/>
          <w:sz w:val="19"/>
          <w:szCs w:val="19"/>
        </w:rPr>
        <w:t>RES JUDICATA</w:t>
      </w:r>
      <w:r w:rsidRPr="009A6323">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A6323"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 xml:space="preserve">Duplication of procedures and International </w:t>
            </w:r>
            <w:r w:rsidRPr="009A6323">
              <w:rPr>
                <w:rFonts w:ascii="Cambria" w:hAnsi="Cambria"/>
                <w:b/>
                <w:bCs/>
                <w:i/>
                <w:color w:val="FFFFFF" w:themeColor="background1"/>
                <w:sz w:val="19"/>
                <w:szCs w:val="19"/>
              </w:rPr>
              <w:t>res judicata</w:t>
            </w:r>
            <w:r w:rsidRPr="009A6323">
              <w:rPr>
                <w:rFonts w:ascii="Cambria" w:hAnsi="Cambria"/>
                <w:b/>
                <w:bCs/>
                <w:color w:val="FFFFFF" w:themeColor="background1"/>
                <w:sz w:val="19"/>
                <w:szCs w:val="19"/>
              </w:rPr>
              <w:t>:</w:t>
            </w:r>
          </w:p>
        </w:tc>
        <w:tc>
          <w:tcPr>
            <w:tcW w:w="5670" w:type="dxa"/>
            <w:vAlign w:val="center"/>
          </w:tcPr>
          <w:p w14:paraId="4773CD23" w14:textId="34AA72FE" w:rsidR="00F621C3" w:rsidRPr="009A6323" w:rsidRDefault="005268AF" w:rsidP="005C25C2">
            <w:pPr>
              <w:jc w:val="both"/>
              <w:rPr>
                <w:rFonts w:ascii="Cambria" w:hAnsi="Cambria"/>
                <w:bCs/>
                <w:sz w:val="19"/>
                <w:szCs w:val="19"/>
              </w:rPr>
            </w:pPr>
            <w:r w:rsidRPr="009A6323">
              <w:rPr>
                <w:rFonts w:ascii="Cambria" w:hAnsi="Cambria"/>
                <w:bCs/>
                <w:sz w:val="19"/>
                <w:szCs w:val="19"/>
              </w:rPr>
              <w:t>No</w:t>
            </w:r>
          </w:p>
        </w:tc>
      </w:tr>
      <w:tr w:rsidR="00F621C3" w:rsidRPr="009A6323"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A6323" w:rsidRDefault="00F621C3" w:rsidP="005C25C2">
            <w:pPr>
              <w:jc w:val="center"/>
              <w:rPr>
                <w:rFonts w:ascii="Cambria" w:hAnsi="Cambria"/>
                <w:b/>
                <w:bCs/>
                <w:i/>
                <w:color w:val="FFFFFF" w:themeColor="background1"/>
                <w:sz w:val="19"/>
                <w:szCs w:val="19"/>
              </w:rPr>
            </w:pPr>
            <w:r w:rsidRPr="009A6323">
              <w:rPr>
                <w:rFonts w:ascii="Cambria" w:hAnsi="Cambria"/>
                <w:b/>
                <w:bCs/>
                <w:color w:val="FFFFFF" w:themeColor="background1"/>
                <w:sz w:val="19"/>
                <w:szCs w:val="19"/>
              </w:rPr>
              <w:t>Rights declared admissible</w:t>
            </w:r>
          </w:p>
        </w:tc>
        <w:tc>
          <w:tcPr>
            <w:tcW w:w="5670" w:type="dxa"/>
            <w:vAlign w:val="center"/>
          </w:tcPr>
          <w:p w14:paraId="33BE4040" w14:textId="4C71D0D3" w:rsidR="00F621C3" w:rsidRPr="009A6323" w:rsidRDefault="005268AF" w:rsidP="005268AF">
            <w:pPr>
              <w:jc w:val="both"/>
              <w:rPr>
                <w:rFonts w:ascii="Cambria" w:hAnsi="Cambria"/>
                <w:bCs/>
                <w:sz w:val="19"/>
                <w:szCs w:val="19"/>
              </w:rPr>
            </w:pPr>
            <w:r w:rsidRPr="009A6323">
              <w:rPr>
                <w:rFonts w:ascii="Cambria" w:hAnsi="Cambria"/>
                <w:bCs/>
                <w:sz w:val="19"/>
                <w:szCs w:val="19"/>
              </w:rPr>
              <w:t>Articles 8 (right to a fair trial), 23 (right to participate in Government), 25 (right to judicial protection) and 26 (progressive development) of the Convention in relation to its Articles 1.1 (obligation to respect rights) and 2 (domestic legal effects)</w:t>
            </w:r>
          </w:p>
        </w:tc>
      </w:tr>
      <w:tr w:rsidR="00F621C3" w:rsidRPr="009A6323"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456519BA" w:rsidR="00F621C3" w:rsidRPr="009A6323" w:rsidRDefault="005268AF" w:rsidP="005C25C2">
            <w:pPr>
              <w:rPr>
                <w:rFonts w:ascii="Cambria" w:hAnsi="Cambria"/>
                <w:bCs/>
                <w:sz w:val="19"/>
                <w:szCs w:val="19"/>
              </w:rPr>
            </w:pPr>
            <w:r w:rsidRPr="009A6323">
              <w:rPr>
                <w:rFonts w:ascii="Cambria" w:hAnsi="Cambria"/>
                <w:bCs/>
                <w:sz w:val="19"/>
                <w:szCs w:val="19"/>
              </w:rPr>
              <w:t>Yes, on November 24, 2009</w:t>
            </w:r>
          </w:p>
          <w:p w14:paraId="432DC56B" w14:textId="77777777" w:rsidR="00F621C3" w:rsidRPr="009A6323" w:rsidRDefault="00F621C3" w:rsidP="005C25C2">
            <w:pPr>
              <w:rPr>
                <w:rFonts w:ascii="Cambria" w:hAnsi="Cambria"/>
                <w:bCs/>
                <w:sz w:val="19"/>
                <w:szCs w:val="19"/>
              </w:rPr>
            </w:pPr>
          </w:p>
        </w:tc>
      </w:tr>
      <w:tr w:rsidR="00F621C3" w:rsidRPr="009A6323"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A6323" w:rsidRDefault="00F621C3" w:rsidP="005C25C2">
            <w:pPr>
              <w:jc w:val="center"/>
              <w:rPr>
                <w:rFonts w:ascii="Cambria" w:hAnsi="Cambria"/>
                <w:b/>
                <w:bCs/>
                <w:color w:val="FFFFFF" w:themeColor="background1"/>
                <w:sz w:val="19"/>
                <w:szCs w:val="19"/>
              </w:rPr>
            </w:pPr>
            <w:r w:rsidRPr="009A6323">
              <w:rPr>
                <w:rFonts w:ascii="Cambria" w:hAnsi="Cambria"/>
                <w:b/>
                <w:bCs/>
                <w:color w:val="FFFFFF" w:themeColor="background1"/>
                <w:sz w:val="19"/>
                <w:szCs w:val="19"/>
              </w:rPr>
              <w:t>Timeliness of the petition:</w:t>
            </w:r>
          </w:p>
        </w:tc>
        <w:tc>
          <w:tcPr>
            <w:tcW w:w="5670" w:type="dxa"/>
            <w:vAlign w:val="center"/>
          </w:tcPr>
          <w:p w14:paraId="6A26CCE9" w14:textId="5298BDB3" w:rsidR="00F621C3" w:rsidRPr="009A6323" w:rsidRDefault="005268AF" w:rsidP="005C25C2">
            <w:pPr>
              <w:rPr>
                <w:rFonts w:asciiTheme="majorHAnsi" w:hAnsiTheme="majorHAnsi"/>
                <w:bCs/>
                <w:sz w:val="19"/>
                <w:szCs w:val="19"/>
              </w:rPr>
            </w:pPr>
            <w:r w:rsidRPr="009A6323">
              <w:rPr>
                <w:rFonts w:asciiTheme="majorHAnsi" w:hAnsiTheme="majorHAnsi"/>
                <w:bCs/>
                <w:sz w:val="19"/>
                <w:szCs w:val="19"/>
              </w:rPr>
              <w:t>Yes, on May 20, 2010</w:t>
            </w:r>
          </w:p>
        </w:tc>
      </w:tr>
    </w:tbl>
    <w:p w14:paraId="203B4B38" w14:textId="77777777" w:rsidR="009A6323" w:rsidRDefault="009A6323" w:rsidP="009A6323">
      <w:pPr>
        <w:rPr>
          <w:rFonts w:asciiTheme="majorHAnsi" w:hAnsiTheme="majorHAnsi"/>
          <w:b/>
          <w:sz w:val="20"/>
          <w:szCs w:val="20"/>
        </w:rPr>
      </w:pPr>
    </w:p>
    <w:p w14:paraId="629E2DE8" w14:textId="5AA5A86D" w:rsidR="00F621C3" w:rsidRPr="00753C6D" w:rsidRDefault="00F621C3" w:rsidP="009A6323">
      <w:pPr>
        <w:ind w:firstLine="720"/>
        <w:rPr>
          <w:rFonts w:asciiTheme="majorHAnsi" w:hAnsiTheme="majorHAnsi"/>
          <w:b/>
          <w:sz w:val="20"/>
          <w:szCs w:val="20"/>
        </w:rPr>
      </w:pPr>
      <w:r w:rsidRPr="00753C6D">
        <w:rPr>
          <w:rFonts w:asciiTheme="majorHAnsi" w:hAnsiTheme="majorHAnsi"/>
          <w:b/>
          <w:sz w:val="20"/>
          <w:szCs w:val="20"/>
        </w:rPr>
        <w:t xml:space="preserve">V. </w:t>
      </w:r>
      <w:r w:rsidRPr="00753C6D">
        <w:rPr>
          <w:rFonts w:asciiTheme="majorHAnsi" w:hAnsiTheme="majorHAnsi"/>
          <w:b/>
          <w:sz w:val="20"/>
          <w:szCs w:val="20"/>
        </w:rPr>
        <w:tab/>
        <w:t xml:space="preserve">FACTS </w:t>
      </w:r>
      <w:r w:rsidR="005816E5" w:rsidRPr="00753C6D">
        <w:rPr>
          <w:rFonts w:asciiTheme="majorHAnsi" w:hAnsiTheme="majorHAnsi"/>
          <w:b/>
          <w:sz w:val="20"/>
          <w:szCs w:val="20"/>
        </w:rPr>
        <w:t>ALLEGED</w:t>
      </w:r>
    </w:p>
    <w:p w14:paraId="6953F7A4" w14:textId="0CA4E401" w:rsidR="00F621C3" w:rsidRPr="00753C6D" w:rsidRDefault="00A50F1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The petitioner and alleged victim, Mrs. Yakeline Herrera Soler (hereinafter "Mrs. Herrera", "the alleged victim" or "the petitioner"), </w:t>
      </w:r>
      <w:r w:rsidR="00FD693D" w:rsidRPr="00753C6D">
        <w:rPr>
          <w:rFonts w:ascii="Cambria" w:hAnsi="Cambria"/>
          <w:sz w:val="20"/>
          <w:szCs w:val="20"/>
        </w:rPr>
        <w:t>alleges the</w:t>
      </w:r>
      <w:r w:rsidRPr="00753C6D">
        <w:rPr>
          <w:rFonts w:ascii="Cambria" w:hAnsi="Cambria"/>
          <w:sz w:val="20"/>
          <w:szCs w:val="20"/>
        </w:rPr>
        <w:t xml:space="preserve"> violations of her human rights as a result of her removal from office as First Criminal Court </w:t>
      </w:r>
      <w:r w:rsidR="005D0BFC" w:rsidRPr="00753C6D">
        <w:rPr>
          <w:rFonts w:ascii="Cambria" w:hAnsi="Cambria"/>
          <w:sz w:val="20"/>
          <w:szCs w:val="20"/>
        </w:rPr>
        <w:t xml:space="preserve">Judge </w:t>
      </w:r>
      <w:r w:rsidRPr="00753C6D">
        <w:rPr>
          <w:rFonts w:ascii="Cambria" w:hAnsi="Cambria"/>
          <w:sz w:val="20"/>
          <w:szCs w:val="20"/>
        </w:rPr>
        <w:t>of the Judicial Distric</w:t>
      </w:r>
      <w:r w:rsidR="005D0BFC" w:rsidRPr="00753C6D">
        <w:rPr>
          <w:rFonts w:ascii="Cambria" w:hAnsi="Cambria"/>
          <w:sz w:val="20"/>
          <w:szCs w:val="20"/>
        </w:rPr>
        <w:t xml:space="preserve">t of the Metropolitan Area of </w:t>
      </w:r>
      <w:r w:rsidRPr="00753C6D">
        <w:rPr>
          <w:rFonts w:ascii="Cambria" w:hAnsi="Cambria"/>
          <w:sz w:val="20"/>
          <w:szCs w:val="20"/>
        </w:rPr>
        <w:t xml:space="preserve">Caracas. </w:t>
      </w:r>
      <w:r w:rsidR="005D0BFC" w:rsidRPr="00753C6D">
        <w:rPr>
          <w:rFonts w:ascii="Cambria" w:hAnsi="Cambria"/>
          <w:sz w:val="20"/>
          <w:szCs w:val="20"/>
        </w:rPr>
        <w:t>She</w:t>
      </w:r>
      <w:r w:rsidRPr="00753C6D">
        <w:rPr>
          <w:rFonts w:ascii="Cambria" w:hAnsi="Cambria"/>
          <w:sz w:val="20"/>
          <w:szCs w:val="20"/>
        </w:rPr>
        <w:t xml:space="preserve"> </w:t>
      </w:r>
      <w:r w:rsidR="005D0BFC" w:rsidRPr="00753C6D">
        <w:rPr>
          <w:rFonts w:ascii="Cambria" w:hAnsi="Cambria"/>
          <w:sz w:val="20"/>
          <w:szCs w:val="20"/>
        </w:rPr>
        <w:t>alleges</w:t>
      </w:r>
      <w:r w:rsidRPr="00753C6D">
        <w:rPr>
          <w:rFonts w:ascii="Cambria" w:hAnsi="Cambria"/>
          <w:sz w:val="20"/>
          <w:szCs w:val="20"/>
        </w:rPr>
        <w:t xml:space="preserve"> that on July 19, 2005, </w:t>
      </w:r>
      <w:r w:rsidR="005D0BFC" w:rsidRPr="00753C6D">
        <w:rPr>
          <w:rFonts w:ascii="Cambria" w:hAnsi="Cambria"/>
          <w:sz w:val="20"/>
          <w:szCs w:val="20"/>
        </w:rPr>
        <w:t>she was informed that her</w:t>
      </w:r>
      <w:r w:rsidRPr="00753C6D">
        <w:rPr>
          <w:rFonts w:ascii="Cambria" w:hAnsi="Cambria"/>
          <w:sz w:val="20"/>
          <w:szCs w:val="20"/>
        </w:rPr>
        <w:t xml:space="preserve"> appointment had been </w:t>
      </w:r>
      <w:r w:rsidR="005D0BFC" w:rsidRPr="00753C6D">
        <w:rPr>
          <w:rFonts w:ascii="Cambria" w:hAnsi="Cambria"/>
          <w:sz w:val="20"/>
          <w:szCs w:val="20"/>
        </w:rPr>
        <w:t>terminated by the Judicial Council</w:t>
      </w:r>
      <w:r w:rsidRPr="00753C6D">
        <w:rPr>
          <w:rFonts w:ascii="Cambria" w:hAnsi="Cambria"/>
          <w:sz w:val="20"/>
          <w:szCs w:val="20"/>
        </w:rPr>
        <w:t>, without any di</w:t>
      </w:r>
      <w:r w:rsidR="005D0BFC" w:rsidRPr="00753C6D">
        <w:rPr>
          <w:rFonts w:ascii="Cambria" w:hAnsi="Cambria"/>
          <w:sz w:val="20"/>
          <w:szCs w:val="20"/>
        </w:rPr>
        <w:t>sciplinary or evaluation proceedings</w:t>
      </w:r>
      <w:r w:rsidRPr="00753C6D">
        <w:rPr>
          <w:rFonts w:ascii="Cambria" w:hAnsi="Cambria"/>
          <w:sz w:val="20"/>
          <w:szCs w:val="20"/>
        </w:rPr>
        <w:t>.</w:t>
      </w:r>
      <w:r w:rsidR="00EB57CB" w:rsidRPr="00753C6D">
        <w:rPr>
          <w:rStyle w:val="FootnoteReference"/>
          <w:rFonts w:asciiTheme="majorHAnsi" w:hAnsiTheme="majorHAnsi"/>
          <w:sz w:val="20"/>
          <w:szCs w:val="20"/>
        </w:rPr>
        <w:footnoteReference w:id="4"/>
      </w:r>
      <w:r w:rsidR="005D0BFC" w:rsidRPr="00753C6D">
        <w:rPr>
          <w:rFonts w:ascii="Cambria" w:hAnsi="Cambria"/>
          <w:sz w:val="20"/>
          <w:szCs w:val="20"/>
        </w:rPr>
        <w:t xml:space="preserve"> She considers that her</w:t>
      </w:r>
      <w:r w:rsidRPr="00753C6D">
        <w:rPr>
          <w:rFonts w:ascii="Cambria" w:hAnsi="Cambria"/>
          <w:sz w:val="20"/>
          <w:szCs w:val="20"/>
        </w:rPr>
        <w:t xml:space="preserve"> right to </w:t>
      </w:r>
      <w:r w:rsidR="00AC342A" w:rsidRPr="00753C6D">
        <w:rPr>
          <w:rFonts w:ascii="Cambria" w:hAnsi="Cambria"/>
          <w:sz w:val="20"/>
          <w:szCs w:val="20"/>
        </w:rPr>
        <w:t xml:space="preserve">a </w:t>
      </w:r>
      <w:r w:rsidRPr="00753C6D">
        <w:rPr>
          <w:rFonts w:ascii="Cambria" w:hAnsi="Cambria"/>
          <w:sz w:val="20"/>
          <w:szCs w:val="20"/>
        </w:rPr>
        <w:t xml:space="preserve">defense </w:t>
      </w:r>
      <w:r w:rsidR="005D0BFC" w:rsidRPr="00753C6D">
        <w:rPr>
          <w:rFonts w:ascii="Cambria" w:hAnsi="Cambria"/>
          <w:sz w:val="20"/>
          <w:szCs w:val="20"/>
        </w:rPr>
        <w:t>was</w:t>
      </w:r>
      <w:r w:rsidRPr="00753C6D">
        <w:rPr>
          <w:rFonts w:ascii="Cambria" w:hAnsi="Cambria"/>
          <w:sz w:val="20"/>
          <w:szCs w:val="20"/>
        </w:rPr>
        <w:t xml:space="preserve"> violated beca</w:t>
      </w:r>
      <w:r w:rsidR="005D0BFC" w:rsidRPr="00753C6D">
        <w:rPr>
          <w:rFonts w:ascii="Cambria" w:hAnsi="Cambria"/>
          <w:sz w:val="20"/>
          <w:szCs w:val="20"/>
        </w:rPr>
        <w:t>use sh</w:t>
      </w:r>
      <w:r w:rsidRPr="00753C6D">
        <w:rPr>
          <w:rFonts w:ascii="Cambria" w:hAnsi="Cambria"/>
          <w:sz w:val="20"/>
          <w:szCs w:val="20"/>
        </w:rPr>
        <w:t xml:space="preserve">e did not have the </w:t>
      </w:r>
      <w:r w:rsidR="005D0BFC" w:rsidRPr="00753C6D">
        <w:rPr>
          <w:rFonts w:ascii="Cambria" w:hAnsi="Cambria"/>
          <w:sz w:val="20"/>
          <w:szCs w:val="20"/>
        </w:rPr>
        <w:t>opportunity</w:t>
      </w:r>
      <w:r w:rsidRPr="00753C6D">
        <w:rPr>
          <w:rFonts w:ascii="Cambria" w:hAnsi="Cambria"/>
          <w:sz w:val="20"/>
          <w:szCs w:val="20"/>
        </w:rPr>
        <w:t xml:space="preserve"> to be heard or to </w:t>
      </w:r>
      <w:r w:rsidR="00AC342A" w:rsidRPr="00753C6D">
        <w:rPr>
          <w:rFonts w:ascii="Cambria" w:hAnsi="Cambria"/>
          <w:sz w:val="20"/>
          <w:szCs w:val="20"/>
        </w:rPr>
        <w:t>submit</w:t>
      </w:r>
      <w:r w:rsidRPr="00753C6D">
        <w:rPr>
          <w:rFonts w:ascii="Cambria" w:hAnsi="Cambria"/>
          <w:sz w:val="20"/>
          <w:szCs w:val="20"/>
        </w:rPr>
        <w:t xml:space="preserve"> </w:t>
      </w:r>
      <w:r w:rsidR="00AC342A" w:rsidRPr="00753C6D">
        <w:rPr>
          <w:rFonts w:ascii="Cambria" w:hAnsi="Cambria"/>
          <w:sz w:val="20"/>
          <w:szCs w:val="20"/>
        </w:rPr>
        <w:t>rebuttal</w:t>
      </w:r>
      <w:r w:rsidRPr="00753C6D">
        <w:rPr>
          <w:rFonts w:ascii="Cambria" w:hAnsi="Cambria"/>
          <w:sz w:val="20"/>
          <w:szCs w:val="20"/>
        </w:rPr>
        <w:t xml:space="preserve"> evide</w:t>
      </w:r>
      <w:r w:rsidR="005D0BFC" w:rsidRPr="00753C6D">
        <w:rPr>
          <w:rFonts w:ascii="Cambria" w:hAnsi="Cambria"/>
          <w:sz w:val="20"/>
          <w:szCs w:val="20"/>
        </w:rPr>
        <w:t>nce before the decision was taken</w:t>
      </w:r>
      <w:r w:rsidRPr="00753C6D">
        <w:rPr>
          <w:rFonts w:ascii="Cambria" w:hAnsi="Cambria"/>
          <w:sz w:val="20"/>
          <w:szCs w:val="20"/>
        </w:rPr>
        <w:t xml:space="preserve">, as well as the lack of </w:t>
      </w:r>
      <w:r w:rsidR="005D0BFC" w:rsidRPr="00753C6D">
        <w:rPr>
          <w:rFonts w:ascii="Cambria" w:hAnsi="Cambria"/>
          <w:sz w:val="20"/>
          <w:szCs w:val="20"/>
        </w:rPr>
        <w:t>reasoning</w:t>
      </w:r>
      <w:r w:rsidRPr="00753C6D">
        <w:rPr>
          <w:rFonts w:ascii="Cambria" w:hAnsi="Cambria"/>
          <w:sz w:val="20"/>
          <w:szCs w:val="20"/>
        </w:rPr>
        <w:t xml:space="preserve"> for the decision. </w:t>
      </w:r>
      <w:r w:rsidR="00127DFB" w:rsidRPr="00753C6D">
        <w:rPr>
          <w:rFonts w:ascii="Cambria" w:hAnsi="Cambria"/>
          <w:sz w:val="20"/>
          <w:szCs w:val="20"/>
        </w:rPr>
        <w:t>She points out that the</w:t>
      </w:r>
      <w:r w:rsidRPr="00753C6D">
        <w:rPr>
          <w:rFonts w:ascii="Cambria" w:hAnsi="Cambria"/>
          <w:sz w:val="20"/>
          <w:szCs w:val="20"/>
        </w:rPr>
        <w:t xml:space="preserve"> absence of a disciplinary cause </w:t>
      </w:r>
      <w:r w:rsidR="00127DFB" w:rsidRPr="00753C6D">
        <w:rPr>
          <w:rFonts w:ascii="Cambria" w:hAnsi="Cambria"/>
          <w:sz w:val="20"/>
          <w:szCs w:val="20"/>
        </w:rPr>
        <w:t>justifying her</w:t>
      </w:r>
      <w:r w:rsidRPr="00753C6D">
        <w:rPr>
          <w:rFonts w:ascii="Cambria" w:hAnsi="Cambria"/>
          <w:sz w:val="20"/>
          <w:szCs w:val="20"/>
        </w:rPr>
        <w:t xml:space="preserve"> dismissal was demonstrated in the last ordinary </w:t>
      </w:r>
      <w:r w:rsidR="00127DFB" w:rsidRPr="00753C6D">
        <w:rPr>
          <w:rFonts w:ascii="Cambria" w:hAnsi="Cambria"/>
          <w:sz w:val="20"/>
          <w:szCs w:val="20"/>
        </w:rPr>
        <w:t>assessment</w:t>
      </w:r>
      <w:r w:rsidRPr="00753C6D">
        <w:rPr>
          <w:rFonts w:ascii="Cambria" w:hAnsi="Cambria"/>
          <w:sz w:val="20"/>
          <w:szCs w:val="20"/>
        </w:rPr>
        <w:t xml:space="preserve"> </w:t>
      </w:r>
      <w:r w:rsidR="00754222">
        <w:rPr>
          <w:rFonts w:ascii="Cambria" w:hAnsi="Cambria"/>
          <w:sz w:val="20"/>
          <w:szCs w:val="20"/>
        </w:rPr>
        <w:t>made to</w:t>
      </w:r>
      <w:r w:rsidR="00127DFB" w:rsidRPr="00753C6D">
        <w:rPr>
          <w:rFonts w:ascii="Cambria" w:hAnsi="Cambria"/>
          <w:sz w:val="20"/>
          <w:szCs w:val="20"/>
        </w:rPr>
        <w:t xml:space="preserve"> her</w:t>
      </w:r>
      <w:r w:rsidRPr="00753C6D">
        <w:rPr>
          <w:rFonts w:ascii="Cambria" w:hAnsi="Cambria"/>
          <w:sz w:val="20"/>
          <w:szCs w:val="20"/>
        </w:rPr>
        <w:t xml:space="preserve"> (February 28, 2005). </w:t>
      </w:r>
      <w:r w:rsidR="00127DFB" w:rsidRPr="00753C6D">
        <w:rPr>
          <w:rFonts w:ascii="Cambria" w:hAnsi="Cambria"/>
          <w:sz w:val="20"/>
          <w:szCs w:val="20"/>
        </w:rPr>
        <w:t>She argues</w:t>
      </w:r>
      <w:r w:rsidRPr="00753C6D">
        <w:rPr>
          <w:rFonts w:ascii="Cambria" w:hAnsi="Cambria"/>
          <w:sz w:val="20"/>
          <w:szCs w:val="20"/>
        </w:rPr>
        <w:t xml:space="preserve"> that, although at one point </w:t>
      </w:r>
      <w:r w:rsidR="00127DFB" w:rsidRPr="00753C6D">
        <w:rPr>
          <w:rFonts w:ascii="Cambria" w:hAnsi="Cambria"/>
          <w:sz w:val="20"/>
          <w:szCs w:val="20"/>
        </w:rPr>
        <w:t>she</w:t>
      </w:r>
      <w:r w:rsidRPr="00753C6D">
        <w:rPr>
          <w:rFonts w:ascii="Cambria" w:hAnsi="Cambria"/>
          <w:sz w:val="20"/>
          <w:szCs w:val="20"/>
        </w:rPr>
        <w:t xml:space="preserve"> was reported to the General </w:t>
      </w:r>
      <w:r w:rsidR="00127DFB" w:rsidRPr="00753C6D">
        <w:rPr>
          <w:rFonts w:ascii="Cambria" w:hAnsi="Cambria"/>
          <w:sz w:val="20"/>
          <w:szCs w:val="20"/>
        </w:rPr>
        <w:t xml:space="preserve">Court </w:t>
      </w:r>
      <w:r w:rsidRPr="00753C6D">
        <w:rPr>
          <w:rFonts w:ascii="Cambria" w:hAnsi="Cambria"/>
          <w:sz w:val="20"/>
          <w:szCs w:val="20"/>
        </w:rPr>
        <w:t>Inspectorate for</w:t>
      </w:r>
      <w:r w:rsidR="00754222">
        <w:rPr>
          <w:rFonts w:ascii="Cambria" w:hAnsi="Cambria"/>
          <w:sz w:val="20"/>
          <w:szCs w:val="20"/>
        </w:rPr>
        <w:t xml:space="preserve"> an</w:t>
      </w:r>
      <w:r w:rsidRPr="00753C6D">
        <w:rPr>
          <w:rFonts w:ascii="Cambria" w:hAnsi="Cambria"/>
          <w:sz w:val="20"/>
          <w:szCs w:val="20"/>
        </w:rPr>
        <w:t xml:space="preserve"> alleged irregularity, </w:t>
      </w:r>
      <w:r w:rsidR="00127DFB" w:rsidRPr="00753C6D">
        <w:rPr>
          <w:rFonts w:ascii="Cambria" w:hAnsi="Cambria"/>
          <w:sz w:val="20"/>
          <w:szCs w:val="20"/>
        </w:rPr>
        <w:t>she</w:t>
      </w:r>
      <w:r w:rsidRPr="00753C6D">
        <w:rPr>
          <w:rFonts w:ascii="Cambria" w:hAnsi="Cambria"/>
          <w:sz w:val="20"/>
          <w:szCs w:val="20"/>
        </w:rPr>
        <w:t xml:space="preserve"> was acquitted by the Judicial Commission on the Functioning and Restructuring of the Judicial System on November 9, 2004. </w:t>
      </w:r>
      <w:r w:rsidR="00127DFB" w:rsidRPr="00753C6D">
        <w:rPr>
          <w:rFonts w:ascii="Cambria" w:hAnsi="Cambria"/>
          <w:sz w:val="20"/>
          <w:szCs w:val="20"/>
        </w:rPr>
        <w:t>She emphasizes that the same individual</w:t>
      </w:r>
      <w:r w:rsidRPr="00753C6D">
        <w:rPr>
          <w:rFonts w:ascii="Cambria" w:hAnsi="Cambria"/>
          <w:sz w:val="20"/>
          <w:szCs w:val="20"/>
        </w:rPr>
        <w:t xml:space="preserve"> who filed this complaint </w:t>
      </w:r>
      <w:r w:rsidR="00127DFB" w:rsidRPr="00753C6D">
        <w:rPr>
          <w:rFonts w:ascii="Cambria" w:hAnsi="Cambria"/>
          <w:sz w:val="20"/>
          <w:szCs w:val="20"/>
        </w:rPr>
        <w:t xml:space="preserve">against her </w:t>
      </w:r>
      <w:r w:rsidR="00AC342A" w:rsidRPr="00753C6D">
        <w:rPr>
          <w:rFonts w:ascii="Cambria" w:hAnsi="Cambria"/>
          <w:sz w:val="20"/>
          <w:szCs w:val="20"/>
        </w:rPr>
        <w:t>later</w:t>
      </w:r>
      <w:r w:rsidR="00127DFB" w:rsidRPr="00753C6D">
        <w:rPr>
          <w:rFonts w:ascii="Cambria" w:hAnsi="Cambria"/>
          <w:sz w:val="20"/>
          <w:szCs w:val="20"/>
        </w:rPr>
        <w:t xml:space="preserve"> acted as president of the Judicial Commission </w:t>
      </w:r>
      <w:r w:rsidR="00AC342A" w:rsidRPr="00753C6D">
        <w:rPr>
          <w:rFonts w:ascii="Cambria" w:hAnsi="Cambria"/>
          <w:sz w:val="20"/>
          <w:szCs w:val="20"/>
        </w:rPr>
        <w:t>and</w:t>
      </w:r>
      <w:r w:rsidR="00127DFB" w:rsidRPr="00753C6D">
        <w:rPr>
          <w:rFonts w:ascii="Cambria" w:hAnsi="Cambria"/>
          <w:sz w:val="20"/>
          <w:szCs w:val="20"/>
        </w:rPr>
        <w:t xml:space="preserve"> signed the order terminating her appointment.</w:t>
      </w:r>
      <w:r w:rsidRPr="00753C6D">
        <w:rPr>
          <w:rFonts w:ascii="Cambria" w:hAnsi="Cambria"/>
          <w:sz w:val="20"/>
          <w:szCs w:val="20"/>
        </w:rPr>
        <w:t xml:space="preserve"> </w:t>
      </w:r>
      <w:r w:rsidR="00127DFB" w:rsidRPr="00753C6D">
        <w:rPr>
          <w:rFonts w:ascii="Cambria" w:hAnsi="Cambria"/>
          <w:sz w:val="20"/>
          <w:szCs w:val="20"/>
        </w:rPr>
        <w:t>She</w:t>
      </w:r>
      <w:r w:rsidRPr="00753C6D">
        <w:rPr>
          <w:rFonts w:ascii="Cambria" w:hAnsi="Cambria"/>
          <w:sz w:val="20"/>
          <w:szCs w:val="20"/>
        </w:rPr>
        <w:t xml:space="preserve"> alleges that this </w:t>
      </w:r>
      <w:r w:rsidR="00127DFB" w:rsidRPr="00753C6D">
        <w:rPr>
          <w:rFonts w:ascii="Cambria" w:hAnsi="Cambria"/>
          <w:sz w:val="20"/>
          <w:szCs w:val="20"/>
        </w:rPr>
        <w:t>represents</w:t>
      </w:r>
      <w:r w:rsidRPr="00753C6D">
        <w:rPr>
          <w:rFonts w:ascii="Cambria" w:hAnsi="Cambria"/>
          <w:sz w:val="20"/>
          <w:szCs w:val="20"/>
        </w:rPr>
        <w:t xml:space="preserve"> a clear violation of the principle of impartiality and the applic</w:t>
      </w:r>
      <w:r w:rsidR="00127DFB" w:rsidRPr="00753C6D">
        <w:rPr>
          <w:rFonts w:ascii="Cambria" w:hAnsi="Cambria"/>
          <w:sz w:val="20"/>
          <w:szCs w:val="20"/>
        </w:rPr>
        <w:t>able rules regarding disqualifications and recusals.</w:t>
      </w:r>
    </w:p>
    <w:p w14:paraId="3A9DE885" w14:textId="380950E7" w:rsidR="005C25C2" w:rsidRPr="00753C6D" w:rsidRDefault="00A50F1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lastRenderedPageBreak/>
        <w:t xml:space="preserve">The alleged victim argues that, although she had the status of provisional judge, her appointment </w:t>
      </w:r>
      <w:r w:rsidR="004C411F" w:rsidRPr="00753C6D">
        <w:rPr>
          <w:rFonts w:ascii="Cambria" w:hAnsi="Cambria"/>
          <w:sz w:val="20"/>
          <w:szCs w:val="20"/>
        </w:rPr>
        <w:t>lasted</w:t>
      </w:r>
      <w:r w:rsidRPr="00753C6D">
        <w:rPr>
          <w:rFonts w:ascii="Cambria" w:hAnsi="Cambria"/>
          <w:sz w:val="20"/>
          <w:szCs w:val="20"/>
        </w:rPr>
        <w:t xml:space="preserve"> until</w:t>
      </w:r>
      <w:r w:rsidR="00901EDD">
        <w:rPr>
          <w:rFonts w:ascii="Cambria" w:hAnsi="Cambria"/>
          <w:sz w:val="20"/>
          <w:szCs w:val="20"/>
        </w:rPr>
        <w:t xml:space="preserve"> the</w:t>
      </w:r>
      <w:r w:rsidRPr="00753C6D">
        <w:rPr>
          <w:rFonts w:ascii="Cambria" w:hAnsi="Cambria"/>
          <w:sz w:val="20"/>
          <w:szCs w:val="20"/>
        </w:rPr>
        <w:t xml:space="preserve"> </w:t>
      </w:r>
      <w:r w:rsidR="004C411F" w:rsidRPr="00753C6D">
        <w:rPr>
          <w:rFonts w:ascii="Cambria" w:hAnsi="Cambria"/>
          <w:sz w:val="20"/>
          <w:szCs w:val="20"/>
        </w:rPr>
        <w:t>recruitment contests</w:t>
      </w:r>
      <w:r w:rsidRPr="00753C6D">
        <w:rPr>
          <w:rFonts w:ascii="Cambria" w:hAnsi="Cambria"/>
          <w:sz w:val="20"/>
          <w:szCs w:val="20"/>
        </w:rPr>
        <w:t xml:space="preserve"> took place, </w:t>
      </w:r>
      <w:r w:rsidR="004C411F" w:rsidRPr="00753C6D">
        <w:rPr>
          <w:rFonts w:ascii="Cambria" w:hAnsi="Cambria"/>
          <w:sz w:val="20"/>
          <w:szCs w:val="20"/>
        </w:rPr>
        <w:t xml:space="preserve">and therefore she </w:t>
      </w:r>
      <w:r w:rsidRPr="00753C6D">
        <w:rPr>
          <w:rFonts w:ascii="Cambria" w:hAnsi="Cambria"/>
          <w:sz w:val="20"/>
          <w:szCs w:val="20"/>
        </w:rPr>
        <w:t xml:space="preserve">could only be removed if a judge was appointed through </w:t>
      </w:r>
      <w:r w:rsidR="004C411F" w:rsidRPr="00753C6D">
        <w:rPr>
          <w:rFonts w:ascii="Cambria" w:hAnsi="Cambria"/>
          <w:sz w:val="20"/>
          <w:szCs w:val="20"/>
        </w:rPr>
        <w:t>open competition</w:t>
      </w:r>
      <w:r w:rsidRPr="00753C6D">
        <w:rPr>
          <w:rFonts w:ascii="Cambria" w:hAnsi="Cambria"/>
          <w:sz w:val="20"/>
          <w:szCs w:val="20"/>
        </w:rPr>
        <w:t xml:space="preserve"> or if she did not </w:t>
      </w:r>
      <w:r w:rsidR="004C411F" w:rsidRPr="00753C6D">
        <w:rPr>
          <w:rFonts w:ascii="Cambria" w:hAnsi="Cambria"/>
          <w:sz w:val="20"/>
          <w:szCs w:val="20"/>
        </w:rPr>
        <w:t>pass the competition.</w:t>
      </w:r>
      <w:r w:rsidRPr="00753C6D">
        <w:rPr>
          <w:rFonts w:ascii="Cambria" w:hAnsi="Cambria"/>
          <w:sz w:val="20"/>
          <w:szCs w:val="20"/>
        </w:rPr>
        <w:t xml:space="preserve"> She indicates that her removal </w:t>
      </w:r>
      <w:r w:rsidR="004C411F" w:rsidRPr="00753C6D">
        <w:rPr>
          <w:rFonts w:ascii="Cambria" w:hAnsi="Cambria"/>
          <w:sz w:val="20"/>
          <w:szCs w:val="20"/>
        </w:rPr>
        <w:t>took place during the recruitment</w:t>
      </w:r>
      <w:r w:rsidRPr="00753C6D">
        <w:rPr>
          <w:rFonts w:ascii="Cambria" w:hAnsi="Cambria"/>
          <w:sz w:val="20"/>
          <w:szCs w:val="20"/>
        </w:rPr>
        <w:t xml:space="preserve"> process and after she had already passed the first phase. </w:t>
      </w:r>
      <w:r w:rsidR="00E378F9" w:rsidRPr="00753C6D">
        <w:rPr>
          <w:rFonts w:ascii="Cambria" w:hAnsi="Cambria"/>
          <w:sz w:val="20"/>
          <w:szCs w:val="20"/>
        </w:rPr>
        <w:t>She</w:t>
      </w:r>
      <w:r w:rsidRPr="00753C6D">
        <w:rPr>
          <w:rFonts w:ascii="Cambria" w:hAnsi="Cambria"/>
          <w:sz w:val="20"/>
          <w:szCs w:val="20"/>
        </w:rPr>
        <w:t xml:space="preserve"> alleges </w:t>
      </w:r>
      <w:r w:rsidR="00E378F9" w:rsidRPr="00753C6D">
        <w:rPr>
          <w:rFonts w:ascii="Cambria" w:hAnsi="Cambria"/>
          <w:sz w:val="20"/>
          <w:szCs w:val="20"/>
        </w:rPr>
        <w:t>she</w:t>
      </w:r>
      <w:r w:rsidRPr="00753C6D">
        <w:rPr>
          <w:rFonts w:ascii="Cambria" w:hAnsi="Cambria"/>
          <w:sz w:val="20"/>
          <w:szCs w:val="20"/>
        </w:rPr>
        <w:t xml:space="preserve"> was prevented from participating in the last phase of the contest</w:t>
      </w:r>
      <w:r w:rsidR="00E378F9" w:rsidRPr="00753C6D">
        <w:rPr>
          <w:rFonts w:ascii="Cambria" w:hAnsi="Cambria"/>
          <w:sz w:val="20"/>
          <w:szCs w:val="20"/>
        </w:rPr>
        <w:t xml:space="preserve"> due to her removal, and therefore suffer</w:t>
      </w:r>
      <w:r w:rsidR="00AC342A" w:rsidRPr="00753C6D">
        <w:rPr>
          <w:rFonts w:ascii="Cambria" w:hAnsi="Cambria"/>
          <w:sz w:val="20"/>
          <w:szCs w:val="20"/>
        </w:rPr>
        <w:t>ed</w:t>
      </w:r>
      <w:r w:rsidR="00E378F9" w:rsidRPr="00753C6D">
        <w:rPr>
          <w:rFonts w:ascii="Cambria" w:hAnsi="Cambria"/>
          <w:sz w:val="20"/>
          <w:szCs w:val="20"/>
        </w:rPr>
        <w:t xml:space="preserve"> discrimination vis a vis </w:t>
      </w:r>
      <w:r w:rsidRPr="00753C6D">
        <w:rPr>
          <w:rFonts w:ascii="Cambria" w:hAnsi="Cambria"/>
          <w:sz w:val="20"/>
          <w:szCs w:val="20"/>
        </w:rPr>
        <w:t xml:space="preserve">the other provisional judges who were </w:t>
      </w:r>
      <w:r w:rsidR="00E378F9" w:rsidRPr="00753C6D">
        <w:rPr>
          <w:rFonts w:ascii="Cambria" w:hAnsi="Cambria"/>
          <w:sz w:val="20"/>
          <w:szCs w:val="20"/>
        </w:rPr>
        <w:t>permitted</w:t>
      </w:r>
      <w:r w:rsidRPr="00753C6D">
        <w:rPr>
          <w:rFonts w:ascii="Cambria" w:hAnsi="Cambria"/>
          <w:sz w:val="20"/>
          <w:szCs w:val="20"/>
        </w:rPr>
        <w:t xml:space="preserve"> to participa</w:t>
      </w:r>
      <w:r w:rsidR="00E378F9" w:rsidRPr="00753C6D">
        <w:rPr>
          <w:rFonts w:ascii="Cambria" w:hAnsi="Cambria"/>
          <w:sz w:val="20"/>
          <w:szCs w:val="20"/>
        </w:rPr>
        <w:t>te and compete for the po</w:t>
      </w:r>
      <w:r w:rsidR="00D24139" w:rsidRPr="00753C6D">
        <w:rPr>
          <w:rFonts w:ascii="Cambria" w:hAnsi="Cambria"/>
          <w:sz w:val="20"/>
          <w:szCs w:val="20"/>
        </w:rPr>
        <w:t>sition</w:t>
      </w:r>
      <w:r w:rsidRPr="00753C6D">
        <w:rPr>
          <w:rFonts w:ascii="Cambria" w:hAnsi="Cambria"/>
          <w:sz w:val="20"/>
          <w:szCs w:val="20"/>
        </w:rPr>
        <w:t xml:space="preserve">. </w:t>
      </w:r>
      <w:r w:rsidR="00D24139" w:rsidRPr="00753C6D">
        <w:rPr>
          <w:rFonts w:ascii="Cambria" w:hAnsi="Cambria"/>
          <w:sz w:val="20"/>
          <w:szCs w:val="20"/>
        </w:rPr>
        <w:t>She</w:t>
      </w:r>
      <w:r w:rsidRPr="00753C6D">
        <w:rPr>
          <w:rFonts w:ascii="Cambria" w:hAnsi="Cambria"/>
          <w:sz w:val="20"/>
          <w:szCs w:val="20"/>
        </w:rPr>
        <w:t xml:space="preserve"> argues that there </w:t>
      </w:r>
      <w:r w:rsidR="00D24139" w:rsidRPr="00753C6D">
        <w:rPr>
          <w:rFonts w:ascii="Cambria" w:hAnsi="Cambria"/>
          <w:sz w:val="20"/>
          <w:szCs w:val="20"/>
        </w:rPr>
        <w:t>is a lack of</w:t>
      </w:r>
      <w:r w:rsidRPr="00753C6D">
        <w:rPr>
          <w:rFonts w:ascii="Cambria" w:hAnsi="Cambria"/>
          <w:sz w:val="20"/>
          <w:szCs w:val="20"/>
        </w:rPr>
        <w:t xml:space="preserve"> effective remedies against the arbitrary removal of temporary judges</w:t>
      </w:r>
      <w:r w:rsidR="00D24139" w:rsidRPr="00753C6D">
        <w:rPr>
          <w:rFonts w:ascii="Cambria" w:hAnsi="Cambria"/>
          <w:sz w:val="20"/>
          <w:szCs w:val="20"/>
        </w:rPr>
        <w:t xml:space="preserve"> in Venezuela</w:t>
      </w:r>
      <w:r w:rsidRPr="00753C6D">
        <w:rPr>
          <w:rFonts w:ascii="Cambria" w:hAnsi="Cambria"/>
          <w:sz w:val="20"/>
          <w:szCs w:val="20"/>
        </w:rPr>
        <w:t xml:space="preserve">, since the courts </w:t>
      </w:r>
      <w:r w:rsidR="00D24139" w:rsidRPr="00753C6D">
        <w:rPr>
          <w:rFonts w:ascii="Cambria" w:hAnsi="Cambria"/>
          <w:sz w:val="20"/>
          <w:szCs w:val="20"/>
        </w:rPr>
        <w:t>merely</w:t>
      </w:r>
      <w:r w:rsidRPr="00753C6D">
        <w:rPr>
          <w:rFonts w:ascii="Cambria" w:hAnsi="Cambria"/>
          <w:sz w:val="20"/>
          <w:szCs w:val="20"/>
        </w:rPr>
        <w:t xml:space="preserve"> confirm the discretionary </w:t>
      </w:r>
      <w:r w:rsidR="00D24139" w:rsidRPr="00753C6D">
        <w:rPr>
          <w:rFonts w:ascii="Cambria" w:hAnsi="Cambria"/>
          <w:sz w:val="20"/>
          <w:szCs w:val="20"/>
        </w:rPr>
        <w:t>power of the Judicial Council</w:t>
      </w:r>
      <w:r w:rsidRPr="00753C6D">
        <w:rPr>
          <w:rFonts w:ascii="Cambria" w:hAnsi="Cambria"/>
          <w:sz w:val="20"/>
          <w:szCs w:val="20"/>
        </w:rPr>
        <w:t xml:space="preserve"> to remove them.</w:t>
      </w:r>
      <w:r w:rsidR="00EB57CB" w:rsidRPr="00753C6D">
        <w:rPr>
          <w:rStyle w:val="FootnoteReference"/>
          <w:rFonts w:asciiTheme="majorHAnsi" w:hAnsiTheme="majorHAnsi"/>
          <w:sz w:val="20"/>
          <w:szCs w:val="20"/>
        </w:rPr>
        <w:footnoteReference w:id="5"/>
      </w:r>
      <w:r w:rsidRPr="00753C6D">
        <w:rPr>
          <w:rFonts w:ascii="Cambria" w:hAnsi="Cambria"/>
          <w:sz w:val="20"/>
          <w:szCs w:val="20"/>
        </w:rPr>
        <w:t xml:space="preserve"> </w:t>
      </w:r>
      <w:r w:rsidR="00D24139" w:rsidRPr="00753C6D">
        <w:rPr>
          <w:rFonts w:ascii="Cambria" w:hAnsi="Cambria"/>
          <w:sz w:val="20"/>
          <w:szCs w:val="20"/>
        </w:rPr>
        <w:t>She</w:t>
      </w:r>
      <w:r w:rsidRPr="00753C6D">
        <w:rPr>
          <w:rFonts w:ascii="Cambria" w:hAnsi="Cambria"/>
          <w:sz w:val="20"/>
          <w:szCs w:val="20"/>
        </w:rPr>
        <w:t xml:space="preserve"> adds that temporary appointments of judges that are not </w:t>
      </w:r>
      <w:r w:rsidR="0052248D" w:rsidRPr="00753C6D">
        <w:rPr>
          <w:rFonts w:ascii="Cambria" w:hAnsi="Cambria"/>
          <w:sz w:val="20"/>
          <w:szCs w:val="20"/>
        </w:rPr>
        <w:t>subject to specific</w:t>
      </w:r>
      <w:r w:rsidRPr="00753C6D">
        <w:rPr>
          <w:rFonts w:ascii="Cambria" w:hAnsi="Cambria"/>
          <w:sz w:val="20"/>
          <w:szCs w:val="20"/>
        </w:rPr>
        <w:t xml:space="preserve"> conditions </w:t>
      </w:r>
      <w:r w:rsidR="0052248D" w:rsidRPr="00753C6D">
        <w:rPr>
          <w:rFonts w:ascii="Cambria" w:hAnsi="Cambria"/>
          <w:sz w:val="20"/>
          <w:szCs w:val="20"/>
        </w:rPr>
        <w:t xml:space="preserve">or fixed terms </w:t>
      </w:r>
      <w:r w:rsidRPr="00753C6D">
        <w:rPr>
          <w:rFonts w:ascii="Cambria" w:hAnsi="Cambria"/>
          <w:sz w:val="20"/>
          <w:szCs w:val="20"/>
        </w:rPr>
        <w:t>are incompatible with international standards on the independence of the judiciary.</w:t>
      </w:r>
    </w:p>
    <w:p w14:paraId="040BB5EF" w14:textId="150AAB83" w:rsidR="005C25C2" w:rsidRPr="00753C6D" w:rsidRDefault="00A50F1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The State did not object to the </w:t>
      </w:r>
      <w:r w:rsidR="00AC74E2" w:rsidRPr="00753C6D">
        <w:rPr>
          <w:rFonts w:ascii="Cambria" w:hAnsi="Cambria"/>
          <w:sz w:val="20"/>
          <w:szCs w:val="20"/>
        </w:rPr>
        <w:t>facts alleged</w:t>
      </w:r>
      <w:r w:rsidRPr="00753C6D">
        <w:rPr>
          <w:rFonts w:ascii="Cambria" w:hAnsi="Cambria"/>
          <w:sz w:val="20"/>
          <w:szCs w:val="20"/>
        </w:rPr>
        <w:t>.</w:t>
      </w:r>
    </w:p>
    <w:p w14:paraId="55505107" w14:textId="28153572" w:rsidR="00F621C3" w:rsidRPr="00753C6D" w:rsidRDefault="00F621C3" w:rsidP="00F621C3">
      <w:pPr>
        <w:spacing w:before="240" w:after="240"/>
        <w:ind w:firstLine="720"/>
        <w:jc w:val="both"/>
        <w:rPr>
          <w:rFonts w:ascii="Cambria" w:hAnsi="Cambria"/>
          <w:sz w:val="20"/>
          <w:szCs w:val="20"/>
        </w:rPr>
      </w:pPr>
      <w:r w:rsidRPr="00753C6D">
        <w:rPr>
          <w:rFonts w:asciiTheme="majorHAnsi" w:eastAsia="Cambria" w:hAnsiTheme="majorHAnsi" w:cs="Cambria"/>
          <w:b/>
          <w:bCs/>
          <w:color w:val="000000"/>
          <w:sz w:val="20"/>
          <w:szCs w:val="20"/>
          <w:u w:color="000000"/>
          <w:lang w:eastAsia="es-ES"/>
        </w:rPr>
        <w:t>VI.</w:t>
      </w:r>
      <w:r w:rsidRPr="00753C6D">
        <w:rPr>
          <w:rFonts w:asciiTheme="majorHAnsi" w:eastAsia="Cambria" w:hAnsiTheme="majorHAnsi" w:cs="Cambria"/>
          <w:b/>
          <w:bCs/>
          <w:color w:val="000000"/>
          <w:sz w:val="20"/>
          <w:szCs w:val="20"/>
          <w:u w:color="000000"/>
          <w:lang w:eastAsia="es-ES"/>
        </w:rPr>
        <w:tab/>
      </w:r>
      <w:r w:rsidR="001F1902" w:rsidRPr="00753C6D">
        <w:rPr>
          <w:rFonts w:asciiTheme="majorHAnsi" w:hAnsiTheme="majorHAnsi"/>
          <w:b/>
          <w:bCs/>
          <w:sz w:val="20"/>
          <w:szCs w:val="20"/>
        </w:rPr>
        <w:t xml:space="preserve">ANALYSIS OF </w:t>
      </w:r>
      <w:r w:rsidRPr="00753C6D">
        <w:rPr>
          <w:rFonts w:asciiTheme="majorHAnsi" w:hAnsiTheme="majorHAnsi"/>
          <w:b/>
          <w:sz w:val="20"/>
          <w:szCs w:val="20"/>
        </w:rPr>
        <w:t>EXHAUSTION OF DOMESTIC REMEDIES AND TIMELINESS OF THE PETITION</w:t>
      </w:r>
      <w:r w:rsidRPr="00753C6D">
        <w:rPr>
          <w:rFonts w:asciiTheme="majorHAnsi" w:eastAsia="Cambria" w:hAnsiTheme="majorHAnsi" w:cs="Cambria"/>
          <w:b/>
          <w:bCs/>
          <w:color w:val="000000"/>
          <w:sz w:val="20"/>
          <w:szCs w:val="20"/>
          <w:u w:color="000000"/>
          <w:lang w:eastAsia="es-ES"/>
        </w:rPr>
        <w:t xml:space="preserve"> </w:t>
      </w:r>
    </w:p>
    <w:p w14:paraId="05415C74" w14:textId="762C66DA" w:rsidR="00F621C3" w:rsidRPr="00753C6D" w:rsidRDefault="00A50F1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The alleged victim indicates that </w:t>
      </w:r>
      <w:r w:rsidR="00AC74E2" w:rsidRPr="00753C6D">
        <w:rPr>
          <w:rFonts w:ascii="Cambria" w:hAnsi="Cambria"/>
          <w:sz w:val="20"/>
          <w:szCs w:val="20"/>
        </w:rPr>
        <w:t>she filed</w:t>
      </w:r>
      <w:r w:rsidRPr="00753C6D">
        <w:rPr>
          <w:rFonts w:ascii="Cambria" w:hAnsi="Cambria"/>
          <w:sz w:val="20"/>
          <w:szCs w:val="20"/>
        </w:rPr>
        <w:t xml:space="preserve"> an appeal for reconsideration of the decision on July 19, 2005, which was dismissed on November 22, 2005 by the Judicial Commission of the Supreme Court of Justice.</w:t>
      </w:r>
      <w:r w:rsidR="00EB57CB" w:rsidRPr="00753C6D">
        <w:rPr>
          <w:rStyle w:val="FootnoteReference"/>
          <w:rFonts w:ascii="Cambria" w:hAnsi="Cambria"/>
          <w:sz w:val="20"/>
          <w:szCs w:val="20"/>
        </w:rPr>
        <w:footnoteReference w:id="6"/>
      </w:r>
      <w:r w:rsidRPr="00753C6D">
        <w:rPr>
          <w:rFonts w:ascii="Cambria" w:hAnsi="Cambria"/>
          <w:sz w:val="20"/>
          <w:szCs w:val="20"/>
        </w:rPr>
        <w:t xml:space="preserve"> Likewise, on August 5, 2005, </w:t>
      </w:r>
      <w:r w:rsidR="00AC74E2" w:rsidRPr="00753C6D">
        <w:rPr>
          <w:rFonts w:ascii="Cambria" w:hAnsi="Cambria"/>
          <w:sz w:val="20"/>
          <w:szCs w:val="20"/>
        </w:rPr>
        <w:t>s</w:t>
      </w:r>
      <w:r w:rsidRPr="00753C6D">
        <w:rPr>
          <w:rFonts w:ascii="Cambria" w:hAnsi="Cambria"/>
          <w:sz w:val="20"/>
          <w:szCs w:val="20"/>
        </w:rPr>
        <w:t xml:space="preserve">he filed </w:t>
      </w:r>
      <w:r w:rsidR="00AC74E2" w:rsidRPr="00753C6D">
        <w:rPr>
          <w:rFonts w:ascii="Cambria" w:hAnsi="Cambria"/>
          <w:sz w:val="20"/>
          <w:szCs w:val="20"/>
        </w:rPr>
        <w:t xml:space="preserve">an </w:t>
      </w:r>
      <w:r w:rsidRPr="00753C6D">
        <w:rPr>
          <w:rFonts w:ascii="Cambria" w:hAnsi="Cambria"/>
          <w:i/>
          <w:sz w:val="20"/>
          <w:szCs w:val="20"/>
        </w:rPr>
        <w:t>amparo</w:t>
      </w:r>
      <w:r w:rsidRPr="00753C6D">
        <w:rPr>
          <w:rFonts w:ascii="Cambria" w:hAnsi="Cambria"/>
          <w:sz w:val="20"/>
          <w:szCs w:val="20"/>
        </w:rPr>
        <w:t xml:space="preserve"> </w:t>
      </w:r>
      <w:r w:rsidR="00AC74E2" w:rsidRPr="00753C6D">
        <w:rPr>
          <w:rFonts w:ascii="Cambria" w:hAnsi="Cambria"/>
          <w:sz w:val="20"/>
          <w:szCs w:val="20"/>
        </w:rPr>
        <w:t xml:space="preserve">appeal </w:t>
      </w:r>
      <w:r w:rsidRPr="00753C6D">
        <w:rPr>
          <w:rFonts w:ascii="Cambria" w:hAnsi="Cambria"/>
          <w:sz w:val="20"/>
          <w:szCs w:val="20"/>
        </w:rPr>
        <w:t>that was declared inadmissible by the Constitutional Chamber of the Supreme Court of Justice on December 15, 2005.</w:t>
      </w:r>
      <w:r w:rsidR="00EB57CB" w:rsidRPr="00753C6D">
        <w:rPr>
          <w:rStyle w:val="FootnoteReference"/>
          <w:rFonts w:ascii="Cambria" w:hAnsi="Cambria"/>
          <w:sz w:val="20"/>
          <w:szCs w:val="20"/>
        </w:rPr>
        <w:t xml:space="preserve"> </w:t>
      </w:r>
      <w:r w:rsidR="00EB57CB" w:rsidRPr="00753C6D">
        <w:rPr>
          <w:rStyle w:val="FootnoteReference"/>
          <w:rFonts w:ascii="Cambria" w:hAnsi="Cambria"/>
          <w:sz w:val="20"/>
          <w:szCs w:val="20"/>
        </w:rPr>
        <w:footnoteReference w:id="7"/>
      </w:r>
      <w:r w:rsidRPr="00753C6D">
        <w:rPr>
          <w:rFonts w:ascii="Cambria" w:hAnsi="Cambria"/>
          <w:sz w:val="20"/>
          <w:szCs w:val="20"/>
        </w:rPr>
        <w:t xml:space="preserve"> Subsequently, on July 13, 2006, </w:t>
      </w:r>
      <w:r w:rsidR="00AC74E2" w:rsidRPr="00753C6D">
        <w:rPr>
          <w:rFonts w:ascii="Cambria" w:hAnsi="Cambria"/>
          <w:sz w:val="20"/>
          <w:szCs w:val="20"/>
        </w:rPr>
        <w:t>s</w:t>
      </w:r>
      <w:r w:rsidRPr="00753C6D">
        <w:rPr>
          <w:rFonts w:ascii="Cambria" w:hAnsi="Cambria"/>
          <w:sz w:val="20"/>
          <w:szCs w:val="20"/>
        </w:rPr>
        <w:t xml:space="preserve">he filed an appeal for annulment </w:t>
      </w:r>
      <w:r w:rsidR="00AC74E2" w:rsidRPr="00753C6D">
        <w:rPr>
          <w:rFonts w:ascii="Cambria" w:hAnsi="Cambria"/>
          <w:sz w:val="20"/>
          <w:szCs w:val="20"/>
        </w:rPr>
        <w:t>with</w:t>
      </w:r>
      <w:r w:rsidRPr="00753C6D">
        <w:rPr>
          <w:rFonts w:ascii="Cambria" w:hAnsi="Cambria"/>
          <w:sz w:val="20"/>
          <w:szCs w:val="20"/>
        </w:rPr>
        <w:t xml:space="preserve"> the Administrative Political Chamber of the Supreme Court of Justice, which rejected it on November 24, 2009.</w:t>
      </w:r>
      <w:r w:rsidR="00EB57CB" w:rsidRPr="00753C6D">
        <w:rPr>
          <w:rStyle w:val="FootnoteReference"/>
          <w:rFonts w:ascii="Cambria" w:hAnsi="Cambria"/>
          <w:sz w:val="20"/>
          <w:szCs w:val="20"/>
        </w:rPr>
        <w:footnoteReference w:id="8"/>
      </w:r>
      <w:r w:rsidRPr="00753C6D">
        <w:rPr>
          <w:rFonts w:ascii="Cambria" w:hAnsi="Cambria"/>
          <w:sz w:val="20"/>
          <w:szCs w:val="20"/>
        </w:rPr>
        <w:t xml:space="preserve"> The petitioner alleges that this decision exhausted</w:t>
      </w:r>
      <w:r w:rsidR="00AC74E2" w:rsidRPr="00753C6D">
        <w:rPr>
          <w:rFonts w:ascii="Cambria" w:hAnsi="Cambria"/>
          <w:sz w:val="20"/>
          <w:szCs w:val="20"/>
        </w:rPr>
        <w:t xml:space="preserve"> domestic judicial proceedings, </w:t>
      </w:r>
      <w:r w:rsidRPr="00753C6D">
        <w:rPr>
          <w:rFonts w:ascii="Cambria" w:hAnsi="Cambria"/>
          <w:sz w:val="20"/>
          <w:szCs w:val="20"/>
        </w:rPr>
        <w:t xml:space="preserve">while the State has not presented objections </w:t>
      </w:r>
      <w:r w:rsidR="00AC74E2" w:rsidRPr="00753C6D">
        <w:rPr>
          <w:rFonts w:ascii="Cambria" w:hAnsi="Cambria"/>
          <w:sz w:val="20"/>
          <w:szCs w:val="20"/>
        </w:rPr>
        <w:t>in this regard, n</w:t>
      </w:r>
      <w:r w:rsidRPr="00753C6D">
        <w:rPr>
          <w:rFonts w:ascii="Cambria" w:hAnsi="Cambria"/>
          <w:sz w:val="20"/>
          <w:szCs w:val="20"/>
        </w:rPr>
        <w:t xml:space="preserve">or </w:t>
      </w:r>
      <w:r w:rsidR="00AC74E2" w:rsidRPr="00753C6D">
        <w:rPr>
          <w:rFonts w:ascii="Cambria" w:hAnsi="Cambria"/>
          <w:sz w:val="20"/>
          <w:szCs w:val="20"/>
        </w:rPr>
        <w:t>has it referred</w:t>
      </w:r>
      <w:r w:rsidRPr="00753C6D">
        <w:rPr>
          <w:rFonts w:ascii="Cambria" w:hAnsi="Cambria"/>
          <w:sz w:val="20"/>
          <w:szCs w:val="20"/>
        </w:rPr>
        <w:t xml:space="preserve"> to the existence of other</w:t>
      </w:r>
      <w:r w:rsidR="00AC74E2" w:rsidRPr="00753C6D">
        <w:rPr>
          <w:rFonts w:ascii="Cambria" w:hAnsi="Cambria"/>
          <w:sz w:val="20"/>
          <w:szCs w:val="20"/>
        </w:rPr>
        <w:t xml:space="preserve"> appropriate</w:t>
      </w:r>
      <w:r w:rsidRPr="00753C6D">
        <w:rPr>
          <w:rFonts w:ascii="Cambria" w:hAnsi="Cambria"/>
          <w:sz w:val="20"/>
          <w:szCs w:val="20"/>
        </w:rPr>
        <w:t xml:space="preserve"> remedies </w:t>
      </w:r>
      <w:r w:rsidR="00AC74E2" w:rsidRPr="00753C6D">
        <w:rPr>
          <w:rFonts w:ascii="Cambria" w:hAnsi="Cambria"/>
          <w:sz w:val="20"/>
          <w:szCs w:val="20"/>
        </w:rPr>
        <w:t xml:space="preserve">to deal with </w:t>
      </w:r>
      <w:r w:rsidRPr="00753C6D">
        <w:rPr>
          <w:rFonts w:ascii="Cambria" w:hAnsi="Cambria"/>
          <w:sz w:val="20"/>
          <w:szCs w:val="20"/>
        </w:rPr>
        <w:t xml:space="preserve">the </w:t>
      </w:r>
      <w:r w:rsidR="00AC74E2" w:rsidRPr="00753C6D">
        <w:rPr>
          <w:rFonts w:ascii="Cambria" w:hAnsi="Cambria"/>
          <w:sz w:val="20"/>
          <w:szCs w:val="20"/>
        </w:rPr>
        <w:t xml:space="preserve">petitioner’s </w:t>
      </w:r>
      <w:r w:rsidRPr="00753C6D">
        <w:rPr>
          <w:rFonts w:ascii="Cambria" w:hAnsi="Cambria"/>
          <w:sz w:val="20"/>
          <w:szCs w:val="20"/>
        </w:rPr>
        <w:t xml:space="preserve">claim at the domestic level. Therefore, the Commission concludes that this petition </w:t>
      </w:r>
      <w:r w:rsidR="00AC342A" w:rsidRPr="00753C6D">
        <w:rPr>
          <w:rFonts w:ascii="Cambria" w:hAnsi="Cambria"/>
          <w:sz w:val="20"/>
          <w:szCs w:val="20"/>
        </w:rPr>
        <w:t>satisfies</w:t>
      </w:r>
      <w:r w:rsidRPr="00753C6D">
        <w:rPr>
          <w:rFonts w:ascii="Cambria" w:hAnsi="Cambria"/>
          <w:sz w:val="20"/>
          <w:szCs w:val="20"/>
        </w:rPr>
        <w:t xml:space="preserve"> the requirement of Article 46.1 (a) of the American Convention.</w:t>
      </w:r>
    </w:p>
    <w:p w14:paraId="0C562A52" w14:textId="47BDC7A8" w:rsidR="005C25C2" w:rsidRPr="00753C6D" w:rsidRDefault="00A50F1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The State did not present arguments or observations on compliance with the requirement of </w:t>
      </w:r>
      <w:r w:rsidR="00824E4B" w:rsidRPr="00753C6D">
        <w:rPr>
          <w:rFonts w:ascii="Cambria" w:hAnsi="Cambria"/>
          <w:sz w:val="20"/>
          <w:szCs w:val="20"/>
        </w:rPr>
        <w:t xml:space="preserve">the </w:t>
      </w:r>
      <w:r w:rsidRPr="00753C6D">
        <w:rPr>
          <w:rFonts w:ascii="Cambria" w:hAnsi="Cambria"/>
          <w:sz w:val="20"/>
          <w:szCs w:val="20"/>
        </w:rPr>
        <w:t>exhaustion of domestic remedies.</w:t>
      </w:r>
    </w:p>
    <w:p w14:paraId="4BB261C1" w14:textId="18E82ABD" w:rsidR="005C25C2" w:rsidRPr="00753C6D" w:rsidRDefault="00A50F1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Regarding the </w:t>
      </w:r>
      <w:r w:rsidR="00824E4B" w:rsidRPr="00753C6D">
        <w:rPr>
          <w:rFonts w:ascii="Cambria" w:hAnsi="Cambria"/>
          <w:sz w:val="20"/>
          <w:szCs w:val="20"/>
        </w:rPr>
        <w:t>requirement of timeliness</w:t>
      </w:r>
      <w:r w:rsidRPr="00753C6D">
        <w:rPr>
          <w:rFonts w:ascii="Cambria" w:hAnsi="Cambria"/>
          <w:sz w:val="20"/>
          <w:szCs w:val="20"/>
        </w:rPr>
        <w:t>, the only</w:t>
      </w:r>
      <w:r w:rsidR="00824E4B" w:rsidRPr="00753C6D">
        <w:rPr>
          <w:rFonts w:ascii="Cambria" w:hAnsi="Cambria"/>
          <w:sz w:val="20"/>
          <w:szCs w:val="20"/>
        </w:rPr>
        <w:t xml:space="preserve"> point </w:t>
      </w:r>
      <w:r w:rsidR="003E44D8" w:rsidRPr="00753C6D">
        <w:rPr>
          <w:rFonts w:ascii="Cambria" w:hAnsi="Cambria"/>
          <w:sz w:val="20"/>
          <w:szCs w:val="20"/>
        </w:rPr>
        <w:t xml:space="preserve">disputed by the State, </w:t>
      </w:r>
      <w:r w:rsidR="006A7BA9">
        <w:rPr>
          <w:rFonts w:ascii="Cambria" w:hAnsi="Cambria"/>
          <w:sz w:val="20"/>
          <w:szCs w:val="20"/>
        </w:rPr>
        <w:t xml:space="preserve">the State </w:t>
      </w:r>
      <w:r w:rsidR="003E44D8" w:rsidRPr="00753C6D">
        <w:rPr>
          <w:rFonts w:ascii="Cambria" w:hAnsi="Cambria"/>
          <w:sz w:val="20"/>
          <w:szCs w:val="20"/>
        </w:rPr>
        <w:t xml:space="preserve">alleges </w:t>
      </w:r>
      <w:r w:rsidRPr="00753C6D">
        <w:rPr>
          <w:rFonts w:ascii="Cambria" w:hAnsi="Cambria"/>
          <w:sz w:val="20"/>
          <w:szCs w:val="20"/>
        </w:rPr>
        <w:t>that the petition is untimely because</w:t>
      </w:r>
      <w:r w:rsidR="003E44D8" w:rsidRPr="00753C6D">
        <w:rPr>
          <w:rFonts w:ascii="Cambria" w:hAnsi="Cambria"/>
          <w:sz w:val="20"/>
          <w:szCs w:val="20"/>
        </w:rPr>
        <w:t xml:space="preserve"> it was filed </w:t>
      </w:r>
      <w:r w:rsidRPr="00753C6D">
        <w:rPr>
          <w:rFonts w:ascii="Cambria" w:hAnsi="Cambria"/>
          <w:sz w:val="20"/>
          <w:szCs w:val="20"/>
        </w:rPr>
        <w:t xml:space="preserve">more than six months after the final decision </w:t>
      </w:r>
      <w:r w:rsidR="006A7BA9">
        <w:rPr>
          <w:rFonts w:ascii="Cambria" w:hAnsi="Cambria"/>
          <w:sz w:val="20"/>
          <w:szCs w:val="20"/>
        </w:rPr>
        <w:t>which exhausted the</w:t>
      </w:r>
      <w:r w:rsidR="00824E4B" w:rsidRPr="00753C6D">
        <w:rPr>
          <w:rFonts w:ascii="Cambria" w:hAnsi="Cambria"/>
          <w:sz w:val="20"/>
          <w:szCs w:val="20"/>
        </w:rPr>
        <w:t xml:space="preserve"> domestic remedies</w:t>
      </w:r>
      <w:r w:rsidRPr="00753C6D">
        <w:rPr>
          <w:rFonts w:ascii="Cambria" w:hAnsi="Cambria"/>
          <w:sz w:val="20"/>
          <w:szCs w:val="20"/>
        </w:rPr>
        <w:t xml:space="preserve">. For purposes of this calculation, the State </w:t>
      </w:r>
      <w:r w:rsidR="00E06BA4" w:rsidRPr="00753C6D">
        <w:rPr>
          <w:rFonts w:ascii="Cambria" w:hAnsi="Cambria"/>
          <w:sz w:val="20"/>
          <w:szCs w:val="20"/>
        </w:rPr>
        <w:t xml:space="preserve">considers May 25, 2010, as the date of </w:t>
      </w:r>
      <w:r w:rsidRPr="00753C6D">
        <w:rPr>
          <w:rFonts w:ascii="Cambria" w:hAnsi="Cambria"/>
          <w:sz w:val="20"/>
          <w:szCs w:val="20"/>
        </w:rPr>
        <w:t>submission of the petition</w:t>
      </w:r>
      <w:r w:rsidR="00E06BA4" w:rsidRPr="00753C6D">
        <w:rPr>
          <w:rFonts w:ascii="Cambria" w:hAnsi="Cambria"/>
          <w:sz w:val="20"/>
          <w:szCs w:val="20"/>
        </w:rPr>
        <w:t>, because that is</w:t>
      </w:r>
      <w:r w:rsidRPr="00753C6D">
        <w:rPr>
          <w:rFonts w:ascii="Cambria" w:hAnsi="Cambria"/>
          <w:sz w:val="20"/>
          <w:szCs w:val="20"/>
        </w:rPr>
        <w:t xml:space="preserve"> the date </w:t>
      </w:r>
      <w:r w:rsidR="00E06BA4" w:rsidRPr="00753C6D">
        <w:rPr>
          <w:rFonts w:ascii="Cambria" w:hAnsi="Cambria"/>
          <w:sz w:val="20"/>
          <w:szCs w:val="20"/>
        </w:rPr>
        <w:t>appearing</w:t>
      </w:r>
      <w:r w:rsidRPr="00753C6D">
        <w:rPr>
          <w:rFonts w:ascii="Cambria" w:hAnsi="Cambria"/>
          <w:sz w:val="20"/>
          <w:szCs w:val="20"/>
        </w:rPr>
        <w:t xml:space="preserve"> on the receipt stamp</w:t>
      </w:r>
      <w:r w:rsidR="00E06BA4" w:rsidRPr="00753C6D">
        <w:rPr>
          <w:rFonts w:ascii="Cambria" w:hAnsi="Cambria"/>
          <w:sz w:val="20"/>
          <w:szCs w:val="20"/>
        </w:rPr>
        <w:t>ed</w:t>
      </w:r>
      <w:r w:rsidRPr="00753C6D">
        <w:rPr>
          <w:rFonts w:ascii="Cambria" w:hAnsi="Cambria"/>
          <w:sz w:val="20"/>
          <w:szCs w:val="20"/>
        </w:rPr>
        <w:t xml:space="preserve"> by the Commission in a </w:t>
      </w:r>
      <w:r w:rsidR="00E06BA4" w:rsidRPr="00753C6D">
        <w:rPr>
          <w:rFonts w:ascii="Cambria" w:hAnsi="Cambria"/>
          <w:sz w:val="20"/>
          <w:szCs w:val="20"/>
        </w:rPr>
        <w:t xml:space="preserve">brief </w:t>
      </w:r>
      <w:r w:rsidR="006A7BA9">
        <w:rPr>
          <w:rFonts w:ascii="Cambria" w:hAnsi="Cambria"/>
          <w:sz w:val="20"/>
          <w:szCs w:val="20"/>
        </w:rPr>
        <w:t>that was sent to it by</w:t>
      </w:r>
      <w:r w:rsidRPr="00753C6D">
        <w:rPr>
          <w:rFonts w:ascii="Cambria" w:hAnsi="Cambria"/>
          <w:sz w:val="20"/>
          <w:szCs w:val="20"/>
        </w:rPr>
        <w:t xml:space="preserve"> the </w:t>
      </w:r>
      <w:r w:rsidR="00753C6D" w:rsidRPr="00753C6D">
        <w:rPr>
          <w:rFonts w:ascii="Cambria" w:hAnsi="Cambria"/>
          <w:sz w:val="20"/>
          <w:szCs w:val="20"/>
        </w:rPr>
        <w:t>petitioner</w:t>
      </w:r>
      <w:r w:rsidR="006A7BA9">
        <w:rPr>
          <w:rFonts w:ascii="Cambria" w:hAnsi="Cambria"/>
          <w:sz w:val="20"/>
          <w:szCs w:val="20"/>
        </w:rPr>
        <w:t xml:space="preserve"> through postal mail</w:t>
      </w:r>
      <w:r w:rsidR="00753C6D" w:rsidRPr="00753C6D">
        <w:rPr>
          <w:rFonts w:ascii="Cambria" w:hAnsi="Cambria"/>
          <w:sz w:val="20"/>
          <w:szCs w:val="20"/>
        </w:rPr>
        <w:t>, which</w:t>
      </w:r>
      <w:r w:rsidR="00E06BA4" w:rsidRPr="00753C6D">
        <w:rPr>
          <w:rFonts w:ascii="Cambria" w:hAnsi="Cambria"/>
          <w:sz w:val="20"/>
          <w:szCs w:val="20"/>
        </w:rPr>
        <w:t xml:space="preserve"> was</w:t>
      </w:r>
      <w:r w:rsidR="006A7BA9">
        <w:rPr>
          <w:rFonts w:ascii="Cambria" w:hAnsi="Cambria"/>
          <w:sz w:val="20"/>
          <w:szCs w:val="20"/>
        </w:rPr>
        <w:t xml:space="preserve"> then</w:t>
      </w:r>
      <w:r w:rsidR="00E06BA4" w:rsidRPr="00753C6D">
        <w:rPr>
          <w:rFonts w:ascii="Cambria" w:hAnsi="Cambria"/>
          <w:sz w:val="20"/>
          <w:szCs w:val="20"/>
        </w:rPr>
        <w:t xml:space="preserve"> sent</w:t>
      </w:r>
      <w:r w:rsidRPr="00753C6D">
        <w:rPr>
          <w:rFonts w:ascii="Cambria" w:hAnsi="Cambria"/>
          <w:sz w:val="20"/>
          <w:szCs w:val="20"/>
        </w:rPr>
        <w:t xml:space="preserve"> to the State. </w:t>
      </w:r>
      <w:r w:rsidR="00E06BA4" w:rsidRPr="00753C6D">
        <w:rPr>
          <w:rFonts w:ascii="Cambria" w:hAnsi="Cambria"/>
          <w:sz w:val="20"/>
          <w:szCs w:val="20"/>
        </w:rPr>
        <w:t xml:space="preserve">It emphasizes </w:t>
      </w:r>
      <w:r w:rsidRPr="00753C6D">
        <w:rPr>
          <w:rFonts w:ascii="Cambria" w:hAnsi="Cambria"/>
          <w:sz w:val="20"/>
          <w:szCs w:val="20"/>
        </w:rPr>
        <w:t xml:space="preserve">that according to Article 29 of the </w:t>
      </w:r>
      <w:r w:rsidR="00E06BA4" w:rsidRPr="00753C6D">
        <w:rPr>
          <w:rFonts w:ascii="Cambria" w:hAnsi="Cambria"/>
          <w:sz w:val="20"/>
          <w:szCs w:val="20"/>
        </w:rPr>
        <w:t>Commission’s Rules of Procedure in force at the moment when the petition was submitted,</w:t>
      </w:r>
      <w:r w:rsidR="006A7BA9">
        <w:rPr>
          <w:rFonts w:ascii="Cambria" w:hAnsi="Cambria"/>
          <w:sz w:val="20"/>
          <w:szCs w:val="20"/>
        </w:rPr>
        <w:t xml:space="preserve"> it was</w:t>
      </w:r>
      <w:r w:rsidRPr="00753C6D">
        <w:rPr>
          <w:rFonts w:ascii="Cambria" w:hAnsi="Cambria"/>
          <w:sz w:val="20"/>
          <w:szCs w:val="20"/>
        </w:rPr>
        <w:t xml:space="preserve"> established that </w:t>
      </w:r>
      <w:r w:rsidR="00E06BA4" w:rsidRPr="00753C6D">
        <w:rPr>
          <w:rFonts w:ascii="Cambria" w:hAnsi="Cambria"/>
          <w:sz w:val="20"/>
          <w:szCs w:val="20"/>
        </w:rPr>
        <w:t>the IACHR</w:t>
      </w:r>
      <w:r w:rsidRPr="00753C6D">
        <w:rPr>
          <w:rFonts w:ascii="Cambria" w:hAnsi="Cambria"/>
          <w:sz w:val="20"/>
          <w:szCs w:val="20"/>
        </w:rPr>
        <w:t xml:space="preserve"> would "</w:t>
      </w:r>
      <w:r w:rsidR="00E06BA4" w:rsidRPr="00753C6D">
        <w:rPr>
          <w:rFonts w:ascii="Cambria" w:hAnsi="Cambria"/>
          <w:sz w:val="20"/>
          <w:szCs w:val="20"/>
        </w:rPr>
        <w:t>receive the petition, register it, record the date of receipt on the petition itself and acknowledge receipt to the petitioner.”</w:t>
      </w:r>
    </w:p>
    <w:p w14:paraId="2C2A5D9B" w14:textId="0E07F1B7" w:rsidR="005C25C2" w:rsidRPr="00753C6D" w:rsidRDefault="00C30C8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Regard</w:t>
      </w:r>
      <w:r w:rsidR="00EB57CB" w:rsidRPr="00753C6D">
        <w:rPr>
          <w:rFonts w:ascii="Cambria" w:hAnsi="Cambria"/>
          <w:sz w:val="20"/>
          <w:szCs w:val="20"/>
        </w:rPr>
        <w:t xml:space="preserve"> the allegations made by the State, the Commission </w:t>
      </w:r>
      <w:r w:rsidRPr="00753C6D">
        <w:rPr>
          <w:rFonts w:ascii="Cambria" w:hAnsi="Cambria"/>
          <w:sz w:val="20"/>
          <w:szCs w:val="20"/>
        </w:rPr>
        <w:t xml:space="preserve">indicates that it was first aware of the petitioner’s claim </w:t>
      </w:r>
      <w:r w:rsidR="00EB57CB" w:rsidRPr="00753C6D">
        <w:rPr>
          <w:rFonts w:ascii="Cambria" w:hAnsi="Cambria"/>
          <w:sz w:val="20"/>
          <w:szCs w:val="20"/>
        </w:rPr>
        <w:t>against the State through a "petiti</w:t>
      </w:r>
      <w:r w:rsidRPr="00753C6D">
        <w:rPr>
          <w:rFonts w:ascii="Cambria" w:hAnsi="Cambria"/>
          <w:sz w:val="20"/>
          <w:szCs w:val="20"/>
        </w:rPr>
        <w:t>on form" submitted electronically</w:t>
      </w:r>
      <w:r w:rsidR="00EB57CB" w:rsidRPr="00753C6D">
        <w:rPr>
          <w:rFonts w:ascii="Cambria" w:hAnsi="Cambria"/>
          <w:sz w:val="20"/>
          <w:szCs w:val="20"/>
        </w:rPr>
        <w:t xml:space="preserve"> on May 20, 2010. This "petition form", as well as all </w:t>
      </w:r>
      <w:r w:rsidRPr="00753C6D">
        <w:rPr>
          <w:rFonts w:ascii="Cambria" w:hAnsi="Cambria"/>
          <w:sz w:val="20"/>
          <w:szCs w:val="20"/>
        </w:rPr>
        <w:t>the subsequent petitioner’s submission,</w:t>
      </w:r>
      <w:r w:rsidR="00753C6D">
        <w:rPr>
          <w:rFonts w:ascii="Cambria" w:hAnsi="Cambria"/>
          <w:sz w:val="20"/>
          <w:szCs w:val="20"/>
        </w:rPr>
        <w:t xml:space="preserve"> was</w:t>
      </w:r>
      <w:r w:rsidRPr="00753C6D">
        <w:rPr>
          <w:rFonts w:ascii="Cambria" w:hAnsi="Cambria"/>
          <w:sz w:val="20"/>
          <w:szCs w:val="20"/>
        </w:rPr>
        <w:t xml:space="preserve"> transmitted</w:t>
      </w:r>
      <w:r w:rsidR="00EB57CB" w:rsidRPr="00753C6D">
        <w:rPr>
          <w:rFonts w:ascii="Cambria" w:hAnsi="Cambria"/>
          <w:sz w:val="20"/>
          <w:szCs w:val="20"/>
        </w:rPr>
        <w:t xml:space="preserve"> to the State </w:t>
      </w:r>
      <w:r w:rsidRPr="00753C6D">
        <w:rPr>
          <w:rFonts w:ascii="Cambria" w:hAnsi="Cambria"/>
          <w:sz w:val="20"/>
          <w:szCs w:val="20"/>
        </w:rPr>
        <w:t>with a communication</w:t>
      </w:r>
      <w:r w:rsidR="00EB57CB" w:rsidRPr="00753C6D">
        <w:rPr>
          <w:rFonts w:ascii="Cambria" w:hAnsi="Cambria"/>
          <w:sz w:val="20"/>
          <w:szCs w:val="20"/>
        </w:rPr>
        <w:t xml:space="preserve"> stating that the petition </w:t>
      </w:r>
      <w:r w:rsidRPr="00753C6D">
        <w:rPr>
          <w:rFonts w:ascii="Cambria" w:hAnsi="Cambria"/>
          <w:sz w:val="20"/>
          <w:szCs w:val="20"/>
        </w:rPr>
        <w:t>had been received</w:t>
      </w:r>
      <w:r w:rsidR="00EB57CB" w:rsidRPr="00753C6D">
        <w:rPr>
          <w:rFonts w:ascii="Cambria" w:hAnsi="Cambria"/>
          <w:sz w:val="20"/>
          <w:szCs w:val="20"/>
        </w:rPr>
        <w:t xml:space="preserve"> on May 20, 2010,</w:t>
      </w:r>
      <w:r w:rsidR="00EB57CB" w:rsidRPr="00753C6D">
        <w:rPr>
          <w:rStyle w:val="FootnoteReference"/>
          <w:rFonts w:asciiTheme="majorHAnsi" w:hAnsiTheme="majorHAnsi"/>
          <w:sz w:val="20"/>
          <w:szCs w:val="20"/>
        </w:rPr>
        <w:footnoteReference w:id="9"/>
      </w:r>
      <w:r w:rsidR="00EB57CB" w:rsidRPr="00753C6D">
        <w:rPr>
          <w:rFonts w:ascii="Cambria" w:hAnsi="Cambria"/>
          <w:sz w:val="20"/>
          <w:szCs w:val="20"/>
        </w:rPr>
        <w:t xml:space="preserve"> the date on which the </w:t>
      </w:r>
      <w:r w:rsidR="00EB57CB" w:rsidRPr="00753C6D">
        <w:rPr>
          <w:rFonts w:ascii="Cambria" w:hAnsi="Cambria"/>
          <w:sz w:val="20"/>
          <w:szCs w:val="20"/>
        </w:rPr>
        <w:lastRenderedPageBreak/>
        <w:t xml:space="preserve">Commission received the </w:t>
      </w:r>
      <w:r w:rsidRPr="00753C6D">
        <w:rPr>
          <w:rFonts w:ascii="Cambria" w:hAnsi="Cambria"/>
          <w:sz w:val="20"/>
          <w:szCs w:val="20"/>
        </w:rPr>
        <w:t>original petition</w:t>
      </w:r>
      <w:r w:rsidR="00EB57CB" w:rsidRPr="00753C6D">
        <w:rPr>
          <w:rFonts w:ascii="Cambria" w:hAnsi="Cambria"/>
          <w:sz w:val="20"/>
          <w:szCs w:val="20"/>
        </w:rPr>
        <w:t>. Therefore, the IACHR concludes tha</w:t>
      </w:r>
      <w:r w:rsidRPr="00753C6D">
        <w:rPr>
          <w:rFonts w:ascii="Cambria" w:hAnsi="Cambria"/>
          <w:sz w:val="20"/>
          <w:szCs w:val="20"/>
        </w:rPr>
        <w:t>t the present petition was filed</w:t>
      </w:r>
      <w:r w:rsidR="00EB57CB" w:rsidRPr="00753C6D">
        <w:rPr>
          <w:rFonts w:ascii="Cambria" w:hAnsi="Cambria"/>
          <w:sz w:val="20"/>
          <w:szCs w:val="20"/>
        </w:rPr>
        <w:t xml:space="preserve"> within the six-month period established in Article 46.1 (b) of the Convention.</w:t>
      </w:r>
    </w:p>
    <w:p w14:paraId="378478A0" w14:textId="50B01E58" w:rsidR="00F621C3" w:rsidRPr="00753C6D" w:rsidRDefault="00F621C3" w:rsidP="00F621C3">
      <w:pPr>
        <w:pStyle w:val="ListParagraph"/>
        <w:spacing w:before="240" w:after="240"/>
        <w:jc w:val="both"/>
        <w:rPr>
          <w:rFonts w:asciiTheme="majorHAnsi" w:hAnsiTheme="majorHAnsi"/>
          <w:b/>
          <w:sz w:val="20"/>
          <w:szCs w:val="20"/>
        </w:rPr>
      </w:pPr>
      <w:r w:rsidRPr="00753C6D">
        <w:rPr>
          <w:rFonts w:asciiTheme="majorHAnsi" w:hAnsiTheme="majorHAnsi"/>
          <w:b/>
          <w:bCs/>
          <w:sz w:val="20"/>
          <w:szCs w:val="20"/>
        </w:rPr>
        <w:t>VII.</w:t>
      </w:r>
      <w:r w:rsidRPr="00753C6D">
        <w:rPr>
          <w:rFonts w:asciiTheme="majorHAnsi" w:hAnsiTheme="majorHAnsi"/>
          <w:b/>
          <w:bCs/>
          <w:sz w:val="20"/>
          <w:szCs w:val="20"/>
        </w:rPr>
        <w:tab/>
      </w:r>
      <w:r w:rsidR="001F1902" w:rsidRPr="00753C6D">
        <w:rPr>
          <w:rFonts w:asciiTheme="majorHAnsi" w:hAnsiTheme="majorHAnsi"/>
          <w:b/>
          <w:bCs/>
          <w:sz w:val="20"/>
          <w:szCs w:val="20"/>
        </w:rPr>
        <w:t xml:space="preserve">ANALYSIS OF </w:t>
      </w:r>
      <w:r w:rsidRPr="00753C6D">
        <w:rPr>
          <w:rFonts w:asciiTheme="majorHAnsi" w:hAnsiTheme="majorHAnsi"/>
          <w:b/>
          <w:bCs/>
          <w:sz w:val="20"/>
          <w:szCs w:val="20"/>
        </w:rPr>
        <w:t>COLORABLE CLAIM</w:t>
      </w:r>
    </w:p>
    <w:p w14:paraId="70146B96" w14:textId="647027C4" w:rsidR="00F621C3" w:rsidRPr="00753C6D" w:rsidRDefault="00EB57C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The alleged victim </w:t>
      </w:r>
      <w:r w:rsidR="001D4B82" w:rsidRPr="00753C6D">
        <w:rPr>
          <w:rFonts w:ascii="Cambria" w:hAnsi="Cambria"/>
          <w:sz w:val="20"/>
          <w:szCs w:val="20"/>
        </w:rPr>
        <w:t>argues</w:t>
      </w:r>
      <w:r w:rsidRPr="00753C6D">
        <w:rPr>
          <w:rFonts w:ascii="Cambria" w:hAnsi="Cambria"/>
          <w:sz w:val="20"/>
          <w:szCs w:val="20"/>
        </w:rPr>
        <w:t xml:space="preserve"> that her human rights were violated because she was r</w:t>
      </w:r>
      <w:r w:rsidR="001D4B82" w:rsidRPr="00753C6D">
        <w:rPr>
          <w:rFonts w:ascii="Cambria" w:hAnsi="Cambria"/>
          <w:sz w:val="20"/>
          <w:szCs w:val="20"/>
        </w:rPr>
        <w:t>emoved without any prior due process and alleges</w:t>
      </w:r>
      <w:r w:rsidRPr="00753C6D">
        <w:rPr>
          <w:rFonts w:ascii="Cambria" w:hAnsi="Cambria"/>
          <w:sz w:val="20"/>
          <w:szCs w:val="20"/>
        </w:rPr>
        <w:t xml:space="preserve"> that the Venezuelan system </w:t>
      </w:r>
      <w:r w:rsidR="001D4B82" w:rsidRPr="00753C6D">
        <w:rPr>
          <w:rFonts w:ascii="Cambria" w:hAnsi="Cambria"/>
          <w:sz w:val="20"/>
          <w:szCs w:val="20"/>
        </w:rPr>
        <w:t>permits</w:t>
      </w:r>
      <w:r w:rsidRPr="00753C6D">
        <w:rPr>
          <w:rFonts w:ascii="Cambria" w:hAnsi="Cambria"/>
          <w:sz w:val="20"/>
          <w:szCs w:val="20"/>
        </w:rPr>
        <w:t xml:space="preserve"> the discretionary removal of temporary judges in violation of judicial independence and </w:t>
      </w:r>
      <w:r w:rsidR="001D4B82" w:rsidRPr="00753C6D">
        <w:rPr>
          <w:rFonts w:ascii="Cambria" w:hAnsi="Cambria"/>
          <w:sz w:val="20"/>
          <w:szCs w:val="20"/>
        </w:rPr>
        <w:t>also</w:t>
      </w:r>
      <w:r w:rsidRPr="00753C6D">
        <w:rPr>
          <w:rFonts w:ascii="Cambria" w:hAnsi="Cambria"/>
          <w:sz w:val="20"/>
          <w:szCs w:val="20"/>
        </w:rPr>
        <w:t xml:space="preserve"> that </w:t>
      </w:r>
      <w:r w:rsidR="001D4B82" w:rsidRPr="00753C6D">
        <w:rPr>
          <w:rFonts w:ascii="Cambria" w:hAnsi="Cambria"/>
          <w:sz w:val="20"/>
          <w:szCs w:val="20"/>
        </w:rPr>
        <w:t>the decision to remove her was not issued by an impartial tribunal.</w:t>
      </w:r>
      <w:r w:rsidRPr="00753C6D">
        <w:rPr>
          <w:rFonts w:ascii="Cambria" w:hAnsi="Cambria"/>
          <w:sz w:val="20"/>
          <w:szCs w:val="20"/>
        </w:rPr>
        <w:t xml:space="preserve"> The State, for its part, has </w:t>
      </w:r>
      <w:r w:rsidR="001D4B82" w:rsidRPr="00753C6D">
        <w:rPr>
          <w:rFonts w:ascii="Cambria" w:hAnsi="Cambria"/>
          <w:sz w:val="20"/>
          <w:szCs w:val="20"/>
        </w:rPr>
        <w:t xml:space="preserve">failed to present observations on whether the </w:t>
      </w:r>
      <w:r w:rsidRPr="00753C6D">
        <w:rPr>
          <w:rFonts w:ascii="Cambria" w:hAnsi="Cambria"/>
          <w:sz w:val="20"/>
          <w:szCs w:val="20"/>
        </w:rPr>
        <w:t>petitioner</w:t>
      </w:r>
      <w:r w:rsidR="001D4B82" w:rsidRPr="00753C6D">
        <w:rPr>
          <w:rFonts w:ascii="Cambria" w:hAnsi="Cambria"/>
          <w:sz w:val="20"/>
          <w:szCs w:val="20"/>
        </w:rPr>
        <w:t>’s allegations</w:t>
      </w:r>
      <w:r w:rsidRPr="00753C6D">
        <w:rPr>
          <w:rFonts w:ascii="Cambria" w:hAnsi="Cambria"/>
          <w:sz w:val="20"/>
          <w:szCs w:val="20"/>
        </w:rPr>
        <w:t xml:space="preserve"> </w:t>
      </w:r>
      <w:r w:rsidR="001D4B82" w:rsidRPr="00753C6D">
        <w:rPr>
          <w:rFonts w:ascii="Cambria" w:hAnsi="Cambria"/>
          <w:sz w:val="20"/>
          <w:szCs w:val="20"/>
        </w:rPr>
        <w:t>may or may not</w:t>
      </w:r>
      <w:r w:rsidRPr="00753C6D">
        <w:rPr>
          <w:rFonts w:ascii="Cambria" w:hAnsi="Cambria"/>
          <w:sz w:val="20"/>
          <w:szCs w:val="20"/>
        </w:rPr>
        <w:t xml:space="preserve"> characterize possible violations of the American Convention.</w:t>
      </w:r>
    </w:p>
    <w:p w14:paraId="296DC857" w14:textId="705B75C8" w:rsidR="005C25C2" w:rsidRPr="00753C6D" w:rsidRDefault="00EB57C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Cambria" w:hAnsi="Cambria"/>
          <w:sz w:val="20"/>
          <w:szCs w:val="20"/>
        </w:rPr>
        <w:t xml:space="preserve">Without </w:t>
      </w:r>
      <w:r w:rsidR="001D4B82" w:rsidRPr="00753C6D">
        <w:rPr>
          <w:rFonts w:ascii="Cambria" w:hAnsi="Cambria"/>
          <w:sz w:val="20"/>
          <w:szCs w:val="20"/>
        </w:rPr>
        <w:t>advancing an opinion on</w:t>
      </w:r>
      <w:r w:rsidRPr="00753C6D">
        <w:rPr>
          <w:rFonts w:ascii="Cambria" w:hAnsi="Cambria"/>
          <w:sz w:val="20"/>
          <w:szCs w:val="20"/>
        </w:rPr>
        <w:t xml:space="preserve"> the merits, the Commission considers that the petitioner's arguments are not manifestly </w:t>
      </w:r>
      <w:r w:rsidR="001D4B82" w:rsidRPr="00753C6D">
        <w:rPr>
          <w:rFonts w:ascii="Cambria" w:hAnsi="Cambria"/>
          <w:sz w:val="20"/>
          <w:szCs w:val="20"/>
        </w:rPr>
        <w:t>ill-founded and that, if verified, the facts</w:t>
      </w:r>
      <w:r w:rsidR="00C103BF">
        <w:rPr>
          <w:rFonts w:ascii="Cambria" w:hAnsi="Cambria"/>
          <w:sz w:val="20"/>
          <w:szCs w:val="20"/>
        </w:rPr>
        <w:t xml:space="preserve"> alleged</w:t>
      </w:r>
      <w:r w:rsidR="001D4B82" w:rsidRPr="00753C6D">
        <w:rPr>
          <w:rFonts w:ascii="Cambria" w:hAnsi="Cambria"/>
          <w:sz w:val="20"/>
          <w:szCs w:val="20"/>
        </w:rPr>
        <w:t xml:space="preserve"> </w:t>
      </w:r>
      <w:r w:rsidRPr="00753C6D">
        <w:rPr>
          <w:rFonts w:ascii="Cambria" w:hAnsi="Cambria"/>
          <w:sz w:val="20"/>
          <w:szCs w:val="20"/>
        </w:rPr>
        <w:t>co</w:t>
      </w:r>
      <w:r w:rsidR="001D4B82" w:rsidRPr="00753C6D">
        <w:rPr>
          <w:rFonts w:ascii="Cambria" w:hAnsi="Cambria"/>
          <w:sz w:val="20"/>
          <w:szCs w:val="20"/>
        </w:rPr>
        <w:t>uld characterize violations of Ar</w:t>
      </w:r>
      <w:r w:rsidRPr="00753C6D">
        <w:rPr>
          <w:rFonts w:ascii="Cambria" w:hAnsi="Cambria"/>
          <w:sz w:val="20"/>
          <w:szCs w:val="20"/>
        </w:rPr>
        <w:t>ticles 8 (</w:t>
      </w:r>
      <w:r w:rsidR="001D4B82" w:rsidRPr="00753C6D">
        <w:rPr>
          <w:rFonts w:ascii="Cambria" w:hAnsi="Cambria"/>
          <w:sz w:val="20"/>
          <w:szCs w:val="20"/>
        </w:rPr>
        <w:t>right to a fair trial</w:t>
      </w:r>
      <w:r w:rsidRPr="00753C6D">
        <w:rPr>
          <w:rFonts w:ascii="Cambria" w:hAnsi="Cambria"/>
          <w:sz w:val="20"/>
          <w:szCs w:val="20"/>
        </w:rPr>
        <w:t>), 23 (</w:t>
      </w:r>
      <w:r w:rsidR="001D4B82" w:rsidRPr="00753C6D">
        <w:rPr>
          <w:rFonts w:ascii="Cambria" w:hAnsi="Cambria"/>
          <w:sz w:val="20"/>
          <w:szCs w:val="20"/>
        </w:rPr>
        <w:t>right to participate in Government</w:t>
      </w:r>
      <w:r w:rsidRPr="00753C6D">
        <w:rPr>
          <w:rFonts w:ascii="Cambria" w:hAnsi="Cambria"/>
          <w:sz w:val="20"/>
          <w:szCs w:val="20"/>
        </w:rPr>
        <w:t>), 25 (</w:t>
      </w:r>
      <w:r w:rsidR="001D4B82" w:rsidRPr="00753C6D">
        <w:rPr>
          <w:rFonts w:ascii="Cambria" w:hAnsi="Cambria"/>
          <w:sz w:val="20"/>
          <w:szCs w:val="20"/>
        </w:rPr>
        <w:t xml:space="preserve">right to </w:t>
      </w:r>
      <w:r w:rsidRPr="00753C6D">
        <w:rPr>
          <w:rFonts w:ascii="Cambria" w:hAnsi="Cambria"/>
          <w:sz w:val="20"/>
          <w:szCs w:val="20"/>
        </w:rPr>
        <w:t>judicial protection) and 26 (</w:t>
      </w:r>
      <w:r w:rsidR="001D4B82" w:rsidRPr="00753C6D">
        <w:rPr>
          <w:rFonts w:ascii="Cambria" w:hAnsi="Cambria"/>
          <w:sz w:val="20"/>
          <w:szCs w:val="20"/>
        </w:rPr>
        <w:t>progressive development</w:t>
      </w:r>
      <w:r w:rsidRPr="00753C6D">
        <w:rPr>
          <w:rFonts w:ascii="Cambria" w:hAnsi="Cambria"/>
          <w:sz w:val="20"/>
          <w:szCs w:val="20"/>
        </w:rPr>
        <w:t>) of the American</w:t>
      </w:r>
      <w:r w:rsidR="001D4B82" w:rsidRPr="00753C6D">
        <w:rPr>
          <w:rFonts w:ascii="Cambria" w:hAnsi="Cambria"/>
          <w:sz w:val="20"/>
          <w:szCs w:val="20"/>
        </w:rPr>
        <w:t xml:space="preserve"> Convention in relation to its A</w:t>
      </w:r>
      <w:r w:rsidRPr="00753C6D">
        <w:rPr>
          <w:rFonts w:ascii="Cambria" w:hAnsi="Cambria"/>
          <w:sz w:val="20"/>
          <w:szCs w:val="20"/>
        </w:rPr>
        <w:t>rticles 1.1 (obligation to respect rights) and 2 (</w:t>
      </w:r>
      <w:r w:rsidR="001D4B82" w:rsidRPr="00753C6D">
        <w:rPr>
          <w:rFonts w:ascii="Cambria" w:hAnsi="Cambria"/>
          <w:sz w:val="20"/>
          <w:szCs w:val="20"/>
        </w:rPr>
        <w:t>domestic legal effects</w:t>
      </w:r>
      <w:r w:rsidRPr="00753C6D">
        <w:rPr>
          <w:rFonts w:ascii="Cambria" w:hAnsi="Cambria"/>
          <w:sz w:val="20"/>
          <w:szCs w:val="20"/>
        </w:rPr>
        <w:t>).</w:t>
      </w:r>
    </w:p>
    <w:p w14:paraId="5A70550C" w14:textId="77777777" w:rsidR="00F621C3" w:rsidRPr="00753C6D" w:rsidRDefault="00F621C3" w:rsidP="00F621C3">
      <w:pPr>
        <w:pStyle w:val="ListParagraph"/>
        <w:spacing w:before="240" w:after="240"/>
        <w:jc w:val="both"/>
        <w:rPr>
          <w:rFonts w:asciiTheme="majorHAnsi" w:hAnsiTheme="majorHAnsi"/>
          <w:b/>
          <w:bCs/>
          <w:sz w:val="20"/>
          <w:szCs w:val="20"/>
        </w:rPr>
      </w:pPr>
      <w:r w:rsidRPr="00753C6D">
        <w:rPr>
          <w:rFonts w:asciiTheme="majorHAnsi" w:hAnsiTheme="majorHAnsi"/>
          <w:b/>
          <w:bCs/>
          <w:sz w:val="20"/>
          <w:szCs w:val="20"/>
        </w:rPr>
        <w:t xml:space="preserve">VIII. </w:t>
      </w:r>
      <w:r w:rsidRPr="00753C6D">
        <w:rPr>
          <w:rFonts w:asciiTheme="majorHAnsi" w:hAnsiTheme="majorHAnsi"/>
          <w:b/>
          <w:bCs/>
          <w:sz w:val="20"/>
          <w:szCs w:val="20"/>
        </w:rPr>
        <w:tab/>
        <w:t>DECISION</w:t>
      </w:r>
    </w:p>
    <w:p w14:paraId="47F30965" w14:textId="35B9C88E" w:rsidR="00F621C3" w:rsidRPr="00753C6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Theme="majorHAnsi" w:hAnsiTheme="majorHAnsi"/>
          <w:sz w:val="20"/>
          <w:szCs w:val="20"/>
        </w:rPr>
        <w:t>To find the instant petition admiss</w:t>
      </w:r>
      <w:r w:rsidR="005C25C2" w:rsidRPr="00753C6D">
        <w:rPr>
          <w:rFonts w:asciiTheme="majorHAnsi" w:hAnsiTheme="majorHAnsi"/>
          <w:sz w:val="20"/>
          <w:szCs w:val="20"/>
        </w:rPr>
        <w:t>ible in relation to Articles 8, 23, 25 and 26 of the Convention in relation to its Articles 1.1 and 2</w:t>
      </w:r>
      <w:r w:rsidRPr="00753C6D">
        <w:rPr>
          <w:rFonts w:asciiTheme="majorHAnsi" w:hAnsiTheme="majorHAnsi"/>
          <w:sz w:val="20"/>
          <w:szCs w:val="20"/>
        </w:rPr>
        <w:t>;</w:t>
      </w:r>
    </w:p>
    <w:p w14:paraId="22CC8DDA" w14:textId="51ED6D8B" w:rsidR="00F621C3" w:rsidRPr="00753C6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C6D">
        <w:rPr>
          <w:rFonts w:asciiTheme="majorHAnsi" w:hAnsiTheme="majorHAnsi"/>
          <w:sz w:val="20"/>
          <w:szCs w:val="20"/>
        </w:rPr>
        <w:t>To notify the parties of this decision;</w:t>
      </w:r>
      <w:r w:rsidR="001F1902" w:rsidRPr="00753C6D">
        <w:rPr>
          <w:rFonts w:asciiTheme="majorHAnsi" w:hAnsiTheme="majorHAnsi"/>
          <w:sz w:val="20"/>
          <w:szCs w:val="20"/>
        </w:rPr>
        <w:t xml:space="preserve"> t</w:t>
      </w:r>
      <w:r w:rsidRPr="00753C6D">
        <w:rPr>
          <w:rFonts w:asciiTheme="majorHAnsi" w:hAnsiTheme="majorHAnsi"/>
          <w:sz w:val="20"/>
          <w:szCs w:val="20"/>
        </w:rPr>
        <w:t xml:space="preserve">o continue with the analysis on the merits; and </w:t>
      </w:r>
      <w:r w:rsidR="001F1902" w:rsidRPr="00753C6D">
        <w:rPr>
          <w:rFonts w:asciiTheme="majorHAnsi" w:hAnsiTheme="majorHAnsi"/>
          <w:sz w:val="20"/>
          <w:szCs w:val="20"/>
        </w:rPr>
        <w:t>t</w:t>
      </w:r>
      <w:r w:rsidRPr="00753C6D">
        <w:rPr>
          <w:rFonts w:asciiTheme="majorHAnsi" w:hAnsiTheme="majorHAnsi"/>
          <w:sz w:val="20"/>
          <w:szCs w:val="20"/>
        </w:rPr>
        <w:t>o publish this decision and include it in its Annual Report to the General Assembly of the Organization of American States.</w:t>
      </w:r>
    </w:p>
    <w:p w14:paraId="06DEB971" w14:textId="297CE5EA" w:rsidR="001414B9" w:rsidRDefault="001414B9" w:rsidP="001414B9">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Commission on Human Rights on the 3</w:t>
      </w:r>
      <w:r w:rsidRPr="00517ED2">
        <w:rPr>
          <w:rFonts w:eastAsia="Arial Unicode MS" w:cs="Times New Roman"/>
          <w:color w:val="auto"/>
          <w:sz w:val="20"/>
          <w:szCs w:val="20"/>
          <w:vertAlign w:val="superscript"/>
          <w:lang w:eastAsia="en-US"/>
        </w:rPr>
        <w:t>rd</w:t>
      </w:r>
      <w:r>
        <w:rPr>
          <w:rFonts w:eastAsia="Arial Unicode MS" w:cs="Times New Roman"/>
          <w:color w:val="auto"/>
          <w:sz w:val="20"/>
          <w:szCs w:val="20"/>
          <w:lang w:eastAsia="en-US"/>
        </w:rPr>
        <w:t xml:space="preserve"> day of the month of July,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1C6AA622" w14:textId="77777777" w:rsidR="00F621C3" w:rsidRPr="00753C6D"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753C6D"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753C6D"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753C6D" w:rsidRDefault="00F621C3" w:rsidP="00F621C3">
      <w:pPr>
        <w:rPr>
          <w:rFonts w:ascii="Cambria" w:hAnsi="Cambria" w:cs="Calibri"/>
          <w:sz w:val="20"/>
          <w:szCs w:val="20"/>
        </w:rPr>
      </w:pPr>
    </w:p>
    <w:p w14:paraId="2122B46A" w14:textId="77777777" w:rsidR="00C55560" w:rsidRPr="00753C6D" w:rsidRDefault="00C55560" w:rsidP="00230163">
      <w:pPr>
        <w:tabs>
          <w:tab w:val="left" w:pos="2820"/>
        </w:tabs>
        <w:suppressAutoHyphens/>
        <w:spacing w:line="276" w:lineRule="auto"/>
        <w:rPr>
          <w:rFonts w:asciiTheme="majorHAnsi" w:hAnsiTheme="majorHAnsi"/>
          <w:sz w:val="20"/>
          <w:szCs w:val="20"/>
        </w:rPr>
      </w:pPr>
    </w:p>
    <w:sectPr w:rsidR="00C55560" w:rsidRPr="00753C6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2B4F4" w14:textId="77777777" w:rsidR="00941E6F" w:rsidRDefault="00941E6F" w:rsidP="00036A8A">
      <w:r>
        <w:separator/>
      </w:r>
    </w:p>
  </w:endnote>
  <w:endnote w:type="continuationSeparator" w:id="0">
    <w:p w14:paraId="6A1090AA" w14:textId="77777777" w:rsidR="00941E6F" w:rsidRDefault="00941E6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0167" w14:textId="77777777" w:rsidR="00FB4F0F" w:rsidRDefault="00FB4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3046E7" w:rsidRPr="006311DA" w:rsidRDefault="003046E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B4F0F">
          <w:rPr>
            <w:noProof/>
            <w:sz w:val="16"/>
          </w:rPr>
          <w:t>3</w:t>
        </w:r>
        <w:r w:rsidRPr="006311DA">
          <w:rPr>
            <w:noProof/>
            <w:sz w:val="16"/>
          </w:rPr>
          <w:fldChar w:fldCharType="end"/>
        </w:r>
      </w:p>
    </w:sdtContent>
  </w:sdt>
  <w:p w14:paraId="767961CB" w14:textId="77777777" w:rsidR="003046E7" w:rsidRDefault="00304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046E7" w:rsidRDefault="003046E7">
    <w:pPr>
      <w:pStyle w:val="Footer"/>
      <w:jc w:val="center"/>
    </w:pPr>
  </w:p>
  <w:p w14:paraId="2699B8C1" w14:textId="77777777" w:rsidR="003046E7" w:rsidRDefault="0030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8077" w14:textId="77777777" w:rsidR="00941E6F" w:rsidRPr="00036A8A" w:rsidRDefault="00941E6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AE4666" w14:textId="77777777" w:rsidR="00941E6F" w:rsidRPr="00036A8A" w:rsidRDefault="00941E6F" w:rsidP="00036A8A">
      <w:pPr>
        <w:rPr>
          <w:rFonts w:asciiTheme="majorHAnsi" w:hAnsiTheme="majorHAnsi"/>
          <w:sz w:val="16"/>
          <w:szCs w:val="16"/>
        </w:rPr>
      </w:pPr>
      <w:r w:rsidRPr="00036A8A">
        <w:rPr>
          <w:rFonts w:asciiTheme="majorHAnsi" w:hAnsiTheme="majorHAnsi"/>
          <w:sz w:val="16"/>
          <w:szCs w:val="16"/>
        </w:rPr>
        <w:separator/>
      </w:r>
    </w:p>
    <w:p w14:paraId="61CF91CB" w14:textId="77777777" w:rsidR="00941E6F" w:rsidRPr="00036A8A" w:rsidRDefault="00941E6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EEE585D" w14:textId="77777777" w:rsidR="00941E6F" w:rsidRPr="0093441A" w:rsidRDefault="00941E6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4EE3C46" w14:textId="7E676F97" w:rsidR="003046E7" w:rsidRPr="00753C6D" w:rsidRDefault="003046E7" w:rsidP="005268AF">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Hereinafter “the American Convention” or “the Convention”.</w:t>
      </w:r>
    </w:p>
  </w:footnote>
  <w:footnote w:id="3">
    <w:p w14:paraId="6F51BDAF" w14:textId="5F4755E7" w:rsidR="003046E7" w:rsidRPr="00753C6D" w:rsidRDefault="003046E7" w:rsidP="00210F4B">
      <w:pPr>
        <w:pStyle w:val="FootnoteText"/>
        <w:ind w:firstLine="720"/>
        <w:jc w:val="both"/>
        <w:rPr>
          <w:rFonts w:ascii="Cambria" w:hAnsi="Cambria"/>
          <w:sz w:val="16"/>
          <w:szCs w:val="16"/>
        </w:rPr>
      </w:pPr>
      <w:r w:rsidRPr="00753C6D">
        <w:rPr>
          <w:rStyle w:val="FootnoteReference"/>
          <w:rFonts w:ascii="Cambria" w:hAnsi="Cambria"/>
          <w:sz w:val="16"/>
          <w:szCs w:val="16"/>
        </w:rPr>
        <w:footnoteRef/>
      </w:r>
      <w:r w:rsidRPr="00753C6D">
        <w:rPr>
          <w:rFonts w:ascii="Cambria" w:hAnsi="Cambria"/>
          <w:sz w:val="16"/>
          <w:szCs w:val="16"/>
        </w:rPr>
        <w:t xml:space="preserve"> The observations submitted by each party were duly transmitted to the opposing party.</w:t>
      </w:r>
    </w:p>
  </w:footnote>
  <w:footnote w:id="4">
    <w:p w14:paraId="0C92EBC3" w14:textId="7819EA3B"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w:t>
      </w:r>
      <w:r w:rsidR="00057D22" w:rsidRPr="00753C6D">
        <w:rPr>
          <w:rFonts w:asciiTheme="majorHAnsi" w:hAnsiTheme="majorHAnsi"/>
          <w:sz w:val="16"/>
          <w:szCs w:val="16"/>
        </w:rPr>
        <w:t>She indicates that the order stated that the decision to nullify her appointment was taken “by reason of the observations made before this Body.”</w:t>
      </w:r>
    </w:p>
  </w:footnote>
  <w:footnote w:id="5">
    <w:p w14:paraId="73B68C57" w14:textId="62E93AB2"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w:t>
      </w:r>
      <w:r w:rsidR="00CF6AEF" w:rsidRPr="00753C6D">
        <w:rPr>
          <w:rFonts w:asciiTheme="majorHAnsi" w:hAnsiTheme="majorHAnsi"/>
          <w:sz w:val="16"/>
          <w:szCs w:val="16"/>
        </w:rPr>
        <w:t xml:space="preserve">She refers to I/A Court H.R., </w:t>
      </w:r>
      <w:r w:rsidR="00CF6AEF" w:rsidRPr="00753C6D">
        <w:rPr>
          <w:rFonts w:asciiTheme="majorHAnsi" w:hAnsiTheme="majorHAnsi"/>
          <w:i/>
          <w:sz w:val="16"/>
          <w:szCs w:val="16"/>
        </w:rPr>
        <w:t>Case of Chocrón Chocrón v. Venezuela</w:t>
      </w:r>
      <w:r w:rsidR="00CF6AEF" w:rsidRPr="00753C6D">
        <w:rPr>
          <w:rFonts w:asciiTheme="majorHAnsi" w:hAnsiTheme="majorHAnsi"/>
          <w:sz w:val="16"/>
          <w:szCs w:val="16"/>
        </w:rPr>
        <w:t>. Preliminary Objections, Merits, Reparations and Costs. Judgment of July 1, 2011; as case she argues refers to similar facts as those set out her claim and where the Inter-American Court concluded that there had been a violation of Article 25 of the Convention.</w:t>
      </w:r>
    </w:p>
  </w:footnote>
  <w:footnote w:id="6">
    <w:p w14:paraId="145D95F3" w14:textId="2090FEBA"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w:t>
      </w:r>
      <w:r w:rsidR="00CF6AEF" w:rsidRPr="00753C6D">
        <w:rPr>
          <w:rFonts w:asciiTheme="majorHAnsi" w:hAnsiTheme="majorHAnsi"/>
          <w:sz w:val="16"/>
          <w:szCs w:val="16"/>
        </w:rPr>
        <w:t>She indicates that in response to this remedy, the Judicial Council confirmed that her removal was not based on disciplinary grounds, but rather on the power of the administrative organ.</w:t>
      </w:r>
    </w:p>
  </w:footnote>
  <w:footnote w:id="7">
    <w:p w14:paraId="7684072B" w14:textId="7B3EC241"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The Constitutional Chamber ruled that the </w:t>
      </w:r>
      <w:r w:rsidRPr="00753C6D">
        <w:rPr>
          <w:rFonts w:asciiTheme="majorHAnsi" w:hAnsiTheme="majorHAnsi"/>
          <w:i/>
          <w:sz w:val="16"/>
          <w:szCs w:val="16"/>
        </w:rPr>
        <w:t>amparo</w:t>
      </w:r>
      <w:r w:rsidRPr="00753C6D">
        <w:rPr>
          <w:rFonts w:asciiTheme="majorHAnsi" w:hAnsiTheme="majorHAnsi"/>
          <w:sz w:val="16"/>
          <w:szCs w:val="16"/>
        </w:rPr>
        <w:t xml:space="preserve"> was inadmissible on the ground of a lack of risk of irreparable harm and that the petitioner should exhaust ordinary remedies, meaning the Nullity Appeal before the Admi</w:t>
      </w:r>
      <w:r w:rsidR="00753C6D">
        <w:rPr>
          <w:rFonts w:asciiTheme="majorHAnsi" w:hAnsiTheme="majorHAnsi"/>
          <w:sz w:val="16"/>
          <w:szCs w:val="16"/>
        </w:rPr>
        <w:t>ni</w:t>
      </w:r>
      <w:r w:rsidRPr="00753C6D">
        <w:rPr>
          <w:rFonts w:asciiTheme="majorHAnsi" w:hAnsiTheme="majorHAnsi"/>
          <w:sz w:val="16"/>
          <w:szCs w:val="16"/>
        </w:rPr>
        <w:t>strative Polit</w:t>
      </w:r>
      <w:r w:rsidR="00CF6AEF" w:rsidRPr="00753C6D">
        <w:rPr>
          <w:rFonts w:asciiTheme="majorHAnsi" w:hAnsiTheme="majorHAnsi"/>
          <w:sz w:val="16"/>
          <w:szCs w:val="16"/>
        </w:rPr>
        <w:t>ical Chamber, which was an appropriate avenue to redress the legal situation affected by the acts of the administration.</w:t>
      </w:r>
    </w:p>
  </w:footnote>
  <w:footnote w:id="8">
    <w:p w14:paraId="69EF2542" w14:textId="36EE7549"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The Chamber found that provisional judges are “liable to be removed from their post in the same manner as they were appointed: discretionally”.</w:t>
      </w:r>
    </w:p>
  </w:footnote>
  <w:footnote w:id="9">
    <w:p w14:paraId="44A0AF81" w14:textId="69BF57DF" w:rsidR="003046E7" w:rsidRPr="00753C6D" w:rsidRDefault="003046E7" w:rsidP="00EB57CB">
      <w:pPr>
        <w:pStyle w:val="FootnoteText"/>
        <w:ind w:firstLine="720"/>
        <w:jc w:val="both"/>
        <w:rPr>
          <w:rFonts w:asciiTheme="majorHAnsi" w:hAnsiTheme="majorHAnsi"/>
          <w:sz w:val="16"/>
          <w:szCs w:val="16"/>
        </w:rPr>
      </w:pPr>
      <w:r w:rsidRPr="00753C6D">
        <w:rPr>
          <w:rStyle w:val="FootnoteReference"/>
          <w:rFonts w:asciiTheme="majorHAnsi" w:hAnsiTheme="majorHAnsi"/>
          <w:sz w:val="16"/>
          <w:szCs w:val="16"/>
        </w:rPr>
        <w:footnoteRef/>
      </w:r>
      <w:r w:rsidRPr="00753C6D">
        <w:rPr>
          <w:rFonts w:asciiTheme="majorHAnsi" w:hAnsiTheme="majorHAnsi"/>
          <w:sz w:val="16"/>
          <w:szCs w:val="16"/>
        </w:rPr>
        <w:t xml:space="preserve"> Equally, the acknowledgement of receipt sent to the petitioner and dated September 7, 2010, that is part of the case file also unequivocally refers to the petition’s submission date as May 20,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046E7" w:rsidRDefault="003046E7" w:rsidP="005C25C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046E7" w:rsidRDefault="00304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046E7" w:rsidRDefault="003046E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046E7" w:rsidRPr="00EC7D62" w:rsidRDefault="00941E6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1865" w14:textId="77777777" w:rsidR="00FB4F0F" w:rsidRDefault="00FB4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7D22"/>
    <w:rsid w:val="000639C0"/>
    <w:rsid w:val="00070F3A"/>
    <w:rsid w:val="000716C5"/>
    <w:rsid w:val="00075E23"/>
    <w:rsid w:val="00092F32"/>
    <w:rsid w:val="0009344A"/>
    <w:rsid w:val="000A575F"/>
    <w:rsid w:val="000C4365"/>
    <w:rsid w:val="000D10DB"/>
    <w:rsid w:val="00124116"/>
    <w:rsid w:val="00127DFB"/>
    <w:rsid w:val="0013104F"/>
    <w:rsid w:val="00137EBA"/>
    <w:rsid w:val="001414B9"/>
    <w:rsid w:val="00145EDC"/>
    <w:rsid w:val="00153084"/>
    <w:rsid w:val="00167A34"/>
    <w:rsid w:val="001714B4"/>
    <w:rsid w:val="0018037F"/>
    <w:rsid w:val="001A5F27"/>
    <w:rsid w:val="001A65E4"/>
    <w:rsid w:val="001A7870"/>
    <w:rsid w:val="001C1B41"/>
    <w:rsid w:val="001D4B82"/>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65CA"/>
    <w:rsid w:val="002B7A85"/>
    <w:rsid w:val="002C1641"/>
    <w:rsid w:val="002D7EA2"/>
    <w:rsid w:val="002E15DF"/>
    <w:rsid w:val="002E187C"/>
    <w:rsid w:val="002E6E57"/>
    <w:rsid w:val="00301075"/>
    <w:rsid w:val="00302733"/>
    <w:rsid w:val="00302CEF"/>
    <w:rsid w:val="003046E7"/>
    <w:rsid w:val="00311A4F"/>
    <w:rsid w:val="00311B1A"/>
    <w:rsid w:val="00314078"/>
    <w:rsid w:val="00321AFD"/>
    <w:rsid w:val="00322450"/>
    <w:rsid w:val="003246B5"/>
    <w:rsid w:val="0033169F"/>
    <w:rsid w:val="003414AC"/>
    <w:rsid w:val="00356185"/>
    <w:rsid w:val="00360380"/>
    <w:rsid w:val="003771A3"/>
    <w:rsid w:val="00386CF0"/>
    <w:rsid w:val="003A4348"/>
    <w:rsid w:val="003C32BC"/>
    <w:rsid w:val="003E3E03"/>
    <w:rsid w:val="003E44D8"/>
    <w:rsid w:val="003F1BBF"/>
    <w:rsid w:val="004162B1"/>
    <w:rsid w:val="004165C2"/>
    <w:rsid w:val="00450A4A"/>
    <w:rsid w:val="004666FB"/>
    <w:rsid w:val="00466D0B"/>
    <w:rsid w:val="00467B7E"/>
    <w:rsid w:val="0049419D"/>
    <w:rsid w:val="004B2762"/>
    <w:rsid w:val="004B7EB6"/>
    <w:rsid w:val="004C411F"/>
    <w:rsid w:val="004C41DE"/>
    <w:rsid w:val="004C4B62"/>
    <w:rsid w:val="004D6025"/>
    <w:rsid w:val="004D72BC"/>
    <w:rsid w:val="004F6B67"/>
    <w:rsid w:val="00501399"/>
    <w:rsid w:val="00507BC4"/>
    <w:rsid w:val="005128E4"/>
    <w:rsid w:val="0052248D"/>
    <w:rsid w:val="00525560"/>
    <w:rsid w:val="005268AF"/>
    <w:rsid w:val="005357A6"/>
    <w:rsid w:val="00544C49"/>
    <w:rsid w:val="0057402A"/>
    <w:rsid w:val="005771D0"/>
    <w:rsid w:val="005816E5"/>
    <w:rsid w:val="0059191A"/>
    <w:rsid w:val="005921FF"/>
    <w:rsid w:val="00592718"/>
    <w:rsid w:val="005A6D0E"/>
    <w:rsid w:val="005B222D"/>
    <w:rsid w:val="005B52B0"/>
    <w:rsid w:val="005B6806"/>
    <w:rsid w:val="005C00F9"/>
    <w:rsid w:val="005C25C2"/>
    <w:rsid w:val="005C4225"/>
    <w:rsid w:val="005D0BFC"/>
    <w:rsid w:val="005F0F33"/>
    <w:rsid w:val="00600DEB"/>
    <w:rsid w:val="00613027"/>
    <w:rsid w:val="00622EDC"/>
    <w:rsid w:val="00627C9F"/>
    <w:rsid w:val="006311DA"/>
    <w:rsid w:val="006311E9"/>
    <w:rsid w:val="006318B2"/>
    <w:rsid w:val="00632354"/>
    <w:rsid w:val="00642810"/>
    <w:rsid w:val="00652333"/>
    <w:rsid w:val="00653EA6"/>
    <w:rsid w:val="0068009E"/>
    <w:rsid w:val="006A17D2"/>
    <w:rsid w:val="006A73E6"/>
    <w:rsid w:val="006A7BA9"/>
    <w:rsid w:val="006B2D5C"/>
    <w:rsid w:val="006C4EB1"/>
    <w:rsid w:val="006D4707"/>
    <w:rsid w:val="006E0166"/>
    <w:rsid w:val="006E7B34"/>
    <w:rsid w:val="00701B24"/>
    <w:rsid w:val="0071495F"/>
    <w:rsid w:val="0073798E"/>
    <w:rsid w:val="00745899"/>
    <w:rsid w:val="00753C6D"/>
    <w:rsid w:val="00754222"/>
    <w:rsid w:val="007607C4"/>
    <w:rsid w:val="0076643F"/>
    <w:rsid w:val="00781653"/>
    <w:rsid w:val="007A2F70"/>
    <w:rsid w:val="007C3334"/>
    <w:rsid w:val="007C52BB"/>
    <w:rsid w:val="007D2B98"/>
    <w:rsid w:val="00803F1C"/>
    <w:rsid w:val="0080600E"/>
    <w:rsid w:val="00817612"/>
    <w:rsid w:val="00824E4B"/>
    <w:rsid w:val="00837C45"/>
    <w:rsid w:val="00853419"/>
    <w:rsid w:val="00897E12"/>
    <w:rsid w:val="008C2F25"/>
    <w:rsid w:val="008D43BA"/>
    <w:rsid w:val="008E3759"/>
    <w:rsid w:val="00901EDD"/>
    <w:rsid w:val="009041DC"/>
    <w:rsid w:val="009104B4"/>
    <w:rsid w:val="009228DA"/>
    <w:rsid w:val="00925FCD"/>
    <w:rsid w:val="0093441A"/>
    <w:rsid w:val="00941E6F"/>
    <w:rsid w:val="00954BF7"/>
    <w:rsid w:val="0096706E"/>
    <w:rsid w:val="00981FBA"/>
    <w:rsid w:val="009A6323"/>
    <w:rsid w:val="009B381B"/>
    <w:rsid w:val="009D7611"/>
    <w:rsid w:val="009E53DE"/>
    <w:rsid w:val="009E566A"/>
    <w:rsid w:val="00A12DBC"/>
    <w:rsid w:val="00A43458"/>
    <w:rsid w:val="00A50F11"/>
    <w:rsid w:val="00A528D1"/>
    <w:rsid w:val="00A66BE5"/>
    <w:rsid w:val="00AC342A"/>
    <w:rsid w:val="00AC74E2"/>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103BF"/>
    <w:rsid w:val="00C21762"/>
    <w:rsid w:val="00C24543"/>
    <w:rsid w:val="00C256A2"/>
    <w:rsid w:val="00C30C8A"/>
    <w:rsid w:val="00C3492D"/>
    <w:rsid w:val="00C55560"/>
    <w:rsid w:val="00C66B72"/>
    <w:rsid w:val="00C9567A"/>
    <w:rsid w:val="00CA6577"/>
    <w:rsid w:val="00CB2660"/>
    <w:rsid w:val="00CC5E90"/>
    <w:rsid w:val="00CD046C"/>
    <w:rsid w:val="00CE3F69"/>
    <w:rsid w:val="00CE5199"/>
    <w:rsid w:val="00CE66D5"/>
    <w:rsid w:val="00CF6AEF"/>
    <w:rsid w:val="00D24139"/>
    <w:rsid w:val="00D34786"/>
    <w:rsid w:val="00D40A1E"/>
    <w:rsid w:val="00D533C0"/>
    <w:rsid w:val="00D712D3"/>
    <w:rsid w:val="00D71422"/>
    <w:rsid w:val="00D7145E"/>
    <w:rsid w:val="00D75084"/>
    <w:rsid w:val="00D7558D"/>
    <w:rsid w:val="00D81D92"/>
    <w:rsid w:val="00D93446"/>
    <w:rsid w:val="00DA7B5F"/>
    <w:rsid w:val="00DD4C84"/>
    <w:rsid w:val="00DF078B"/>
    <w:rsid w:val="00DF350D"/>
    <w:rsid w:val="00E06BA4"/>
    <w:rsid w:val="00E227C1"/>
    <w:rsid w:val="00E378F9"/>
    <w:rsid w:val="00E43157"/>
    <w:rsid w:val="00E47F3D"/>
    <w:rsid w:val="00E533FF"/>
    <w:rsid w:val="00E709B3"/>
    <w:rsid w:val="00E7588C"/>
    <w:rsid w:val="00E850B6"/>
    <w:rsid w:val="00E8789F"/>
    <w:rsid w:val="00E97B71"/>
    <w:rsid w:val="00EB454D"/>
    <w:rsid w:val="00EB57CB"/>
    <w:rsid w:val="00ED0D1B"/>
    <w:rsid w:val="00EE3522"/>
    <w:rsid w:val="00EF619B"/>
    <w:rsid w:val="00F00B55"/>
    <w:rsid w:val="00F02DCA"/>
    <w:rsid w:val="00F1380F"/>
    <w:rsid w:val="00F14F0E"/>
    <w:rsid w:val="00F15A3B"/>
    <w:rsid w:val="00F24C29"/>
    <w:rsid w:val="00F253CC"/>
    <w:rsid w:val="00F31EC3"/>
    <w:rsid w:val="00F42B71"/>
    <w:rsid w:val="00F56BA5"/>
    <w:rsid w:val="00F621C3"/>
    <w:rsid w:val="00F644E6"/>
    <w:rsid w:val="00F9653B"/>
    <w:rsid w:val="00FB4F0F"/>
    <w:rsid w:val="00FB62CF"/>
    <w:rsid w:val="00FC3EB4"/>
    <w:rsid w:val="00FC6C58"/>
    <w:rsid w:val="00FD693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F14FA"/>
    <w:rsid w:val="00751E4C"/>
    <w:rsid w:val="00785DBE"/>
    <w:rsid w:val="00AB44F1"/>
    <w:rsid w:val="00B3552C"/>
    <w:rsid w:val="00D754B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7ED7-1797-4C0D-9C31-1F890A05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6983</Characters>
  <Application>Microsoft Office Word</Application>
  <DocSecurity>0</DocSecurity>
  <Lines>118</Lines>
  <Paragraphs>27</Paragraphs>
  <ScaleCrop>false</ScaleCrop>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115/19</dc:title>
  <dc:creator/>
  <cp:lastModifiedBy/>
  <cp:revision>1</cp:revision>
  <dcterms:created xsi:type="dcterms:W3CDTF">2020-05-15T13:49:00Z</dcterms:created>
  <dcterms:modified xsi:type="dcterms:W3CDTF">2020-05-15T13:49:00Z</dcterms:modified>
</cp:coreProperties>
</file>