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0A47CA7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68634AAD">
                <wp:simplePos x="0" y="0"/>
                <wp:positionH relativeFrom="column">
                  <wp:posOffset>1209675</wp:posOffset>
                </wp:positionH>
                <wp:positionV relativeFrom="paragraph">
                  <wp:posOffset>79375</wp:posOffset>
                </wp:positionV>
                <wp:extent cx="4333875" cy="2350008"/>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2776F318"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FE2D9C">
                              <w:rPr>
                                <w:rFonts w:asciiTheme="majorHAnsi" w:hAnsiTheme="majorHAnsi" w:cs="Arial"/>
                                <w:b/>
                                <w:bCs/>
                                <w:color w:val="0D0D0D" w:themeColor="text1" w:themeTint="F2"/>
                                <w:sz w:val="36"/>
                                <w:szCs w:val="40"/>
                              </w:rPr>
                              <w:t>227</w:t>
                            </w:r>
                            <w:r w:rsidR="00322450" w:rsidRPr="004B7EB6">
                              <w:rPr>
                                <w:rFonts w:asciiTheme="majorHAnsi" w:hAnsiTheme="majorHAnsi" w:cs="Arial"/>
                                <w:b/>
                                <w:bCs/>
                                <w:color w:val="0D0D0D" w:themeColor="text1" w:themeTint="F2"/>
                                <w:sz w:val="36"/>
                                <w:szCs w:val="40"/>
                              </w:rPr>
                              <w:t>/</w:t>
                            </w:r>
                            <w:r w:rsidR="006614CA">
                              <w:rPr>
                                <w:rFonts w:asciiTheme="majorHAnsi" w:hAnsiTheme="majorHAnsi" w:cs="Arial"/>
                                <w:b/>
                                <w:bCs/>
                                <w:color w:val="0D0D0D" w:themeColor="text1" w:themeTint="F2"/>
                                <w:sz w:val="36"/>
                                <w:szCs w:val="40"/>
                              </w:rPr>
                              <w:t>20</w:t>
                            </w:r>
                          </w:p>
                          <w:p w14:paraId="3BC576DE" w14:textId="451301CE" w:rsidR="00BE4842" w:rsidRPr="00D01FA1" w:rsidRDefault="00F42B71" w:rsidP="00BE4842">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A94A33" w:rsidRPr="00D01FA1">
                              <w:rPr>
                                <w:rFonts w:asciiTheme="majorHAnsi" w:hAnsiTheme="majorHAnsi" w:cs="Arial"/>
                                <w:b/>
                                <w:color w:val="0D0D0D" w:themeColor="text1" w:themeTint="F2"/>
                                <w:sz w:val="36"/>
                                <w:szCs w:val="22"/>
                              </w:rPr>
                              <w:t>922-11</w:t>
                            </w:r>
                          </w:p>
                          <w:p w14:paraId="34978E5A" w14:textId="1B7C5940"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w:t>
                            </w:r>
                            <w:r w:rsidR="00F621C3">
                              <w:rPr>
                                <w:rFonts w:asciiTheme="majorHAnsi" w:hAnsiTheme="majorHAnsi" w:cs="Arial"/>
                                <w:color w:val="0D0D0D" w:themeColor="text1" w:themeTint="F2"/>
                                <w:szCs w:val="22"/>
                              </w:rPr>
                              <w:t xml:space="preserve"> 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57EB9201" w14:textId="77777777" w:rsidR="00A94A33" w:rsidRPr="00FE2D9C" w:rsidRDefault="00A94A33" w:rsidP="00FE2D9C">
                            <w:pPr>
                              <w:spacing w:line="276" w:lineRule="auto"/>
                              <w:rPr>
                                <w:rFonts w:asciiTheme="majorHAnsi" w:hAnsiTheme="majorHAnsi" w:cs="Arial"/>
                                <w:color w:val="0D0D0D" w:themeColor="text1" w:themeTint="F2"/>
                                <w:szCs w:val="22"/>
                              </w:rPr>
                            </w:pPr>
                            <w:r w:rsidRPr="00FE2D9C">
                              <w:rPr>
                                <w:rFonts w:asciiTheme="majorHAnsi" w:hAnsiTheme="majorHAnsi" w:cs="Arial"/>
                                <w:color w:val="0D0D0D" w:themeColor="text1" w:themeTint="F2"/>
                                <w:szCs w:val="22"/>
                              </w:rPr>
                              <w:t>EX - WORKERS OF THE NATIONAL COPPER CORPORATION</w:t>
                            </w:r>
                          </w:p>
                          <w:p w14:paraId="11C2DF21" w14:textId="3DEC314C" w:rsidR="00CA6808" w:rsidRPr="00FE2D9C" w:rsidRDefault="00A94A33" w:rsidP="00FE2D9C">
                            <w:pPr>
                              <w:spacing w:line="276" w:lineRule="auto"/>
                              <w:rPr>
                                <w:rFonts w:asciiTheme="majorHAnsi" w:hAnsiTheme="majorHAnsi" w:cs="Arial"/>
                                <w:color w:val="0D0D0D" w:themeColor="text1" w:themeTint="F2"/>
                                <w:szCs w:val="22"/>
                              </w:rPr>
                            </w:pPr>
                            <w:r w:rsidRPr="00FE2D9C">
                              <w:rPr>
                                <w:rFonts w:asciiTheme="majorHAnsi" w:hAnsiTheme="majorHAnsi" w:cs="Arial"/>
                                <w:color w:val="0D0D0D" w:themeColor="text1" w:themeTint="F2"/>
                                <w:szCs w:val="22"/>
                              </w:rPr>
                              <w:t>CHILE</w:t>
                            </w:r>
                          </w:p>
                          <w:p w14:paraId="17A89EFB" w14:textId="69DCBE99" w:rsidR="005B52B0" w:rsidRPr="000C4365" w:rsidRDefault="005B52B0" w:rsidP="00A23E3E">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AB7EE52"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" filled="f" stroked="f" strokeweight=".5pt">
                <v:textbox>
                  <w:txbxContent>
                    <w:p w14:paraId="6F7C2188" w14:textId="2776F318"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FE2D9C">
                        <w:rPr>
                          <w:rFonts w:asciiTheme="majorHAnsi" w:hAnsiTheme="majorHAnsi" w:cs="Arial"/>
                          <w:b/>
                          <w:bCs/>
                          <w:color w:val="0D0D0D" w:themeColor="text1" w:themeTint="F2"/>
                          <w:sz w:val="36"/>
                          <w:szCs w:val="40"/>
                        </w:rPr>
                        <w:t>227</w:t>
                      </w:r>
                      <w:r w:rsidR="00322450" w:rsidRPr="004B7EB6">
                        <w:rPr>
                          <w:rFonts w:asciiTheme="majorHAnsi" w:hAnsiTheme="majorHAnsi" w:cs="Arial"/>
                          <w:b/>
                          <w:bCs/>
                          <w:color w:val="0D0D0D" w:themeColor="text1" w:themeTint="F2"/>
                          <w:sz w:val="36"/>
                          <w:szCs w:val="40"/>
                        </w:rPr>
                        <w:t>/</w:t>
                      </w:r>
                      <w:r w:rsidR="006614CA">
                        <w:rPr>
                          <w:rFonts w:asciiTheme="majorHAnsi" w:hAnsiTheme="majorHAnsi" w:cs="Arial"/>
                          <w:b/>
                          <w:bCs/>
                          <w:color w:val="0D0D0D" w:themeColor="text1" w:themeTint="F2"/>
                          <w:sz w:val="36"/>
                          <w:szCs w:val="40"/>
                        </w:rPr>
                        <w:t>20</w:t>
                      </w:r>
                    </w:p>
                    <w:p w14:paraId="3BC576DE" w14:textId="451301CE" w:rsidR="00BE4842" w:rsidRPr="00D01FA1" w:rsidRDefault="00F42B71" w:rsidP="00BE4842">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A94A33" w:rsidRPr="00D01FA1">
                        <w:rPr>
                          <w:rFonts w:asciiTheme="majorHAnsi" w:hAnsiTheme="majorHAnsi" w:cs="Arial"/>
                          <w:b/>
                          <w:color w:val="0D0D0D" w:themeColor="text1" w:themeTint="F2"/>
                          <w:sz w:val="36"/>
                          <w:szCs w:val="22"/>
                        </w:rPr>
                        <w:t>922-11</w:t>
                      </w:r>
                    </w:p>
                    <w:p w14:paraId="34978E5A" w14:textId="1B7C5940"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w:t>
                      </w:r>
                      <w:r w:rsidR="00F621C3">
                        <w:rPr>
                          <w:rFonts w:asciiTheme="majorHAnsi" w:hAnsiTheme="majorHAnsi" w:cs="Arial"/>
                          <w:color w:val="0D0D0D" w:themeColor="text1" w:themeTint="F2"/>
                          <w:szCs w:val="22"/>
                        </w:rPr>
                        <w:t xml:space="preserve"> 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57EB9201" w14:textId="77777777" w:rsidR="00A94A33" w:rsidRPr="00FE2D9C" w:rsidRDefault="00A94A33" w:rsidP="00FE2D9C">
                      <w:pPr>
                        <w:spacing w:line="276" w:lineRule="auto"/>
                        <w:rPr>
                          <w:rFonts w:asciiTheme="majorHAnsi" w:hAnsiTheme="majorHAnsi" w:cs="Arial"/>
                          <w:color w:val="0D0D0D" w:themeColor="text1" w:themeTint="F2"/>
                          <w:szCs w:val="22"/>
                        </w:rPr>
                      </w:pPr>
                      <w:r w:rsidRPr="00FE2D9C">
                        <w:rPr>
                          <w:rFonts w:asciiTheme="majorHAnsi" w:hAnsiTheme="majorHAnsi" w:cs="Arial"/>
                          <w:color w:val="0D0D0D" w:themeColor="text1" w:themeTint="F2"/>
                          <w:szCs w:val="22"/>
                        </w:rPr>
                        <w:t>EX - WORKERS OF THE NATIONAL COPPER CORPORATION</w:t>
                      </w:r>
                    </w:p>
                    <w:p w14:paraId="11C2DF21" w14:textId="3DEC314C" w:rsidR="00CA6808" w:rsidRPr="00FE2D9C" w:rsidRDefault="00A94A33" w:rsidP="00FE2D9C">
                      <w:pPr>
                        <w:spacing w:line="276" w:lineRule="auto"/>
                        <w:rPr>
                          <w:rFonts w:asciiTheme="majorHAnsi" w:hAnsiTheme="majorHAnsi" w:cs="Arial"/>
                          <w:color w:val="0D0D0D" w:themeColor="text1" w:themeTint="F2"/>
                          <w:szCs w:val="22"/>
                        </w:rPr>
                      </w:pPr>
                      <w:r w:rsidRPr="00FE2D9C">
                        <w:rPr>
                          <w:rFonts w:asciiTheme="majorHAnsi" w:hAnsiTheme="majorHAnsi" w:cs="Arial"/>
                          <w:color w:val="0D0D0D" w:themeColor="text1" w:themeTint="F2"/>
                          <w:szCs w:val="22"/>
                        </w:rPr>
                        <w:t>CHILE</w:t>
                      </w:r>
                    </w:p>
                    <w:p w14:paraId="17A89EFB" w14:textId="69DCBE99" w:rsidR="005B52B0" w:rsidRPr="000C4365" w:rsidRDefault="005B52B0" w:rsidP="00A23E3E">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823D97" w14:textId="310050A5" w:rsidR="00302748" w:rsidRPr="00D92884" w:rsidRDefault="00FE2D9C" w:rsidP="009E566A">
                            <w:pPr>
                              <w:jc w:val="right"/>
                              <w:rPr>
                                <w:rFonts w:asciiTheme="minorHAnsi" w:hAnsiTheme="minorHAnsi"/>
                                <w:color w:val="FF0000"/>
                                <w:sz w:val="22"/>
                                <w:lang w:val="es-US"/>
                              </w:rPr>
                            </w:pPr>
                            <w:r w:rsidRPr="00D92884">
                              <w:rPr>
                                <w:rFonts w:asciiTheme="minorHAnsi" w:hAnsiTheme="minorHAnsi"/>
                                <w:color w:val="FFFFFF" w:themeColor="background1"/>
                                <w:sz w:val="22"/>
                                <w:lang w:val="es-US"/>
                              </w:rPr>
                              <w:t>OEA/</w:t>
                            </w:r>
                            <w:proofErr w:type="spellStart"/>
                            <w:r w:rsidRPr="00D92884">
                              <w:rPr>
                                <w:rFonts w:asciiTheme="minorHAnsi" w:hAnsiTheme="minorHAnsi"/>
                                <w:color w:val="FFFFFF" w:themeColor="background1"/>
                                <w:sz w:val="22"/>
                                <w:lang w:val="es-US"/>
                              </w:rPr>
                              <w:t>Ser.L</w:t>
                            </w:r>
                            <w:proofErr w:type="spellEnd"/>
                            <w:r w:rsidRPr="00D92884">
                              <w:rPr>
                                <w:rFonts w:asciiTheme="minorHAnsi" w:hAnsiTheme="minorHAnsi"/>
                                <w:color w:val="FFFFFF" w:themeColor="background1"/>
                                <w:sz w:val="22"/>
                                <w:lang w:val="es-US"/>
                              </w:rPr>
                              <w:t>/V/II</w:t>
                            </w:r>
                          </w:p>
                          <w:p w14:paraId="4AA08A8C" w14:textId="1DA6B985" w:rsidR="00627C9F" w:rsidRPr="00D92884" w:rsidRDefault="00CA6577" w:rsidP="009E566A">
                            <w:pPr>
                              <w:jc w:val="right"/>
                              <w:rPr>
                                <w:rFonts w:asciiTheme="minorHAnsi" w:hAnsiTheme="minorHAnsi"/>
                                <w:color w:val="FFFFFF" w:themeColor="background1"/>
                                <w:sz w:val="22"/>
                                <w:lang w:val="es-US"/>
                              </w:rPr>
                            </w:pPr>
                            <w:r w:rsidRPr="00D92884">
                              <w:rPr>
                                <w:rFonts w:asciiTheme="minorHAnsi" w:hAnsiTheme="minorHAnsi"/>
                                <w:color w:val="FFFFFF" w:themeColor="background1"/>
                                <w:sz w:val="22"/>
                                <w:lang w:val="es-US"/>
                              </w:rPr>
                              <w:t xml:space="preserve">Doc. </w:t>
                            </w:r>
                            <w:r w:rsidR="00FE2D9C" w:rsidRPr="00D92884">
                              <w:rPr>
                                <w:rFonts w:asciiTheme="minorHAnsi" w:hAnsiTheme="minorHAnsi"/>
                                <w:color w:val="FFFFFF" w:themeColor="background1"/>
                                <w:sz w:val="22"/>
                                <w:lang w:val="es-US"/>
                              </w:rPr>
                              <w:t>242</w:t>
                            </w:r>
                          </w:p>
                          <w:p w14:paraId="0BEFF61A" w14:textId="1CF3084D" w:rsidR="00627C9F" w:rsidRPr="004B7EB6" w:rsidRDefault="00022CF5" w:rsidP="009E566A">
                            <w:pPr>
                              <w:jc w:val="right"/>
                              <w:rPr>
                                <w:rFonts w:asciiTheme="minorHAnsi" w:hAnsiTheme="minorHAnsi"/>
                                <w:color w:val="FFFFFF" w:themeColor="background1"/>
                                <w:sz w:val="22"/>
                              </w:rPr>
                            </w:pPr>
                            <w:r w:rsidRPr="00D92884">
                              <w:rPr>
                                <w:rFonts w:asciiTheme="minorHAnsi" w:hAnsiTheme="minorHAnsi"/>
                                <w:color w:val="FFFFFF" w:themeColor="background1"/>
                                <w:sz w:val="22"/>
                                <w:lang w:val="es-US"/>
                              </w:rPr>
                              <w:t xml:space="preserve"> </w:t>
                            </w:r>
                            <w:r w:rsidR="00FE2D9C">
                              <w:rPr>
                                <w:rFonts w:asciiTheme="minorHAnsi" w:hAnsiTheme="minorHAnsi"/>
                                <w:color w:val="FFFFFF" w:themeColor="background1"/>
                                <w:sz w:val="22"/>
                              </w:rPr>
                              <w:t>6 September</w:t>
                            </w:r>
                            <w:r w:rsidR="00167D72">
                              <w:rPr>
                                <w:rFonts w:asciiTheme="minorHAnsi" w:hAnsiTheme="minorHAnsi"/>
                                <w:color w:val="FFFFFF" w:themeColor="background1"/>
                                <w:sz w:val="22"/>
                              </w:rPr>
                              <w:t xml:space="preserve"> 2020</w:t>
                            </w:r>
                          </w:p>
                          <w:p w14:paraId="5F1F7BEA" w14:textId="5D7F2AEB" w:rsidR="00302748" w:rsidRPr="00302748" w:rsidRDefault="00627C9F" w:rsidP="00FE2D9C">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FE2D9C">
                              <w:rPr>
                                <w:rFonts w:asciiTheme="minorHAnsi" w:hAnsiTheme="minorHAnsi"/>
                                <w:color w:val="FFFFFF" w:themeColor="background1"/>
                                <w:sz w:val="22"/>
                              </w:rPr>
                              <w:t xml:space="preserve">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3F823D97" w14:textId="310050A5" w:rsidR="00302748" w:rsidRPr="00FE2D9C" w:rsidRDefault="00FE2D9C" w:rsidP="009E566A">
                      <w:pPr>
                        <w:jc w:val="right"/>
                        <w:rPr>
                          <w:rFonts w:asciiTheme="minorHAnsi" w:hAnsiTheme="minorHAnsi"/>
                          <w:color w:val="FF0000"/>
                          <w:sz w:val="22"/>
                        </w:rPr>
                      </w:pPr>
                      <w:r w:rsidRPr="00FE2D9C">
                        <w:rPr>
                          <w:rFonts w:asciiTheme="minorHAnsi" w:hAnsiTheme="minorHAnsi"/>
                          <w:color w:val="FFFFFF" w:themeColor="background1"/>
                          <w:sz w:val="22"/>
                        </w:rPr>
                        <w:t>OEA/Ser.L/V/II</w:t>
                      </w:r>
                    </w:p>
                    <w:p w14:paraId="4AA08A8C" w14:textId="1DA6B985" w:rsidR="00627C9F" w:rsidRPr="00FE2D9C" w:rsidRDefault="00CA6577" w:rsidP="009E566A">
                      <w:pPr>
                        <w:jc w:val="right"/>
                        <w:rPr>
                          <w:rFonts w:asciiTheme="minorHAnsi" w:hAnsiTheme="minorHAnsi"/>
                          <w:color w:val="FFFFFF" w:themeColor="background1"/>
                          <w:sz w:val="22"/>
                        </w:rPr>
                      </w:pPr>
                      <w:r w:rsidRPr="00FE2D9C">
                        <w:rPr>
                          <w:rFonts w:asciiTheme="minorHAnsi" w:hAnsiTheme="minorHAnsi"/>
                          <w:color w:val="FFFFFF" w:themeColor="background1"/>
                          <w:sz w:val="22"/>
                        </w:rPr>
                        <w:t xml:space="preserve">Doc. </w:t>
                      </w:r>
                      <w:r w:rsidR="00FE2D9C" w:rsidRPr="00FE2D9C">
                        <w:rPr>
                          <w:rFonts w:asciiTheme="minorHAnsi" w:hAnsiTheme="minorHAnsi"/>
                          <w:color w:val="FFFFFF" w:themeColor="background1"/>
                          <w:sz w:val="22"/>
                        </w:rPr>
                        <w:t>242</w:t>
                      </w:r>
                    </w:p>
                    <w:p w14:paraId="0BEFF61A" w14:textId="1CF3084D" w:rsidR="00627C9F" w:rsidRPr="004B7EB6" w:rsidRDefault="00022CF5" w:rsidP="009E566A">
                      <w:pPr>
                        <w:jc w:val="right"/>
                        <w:rPr>
                          <w:rFonts w:asciiTheme="minorHAnsi" w:hAnsiTheme="minorHAnsi"/>
                          <w:color w:val="FFFFFF" w:themeColor="background1"/>
                          <w:sz w:val="22"/>
                        </w:rPr>
                      </w:pPr>
                      <w:r w:rsidRPr="00FE2D9C">
                        <w:rPr>
                          <w:rFonts w:asciiTheme="minorHAnsi" w:hAnsiTheme="minorHAnsi"/>
                          <w:color w:val="FFFFFF" w:themeColor="background1"/>
                          <w:sz w:val="22"/>
                        </w:rPr>
                        <w:t xml:space="preserve"> </w:t>
                      </w:r>
                      <w:r w:rsidR="00FE2D9C">
                        <w:rPr>
                          <w:rFonts w:asciiTheme="minorHAnsi" w:hAnsiTheme="minorHAnsi"/>
                          <w:color w:val="FFFFFF" w:themeColor="background1"/>
                          <w:sz w:val="22"/>
                        </w:rPr>
                        <w:t>6 September</w:t>
                      </w:r>
                      <w:r w:rsidR="00167D72">
                        <w:rPr>
                          <w:rFonts w:asciiTheme="minorHAnsi" w:hAnsiTheme="minorHAnsi"/>
                          <w:color w:val="FFFFFF" w:themeColor="background1"/>
                          <w:sz w:val="22"/>
                        </w:rPr>
                        <w:t xml:space="preserve"> 2020</w:t>
                      </w:r>
                    </w:p>
                    <w:p w14:paraId="5F1F7BEA" w14:textId="5D7F2AEB" w:rsidR="00302748" w:rsidRPr="00302748" w:rsidRDefault="00627C9F" w:rsidP="00FE2D9C">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FE2D9C">
                        <w:rPr>
                          <w:rFonts w:asciiTheme="minorHAnsi" w:hAnsiTheme="minorHAnsi"/>
                          <w:color w:val="FFFFFF" w:themeColor="background1"/>
                          <w:sz w:val="22"/>
                        </w:rPr>
                        <w:t xml:space="preserve"> 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33231D03"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FE2D9C">
                              <w:rPr>
                                <w:rFonts w:asciiTheme="majorHAnsi" w:hAnsiTheme="majorHAnsi"/>
                                <w:color w:val="0D0D0D" w:themeColor="text1" w:themeTint="F2"/>
                                <w:sz w:val="18"/>
                                <w:szCs w:val="20"/>
                              </w:rPr>
                              <w:t>electronically</w:t>
                            </w:r>
                            <w:r w:rsidR="00FE2D9C" w:rsidRPr="003C32BC">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by the Commission </w:t>
                            </w:r>
                            <w:r w:rsidR="007F196E">
                              <w:rPr>
                                <w:rFonts w:asciiTheme="majorHAnsi" w:hAnsiTheme="majorHAnsi"/>
                                <w:color w:val="0D0D0D" w:themeColor="text1" w:themeTint="F2"/>
                                <w:sz w:val="18"/>
                                <w:szCs w:val="20"/>
                              </w:rPr>
                              <w:t>on</w:t>
                            </w:r>
                            <w:r w:rsidRPr="003C32BC">
                              <w:rPr>
                                <w:rFonts w:asciiTheme="majorHAnsi" w:hAnsiTheme="majorHAnsi"/>
                                <w:color w:val="0D0D0D" w:themeColor="text1" w:themeTint="F2"/>
                                <w:sz w:val="18"/>
                                <w:szCs w:val="20"/>
                              </w:rPr>
                              <w:t xml:space="preserve"> </w:t>
                            </w:r>
                            <w:r w:rsidR="00FE2D9C">
                              <w:rPr>
                                <w:rFonts w:asciiTheme="majorHAnsi" w:hAnsiTheme="majorHAnsi"/>
                                <w:color w:val="0D0D0D" w:themeColor="text1" w:themeTint="F2"/>
                                <w:sz w:val="18"/>
                                <w:szCs w:val="20"/>
                              </w:rPr>
                              <w:t>September 6</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2020</w:t>
                            </w:r>
                            <w:r w:rsidR="00C8337B">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45188" id="_x0000_t202" coordsize="21600,21600" o:spt="202" path="m,l,21600r21600,l21600,xe">
                <v:stroke joinstyle="miter"/>
                <v:path gradientshapeok="t" o:connecttype="rect"/>
              </v:shapetype>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33231D03"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FE2D9C">
                        <w:rPr>
                          <w:rFonts w:asciiTheme="majorHAnsi" w:hAnsiTheme="majorHAnsi"/>
                          <w:color w:val="0D0D0D" w:themeColor="text1" w:themeTint="F2"/>
                          <w:sz w:val="18"/>
                          <w:szCs w:val="20"/>
                        </w:rPr>
                        <w:t>electronically</w:t>
                      </w:r>
                      <w:r w:rsidR="00FE2D9C" w:rsidRPr="003C32BC">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by the Commission </w:t>
                      </w:r>
                      <w:r w:rsidR="007F196E">
                        <w:rPr>
                          <w:rFonts w:asciiTheme="majorHAnsi" w:hAnsiTheme="majorHAnsi"/>
                          <w:color w:val="0D0D0D" w:themeColor="text1" w:themeTint="F2"/>
                          <w:sz w:val="18"/>
                          <w:szCs w:val="20"/>
                        </w:rPr>
                        <w:t>on</w:t>
                      </w:r>
                      <w:r w:rsidRPr="003C32BC">
                        <w:rPr>
                          <w:rFonts w:asciiTheme="majorHAnsi" w:hAnsiTheme="majorHAnsi"/>
                          <w:color w:val="0D0D0D" w:themeColor="text1" w:themeTint="F2"/>
                          <w:sz w:val="18"/>
                          <w:szCs w:val="20"/>
                        </w:rPr>
                        <w:t xml:space="preserve"> </w:t>
                      </w:r>
                      <w:r w:rsidR="00FE2D9C">
                        <w:rPr>
                          <w:rFonts w:asciiTheme="majorHAnsi" w:hAnsiTheme="majorHAnsi"/>
                          <w:color w:val="0D0D0D" w:themeColor="text1" w:themeTint="F2"/>
                          <w:sz w:val="18"/>
                          <w:szCs w:val="20"/>
                        </w:rPr>
                        <w:t>September 6</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2020</w:t>
                      </w:r>
                      <w:r w:rsidR="00C8337B">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61C21D8A"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FE2D9C">
                              <w:rPr>
                                <w:rFonts w:asciiTheme="majorHAnsi" w:hAnsiTheme="majorHAnsi"/>
                                <w:color w:val="595959" w:themeColor="text1" w:themeTint="A6"/>
                                <w:sz w:val="18"/>
                              </w:rPr>
                              <w:t>227</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FE2D9C">
                              <w:rPr>
                                <w:rFonts w:asciiTheme="majorHAnsi" w:hAnsiTheme="majorHAnsi"/>
                                <w:color w:val="595959" w:themeColor="text1" w:themeTint="A6"/>
                                <w:sz w:val="18"/>
                              </w:rPr>
                              <w:t>922</w:t>
                            </w:r>
                            <w:r w:rsidR="00F621C3">
                              <w:rPr>
                                <w:rFonts w:asciiTheme="majorHAnsi" w:hAnsiTheme="majorHAnsi"/>
                                <w:color w:val="595959" w:themeColor="text1" w:themeTint="A6"/>
                                <w:sz w:val="18"/>
                              </w:rPr>
                              <w:t>-</w:t>
                            </w:r>
                            <w:r w:rsidR="00FE2D9C">
                              <w:rPr>
                                <w:rFonts w:asciiTheme="majorHAnsi" w:hAnsiTheme="majorHAnsi"/>
                                <w:color w:val="595959" w:themeColor="text1" w:themeTint="A6"/>
                                <w:sz w:val="18"/>
                              </w:rPr>
                              <w:t>11</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FE2D9C">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FE2D9C">
                              <w:rPr>
                                <w:rFonts w:asciiTheme="majorHAnsi" w:hAnsiTheme="majorHAnsi"/>
                                <w:color w:val="595959" w:themeColor="text1" w:themeTint="A6"/>
                                <w:sz w:val="18"/>
                              </w:rPr>
                              <w:t>Ex-workers of the National Copper Corporation</w:t>
                            </w:r>
                            <w:r w:rsidRPr="003C32BC">
                              <w:rPr>
                                <w:rFonts w:asciiTheme="majorHAnsi" w:hAnsiTheme="majorHAnsi"/>
                                <w:color w:val="595959" w:themeColor="text1" w:themeTint="A6"/>
                                <w:sz w:val="18"/>
                              </w:rPr>
                              <w:t xml:space="preserve">. </w:t>
                            </w:r>
                            <w:r w:rsidR="00FE2D9C">
                              <w:rPr>
                                <w:rFonts w:asciiTheme="majorHAnsi" w:hAnsiTheme="majorHAnsi"/>
                                <w:color w:val="595959" w:themeColor="text1" w:themeTint="A6"/>
                                <w:sz w:val="18"/>
                              </w:rPr>
                              <w:t>Chile</w:t>
                            </w:r>
                            <w:r w:rsidR="00022CF5">
                              <w:rPr>
                                <w:rFonts w:asciiTheme="majorHAnsi" w:hAnsiTheme="majorHAnsi"/>
                                <w:color w:val="595959" w:themeColor="text1" w:themeTint="A6"/>
                                <w:sz w:val="18"/>
                              </w:rPr>
                              <w:t xml:space="preserve">. </w:t>
                            </w:r>
                            <w:r w:rsidR="00FE2D9C">
                              <w:rPr>
                                <w:rFonts w:asciiTheme="majorHAnsi" w:hAnsiTheme="majorHAnsi"/>
                                <w:color w:val="595959" w:themeColor="text1" w:themeTint="A6"/>
                                <w:sz w:val="18"/>
                              </w:rPr>
                              <w:t>September 6,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61C21D8A"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proofErr w:type="gramEnd"/>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FE2D9C">
                        <w:rPr>
                          <w:rFonts w:asciiTheme="majorHAnsi" w:hAnsiTheme="majorHAnsi"/>
                          <w:color w:val="595959" w:themeColor="text1" w:themeTint="A6"/>
                          <w:sz w:val="18"/>
                        </w:rPr>
                        <w:t>227</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FE2D9C">
                        <w:rPr>
                          <w:rFonts w:asciiTheme="majorHAnsi" w:hAnsiTheme="majorHAnsi"/>
                          <w:color w:val="595959" w:themeColor="text1" w:themeTint="A6"/>
                          <w:sz w:val="18"/>
                        </w:rPr>
                        <w:t>922</w:t>
                      </w:r>
                      <w:r w:rsidR="00F621C3">
                        <w:rPr>
                          <w:rFonts w:asciiTheme="majorHAnsi" w:hAnsiTheme="majorHAnsi"/>
                          <w:color w:val="595959" w:themeColor="text1" w:themeTint="A6"/>
                          <w:sz w:val="18"/>
                        </w:rPr>
                        <w:t>-</w:t>
                      </w:r>
                      <w:r w:rsidR="00FE2D9C">
                        <w:rPr>
                          <w:rFonts w:asciiTheme="majorHAnsi" w:hAnsiTheme="majorHAnsi"/>
                          <w:color w:val="595959" w:themeColor="text1" w:themeTint="A6"/>
                          <w:sz w:val="18"/>
                        </w:rPr>
                        <w:t>11</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FE2D9C">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FE2D9C">
                        <w:rPr>
                          <w:rFonts w:asciiTheme="majorHAnsi" w:hAnsiTheme="majorHAnsi"/>
                          <w:color w:val="595959" w:themeColor="text1" w:themeTint="A6"/>
                          <w:sz w:val="18"/>
                        </w:rPr>
                        <w:t>Ex-workers of the National Copper Corporation</w:t>
                      </w:r>
                      <w:r w:rsidRPr="003C32BC">
                        <w:rPr>
                          <w:rFonts w:asciiTheme="majorHAnsi" w:hAnsiTheme="majorHAnsi"/>
                          <w:color w:val="595959" w:themeColor="text1" w:themeTint="A6"/>
                          <w:sz w:val="18"/>
                        </w:rPr>
                        <w:t xml:space="preserve">. </w:t>
                      </w:r>
                      <w:r w:rsidR="00FE2D9C">
                        <w:rPr>
                          <w:rFonts w:asciiTheme="majorHAnsi" w:hAnsiTheme="majorHAnsi"/>
                          <w:color w:val="595959" w:themeColor="text1" w:themeTint="A6"/>
                          <w:sz w:val="18"/>
                        </w:rPr>
                        <w:t>Chile</w:t>
                      </w:r>
                      <w:r w:rsidR="00022CF5">
                        <w:rPr>
                          <w:rFonts w:asciiTheme="majorHAnsi" w:hAnsiTheme="majorHAnsi"/>
                          <w:color w:val="595959" w:themeColor="text1" w:themeTint="A6"/>
                          <w:sz w:val="18"/>
                        </w:rPr>
                        <w:t xml:space="preserve">. </w:t>
                      </w:r>
                      <w:r w:rsidR="00FE2D9C">
                        <w:rPr>
                          <w:rFonts w:asciiTheme="majorHAnsi" w:hAnsiTheme="majorHAnsi"/>
                          <w:color w:val="595959" w:themeColor="text1" w:themeTint="A6"/>
                          <w:sz w:val="18"/>
                        </w:rPr>
                        <w:t>September 6, 2020.</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CA6808"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CA6808" w:rsidRPr="000B6B7A" w:rsidRDefault="00CA6808" w:rsidP="00CA6808">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670" w:type="dxa"/>
            <w:vAlign w:val="center"/>
          </w:tcPr>
          <w:p w14:paraId="0674C7B8" w14:textId="668D2692" w:rsidR="00CA6808" w:rsidRPr="00FE5113" w:rsidRDefault="00A94A33" w:rsidP="00CA6808">
            <w:pPr>
              <w:jc w:val="both"/>
              <w:rPr>
                <w:rFonts w:asciiTheme="majorHAnsi" w:hAnsiTheme="majorHAnsi"/>
                <w:bCs/>
                <w:sz w:val="20"/>
                <w:szCs w:val="20"/>
              </w:rPr>
            </w:pPr>
            <w:r>
              <w:rPr>
                <w:rFonts w:ascii="Cambria" w:hAnsi="Cambria"/>
                <w:bCs/>
                <w:sz w:val="20"/>
                <w:szCs w:val="20"/>
              </w:rPr>
              <w:t>Johana Cristina Rivera Tijerina</w:t>
            </w:r>
          </w:p>
        </w:tc>
      </w:tr>
      <w:tr w:rsidR="00CA6808"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CA6808" w:rsidRPr="000B6B7A" w:rsidRDefault="0024732A" w:rsidP="00CA6808">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DEB03EE20A890B4A93B9EA56A04B733C"/>
                </w:placeholder>
                <w:dropDownList>
                  <w:listItem w:value="Choose an item."/>
                  <w:listItem w:displayText="Alleged victim" w:value="Alleged victim"/>
                  <w:listItem w:displayText="Alleged victims" w:value="Alleged victims"/>
                </w:dropDownList>
              </w:sdtPr>
              <w:sdtEndPr/>
              <w:sdtContent>
                <w:r w:rsidR="00CA6808">
                  <w:rPr>
                    <w:rFonts w:ascii="Cambria" w:hAnsi="Cambria"/>
                    <w:b/>
                    <w:bCs/>
                    <w:color w:val="FFFFFF" w:themeColor="background1"/>
                    <w:sz w:val="20"/>
                    <w:szCs w:val="20"/>
                  </w:rPr>
                  <w:t>Alleged victim</w:t>
                </w:r>
              </w:sdtContent>
            </w:sdt>
            <w:r w:rsidR="00CA6808" w:rsidRPr="000C4365">
              <w:rPr>
                <w:rFonts w:ascii="Cambria" w:hAnsi="Cambria"/>
                <w:b/>
                <w:bCs/>
                <w:color w:val="FFFFFF" w:themeColor="background1"/>
                <w:sz w:val="20"/>
                <w:szCs w:val="20"/>
              </w:rPr>
              <w:t>:</w:t>
            </w:r>
          </w:p>
        </w:tc>
        <w:tc>
          <w:tcPr>
            <w:tcW w:w="5670" w:type="dxa"/>
            <w:vAlign w:val="center"/>
          </w:tcPr>
          <w:p w14:paraId="60895337" w14:textId="01A2B50D" w:rsidR="00CA6808" w:rsidRPr="00FE5113" w:rsidRDefault="00A94A33" w:rsidP="00CA6808">
            <w:pPr>
              <w:jc w:val="both"/>
              <w:rPr>
                <w:rFonts w:asciiTheme="majorHAnsi" w:hAnsiTheme="majorHAnsi"/>
                <w:bCs/>
                <w:sz w:val="20"/>
                <w:szCs w:val="20"/>
              </w:rPr>
            </w:pPr>
            <w:proofErr w:type="spellStart"/>
            <w:r w:rsidRPr="00D01FA1">
              <w:rPr>
                <w:rFonts w:ascii="Cambria" w:hAnsi="Cambria"/>
                <w:bCs/>
                <w:sz w:val="20"/>
                <w:szCs w:val="20"/>
              </w:rPr>
              <w:t>Arístides</w:t>
            </w:r>
            <w:proofErr w:type="spellEnd"/>
            <w:r w:rsidRPr="00D01FA1">
              <w:rPr>
                <w:rFonts w:ascii="Cambria" w:hAnsi="Cambria"/>
                <w:bCs/>
                <w:sz w:val="20"/>
                <w:szCs w:val="20"/>
              </w:rPr>
              <w:t xml:space="preserve"> </w:t>
            </w:r>
            <w:proofErr w:type="spellStart"/>
            <w:r w:rsidRPr="00D01FA1">
              <w:rPr>
                <w:rFonts w:ascii="Cambria" w:hAnsi="Cambria"/>
                <w:bCs/>
                <w:sz w:val="20"/>
                <w:szCs w:val="20"/>
              </w:rPr>
              <w:t>Zúñiga</w:t>
            </w:r>
            <w:proofErr w:type="spellEnd"/>
            <w:r w:rsidRPr="00D01FA1">
              <w:rPr>
                <w:rFonts w:ascii="Cambria" w:hAnsi="Cambria"/>
                <w:bCs/>
                <w:sz w:val="20"/>
                <w:szCs w:val="20"/>
              </w:rPr>
              <w:t xml:space="preserve"> Zepeda and others</w:t>
            </w:r>
            <w:r w:rsidR="00D51F05" w:rsidRPr="00507154">
              <w:rPr>
                <w:rStyle w:val="FootnoteReference"/>
                <w:rFonts w:asciiTheme="majorHAnsi" w:hAnsiTheme="majorHAnsi"/>
                <w:bCs/>
                <w:sz w:val="20"/>
                <w:szCs w:val="20"/>
                <w:lang w:val="es-ES"/>
              </w:rPr>
              <w:footnoteReference w:id="2"/>
            </w:r>
          </w:p>
        </w:tc>
      </w:tr>
      <w:tr w:rsidR="00CA6808"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CA6808" w:rsidRPr="000B6B7A" w:rsidRDefault="00CA6808" w:rsidP="00CA6808">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670" w:type="dxa"/>
            <w:vAlign w:val="center"/>
          </w:tcPr>
          <w:p w14:paraId="3539D391" w14:textId="4FD3A191" w:rsidR="00CA6808" w:rsidRPr="00FE5113" w:rsidRDefault="00A94A33" w:rsidP="00CA6808">
            <w:pPr>
              <w:jc w:val="both"/>
              <w:rPr>
                <w:rFonts w:asciiTheme="majorHAnsi" w:hAnsiTheme="majorHAnsi"/>
                <w:bCs/>
                <w:sz w:val="20"/>
                <w:szCs w:val="20"/>
              </w:rPr>
            </w:pPr>
            <w:r>
              <w:rPr>
                <w:rFonts w:ascii="Cambria" w:hAnsi="Cambria"/>
                <w:bCs/>
                <w:sz w:val="20"/>
                <w:szCs w:val="20"/>
              </w:rPr>
              <w:t>Chile</w:t>
            </w:r>
            <w:r w:rsidRPr="000D05CB">
              <w:rPr>
                <w:rStyle w:val="FootnoteReference"/>
                <w:rFonts w:ascii="Cambria" w:hAnsi="Cambria"/>
                <w:bCs/>
                <w:sz w:val="20"/>
                <w:szCs w:val="20"/>
              </w:rPr>
              <w:footnoteReference w:id="3"/>
            </w:r>
          </w:p>
        </w:tc>
      </w:tr>
      <w:tr w:rsidR="00CA6808"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CA6808" w:rsidRPr="000B6B7A" w:rsidRDefault="00CA6808" w:rsidP="00CA6808">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670" w:type="dxa"/>
            <w:vAlign w:val="center"/>
          </w:tcPr>
          <w:p w14:paraId="51EEF9D2" w14:textId="6118D460" w:rsidR="00CA6808" w:rsidRPr="00FE5113" w:rsidRDefault="00A94A33" w:rsidP="00CA6808">
            <w:pPr>
              <w:jc w:val="both"/>
              <w:rPr>
                <w:rFonts w:ascii="Cambria" w:hAnsi="Cambria"/>
                <w:bCs/>
                <w:sz w:val="20"/>
                <w:szCs w:val="20"/>
              </w:rPr>
            </w:pPr>
            <w:r w:rsidRPr="00A94A33">
              <w:rPr>
                <w:rFonts w:ascii="Cambria" w:hAnsi="Cambria"/>
                <w:bCs/>
                <w:sz w:val="20"/>
                <w:szCs w:val="20"/>
              </w:rPr>
              <w:t>Articles 8 (</w:t>
            </w:r>
            <w:r>
              <w:rPr>
                <w:rFonts w:ascii="Cambria" w:hAnsi="Cambria"/>
                <w:bCs/>
                <w:sz w:val="20"/>
                <w:szCs w:val="20"/>
              </w:rPr>
              <w:t>fair trial</w:t>
            </w:r>
            <w:r w:rsidRPr="00A94A33">
              <w:rPr>
                <w:rFonts w:ascii="Cambria" w:hAnsi="Cambria"/>
                <w:bCs/>
                <w:sz w:val="20"/>
                <w:szCs w:val="20"/>
              </w:rPr>
              <w:t>), 25 (judicial protection) and 26 (economic, social and cultural rights) of the American Convention on Human Rights</w:t>
            </w:r>
            <w:r w:rsidRPr="00F13576">
              <w:rPr>
                <w:rStyle w:val="FootnoteReference"/>
                <w:rFonts w:ascii="Cambria" w:hAnsi="Cambria"/>
                <w:sz w:val="20"/>
                <w:szCs w:val="20"/>
              </w:rPr>
              <w:footnoteReference w:id="4"/>
            </w:r>
            <w:r w:rsidRPr="00A94A33">
              <w:rPr>
                <w:rFonts w:ascii="Cambria" w:hAnsi="Cambria"/>
                <w:bCs/>
                <w:sz w:val="20"/>
                <w:szCs w:val="20"/>
              </w:rPr>
              <w:t>, in relation to its article 1.1 (obligation to respect rights)</w:t>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0682DF87" w:rsidR="00F621C3" w:rsidRPr="00521B60" w:rsidRDefault="004F35AC" w:rsidP="00D01FA1">
            <w:pPr>
              <w:jc w:val="center"/>
              <w:rPr>
                <w:rFonts w:ascii="Cambria" w:hAnsi="Cambria"/>
                <w:b/>
                <w:bCs/>
                <w:color w:val="FFFFFF" w:themeColor="background1"/>
                <w:sz w:val="22"/>
                <w:szCs w:val="22"/>
              </w:rPr>
            </w:pPr>
            <w:r w:rsidRPr="004F35AC">
              <w:rPr>
                <w:rFonts w:ascii="Cambria" w:hAnsi="Cambria"/>
                <w:b/>
                <w:bCs/>
                <w:color w:val="FFFFFF" w:themeColor="background1"/>
                <w:sz w:val="22"/>
                <w:szCs w:val="22"/>
              </w:rPr>
              <w:t>Date of receipt</w:t>
            </w:r>
          </w:p>
        </w:tc>
        <w:tc>
          <w:tcPr>
            <w:tcW w:w="5670" w:type="dxa"/>
            <w:vAlign w:val="center"/>
          </w:tcPr>
          <w:p w14:paraId="1C0C3DE2" w14:textId="4A586ABE" w:rsidR="00F621C3" w:rsidRPr="00FE5113" w:rsidRDefault="00A94A33" w:rsidP="009163FC">
            <w:pPr>
              <w:jc w:val="both"/>
              <w:rPr>
                <w:rFonts w:ascii="Cambria" w:hAnsi="Cambria"/>
                <w:bCs/>
                <w:sz w:val="20"/>
                <w:szCs w:val="20"/>
              </w:rPr>
            </w:pPr>
            <w:r>
              <w:rPr>
                <w:rFonts w:ascii="Cambria" w:hAnsi="Cambria"/>
                <w:bCs/>
                <w:sz w:val="20"/>
                <w:szCs w:val="20"/>
              </w:rPr>
              <w:t>July 8, 2011</w:t>
            </w:r>
          </w:p>
        </w:tc>
      </w:tr>
      <w:tr w:rsidR="00D01FA1" w:rsidRPr="000B6B7A" w14:paraId="7C0179D2" w14:textId="77777777" w:rsidTr="00B06BB7">
        <w:tc>
          <w:tcPr>
            <w:tcW w:w="3690" w:type="dxa"/>
            <w:tcBorders>
              <w:top w:val="single" w:sz="6" w:space="0" w:color="auto"/>
              <w:bottom w:val="single" w:sz="6" w:space="0" w:color="auto"/>
            </w:tcBorders>
            <w:shd w:val="clear" w:color="auto" w:fill="67AE3C"/>
            <w:vAlign w:val="center"/>
          </w:tcPr>
          <w:p w14:paraId="27135C45" w14:textId="3E3F35D3" w:rsidR="00D01FA1" w:rsidRPr="004F35AC" w:rsidRDefault="00D01FA1" w:rsidP="00D01FA1">
            <w:pPr>
              <w:jc w:val="center"/>
              <w:rPr>
                <w:rFonts w:ascii="Cambria" w:hAnsi="Cambria"/>
                <w:b/>
                <w:bCs/>
                <w:color w:val="FFFFFF" w:themeColor="background1"/>
                <w:sz w:val="22"/>
                <w:szCs w:val="22"/>
              </w:rPr>
            </w:pPr>
            <w:r w:rsidRPr="00A94A33">
              <w:rPr>
                <w:rFonts w:ascii="Cambria" w:hAnsi="Cambria"/>
                <w:b/>
                <w:color w:val="FFFFFF" w:themeColor="background1"/>
                <w:sz w:val="22"/>
                <w:szCs w:val="22"/>
              </w:rPr>
              <w:t xml:space="preserve">Additional information received during the </w:t>
            </w:r>
            <w:r>
              <w:rPr>
                <w:rFonts w:ascii="Cambria" w:hAnsi="Cambria"/>
                <w:b/>
                <w:color w:val="FFFFFF" w:themeColor="background1"/>
                <w:sz w:val="22"/>
                <w:szCs w:val="22"/>
              </w:rPr>
              <w:t xml:space="preserve">investigative </w:t>
            </w:r>
            <w:r w:rsidRPr="00A94A33">
              <w:rPr>
                <w:rFonts w:ascii="Cambria" w:hAnsi="Cambria"/>
                <w:b/>
                <w:color w:val="FFFFFF" w:themeColor="background1"/>
                <w:sz w:val="22"/>
                <w:szCs w:val="22"/>
              </w:rPr>
              <w:t>stage:</w:t>
            </w:r>
          </w:p>
        </w:tc>
        <w:tc>
          <w:tcPr>
            <w:tcW w:w="5670" w:type="dxa"/>
            <w:vAlign w:val="center"/>
          </w:tcPr>
          <w:p w14:paraId="2CC77C8A" w14:textId="46D5CB2B" w:rsidR="00D01FA1" w:rsidRDefault="00D01FA1" w:rsidP="009163FC">
            <w:pPr>
              <w:jc w:val="both"/>
              <w:rPr>
                <w:rFonts w:ascii="Cambria" w:hAnsi="Cambria"/>
                <w:bCs/>
                <w:sz w:val="20"/>
                <w:szCs w:val="20"/>
              </w:rPr>
            </w:pPr>
            <w:r>
              <w:rPr>
                <w:rFonts w:ascii="Cambria" w:hAnsi="Cambria"/>
                <w:bCs/>
                <w:sz w:val="20"/>
                <w:szCs w:val="20"/>
              </w:rPr>
              <w:t>July 25, 2011</w:t>
            </w:r>
          </w:p>
        </w:tc>
      </w:tr>
      <w:tr w:rsidR="00DB2771" w:rsidRPr="000B6B7A" w14:paraId="6AA51B6F" w14:textId="77777777" w:rsidTr="00D01FA1">
        <w:trPr>
          <w:trHeight w:val="480"/>
        </w:trPr>
        <w:tc>
          <w:tcPr>
            <w:tcW w:w="3690" w:type="dxa"/>
            <w:tcBorders>
              <w:top w:val="single" w:sz="6" w:space="0" w:color="auto"/>
              <w:bottom w:val="single" w:sz="6" w:space="0" w:color="auto"/>
            </w:tcBorders>
            <w:shd w:val="clear" w:color="auto" w:fill="67AE3C"/>
            <w:vAlign w:val="center"/>
          </w:tcPr>
          <w:p w14:paraId="08AF1E5E" w14:textId="6B3D61B9" w:rsidR="00DB2771" w:rsidRPr="00521B60" w:rsidRDefault="004F35AC" w:rsidP="00D01FA1">
            <w:pPr>
              <w:jc w:val="center"/>
              <w:rPr>
                <w:rFonts w:ascii="Cambria" w:hAnsi="Cambria"/>
                <w:b/>
                <w:color w:val="FFFFFF" w:themeColor="background1"/>
                <w:sz w:val="22"/>
                <w:szCs w:val="22"/>
              </w:rPr>
            </w:pPr>
            <w:r w:rsidRPr="004F35AC">
              <w:rPr>
                <w:rFonts w:ascii="Cambria" w:hAnsi="Cambria"/>
                <w:b/>
                <w:color w:val="FFFFFF" w:themeColor="background1"/>
                <w:sz w:val="22"/>
                <w:szCs w:val="22"/>
              </w:rPr>
              <w:t>Notification of the petition to the State:</w:t>
            </w:r>
          </w:p>
        </w:tc>
        <w:tc>
          <w:tcPr>
            <w:tcW w:w="5670" w:type="dxa"/>
            <w:vAlign w:val="center"/>
          </w:tcPr>
          <w:p w14:paraId="412CB193" w14:textId="1D5BD42C" w:rsidR="00DB2771" w:rsidRPr="00FE5113" w:rsidRDefault="00A94A33" w:rsidP="009163FC">
            <w:pPr>
              <w:jc w:val="both"/>
              <w:rPr>
                <w:rFonts w:ascii="Cambria" w:hAnsi="Cambria"/>
                <w:bCs/>
                <w:sz w:val="20"/>
                <w:szCs w:val="20"/>
              </w:rPr>
            </w:pPr>
            <w:r>
              <w:rPr>
                <w:rFonts w:ascii="Cambria" w:hAnsi="Cambria"/>
                <w:bCs/>
                <w:sz w:val="20"/>
                <w:szCs w:val="20"/>
              </w:rPr>
              <w:t xml:space="preserve">August 16, </w:t>
            </w:r>
            <w:r w:rsidR="009B0A44">
              <w:rPr>
                <w:rFonts w:ascii="Cambria" w:hAnsi="Cambria"/>
                <w:bCs/>
                <w:sz w:val="20"/>
                <w:szCs w:val="20"/>
              </w:rPr>
              <w:t xml:space="preserve"> 2016</w:t>
            </w:r>
          </w:p>
        </w:tc>
      </w:tr>
      <w:tr w:rsidR="004F35AC" w:rsidRPr="000B6B7A" w14:paraId="6C8DD469" w14:textId="77777777" w:rsidTr="00B06BB7">
        <w:tc>
          <w:tcPr>
            <w:tcW w:w="3690" w:type="dxa"/>
            <w:tcBorders>
              <w:top w:val="single" w:sz="6" w:space="0" w:color="auto"/>
              <w:bottom w:val="single" w:sz="6" w:space="0" w:color="auto"/>
            </w:tcBorders>
            <w:shd w:val="clear" w:color="auto" w:fill="67AE3C"/>
            <w:vAlign w:val="center"/>
          </w:tcPr>
          <w:p w14:paraId="41C256C0" w14:textId="4CD855B1" w:rsidR="004F35AC" w:rsidRPr="00521B60" w:rsidRDefault="004F35AC" w:rsidP="00D01FA1">
            <w:pPr>
              <w:jc w:val="center"/>
              <w:rPr>
                <w:rFonts w:ascii="Cambria" w:hAnsi="Cambria"/>
                <w:b/>
                <w:color w:val="FFFFFF" w:themeColor="background1"/>
                <w:sz w:val="22"/>
                <w:szCs w:val="22"/>
              </w:rPr>
            </w:pPr>
            <w:r w:rsidRPr="004F35AC">
              <w:rPr>
                <w:rFonts w:ascii="Cambria" w:hAnsi="Cambria"/>
                <w:b/>
                <w:color w:val="FFFFFF" w:themeColor="background1"/>
                <w:sz w:val="22"/>
                <w:szCs w:val="22"/>
              </w:rPr>
              <w:t>State’s first response:</w:t>
            </w:r>
          </w:p>
        </w:tc>
        <w:tc>
          <w:tcPr>
            <w:tcW w:w="5670" w:type="dxa"/>
            <w:vAlign w:val="center"/>
          </w:tcPr>
          <w:p w14:paraId="5786E1B5" w14:textId="54DFDC85" w:rsidR="004F35AC" w:rsidRDefault="009B0A44" w:rsidP="009163FC">
            <w:pPr>
              <w:jc w:val="both"/>
              <w:rPr>
                <w:rFonts w:ascii="Cambria" w:hAnsi="Cambria"/>
                <w:bCs/>
                <w:sz w:val="20"/>
                <w:szCs w:val="20"/>
              </w:rPr>
            </w:pPr>
            <w:r>
              <w:rPr>
                <w:rFonts w:ascii="Cambria" w:hAnsi="Cambria"/>
                <w:bCs/>
                <w:sz w:val="20"/>
                <w:szCs w:val="20"/>
              </w:rPr>
              <w:t>November 17, 201</w:t>
            </w:r>
            <w:r w:rsidR="00A94A33">
              <w:rPr>
                <w:rFonts w:ascii="Cambria" w:hAnsi="Cambria"/>
                <w:bCs/>
                <w:sz w:val="20"/>
                <w:szCs w:val="20"/>
              </w:rPr>
              <w:t>6</w:t>
            </w:r>
          </w:p>
        </w:tc>
      </w:tr>
      <w:tr w:rsidR="004F35AC" w:rsidRPr="000B6B7A" w14:paraId="29D5073D" w14:textId="77777777" w:rsidTr="00B06BB7">
        <w:tc>
          <w:tcPr>
            <w:tcW w:w="3690" w:type="dxa"/>
            <w:tcBorders>
              <w:top w:val="single" w:sz="6" w:space="0" w:color="auto"/>
              <w:bottom w:val="single" w:sz="6" w:space="0" w:color="auto"/>
            </w:tcBorders>
            <w:shd w:val="clear" w:color="auto" w:fill="67AE3C"/>
            <w:vAlign w:val="center"/>
          </w:tcPr>
          <w:p w14:paraId="5E23FCC0" w14:textId="156AF7EB" w:rsidR="004F35AC" w:rsidRPr="004F35AC" w:rsidRDefault="006D1D3A" w:rsidP="00D01FA1">
            <w:pPr>
              <w:jc w:val="center"/>
              <w:rPr>
                <w:rFonts w:ascii="Cambria" w:hAnsi="Cambria"/>
                <w:b/>
                <w:color w:val="FFFFFF" w:themeColor="background1"/>
                <w:sz w:val="22"/>
                <w:szCs w:val="22"/>
              </w:rPr>
            </w:pPr>
            <w:r w:rsidRPr="006D1D3A">
              <w:rPr>
                <w:rFonts w:ascii="Cambria" w:hAnsi="Cambria"/>
                <w:b/>
                <w:color w:val="FFFFFF" w:themeColor="background1"/>
                <w:sz w:val="22"/>
                <w:szCs w:val="22"/>
              </w:rPr>
              <w:t xml:space="preserve">Additional </w:t>
            </w:r>
            <w:r w:rsidR="00CA6808">
              <w:rPr>
                <w:rFonts w:ascii="Cambria" w:hAnsi="Cambria"/>
                <w:b/>
                <w:color w:val="FFFFFF" w:themeColor="background1"/>
                <w:sz w:val="22"/>
                <w:szCs w:val="22"/>
              </w:rPr>
              <w:t>observations from the petitioners</w:t>
            </w:r>
          </w:p>
        </w:tc>
        <w:tc>
          <w:tcPr>
            <w:tcW w:w="5670" w:type="dxa"/>
            <w:vAlign w:val="center"/>
          </w:tcPr>
          <w:p w14:paraId="25A44418" w14:textId="62B9D109" w:rsidR="004F35AC" w:rsidRPr="006D1D3A" w:rsidRDefault="00A94A33" w:rsidP="006D1D3A">
            <w:pPr>
              <w:jc w:val="both"/>
              <w:rPr>
                <w:rFonts w:asciiTheme="majorHAnsi" w:hAnsiTheme="majorHAnsi"/>
                <w:bCs/>
                <w:sz w:val="20"/>
                <w:szCs w:val="20"/>
                <w:lang w:val="es-ES"/>
              </w:rPr>
            </w:pPr>
            <w:proofErr w:type="spellStart"/>
            <w:r>
              <w:rPr>
                <w:rFonts w:asciiTheme="majorHAnsi" w:hAnsiTheme="majorHAnsi"/>
                <w:bCs/>
                <w:sz w:val="20"/>
                <w:szCs w:val="20"/>
                <w:lang w:val="es-ES"/>
              </w:rPr>
              <w:t>July</w:t>
            </w:r>
            <w:proofErr w:type="spellEnd"/>
            <w:r>
              <w:rPr>
                <w:rFonts w:asciiTheme="majorHAnsi" w:hAnsiTheme="majorHAnsi"/>
                <w:bCs/>
                <w:sz w:val="20"/>
                <w:szCs w:val="20"/>
                <w:lang w:val="es-ES"/>
              </w:rPr>
              <w:t xml:space="preserve"> 8, 2017</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personae:</w:t>
            </w:r>
          </w:p>
        </w:tc>
        <w:tc>
          <w:tcPr>
            <w:tcW w:w="5670" w:type="dxa"/>
            <w:vAlign w:val="center"/>
          </w:tcPr>
          <w:p w14:paraId="237A8D0C" w14:textId="6B12BB8E" w:rsidR="00F621C3" w:rsidRPr="000B6B7A" w:rsidRDefault="00302748"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loci</w:t>
            </w:r>
            <w:r w:rsidRPr="000B6B7A">
              <w:rPr>
                <w:rFonts w:ascii="Cambria" w:hAnsi="Cambria"/>
                <w:b/>
                <w:bCs/>
                <w:color w:val="FFFFFF" w:themeColor="background1"/>
                <w:sz w:val="20"/>
                <w:szCs w:val="20"/>
              </w:rPr>
              <w:t>:</w:t>
            </w:r>
          </w:p>
        </w:tc>
        <w:tc>
          <w:tcPr>
            <w:tcW w:w="5670" w:type="dxa"/>
            <w:vAlign w:val="center"/>
          </w:tcPr>
          <w:p w14:paraId="48257424" w14:textId="39C38C6E" w:rsidR="00F621C3" w:rsidRPr="000B6B7A" w:rsidRDefault="00302748"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temporis</w:t>
            </w:r>
            <w:proofErr w:type="spellEnd"/>
            <w:r w:rsidRPr="000B6B7A">
              <w:rPr>
                <w:rFonts w:ascii="Cambria" w:hAnsi="Cambria"/>
                <w:b/>
                <w:bCs/>
                <w:color w:val="FFFFFF" w:themeColor="background1"/>
                <w:sz w:val="20"/>
                <w:szCs w:val="20"/>
              </w:rPr>
              <w:t>:</w:t>
            </w:r>
          </w:p>
        </w:tc>
        <w:tc>
          <w:tcPr>
            <w:tcW w:w="5670" w:type="dxa"/>
            <w:vAlign w:val="center"/>
          </w:tcPr>
          <w:p w14:paraId="74B3F783" w14:textId="1DEF3181" w:rsidR="00F621C3" w:rsidRPr="000B6B7A" w:rsidRDefault="00302748"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materiae</w:t>
            </w:r>
            <w:proofErr w:type="spellEnd"/>
            <w:r w:rsidRPr="000B6B7A">
              <w:rPr>
                <w:rFonts w:ascii="Cambria" w:hAnsi="Cambria"/>
                <w:b/>
                <w:bCs/>
                <w:color w:val="FFFFFF" w:themeColor="background1"/>
                <w:sz w:val="20"/>
                <w:szCs w:val="20"/>
              </w:rPr>
              <w:t>:</w:t>
            </w:r>
          </w:p>
        </w:tc>
        <w:tc>
          <w:tcPr>
            <w:tcW w:w="5670" w:type="dxa"/>
            <w:vAlign w:val="center"/>
          </w:tcPr>
          <w:p w14:paraId="64B3F199" w14:textId="30115173" w:rsidR="00F621C3" w:rsidRPr="000B6B7A" w:rsidRDefault="00A94A33" w:rsidP="009163FC">
            <w:pPr>
              <w:jc w:val="both"/>
              <w:rPr>
                <w:rFonts w:asciiTheme="majorHAnsi" w:hAnsiTheme="majorHAnsi"/>
                <w:bCs/>
                <w:sz w:val="20"/>
                <w:szCs w:val="20"/>
              </w:rPr>
            </w:pPr>
            <w:r w:rsidRPr="00A94A33">
              <w:rPr>
                <w:rFonts w:asciiTheme="majorHAnsi" w:hAnsiTheme="majorHAnsi"/>
                <w:bCs/>
                <w:sz w:val="20"/>
                <w:szCs w:val="20"/>
              </w:rPr>
              <w:t>Yes, American Convention (deposit of the instrument of ratification made on August 21, 1990)</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3"/>
        <w:gridCol w:w="5589"/>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3C3CBFCF" w:rsidR="00F621C3" w:rsidRPr="000B6B7A" w:rsidRDefault="00302748"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62F7FDA8" w:rsidR="00F621C3" w:rsidRPr="000B6B7A" w:rsidRDefault="00A94A33" w:rsidP="009163FC">
            <w:pPr>
              <w:jc w:val="both"/>
              <w:rPr>
                <w:rFonts w:ascii="Cambria" w:hAnsi="Cambria"/>
                <w:bCs/>
                <w:sz w:val="20"/>
                <w:szCs w:val="20"/>
              </w:rPr>
            </w:pPr>
            <w:r>
              <w:rPr>
                <w:rFonts w:ascii="Cambria" w:hAnsi="Cambria"/>
                <w:bCs/>
                <w:sz w:val="20"/>
                <w:szCs w:val="20"/>
              </w:rPr>
              <w:t>None</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32DC56B" w14:textId="3D385FC4" w:rsidR="00F621C3" w:rsidRPr="000B6B7A" w:rsidRDefault="00A94A33" w:rsidP="009163FC">
            <w:pPr>
              <w:rPr>
                <w:rFonts w:ascii="Cambria" w:hAnsi="Cambria"/>
                <w:bCs/>
                <w:sz w:val="20"/>
                <w:szCs w:val="20"/>
              </w:rPr>
            </w:pPr>
            <w:r>
              <w:rPr>
                <w:rFonts w:ascii="Cambria" w:hAnsi="Cambria"/>
                <w:bCs/>
                <w:sz w:val="20"/>
                <w:szCs w:val="20"/>
              </w:rPr>
              <w:t>Yes</w:t>
            </w: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473661A1" w:rsidR="00F621C3" w:rsidRPr="000B6B7A" w:rsidRDefault="00BD32AB" w:rsidP="009163FC">
            <w:pPr>
              <w:rPr>
                <w:rFonts w:asciiTheme="majorHAnsi" w:hAnsiTheme="majorHAnsi"/>
                <w:bCs/>
                <w:sz w:val="20"/>
                <w:szCs w:val="20"/>
              </w:rPr>
            </w:pPr>
            <w:r w:rsidRPr="00BD32AB">
              <w:rPr>
                <w:rFonts w:asciiTheme="majorHAnsi" w:hAnsiTheme="majorHAnsi"/>
                <w:bCs/>
                <w:sz w:val="20"/>
                <w:szCs w:val="20"/>
              </w:rPr>
              <w:t>Yes</w:t>
            </w:r>
          </w:p>
        </w:tc>
      </w:tr>
    </w:tbl>
    <w:p w14:paraId="7C179B18" w14:textId="77777777" w:rsidR="00A94A33" w:rsidRDefault="00A94A33" w:rsidP="001E3A95">
      <w:pPr>
        <w:rPr>
          <w:rFonts w:asciiTheme="majorHAnsi" w:hAnsiTheme="majorHAnsi"/>
          <w:b/>
          <w:sz w:val="20"/>
          <w:szCs w:val="20"/>
        </w:rPr>
      </w:pPr>
    </w:p>
    <w:p w14:paraId="34585AB7" w14:textId="4D075968" w:rsidR="001E3A95" w:rsidRDefault="00631AA3" w:rsidP="003860CC">
      <w:pPr>
        <w:spacing w:before="240" w:after="240"/>
        <w:ind w:firstLine="720"/>
        <w:jc w:val="both"/>
        <w:rPr>
          <w:rFonts w:asciiTheme="majorHAnsi" w:hAnsiTheme="majorHAnsi"/>
          <w:b/>
          <w:sz w:val="20"/>
          <w:szCs w:val="20"/>
        </w:rPr>
      </w:pPr>
      <w:r>
        <w:rPr>
          <w:rFonts w:asciiTheme="majorHAnsi" w:hAnsiTheme="majorHAnsi"/>
          <w:b/>
          <w:sz w:val="20"/>
          <w:szCs w:val="20"/>
        </w:rPr>
        <w:t xml:space="preserve">V. </w:t>
      </w:r>
      <w:r w:rsidR="003860CC">
        <w:rPr>
          <w:rFonts w:asciiTheme="majorHAnsi" w:hAnsiTheme="majorHAnsi"/>
          <w:b/>
          <w:sz w:val="20"/>
          <w:szCs w:val="20"/>
        </w:rPr>
        <w:tab/>
      </w:r>
      <w:r w:rsidR="00F621C3" w:rsidRPr="00167D72">
        <w:rPr>
          <w:rFonts w:asciiTheme="majorHAnsi" w:hAnsiTheme="majorHAnsi"/>
          <w:b/>
          <w:sz w:val="20"/>
          <w:szCs w:val="20"/>
        </w:rPr>
        <w:t xml:space="preserve">FACTS </w:t>
      </w:r>
      <w:r w:rsidR="005816E5" w:rsidRPr="00167D72">
        <w:rPr>
          <w:rFonts w:asciiTheme="majorHAnsi" w:hAnsiTheme="majorHAnsi"/>
          <w:b/>
          <w:sz w:val="20"/>
          <w:szCs w:val="20"/>
        </w:rPr>
        <w:t>ALLEGED</w:t>
      </w:r>
    </w:p>
    <w:p w14:paraId="6DEAA23C" w14:textId="32D38D35" w:rsidR="005B6898" w:rsidRPr="00FE2D9C" w:rsidRDefault="00F46388" w:rsidP="003860CC">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Cambria" w:hAnsi="Cambria"/>
          <w:sz w:val="20"/>
          <w:szCs w:val="20"/>
        </w:rPr>
      </w:pPr>
      <w:r w:rsidRPr="003F5E0D">
        <w:rPr>
          <w:rFonts w:ascii="Cambria" w:hAnsi="Cambria"/>
          <w:sz w:val="20"/>
          <w:szCs w:val="20"/>
        </w:rPr>
        <w:t>The petitioning party denounces that the State violated the rights of 2,644 people (hereinafter, “the alleged victims” or “former workers”) by firing them from the state-owned company “</w:t>
      </w:r>
      <w:proofErr w:type="spellStart"/>
      <w:r w:rsidRPr="003F5E0D">
        <w:rPr>
          <w:rFonts w:ascii="Cambria" w:hAnsi="Cambria"/>
          <w:sz w:val="20"/>
          <w:szCs w:val="20"/>
        </w:rPr>
        <w:t>Corporación</w:t>
      </w:r>
      <w:proofErr w:type="spellEnd"/>
      <w:r w:rsidRPr="003F5E0D">
        <w:rPr>
          <w:rFonts w:ascii="Cambria" w:hAnsi="Cambria"/>
          <w:sz w:val="20"/>
          <w:szCs w:val="20"/>
        </w:rPr>
        <w:t xml:space="preserve"> Nacional </w:t>
      </w:r>
      <w:proofErr w:type="gramStart"/>
      <w:r w:rsidRPr="003F5E0D">
        <w:rPr>
          <w:rFonts w:ascii="Cambria" w:hAnsi="Cambria"/>
          <w:sz w:val="20"/>
          <w:szCs w:val="20"/>
        </w:rPr>
        <w:t>de</w:t>
      </w:r>
      <w:r w:rsidR="005A513A">
        <w:rPr>
          <w:rFonts w:ascii="Cambria" w:hAnsi="Cambria"/>
          <w:sz w:val="20"/>
          <w:szCs w:val="20"/>
        </w:rPr>
        <w:t>l</w:t>
      </w:r>
      <w:proofErr w:type="gramEnd"/>
      <w:r w:rsidR="005A513A">
        <w:rPr>
          <w:rFonts w:ascii="Cambria" w:hAnsi="Cambria"/>
          <w:sz w:val="20"/>
          <w:szCs w:val="20"/>
        </w:rPr>
        <w:t xml:space="preserve"> </w:t>
      </w:r>
      <w:proofErr w:type="spellStart"/>
      <w:r w:rsidR="005A513A">
        <w:rPr>
          <w:rFonts w:ascii="Cambria" w:hAnsi="Cambria"/>
          <w:sz w:val="20"/>
          <w:szCs w:val="20"/>
        </w:rPr>
        <w:t>Cobre</w:t>
      </w:r>
      <w:proofErr w:type="spellEnd"/>
      <w:r w:rsidR="005A513A">
        <w:rPr>
          <w:rFonts w:ascii="Cambria" w:hAnsi="Cambria"/>
          <w:sz w:val="20"/>
          <w:szCs w:val="20"/>
        </w:rPr>
        <w:t>” (hereinafter “CODELCO”</w:t>
      </w:r>
      <w:r w:rsidRPr="003F5E0D">
        <w:rPr>
          <w:rFonts w:ascii="Cambria" w:hAnsi="Cambria"/>
          <w:sz w:val="20"/>
          <w:szCs w:val="20"/>
        </w:rPr>
        <w:t xml:space="preserve">) for their political opinions. </w:t>
      </w:r>
      <w:r w:rsidRPr="00FE2D9C">
        <w:rPr>
          <w:rFonts w:ascii="Cambria" w:hAnsi="Cambria"/>
          <w:sz w:val="20"/>
          <w:szCs w:val="20"/>
        </w:rPr>
        <w:t>They maintain that such action was carried out without due judicial guarantees, generating a violation of his economic, social and cultural rights.</w:t>
      </w:r>
    </w:p>
    <w:p w14:paraId="1929F9FD" w14:textId="77777777" w:rsidR="005B6898" w:rsidRPr="005B6898" w:rsidRDefault="005B6898" w:rsidP="005B6898">
      <w:pPr>
        <w:jc w:val="both"/>
        <w:rPr>
          <w:rFonts w:asciiTheme="majorHAnsi" w:hAnsiTheme="majorHAnsi"/>
          <w:bCs/>
          <w:sz w:val="20"/>
          <w:szCs w:val="20"/>
        </w:rPr>
      </w:pPr>
    </w:p>
    <w:p w14:paraId="5BCEB1E8" w14:textId="69F3954A" w:rsidR="00F46388" w:rsidRPr="003F5E0D" w:rsidRDefault="00F46388" w:rsidP="003F5E0D">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Cambria" w:hAnsi="Cambria"/>
          <w:sz w:val="20"/>
          <w:szCs w:val="20"/>
        </w:rPr>
      </w:pPr>
      <w:r w:rsidRPr="003F5E0D">
        <w:rPr>
          <w:rFonts w:ascii="Cambria" w:hAnsi="Cambria"/>
          <w:sz w:val="20"/>
          <w:szCs w:val="20"/>
        </w:rPr>
        <w:t>Petitioners explain that between September 11, 1973 and March 11, 1990, the alleged victims were dismissed from CODELCO in a discriminatory manner because of their political opinions. It maintains that the aforementioned company is state-owned, so that its officials are public agents who, it alleges, directly commit the responsibility of the State through their actions.</w:t>
      </w:r>
    </w:p>
    <w:p w14:paraId="52EE5C04" w14:textId="6C9F9542" w:rsidR="00793977" w:rsidRPr="003F5E0D" w:rsidRDefault="00F46388" w:rsidP="003F5E0D">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Cambria" w:hAnsi="Cambria"/>
          <w:sz w:val="20"/>
          <w:szCs w:val="20"/>
        </w:rPr>
      </w:pPr>
      <w:r w:rsidRPr="003F5E0D">
        <w:rPr>
          <w:rFonts w:ascii="Cambria" w:hAnsi="Cambria"/>
          <w:sz w:val="20"/>
          <w:szCs w:val="20"/>
        </w:rPr>
        <w:t>Petitioners indicate that on July 14, 2005, the representatives of the former workers filed a claim for compensation against the Executive President of CODELCO, alleging that their discriminatory dismissal caused them to have to live in precarious conditions, which represented a violation of their economic, social and cultural rights. It specifies that on July 10, 2009, the First Civil Court of Santiago declared the claim unfounded, considering that the action was prescribed, since it was filed at least fifteen years after the last dismissal. The petitioner argues that an appeal was filed against said decision, but that on August 5, 2010, the Santiago Court of Appeals confirmed the first instance ruling. Against this decision, the defense of the alleged victims filed a cassation appeal, which was rejected on January 10, 2011 by the Supreme Court of Justice, considering that there was no legal violation in the previous sentences.</w:t>
      </w:r>
    </w:p>
    <w:p w14:paraId="3DBA02E2" w14:textId="77777777" w:rsidR="00F46388" w:rsidRPr="003F5E0D" w:rsidRDefault="00F46388" w:rsidP="003F5E0D">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Cambria" w:hAnsi="Cambria"/>
          <w:sz w:val="20"/>
          <w:szCs w:val="20"/>
        </w:rPr>
      </w:pPr>
      <w:r w:rsidRPr="003F5E0D">
        <w:rPr>
          <w:rFonts w:ascii="Cambria" w:hAnsi="Cambria"/>
          <w:sz w:val="20"/>
          <w:szCs w:val="20"/>
        </w:rPr>
        <w:t>The petitioning party claims that despite the fact that the courts accepted their competence to analyze the claim for compensation, they did not issue a ruling on the merits and limited themselves to decreeing the prescription of the action. In their opinion, such action is arbitrary, since human rights obligations are imprescriptible.</w:t>
      </w:r>
    </w:p>
    <w:p w14:paraId="5BC0C126" w14:textId="456FB285" w:rsidR="00793977" w:rsidRPr="003F5E0D" w:rsidRDefault="00F46388" w:rsidP="003F5E0D">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Cambria" w:hAnsi="Cambria"/>
          <w:sz w:val="20"/>
          <w:szCs w:val="20"/>
        </w:rPr>
      </w:pPr>
      <w:r w:rsidRPr="003F5E0D">
        <w:rPr>
          <w:rFonts w:ascii="Cambria" w:hAnsi="Cambria"/>
          <w:sz w:val="20"/>
          <w:szCs w:val="20"/>
        </w:rPr>
        <w:t>For its part, the State alleges that the alleged facts do not constitute violations of the human rights of the alleged victims. It maintains that the petitioning party does not present a coherent or detailed account of the events in order to demonstrate an infringement of rights. In this regard, the State alleges that the alleged victims had at their disposal all the existing procedural tools in the law, without there having been any affectation of any judicial guarantee. In this sense, it alleges that a violation of due process has not been established, but that the former workers would only be dissatisfied with the meaning of the decisions. For this reason, it requests that the petition be declared inadmissible based on Article 47 (b) of the American Convention, since it considers that the petitioner's request is that the Commission act as a court of appeal, in contradiction to its complementary nature.</w:t>
      </w:r>
    </w:p>
    <w:p w14:paraId="2B2DA3DE" w14:textId="6FEB554A" w:rsidR="00C8703D" w:rsidRPr="005556C6" w:rsidRDefault="00F621C3" w:rsidP="003860CC">
      <w:pPr>
        <w:spacing w:before="240" w:after="240"/>
        <w:ind w:firstLine="720"/>
        <w:jc w:val="both"/>
        <w:rPr>
          <w:rFonts w:asciiTheme="majorHAnsi" w:hAnsiTheme="majorHAnsi"/>
          <w:bCs/>
          <w:sz w:val="20"/>
          <w:szCs w:val="20"/>
        </w:rPr>
      </w:pPr>
      <w:r w:rsidRPr="005556C6">
        <w:rPr>
          <w:rFonts w:asciiTheme="majorHAnsi" w:hAnsiTheme="majorHAnsi"/>
          <w:b/>
          <w:bCs/>
          <w:sz w:val="20"/>
          <w:szCs w:val="20"/>
        </w:rPr>
        <w:t>VI.</w:t>
      </w:r>
      <w:r w:rsidRPr="005556C6">
        <w:rPr>
          <w:rFonts w:asciiTheme="majorHAnsi" w:hAnsiTheme="majorHAnsi"/>
          <w:b/>
          <w:bCs/>
          <w:sz w:val="20"/>
          <w:szCs w:val="20"/>
        </w:rPr>
        <w:tab/>
      </w:r>
      <w:r w:rsidR="001F1902" w:rsidRPr="005556C6">
        <w:rPr>
          <w:rFonts w:asciiTheme="majorHAnsi" w:hAnsiTheme="majorHAnsi"/>
          <w:b/>
          <w:bCs/>
          <w:sz w:val="20"/>
          <w:szCs w:val="20"/>
        </w:rPr>
        <w:t xml:space="preserve">ANALYSIS OF </w:t>
      </w:r>
      <w:r w:rsidRPr="005556C6">
        <w:rPr>
          <w:rFonts w:asciiTheme="majorHAnsi" w:hAnsiTheme="majorHAnsi"/>
          <w:b/>
          <w:sz w:val="20"/>
          <w:szCs w:val="20"/>
        </w:rPr>
        <w:t>EXHAUSTION OF DOMESTIC REMEDIES AND TIMELINESS OF THE PETITION</w:t>
      </w:r>
    </w:p>
    <w:p w14:paraId="5FEC7BB3" w14:textId="00B29D96" w:rsidR="00F46388" w:rsidRPr="003F5E0D" w:rsidRDefault="00F46388" w:rsidP="003F5E0D">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Cambria" w:hAnsi="Cambria"/>
          <w:sz w:val="20"/>
          <w:szCs w:val="20"/>
        </w:rPr>
      </w:pPr>
      <w:r w:rsidRPr="003F5E0D">
        <w:rPr>
          <w:rFonts w:ascii="Cambria" w:hAnsi="Cambria"/>
          <w:sz w:val="20"/>
          <w:szCs w:val="20"/>
        </w:rPr>
        <w:t>Based on the information provided by the parties, the Commission concludes that the remedies of the national jurisdiction were exhausted with the last resolution issued in the compensation process, on January 10, 2011 by the Supreme Court of Justice, therefore that the requirement established in Article 46.1.a) of the American Convention is met. In addition, the petition was presented on July 8, 2011, therefore, within the six-month period established in Article 46.1.b) of that same treaty.</w:t>
      </w:r>
    </w:p>
    <w:p w14:paraId="71D5595C" w14:textId="017B0DA0" w:rsidR="00E14D1E" w:rsidRPr="003860CC" w:rsidRDefault="00F621C3" w:rsidP="003860CC">
      <w:pPr>
        <w:spacing w:before="240" w:after="240"/>
        <w:ind w:firstLine="720"/>
        <w:jc w:val="both"/>
        <w:rPr>
          <w:rFonts w:asciiTheme="majorHAnsi" w:hAnsiTheme="majorHAnsi"/>
          <w:b/>
          <w:sz w:val="20"/>
          <w:szCs w:val="20"/>
        </w:rPr>
      </w:pPr>
      <w:r w:rsidRPr="003860CC">
        <w:rPr>
          <w:rFonts w:asciiTheme="majorHAnsi" w:hAnsiTheme="majorHAnsi"/>
          <w:b/>
          <w:sz w:val="20"/>
          <w:szCs w:val="20"/>
        </w:rPr>
        <w:t>VII</w:t>
      </w:r>
      <w:r w:rsidR="003860CC">
        <w:rPr>
          <w:rFonts w:asciiTheme="majorHAnsi" w:hAnsiTheme="majorHAnsi"/>
          <w:b/>
          <w:sz w:val="20"/>
          <w:szCs w:val="20"/>
        </w:rPr>
        <w:t>.</w:t>
      </w:r>
      <w:r w:rsidR="003860CC">
        <w:rPr>
          <w:rFonts w:asciiTheme="majorHAnsi" w:hAnsiTheme="majorHAnsi"/>
          <w:b/>
          <w:sz w:val="20"/>
          <w:szCs w:val="20"/>
        </w:rPr>
        <w:tab/>
      </w:r>
      <w:r w:rsidR="00E14D1E" w:rsidRPr="003860CC">
        <w:rPr>
          <w:rFonts w:asciiTheme="majorHAnsi" w:hAnsiTheme="majorHAnsi"/>
          <w:b/>
          <w:sz w:val="20"/>
          <w:szCs w:val="20"/>
        </w:rPr>
        <w:t>ANALYSIS OF CHARACTERIZATION OF THE ALLEGED FACTS</w:t>
      </w:r>
    </w:p>
    <w:p w14:paraId="79FBA9E1" w14:textId="14A40F2D" w:rsidR="00F46388" w:rsidRPr="003F5E0D" w:rsidRDefault="00F46388" w:rsidP="003F5E0D">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Cambria" w:hAnsi="Cambria"/>
          <w:sz w:val="20"/>
          <w:szCs w:val="20"/>
        </w:rPr>
      </w:pPr>
      <w:r w:rsidRPr="003F5E0D">
        <w:rPr>
          <w:rFonts w:ascii="Cambria" w:hAnsi="Cambria"/>
          <w:sz w:val="20"/>
          <w:szCs w:val="20"/>
        </w:rPr>
        <w:t>The petitioning party claims that the alleged victims were arbitrarily denied compensation for having been dismissed from CODELCO in an allegedly discriminatory manner, due to their political opinion. For its part, the State maintains that no information has been presented that proves a violation of human rights and that the tribes validly established that the compensation action had prescribed.</w:t>
      </w:r>
    </w:p>
    <w:p w14:paraId="7B691384" w14:textId="2815242E" w:rsidR="004D03F4" w:rsidRPr="003F5E0D" w:rsidRDefault="00F46388" w:rsidP="003F5E0D">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Cambria" w:hAnsi="Cambria"/>
          <w:sz w:val="20"/>
          <w:szCs w:val="20"/>
        </w:rPr>
      </w:pPr>
      <w:r w:rsidRPr="003F5E0D">
        <w:rPr>
          <w:rFonts w:ascii="Cambria" w:hAnsi="Cambria"/>
          <w:sz w:val="20"/>
          <w:szCs w:val="20"/>
        </w:rPr>
        <w:t>In this regard, the Commission highlights that the petitioning party only questions that its claim for compensation against CODELCO was rejected based on a statute of limitations, without explaining the reasons why it took at least fifteen years to initiate such judicial</w:t>
      </w:r>
      <w:r w:rsidR="002C78B2" w:rsidRPr="003F5E0D">
        <w:rPr>
          <w:rFonts w:ascii="Cambria" w:hAnsi="Cambria"/>
          <w:sz w:val="20"/>
          <w:szCs w:val="20"/>
        </w:rPr>
        <w:t xml:space="preserve"> action</w:t>
      </w:r>
      <w:r w:rsidRPr="003F5E0D">
        <w:rPr>
          <w:rFonts w:ascii="Cambria" w:hAnsi="Cambria"/>
          <w:sz w:val="20"/>
          <w:szCs w:val="20"/>
        </w:rPr>
        <w:t>. In this regard, the petitioning party has not presented information that justifies or explains such delay in taking action before the local courts, so the IACHR does not have elements to determine whether the application of the aforementioned limitation clause in the present case affected the rights of the alleged victims. Nor does the petitioning party raise arguments or provide elements that allow observing at this stage</w:t>
      </w:r>
      <w:r w:rsidR="005A513A">
        <w:rPr>
          <w:rFonts w:ascii="Cambria" w:hAnsi="Cambria"/>
          <w:sz w:val="20"/>
          <w:szCs w:val="20"/>
        </w:rPr>
        <w:t>,</w:t>
      </w:r>
      <w:r w:rsidRPr="003F5E0D">
        <w:rPr>
          <w:rFonts w:ascii="Cambria" w:hAnsi="Cambria"/>
          <w:sz w:val="20"/>
          <w:szCs w:val="20"/>
        </w:rPr>
        <w:t xml:space="preserve"> possible violations of judicial guarantees or the right to judicial protection, due to the actions of the domestic courts.</w:t>
      </w:r>
    </w:p>
    <w:p w14:paraId="39417B1F" w14:textId="7CFA8366" w:rsidR="00883B42" w:rsidRPr="003F5E0D" w:rsidRDefault="004D03F4" w:rsidP="003F5E0D">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Cambria" w:hAnsi="Cambria"/>
          <w:sz w:val="20"/>
          <w:szCs w:val="20"/>
        </w:rPr>
      </w:pPr>
      <w:r w:rsidRPr="003F5E0D">
        <w:rPr>
          <w:rFonts w:ascii="Cambria" w:hAnsi="Cambria"/>
          <w:sz w:val="20"/>
          <w:szCs w:val="20"/>
        </w:rPr>
        <w:lastRenderedPageBreak/>
        <w:t xml:space="preserve">Therefore, based on the allegations and information presented by the parties, the Commission concludes that the petition does not comply with the requirement established in Article 47.b of the American Convention, since the information provided by </w:t>
      </w:r>
      <w:r w:rsidR="005A513A">
        <w:rPr>
          <w:rFonts w:ascii="Cambria" w:hAnsi="Cambria"/>
          <w:sz w:val="20"/>
          <w:szCs w:val="20"/>
        </w:rPr>
        <w:t>the petitioning party, do not reveal</w:t>
      </w:r>
      <w:r w:rsidRPr="003F5E0D">
        <w:rPr>
          <w:rFonts w:ascii="Cambria" w:hAnsi="Cambria"/>
          <w:sz w:val="20"/>
          <w:szCs w:val="20"/>
        </w:rPr>
        <w:t xml:space="preserve"> prima facie facts that could constitute possible violations of the Convention.</w:t>
      </w:r>
    </w:p>
    <w:p w14:paraId="3BE8AEBD" w14:textId="0F71917F" w:rsidR="00B54173" w:rsidRPr="003860CC" w:rsidRDefault="00B54173" w:rsidP="003860CC">
      <w:pPr>
        <w:spacing w:before="240" w:after="240"/>
        <w:ind w:firstLine="720"/>
        <w:jc w:val="both"/>
        <w:rPr>
          <w:rFonts w:asciiTheme="majorHAnsi" w:hAnsiTheme="majorHAnsi"/>
          <w:b/>
          <w:sz w:val="20"/>
          <w:szCs w:val="20"/>
        </w:rPr>
      </w:pPr>
      <w:r w:rsidRPr="003860CC">
        <w:rPr>
          <w:rFonts w:asciiTheme="majorHAnsi" w:hAnsiTheme="majorHAnsi"/>
          <w:b/>
          <w:sz w:val="20"/>
          <w:szCs w:val="20"/>
        </w:rPr>
        <w:t xml:space="preserve">VIII. </w:t>
      </w:r>
      <w:r w:rsidRPr="003860CC">
        <w:rPr>
          <w:rFonts w:asciiTheme="majorHAnsi" w:hAnsiTheme="majorHAnsi"/>
          <w:b/>
          <w:sz w:val="20"/>
          <w:szCs w:val="20"/>
        </w:rPr>
        <w:tab/>
        <w:t>DECISION</w:t>
      </w:r>
    </w:p>
    <w:p w14:paraId="01F2B28B" w14:textId="6496F40B" w:rsidR="004D03F4" w:rsidRPr="003108C7" w:rsidRDefault="003108C7" w:rsidP="003F5E0D">
      <w:pPr>
        <w:pStyle w:val="ListParagraph"/>
        <w:numPr>
          <w:ilvl w:val="0"/>
          <w:numId w:val="65"/>
        </w:numPr>
        <w:tabs>
          <w:tab w:val="num" w:pos="720"/>
        </w:tabs>
        <w:spacing w:after="240"/>
        <w:ind w:left="0" w:firstLine="720"/>
        <w:rPr>
          <w:rFonts w:eastAsia="Arial Unicode MS" w:cs="Times New Roman"/>
          <w:color w:val="auto"/>
          <w:sz w:val="20"/>
          <w:szCs w:val="20"/>
          <w:lang w:eastAsia="en-US"/>
        </w:rPr>
      </w:pPr>
      <w:r w:rsidRPr="003108C7">
        <w:rPr>
          <w:rFonts w:eastAsia="Arial Unicode MS" w:cs="Times New Roman"/>
          <w:color w:val="auto"/>
          <w:sz w:val="20"/>
          <w:szCs w:val="20"/>
          <w:lang w:eastAsia="en-US"/>
        </w:rPr>
        <w:t>To d</w:t>
      </w:r>
      <w:r w:rsidR="004D03F4" w:rsidRPr="003108C7">
        <w:rPr>
          <w:rFonts w:eastAsia="Arial Unicode MS" w:cs="Times New Roman"/>
          <w:color w:val="auto"/>
          <w:sz w:val="20"/>
          <w:szCs w:val="20"/>
          <w:lang w:eastAsia="en-US"/>
        </w:rPr>
        <w:t>eclare this petition inadmissible; and</w:t>
      </w:r>
    </w:p>
    <w:p w14:paraId="0FF32AD7" w14:textId="18F0C263" w:rsidR="00883B42" w:rsidRDefault="003108C7" w:rsidP="003F5E0D">
      <w:pPr>
        <w:pStyle w:val="ListParagraph"/>
        <w:numPr>
          <w:ilvl w:val="0"/>
          <w:numId w:val="65"/>
        </w:numPr>
        <w:tabs>
          <w:tab w:val="num" w:pos="720"/>
        </w:tabs>
        <w:ind w:left="0" w:firstLine="720"/>
        <w:rPr>
          <w:rFonts w:eastAsia="Arial Unicode MS" w:cs="Times New Roman"/>
          <w:color w:val="auto"/>
          <w:sz w:val="20"/>
          <w:szCs w:val="20"/>
          <w:lang w:eastAsia="en-US"/>
        </w:rPr>
      </w:pPr>
      <w:r>
        <w:rPr>
          <w:rFonts w:eastAsia="Arial Unicode MS" w:cs="Times New Roman"/>
          <w:color w:val="auto"/>
          <w:sz w:val="20"/>
          <w:szCs w:val="20"/>
          <w:lang w:eastAsia="en-US"/>
        </w:rPr>
        <w:t>To n</w:t>
      </w:r>
      <w:r w:rsidR="00883B42" w:rsidRPr="003108C7">
        <w:rPr>
          <w:rFonts w:eastAsia="Arial Unicode MS" w:cs="Times New Roman"/>
          <w:color w:val="auto"/>
          <w:sz w:val="20"/>
          <w:szCs w:val="20"/>
          <w:lang w:eastAsia="en-US"/>
        </w:rPr>
        <w:t xml:space="preserve">otify the parties of this decision; </w:t>
      </w:r>
      <w:r>
        <w:rPr>
          <w:rFonts w:eastAsia="Arial Unicode MS" w:cs="Times New Roman"/>
          <w:color w:val="auto"/>
          <w:sz w:val="20"/>
          <w:szCs w:val="20"/>
          <w:lang w:eastAsia="en-US"/>
        </w:rPr>
        <w:t xml:space="preserve">to </w:t>
      </w:r>
      <w:r w:rsidR="00883B42" w:rsidRPr="003108C7">
        <w:rPr>
          <w:rFonts w:eastAsia="Arial Unicode MS" w:cs="Times New Roman"/>
          <w:color w:val="auto"/>
          <w:sz w:val="20"/>
          <w:szCs w:val="20"/>
          <w:lang w:eastAsia="en-US"/>
        </w:rPr>
        <w:t>publish this decision and include it in its Annual Report to the General Assembly of the Organization of American States.</w:t>
      </w:r>
    </w:p>
    <w:p w14:paraId="675E0324" w14:textId="56148D93" w:rsidR="00FE2D9C" w:rsidRDefault="00FE2D9C" w:rsidP="00FE2D9C">
      <w:pPr>
        <w:pStyle w:val="ListParagraph"/>
        <w:rPr>
          <w:rFonts w:eastAsia="Arial Unicode MS" w:cs="Times New Roman"/>
          <w:color w:val="auto"/>
          <w:sz w:val="20"/>
          <w:szCs w:val="20"/>
          <w:lang w:eastAsia="en-US"/>
        </w:rPr>
      </w:pPr>
    </w:p>
    <w:p w14:paraId="5B218B67" w14:textId="42B5CC2E" w:rsidR="00FE2D9C" w:rsidRDefault="00FE2D9C" w:rsidP="00FE2D9C">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6</w:t>
      </w:r>
      <w:r w:rsidRPr="00FE2D9C">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September,</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 xml:space="preserve">ernández, President; </w:t>
      </w:r>
      <w:r w:rsidR="00D92884">
        <w:rPr>
          <w:rFonts w:asciiTheme="majorHAnsi" w:hAnsiTheme="majorHAnsi" w:cs="Arial"/>
          <w:noProof/>
          <w:spacing w:val="-2"/>
          <w:sz w:val="20"/>
          <w:szCs w:val="20"/>
        </w:rPr>
        <w:t>Flávia Piovesan, Second Vice-</w:t>
      </w:r>
      <w:r w:rsidRPr="007F3C48">
        <w:rPr>
          <w:rFonts w:asciiTheme="majorHAnsi" w:hAnsiTheme="majorHAnsi" w:cs="Arial"/>
          <w:noProof/>
          <w:spacing w:val="-2"/>
          <w:sz w:val="20"/>
          <w:szCs w:val="20"/>
        </w:rPr>
        <w:t xml:space="preserve">President; </w:t>
      </w:r>
      <w:r w:rsidRPr="00DD57A5">
        <w:rPr>
          <w:rFonts w:asciiTheme="majorHAnsi" w:hAnsiTheme="majorHAnsi" w:cs="Arial"/>
          <w:noProof/>
          <w:spacing w:val="-2"/>
          <w:sz w:val="20"/>
          <w:szCs w:val="20"/>
        </w:rPr>
        <w:t>Esmeralda E. Arosemena Bernal de Troitiño</w:t>
      </w:r>
      <w:r>
        <w:rPr>
          <w:rFonts w:asciiTheme="majorHAnsi" w:hAnsiTheme="majorHAnsi" w:cs="Arial"/>
          <w:noProof/>
          <w:spacing w:val="-2"/>
          <w:sz w:val="20"/>
          <w:szCs w:val="20"/>
        </w:rPr>
        <w:t>,</w:t>
      </w:r>
      <w:r w:rsidRPr="007F3C48">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7F3C48">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 xml:space="preserve"> </w:t>
      </w:r>
      <w:r w:rsidRPr="00365F2F">
        <w:rPr>
          <w:rFonts w:ascii="Cambria" w:hAnsi="Cambria"/>
          <w:spacing w:val="-2"/>
          <w:sz w:val="20"/>
        </w:rPr>
        <w:t>Commissioners.</w:t>
      </w:r>
    </w:p>
    <w:p w14:paraId="6D881285" w14:textId="77777777" w:rsidR="00FE2D9C" w:rsidRPr="003108C7" w:rsidRDefault="00FE2D9C" w:rsidP="00FE2D9C">
      <w:pPr>
        <w:pStyle w:val="ListParagraph"/>
        <w:rPr>
          <w:rFonts w:eastAsia="Arial Unicode MS" w:cs="Times New Roman"/>
          <w:color w:val="auto"/>
          <w:sz w:val="20"/>
          <w:szCs w:val="20"/>
          <w:lang w:eastAsia="en-US"/>
        </w:rPr>
      </w:pPr>
    </w:p>
    <w:sectPr w:rsidR="00FE2D9C" w:rsidRPr="003108C7"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067DD" w14:textId="77777777" w:rsidR="0024732A" w:rsidRDefault="0024732A" w:rsidP="00036A8A">
      <w:r>
        <w:separator/>
      </w:r>
    </w:p>
  </w:endnote>
  <w:endnote w:type="continuationSeparator" w:id="0">
    <w:p w14:paraId="2C004DD5" w14:textId="77777777" w:rsidR="0024732A" w:rsidRDefault="0024732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F1C9F" w14:textId="77777777" w:rsidR="00633B79" w:rsidRDefault="00633B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3BC86DCC"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633B79">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8B195" w14:textId="77777777" w:rsidR="0024732A" w:rsidRPr="00036A8A" w:rsidRDefault="0024732A"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0F94FD7" w14:textId="77777777" w:rsidR="0024732A" w:rsidRPr="00036A8A" w:rsidRDefault="0024732A" w:rsidP="00036A8A">
      <w:pPr>
        <w:rPr>
          <w:rFonts w:asciiTheme="majorHAnsi" w:hAnsiTheme="majorHAnsi"/>
          <w:sz w:val="16"/>
          <w:szCs w:val="16"/>
        </w:rPr>
      </w:pPr>
      <w:r w:rsidRPr="00036A8A">
        <w:rPr>
          <w:rFonts w:asciiTheme="majorHAnsi" w:hAnsiTheme="majorHAnsi"/>
          <w:sz w:val="16"/>
          <w:szCs w:val="16"/>
        </w:rPr>
        <w:separator/>
      </w:r>
    </w:p>
    <w:p w14:paraId="47789358" w14:textId="77777777" w:rsidR="0024732A" w:rsidRPr="00036A8A" w:rsidRDefault="0024732A"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1D860544" w14:textId="77777777" w:rsidR="0024732A" w:rsidRPr="0093441A" w:rsidRDefault="0024732A"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1CEB69D9" w14:textId="050606CD" w:rsidR="00D51F05" w:rsidRPr="00D01FA1" w:rsidRDefault="00D51F05" w:rsidP="003860CC">
      <w:pPr>
        <w:pStyle w:val="FootnoteText"/>
        <w:ind w:firstLine="720"/>
        <w:jc w:val="both"/>
        <w:rPr>
          <w:rFonts w:asciiTheme="majorHAnsi" w:hAnsiTheme="majorHAnsi"/>
          <w:sz w:val="16"/>
          <w:szCs w:val="16"/>
        </w:rPr>
      </w:pPr>
      <w:r w:rsidRPr="00C47D03">
        <w:rPr>
          <w:rStyle w:val="FootnoteReference"/>
          <w:rFonts w:asciiTheme="majorHAnsi" w:hAnsiTheme="majorHAnsi"/>
          <w:sz w:val="16"/>
          <w:szCs w:val="16"/>
        </w:rPr>
        <w:footnoteRef/>
      </w:r>
      <w:r w:rsidR="003860CC">
        <w:rPr>
          <w:rFonts w:asciiTheme="majorHAnsi" w:hAnsiTheme="majorHAnsi"/>
          <w:sz w:val="16"/>
          <w:szCs w:val="16"/>
        </w:rPr>
        <w:t xml:space="preserve"> </w:t>
      </w:r>
      <w:r w:rsidR="00A94A33" w:rsidRPr="00D01FA1">
        <w:rPr>
          <w:rFonts w:asciiTheme="majorHAnsi" w:hAnsiTheme="majorHAnsi"/>
          <w:sz w:val="16"/>
          <w:szCs w:val="16"/>
        </w:rPr>
        <w:t>The petition is filed in favor of 2,644 former workers of the National Copper Corporation, who are duly individualized in the petition.</w:t>
      </w:r>
    </w:p>
  </w:footnote>
  <w:footnote w:id="3">
    <w:p w14:paraId="04EA297F" w14:textId="4D5EC96F" w:rsidR="00A94A33" w:rsidRPr="00D01FA1" w:rsidRDefault="00A94A33" w:rsidP="003860CC">
      <w:pPr>
        <w:pStyle w:val="FootnoteText"/>
        <w:ind w:firstLine="720"/>
        <w:jc w:val="both"/>
      </w:pPr>
      <w:r w:rsidRPr="00866B08">
        <w:rPr>
          <w:rStyle w:val="FootnoteReference"/>
          <w:rFonts w:ascii="Cambria" w:hAnsi="Cambria"/>
          <w:sz w:val="16"/>
          <w:szCs w:val="16"/>
        </w:rPr>
        <w:footnoteRef/>
      </w:r>
      <w:r w:rsidRPr="00D01FA1">
        <w:rPr>
          <w:rFonts w:ascii="Cambria" w:hAnsi="Cambria"/>
          <w:sz w:val="16"/>
          <w:szCs w:val="16"/>
        </w:rPr>
        <w:t xml:space="preserve"> In accordance with the provisions of Article 17.2.</w:t>
      </w:r>
      <w:proofErr w:type="spellStart"/>
      <w:r w:rsidRPr="00D01FA1">
        <w:rPr>
          <w:rFonts w:ascii="Cambria" w:hAnsi="Cambria"/>
          <w:sz w:val="16"/>
          <w:szCs w:val="16"/>
        </w:rPr>
        <w:t>a</w:t>
      </w:r>
      <w:proofErr w:type="spellEnd"/>
      <w:r w:rsidRPr="00D01FA1">
        <w:rPr>
          <w:rFonts w:ascii="Cambria" w:hAnsi="Cambria"/>
          <w:sz w:val="16"/>
          <w:szCs w:val="16"/>
        </w:rPr>
        <w:t xml:space="preserve"> of the Commission's Regulations, Commissioner Antonia Urrejola Noguera, a Chilean national, did not participate in the debate or in the decision of this matter</w:t>
      </w:r>
      <w:proofErr w:type="gramStart"/>
      <w:r w:rsidRPr="00D01FA1">
        <w:rPr>
          <w:rFonts w:ascii="Cambria" w:hAnsi="Cambria"/>
          <w:sz w:val="16"/>
          <w:szCs w:val="16"/>
        </w:rPr>
        <w:t>..</w:t>
      </w:r>
      <w:proofErr w:type="gramEnd"/>
    </w:p>
  </w:footnote>
  <w:footnote w:id="4">
    <w:p w14:paraId="10985C97" w14:textId="7BB65EBB" w:rsidR="00A94A33" w:rsidRPr="00D01FA1" w:rsidRDefault="00A94A33" w:rsidP="003860CC">
      <w:pPr>
        <w:pStyle w:val="FootnoteText"/>
        <w:ind w:firstLine="720"/>
        <w:jc w:val="both"/>
        <w:rPr>
          <w:rFonts w:ascii="Cambria" w:hAnsi="Cambria"/>
          <w:sz w:val="16"/>
          <w:szCs w:val="16"/>
        </w:rPr>
      </w:pPr>
      <w:r w:rsidRPr="00CA3C10">
        <w:rPr>
          <w:rStyle w:val="FootnoteReference"/>
          <w:rFonts w:ascii="Cambria" w:hAnsi="Cambria"/>
          <w:sz w:val="16"/>
          <w:szCs w:val="16"/>
        </w:rPr>
        <w:footnoteRef/>
      </w:r>
      <w:r w:rsidRPr="00D01FA1">
        <w:rPr>
          <w:rFonts w:ascii="Cambria" w:hAnsi="Cambria"/>
          <w:sz w:val="16"/>
          <w:szCs w:val="16"/>
        </w:rPr>
        <w:t xml:space="preserve">  Hereinafter "the American Convention" or "the Convention."</w:t>
      </w:r>
    </w:p>
  </w:footnote>
  <w:footnote w:id="5">
    <w:p w14:paraId="6F51BDAF" w14:textId="4DC848F9" w:rsidR="00653EA6" w:rsidRPr="000B6B7A" w:rsidRDefault="00653EA6" w:rsidP="003860CC">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sidR="005A67B8" w:rsidRPr="005A67B8">
        <w:rPr>
          <w:rFonts w:ascii="Cambria" w:hAnsi="Cambria"/>
          <w:sz w:val="16"/>
          <w:szCs w:val="16"/>
        </w:rPr>
        <w:t>The observations submitted by each party were duly transmitted to the opposing party.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24732A" w:rsidP="002C1641">
    <w:pPr>
      <w:pStyle w:val="Header"/>
      <w:tabs>
        <w:tab w:val="clear" w:pos="4320"/>
        <w:tab w:val="clear" w:pos="8640"/>
      </w:tabs>
      <w:jc w:val="center"/>
      <w:rPr>
        <w:sz w:val="22"/>
        <w:szCs w:val="22"/>
      </w:rPr>
    </w:pPr>
    <w:r>
      <w:rPr>
        <w:noProof/>
        <w:sz w:val="22"/>
        <w:szCs w:val="22"/>
        <w:bdr w:val="nil"/>
      </w:rPr>
      <w:pict w14:anchorId="490F4606">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A7F79" w14:textId="77777777" w:rsidR="00633B79" w:rsidRDefault="00633B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8EB41EB"/>
    <w:multiLevelType w:val="hybridMultilevel"/>
    <w:tmpl w:val="3FC61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73702F"/>
    <w:multiLevelType w:val="hybridMultilevel"/>
    <w:tmpl w:val="5906BABA"/>
    <w:lvl w:ilvl="0" w:tplc="D7E4D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6074F78"/>
    <w:multiLevelType w:val="hybridMultilevel"/>
    <w:tmpl w:val="FEF6A7C8"/>
    <w:lvl w:ilvl="0" w:tplc="C4B279B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570AD"/>
    <w:multiLevelType w:val="hybridMultilevel"/>
    <w:tmpl w:val="D682F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DB4DD4"/>
    <w:multiLevelType w:val="hybridMultilevel"/>
    <w:tmpl w:val="4E8A7156"/>
    <w:lvl w:ilvl="0" w:tplc="2EF033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1BE4175"/>
    <w:multiLevelType w:val="hybridMultilevel"/>
    <w:tmpl w:val="8B2C9250"/>
    <w:lvl w:ilvl="0" w:tplc="26AE3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9C64A27"/>
    <w:multiLevelType w:val="hybridMultilevel"/>
    <w:tmpl w:val="5DCE1986"/>
    <w:lvl w:ilvl="0" w:tplc="D41832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F90DD6"/>
    <w:multiLevelType w:val="hybridMultilevel"/>
    <w:tmpl w:val="251609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B241284"/>
    <w:multiLevelType w:val="hybridMultilevel"/>
    <w:tmpl w:val="791814BE"/>
    <w:lvl w:ilvl="0" w:tplc="8C644B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BDB0471"/>
    <w:multiLevelType w:val="hybridMultilevel"/>
    <w:tmpl w:val="0BC4C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1D2616"/>
    <w:multiLevelType w:val="hybridMultilevel"/>
    <w:tmpl w:val="498AA8D0"/>
    <w:lvl w:ilvl="0" w:tplc="C4B279B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D75445E"/>
    <w:multiLevelType w:val="hybridMultilevel"/>
    <w:tmpl w:val="F3EE9D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66" w15:restartNumberingAfterBreak="0">
    <w:nsid w:val="7F9D7CDC"/>
    <w:multiLevelType w:val="hybridMultilevel"/>
    <w:tmpl w:val="FA22A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58"/>
  </w:num>
  <w:num w:numId="4">
    <w:abstractNumId w:val="26"/>
  </w:num>
  <w:num w:numId="5">
    <w:abstractNumId w:val="50"/>
  </w:num>
  <w:num w:numId="6">
    <w:abstractNumId w:val="31"/>
  </w:num>
  <w:num w:numId="7">
    <w:abstractNumId w:val="9"/>
  </w:num>
  <w:num w:numId="8">
    <w:abstractNumId w:val="22"/>
  </w:num>
  <w:num w:numId="9">
    <w:abstractNumId w:val="45"/>
  </w:num>
  <w:num w:numId="10">
    <w:abstractNumId w:val="0"/>
  </w:num>
  <w:num w:numId="11">
    <w:abstractNumId w:val="40"/>
  </w:num>
  <w:num w:numId="12">
    <w:abstractNumId w:val="41"/>
  </w:num>
  <w:num w:numId="13">
    <w:abstractNumId w:val="47"/>
  </w:num>
  <w:num w:numId="14">
    <w:abstractNumId w:val="1"/>
  </w:num>
  <w:num w:numId="15">
    <w:abstractNumId w:val="3"/>
  </w:num>
  <w:num w:numId="16">
    <w:abstractNumId w:val="10"/>
  </w:num>
  <w:num w:numId="17">
    <w:abstractNumId w:val="11"/>
  </w:num>
  <w:num w:numId="18">
    <w:abstractNumId w:val="12"/>
  </w:num>
  <w:num w:numId="19">
    <w:abstractNumId w:val="13"/>
  </w:num>
  <w:num w:numId="20">
    <w:abstractNumId w:val="14"/>
  </w:num>
  <w:num w:numId="21">
    <w:abstractNumId w:val="17"/>
  </w:num>
  <w:num w:numId="22">
    <w:abstractNumId w:val="18"/>
  </w:num>
  <w:num w:numId="23">
    <w:abstractNumId w:val="19"/>
  </w:num>
  <w:num w:numId="24">
    <w:abstractNumId w:val="20"/>
  </w:num>
  <w:num w:numId="25">
    <w:abstractNumId w:val="23"/>
  </w:num>
  <w:num w:numId="26">
    <w:abstractNumId w:val="24"/>
  </w:num>
  <w:num w:numId="27">
    <w:abstractNumId w:val="27"/>
  </w:num>
  <w:num w:numId="28">
    <w:abstractNumId w:val="28"/>
  </w:num>
  <w:num w:numId="29">
    <w:abstractNumId w:val="29"/>
  </w:num>
  <w:num w:numId="30">
    <w:abstractNumId w:val="30"/>
  </w:num>
  <w:num w:numId="31">
    <w:abstractNumId w:val="32"/>
  </w:num>
  <w:num w:numId="32">
    <w:abstractNumId w:val="33"/>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2"/>
  </w:num>
  <w:num w:numId="40">
    <w:abstractNumId w:val="43"/>
  </w:num>
  <w:num w:numId="41">
    <w:abstractNumId w:val="49"/>
  </w:num>
  <w:num w:numId="42">
    <w:abstractNumId w:val="51"/>
  </w:num>
  <w:num w:numId="43">
    <w:abstractNumId w:val="54"/>
  </w:num>
  <w:num w:numId="44">
    <w:abstractNumId w:val="56"/>
  </w:num>
  <w:num w:numId="45">
    <w:abstractNumId w:val="57"/>
  </w:num>
  <w:num w:numId="46">
    <w:abstractNumId w:val="59"/>
  </w:num>
  <w:num w:numId="47">
    <w:abstractNumId w:val="61"/>
  </w:num>
  <w:num w:numId="48">
    <w:abstractNumId w:val="62"/>
  </w:num>
  <w:num w:numId="49">
    <w:abstractNumId w:val="64"/>
  </w:num>
  <w:num w:numId="50">
    <w:abstractNumId w:val="65"/>
  </w:num>
  <w:num w:numId="51">
    <w:abstractNumId w:val="25"/>
  </w:num>
  <w:num w:numId="52">
    <w:abstractNumId w:val="44"/>
  </w:num>
  <w:num w:numId="53">
    <w:abstractNumId w:val="55"/>
  </w:num>
  <w:num w:numId="54">
    <w:abstractNumId w:val="48"/>
  </w:num>
  <w:num w:numId="55">
    <w:abstractNumId w:val="46"/>
  </w:num>
  <w:num w:numId="56">
    <w:abstractNumId w:val="52"/>
  </w:num>
  <w:num w:numId="57">
    <w:abstractNumId w:val="5"/>
  </w:num>
  <w:num w:numId="58">
    <w:abstractNumId w:val="16"/>
  </w:num>
  <w:num w:numId="59">
    <w:abstractNumId w:val="60"/>
  </w:num>
  <w:num w:numId="60">
    <w:abstractNumId w:val="7"/>
  </w:num>
  <w:num w:numId="61">
    <w:abstractNumId w:val="63"/>
  </w:num>
  <w:num w:numId="62">
    <w:abstractNumId w:val="2"/>
  </w:num>
  <w:num w:numId="63">
    <w:abstractNumId w:val="8"/>
  </w:num>
  <w:num w:numId="64">
    <w:abstractNumId w:val="53"/>
  </w:num>
  <w:num w:numId="65">
    <w:abstractNumId w:val="66"/>
  </w:num>
  <w:num w:numId="66">
    <w:abstractNumId w:val="15"/>
  </w:num>
  <w:num w:numId="67">
    <w:abstractNumId w:val="2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CF5"/>
    <w:rsid w:val="0003253C"/>
    <w:rsid w:val="00036A8A"/>
    <w:rsid w:val="00040C3A"/>
    <w:rsid w:val="00044569"/>
    <w:rsid w:val="000639C0"/>
    <w:rsid w:val="00070571"/>
    <w:rsid w:val="00070F3A"/>
    <w:rsid w:val="000716C5"/>
    <w:rsid w:val="00075E23"/>
    <w:rsid w:val="00080B93"/>
    <w:rsid w:val="00092F32"/>
    <w:rsid w:val="0009344A"/>
    <w:rsid w:val="00094D5B"/>
    <w:rsid w:val="000A575F"/>
    <w:rsid w:val="000A63E8"/>
    <w:rsid w:val="000B5E02"/>
    <w:rsid w:val="000B67AF"/>
    <w:rsid w:val="000C4365"/>
    <w:rsid w:val="000D10DB"/>
    <w:rsid w:val="000E3360"/>
    <w:rsid w:val="00113A7C"/>
    <w:rsid w:val="0012147E"/>
    <w:rsid w:val="00124116"/>
    <w:rsid w:val="00125886"/>
    <w:rsid w:val="00130279"/>
    <w:rsid w:val="0013104F"/>
    <w:rsid w:val="00137EBA"/>
    <w:rsid w:val="00145EDC"/>
    <w:rsid w:val="00153084"/>
    <w:rsid w:val="00153439"/>
    <w:rsid w:val="00157B97"/>
    <w:rsid w:val="00163096"/>
    <w:rsid w:val="001646B5"/>
    <w:rsid w:val="00167A34"/>
    <w:rsid w:val="00167D72"/>
    <w:rsid w:val="001714B4"/>
    <w:rsid w:val="0017237F"/>
    <w:rsid w:val="0018037F"/>
    <w:rsid w:val="0019661D"/>
    <w:rsid w:val="001966F0"/>
    <w:rsid w:val="001A016C"/>
    <w:rsid w:val="001A5F27"/>
    <w:rsid w:val="001A65E4"/>
    <w:rsid w:val="001A7870"/>
    <w:rsid w:val="001B2EA5"/>
    <w:rsid w:val="001C1B41"/>
    <w:rsid w:val="001E366B"/>
    <w:rsid w:val="001E3A95"/>
    <w:rsid w:val="001F1902"/>
    <w:rsid w:val="00210E0E"/>
    <w:rsid w:val="00210F4B"/>
    <w:rsid w:val="00213C72"/>
    <w:rsid w:val="00220CFD"/>
    <w:rsid w:val="0022202F"/>
    <w:rsid w:val="00230163"/>
    <w:rsid w:val="00232B3E"/>
    <w:rsid w:val="0023351C"/>
    <w:rsid w:val="0024732A"/>
    <w:rsid w:val="00247403"/>
    <w:rsid w:val="00247542"/>
    <w:rsid w:val="00257893"/>
    <w:rsid w:val="00266092"/>
    <w:rsid w:val="00266B61"/>
    <w:rsid w:val="002670A7"/>
    <w:rsid w:val="0026712A"/>
    <w:rsid w:val="002704DB"/>
    <w:rsid w:val="002760CE"/>
    <w:rsid w:val="0028259C"/>
    <w:rsid w:val="00292204"/>
    <w:rsid w:val="002B7A85"/>
    <w:rsid w:val="002C1641"/>
    <w:rsid w:val="002C78B2"/>
    <w:rsid w:val="002D7EA2"/>
    <w:rsid w:val="002E15DF"/>
    <w:rsid w:val="002E187C"/>
    <w:rsid w:val="002E6E57"/>
    <w:rsid w:val="002F4947"/>
    <w:rsid w:val="00301075"/>
    <w:rsid w:val="00302733"/>
    <w:rsid w:val="00302748"/>
    <w:rsid w:val="003108C7"/>
    <w:rsid w:val="00311A4F"/>
    <w:rsid w:val="00314078"/>
    <w:rsid w:val="00321AFD"/>
    <w:rsid w:val="00322450"/>
    <w:rsid w:val="003246B5"/>
    <w:rsid w:val="0033169F"/>
    <w:rsid w:val="003414AC"/>
    <w:rsid w:val="00347852"/>
    <w:rsid w:val="00356185"/>
    <w:rsid w:val="00360380"/>
    <w:rsid w:val="003771A3"/>
    <w:rsid w:val="003826B3"/>
    <w:rsid w:val="003854F5"/>
    <w:rsid w:val="003860CC"/>
    <w:rsid w:val="00386A0C"/>
    <w:rsid w:val="00386CF0"/>
    <w:rsid w:val="00391484"/>
    <w:rsid w:val="003A18A7"/>
    <w:rsid w:val="003A4348"/>
    <w:rsid w:val="003B183E"/>
    <w:rsid w:val="003C32BC"/>
    <w:rsid w:val="003E0453"/>
    <w:rsid w:val="003E3E03"/>
    <w:rsid w:val="003F1BBF"/>
    <w:rsid w:val="003F5E0D"/>
    <w:rsid w:val="004162B1"/>
    <w:rsid w:val="004165C2"/>
    <w:rsid w:val="004267B3"/>
    <w:rsid w:val="00450A4A"/>
    <w:rsid w:val="004666FB"/>
    <w:rsid w:val="00466D0B"/>
    <w:rsid w:val="00467B7E"/>
    <w:rsid w:val="00476D29"/>
    <w:rsid w:val="00484FE3"/>
    <w:rsid w:val="0049419D"/>
    <w:rsid w:val="004B2762"/>
    <w:rsid w:val="004B7EB6"/>
    <w:rsid w:val="004C41DE"/>
    <w:rsid w:val="004C4B62"/>
    <w:rsid w:val="004C7A36"/>
    <w:rsid w:val="004D03F4"/>
    <w:rsid w:val="004D6025"/>
    <w:rsid w:val="004D6A1A"/>
    <w:rsid w:val="004D72BC"/>
    <w:rsid w:val="004E07C0"/>
    <w:rsid w:val="004E3736"/>
    <w:rsid w:val="004E5D07"/>
    <w:rsid w:val="004F35AC"/>
    <w:rsid w:val="004F6B67"/>
    <w:rsid w:val="00501399"/>
    <w:rsid w:val="00504B37"/>
    <w:rsid w:val="0050762A"/>
    <w:rsid w:val="00507BC4"/>
    <w:rsid w:val="005128E4"/>
    <w:rsid w:val="00520504"/>
    <w:rsid w:val="00521B60"/>
    <w:rsid w:val="00525560"/>
    <w:rsid w:val="005303A1"/>
    <w:rsid w:val="00534EF9"/>
    <w:rsid w:val="005357A6"/>
    <w:rsid w:val="005406C2"/>
    <w:rsid w:val="00544C49"/>
    <w:rsid w:val="00546F6D"/>
    <w:rsid w:val="005556C6"/>
    <w:rsid w:val="00563D75"/>
    <w:rsid w:val="00565219"/>
    <w:rsid w:val="00572A02"/>
    <w:rsid w:val="0057402A"/>
    <w:rsid w:val="00576A49"/>
    <w:rsid w:val="005771D0"/>
    <w:rsid w:val="005816E5"/>
    <w:rsid w:val="0059191A"/>
    <w:rsid w:val="005921FF"/>
    <w:rsid w:val="00592718"/>
    <w:rsid w:val="005A4247"/>
    <w:rsid w:val="005A4F7C"/>
    <w:rsid w:val="005A513A"/>
    <w:rsid w:val="005A67B8"/>
    <w:rsid w:val="005A6D0E"/>
    <w:rsid w:val="005B0771"/>
    <w:rsid w:val="005B222D"/>
    <w:rsid w:val="005B2597"/>
    <w:rsid w:val="005B52B0"/>
    <w:rsid w:val="005B6806"/>
    <w:rsid w:val="005B6898"/>
    <w:rsid w:val="005C00F9"/>
    <w:rsid w:val="005C4225"/>
    <w:rsid w:val="005C7ADD"/>
    <w:rsid w:val="005D0AC6"/>
    <w:rsid w:val="005E2262"/>
    <w:rsid w:val="005F0F33"/>
    <w:rsid w:val="00600DEB"/>
    <w:rsid w:val="006045CE"/>
    <w:rsid w:val="00605DE2"/>
    <w:rsid w:val="00613027"/>
    <w:rsid w:val="00627C9F"/>
    <w:rsid w:val="006311DA"/>
    <w:rsid w:val="006311E9"/>
    <w:rsid w:val="006318B2"/>
    <w:rsid w:val="00631AA3"/>
    <w:rsid w:val="00632354"/>
    <w:rsid w:val="00633B79"/>
    <w:rsid w:val="00642810"/>
    <w:rsid w:val="00647658"/>
    <w:rsid w:val="00652333"/>
    <w:rsid w:val="00653EA6"/>
    <w:rsid w:val="0065506C"/>
    <w:rsid w:val="006614CA"/>
    <w:rsid w:val="00675AB6"/>
    <w:rsid w:val="0068009E"/>
    <w:rsid w:val="00693930"/>
    <w:rsid w:val="006A17D2"/>
    <w:rsid w:val="006A73E6"/>
    <w:rsid w:val="006B2D5C"/>
    <w:rsid w:val="006C32EF"/>
    <w:rsid w:val="006C4EB1"/>
    <w:rsid w:val="006D1D3A"/>
    <w:rsid w:val="006D4707"/>
    <w:rsid w:val="006D4B19"/>
    <w:rsid w:val="006E0166"/>
    <w:rsid w:val="006E4D91"/>
    <w:rsid w:val="006E7B34"/>
    <w:rsid w:val="00701B24"/>
    <w:rsid w:val="00702338"/>
    <w:rsid w:val="0071495F"/>
    <w:rsid w:val="0073400E"/>
    <w:rsid w:val="0073798E"/>
    <w:rsid w:val="007455DA"/>
    <w:rsid w:val="00745899"/>
    <w:rsid w:val="007607C4"/>
    <w:rsid w:val="007656D5"/>
    <w:rsid w:val="0076643F"/>
    <w:rsid w:val="00781653"/>
    <w:rsid w:val="00793977"/>
    <w:rsid w:val="007A2F70"/>
    <w:rsid w:val="007A42B3"/>
    <w:rsid w:val="007A7C41"/>
    <w:rsid w:val="007B03C7"/>
    <w:rsid w:val="007C3334"/>
    <w:rsid w:val="007C52BB"/>
    <w:rsid w:val="007D1585"/>
    <w:rsid w:val="007D2B98"/>
    <w:rsid w:val="007E4493"/>
    <w:rsid w:val="007F196E"/>
    <w:rsid w:val="007F2AA5"/>
    <w:rsid w:val="00803F1C"/>
    <w:rsid w:val="0080600E"/>
    <w:rsid w:val="00817612"/>
    <w:rsid w:val="00817887"/>
    <w:rsid w:val="008213A6"/>
    <w:rsid w:val="00822D99"/>
    <w:rsid w:val="00826F6E"/>
    <w:rsid w:val="00837C45"/>
    <w:rsid w:val="00842B67"/>
    <w:rsid w:val="00853419"/>
    <w:rsid w:val="00864765"/>
    <w:rsid w:val="00883B42"/>
    <w:rsid w:val="00886DDD"/>
    <w:rsid w:val="00893AF4"/>
    <w:rsid w:val="00897E12"/>
    <w:rsid w:val="008A614D"/>
    <w:rsid w:val="008A61AD"/>
    <w:rsid w:val="008B69AE"/>
    <w:rsid w:val="008D43BA"/>
    <w:rsid w:val="008D786C"/>
    <w:rsid w:val="008E10AB"/>
    <w:rsid w:val="008E3759"/>
    <w:rsid w:val="009041DC"/>
    <w:rsid w:val="009104B4"/>
    <w:rsid w:val="009228DA"/>
    <w:rsid w:val="009238CF"/>
    <w:rsid w:val="00925FCD"/>
    <w:rsid w:val="009318D3"/>
    <w:rsid w:val="0093441A"/>
    <w:rsid w:val="00954BF7"/>
    <w:rsid w:val="0096706E"/>
    <w:rsid w:val="00981FBA"/>
    <w:rsid w:val="009845AA"/>
    <w:rsid w:val="009921B6"/>
    <w:rsid w:val="009A6BAC"/>
    <w:rsid w:val="009B0A44"/>
    <w:rsid w:val="009B381B"/>
    <w:rsid w:val="009C368C"/>
    <w:rsid w:val="009D7611"/>
    <w:rsid w:val="009E53DE"/>
    <w:rsid w:val="009E566A"/>
    <w:rsid w:val="009F1B3B"/>
    <w:rsid w:val="00A027A1"/>
    <w:rsid w:val="00A12DBC"/>
    <w:rsid w:val="00A14AAA"/>
    <w:rsid w:val="00A21779"/>
    <w:rsid w:val="00A23E3E"/>
    <w:rsid w:val="00A325C0"/>
    <w:rsid w:val="00A35E9C"/>
    <w:rsid w:val="00A43458"/>
    <w:rsid w:val="00A528D1"/>
    <w:rsid w:val="00A56053"/>
    <w:rsid w:val="00A57C98"/>
    <w:rsid w:val="00A618BE"/>
    <w:rsid w:val="00A66BE5"/>
    <w:rsid w:val="00A71C1C"/>
    <w:rsid w:val="00A75DE9"/>
    <w:rsid w:val="00A94A33"/>
    <w:rsid w:val="00A97127"/>
    <w:rsid w:val="00AA03F0"/>
    <w:rsid w:val="00AD37C1"/>
    <w:rsid w:val="00AE0C9C"/>
    <w:rsid w:val="00AE66EC"/>
    <w:rsid w:val="00AE6F91"/>
    <w:rsid w:val="00AF5571"/>
    <w:rsid w:val="00AF7B5D"/>
    <w:rsid w:val="00B02A13"/>
    <w:rsid w:val="00B06BB7"/>
    <w:rsid w:val="00B167E9"/>
    <w:rsid w:val="00B179ED"/>
    <w:rsid w:val="00B260AF"/>
    <w:rsid w:val="00B314DB"/>
    <w:rsid w:val="00B31EBE"/>
    <w:rsid w:val="00B3718B"/>
    <w:rsid w:val="00B44B23"/>
    <w:rsid w:val="00B4632A"/>
    <w:rsid w:val="00B51815"/>
    <w:rsid w:val="00B54173"/>
    <w:rsid w:val="00B57CBB"/>
    <w:rsid w:val="00B92E49"/>
    <w:rsid w:val="00B930DB"/>
    <w:rsid w:val="00B96994"/>
    <w:rsid w:val="00BA276C"/>
    <w:rsid w:val="00BA45C2"/>
    <w:rsid w:val="00BB306F"/>
    <w:rsid w:val="00BD232B"/>
    <w:rsid w:val="00BD2E42"/>
    <w:rsid w:val="00BD32AB"/>
    <w:rsid w:val="00BD4B89"/>
    <w:rsid w:val="00BE45B0"/>
    <w:rsid w:val="00BE4842"/>
    <w:rsid w:val="00BF0ABF"/>
    <w:rsid w:val="00BF1835"/>
    <w:rsid w:val="00BF4B32"/>
    <w:rsid w:val="00C00EC7"/>
    <w:rsid w:val="00C04F1B"/>
    <w:rsid w:val="00C05480"/>
    <w:rsid w:val="00C14851"/>
    <w:rsid w:val="00C205F5"/>
    <w:rsid w:val="00C20982"/>
    <w:rsid w:val="00C21762"/>
    <w:rsid w:val="00C24543"/>
    <w:rsid w:val="00C256A2"/>
    <w:rsid w:val="00C27D00"/>
    <w:rsid w:val="00C3492D"/>
    <w:rsid w:val="00C34BA2"/>
    <w:rsid w:val="00C472FE"/>
    <w:rsid w:val="00C4773C"/>
    <w:rsid w:val="00C55560"/>
    <w:rsid w:val="00C66B72"/>
    <w:rsid w:val="00C8185B"/>
    <w:rsid w:val="00C8337B"/>
    <w:rsid w:val="00C8703D"/>
    <w:rsid w:val="00C9567A"/>
    <w:rsid w:val="00CA14B3"/>
    <w:rsid w:val="00CA2CC4"/>
    <w:rsid w:val="00CA6577"/>
    <w:rsid w:val="00CA6808"/>
    <w:rsid w:val="00CB2660"/>
    <w:rsid w:val="00CC5E90"/>
    <w:rsid w:val="00CD046C"/>
    <w:rsid w:val="00CE5199"/>
    <w:rsid w:val="00CE66D5"/>
    <w:rsid w:val="00CF31D9"/>
    <w:rsid w:val="00D01FA1"/>
    <w:rsid w:val="00D1300D"/>
    <w:rsid w:val="00D34786"/>
    <w:rsid w:val="00D368F5"/>
    <w:rsid w:val="00D40A1E"/>
    <w:rsid w:val="00D42874"/>
    <w:rsid w:val="00D51F05"/>
    <w:rsid w:val="00D52067"/>
    <w:rsid w:val="00D533C0"/>
    <w:rsid w:val="00D64E10"/>
    <w:rsid w:val="00D712D3"/>
    <w:rsid w:val="00D71422"/>
    <w:rsid w:val="00D7145E"/>
    <w:rsid w:val="00D71C70"/>
    <w:rsid w:val="00D720D9"/>
    <w:rsid w:val="00D7394A"/>
    <w:rsid w:val="00D74450"/>
    <w:rsid w:val="00D75084"/>
    <w:rsid w:val="00D7558D"/>
    <w:rsid w:val="00D7643F"/>
    <w:rsid w:val="00D7668B"/>
    <w:rsid w:val="00D81D92"/>
    <w:rsid w:val="00D92884"/>
    <w:rsid w:val="00D92B94"/>
    <w:rsid w:val="00D93446"/>
    <w:rsid w:val="00DA276A"/>
    <w:rsid w:val="00DA7B5F"/>
    <w:rsid w:val="00DB2771"/>
    <w:rsid w:val="00DC28E0"/>
    <w:rsid w:val="00DD6D56"/>
    <w:rsid w:val="00DF078B"/>
    <w:rsid w:val="00DF350D"/>
    <w:rsid w:val="00DF55AE"/>
    <w:rsid w:val="00E14D1E"/>
    <w:rsid w:val="00E227C1"/>
    <w:rsid w:val="00E43157"/>
    <w:rsid w:val="00E44DF9"/>
    <w:rsid w:val="00E47F3D"/>
    <w:rsid w:val="00E533FF"/>
    <w:rsid w:val="00E56B9A"/>
    <w:rsid w:val="00E617C6"/>
    <w:rsid w:val="00E673AF"/>
    <w:rsid w:val="00E709B3"/>
    <w:rsid w:val="00E71D09"/>
    <w:rsid w:val="00E7588C"/>
    <w:rsid w:val="00E75F83"/>
    <w:rsid w:val="00E850B6"/>
    <w:rsid w:val="00E8789F"/>
    <w:rsid w:val="00E97B71"/>
    <w:rsid w:val="00EA11E4"/>
    <w:rsid w:val="00EB454D"/>
    <w:rsid w:val="00EB6B8C"/>
    <w:rsid w:val="00EC29A3"/>
    <w:rsid w:val="00EC31C1"/>
    <w:rsid w:val="00ED036E"/>
    <w:rsid w:val="00ED0D1B"/>
    <w:rsid w:val="00EE0EAF"/>
    <w:rsid w:val="00EE2636"/>
    <w:rsid w:val="00EE3522"/>
    <w:rsid w:val="00EF619B"/>
    <w:rsid w:val="00F00B55"/>
    <w:rsid w:val="00F1380F"/>
    <w:rsid w:val="00F14F0E"/>
    <w:rsid w:val="00F15A3B"/>
    <w:rsid w:val="00F178D6"/>
    <w:rsid w:val="00F210CE"/>
    <w:rsid w:val="00F24C29"/>
    <w:rsid w:val="00F253CC"/>
    <w:rsid w:val="00F42B71"/>
    <w:rsid w:val="00F46388"/>
    <w:rsid w:val="00F56BA5"/>
    <w:rsid w:val="00F621C3"/>
    <w:rsid w:val="00F644E6"/>
    <w:rsid w:val="00F64F6E"/>
    <w:rsid w:val="00F862D8"/>
    <w:rsid w:val="00F9653B"/>
    <w:rsid w:val="00FB473B"/>
    <w:rsid w:val="00FB4EF7"/>
    <w:rsid w:val="00FB62CF"/>
    <w:rsid w:val="00FC3EB4"/>
    <w:rsid w:val="00FC6C58"/>
    <w:rsid w:val="00FE0C56"/>
    <w:rsid w:val="00FE2D9C"/>
    <w:rsid w:val="00FE5113"/>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Char2"/>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Char2">
    <w:name w:val="Char2"/>
    <w:basedOn w:val="Normal"/>
    <w:link w:val="FootnoteReference"/>
    <w:uiPriority w:val="99"/>
    <w:rsid w:val="003826B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Default">
    <w:name w:val="Default"/>
    <w:link w:val="DefaultChar"/>
    <w:rsid w:val="00FE0C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character" w:customStyle="1" w:styleId="DefaultChar">
    <w:name w:val="Default Char"/>
    <w:link w:val="Default"/>
    <w:rsid w:val="00FE0C56"/>
    <w:rPr>
      <w:rFonts w:eastAsia="Times New Roman"/>
      <w:color w:val="000000"/>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A94A33"/>
    <w:pPr>
      <w:spacing w:after="120" w:line="480" w:lineRule="auto"/>
      <w:ind w:left="360"/>
    </w:pPr>
  </w:style>
  <w:style w:type="character" w:customStyle="1" w:styleId="BodyTextIndent2Char">
    <w:name w:val="Body Text Indent 2 Char"/>
    <w:basedOn w:val="DefaultParagraphFont"/>
    <w:link w:val="BodyTextIndent2"/>
    <w:uiPriority w:val="99"/>
    <w:semiHidden/>
    <w:rsid w:val="00A94A3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4035">
      <w:bodyDiv w:val="1"/>
      <w:marLeft w:val="0"/>
      <w:marRight w:val="0"/>
      <w:marTop w:val="0"/>
      <w:marBottom w:val="0"/>
      <w:divBdr>
        <w:top w:val="none" w:sz="0" w:space="0" w:color="auto"/>
        <w:left w:val="none" w:sz="0" w:space="0" w:color="auto"/>
        <w:bottom w:val="none" w:sz="0" w:space="0" w:color="auto"/>
        <w:right w:val="none" w:sz="0" w:space="0" w:color="auto"/>
      </w:divBdr>
    </w:div>
    <w:div w:id="163016155">
      <w:bodyDiv w:val="1"/>
      <w:marLeft w:val="0"/>
      <w:marRight w:val="0"/>
      <w:marTop w:val="0"/>
      <w:marBottom w:val="0"/>
      <w:divBdr>
        <w:top w:val="none" w:sz="0" w:space="0" w:color="auto"/>
        <w:left w:val="none" w:sz="0" w:space="0" w:color="auto"/>
        <w:bottom w:val="none" w:sz="0" w:space="0" w:color="auto"/>
        <w:right w:val="none" w:sz="0" w:space="0" w:color="auto"/>
      </w:divBdr>
    </w:div>
    <w:div w:id="181944525">
      <w:bodyDiv w:val="1"/>
      <w:marLeft w:val="0"/>
      <w:marRight w:val="0"/>
      <w:marTop w:val="0"/>
      <w:marBottom w:val="0"/>
      <w:divBdr>
        <w:top w:val="none" w:sz="0" w:space="0" w:color="auto"/>
        <w:left w:val="none" w:sz="0" w:space="0" w:color="auto"/>
        <w:bottom w:val="none" w:sz="0" w:space="0" w:color="auto"/>
        <w:right w:val="none" w:sz="0" w:space="0" w:color="auto"/>
      </w:divBdr>
    </w:div>
    <w:div w:id="428431920">
      <w:bodyDiv w:val="1"/>
      <w:marLeft w:val="0"/>
      <w:marRight w:val="0"/>
      <w:marTop w:val="0"/>
      <w:marBottom w:val="0"/>
      <w:divBdr>
        <w:top w:val="none" w:sz="0" w:space="0" w:color="auto"/>
        <w:left w:val="none" w:sz="0" w:space="0" w:color="auto"/>
        <w:bottom w:val="none" w:sz="0" w:space="0" w:color="auto"/>
        <w:right w:val="none" w:sz="0" w:space="0" w:color="auto"/>
      </w:divBdr>
    </w:div>
    <w:div w:id="447890763">
      <w:bodyDiv w:val="1"/>
      <w:marLeft w:val="0"/>
      <w:marRight w:val="0"/>
      <w:marTop w:val="0"/>
      <w:marBottom w:val="0"/>
      <w:divBdr>
        <w:top w:val="none" w:sz="0" w:space="0" w:color="auto"/>
        <w:left w:val="none" w:sz="0" w:space="0" w:color="auto"/>
        <w:bottom w:val="none" w:sz="0" w:space="0" w:color="auto"/>
        <w:right w:val="none" w:sz="0" w:space="0" w:color="auto"/>
      </w:divBdr>
    </w:div>
    <w:div w:id="664864760">
      <w:bodyDiv w:val="1"/>
      <w:marLeft w:val="0"/>
      <w:marRight w:val="0"/>
      <w:marTop w:val="0"/>
      <w:marBottom w:val="0"/>
      <w:divBdr>
        <w:top w:val="none" w:sz="0" w:space="0" w:color="auto"/>
        <w:left w:val="none" w:sz="0" w:space="0" w:color="auto"/>
        <w:bottom w:val="none" w:sz="0" w:space="0" w:color="auto"/>
        <w:right w:val="none" w:sz="0" w:space="0" w:color="auto"/>
      </w:divBdr>
    </w:div>
    <w:div w:id="817455304">
      <w:bodyDiv w:val="1"/>
      <w:marLeft w:val="0"/>
      <w:marRight w:val="0"/>
      <w:marTop w:val="0"/>
      <w:marBottom w:val="0"/>
      <w:divBdr>
        <w:top w:val="none" w:sz="0" w:space="0" w:color="auto"/>
        <w:left w:val="none" w:sz="0" w:space="0" w:color="auto"/>
        <w:bottom w:val="none" w:sz="0" w:space="0" w:color="auto"/>
        <w:right w:val="none" w:sz="0" w:space="0" w:color="auto"/>
      </w:divBdr>
    </w:div>
    <w:div w:id="851990095">
      <w:bodyDiv w:val="1"/>
      <w:marLeft w:val="0"/>
      <w:marRight w:val="0"/>
      <w:marTop w:val="0"/>
      <w:marBottom w:val="0"/>
      <w:divBdr>
        <w:top w:val="none" w:sz="0" w:space="0" w:color="auto"/>
        <w:left w:val="none" w:sz="0" w:space="0" w:color="auto"/>
        <w:bottom w:val="none" w:sz="0" w:space="0" w:color="auto"/>
        <w:right w:val="none" w:sz="0" w:space="0" w:color="auto"/>
      </w:divBdr>
    </w:div>
    <w:div w:id="999769292">
      <w:bodyDiv w:val="1"/>
      <w:marLeft w:val="0"/>
      <w:marRight w:val="0"/>
      <w:marTop w:val="0"/>
      <w:marBottom w:val="0"/>
      <w:divBdr>
        <w:top w:val="none" w:sz="0" w:space="0" w:color="auto"/>
        <w:left w:val="none" w:sz="0" w:space="0" w:color="auto"/>
        <w:bottom w:val="none" w:sz="0" w:space="0" w:color="auto"/>
        <w:right w:val="none" w:sz="0" w:space="0" w:color="auto"/>
      </w:divBdr>
    </w:div>
    <w:div w:id="1107233097">
      <w:bodyDiv w:val="1"/>
      <w:marLeft w:val="0"/>
      <w:marRight w:val="0"/>
      <w:marTop w:val="0"/>
      <w:marBottom w:val="0"/>
      <w:divBdr>
        <w:top w:val="none" w:sz="0" w:space="0" w:color="auto"/>
        <w:left w:val="none" w:sz="0" w:space="0" w:color="auto"/>
        <w:bottom w:val="none" w:sz="0" w:space="0" w:color="auto"/>
        <w:right w:val="none" w:sz="0" w:space="0" w:color="auto"/>
      </w:divBdr>
    </w:div>
    <w:div w:id="1151602504">
      <w:bodyDiv w:val="1"/>
      <w:marLeft w:val="0"/>
      <w:marRight w:val="0"/>
      <w:marTop w:val="0"/>
      <w:marBottom w:val="0"/>
      <w:divBdr>
        <w:top w:val="none" w:sz="0" w:space="0" w:color="auto"/>
        <w:left w:val="none" w:sz="0" w:space="0" w:color="auto"/>
        <w:bottom w:val="none" w:sz="0" w:space="0" w:color="auto"/>
        <w:right w:val="none" w:sz="0" w:space="0" w:color="auto"/>
      </w:divBdr>
    </w:div>
    <w:div w:id="1186478240">
      <w:bodyDiv w:val="1"/>
      <w:marLeft w:val="0"/>
      <w:marRight w:val="0"/>
      <w:marTop w:val="0"/>
      <w:marBottom w:val="0"/>
      <w:divBdr>
        <w:top w:val="none" w:sz="0" w:space="0" w:color="auto"/>
        <w:left w:val="none" w:sz="0" w:space="0" w:color="auto"/>
        <w:bottom w:val="none" w:sz="0" w:space="0" w:color="auto"/>
        <w:right w:val="none" w:sz="0" w:space="0" w:color="auto"/>
      </w:divBdr>
    </w:div>
    <w:div w:id="1281260505">
      <w:bodyDiv w:val="1"/>
      <w:marLeft w:val="0"/>
      <w:marRight w:val="0"/>
      <w:marTop w:val="0"/>
      <w:marBottom w:val="0"/>
      <w:divBdr>
        <w:top w:val="none" w:sz="0" w:space="0" w:color="auto"/>
        <w:left w:val="none" w:sz="0" w:space="0" w:color="auto"/>
        <w:bottom w:val="none" w:sz="0" w:space="0" w:color="auto"/>
        <w:right w:val="none" w:sz="0" w:space="0" w:color="auto"/>
      </w:divBdr>
    </w:div>
    <w:div w:id="1399550170">
      <w:bodyDiv w:val="1"/>
      <w:marLeft w:val="0"/>
      <w:marRight w:val="0"/>
      <w:marTop w:val="0"/>
      <w:marBottom w:val="0"/>
      <w:divBdr>
        <w:top w:val="none" w:sz="0" w:space="0" w:color="auto"/>
        <w:left w:val="none" w:sz="0" w:space="0" w:color="auto"/>
        <w:bottom w:val="none" w:sz="0" w:space="0" w:color="auto"/>
        <w:right w:val="none" w:sz="0" w:space="0" w:color="auto"/>
      </w:divBdr>
    </w:div>
    <w:div w:id="1497841196">
      <w:bodyDiv w:val="1"/>
      <w:marLeft w:val="0"/>
      <w:marRight w:val="0"/>
      <w:marTop w:val="0"/>
      <w:marBottom w:val="0"/>
      <w:divBdr>
        <w:top w:val="none" w:sz="0" w:space="0" w:color="auto"/>
        <w:left w:val="none" w:sz="0" w:space="0" w:color="auto"/>
        <w:bottom w:val="none" w:sz="0" w:space="0" w:color="auto"/>
        <w:right w:val="none" w:sz="0" w:space="0" w:color="auto"/>
      </w:divBdr>
    </w:div>
    <w:div w:id="1497964973">
      <w:bodyDiv w:val="1"/>
      <w:marLeft w:val="0"/>
      <w:marRight w:val="0"/>
      <w:marTop w:val="0"/>
      <w:marBottom w:val="0"/>
      <w:divBdr>
        <w:top w:val="none" w:sz="0" w:space="0" w:color="auto"/>
        <w:left w:val="none" w:sz="0" w:space="0" w:color="auto"/>
        <w:bottom w:val="none" w:sz="0" w:space="0" w:color="auto"/>
        <w:right w:val="none" w:sz="0" w:space="0" w:color="auto"/>
      </w:divBdr>
    </w:div>
    <w:div w:id="1573657417">
      <w:bodyDiv w:val="1"/>
      <w:marLeft w:val="0"/>
      <w:marRight w:val="0"/>
      <w:marTop w:val="0"/>
      <w:marBottom w:val="0"/>
      <w:divBdr>
        <w:top w:val="none" w:sz="0" w:space="0" w:color="auto"/>
        <w:left w:val="none" w:sz="0" w:space="0" w:color="auto"/>
        <w:bottom w:val="none" w:sz="0" w:space="0" w:color="auto"/>
        <w:right w:val="none" w:sz="0" w:space="0" w:color="auto"/>
      </w:divBdr>
    </w:div>
    <w:div w:id="1598755399">
      <w:bodyDiv w:val="1"/>
      <w:marLeft w:val="0"/>
      <w:marRight w:val="0"/>
      <w:marTop w:val="0"/>
      <w:marBottom w:val="0"/>
      <w:divBdr>
        <w:top w:val="none" w:sz="0" w:space="0" w:color="auto"/>
        <w:left w:val="none" w:sz="0" w:space="0" w:color="auto"/>
        <w:bottom w:val="none" w:sz="0" w:space="0" w:color="auto"/>
        <w:right w:val="none" w:sz="0" w:space="0" w:color="auto"/>
      </w:divBdr>
    </w:div>
    <w:div w:id="1626809885">
      <w:bodyDiv w:val="1"/>
      <w:marLeft w:val="0"/>
      <w:marRight w:val="0"/>
      <w:marTop w:val="0"/>
      <w:marBottom w:val="0"/>
      <w:divBdr>
        <w:top w:val="none" w:sz="0" w:space="0" w:color="auto"/>
        <w:left w:val="none" w:sz="0" w:space="0" w:color="auto"/>
        <w:bottom w:val="none" w:sz="0" w:space="0" w:color="auto"/>
        <w:right w:val="none" w:sz="0" w:space="0" w:color="auto"/>
      </w:divBdr>
    </w:div>
    <w:div w:id="1633096838">
      <w:bodyDiv w:val="1"/>
      <w:marLeft w:val="0"/>
      <w:marRight w:val="0"/>
      <w:marTop w:val="0"/>
      <w:marBottom w:val="0"/>
      <w:divBdr>
        <w:top w:val="none" w:sz="0" w:space="0" w:color="auto"/>
        <w:left w:val="none" w:sz="0" w:space="0" w:color="auto"/>
        <w:bottom w:val="none" w:sz="0" w:space="0" w:color="auto"/>
        <w:right w:val="none" w:sz="0" w:space="0" w:color="auto"/>
      </w:divBdr>
    </w:div>
    <w:div w:id="1638950850">
      <w:bodyDiv w:val="1"/>
      <w:marLeft w:val="0"/>
      <w:marRight w:val="0"/>
      <w:marTop w:val="0"/>
      <w:marBottom w:val="0"/>
      <w:divBdr>
        <w:top w:val="none" w:sz="0" w:space="0" w:color="auto"/>
        <w:left w:val="none" w:sz="0" w:space="0" w:color="auto"/>
        <w:bottom w:val="none" w:sz="0" w:space="0" w:color="auto"/>
        <w:right w:val="none" w:sz="0" w:space="0" w:color="auto"/>
      </w:divBdr>
    </w:div>
    <w:div w:id="164570174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3403136">
      <w:bodyDiv w:val="1"/>
      <w:marLeft w:val="0"/>
      <w:marRight w:val="0"/>
      <w:marTop w:val="0"/>
      <w:marBottom w:val="0"/>
      <w:divBdr>
        <w:top w:val="none" w:sz="0" w:space="0" w:color="auto"/>
        <w:left w:val="none" w:sz="0" w:space="0" w:color="auto"/>
        <w:bottom w:val="none" w:sz="0" w:space="0" w:color="auto"/>
        <w:right w:val="none" w:sz="0" w:space="0" w:color="auto"/>
      </w:divBdr>
    </w:div>
    <w:div w:id="1896045534">
      <w:bodyDiv w:val="1"/>
      <w:marLeft w:val="0"/>
      <w:marRight w:val="0"/>
      <w:marTop w:val="0"/>
      <w:marBottom w:val="0"/>
      <w:divBdr>
        <w:top w:val="none" w:sz="0" w:space="0" w:color="auto"/>
        <w:left w:val="none" w:sz="0" w:space="0" w:color="auto"/>
        <w:bottom w:val="none" w:sz="0" w:space="0" w:color="auto"/>
        <w:right w:val="none" w:sz="0" w:space="0" w:color="auto"/>
      </w:divBdr>
    </w:div>
    <w:div w:id="1951358337">
      <w:bodyDiv w:val="1"/>
      <w:marLeft w:val="0"/>
      <w:marRight w:val="0"/>
      <w:marTop w:val="0"/>
      <w:marBottom w:val="0"/>
      <w:divBdr>
        <w:top w:val="none" w:sz="0" w:space="0" w:color="auto"/>
        <w:left w:val="none" w:sz="0" w:space="0" w:color="auto"/>
        <w:bottom w:val="none" w:sz="0" w:space="0" w:color="auto"/>
        <w:right w:val="none" w:sz="0" w:space="0" w:color="auto"/>
      </w:divBdr>
    </w:div>
    <w:div w:id="2117017601">
      <w:bodyDiv w:val="1"/>
      <w:marLeft w:val="0"/>
      <w:marRight w:val="0"/>
      <w:marTop w:val="0"/>
      <w:marBottom w:val="0"/>
      <w:divBdr>
        <w:top w:val="none" w:sz="0" w:space="0" w:color="auto"/>
        <w:left w:val="none" w:sz="0" w:space="0" w:color="auto"/>
        <w:bottom w:val="none" w:sz="0" w:space="0" w:color="auto"/>
        <w:right w:val="none" w:sz="0" w:space="0" w:color="auto"/>
      </w:divBdr>
    </w:div>
    <w:div w:id="2133744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B03EE20A890B4A93B9EA56A04B733C"/>
        <w:category>
          <w:name w:val="General"/>
          <w:gallery w:val="placeholder"/>
        </w:category>
        <w:types>
          <w:type w:val="bbPlcHdr"/>
        </w:types>
        <w:behaviors>
          <w:behavior w:val="content"/>
        </w:behaviors>
        <w:guid w:val="{2C45DBEE-7CD8-2F47-8818-7EF4D7EB7EBB}"/>
      </w:docPartPr>
      <w:docPartBody>
        <w:p w:rsidR="007147F2" w:rsidRDefault="00E60118" w:rsidP="00E60118">
          <w:pPr>
            <w:pStyle w:val="DEB03EE20A890B4A93B9EA56A04B733C"/>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B46AA"/>
    <w:rsid w:val="001664DB"/>
    <w:rsid w:val="001B4B23"/>
    <w:rsid w:val="00226AA3"/>
    <w:rsid w:val="00314D69"/>
    <w:rsid w:val="003776AF"/>
    <w:rsid w:val="004108B1"/>
    <w:rsid w:val="00600BDA"/>
    <w:rsid w:val="00602DBB"/>
    <w:rsid w:val="007147F2"/>
    <w:rsid w:val="00733948"/>
    <w:rsid w:val="008C3186"/>
    <w:rsid w:val="00901F5E"/>
    <w:rsid w:val="009405F6"/>
    <w:rsid w:val="009D2A14"/>
    <w:rsid w:val="00A939E7"/>
    <w:rsid w:val="00AB44F1"/>
    <w:rsid w:val="00AD3E3A"/>
    <w:rsid w:val="00B27754"/>
    <w:rsid w:val="00BD73EC"/>
    <w:rsid w:val="00C143E8"/>
    <w:rsid w:val="00C46B03"/>
    <w:rsid w:val="00CE6311"/>
    <w:rsid w:val="00D115C2"/>
    <w:rsid w:val="00D7165A"/>
    <w:rsid w:val="00DF3DF8"/>
    <w:rsid w:val="00E60118"/>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0118"/>
    <w:rPr>
      <w:color w:val="808080"/>
    </w:rPr>
  </w:style>
  <w:style w:type="paragraph" w:customStyle="1" w:styleId="4DBB5F3FC358F64B9E5EFB773263C7D2">
    <w:name w:val="4DBB5F3FC358F64B9E5EFB773263C7D2"/>
    <w:rsid w:val="00AB44F1"/>
  </w:style>
  <w:style w:type="paragraph" w:customStyle="1" w:styleId="66BEA07547E74041898D6C4DBB7C86C2">
    <w:name w:val="66BEA07547E74041898D6C4DBB7C86C2"/>
    <w:rsid w:val="00E60118"/>
  </w:style>
  <w:style w:type="paragraph" w:customStyle="1" w:styleId="DEB03EE20A890B4A93B9EA56A04B733C">
    <w:name w:val="DEB03EE20A890B4A93B9EA56A04B733C"/>
    <w:rsid w:val="00E601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745EA-1B07-4217-A601-305EC7C4F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1125</Words>
  <Characters>5946</Characters>
  <Application>Microsoft Office Word</Application>
  <DocSecurity>0</DocSecurity>
  <Lines>123</Lines>
  <Paragraphs>38</Paragraphs>
  <ScaleCrop>false</ScaleCrop>
  <Company/>
  <LinksUpToDate>false</LinksUpToDate>
  <CharactersWithSpaces>7033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Repot No. 227/20</dc:title>
  <dc:creator/>
  <cp:lastModifiedBy/>
  <cp:revision>1</cp:revision>
  <dcterms:created xsi:type="dcterms:W3CDTF">2021-01-11T14:10:00Z</dcterms:created>
  <dcterms:modified xsi:type="dcterms:W3CDTF">2021-01-11T14:10:00Z</dcterms:modified>
</cp:coreProperties>
</file>