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5F3AA4B6" w:rsidR="00040C3A" w:rsidRPr="003C32BC" w:rsidRDefault="00C25B3D"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5A76A786">
                <wp:simplePos x="0" y="0"/>
                <wp:positionH relativeFrom="column">
                  <wp:posOffset>-370114</wp:posOffset>
                </wp:positionH>
                <wp:positionV relativeFrom="paragraph">
                  <wp:posOffset>129086</wp:posOffset>
                </wp:positionV>
                <wp:extent cx="1387928"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87928"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23D97" w14:textId="4C9A79DC" w:rsidR="00302748" w:rsidRDefault="009E566A" w:rsidP="009E566A">
                            <w:pPr>
                              <w:jc w:val="right"/>
                              <w:rPr>
                                <w:rFonts w:asciiTheme="minorHAnsi" w:hAnsiTheme="minorHAnsi"/>
                                <w:color w:val="FF0000"/>
                                <w:sz w:val="22"/>
                                <w:lang w:val="pt-BR"/>
                              </w:rPr>
                            </w:pPr>
                            <w:r w:rsidRPr="00466D0B">
                              <w:rPr>
                                <w:rFonts w:asciiTheme="minorHAnsi" w:hAnsiTheme="minorHAnsi"/>
                                <w:color w:val="FFFFFF" w:themeColor="background1"/>
                                <w:sz w:val="22"/>
                                <w:lang w:val="pt-BR"/>
                              </w:rPr>
                              <w:t>OEA/Ser.L/V/II.</w:t>
                            </w:r>
                          </w:p>
                          <w:p w14:paraId="4AA08A8C" w14:textId="75508C66"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C25B3D">
                              <w:rPr>
                                <w:rFonts w:asciiTheme="minorHAnsi" w:hAnsiTheme="minorHAnsi"/>
                                <w:color w:val="FFFFFF" w:themeColor="background1"/>
                                <w:sz w:val="22"/>
                                <w:lang w:val="pt-BR"/>
                              </w:rPr>
                              <w:t>163</w:t>
                            </w:r>
                          </w:p>
                          <w:p w14:paraId="5F1F7BEA" w14:textId="69FCB34F" w:rsidR="00302748" w:rsidRPr="00302748"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C25B3D">
                              <w:rPr>
                                <w:rFonts w:asciiTheme="minorHAnsi" w:hAnsiTheme="minorHAnsi"/>
                                <w:color w:val="FFFFFF" w:themeColor="background1"/>
                                <w:sz w:val="22"/>
                              </w:rPr>
                              <w:t>17 June</w:t>
                            </w:r>
                            <w:r w:rsidR="00302748">
                              <w:rPr>
                                <w:rFonts w:asciiTheme="minorHAnsi" w:hAnsiTheme="minorHAnsi"/>
                                <w:color w:val="FFFFFF" w:themeColor="background1"/>
                                <w:sz w:val="22"/>
                              </w:rPr>
                              <w:t xml:space="preserve"> </w:t>
                            </w:r>
                            <w:r w:rsidR="006614CA">
                              <w:rPr>
                                <w:rFonts w:asciiTheme="minorHAnsi" w:hAnsiTheme="minorHAnsi"/>
                                <w:color w:val="FFFFFF" w:themeColor="background1"/>
                                <w:sz w:val="22"/>
                              </w:rPr>
                              <w:t>2020</w:t>
                            </w:r>
                            <w:r w:rsidR="00C25B3D">
                              <w:rPr>
                                <w:rFonts w:asciiTheme="minorHAnsi" w:hAnsiTheme="minorHAnsi"/>
                                <w:color w:val="FFFFFF" w:themeColor="background1"/>
                                <w:sz w:val="22"/>
                              </w:rPr>
                              <w:t xml:space="preserve"> </w:t>
                            </w:r>
                            <w:r w:rsidR="00627C9F" w:rsidRPr="004B7EB6">
                              <w:rPr>
                                <w:rFonts w:asciiTheme="minorHAnsi" w:hAnsiTheme="minorHAnsi"/>
                                <w:color w:val="FFFFFF" w:themeColor="background1"/>
                                <w:sz w:val="22"/>
                              </w:rPr>
                              <w:t>Original:</w:t>
                            </w:r>
                            <w:r w:rsidR="00C25B3D">
                              <w:rPr>
                                <w:rFonts w:asciiTheme="minorHAnsi" w:hAnsiTheme="minorHAnsi"/>
                                <w:color w:val="FFFFFF" w:themeColor="background1"/>
                                <w:sz w:val="22"/>
                              </w:rPr>
                              <w:t xml:space="preserve"> </w:t>
                            </w:r>
                            <w:r w:rsidR="00302748">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7" type="#_x0000_t202" style="position:absolute;left:0;text-align:left;margin-left:-29.15pt;margin-top:10.15pt;width:109.3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" filled="f" stroked="f" strokeweight=".5pt">
                <v:textbox>
                  <w:txbxContent>
                    <w:p w14:paraId="3F823D97" w14:textId="4C9A79DC" w:rsidR="00302748" w:rsidRDefault="009E566A" w:rsidP="009E566A">
                      <w:pPr>
                        <w:jc w:val="right"/>
                        <w:rPr>
                          <w:rFonts w:asciiTheme="minorHAnsi" w:hAnsiTheme="minorHAnsi"/>
                          <w:color w:val="FF0000"/>
                          <w:sz w:val="22"/>
                          <w:lang w:val="pt-BR"/>
                        </w:rPr>
                      </w:pPr>
                      <w:r w:rsidRPr="00466D0B">
                        <w:rPr>
                          <w:rFonts w:asciiTheme="minorHAnsi" w:hAnsiTheme="minorHAnsi"/>
                          <w:color w:val="FFFFFF" w:themeColor="background1"/>
                          <w:sz w:val="22"/>
                          <w:lang w:val="pt-BR"/>
                        </w:rPr>
                        <w:t>OEA/Ser.L/V/II.</w:t>
                      </w:r>
                    </w:p>
                    <w:p w14:paraId="4AA08A8C" w14:textId="75508C66"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C25B3D">
                        <w:rPr>
                          <w:rFonts w:asciiTheme="minorHAnsi" w:hAnsiTheme="minorHAnsi"/>
                          <w:color w:val="FFFFFF" w:themeColor="background1"/>
                          <w:sz w:val="22"/>
                          <w:lang w:val="pt-BR"/>
                        </w:rPr>
                        <w:t>163</w:t>
                      </w:r>
                    </w:p>
                    <w:p w14:paraId="5F1F7BEA" w14:textId="69FCB34F" w:rsidR="00302748" w:rsidRPr="00302748"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C25B3D">
                        <w:rPr>
                          <w:rFonts w:asciiTheme="minorHAnsi" w:hAnsiTheme="minorHAnsi"/>
                          <w:color w:val="FFFFFF" w:themeColor="background1"/>
                          <w:sz w:val="22"/>
                        </w:rPr>
                        <w:t>17 June</w:t>
                      </w:r>
                      <w:r w:rsidR="00302748">
                        <w:rPr>
                          <w:rFonts w:asciiTheme="minorHAnsi" w:hAnsiTheme="minorHAnsi"/>
                          <w:color w:val="FFFFFF" w:themeColor="background1"/>
                          <w:sz w:val="22"/>
                        </w:rPr>
                        <w:t xml:space="preserve"> </w:t>
                      </w:r>
                      <w:r w:rsidR="006614CA">
                        <w:rPr>
                          <w:rFonts w:asciiTheme="minorHAnsi" w:hAnsiTheme="minorHAnsi"/>
                          <w:color w:val="FFFFFF" w:themeColor="background1"/>
                          <w:sz w:val="22"/>
                        </w:rPr>
                        <w:t>2020</w:t>
                      </w:r>
                      <w:r w:rsidR="00C25B3D">
                        <w:rPr>
                          <w:rFonts w:asciiTheme="minorHAnsi" w:hAnsiTheme="minorHAnsi"/>
                          <w:color w:val="FFFFFF" w:themeColor="background1"/>
                          <w:sz w:val="22"/>
                        </w:rPr>
                        <w:t xml:space="preserve"> </w:t>
                      </w:r>
                      <w:r w:rsidR="00627C9F" w:rsidRPr="004B7EB6">
                        <w:rPr>
                          <w:rFonts w:asciiTheme="minorHAnsi" w:hAnsiTheme="minorHAnsi"/>
                          <w:color w:val="FFFFFF" w:themeColor="background1"/>
                          <w:sz w:val="22"/>
                        </w:rPr>
                        <w:t>Original:</w:t>
                      </w:r>
                      <w:r w:rsidR="00C25B3D">
                        <w:rPr>
                          <w:rFonts w:asciiTheme="minorHAnsi" w:hAnsiTheme="minorHAnsi"/>
                          <w:color w:val="FFFFFF" w:themeColor="background1"/>
                          <w:sz w:val="22"/>
                        </w:rPr>
                        <w:t xml:space="preserve"> </w:t>
                      </w:r>
                      <w:r w:rsidR="00302748">
                        <w:rPr>
                          <w:rFonts w:asciiTheme="minorHAnsi" w:hAnsiTheme="minorHAnsi"/>
                          <w:color w:val="FFFFFF" w:themeColor="background1"/>
                          <w:sz w:val="22"/>
                        </w:rPr>
                        <w:t>English</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6261538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9B6591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C25B3D">
                              <w:rPr>
                                <w:rFonts w:asciiTheme="majorHAnsi" w:hAnsiTheme="majorHAnsi" w:cs="Arial"/>
                                <w:b/>
                                <w:bCs/>
                                <w:color w:val="0D0D0D" w:themeColor="text1" w:themeTint="F2"/>
                                <w:sz w:val="36"/>
                                <w:szCs w:val="40"/>
                              </w:rPr>
                              <w:t>153</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46AAD36A"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02748">
                              <w:rPr>
                                <w:rFonts w:asciiTheme="majorHAnsi" w:hAnsiTheme="majorHAnsi" w:cs="Arial"/>
                                <w:b/>
                                <w:bCs/>
                                <w:color w:val="0D0D0D" w:themeColor="text1" w:themeTint="F2"/>
                                <w:sz w:val="36"/>
                                <w:szCs w:val="40"/>
                              </w:rPr>
                              <w:t>1</w:t>
                            </w:r>
                            <w:r w:rsidR="00AE0C9C">
                              <w:rPr>
                                <w:rFonts w:asciiTheme="majorHAnsi" w:hAnsiTheme="majorHAnsi" w:cs="Arial"/>
                                <w:b/>
                                <w:bCs/>
                                <w:color w:val="0D0D0D" w:themeColor="text1" w:themeTint="F2"/>
                                <w:sz w:val="36"/>
                                <w:szCs w:val="40"/>
                              </w:rPr>
                              <w:t>256-10</w:t>
                            </w:r>
                          </w:p>
                          <w:p w14:paraId="34978E5A" w14:textId="7A47E1D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287D9396" w14:textId="77777777" w:rsidR="00AE0C9C" w:rsidRPr="0010736F" w:rsidRDefault="00AE0C9C" w:rsidP="00AE0C9C">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EDGAR EDUARDO ACERO ACOSTA</w:t>
                            </w:r>
                          </w:p>
                          <w:p w14:paraId="17A89EFB" w14:textId="7493B290" w:rsidR="005B52B0" w:rsidRPr="000C4365" w:rsidRDefault="00AE0C9C" w:rsidP="00AE0C9C">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6F7C2188" w14:textId="69B6591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C25B3D">
                        <w:rPr>
                          <w:rFonts w:asciiTheme="majorHAnsi" w:hAnsiTheme="majorHAnsi" w:cs="Arial"/>
                          <w:b/>
                          <w:bCs/>
                          <w:color w:val="0D0D0D" w:themeColor="text1" w:themeTint="F2"/>
                          <w:sz w:val="36"/>
                          <w:szCs w:val="40"/>
                        </w:rPr>
                        <w:t>153</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46AAD36A"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02748">
                        <w:rPr>
                          <w:rFonts w:asciiTheme="majorHAnsi" w:hAnsiTheme="majorHAnsi" w:cs="Arial"/>
                          <w:b/>
                          <w:bCs/>
                          <w:color w:val="0D0D0D" w:themeColor="text1" w:themeTint="F2"/>
                          <w:sz w:val="36"/>
                          <w:szCs w:val="40"/>
                        </w:rPr>
                        <w:t>1</w:t>
                      </w:r>
                      <w:r w:rsidR="00AE0C9C">
                        <w:rPr>
                          <w:rFonts w:asciiTheme="majorHAnsi" w:hAnsiTheme="majorHAnsi" w:cs="Arial"/>
                          <w:b/>
                          <w:bCs/>
                          <w:color w:val="0D0D0D" w:themeColor="text1" w:themeTint="F2"/>
                          <w:sz w:val="36"/>
                          <w:szCs w:val="40"/>
                        </w:rPr>
                        <w:t>256-10</w:t>
                      </w:r>
                    </w:p>
                    <w:p w14:paraId="34978E5A" w14:textId="7A47E1D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287D9396" w14:textId="77777777" w:rsidR="00AE0C9C" w:rsidRPr="0010736F" w:rsidRDefault="00AE0C9C" w:rsidP="00AE0C9C">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EDGAR EDUARDO ACERO ACOSTA</w:t>
                      </w:r>
                    </w:p>
                    <w:p w14:paraId="17A89EFB" w14:textId="7493B290" w:rsidR="005B52B0" w:rsidRPr="000C4365" w:rsidRDefault="00AE0C9C" w:rsidP="00AE0C9C">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s-ES_tradnl"/>
                        </w:rPr>
                        <w:t>COLOMBIA</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76BA8ED"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C25B3D">
                              <w:rPr>
                                <w:rFonts w:asciiTheme="majorHAnsi" w:hAnsiTheme="majorHAnsi"/>
                                <w:color w:val="0D0D0D" w:themeColor="text1" w:themeTint="F2"/>
                                <w:sz w:val="18"/>
                                <w:szCs w:val="20"/>
                              </w:rPr>
                              <w:t>electronically</w:t>
                            </w:r>
                            <w:r w:rsidR="00C25B3D"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C25B3D">
                              <w:rPr>
                                <w:rFonts w:asciiTheme="majorHAnsi" w:hAnsiTheme="majorHAnsi"/>
                                <w:color w:val="0D0D0D" w:themeColor="text1" w:themeTint="F2"/>
                                <w:sz w:val="18"/>
                                <w:szCs w:val="20"/>
                              </w:rPr>
                              <w:t>June 17</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5C5B26">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676BA8ED"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C25B3D">
                        <w:rPr>
                          <w:rFonts w:asciiTheme="majorHAnsi" w:hAnsiTheme="majorHAnsi"/>
                          <w:color w:val="0D0D0D" w:themeColor="text1" w:themeTint="F2"/>
                          <w:sz w:val="18"/>
                          <w:szCs w:val="20"/>
                        </w:rPr>
                        <w:t>electronically</w:t>
                      </w:r>
                      <w:r w:rsidR="00C25B3D"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C25B3D">
                        <w:rPr>
                          <w:rFonts w:asciiTheme="majorHAnsi" w:hAnsiTheme="majorHAnsi"/>
                          <w:color w:val="0D0D0D" w:themeColor="text1" w:themeTint="F2"/>
                          <w:sz w:val="18"/>
                          <w:szCs w:val="20"/>
                        </w:rPr>
                        <w:t>June 17</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5C5B26">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8EC632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25B3D">
                              <w:rPr>
                                <w:rFonts w:asciiTheme="majorHAnsi" w:hAnsiTheme="majorHAnsi"/>
                                <w:color w:val="595959" w:themeColor="text1" w:themeTint="A6"/>
                                <w:sz w:val="18"/>
                              </w:rPr>
                              <w:t>153</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25B3D">
                              <w:rPr>
                                <w:rFonts w:asciiTheme="majorHAnsi" w:hAnsiTheme="majorHAnsi"/>
                                <w:color w:val="595959" w:themeColor="text1" w:themeTint="A6"/>
                                <w:sz w:val="18"/>
                              </w:rPr>
                              <w:t>1256</w:t>
                            </w:r>
                            <w:r w:rsidR="00F621C3">
                              <w:rPr>
                                <w:rFonts w:asciiTheme="majorHAnsi" w:hAnsiTheme="majorHAnsi"/>
                                <w:color w:val="595959" w:themeColor="text1" w:themeTint="A6"/>
                                <w:sz w:val="18"/>
                              </w:rPr>
                              <w:t>-</w:t>
                            </w:r>
                            <w:r w:rsidR="00C25B3D">
                              <w:rPr>
                                <w:rFonts w:asciiTheme="majorHAnsi" w:hAnsiTheme="majorHAnsi"/>
                                <w:color w:val="595959" w:themeColor="text1" w:themeTint="A6"/>
                                <w:sz w:val="18"/>
                              </w:rPr>
                              <w:t>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5C5B26">
                              <w:rPr>
                                <w:rFonts w:asciiTheme="majorHAnsi" w:hAnsiTheme="majorHAnsi"/>
                                <w:color w:val="595959" w:themeColor="text1" w:themeTint="A6"/>
                                <w:sz w:val="18"/>
                                <w:lang w:val="es-US"/>
                              </w:rPr>
                              <w:t>Admissibility</w:t>
                            </w:r>
                            <w:proofErr w:type="spellEnd"/>
                            <w:r w:rsidRPr="005C5B26">
                              <w:rPr>
                                <w:rFonts w:asciiTheme="majorHAnsi" w:hAnsiTheme="majorHAnsi"/>
                                <w:color w:val="595959" w:themeColor="text1" w:themeTint="A6"/>
                                <w:sz w:val="18"/>
                                <w:lang w:val="es-US"/>
                              </w:rPr>
                              <w:t xml:space="preserve">. </w:t>
                            </w:r>
                            <w:r w:rsidR="00C25B3D" w:rsidRPr="005C5B26">
                              <w:rPr>
                                <w:rFonts w:asciiTheme="majorHAnsi" w:hAnsiTheme="majorHAnsi"/>
                                <w:color w:val="595959" w:themeColor="text1" w:themeTint="A6"/>
                                <w:sz w:val="18"/>
                                <w:lang w:val="es-US"/>
                              </w:rPr>
                              <w:t>Edgar Eduardo Acero Acosta</w:t>
                            </w:r>
                            <w:r w:rsidRPr="005C5B26">
                              <w:rPr>
                                <w:rFonts w:asciiTheme="majorHAnsi" w:hAnsiTheme="majorHAnsi"/>
                                <w:color w:val="595959" w:themeColor="text1" w:themeTint="A6"/>
                                <w:sz w:val="18"/>
                                <w:lang w:val="es-US"/>
                              </w:rPr>
                              <w:t xml:space="preserve">. </w:t>
                            </w:r>
                            <w:r w:rsidR="00C25B3D">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C25B3D">
                              <w:rPr>
                                <w:rFonts w:asciiTheme="majorHAnsi" w:hAnsiTheme="majorHAnsi"/>
                                <w:color w:val="595959" w:themeColor="text1" w:themeTint="A6"/>
                                <w:sz w:val="18"/>
                              </w:rPr>
                              <w:t>June 17,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8EC632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25B3D">
                        <w:rPr>
                          <w:rFonts w:asciiTheme="majorHAnsi" w:hAnsiTheme="majorHAnsi"/>
                          <w:color w:val="595959" w:themeColor="text1" w:themeTint="A6"/>
                          <w:sz w:val="18"/>
                        </w:rPr>
                        <w:t>153</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25B3D">
                        <w:rPr>
                          <w:rFonts w:asciiTheme="majorHAnsi" w:hAnsiTheme="majorHAnsi"/>
                          <w:color w:val="595959" w:themeColor="text1" w:themeTint="A6"/>
                          <w:sz w:val="18"/>
                        </w:rPr>
                        <w:t>1256</w:t>
                      </w:r>
                      <w:r w:rsidR="00F621C3">
                        <w:rPr>
                          <w:rFonts w:asciiTheme="majorHAnsi" w:hAnsiTheme="majorHAnsi"/>
                          <w:color w:val="595959" w:themeColor="text1" w:themeTint="A6"/>
                          <w:sz w:val="18"/>
                        </w:rPr>
                        <w:t>-</w:t>
                      </w:r>
                      <w:r w:rsidR="00C25B3D">
                        <w:rPr>
                          <w:rFonts w:asciiTheme="majorHAnsi" w:hAnsiTheme="majorHAnsi"/>
                          <w:color w:val="595959" w:themeColor="text1" w:themeTint="A6"/>
                          <w:sz w:val="18"/>
                        </w:rPr>
                        <w:t>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5C5B26">
                        <w:rPr>
                          <w:rFonts w:asciiTheme="majorHAnsi" w:hAnsiTheme="majorHAnsi"/>
                          <w:color w:val="595959" w:themeColor="text1" w:themeTint="A6"/>
                          <w:sz w:val="18"/>
                          <w:lang w:val="es-US"/>
                        </w:rPr>
                        <w:t>Admissibility</w:t>
                      </w:r>
                      <w:proofErr w:type="spellEnd"/>
                      <w:r w:rsidRPr="005C5B26">
                        <w:rPr>
                          <w:rFonts w:asciiTheme="majorHAnsi" w:hAnsiTheme="majorHAnsi"/>
                          <w:color w:val="595959" w:themeColor="text1" w:themeTint="A6"/>
                          <w:sz w:val="18"/>
                          <w:lang w:val="es-US"/>
                        </w:rPr>
                        <w:t xml:space="preserve">. </w:t>
                      </w:r>
                      <w:r w:rsidR="00C25B3D" w:rsidRPr="005C5B26">
                        <w:rPr>
                          <w:rFonts w:asciiTheme="majorHAnsi" w:hAnsiTheme="majorHAnsi"/>
                          <w:color w:val="595959" w:themeColor="text1" w:themeTint="A6"/>
                          <w:sz w:val="18"/>
                          <w:lang w:val="es-US"/>
                        </w:rPr>
                        <w:t>Edgar Eduardo Acero Acosta</w:t>
                      </w:r>
                      <w:r w:rsidRPr="005C5B26">
                        <w:rPr>
                          <w:rFonts w:asciiTheme="majorHAnsi" w:hAnsiTheme="majorHAnsi"/>
                          <w:color w:val="595959" w:themeColor="text1" w:themeTint="A6"/>
                          <w:sz w:val="18"/>
                          <w:lang w:val="es-US"/>
                        </w:rPr>
                        <w:t xml:space="preserve">. </w:t>
                      </w:r>
                      <w:r w:rsidR="00C25B3D">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C25B3D">
                        <w:rPr>
                          <w:rFonts w:asciiTheme="majorHAnsi" w:hAnsiTheme="majorHAnsi"/>
                          <w:color w:val="595959" w:themeColor="text1" w:themeTint="A6"/>
                          <w:sz w:val="18"/>
                        </w:rPr>
                        <w:t>June 17, 2020.</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5C5B26"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22D65533" w:rsidR="00F621C3" w:rsidRPr="005C5B26" w:rsidRDefault="00AE0C9C" w:rsidP="009163FC">
            <w:pPr>
              <w:jc w:val="both"/>
              <w:rPr>
                <w:rFonts w:asciiTheme="majorHAnsi" w:hAnsiTheme="majorHAnsi"/>
                <w:bCs/>
                <w:sz w:val="20"/>
                <w:szCs w:val="20"/>
                <w:lang w:val="es-US"/>
              </w:rPr>
            </w:pPr>
            <w:r w:rsidRPr="007F55AE">
              <w:rPr>
                <w:rFonts w:asciiTheme="majorHAnsi" w:hAnsiTheme="majorHAnsi"/>
                <w:bCs/>
                <w:sz w:val="20"/>
                <w:szCs w:val="20"/>
                <w:lang w:val="es-ES_tradnl"/>
              </w:rPr>
              <w:t>Edgar Eduardo Acero Acosta and Andrea Acero Guevara</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B3282F"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584EB34B" w:rsidR="00F621C3" w:rsidRPr="007F55AE" w:rsidRDefault="00AE0C9C" w:rsidP="009163FC">
            <w:pPr>
              <w:jc w:val="both"/>
              <w:rPr>
                <w:rFonts w:asciiTheme="majorHAnsi" w:hAnsiTheme="majorHAnsi"/>
                <w:bCs/>
                <w:sz w:val="20"/>
                <w:szCs w:val="20"/>
              </w:rPr>
            </w:pPr>
            <w:r w:rsidRPr="007F55AE">
              <w:rPr>
                <w:rFonts w:asciiTheme="majorHAnsi" w:hAnsiTheme="majorHAnsi"/>
                <w:bCs/>
                <w:sz w:val="20"/>
                <w:szCs w:val="20"/>
                <w:lang w:val="es-ES_tradnl"/>
              </w:rPr>
              <w:t>Edgar Eduardo Acero Acosta</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6D465129" w:rsidR="00F621C3" w:rsidRPr="007F55AE" w:rsidRDefault="00302748" w:rsidP="009163FC">
            <w:pPr>
              <w:jc w:val="both"/>
              <w:rPr>
                <w:rFonts w:asciiTheme="majorHAnsi" w:hAnsiTheme="majorHAnsi"/>
                <w:bCs/>
                <w:sz w:val="20"/>
                <w:szCs w:val="20"/>
              </w:rPr>
            </w:pPr>
            <w:r w:rsidRPr="007F55AE">
              <w:rPr>
                <w:rFonts w:asciiTheme="majorHAnsi" w:hAnsiTheme="majorHAnsi"/>
                <w:bCs/>
                <w:sz w:val="20"/>
                <w:szCs w:val="20"/>
                <w:lang w:val="es-ES"/>
              </w:rPr>
              <w:t>C</w:t>
            </w:r>
            <w:proofErr w:type="spellStart"/>
            <w:r w:rsidR="0065506C" w:rsidRPr="007F55AE">
              <w:rPr>
                <w:rFonts w:asciiTheme="majorHAnsi" w:hAnsiTheme="majorHAnsi"/>
                <w:sz w:val="20"/>
                <w:szCs w:val="20"/>
              </w:rPr>
              <w:t>olombia</w:t>
            </w:r>
            <w:proofErr w:type="spellEnd"/>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569CB57B" w:rsidR="00E47F3D" w:rsidRPr="002359B5" w:rsidRDefault="00302748" w:rsidP="007F55AE">
            <w:pPr>
              <w:jc w:val="both"/>
              <w:rPr>
                <w:rFonts w:ascii="Cambria" w:hAnsi="Cambria"/>
                <w:bCs/>
                <w:sz w:val="20"/>
                <w:szCs w:val="20"/>
              </w:rPr>
            </w:pPr>
            <w:r w:rsidRPr="002359B5">
              <w:rPr>
                <w:rFonts w:ascii="Cambria" w:hAnsi="Cambria"/>
                <w:bCs/>
                <w:sz w:val="20"/>
                <w:szCs w:val="20"/>
              </w:rPr>
              <w:t xml:space="preserve">Article 8 </w:t>
            </w:r>
            <w:r w:rsidR="007F55AE" w:rsidRPr="002359B5">
              <w:rPr>
                <w:rFonts w:ascii="Cambria" w:hAnsi="Cambria" w:cs="Cambria"/>
                <w:sz w:val="20"/>
                <w:szCs w:val="20"/>
              </w:rPr>
              <w:t>(right to a fair trial)</w:t>
            </w:r>
            <w:r w:rsidRPr="002359B5">
              <w:rPr>
                <w:rFonts w:ascii="Cambria" w:hAnsi="Cambria"/>
                <w:bCs/>
                <w:sz w:val="20"/>
                <w:szCs w:val="20"/>
              </w:rPr>
              <w:t xml:space="preserve"> of the American Convention on Human Rights</w:t>
            </w:r>
            <w:r w:rsidRPr="002359B5">
              <w:rPr>
                <w:rStyle w:val="FootnoteReference"/>
                <w:rFonts w:ascii="Cambria" w:hAnsi="Cambria"/>
                <w:bCs/>
                <w:sz w:val="20"/>
                <w:szCs w:val="20"/>
                <w:lang w:val="es-ES"/>
              </w:rPr>
              <w:footnoteReference w:id="2"/>
            </w:r>
            <w:r w:rsidR="0065506C" w:rsidRPr="002359B5">
              <w:rPr>
                <w:rFonts w:ascii="Cambria" w:hAnsi="Cambria"/>
                <w:bCs/>
                <w:sz w:val="20"/>
                <w:szCs w:val="20"/>
              </w:rPr>
              <w:t xml:space="preserve"> and other international </w:t>
            </w:r>
            <w:r w:rsidR="002359B5" w:rsidRPr="002359B5">
              <w:rPr>
                <w:rFonts w:ascii="Cambria" w:hAnsi="Cambria"/>
                <w:bCs/>
                <w:sz w:val="20"/>
                <w:szCs w:val="20"/>
              </w:rPr>
              <w:t>treaties</w:t>
            </w:r>
            <w:r w:rsidR="0065506C" w:rsidRPr="002359B5">
              <w:rPr>
                <w:rFonts w:ascii="Cambria" w:hAnsi="Cambria"/>
                <w:bCs/>
                <w:sz w:val="20"/>
                <w:szCs w:val="20"/>
              </w:rPr>
              <w:t>.</w:t>
            </w:r>
            <w:r w:rsidR="0065506C" w:rsidRPr="002359B5">
              <w:rPr>
                <w:rFonts w:asciiTheme="majorHAnsi" w:hAnsiTheme="majorHAnsi"/>
                <w:bCs/>
                <w:sz w:val="20"/>
                <w:szCs w:val="20"/>
              </w:rPr>
              <w:t xml:space="preserve"> </w:t>
            </w:r>
            <w:r w:rsidR="0065506C" w:rsidRPr="002359B5">
              <w:rPr>
                <w:rStyle w:val="FootnoteReference"/>
                <w:rFonts w:asciiTheme="majorHAnsi" w:hAnsiTheme="majorHAnsi"/>
                <w:bCs/>
                <w:sz w:val="20"/>
                <w:szCs w:val="20"/>
                <w:lang w:val="es-ES_tradnl"/>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521B60" w:rsidRDefault="00B06BB7" w:rsidP="00B06BB7">
            <w:pPr>
              <w:jc w:val="center"/>
              <w:rPr>
                <w:rFonts w:ascii="Cambria" w:hAnsi="Cambria"/>
                <w:b/>
                <w:bCs/>
                <w:color w:val="FFFFFF" w:themeColor="background1"/>
                <w:sz w:val="22"/>
                <w:szCs w:val="22"/>
              </w:rPr>
            </w:pPr>
            <w:r w:rsidRPr="00521B60">
              <w:rPr>
                <w:rFonts w:ascii="Cambria" w:hAnsi="Cambria"/>
                <w:b/>
                <w:bCs/>
                <w:color w:val="FFFFFF" w:themeColor="background1"/>
                <w:sz w:val="22"/>
                <w:szCs w:val="22"/>
              </w:rPr>
              <w:t>Filing of the petition</w:t>
            </w:r>
            <w:r w:rsidR="00F621C3" w:rsidRPr="00521B60">
              <w:rPr>
                <w:rFonts w:ascii="Cambria" w:hAnsi="Cambria"/>
                <w:b/>
                <w:bCs/>
                <w:color w:val="FFFFFF" w:themeColor="background1"/>
                <w:sz w:val="22"/>
                <w:szCs w:val="22"/>
              </w:rPr>
              <w:t>:</w:t>
            </w:r>
          </w:p>
        </w:tc>
        <w:tc>
          <w:tcPr>
            <w:tcW w:w="5670" w:type="dxa"/>
            <w:vAlign w:val="center"/>
          </w:tcPr>
          <w:p w14:paraId="1C0C3DE2" w14:textId="4F3A06D2" w:rsidR="00F621C3" w:rsidRPr="002359B5" w:rsidRDefault="0065506C" w:rsidP="009163FC">
            <w:pPr>
              <w:jc w:val="both"/>
              <w:rPr>
                <w:rFonts w:ascii="Cambria" w:hAnsi="Cambria"/>
                <w:bCs/>
                <w:sz w:val="20"/>
                <w:szCs w:val="20"/>
              </w:rPr>
            </w:pPr>
            <w:proofErr w:type="spellStart"/>
            <w:r w:rsidRPr="002359B5">
              <w:rPr>
                <w:rFonts w:ascii="Cambria" w:hAnsi="Cambria"/>
                <w:bCs/>
                <w:sz w:val="20"/>
                <w:szCs w:val="20"/>
                <w:lang w:val="es-ES"/>
              </w:rPr>
              <w:t>September</w:t>
            </w:r>
            <w:proofErr w:type="spellEnd"/>
            <w:r w:rsidRPr="002359B5">
              <w:rPr>
                <w:rFonts w:ascii="Cambria" w:hAnsi="Cambria"/>
                <w:bCs/>
                <w:sz w:val="20"/>
                <w:szCs w:val="20"/>
                <w:lang w:val="es-ES"/>
              </w:rPr>
              <w:t xml:space="preserve"> 3, 2010</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521B60" w:rsidRDefault="00F621C3" w:rsidP="003771A3">
            <w:pPr>
              <w:jc w:val="center"/>
              <w:rPr>
                <w:rFonts w:ascii="Cambria" w:hAnsi="Cambria"/>
                <w:b/>
                <w:color w:val="FFFFFF" w:themeColor="background1"/>
                <w:sz w:val="22"/>
                <w:szCs w:val="22"/>
              </w:rPr>
            </w:pPr>
            <w:r w:rsidRPr="00521B60">
              <w:rPr>
                <w:rFonts w:ascii="Cambria" w:hAnsi="Cambria"/>
                <w:b/>
                <w:color w:val="FFFFFF" w:themeColor="background1"/>
                <w:sz w:val="22"/>
                <w:szCs w:val="22"/>
              </w:rPr>
              <w:t xml:space="preserve">Additional information received at the </w:t>
            </w:r>
            <w:r w:rsidR="003771A3" w:rsidRPr="00521B60">
              <w:rPr>
                <w:rFonts w:ascii="Cambria" w:hAnsi="Cambria"/>
                <w:b/>
                <w:color w:val="FFFFFF" w:themeColor="background1"/>
                <w:sz w:val="22"/>
                <w:szCs w:val="22"/>
              </w:rPr>
              <w:t>s</w:t>
            </w:r>
            <w:r w:rsidRPr="00521B60">
              <w:rPr>
                <w:rFonts w:ascii="Cambria" w:hAnsi="Cambria"/>
                <w:b/>
                <w:color w:val="FFFFFF" w:themeColor="background1"/>
                <w:sz w:val="22"/>
                <w:szCs w:val="22"/>
              </w:rPr>
              <w:t>tage</w:t>
            </w:r>
            <w:r w:rsidR="003771A3" w:rsidRPr="00521B60">
              <w:rPr>
                <w:rFonts w:ascii="Cambria" w:hAnsi="Cambria"/>
                <w:b/>
                <w:color w:val="FFFFFF" w:themeColor="background1"/>
                <w:sz w:val="22"/>
                <w:szCs w:val="22"/>
              </w:rPr>
              <w:t xml:space="preserve"> of initial review</w:t>
            </w:r>
            <w:r w:rsidRPr="00521B60">
              <w:rPr>
                <w:rFonts w:ascii="Cambria" w:hAnsi="Cambria"/>
                <w:b/>
                <w:color w:val="FFFFFF" w:themeColor="background1"/>
                <w:sz w:val="22"/>
                <w:szCs w:val="22"/>
              </w:rPr>
              <w:t>:</w:t>
            </w:r>
          </w:p>
        </w:tc>
        <w:tc>
          <w:tcPr>
            <w:tcW w:w="5670" w:type="dxa"/>
            <w:vAlign w:val="center"/>
          </w:tcPr>
          <w:p w14:paraId="499B90CB" w14:textId="7586EBD0" w:rsidR="0065506C" w:rsidRPr="002359B5" w:rsidRDefault="0065506C" w:rsidP="009163FC">
            <w:pPr>
              <w:jc w:val="both"/>
              <w:rPr>
                <w:rFonts w:ascii="Cambria" w:hAnsi="Cambria"/>
                <w:bCs/>
                <w:sz w:val="20"/>
                <w:szCs w:val="20"/>
              </w:rPr>
            </w:pPr>
            <w:r w:rsidRPr="002359B5">
              <w:rPr>
                <w:rFonts w:ascii="Cambria" w:hAnsi="Cambria"/>
                <w:bCs/>
                <w:sz w:val="20"/>
                <w:szCs w:val="20"/>
              </w:rPr>
              <w:t>April 4, 2012, June 6, 2014, and July 28, 2014</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521B60" w:rsidRDefault="00B06BB7" w:rsidP="00B06BB7">
            <w:pPr>
              <w:jc w:val="center"/>
              <w:rPr>
                <w:rFonts w:ascii="Cambria" w:hAnsi="Cambria"/>
                <w:b/>
                <w:bCs/>
                <w:color w:val="FFFFFF" w:themeColor="background1"/>
                <w:sz w:val="22"/>
                <w:szCs w:val="22"/>
              </w:rPr>
            </w:pPr>
            <w:r w:rsidRPr="00521B60">
              <w:rPr>
                <w:rFonts w:ascii="Cambria" w:hAnsi="Cambria"/>
                <w:b/>
                <w:color w:val="FFFFFF" w:themeColor="background1"/>
                <w:sz w:val="22"/>
                <w:szCs w:val="22"/>
              </w:rPr>
              <w:t>Notification of the petition to</w:t>
            </w:r>
            <w:r w:rsidR="00F621C3" w:rsidRPr="00521B60">
              <w:rPr>
                <w:rFonts w:ascii="Cambria" w:hAnsi="Cambria"/>
                <w:b/>
                <w:color w:val="FFFFFF" w:themeColor="background1"/>
                <w:sz w:val="22"/>
                <w:szCs w:val="22"/>
              </w:rPr>
              <w:t xml:space="preserve"> the State:</w:t>
            </w:r>
          </w:p>
        </w:tc>
        <w:tc>
          <w:tcPr>
            <w:tcW w:w="5670" w:type="dxa"/>
            <w:vAlign w:val="center"/>
          </w:tcPr>
          <w:p w14:paraId="22ADBFFE" w14:textId="00F40E96" w:rsidR="00F621C3" w:rsidRPr="002359B5" w:rsidRDefault="0065506C" w:rsidP="009163FC">
            <w:pPr>
              <w:jc w:val="both"/>
              <w:rPr>
                <w:rFonts w:ascii="Cambria" w:hAnsi="Cambria"/>
                <w:bCs/>
                <w:sz w:val="20"/>
                <w:szCs w:val="20"/>
              </w:rPr>
            </w:pPr>
            <w:r w:rsidRPr="002359B5">
              <w:rPr>
                <w:rFonts w:ascii="Cambria" w:hAnsi="Cambria"/>
                <w:bCs/>
                <w:sz w:val="20"/>
                <w:szCs w:val="20"/>
              </w:rPr>
              <w:t>November 17, 2015</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521B60" w:rsidRDefault="00F621C3" w:rsidP="009163FC">
            <w:pPr>
              <w:jc w:val="center"/>
              <w:rPr>
                <w:rFonts w:ascii="Cambria" w:hAnsi="Cambria"/>
                <w:b/>
                <w:bCs/>
                <w:color w:val="FFFFFF" w:themeColor="background1"/>
                <w:sz w:val="22"/>
                <w:szCs w:val="22"/>
              </w:rPr>
            </w:pPr>
            <w:r w:rsidRPr="00521B60">
              <w:rPr>
                <w:rFonts w:ascii="Cambria" w:hAnsi="Cambria"/>
                <w:b/>
                <w:color w:val="FFFFFF" w:themeColor="background1"/>
                <w:sz w:val="22"/>
                <w:szCs w:val="22"/>
              </w:rPr>
              <w:t>State’s first response:</w:t>
            </w:r>
          </w:p>
        </w:tc>
        <w:tc>
          <w:tcPr>
            <w:tcW w:w="5670" w:type="dxa"/>
            <w:vAlign w:val="center"/>
          </w:tcPr>
          <w:p w14:paraId="19C5DA57" w14:textId="1EA1C37C" w:rsidR="00F621C3" w:rsidRPr="002359B5" w:rsidRDefault="0065506C" w:rsidP="009163FC">
            <w:pPr>
              <w:jc w:val="both"/>
              <w:rPr>
                <w:rFonts w:ascii="Cambria" w:hAnsi="Cambria"/>
                <w:bCs/>
                <w:sz w:val="20"/>
                <w:szCs w:val="20"/>
              </w:rPr>
            </w:pPr>
            <w:r w:rsidRPr="002359B5">
              <w:rPr>
                <w:rFonts w:ascii="Cambria" w:hAnsi="Cambria"/>
                <w:bCs/>
                <w:sz w:val="20"/>
                <w:szCs w:val="20"/>
                <w:lang w:val="es-ES"/>
              </w:rPr>
              <w:t>May 27, 2016</w:t>
            </w:r>
          </w:p>
        </w:tc>
      </w:tr>
      <w:tr w:rsidR="00521B60"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521B60" w:rsidRPr="00521B60" w:rsidRDefault="00521B60" w:rsidP="00521B60">
            <w:pPr>
              <w:jc w:val="center"/>
              <w:rPr>
                <w:rFonts w:ascii="Cambria" w:hAnsi="Cambria"/>
                <w:b/>
                <w:bCs/>
                <w:color w:val="FFFFFF" w:themeColor="background1"/>
                <w:sz w:val="22"/>
                <w:szCs w:val="22"/>
              </w:rPr>
            </w:pPr>
            <w:r w:rsidRPr="00521B60">
              <w:rPr>
                <w:rFonts w:ascii="Cambria" w:hAnsi="Cambria"/>
                <w:b/>
                <w:bCs/>
                <w:color w:val="FFFFFF" w:themeColor="background1"/>
                <w:sz w:val="22"/>
                <w:szCs w:val="22"/>
              </w:rPr>
              <w:t>Additional observations from the petitioner:</w:t>
            </w:r>
          </w:p>
        </w:tc>
        <w:tc>
          <w:tcPr>
            <w:tcW w:w="5670" w:type="dxa"/>
            <w:vAlign w:val="center"/>
          </w:tcPr>
          <w:p w14:paraId="2A863ACD" w14:textId="593389AE" w:rsidR="00521B60" w:rsidRPr="002359B5" w:rsidRDefault="00521B60" w:rsidP="00521B60">
            <w:pPr>
              <w:jc w:val="both"/>
              <w:rPr>
                <w:rFonts w:ascii="Cambria" w:hAnsi="Cambria"/>
                <w:bCs/>
                <w:sz w:val="20"/>
                <w:szCs w:val="20"/>
                <w:lang w:val="es-ES_tradnl"/>
              </w:rPr>
            </w:pPr>
            <w:proofErr w:type="spellStart"/>
            <w:r w:rsidRPr="002359B5">
              <w:rPr>
                <w:rFonts w:ascii="Cambria" w:hAnsi="Cambria"/>
                <w:bCs/>
                <w:sz w:val="20"/>
                <w:szCs w:val="20"/>
                <w:lang w:val="es-ES_tradnl"/>
              </w:rPr>
              <w:t>November</w:t>
            </w:r>
            <w:proofErr w:type="spellEnd"/>
            <w:r w:rsidRPr="002359B5">
              <w:rPr>
                <w:rFonts w:ascii="Cambria" w:hAnsi="Cambria"/>
                <w:bCs/>
                <w:sz w:val="20"/>
                <w:szCs w:val="20"/>
                <w:lang w:val="es-ES_tradnl"/>
              </w:rPr>
              <w:t xml:space="preserve"> 9, 2016, </w:t>
            </w:r>
            <w:proofErr w:type="spellStart"/>
            <w:r w:rsidRPr="002359B5">
              <w:rPr>
                <w:rFonts w:ascii="Cambria" w:hAnsi="Cambria"/>
                <w:bCs/>
                <w:sz w:val="20"/>
                <w:szCs w:val="20"/>
                <w:lang w:val="es-ES_tradnl"/>
              </w:rPr>
              <w:t>September</w:t>
            </w:r>
            <w:proofErr w:type="spellEnd"/>
            <w:r w:rsidRPr="002359B5">
              <w:rPr>
                <w:rFonts w:ascii="Cambria" w:hAnsi="Cambria"/>
                <w:bCs/>
                <w:sz w:val="20"/>
                <w:szCs w:val="20"/>
                <w:lang w:val="es-ES_tradnl"/>
              </w:rPr>
              <w:t xml:space="preserve"> 6, 2017, and </w:t>
            </w:r>
            <w:proofErr w:type="spellStart"/>
            <w:r w:rsidRPr="002359B5">
              <w:rPr>
                <w:rFonts w:ascii="Cambria" w:hAnsi="Cambria"/>
                <w:bCs/>
                <w:sz w:val="20"/>
                <w:szCs w:val="20"/>
                <w:lang w:val="es-ES_tradnl"/>
              </w:rPr>
              <w:t>October</w:t>
            </w:r>
            <w:proofErr w:type="spellEnd"/>
            <w:r w:rsidRPr="002359B5">
              <w:rPr>
                <w:rFonts w:ascii="Cambria" w:hAnsi="Cambria"/>
                <w:bCs/>
                <w:sz w:val="20"/>
                <w:szCs w:val="20"/>
                <w:lang w:val="es-ES_tradnl"/>
              </w:rPr>
              <w:t xml:space="preserve"> 27, 2019</w:t>
            </w:r>
          </w:p>
        </w:tc>
      </w:tr>
      <w:tr w:rsidR="00521B60"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521B60" w:rsidRPr="00521B60" w:rsidRDefault="00521B60" w:rsidP="00521B60">
            <w:pPr>
              <w:jc w:val="center"/>
              <w:rPr>
                <w:rFonts w:ascii="Cambria" w:hAnsi="Cambria"/>
                <w:b/>
                <w:bCs/>
                <w:color w:val="FFFFFF" w:themeColor="background1"/>
                <w:sz w:val="22"/>
                <w:szCs w:val="22"/>
              </w:rPr>
            </w:pPr>
            <w:r w:rsidRPr="00521B60">
              <w:rPr>
                <w:rFonts w:ascii="Cambria" w:hAnsi="Cambria"/>
                <w:b/>
                <w:bCs/>
                <w:color w:val="FFFFFF" w:themeColor="background1"/>
                <w:sz w:val="22"/>
                <w:szCs w:val="22"/>
              </w:rPr>
              <w:t>Additional observations from the State:</w:t>
            </w:r>
          </w:p>
        </w:tc>
        <w:tc>
          <w:tcPr>
            <w:tcW w:w="5670" w:type="dxa"/>
            <w:vAlign w:val="center"/>
          </w:tcPr>
          <w:p w14:paraId="27F6ADE3" w14:textId="68C95DFD" w:rsidR="00521B60" w:rsidRPr="002359B5" w:rsidRDefault="00521B60" w:rsidP="00521B60">
            <w:pPr>
              <w:jc w:val="both"/>
              <w:rPr>
                <w:rFonts w:ascii="Cambria" w:hAnsi="Cambria"/>
                <w:bCs/>
                <w:sz w:val="20"/>
                <w:szCs w:val="20"/>
              </w:rPr>
            </w:pPr>
            <w:r w:rsidRPr="002359B5">
              <w:rPr>
                <w:rFonts w:ascii="Cambria" w:hAnsi="Cambria"/>
                <w:bCs/>
                <w:sz w:val="20"/>
                <w:szCs w:val="20"/>
              </w:rPr>
              <w:t>June 15, 2018</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6B12BB8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39C38C6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1DEF3181"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78BE073C" w:rsidR="00F621C3" w:rsidRPr="000B6B7A" w:rsidRDefault="00302748" w:rsidP="009163FC">
            <w:pPr>
              <w:jc w:val="both"/>
              <w:rPr>
                <w:rFonts w:asciiTheme="majorHAnsi" w:hAnsiTheme="majorHAnsi"/>
                <w:bCs/>
                <w:sz w:val="20"/>
                <w:szCs w:val="20"/>
              </w:rPr>
            </w:pPr>
            <w:r w:rsidRPr="00302748">
              <w:rPr>
                <w:rFonts w:asciiTheme="majorHAnsi" w:hAnsiTheme="majorHAnsi"/>
                <w:bCs/>
                <w:sz w:val="20"/>
                <w:szCs w:val="20"/>
              </w:rPr>
              <w:t>Yes, American Convention (</w:t>
            </w:r>
            <w:r w:rsidR="002359B5" w:rsidRPr="00CE0FE6">
              <w:rPr>
                <w:rFonts w:ascii="Cambria" w:hAnsi="Cambria" w:cs="Cambria"/>
                <w:sz w:val="20"/>
                <w:szCs w:val="20"/>
              </w:rPr>
              <w:t>instrum</w:t>
            </w:r>
            <w:r w:rsidR="002359B5">
              <w:rPr>
                <w:rFonts w:ascii="Cambria" w:hAnsi="Cambria" w:cs="Cambria"/>
                <w:sz w:val="20"/>
                <w:szCs w:val="20"/>
              </w:rPr>
              <w:t xml:space="preserve">ent of ratification deposited </w:t>
            </w:r>
            <w:r w:rsidRPr="00302748">
              <w:rPr>
                <w:rFonts w:asciiTheme="majorHAnsi" w:hAnsiTheme="majorHAnsi"/>
                <w:bCs/>
                <w:sz w:val="20"/>
                <w:szCs w:val="20"/>
              </w:rPr>
              <w:t xml:space="preserve">on </w:t>
            </w:r>
            <w:r w:rsidR="00521B60">
              <w:rPr>
                <w:rFonts w:asciiTheme="majorHAnsi" w:hAnsiTheme="majorHAnsi"/>
                <w:bCs/>
                <w:sz w:val="20"/>
                <w:szCs w:val="20"/>
              </w:rPr>
              <w:t>July 31, 1973</w:t>
            </w:r>
            <w:r w:rsidRPr="00302748">
              <w:rPr>
                <w:rFonts w:asciiTheme="majorHAnsi" w:hAnsiTheme="majorHAnsi"/>
                <w:bCs/>
                <w:sz w:val="20"/>
                <w:szCs w:val="20"/>
              </w:rPr>
              <w:t>)</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3C3CBFCF" w:rsidR="00F621C3" w:rsidRPr="000B6B7A" w:rsidRDefault="00302748"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5D9AA1CC" w:rsidR="00F621C3" w:rsidRPr="000B6B7A" w:rsidRDefault="00302748" w:rsidP="002359B5">
            <w:pPr>
              <w:jc w:val="both"/>
              <w:rPr>
                <w:rFonts w:ascii="Cambria" w:hAnsi="Cambria"/>
                <w:bCs/>
                <w:sz w:val="20"/>
                <w:szCs w:val="20"/>
              </w:rPr>
            </w:pPr>
            <w:r w:rsidRPr="00302748">
              <w:rPr>
                <w:rFonts w:ascii="Cambria" w:hAnsi="Cambria"/>
                <w:bCs/>
                <w:sz w:val="20"/>
                <w:szCs w:val="20"/>
              </w:rPr>
              <w:t xml:space="preserve">Articles 8 </w:t>
            </w:r>
            <w:r w:rsidR="002359B5" w:rsidRPr="002359B5">
              <w:rPr>
                <w:rFonts w:ascii="Cambria" w:hAnsi="Cambria" w:cs="Cambria"/>
                <w:sz w:val="20"/>
                <w:szCs w:val="20"/>
              </w:rPr>
              <w:t>(right to a fair trial)</w:t>
            </w:r>
            <w:r w:rsidR="002359B5">
              <w:rPr>
                <w:rFonts w:ascii="Cambria" w:hAnsi="Cambria" w:cs="Cambria"/>
                <w:sz w:val="20"/>
                <w:szCs w:val="20"/>
              </w:rPr>
              <w:t xml:space="preserve"> </w:t>
            </w:r>
            <w:r w:rsidRPr="00302748">
              <w:rPr>
                <w:rFonts w:ascii="Cambria" w:hAnsi="Cambria"/>
                <w:bCs/>
                <w:sz w:val="20"/>
                <w:szCs w:val="20"/>
              </w:rPr>
              <w:t>and 25 (judicial protection) of the American Convention</w:t>
            </w:r>
            <w:r w:rsidR="002359B5">
              <w:rPr>
                <w:rFonts w:ascii="Cambria" w:hAnsi="Cambria"/>
                <w:bCs/>
                <w:sz w:val="20"/>
                <w:szCs w:val="20"/>
              </w:rPr>
              <w:t xml:space="preserve">, </w:t>
            </w:r>
            <w:r w:rsidR="002359B5" w:rsidRPr="00CE0FE6">
              <w:rPr>
                <w:rFonts w:ascii="Cambria" w:hAnsi="Cambria" w:cs="Cambria"/>
                <w:sz w:val="20"/>
                <w:szCs w:val="20"/>
              </w:rPr>
              <w:t>in conjunction with Article 1.1 (obligation to respect rights) thereof</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25C8FADC" w:rsidR="00F621C3" w:rsidRPr="005E1339" w:rsidRDefault="00302748" w:rsidP="009163FC">
            <w:pPr>
              <w:rPr>
                <w:rFonts w:ascii="Cambria" w:hAnsi="Cambria"/>
                <w:bCs/>
                <w:sz w:val="20"/>
                <w:szCs w:val="20"/>
              </w:rPr>
            </w:pPr>
            <w:r w:rsidRPr="005E1339">
              <w:rPr>
                <w:rFonts w:asciiTheme="majorHAnsi" w:hAnsiTheme="majorHAnsi"/>
                <w:sz w:val="20"/>
                <w:szCs w:val="20"/>
              </w:rPr>
              <w:t xml:space="preserve">Yes, </w:t>
            </w:r>
            <w:r w:rsidR="00521B60" w:rsidRPr="005E1339">
              <w:rPr>
                <w:rFonts w:asciiTheme="majorHAnsi" w:hAnsiTheme="majorHAnsi"/>
                <w:sz w:val="20"/>
                <w:szCs w:val="20"/>
              </w:rPr>
              <w:t>September 2, 2010</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2A4C9EBE" w:rsidR="00F621C3" w:rsidRPr="005E1339" w:rsidRDefault="00302748" w:rsidP="009163FC">
            <w:pPr>
              <w:rPr>
                <w:rFonts w:asciiTheme="majorHAnsi" w:hAnsiTheme="majorHAnsi"/>
                <w:bCs/>
                <w:sz w:val="20"/>
                <w:szCs w:val="20"/>
              </w:rPr>
            </w:pPr>
            <w:r w:rsidRPr="005E1339">
              <w:rPr>
                <w:rFonts w:asciiTheme="majorHAnsi" w:hAnsiTheme="majorHAnsi"/>
                <w:sz w:val="20"/>
                <w:szCs w:val="20"/>
                <w:lang w:val="es-MX"/>
              </w:rPr>
              <w:t>Yes</w:t>
            </w:r>
          </w:p>
        </w:tc>
      </w:tr>
    </w:tbl>
    <w:p w14:paraId="030F3F08" w14:textId="77777777" w:rsidR="00210F4B" w:rsidRDefault="00210F4B" w:rsidP="00F621C3">
      <w:pPr>
        <w:spacing w:before="240" w:after="240"/>
        <w:ind w:firstLine="720"/>
        <w:jc w:val="both"/>
        <w:rPr>
          <w:rFonts w:asciiTheme="majorHAnsi" w:hAnsiTheme="majorHAnsi"/>
          <w:b/>
          <w:sz w:val="20"/>
          <w:szCs w:val="20"/>
        </w:rPr>
      </w:pPr>
    </w:p>
    <w:p w14:paraId="54172C4F" w14:textId="77777777" w:rsidR="00B06BB7" w:rsidRDefault="00B06BB7">
      <w:pPr>
        <w:rPr>
          <w:rFonts w:asciiTheme="majorHAnsi" w:hAnsiTheme="majorHAnsi"/>
          <w:b/>
          <w:sz w:val="20"/>
          <w:szCs w:val="20"/>
        </w:rPr>
      </w:pPr>
      <w:r>
        <w:rPr>
          <w:rFonts w:asciiTheme="majorHAnsi" w:hAnsiTheme="majorHAnsi"/>
          <w:b/>
          <w:sz w:val="20"/>
          <w:szCs w:val="20"/>
        </w:rPr>
        <w:br w:type="page"/>
      </w:r>
    </w:p>
    <w:p w14:paraId="22BE12EB" w14:textId="77777777" w:rsidR="00BF4B32" w:rsidRDefault="00F621C3" w:rsidP="00BF4B32">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1518EF08" w14:textId="0BEE4999" w:rsidR="00B51815" w:rsidRPr="000D755A" w:rsidRDefault="00B51815" w:rsidP="0030359C">
      <w:pPr>
        <w:pStyle w:val="ListParagraph"/>
        <w:numPr>
          <w:ilvl w:val="0"/>
          <w:numId w:val="107"/>
        </w:numPr>
        <w:spacing w:before="240" w:after="240"/>
        <w:ind w:left="0" w:firstLine="720"/>
        <w:jc w:val="both"/>
        <w:rPr>
          <w:rFonts w:asciiTheme="majorHAnsi" w:hAnsiTheme="majorHAnsi"/>
          <w:bCs/>
          <w:sz w:val="20"/>
          <w:szCs w:val="20"/>
        </w:rPr>
      </w:pPr>
      <w:r w:rsidRPr="000D755A">
        <w:rPr>
          <w:rFonts w:asciiTheme="majorHAnsi" w:hAnsiTheme="majorHAnsi"/>
          <w:bCs/>
          <w:sz w:val="20"/>
          <w:szCs w:val="20"/>
        </w:rPr>
        <w:t xml:space="preserve">The petitioner and alleged victim, Edgar Eduardo </w:t>
      </w:r>
      <w:proofErr w:type="spellStart"/>
      <w:r w:rsidRPr="000D755A">
        <w:rPr>
          <w:rFonts w:asciiTheme="majorHAnsi" w:hAnsiTheme="majorHAnsi"/>
          <w:bCs/>
          <w:sz w:val="20"/>
          <w:szCs w:val="20"/>
        </w:rPr>
        <w:t>Acero</w:t>
      </w:r>
      <w:proofErr w:type="spellEnd"/>
      <w:r w:rsidRPr="000D755A">
        <w:rPr>
          <w:rFonts w:asciiTheme="majorHAnsi" w:hAnsiTheme="majorHAnsi"/>
          <w:bCs/>
          <w:sz w:val="20"/>
          <w:szCs w:val="20"/>
        </w:rPr>
        <w:t xml:space="preserve"> Acosta, requests the Commission to declare the Colombian State internationally responsible for violation</w:t>
      </w:r>
      <w:r w:rsidR="001B2EA5" w:rsidRPr="000D755A">
        <w:rPr>
          <w:rFonts w:asciiTheme="majorHAnsi" w:hAnsiTheme="majorHAnsi"/>
          <w:bCs/>
          <w:sz w:val="20"/>
          <w:szCs w:val="20"/>
        </w:rPr>
        <w:t>s</w:t>
      </w:r>
      <w:r w:rsidRPr="000D755A">
        <w:rPr>
          <w:rFonts w:asciiTheme="majorHAnsi" w:hAnsiTheme="majorHAnsi"/>
          <w:bCs/>
          <w:sz w:val="20"/>
          <w:szCs w:val="20"/>
        </w:rPr>
        <w:t xml:space="preserve"> of </w:t>
      </w:r>
      <w:r w:rsidR="00BF1835" w:rsidRPr="000D755A">
        <w:rPr>
          <w:rFonts w:asciiTheme="majorHAnsi" w:hAnsiTheme="majorHAnsi"/>
          <w:bCs/>
          <w:sz w:val="20"/>
          <w:szCs w:val="20"/>
        </w:rPr>
        <w:t xml:space="preserve">the </w:t>
      </w:r>
      <w:r w:rsidRPr="000D755A">
        <w:rPr>
          <w:rFonts w:asciiTheme="majorHAnsi" w:hAnsiTheme="majorHAnsi"/>
          <w:bCs/>
          <w:sz w:val="20"/>
          <w:szCs w:val="20"/>
        </w:rPr>
        <w:t>judicial guarantees due to the alleged irregularities that occurred in the framework of a criminal proceeding against him</w:t>
      </w:r>
      <w:r w:rsidR="001B2EA5" w:rsidRPr="000D755A">
        <w:rPr>
          <w:rFonts w:asciiTheme="majorHAnsi" w:hAnsiTheme="majorHAnsi"/>
          <w:bCs/>
          <w:sz w:val="20"/>
          <w:szCs w:val="20"/>
        </w:rPr>
        <w:t xml:space="preserve">. </w:t>
      </w:r>
    </w:p>
    <w:p w14:paraId="51775B36" w14:textId="69E59AD4" w:rsidR="00BF1835" w:rsidRPr="007F55AE" w:rsidRDefault="00BF1835" w:rsidP="0030359C">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7F55AE">
        <w:rPr>
          <w:sz w:val="20"/>
          <w:szCs w:val="20"/>
        </w:rPr>
        <w:t>The petitioner states that he was detained on March 29, 2005 by order issued by the Espinal Tolima</w:t>
      </w:r>
      <w:r w:rsidR="00666533" w:rsidRPr="007F55AE">
        <w:rPr>
          <w:sz w:val="20"/>
          <w:szCs w:val="20"/>
        </w:rPr>
        <w:t xml:space="preserve"> </w:t>
      </w:r>
      <w:r w:rsidRPr="007F55AE">
        <w:rPr>
          <w:sz w:val="20"/>
          <w:szCs w:val="20"/>
        </w:rPr>
        <w:t xml:space="preserve">Prosecutor's Office 30, which considered him to be an alleged co-author of the crime of aggravated homicide in conjunction with qualified and aggravated theft, and illegal carrying of weapons, for events that occurred on October 31, 2003. </w:t>
      </w:r>
      <w:r w:rsidR="005E1339">
        <w:rPr>
          <w:sz w:val="20"/>
          <w:szCs w:val="20"/>
        </w:rPr>
        <w:t>The pe</w:t>
      </w:r>
      <w:r w:rsidR="001B2EA5" w:rsidRPr="007F55AE">
        <w:rPr>
          <w:sz w:val="20"/>
          <w:szCs w:val="20"/>
        </w:rPr>
        <w:t>titioner</w:t>
      </w:r>
      <w:r w:rsidR="005E1339">
        <w:rPr>
          <w:sz w:val="20"/>
          <w:szCs w:val="20"/>
        </w:rPr>
        <w:t xml:space="preserve"> alleges that his right of</w:t>
      </w:r>
      <w:r w:rsidRPr="007F55AE">
        <w:rPr>
          <w:sz w:val="20"/>
          <w:szCs w:val="20"/>
        </w:rPr>
        <w:t xml:space="preserve"> defense was violated during the investigation phase, because after the resignation of his defense attorney</w:t>
      </w:r>
      <w:r w:rsidR="00560359">
        <w:rPr>
          <w:sz w:val="20"/>
          <w:szCs w:val="20"/>
        </w:rPr>
        <w:t>,</w:t>
      </w:r>
      <w:r w:rsidR="00816CCE">
        <w:rPr>
          <w:sz w:val="20"/>
          <w:szCs w:val="20"/>
        </w:rPr>
        <w:t xml:space="preserve"> during </w:t>
      </w:r>
      <w:proofErr w:type="gramStart"/>
      <w:r w:rsidR="00816CCE">
        <w:rPr>
          <w:sz w:val="20"/>
          <w:szCs w:val="20"/>
        </w:rPr>
        <w:t>an</w:t>
      </w:r>
      <w:proofErr w:type="gramEnd"/>
      <w:r w:rsidR="00816CCE">
        <w:rPr>
          <w:sz w:val="20"/>
          <w:szCs w:val="20"/>
        </w:rPr>
        <w:t xml:space="preserve"> custodial interrogation</w:t>
      </w:r>
      <w:r w:rsidRPr="007F55AE">
        <w:rPr>
          <w:sz w:val="20"/>
          <w:szCs w:val="20"/>
        </w:rPr>
        <w:t xml:space="preserve"> procedure, the pros</w:t>
      </w:r>
      <w:r w:rsidR="00560359">
        <w:rPr>
          <w:sz w:val="20"/>
          <w:szCs w:val="20"/>
        </w:rPr>
        <w:t xml:space="preserve">ecution arbitrarily replaced his new </w:t>
      </w:r>
      <w:r w:rsidR="00560359" w:rsidRPr="007F55AE">
        <w:rPr>
          <w:sz w:val="20"/>
          <w:szCs w:val="20"/>
        </w:rPr>
        <w:t>defense attorney</w:t>
      </w:r>
      <w:r w:rsidRPr="007F55AE">
        <w:rPr>
          <w:sz w:val="20"/>
          <w:szCs w:val="20"/>
        </w:rPr>
        <w:t xml:space="preserve"> </w:t>
      </w:r>
      <w:r w:rsidR="001B2EA5" w:rsidRPr="007F55AE">
        <w:rPr>
          <w:sz w:val="20"/>
          <w:szCs w:val="20"/>
        </w:rPr>
        <w:t>with</w:t>
      </w:r>
      <w:r w:rsidRPr="007F55AE">
        <w:rPr>
          <w:sz w:val="20"/>
          <w:szCs w:val="20"/>
        </w:rPr>
        <w:t xml:space="preserve"> another </w:t>
      </w:r>
      <w:r w:rsidR="00560359" w:rsidRPr="007F55AE">
        <w:rPr>
          <w:sz w:val="20"/>
          <w:szCs w:val="20"/>
        </w:rPr>
        <w:t>public defender</w:t>
      </w:r>
      <w:r w:rsidR="00560359">
        <w:rPr>
          <w:sz w:val="20"/>
          <w:szCs w:val="20"/>
        </w:rPr>
        <w:t>, who showed up</w:t>
      </w:r>
      <w:r w:rsidRPr="007F55AE">
        <w:rPr>
          <w:sz w:val="20"/>
          <w:szCs w:val="20"/>
        </w:rPr>
        <w:t xml:space="preserve"> in the middle of said proceeding. The petitioner further indicates that </w:t>
      </w:r>
      <w:r w:rsidR="003C3B50" w:rsidRPr="007F55AE">
        <w:rPr>
          <w:sz w:val="20"/>
          <w:szCs w:val="20"/>
        </w:rPr>
        <w:t>the Public Defender´s Office did not authorize this public defender</w:t>
      </w:r>
      <w:r w:rsidRPr="007F55AE">
        <w:rPr>
          <w:sz w:val="20"/>
          <w:szCs w:val="20"/>
        </w:rPr>
        <w:t xml:space="preserve">, since the prosecution had not previously requested the Municipal Ombudsman to appoint a public defender. Therefore, </w:t>
      </w:r>
      <w:r w:rsidR="001B2EA5" w:rsidRPr="007F55AE">
        <w:rPr>
          <w:sz w:val="20"/>
          <w:szCs w:val="20"/>
        </w:rPr>
        <w:t>he</w:t>
      </w:r>
      <w:r w:rsidRPr="007F55AE">
        <w:rPr>
          <w:sz w:val="20"/>
          <w:szCs w:val="20"/>
        </w:rPr>
        <w:t xml:space="preserve"> argues that this replacement was an arbitrary act of the prosecution.</w:t>
      </w:r>
    </w:p>
    <w:p w14:paraId="777FB9B9" w14:textId="6B030A1C" w:rsidR="000D755A" w:rsidRPr="007F55AE" w:rsidRDefault="000D755A" w:rsidP="0030359C">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7F55AE">
        <w:rPr>
          <w:sz w:val="20"/>
          <w:szCs w:val="20"/>
        </w:rPr>
        <w:t xml:space="preserve">The petitioner further alleges that this and other ex-officio attorneys who succeeded him in his defense did </w:t>
      </w:r>
      <w:r w:rsidR="003C3B50">
        <w:rPr>
          <w:sz w:val="20"/>
          <w:szCs w:val="20"/>
        </w:rPr>
        <w:t xml:space="preserve">not conduct a </w:t>
      </w:r>
      <w:r w:rsidR="003C3B50" w:rsidRPr="003C3B50">
        <w:rPr>
          <w:sz w:val="20"/>
          <w:szCs w:val="20"/>
        </w:rPr>
        <w:t xml:space="preserve">real and adequate technical defense </w:t>
      </w:r>
      <w:r w:rsidR="003C3B50">
        <w:rPr>
          <w:sz w:val="20"/>
          <w:szCs w:val="20"/>
        </w:rPr>
        <w:t>during the investigation</w:t>
      </w:r>
      <w:r w:rsidRPr="007F55AE">
        <w:rPr>
          <w:sz w:val="20"/>
          <w:szCs w:val="20"/>
        </w:rPr>
        <w:t xml:space="preserve">, abandoning it without requesting evidence or closing arguments and, consequently, making it impossible to overcome the accusation. Mr. </w:t>
      </w:r>
      <w:proofErr w:type="spellStart"/>
      <w:r w:rsidRPr="007F55AE">
        <w:rPr>
          <w:sz w:val="20"/>
          <w:szCs w:val="20"/>
        </w:rPr>
        <w:t>Acero</w:t>
      </w:r>
      <w:proofErr w:type="spellEnd"/>
      <w:r w:rsidRPr="007F55AE">
        <w:rPr>
          <w:sz w:val="20"/>
          <w:szCs w:val="20"/>
        </w:rPr>
        <w:t xml:space="preserve"> indicates that his </w:t>
      </w:r>
      <w:r w:rsidR="003C3B50">
        <w:rPr>
          <w:sz w:val="20"/>
          <w:szCs w:val="20"/>
        </w:rPr>
        <w:t>right of</w:t>
      </w:r>
      <w:r w:rsidR="00666533" w:rsidRPr="007F55AE">
        <w:rPr>
          <w:sz w:val="20"/>
          <w:szCs w:val="20"/>
        </w:rPr>
        <w:t xml:space="preserve"> </w:t>
      </w:r>
      <w:r w:rsidRPr="007F55AE">
        <w:rPr>
          <w:sz w:val="20"/>
          <w:szCs w:val="20"/>
        </w:rPr>
        <w:t xml:space="preserve">defense was also violated </w:t>
      </w:r>
      <w:r w:rsidR="00666533" w:rsidRPr="007F55AE">
        <w:rPr>
          <w:sz w:val="20"/>
          <w:szCs w:val="20"/>
        </w:rPr>
        <w:t xml:space="preserve">because </w:t>
      </w:r>
      <w:r w:rsidRPr="007F55AE">
        <w:rPr>
          <w:sz w:val="20"/>
          <w:szCs w:val="20"/>
        </w:rPr>
        <w:t>during the investigation he did not have access to copies of the summary file in order to prepare a material defense.</w:t>
      </w:r>
    </w:p>
    <w:p w14:paraId="1B30F0E5" w14:textId="400138A2" w:rsidR="000D755A" w:rsidRPr="007F55AE" w:rsidRDefault="000D755A" w:rsidP="0030359C">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7F55AE">
        <w:rPr>
          <w:sz w:val="20"/>
          <w:szCs w:val="20"/>
        </w:rPr>
        <w:t xml:space="preserve">The petitioner argues that the prosecution did not collect any of the evidence requested by him to exercise his right </w:t>
      </w:r>
      <w:r w:rsidR="00AC15ED">
        <w:rPr>
          <w:sz w:val="20"/>
          <w:szCs w:val="20"/>
        </w:rPr>
        <w:t>of</w:t>
      </w:r>
      <w:r w:rsidRPr="007F55AE">
        <w:rPr>
          <w:sz w:val="20"/>
          <w:szCs w:val="20"/>
        </w:rPr>
        <w:t xml:space="preserve"> defense, v</w:t>
      </w:r>
      <w:r w:rsidR="00AC15ED">
        <w:rPr>
          <w:sz w:val="20"/>
          <w:szCs w:val="20"/>
        </w:rPr>
        <w:t xml:space="preserve">iolating the </w:t>
      </w:r>
      <w:r w:rsidR="00AC15ED" w:rsidRPr="00AC15ED">
        <w:rPr>
          <w:sz w:val="20"/>
          <w:szCs w:val="20"/>
        </w:rPr>
        <w:t>pri</w:t>
      </w:r>
      <w:r w:rsidR="00AC15ED">
        <w:rPr>
          <w:sz w:val="20"/>
          <w:szCs w:val="20"/>
        </w:rPr>
        <w:t>nciple of comprehensive</w:t>
      </w:r>
      <w:r w:rsidRPr="007F55AE">
        <w:rPr>
          <w:sz w:val="20"/>
          <w:szCs w:val="20"/>
        </w:rPr>
        <w:t xml:space="preserve"> investigation; and that his right to the presumption of innocence was violated due to the insufficient collection of evidence that would prove his innocence, as well as other arbitrar</w:t>
      </w:r>
      <w:r w:rsidR="00666533" w:rsidRPr="007F55AE">
        <w:rPr>
          <w:sz w:val="20"/>
          <w:szCs w:val="20"/>
        </w:rPr>
        <w:t>y acts committed</w:t>
      </w:r>
      <w:r w:rsidRPr="007F55AE">
        <w:rPr>
          <w:sz w:val="20"/>
          <w:szCs w:val="20"/>
        </w:rPr>
        <w:t xml:space="preserve"> by the prosecution. In particular, Mr. </w:t>
      </w:r>
      <w:proofErr w:type="spellStart"/>
      <w:r w:rsidRPr="007F55AE">
        <w:rPr>
          <w:sz w:val="20"/>
          <w:szCs w:val="20"/>
        </w:rPr>
        <w:t>A</w:t>
      </w:r>
      <w:r w:rsidR="00816CCE">
        <w:rPr>
          <w:sz w:val="20"/>
          <w:szCs w:val="20"/>
        </w:rPr>
        <w:t>cero</w:t>
      </w:r>
      <w:proofErr w:type="spellEnd"/>
      <w:r w:rsidR="00816CCE">
        <w:rPr>
          <w:sz w:val="20"/>
          <w:szCs w:val="20"/>
        </w:rPr>
        <w:t xml:space="preserve"> refers to the custodial interrogation</w:t>
      </w:r>
      <w:r w:rsidRPr="007F55AE">
        <w:rPr>
          <w:sz w:val="20"/>
          <w:szCs w:val="20"/>
        </w:rPr>
        <w:t xml:space="preserve"> of another accused in the course of the criminal investigation, which </w:t>
      </w:r>
      <w:r w:rsidR="00F435A1" w:rsidRPr="007F55AE">
        <w:rPr>
          <w:sz w:val="20"/>
          <w:szCs w:val="20"/>
        </w:rPr>
        <w:t>contained</w:t>
      </w:r>
      <w:r w:rsidRPr="007F55AE">
        <w:rPr>
          <w:sz w:val="20"/>
          <w:szCs w:val="20"/>
        </w:rPr>
        <w:t xml:space="preserve"> a statement that would exonerate him. </w:t>
      </w:r>
    </w:p>
    <w:p w14:paraId="030A37CB" w14:textId="21D5DF06" w:rsidR="000D755A" w:rsidRPr="007F55AE" w:rsidRDefault="000D755A" w:rsidP="0030359C">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7F55AE">
        <w:rPr>
          <w:sz w:val="20"/>
          <w:szCs w:val="20"/>
        </w:rPr>
        <w:t>In light of the alleged irregularities in the criminal process, the petiti</w:t>
      </w:r>
      <w:r w:rsidR="00816CCE">
        <w:rPr>
          <w:sz w:val="20"/>
          <w:szCs w:val="20"/>
        </w:rPr>
        <w:t>oner filed various actions</w:t>
      </w:r>
      <w:r w:rsidRPr="007F55AE">
        <w:rPr>
          <w:sz w:val="20"/>
          <w:szCs w:val="20"/>
        </w:rPr>
        <w:t xml:space="preserve">, of reinstatement, of nullity, and actions </w:t>
      </w:r>
      <w:r w:rsidR="00CA22E8" w:rsidRPr="00CA22E8">
        <w:rPr>
          <w:sz w:val="20"/>
          <w:szCs w:val="20"/>
        </w:rPr>
        <w:t xml:space="preserve">for constitutional relief </w:t>
      </w:r>
      <w:r w:rsidRPr="007F55AE">
        <w:rPr>
          <w:sz w:val="20"/>
          <w:szCs w:val="20"/>
        </w:rPr>
        <w:t xml:space="preserve">throughout the process; however, </w:t>
      </w:r>
      <w:r w:rsidR="00CA22E8">
        <w:rPr>
          <w:sz w:val="20"/>
          <w:szCs w:val="20"/>
        </w:rPr>
        <w:t>the judicial authorities denied all</w:t>
      </w:r>
      <w:r w:rsidRPr="007F55AE">
        <w:rPr>
          <w:sz w:val="20"/>
          <w:szCs w:val="20"/>
        </w:rPr>
        <w:t xml:space="preserve">. The alleged victim states that he was convicted in the first instance on September 7, 2005, by the Second Criminal Court of the Espinal Circuit; and in second instance by the Superior Court of </w:t>
      </w:r>
      <w:proofErr w:type="spellStart"/>
      <w:r w:rsidRPr="007F55AE">
        <w:rPr>
          <w:sz w:val="20"/>
          <w:szCs w:val="20"/>
        </w:rPr>
        <w:t>Ibagué</w:t>
      </w:r>
      <w:proofErr w:type="spellEnd"/>
      <w:r w:rsidRPr="007F55AE">
        <w:rPr>
          <w:sz w:val="20"/>
          <w:szCs w:val="20"/>
        </w:rPr>
        <w:t xml:space="preserve">, on May 13, 2008. Mr. </w:t>
      </w:r>
      <w:proofErr w:type="spellStart"/>
      <w:r w:rsidRPr="007F55AE">
        <w:rPr>
          <w:sz w:val="20"/>
          <w:szCs w:val="20"/>
        </w:rPr>
        <w:t>Acero</w:t>
      </w:r>
      <w:proofErr w:type="spellEnd"/>
      <w:r w:rsidRPr="007F55AE">
        <w:rPr>
          <w:sz w:val="20"/>
          <w:szCs w:val="20"/>
        </w:rPr>
        <w:t xml:space="preserve"> Acosta filed an </w:t>
      </w:r>
      <w:r w:rsidR="004E4BCE" w:rsidRPr="004E4BCE">
        <w:rPr>
          <w:sz w:val="20"/>
          <w:szCs w:val="20"/>
        </w:rPr>
        <w:t>extraordinary cassation appeal</w:t>
      </w:r>
      <w:r w:rsidRPr="007F55AE">
        <w:rPr>
          <w:sz w:val="20"/>
          <w:szCs w:val="20"/>
        </w:rPr>
        <w:t>, which the Criminal Cassation Chamber of the Supreme Court of Justice resolved negatively on March 3, 2010, being notified on March 9, 2010. Additionally, against this decision, he filed a</w:t>
      </w:r>
      <w:r w:rsidR="004E4BCE">
        <w:rPr>
          <w:sz w:val="20"/>
          <w:szCs w:val="20"/>
        </w:rPr>
        <w:t>n</w:t>
      </w:r>
      <w:r w:rsidRPr="007F55AE">
        <w:rPr>
          <w:sz w:val="20"/>
          <w:szCs w:val="20"/>
        </w:rPr>
        <w:t xml:space="preserve"> action</w:t>
      </w:r>
      <w:r w:rsidR="004E4BCE">
        <w:rPr>
          <w:sz w:val="20"/>
          <w:szCs w:val="20"/>
        </w:rPr>
        <w:t xml:space="preserve"> </w:t>
      </w:r>
      <w:r w:rsidR="004E4BCE" w:rsidRPr="00CA22E8">
        <w:rPr>
          <w:sz w:val="20"/>
          <w:szCs w:val="20"/>
        </w:rPr>
        <w:t>for constitutional relief</w:t>
      </w:r>
      <w:r w:rsidRPr="007F55AE">
        <w:rPr>
          <w:sz w:val="20"/>
          <w:szCs w:val="20"/>
        </w:rPr>
        <w:t xml:space="preserve"> before the Civil Chamber of the Supreme Court of Justice, which was declared inadmissible on August 17, 2010, and was notified on September 2, 2010. </w:t>
      </w:r>
    </w:p>
    <w:p w14:paraId="15746EF3" w14:textId="57DE883F" w:rsidR="000D755A" w:rsidRPr="007F55AE" w:rsidRDefault="000D755A" w:rsidP="0030359C">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7F55AE">
        <w:rPr>
          <w:sz w:val="20"/>
          <w:szCs w:val="20"/>
        </w:rPr>
        <w:t xml:space="preserve">For its part, the State alleges the configuration of the “fourth instance” formula as grounds for inadmissibility, alleging that the petitioner intends to dispute the decisions made by the judges at the domestic level, resorting to the IACHR to act as a court of appeal to review these decisions, which were adopted with full respect for due process. </w:t>
      </w:r>
    </w:p>
    <w:p w14:paraId="2ED12630" w14:textId="5C781521" w:rsidR="000D755A" w:rsidRPr="007F55AE" w:rsidRDefault="000D755A" w:rsidP="0030359C">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7F55AE">
        <w:rPr>
          <w:sz w:val="20"/>
          <w:szCs w:val="20"/>
        </w:rPr>
        <w:t xml:space="preserve">Regarding the alleged violations of due process brought by the petitioner, the State argues that, both the lack of an adequate technical defense and the aforementioned arbitrariness of the prosecution, as well as the alleged absence of the evidence requested by the petitioner and erroneous assessment of these, were arguments brought to the attention of the domestic judicial authorities </w:t>
      </w:r>
      <w:r w:rsidR="004E4BCE" w:rsidRPr="007F55AE">
        <w:rPr>
          <w:sz w:val="20"/>
          <w:szCs w:val="20"/>
        </w:rPr>
        <w:t>and were</w:t>
      </w:r>
      <w:r w:rsidRPr="007F55AE">
        <w:rPr>
          <w:sz w:val="20"/>
          <w:szCs w:val="20"/>
        </w:rPr>
        <w:t xml:space="preserve"> analyzed at the different procedural stages, in compliance with the guarantees of due process. </w:t>
      </w:r>
    </w:p>
    <w:p w14:paraId="28B2C4F9" w14:textId="58B5AC94" w:rsidR="000D755A" w:rsidRPr="007F55AE" w:rsidRDefault="000D755A" w:rsidP="0030359C">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7F55AE">
        <w:rPr>
          <w:sz w:val="20"/>
          <w:szCs w:val="20"/>
        </w:rPr>
        <w:t>The State affirms that the petitioner alleged on four occasions before the judicial authorities the same claims that he presents in his petiti</w:t>
      </w:r>
      <w:r w:rsidR="004E4BCE">
        <w:rPr>
          <w:sz w:val="20"/>
          <w:szCs w:val="20"/>
        </w:rPr>
        <w:t>on, this</w:t>
      </w:r>
      <w:r w:rsidRPr="007F55AE">
        <w:rPr>
          <w:sz w:val="20"/>
          <w:szCs w:val="20"/>
        </w:rPr>
        <w:t xml:space="preserve"> brief</w:t>
      </w:r>
      <w:r w:rsidR="004E4BCE">
        <w:rPr>
          <w:sz w:val="20"/>
          <w:szCs w:val="20"/>
        </w:rPr>
        <w:t xml:space="preserve"> coinciding with the </w:t>
      </w:r>
      <w:r w:rsidRPr="007F55AE">
        <w:rPr>
          <w:sz w:val="20"/>
          <w:szCs w:val="20"/>
        </w:rPr>
        <w:t>action</w:t>
      </w:r>
      <w:r w:rsidR="004E4BCE">
        <w:rPr>
          <w:sz w:val="20"/>
          <w:szCs w:val="20"/>
        </w:rPr>
        <w:t xml:space="preserve"> </w:t>
      </w:r>
      <w:r w:rsidR="004E4BCE" w:rsidRPr="00CA22E8">
        <w:rPr>
          <w:sz w:val="20"/>
          <w:szCs w:val="20"/>
        </w:rPr>
        <w:t>for constitutional relief</w:t>
      </w:r>
      <w:r w:rsidR="004E4BCE">
        <w:rPr>
          <w:sz w:val="20"/>
          <w:szCs w:val="20"/>
        </w:rPr>
        <w:t xml:space="preserve"> presented by Mr. </w:t>
      </w:r>
      <w:proofErr w:type="spellStart"/>
      <w:r w:rsidR="004E4BCE">
        <w:rPr>
          <w:sz w:val="20"/>
          <w:szCs w:val="20"/>
        </w:rPr>
        <w:t>Acero</w:t>
      </w:r>
      <w:proofErr w:type="spellEnd"/>
      <w:r w:rsidR="004E4BCE">
        <w:rPr>
          <w:sz w:val="20"/>
          <w:szCs w:val="20"/>
        </w:rPr>
        <w:t xml:space="preserve"> Acosta</w:t>
      </w:r>
      <w:r w:rsidRPr="007F55AE">
        <w:rPr>
          <w:sz w:val="20"/>
          <w:szCs w:val="20"/>
        </w:rPr>
        <w:t xml:space="preserve"> before the Supreme Court of Justice. The </w:t>
      </w:r>
      <w:r w:rsidR="004E4BCE" w:rsidRPr="007F55AE">
        <w:rPr>
          <w:sz w:val="20"/>
          <w:szCs w:val="20"/>
        </w:rPr>
        <w:t>judicial authority in the first instance judgment analyzed the alleged irregularities to due process alleged by the petitioner</w:t>
      </w:r>
      <w:r w:rsidRPr="007F55AE">
        <w:rPr>
          <w:sz w:val="20"/>
          <w:szCs w:val="20"/>
        </w:rPr>
        <w:t xml:space="preserve">. In reference to the lack </w:t>
      </w:r>
      <w:r w:rsidRPr="007F55AE">
        <w:rPr>
          <w:sz w:val="20"/>
          <w:szCs w:val="20"/>
        </w:rPr>
        <w:lastRenderedPageBreak/>
        <w:t>of technical defense and the violation of the principle of the integral investigation, the Judge considered that there was no violation, s</w:t>
      </w:r>
      <w:r w:rsidR="000771B9">
        <w:rPr>
          <w:sz w:val="20"/>
          <w:szCs w:val="20"/>
        </w:rPr>
        <w:t>ince the petitioner had a defense attorney</w:t>
      </w:r>
      <w:r w:rsidRPr="007F55AE">
        <w:rPr>
          <w:sz w:val="20"/>
          <w:szCs w:val="20"/>
        </w:rPr>
        <w:t xml:space="preserve"> at all times, </w:t>
      </w:r>
      <w:r w:rsidR="000771B9">
        <w:rPr>
          <w:sz w:val="20"/>
          <w:szCs w:val="20"/>
        </w:rPr>
        <w:t>being</w:t>
      </w:r>
      <w:r w:rsidR="000771B9" w:rsidRPr="000771B9">
        <w:rPr>
          <w:sz w:val="20"/>
          <w:szCs w:val="20"/>
        </w:rPr>
        <w:t xml:space="preserve"> the defense's perfor</w:t>
      </w:r>
      <w:r w:rsidR="000771B9">
        <w:rPr>
          <w:sz w:val="20"/>
          <w:szCs w:val="20"/>
        </w:rPr>
        <w:t>mance or strategy irrelevant. The Judge</w:t>
      </w:r>
      <w:r w:rsidRPr="007F55AE">
        <w:rPr>
          <w:sz w:val="20"/>
          <w:szCs w:val="20"/>
        </w:rPr>
        <w:t xml:space="preserve"> does not </w:t>
      </w:r>
      <w:r w:rsidR="00F435A1" w:rsidRPr="007F55AE">
        <w:rPr>
          <w:sz w:val="20"/>
          <w:szCs w:val="20"/>
        </w:rPr>
        <w:t>find</w:t>
      </w:r>
      <w:r w:rsidRPr="007F55AE">
        <w:rPr>
          <w:sz w:val="20"/>
          <w:szCs w:val="20"/>
        </w:rPr>
        <w:t xml:space="preserve"> a serious irregularity since the prosecution and the court made their</w:t>
      </w:r>
      <w:r w:rsidR="000771B9">
        <w:rPr>
          <w:sz w:val="20"/>
          <w:szCs w:val="20"/>
        </w:rPr>
        <w:t xml:space="preserve"> best effort to define the facts with evidence</w:t>
      </w:r>
      <w:r w:rsidRPr="007F55AE">
        <w:rPr>
          <w:sz w:val="20"/>
          <w:szCs w:val="20"/>
        </w:rPr>
        <w:t xml:space="preserve">. Regarding these allegations, the State maintains that the Supreme Court of Justice, in its resolution of March 3, 2010, warned that it could not affirm the absence of technical defense, since throughout the process there were sufficient actions in favor of Mr. </w:t>
      </w:r>
      <w:proofErr w:type="spellStart"/>
      <w:r w:rsidRPr="007F55AE">
        <w:rPr>
          <w:sz w:val="20"/>
          <w:szCs w:val="20"/>
        </w:rPr>
        <w:t>Acero</w:t>
      </w:r>
      <w:proofErr w:type="spellEnd"/>
      <w:r w:rsidRPr="007F55AE">
        <w:rPr>
          <w:sz w:val="20"/>
          <w:szCs w:val="20"/>
        </w:rPr>
        <w:t xml:space="preserve"> Acosta.</w:t>
      </w:r>
    </w:p>
    <w:p w14:paraId="575B89FC" w14:textId="6FCA6EAB" w:rsidR="000D755A" w:rsidRPr="007F55AE" w:rsidRDefault="000D755A" w:rsidP="0030359C">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7F55AE">
        <w:rPr>
          <w:sz w:val="20"/>
          <w:szCs w:val="20"/>
        </w:rPr>
        <w:t xml:space="preserve">In conclusion, the State maintains that the internal decisions were made by competent, independent and </w:t>
      </w:r>
      <w:r w:rsidR="000771B9">
        <w:rPr>
          <w:sz w:val="20"/>
          <w:szCs w:val="20"/>
        </w:rPr>
        <w:t>impartial bodies that gave</w:t>
      </w:r>
      <w:r w:rsidRPr="007F55AE">
        <w:rPr>
          <w:sz w:val="20"/>
          <w:szCs w:val="20"/>
        </w:rPr>
        <w:t xml:space="preserve"> an adequate and effective res</w:t>
      </w:r>
      <w:r w:rsidR="00A87160">
        <w:rPr>
          <w:sz w:val="20"/>
          <w:szCs w:val="20"/>
        </w:rPr>
        <w:t>ponse to the petitioner's claims</w:t>
      </w:r>
      <w:r w:rsidRPr="007F55AE">
        <w:rPr>
          <w:sz w:val="20"/>
          <w:szCs w:val="20"/>
        </w:rPr>
        <w:t xml:space="preserve">, in accordance with the State's international </w:t>
      </w:r>
      <w:r w:rsidR="00A87160" w:rsidRPr="007F55AE">
        <w:rPr>
          <w:sz w:val="20"/>
          <w:szCs w:val="20"/>
        </w:rPr>
        <w:t>obligations;</w:t>
      </w:r>
      <w:r w:rsidRPr="007F55AE">
        <w:rPr>
          <w:sz w:val="20"/>
          <w:szCs w:val="20"/>
        </w:rPr>
        <w:t xml:space="preserve"> therefore, it is not proven that the decisions are in</w:t>
      </w:r>
      <w:r w:rsidR="00A87160">
        <w:rPr>
          <w:sz w:val="20"/>
          <w:szCs w:val="20"/>
        </w:rPr>
        <w:t xml:space="preserve"> violation of due process</w:t>
      </w:r>
      <w:r w:rsidRPr="007F55AE">
        <w:rPr>
          <w:sz w:val="20"/>
          <w:szCs w:val="20"/>
        </w:rPr>
        <w:t>. To that extent, the State considers that the petition does not characterize possible violations of the Inter-American instruments, in accordance with Article 47 (b) and (c) of the Convention.</w:t>
      </w:r>
    </w:p>
    <w:p w14:paraId="55505107" w14:textId="3A0B1CC5" w:rsidR="00F621C3" w:rsidRPr="007F55AE" w:rsidRDefault="00F621C3" w:rsidP="000D755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0D755A">
        <w:rPr>
          <w:rFonts w:asciiTheme="majorHAnsi" w:hAnsiTheme="majorHAnsi"/>
          <w:b/>
          <w:bCs/>
          <w:sz w:val="20"/>
          <w:szCs w:val="20"/>
        </w:rPr>
        <w:t>VI.</w:t>
      </w:r>
      <w:r w:rsidRPr="000D755A">
        <w:rPr>
          <w:rFonts w:asciiTheme="majorHAnsi" w:hAnsiTheme="majorHAnsi"/>
          <w:b/>
          <w:bCs/>
          <w:sz w:val="20"/>
          <w:szCs w:val="20"/>
        </w:rPr>
        <w:tab/>
      </w:r>
      <w:r w:rsidR="001F1902" w:rsidRPr="000D755A">
        <w:rPr>
          <w:rFonts w:asciiTheme="majorHAnsi" w:hAnsiTheme="majorHAnsi"/>
          <w:b/>
          <w:bCs/>
          <w:sz w:val="20"/>
          <w:szCs w:val="20"/>
        </w:rPr>
        <w:t xml:space="preserve">ANALYSIS OF </w:t>
      </w:r>
      <w:r w:rsidRPr="000D755A">
        <w:rPr>
          <w:rFonts w:asciiTheme="majorHAnsi" w:hAnsiTheme="majorHAnsi"/>
          <w:b/>
          <w:sz w:val="20"/>
          <w:szCs w:val="20"/>
        </w:rPr>
        <w:t>EXHAUSTION OF DOMESTIC REMEDIES AND TIMELINESS OF THE PETITION</w:t>
      </w:r>
      <w:r w:rsidRPr="000D755A">
        <w:rPr>
          <w:rFonts w:asciiTheme="majorHAnsi" w:hAnsiTheme="majorHAnsi"/>
          <w:b/>
          <w:bCs/>
          <w:sz w:val="20"/>
          <w:szCs w:val="20"/>
        </w:rPr>
        <w:t xml:space="preserve"> </w:t>
      </w:r>
    </w:p>
    <w:p w14:paraId="682D19DB" w14:textId="4126EA5D" w:rsidR="000D755A" w:rsidRPr="007F55AE" w:rsidRDefault="000D755A" w:rsidP="000D75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7F55AE">
        <w:rPr>
          <w:rFonts w:asciiTheme="majorHAnsi" w:hAnsiTheme="majorHAnsi"/>
          <w:sz w:val="20"/>
          <w:szCs w:val="20"/>
        </w:rPr>
        <w:t>10.</w:t>
      </w:r>
      <w:r w:rsidRPr="007F55AE">
        <w:rPr>
          <w:rFonts w:asciiTheme="majorHAnsi" w:hAnsiTheme="majorHAnsi"/>
          <w:sz w:val="20"/>
          <w:szCs w:val="20"/>
        </w:rPr>
        <w:tab/>
        <w:t>In the present case, it is observed that the criminal proceedings against the petitioner began in 2005, that same year he was c</w:t>
      </w:r>
      <w:r w:rsidR="00A87160">
        <w:rPr>
          <w:rFonts w:asciiTheme="majorHAnsi" w:hAnsiTheme="majorHAnsi"/>
          <w:sz w:val="20"/>
          <w:szCs w:val="20"/>
        </w:rPr>
        <w:t>onvicted in the first instance. T</w:t>
      </w:r>
      <w:r w:rsidRPr="007F55AE">
        <w:rPr>
          <w:rFonts w:asciiTheme="majorHAnsi" w:hAnsiTheme="majorHAnsi"/>
          <w:sz w:val="20"/>
          <w:szCs w:val="20"/>
        </w:rPr>
        <w:t>his sentence was later confirmed in the second instance, and from there he exercised as extraordinary remedies</w:t>
      </w:r>
      <w:r w:rsidR="00A87160">
        <w:rPr>
          <w:rFonts w:asciiTheme="majorHAnsi" w:hAnsiTheme="majorHAnsi"/>
          <w:sz w:val="20"/>
          <w:szCs w:val="20"/>
        </w:rPr>
        <w:t>,</w:t>
      </w:r>
      <w:r w:rsidRPr="007F55AE">
        <w:rPr>
          <w:rFonts w:asciiTheme="majorHAnsi" w:hAnsiTheme="majorHAnsi"/>
          <w:sz w:val="20"/>
          <w:szCs w:val="20"/>
        </w:rPr>
        <w:t xml:space="preserve"> the</w:t>
      </w:r>
      <w:r w:rsidR="00A87160">
        <w:rPr>
          <w:rFonts w:asciiTheme="majorHAnsi" w:hAnsiTheme="majorHAnsi"/>
          <w:sz w:val="20"/>
          <w:szCs w:val="20"/>
        </w:rPr>
        <w:t xml:space="preserve"> </w:t>
      </w:r>
      <w:r w:rsidR="00A87160" w:rsidRPr="00A87160">
        <w:rPr>
          <w:rFonts w:asciiTheme="majorHAnsi" w:hAnsiTheme="majorHAnsi"/>
          <w:sz w:val="20"/>
          <w:szCs w:val="20"/>
        </w:rPr>
        <w:t>cassation</w:t>
      </w:r>
      <w:r w:rsidRPr="007F55AE">
        <w:rPr>
          <w:rFonts w:asciiTheme="majorHAnsi" w:hAnsiTheme="majorHAnsi"/>
          <w:sz w:val="20"/>
          <w:szCs w:val="20"/>
        </w:rPr>
        <w:t xml:space="preserve"> appeal and the action </w:t>
      </w:r>
      <w:r w:rsidR="00A87160" w:rsidRPr="00A87160">
        <w:rPr>
          <w:rFonts w:asciiTheme="majorHAnsi" w:hAnsiTheme="majorHAnsi"/>
          <w:sz w:val="20"/>
          <w:szCs w:val="20"/>
        </w:rPr>
        <w:t>for constitutional relief</w:t>
      </w:r>
      <w:r w:rsidRPr="007F55AE">
        <w:rPr>
          <w:rFonts w:asciiTheme="majorHAnsi" w:hAnsiTheme="majorHAnsi"/>
          <w:sz w:val="20"/>
          <w:szCs w:val="20"/>
        </w:rPr>
        <w:t>, which were rejected, being notified of the latter's decision on September 2, 2010. In this sense, it is observed</w:t>
      </w:r>
      <w:r w:rsidR="00A87160">
        <w:rPr>
          <w:rFonts w:asciiTheme="majorHAnsi" w:hAnsiTheme="majorHAnsi"/>
          <w:sz w:val="20"/>
          <w:szCs w:val="20"/>
        </w:rPr>
        <w:t xml:space="preserve"> that the State does not dispute</w:t>
      </w:r>
      <w:r w:rsidRPr="007F55AE">
        <w:rPr>
          <w:rFonts w:asciiTheme="majorHAnsi" w:hAnsiTheme="majorHAnsi"/>
          <w:sz w:val="20"/>
          <w:szCs w:val="20"/>
        </w:rPr>
        <w:t xml:space="preserve"> the exhaustion of dome</w:t>
      </w:r>
      <w:r w:rsidR="00A87160">
        <w:rPr>
          <w:rFonts w:asciiTheme="majorHAnsi" w:hAnsiTheme="majorHAnsi"/>
          <w:sz w:val="20"/>
          <w:szCs w:val="20"/>
        </w:rPr>
        <w:t>stic remedies, and in light</w:t>
      </w:r>
      <w:r w:rsidRPr="007F55AE">
        <w:rPr>
          <w:rFonts w:asciiTheme="majorHAnsi" w:hAnsiTheme="majorHAnsi"/>
          <w:sz w:val="20"/>
          <w:szCs w:val="20"/>
        </w:rPr>
        <w:t xml:space="preserve"> of the information provided by the parties this is not a point of controversy in the present case. Furthe</w:t>
      </w:r>
      <w:r w:rsidR="005C558C">
        <w:rPr>
          <w:rFonts w:asciiTheme="majorHAnsi" w:hAnsiTheme="majorHAnsi"/>
          <w:sz w:val="20"/>
          <w:szCs w:val="20"/>
        </w:rPr>
        <w:t xml:space="preserve">rmore, it is observed that because </w:t>
      </w:r>
      <w:r w:rsidRPr="007F55AE">
        <w:rPr>
          <w:rFonts w:asciiTheme="majorHAnsi" w:hAnsiTheme="majorHAnsi"/>
          <w:sz w:val="20"/>
          <w:szCs w:val="20"/>
        </w:rPr>
        <w:t xml:space="preserve">the petition was presented on September 3, 2010, it complies with the six-month filing period, counted from the notification to the petitioner of the last decision that ends the process. </w:t>
      </w:r>
    </w:p>
    <w:p w14:paraId="2545E7F6" w14:textId="77777777" w:rsidR="000D755A" w:rsidRPr="007F55AE" w:rsidRDefault="000D755A" w:rsidP="000D75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7F55AE">
        <w:rPr>
          <w:rFonts w:asciiTheme="majorHAnsi" w:hAnsiTheme="majorHAnsi"/>
          <w:sz w:val="20"/>
          <w:szCs w:val="20"/>
        </w:rPr>
        <w:t>11.</w:t>
      </w:r>
      <w:r w:rsidRPr="007F55AE">
        <w:rPr>
          <w:rFonts w:asciiTheme="majorHAnsi" w:hAnsiTheme="majorHAnsi"/>
          <w:sz w:val="20"/>
          <w:szCs w:val="20"/>
        </w:rPr>
        <w:tab/>
        <w:t>In conclusion, the Commission considers that the present petition meets the admissibility requirements established in Articles 46.1.a and 46.1.b of the American Convention.</w:t>
      </w:r>
    </w:p>
    <w:p w14:paraId="70146B96" w14:textId="7FB1A58C" w:rsidR="00F621C3" w:rsidRDefault="00F621C3" w:rsidP="00130279">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107A9473" w14:textId="0C5BD7CF" w:rsidR="000D755A" w:rsidRPr="007F55AE" w:rsidRDefault="000D755A" w:rsidP="000D75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F55AE">
        <w:rPr>
          <w:rFonts w:ascii="Cambria" w:hAnsi="Cambria"/>
          <w:sz w:val="20"/>
          <w:szCs w:val="20"/>
        </w:rPr>
        <w:t xml:space="preserve">12. </w:t>
      </w:r>
      <w:r w:rsidRPr="007F55AE">
        <w:rPr>
          <w:rFonts w:ascii="Cambria" w:hAnsi="Cambria"/>
          <w:sz w:val="20"/>
          <w:szCs w:val="20"/>
        </w:rPr>
        <w:tab/>
        <w:t xml:space="preserve">The Commission observes that the present petition fundamentally contains allegations regarding the violation of the judicial guarantees that occurred in the framework of the criminal proceeding against Mr. Edgar Eduardo </w:t>
      </w:r>
      <w:proofErr w:type="spellStart"/>
      <w:r w:rsidRPr="007F55AE">
        <w:rPr>
          <w:rFonts w:ascii="Cambria" w:hAnsi="Cambria"/>
          <w:sz w:val="20"/>
          <w:szCs w:val="20"/>
        </w:rPr>
        <w:t>Acero</w:t>
      </w:r>
      <w:proofErr w:type="spellEnd"/>
      <w:r w:rsidRPr="007F55AE">
        <w:rPr>
          <w:rFonts w:ascii="Cambria" w:hAnsi="Cambria"/>
          <w:sz w:val="20"/>
          <w:szCs w:val="20"/>
        </w:rPr>
        <w:t xml:space="preserve"> Acosta, in particular, the lack of an adequate technical defense for the alleged victim and the alleged arbitrariness of the prosecution in charge of the criminal investigation, as we</w:t>
      </w:r>
      <w:r w:rsidR="005C558C">
        <w:rPr>
          <w:rFonts w:ascii="Cambria" w:hAnsi="Cambria"/>
          <w:sz w:val="20"/>
          <w:szCs w:val="20"/>
        </w:rPr>
        <w:t>ll as the alleged absence of</w:t>
      </w:r>
      <w:r w:rsidRPr="007F55AE">
        <w:rPr>
          <w:rFonts w:ascii="Cambria" w:hAnsi="Cambria"/>
          <w:sz w:val="20"/>
          <w:szCs w:val="20"/>
        </w:rPr>
        <w:t xml:space="preserve"> evidence requested by Mr. </w:t>
      </w:r>
      <w:proofErr w:type="spellStart"/>
      <w:r w:rsidRPr="007F55AE">
        <w:rPr>
          <w:rFonts w:ascii="Cambria" w:hAnsi="Cambria"/>
          <w:sz w:val="20"/>
          <w:szCs w:val="20"/>
        </w:rPr>
        <w:t>Acero</w:t>
      </w:r>
      <w:proofErr w:type="spellEnd"/>
      <w:r w:rsidRPr="007F55AE">
        <w:rPr>
          <w:rFonts w:ascii="Cambria" w:hAnsi="Cambria"/>
          <w:sz w:val="20"/>
          <w:szCs w:val="20"/>
        </w:rPr>
        <w:t xml:space="preserve"> Acosta.</w:t>
      </w:r>
    </w:p>
    <w:p w14:paraId="499DC935" w14:textId="08D821CA" w:rsidR="000D755A" w:rsidRPr="00C25B3D" w:rsidRDefault="000D755A" w:rsidP="000D75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F55AE">
        <w:rPr>
          <w:rFonts w:ascii="Cambria" w:hAnsi="Cambria"/>
          <w:sz w:val="20"/>
          <w:szCs w:val="20"/>
        </w:rPr>
        <w:t xml:space="preserve">13. </w:t>
      </w:r>
      <w:r w:rsidRPr="007F55AE">
        <w:rPr>
          <w:rFonts w:ascii="Cambria" w:hAnsi="Cambria"/>
          <w:sz w:val="20"/>
          <w:szCs w:val="20"/>
        </w:rPr>
        <w:tab/>
        <w:t xml:space="preserve">With respect to the State's allegations regarding the so-called “fourth instance” formula, the Commission reiterates that, for the purposes of admissibility, it must decide whether the alleged facts may characterize a violation of rights, as stipulated in </w:t>
      </w:r>
      <w:r w:rsidR="005C5B26">
        <w:rPr>
          <w:rFonts w:ascii="Cambria" w:hAnsi="Cambria"/>
          <w:sz w:val="20"/>
          <w:szCs w:val="20"/>
        </w:rPr>
        <w:t>Article</w:t>
      </w:r>
      <w:r w:rsidRPr="007F55AE">
        <w:rPr>
          <w:rFonts w:ascii="Cambria" w:hAnsi="Cambria"/>
          <w:sz w:val="20"/>
          <w:szCs w:val="20"/>
        </w:rPr>
        <w:t xml:space="preserve"> 47 (b) of the American Convention, or if the petition is “manifestly unfounded” or </w:t>
      </w:r>
      <w:r w:rsidR="005C558C">
        <w:rPr>
          <w:rFonts w:ascii="Cambria" w:hAnsi="Cambria"/>
          <w:sz w:val="20"/>
          <w:szCs w:val="20"/>
        </w:rPr>
        <w:t>“</w:t>
      </w:r>
      <w:r w:rsidRPr="007F55AE">
        <w:rPr>
          <w:rFonts w:ascii="Cambria" w:hAnsi="Cambria"/>
          <w:sz w:val="20"/>
          <w:szCs w:val="20"/>
        </w:rPr>
        <w:t>its total inadmissibility is evident</w:t>
      </w:r>
      <w:r w:rsidR="005C558C">
        <w:rPr>
          <w:rFonts w:ascii="Cambria" w:hAnsi="Cambria"/>
          <w:sz w:val="20"/>
          <w:szCs w:val="20"/>
        </w:rPr>
        <w:t>”</w:t>
      </w:r>
      <w:r w:rsidRPr="007F55AE">
        <w:rPr>
          <w:rFonts w:ascii="Cambria" w:hAnsi="Cambria"/>
          <w:sz w:val="20"/>
          <w:szCs w:val="20"/>
        </w:rPr>
        <w:t xml:space="preserve">, pursuant to subsection (c) of said </w:t>
      </w:r>
      <w:r w:rsidR="00A02B76">
        <w:rPr>
          <w:rFonts w:ascii="Cambria" w:hAnsi="Cambria"/>
          <w:sz w:val="20"/>
          <w:szCs w:val="20"/>
        </w:rPr>
        <w:t>a</w:t>
      </w:r>
      <w:r w:rsidR="005C5B26">
        <w:rPr>
          <w:rFonts w:ascii="Cambria" w:hAnsi="Cambria"/>
          <w:sz w:val="20"/>
          <w:szCs w:val="20"/>
        </w:rPr>
        <w:t>rticle</w:t>
      </w:r>
      <w:r w:rsidRPr="007F55AE">
        <w:rPr>
          <w:rFonts w:ascii="Cambria" w:hAnsi="Cambria"/>
          <w:sz w:val="20"/>
          <w:szCs w:val="20"/>
        </w:rPr>
        <w:t>. The criteria for evaluating these requirements differs from that used to rule on the merits of a petition. Likewise, within the framework of its mandate, it is competent to declare a petition admissible when it refers to internal processes that could violate rights guaranteed by the American Convention. In</w:t>
      </w:r>
      <w:r w:rsidR="00C7450A">
        <w:rPr>
          <w:rFonts w:ascii="Cambria" w:hAnsi="Cambria"/>
          <w:sz w:val="20"/>
          <w:szCs w:val="20"/>
        </w:rPr>
        <w:t xml:space="preserve"> other words, in light of</w:t>
      </w:r>
      <w:r w:rsidRPr="007F55AE">
        <w:rPr>
          <w:rFonts w:ascii="Cambria" w:hAnsi="Cambria"/>
          <w:sz w:val="20"/>
          <w:szCs w:val="20"/>
        </w:rPr>
        <w:t xml:space="preserve"> the aforementioned conventional standards, in accordance wi</w:t>
      </w:r>
      <w:r w:rsidR="00C7450A">
        <w:rPr>
          <w:rFonts w:ascii="Cambria" w:hAnsi="Cambria"/>
          <w:sz w:val="20"/>
          <w:szCs w:val="20"/>
        </w:rPr>
        <w:t xml:space="preserve">th </w:t>
      </w:r>
      <w:r w:rsidR="005C5B26">
        <w:rPr>
          <w:rFonts w:ascii="Cambria" w:hAnsi="Cambria"/>
          <w:sz w:val="20"/>
          <w:szCs w:val="20"/>
        </w:rPr>
        <w:t>Article</w:t>
      </w:r>
      <w:r w:rsidR="00C7450A">
        <w:rPr>
          <w:rFonts w:ascii="Cambria" w:hAnsi="Cambria"/>
          <w:sz w:val="20"/>
          <w:szCs w:val="20"/>
        </w:rPr>
        <w:t xml:space="preserve"> 34 of its Rules of Procedure</w:t>
      </w:r>
      <w:r w:rsidRPr="007F55AE">
        <w:rPr>
          <w:rFonts w:ascii="Cambria" w:hAnsi="Cambria"/>
          <w:sz w:val="20"/>
          <w:szCs w:val="20"/>
        </w:rPr>
        <w:t xml:space="preserve">, the admissibility analysis focuses on the verification of such requirements, which refer to the existence of elements that, if true, could constitute </w:t>
      </w:r>
      <w:r w:rsidRPr="007F55AE">
        <w:rPr>
          <w:rFonts w:ascii="Cambria" w:hAnsi="Cambria"/>
          <w:i/>
          <w:iCs/>
          <w:sz w:val="20"/>
          <w:szCs w:val="20"/>
        </w:rPr>
        <w:t>prima facie</w:t>
      </w:r>
      <w:r w:rsidRPr="007F55AE">
        <w:rPr>
          <w:rFonts w:ascii="Cambria" w:hAnsi="Cambria"/>
          <w:sz w:val="20"/>
          <w:szCs w:val="20"/>
        </w:rPr>
        <w:t xml:space="preserve"> violation of the American Convention.</w:t>
      </w:r>
      <w:r w:rsidR="0044024B" w:rsidRPr="001474C5">
        <w:rPr>
          <w:rStyle w:val="FootnoteReference"/>
          <w:rFonts w:ascii="Cambria" w:hAnsi="Cambria" w:cs="Calibri"/>
          <w:sz w:val="20"/>
          <w:szCs w:val="20"/>
          <w:lang w:val="es-ES_tradnl"/>
        </w:rPr>
        <w:footnoteReference w:id="5"/>
      </w:r>
    </w:p>
    <w:p w14:paraId="453CD065" w14:textId="28EBB5B5" w:rsidR="000D755A" w:rsidRPr="007F55AE" w:rsidRDefault="000D755A" w:rsidP="000D75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F55AE">
        <w:rPr>
          <w:rFonts w:ascii="Cambria" w:hAnsi="Cambria"/>
          <w:sz w:val="20"/>
          <w:szCs w:val="20"/>
        </w:rPr>
        <w:t xml:space="preserve">14. </w:t>
      </w:r>
      <w:r w:rsidRPr="007F55AE">
        <w:rPr>
          <w:rFonts w:ascii="Cambria" w:hAnsi="Cambria"/>
          <w:sz w:val="20"/>
          <w:szCs w:val="20"/>
        </w:rPr>
        <w:tab/>
        <w:t xml:space="preserve">In this sense, the Commission observes that the petitioner's allegations are not manifestly unfounded and that they are expressed in terms that, if true, could in effect constitute, above all, violations of the judicial guarantees contained in the American Convention. The Commission does not ignore the fact that </w:t>
      </w:r>
      <w:r w:rsidR="00473196">
        <w:rPr>
          <w:rFonts w:ascii="Cambria" w:hAnsi="Cambria"/>
          <w:sz w:val="20"/>
          <w:szCs w:val="20"/>
        </w:rPr>
        <w:t xml:space="preserve">Mr. </w:t>
      </w:r>
      <w:proofErr w:type="spellStart"/>
      <w:r w:rsidR="00473196">
        <w:rPr>
          <w:rFonts w:ascii="Cambria" w:hAnsi="Cambria"/>
          <w:sz w:val="20"/>
          <w:szCs w:val="20"/>
        </w:rPr>
        <w:t>Acero</w:t>
      </w:r>
      <w:proofErr w:type="spellEnd"/>
      <w:r w:rsidR="00473196">
        <w:rPr>
          <w:rFonts w:ascii="Cambria" w:hAnsi="Cambria"/>
          <w:sz w:val="20"/>
          <w:szCs w:val="20"/>
        </w:rPr>
        <w:t xml:space="preserve"> Acosta's claims</w:t>
      </w:r>
      <w:r w:rsidRPr="007F55AE">
        <w:rPr>
          <w:rFonts w:ascii="Cambria" w:hAnsi="Cambria"/>
          <w:sz w:val="20"/>
          <w:szCs w:val="20"/>
        </w:rPr>
        <w:t xml:space="preserve"> were also </w:t>
      </w:r>
      <w:r w:rsidR="00473196">
        <w:rPr>
          <w:rFonts w:ascii="Cambria" w:hAnsi="Cambria"/>
          <w:sz w:val="20"/>
          <w:szCs w:val="20"/>
        </w:rPr>
        <w:t>brought</w:t>
      </w:r>
      <w:r w:rsidRPr="007F55AE">
        <w:rPr>
          <w:rFonts w:ascii="Cambria" w:hAnsi="Cambria"/>
          <w:sz w:val="20"/>
          <w:szCs w:val="20"/>
        </w:rPr>
        <w:t xml:space="preserve"> before the domestic courts, but this circumstance does not make them inadmissible, rather, it is re</w:t>
      </w:r>
      <w:r w:rsidR="00473196">
        <w:rPr>
          <w:rFonts w:ascii="Cambria" w:hAnsi="Cambria"/>
          <w:sz w:val="20"/>
          <w:szCs w:val="20"/>
        </w:rPr>
        <w:t xml:space="preserve">quired by the Commission </w:t>
      </w:r>
      <w:r w:rsidRPr="007F55AE">
        <w:rPr>
          <w:rFonts w:ascii="Cambria" w:hAnsi="Cambria"/>
          <w:sz w:val="20"/>
          <w:szCs w:val="20"/>
        </w:rPr>
        <w:t xml:space="preserve">that there be consistency between the claims made before the domestic courts and those raised in the petition. In this regard, the Commission observes </w:t>
      </w:r>
      <w:r w:rsidRPr="007F55AE">
        <w:rPr>
          <w:rFonts w:ascii="Cambria" w:hAnsi="Cambria"/>
          <w:i/>
          <w:iCs/>
          <w:sz w:val="20"/>
          <w:szCs w:val="20"/>
        </w:rPr>
        <w:t>prima facie</w:t>
      </w:r>
      <w:r w:rsidRPr="007F55AE">
        <w:rPr>
          <w:rFonts w:ascii="Cambria" w:hAnsi="Cambria"/>
          <w:sz w:val="20"/>
          <w:szCs w:val="20"/>
        </w:rPr>
        <w:t xml:space="preserve"> </w:t>
      </w:r>
      <w:r w:rsidRPr="007F55AE">
        <w:rPr>
          <w:rFonts w:ascii="Cambria" w:hAnsi="Cambria"/>
          <w:sz w:val="20"/>
          <w:szCs w:val="20"/>
        </w:rPr>
        <w:lastRenderedPageBreak/>
        <w:t>that, although the judicial authority ruled on these allegations, it limited itself to verifyin</w:t>
      </w:r>
      <w:r w:rsidR="00473196">
        <w:rPr>
          <w:rFonts w:ascii="Cambria" w:hAnsi="Cambria"/>
          <w:sz w:val="20"/>
          <w:szCs w:val="20"/>
        </w:rPr>
        <w:t>g whether the alleged victim was formally</w:t>
      </w:r>
      <w:r w:rsidRPr="007F55AE">
        <w:rPr>
          <w:rFonts w:ascii="Cambria" w:hAnsi="Cambria"/>
          <w:sz w:val="20"/>
          <w:szCs w:val="20"/>
        </w:rPr>
        <w:t xml:space="preserve"> given a technical defense, but would not analyze the quality of the exercise of this defense. The Commission emphasizes that the State must adopt all the appropriate measures so that the defense provided is effective, for which it is necessary for the defender to act diligently. The appointment of a public defender for the sole purpose of complying with a procedural formality would be equivalent to not having a technical defense</w:t>
      </w:r>
      <w:r w:rsidR="0044024B" w:rsidRPr="001474C5">
        <w:rPr>
          <w:rStyle w:val="FootnoteReference"/>
          <w:rFonts w:ascii="Cambria" w:hAnsi="Cambria" w:cs="Calibri"/>
          <w:sz w:val="20"/>
          <w:szCs w:val="20"/>
          <w:lang w:val="es-ES_tradnl"/>
        </w:rPr>
        <w:footnoteReference w:id="6"/>
      </w:r>
      <w:r w:rsidR="00473196">
        <w:rPr>
          <w:rFonts w:ascii="Cambria" w:hAnsi="Cambria"/>
          <w:sz w:val="20"/>
          <w:szCs w:val="20"/>
        </w:rPr>
        <w:t>.</w:t>
      </w:r>
      <w:r w:rsidRPr="007F55AE">
        <w:rPr>
          <w:rFonts w:ascii="Cambria" w:hAnsi="Cambria"/>
          <w:sz w:val="20"/>
          <w:szCs w:val="20"/>
        </w:rPr>
        <w:t xml:space="preserve"> In light of these standards, and the factual elements provided by the parties, the Commission considers that the present matter deserves to be examined with a higher level of scrutiny at the merits stage, without this implying a prejudgment of the object of the petition, which is alien to the object of this report. </w:t>
      </w:r>
    </w:p>
    <w:p w14:paraId="491379E0" w14:textId="7E23B95B" w:rsidR="000D755A" w:rsidRPr="007F55AE" w:rsidRDefault="000D755A" w:rsidP="000D75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rPr>
      </w:pPr>
      <w:r w:rsidRPr="007F55AE">
        <w:rPr>
          <w:rFonts w:ascii="Cambria" w:hAnsi="Cambria"/>
          <w:sz w:val="20"/>
          <w:szCs w:val="20"/>
        </w:rPr>
        <w:t>15.</w:t>
      </w:r>
      <w:r w:rsidRPr="007F55AE">
        <w:rPr>
          <w:rFonts w:ascii="Cambria" w:hAnsi="Cambria"/>
          <w:sz w:val="20"/>
          <w:szCs w:val="20"/>
        </w:rPr>
        <w:tab/>
        <w:t xml:space="preserve">In light of these considerations, the Inter-American Commission concludes that </w:t>
      </w:r>
      <w:r w:rsidR="00C7450A">
        <w:rPr>
          <w:rFonts w:ascii="Cambria" w:hAnsi="Cambria"/>
          <w:sz w:val="20"/>
          <w:szCs w:val="20"/>
        </w:rPr>
        <w:t>i</w:t>
      </w:r>
      <w:r w:rsidR="00C7450A" w:rsidRPr="00CE0FE6">
        <w:rPr>
          <w:rFonts w:ascii="Cambria" w:hAnsi="Cambria" w:cs="Cambria"/>
          <w:sz w:val="20"/>
          <w:szCs w:val="20"/>
        </w:rPr>
        <w:t xml:space="preserve">f the alleged facts are determined to be true, they could tend to establish violations of Articles </w:t>
      </w:r>
      <w:r w:rsidRPr="007F55AE">
        <w:rPr>
          <w:rFonts w:ascii="Cambria" w:hAnsi="Cambria"/>
          <w:sz w:val="20"/>
          <w:szCs w:val="20"/>
        </w:rPr>
        <w:t xml:space="preserve">8 (judicial guarantees) and 25 (judicial protection) of the American Convention, in relation to their </w:t>
      </w:r>
      <w:r w:rsidR="005C5B26">
        <w:rPr>
          <w:rFonts w:ascii="Cambria" w:hAnsi="Cambria"/>
          <w:sz w:val="20"/>
          <w:szCs w:val="20"/>
        </w:rPr>
        <w:t>Article</w:t>
      </w:r>
      <w:r w:rsidRPr="007F55AE">
        <w:rPr>
          <w:rFonts w:ascii="Cambria" w:hAnsi="Cambria"/>
          <w:sz w:val="20"/>
          <w:szCs w:val="20"/>
        </w:rPr>
        <w:t xml:space="preserve"> 1.1 (obligation to respect rights), to the detriment of Mr. Edgar Eduardo </w:t>
      </w:r>
      <w:proofErr w:type="spellStart"/>
      <w:r w:rsidRPr="007F55AE">
        <w:rPr>
          <w:rFonts w:ascii="Cambria" w:hAnsi="Cambria"/>
          <w:sz w:val="20"/>
          <w:szCs w:val="20"/>
        </w:rPr>
        <w:t>Acero</w:t>
      </w:r>
      <w:proofErr w:type="spellEnd"/>
      <w:r w:rsidRPr="007F55AE">
        <w:rPr>
          <w:rFonts w:ascii="Cambria" w:hAnsi="Cambria"/>
          <w:sz w:val="20"/>
          <w:szCs w:val="20"/>
        </w:rPr>
        <w:t xml:space="preserve"> Acosta.</w:t>
      </w:r>
      <w:r w:rsidRPr="007F55AE">
        <w:rPr>
          <w:rFonts w:ascii="Cambria" w:hAnsi="Cambria"/>
          <w:bCs/>
          <w:sz w:val="20"/>
          <w:szCs w:val="20"/>
        </w:rPr>
        <w:t xml:space="preserve"> </w:t>
      </w:r>
    </w:p>
    <w:p w14:paraId="0B374F49" w14:textId="77777777" w:rsidR="000D755A" w:rsidRPr="007F55AE" w:rsidRDefault="000D755A" w:rsidP="000D75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rPr>
      </w:pPr>
      <w:r w:rsidRPr="007F55AE">
        <w:rPr>
          <w:rFonts w:ascii="Cambria" w:hAnsi="Cambria"/>
          <w:bCs/>
          <w:sz w:val="20"/>
          <w:szCs w:val="20"/>
        </w:rPr>
        <w:t xml:space="preserve">16. </w:t>
      </w:r>
      <w:r w:rsidRPr="007F55AE">
        <w:rPr>
          <w:rFonts w:ascii="Cambria" w:hAnsi="Cambria"/>
          <w:bCs/>
          <w:sz w:val="20"/>
          <w:szCs w:val="20"/>
        </w:rPr>
        <w:tab/>
        <w:t>On the other hand, in relation to the International Covenant on Civil and Political Rights, the Commission lacks jurisdiction to establish violations of the norms of said treaty, without prejudice to which it may take it into account as part of its interpretative exercise of the norms of the American Convention in the merits stage of the present case, under the terms of Article 29 of the Convention.</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710C23C3" w14:textId="77777777" w:rsidR="000D755A" w:rsidRPr="007F55AE" w:rsidRDefault="000D755A" w:rsidP="005C5B26">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7F55AE">
        <w:rPr>
          <w:rFonts w:asciiTheme="majorHAnsi" w:hAnsiTheme="majorHAnsi"/>
          <w:sz w:val="20"/>
          <w:szCs w:val="20"/>
        </w:rPr>
        <w:t>To declare the present petition admissible in relation to Articles 8 and 25 of the American Convention on Human Rights, in relation to its Article 1.1; and</w:t>
      </w:r>
    </w:p>
    <w:p w14:paraId="79C4EA6B" w14:textId="2A7B1A45" w:rsidR="000D755A" w:rsidRDefault="000D755A" w:rsidP="005C5B26">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7F55AE">
        <w:rPr>
          <w:rFonts w:asciiTheme="majorHAnsi" w:hAnsiTheme="majorHAnsi"/>
          <w:sz w:val="20"/>
          <w:szCs w:val="20"/>
        </w:rPr>
        <w:t xml:space="preserve">Notify the parties of this decision; </w:t>
      </w:r>
      <w:r w:rsidR="00C7450A" w:rsidRPr="00C7450A">
        <w:rPr>
          <w:rFonts w:asciiTheme="majorHAnsi" w:hAnsiTheme="majorHAnsi"/>
          <w:sz w:val="20"/>
          <w:szCs w:val="20"/>
        </w:rPr>
        <w:t>to proceed to the analysis of the merits</w:t>
      </w:r>
      <w:r w:rsidRPr="007F55AE">
        <w:rPr>
          <w:rFonts w:asciiTheme="majorHAnsi" w:hAnsiTheme="majorHAnsi"/>
          <w:sz w:val="20"/>
          <w:szCs w:val="20"/>
        </w:rPr>
        <w:t xml:space="preserve"> of the matter and include this decision in its Annual Report to the General Assembly of the Organization of American States.</w:t>
      </w:r>
    </w:p>
    <w:p w14:paraId="3CAEC89F" w14:textId="303E2DE5" w:rsidR="00C25B3D" w:rsidRDefault="00C25B3D" w:rsidP="00C25B3D">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17</w:t>
      </w:r>
      <w:r w:rsidRPr="00C25B3D">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June,</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(dissenting opinion), President; Antonia Ur</w:t>
      </w:r>
      <w:r w:rsidRPr="007F3C48">
        <w:rPr>
          <w:rFonts w:asciiTheme="majorHAnsi" w:hAnsiTheme="majorHAnsi" w:cs="Arial"/>
          <w:noProof/>
          <w:spacing w:val="-2"/>
          <w:sz w:val="20"/>
          <w:szCs w:val="20"/>
        </w:rPr>
        <w:t>rejola, First Vice President; Flávia Piovesan</w:t>
      </w:r>
      <w:r>
        <w:rPr>
          <w:rFonts w:asciiTheme="majorHAnsi" w:hAnsiTheme="majorHAnsi" w:cs="Arial"/>
          <w:noProof/>
          <w:spacing w:val="-2"/>
          <w:sz w:val="20"/>
          <w:szCs w:val="20"/>
        </w:rPr>
        <w:t xml:space="preserve"> (dissenting opinion)</w:t>
      </w:r>
      <w:r w:rsidRPr="007F3C48">
        <w:rPr>
          <w:rFonts w:asciiTheme="majorHAnsi" w:hAnsiTheme="majorHAnsi" w:cs="Arial"/>
          <w:noProof/>
          <w:spacing w:val="-2"/>
          <w:sz w:val="20"/>
          <w:szCs w:val="20"/>
        </w:rPr>
        <w:t xml:space="preserve">,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 xml:space="preserve">and </w:t>
      </w:r>
      <w:r w:rsidRPr="007F3C48">
        <w:rPr>
          <w:rFonts w:asciiTheme="majorHAnsi" w:hAnsiTheme="majorHAnsi" w:cs="Arial"/>
          <w:noProof/>
          <w:spacing w:val="-2"/>
          <w:sz w:val="20"/>
          <w:szCs w:val="20"/>
        </w:rPr>
        <w:t>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p w14:paraId="4FAB93FE" w14:textId="77777777" w:rsidR="00C25B3D" w:rsidRPr="007F55AE" w:rsidRDefault="00C25B3D" w:rsidP="00C25B3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8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3B0EC" w14:textId="77777777" w:rsidR="00B3282F" w:rsidRDefault="00B3282F" w:rsidP="00036A8A">
      <w:r>
        <w:separator/>
      </w:r>
    </w:p>
  </w:endnote>
  <w:endnote w:type="continuationSeparator" w:id="0">
    <w:p w14:paraId="5D91CA06" w14:textId="77777777" w:rsidR="00B3282F" w:rsidRDefault="00B3282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021D1" w14:textId="77777777" w:rsidR="006C1559" w:rsidRDefault="006C15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3A24FD4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C1559">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CC31D" w14:textId="77777777" w:rsidR="00B3282F" w:rsidRPr="00036A8A" w:rsidRDefault="00B3282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632DAF8" w14:textId="77777777" w:rsidR="00B3282F" w:rsidRPr="00036A8A" w:rsidRDefault="00B3282F" w:rsidP="00036A8A">
      <w:pPr>
        <w:rPr>
          <w:rFonts w:asciiTheme="majorHAnsi" w:hAnsiTheme="majorHAnsi"/>
          <w:sz w:val="16"/>
          <w:szCs w:val="16"/>
        </w:rPr>
      </w:pPr>
      <w:r w:rsidRPr="00036A8A">
        <w:rPr>
          <w:rFonts w:asciiTheme="majorHAnsi" w:hAnsiTheme="majorHAnsi"/>
          <w:sz w:val="16"/>
          <w:szCs w:val="16"/>
        </w:rPr>
        <w:separator/>
      </w:r>
    </w:p>
    <w:p w14:paraId="48073C74" w14:textId="77777777" w:rsidR="00B3282F" w:rsidRPr="00036A8A" w:rsidRDefault="00B3282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88E5504" w14:textId="77777777" w:rsidR="00B3282F" w:rsidRPr="0093441A" w:rsidRDefault="00B3282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B38B830" w14:textId="41770431" w:rsidR="00302748" w:rsidRPr="007F55AE" w:rsidRDefault="00302748" w:rsidP="00302748">
      <w:pPr>
        <w:pStyle w:val="FootnoteText"/>
        <w:jc w:val="both"/>
        <w:rPr>
          <w:rFonts w:asciiTheme="majorHAnsi" w:hAnsiTheme="majorHAnsi"/>
          <w:sz w:val="16"/>
          <w:szCs w:val="16"/>
        </w:rPr>
      </w:pPr>
      <w:r w:rsidRPr="00734BF3">
        <w:rPr>
          <w:rStyle w:val="FootnoteReference"/>
          <w:rFonts w:asciiTheme="majorHAnsi" w:hAnsiTheme="majorHAnsi"/>
          <w:sz w:val="16"/>
          <w:szCs w:val="16"/>
        </w:rPr>
        <w:footnoteRef/>
      </w:r>
      <w:r w:rsidR="00CA14B3" w:rsidRPr="007F55AE">
        <w:rPr>
          <w:rFonts w:asciiTheme="majorHAnsi" w:hAnsiTheme="majorHAnsi"/>
          <w:sz w:val="16"/>
          <w:szCs w:val="16"/>
        </w:rPr>
        <w:t xml:space="preserve"> Hereinafter "the American Convention" or "the Convention".</w:t>
      </w:r>
    </w:p>
  </w:footnote>
  <w:footnote w:id="3">
    <w:p w14:paraId="206149C7" w14:textId="639D7C0B" w:rsidR="0065506C" w:rsidRPr="007F55AE" w:rsidRDefault="0065506C" w:rsidP="008A61AD">
      <w:pPr>
        <w:pStyle w:val="FootnoteText"/>
        <w:jc w:val="both"/>
        <w:rPr>
          <w:rFonts w:ascii="Cambria" w:hAnsi="Cambria"/>
          <w:sz w:val="16"/>
          <w:szCs w:val="16"/>
        </w:rPr>
      </w:pPr>
      <w:r w:rsidRPr="00A82B01">
        <w:rPr>
          <w:rStyle w:val="FootnoteReference"/>
          <w:rFonts w:asciiTheme="majorHAnsi" w:hAnsiTheme="majorHAnsi"/>
          <w:sz w:val="16"/>
          <w:szCs w:val="16"/>
        </w:rPr>
        <w:footnoteRef/>
      </w:r>
      <w:r w:rsidR="000D755A" w:rsidRPr="007F55AE">
        <w:rPr>
          <w:rFonts w:asciiTheme="majorHAnsi" w:hAnsiTheme="majorHAnsi"/>
          <w:sz w:val="16"/>
          <w:szCs w:val="16"/>
        </w:rPr>
        <w:t xml:space="preserve"> International Covenant on Civil and Political Rights, Article 14</w:t>
      </w:r>
      <w:r w:rsidRPr="007F55AE">
        <w:rPr>
          <w:rFonts w:asciiTheme="majorHAnsi" w:hAnsiTheme="majorHAnsi"/>
          <w:sz w:val="16"/>
          <w:szCs w:val="16"/>
        </w:rPr>
        <w:t>.</w:t>
      </w:r>
    </w:p>
  </w:footnote>
  <w:footnote w:id="4">
    <w:p w14:paraId="6F51BDAF" w14:textId="5F4755E7" w:rsidR="00653EA6" w:rsidRPr="000B6B7A" w:rsidRDefault="00653EA6" w:rsidP="00CA14B3">
      <w:pPr>
        <w:pStyle w:val="FootnoteText"/>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7F4F01A0" w14:textId="1E90F537" w:rsidR="0044024B" w:rsidRPr="007F55AE" w:rsidRDefault="0044024B" w:rsidP="0044024B">
      <w:pPr>
        <w:pStyle w:val="FootnoteText"/>
        <w:jc w:val="both"/>
        <w:rPr>
          <w:rFonts w:ascii="Cambria" w:hAnsi="Cambria"/>
          <w:sz w:val="16"/>
          <w:szCs w:val="16"/>
        </w:rPr>
      </w:pPr>
      <w:r w:rsidRPr="00C5191D">
        <w:rPr>
          <w:rStyle w:val="FootnoteReference"/>
          <w:rFonts w:ascii="Cambria" w:hAnsi="Cambria"/>
          <w:sz w:val="16"/>
          <w:szCs w:val="16"/>
        </w:rPr>
        <w:footnoteRef/>
      </w:r>
      <w:r w:rsidRPr="007F55AE">
        <w:rPr>
          <w:rFonts w:ascii="Cambria" w:hAnsi="Cambria"/>
          <w:sz w:val="16"/>
          <w:szCs w:val="16"/>
        </w:rPr>
        <w:t xml:space="preserve"> IACHR, Report No. 143/18, Petition 940-08. Admissibility. </w:t>
      </w:r>
      <w:r w:rsidRPr="0044024B">
        <w:rPr>
          <w:rFonts w:ascii="Cambria" w:hAnsi="Cambria"/>
          <w:sz w:val="16"/>
          <w:szCs w:val="16"/>
          <w:lang w:val="es-ES"/>
        </w:rPr>
        <w:t xml:space="preserve">Luis Américo Ayala Gonzales. </w:t>
      </w:r>
      <w:proofErr w:type="spellStart"/>
      <w:r w:rsidRPr="0044024B">
        <w:rPr>
          <w:rFonts w:ascii="Cambria" w:hAnsi="Cambria"/>
          <w:sz w:val="16"/>
          <w:szCs w:val="16"/>
          <w:lang w:val="es-ES"/>
        </w:rPr>
        <w:t>Peru</w:t>
      </w:r>
      <w:proofErr w:type="spellEnd"/>
      <w:r w:rsidRPr="0044024B">
        <w:rPr>
          <w:rFonts w:ascii="Cambria" w:hAnsi="Cambria"/>
          <w:sz w:val="16"/>
          <w:szCs w:val="16"/>
          <w:lang w:val="es-ES"/>
        </w:rPr>
        <w:t xml:space="preserve">. </w:t>
      </w:r>
      <w:r w:rsidRPr="007F55AE">
        <w:rPr>
          <w:rFonts w:ascii="Cambria" w:hAnsi="Cambria"/>
          <w:sz w:val="16"/>
          <w:szCs w:val="16"/>
        </w:rPr>
        <w:t>December 4, 2018, para. 12.</w:t>
      </w:r>
    </w:p>
  </w:footnote>
  <w:footnote w:id="6">
    <w:p w14:paraId="10674180" w14:textId="3A598F6C" w:rsidR="0044024B" w:rsidRPr="00C5191D" w:rsidRDefault="0044024B" w:rsidP="0044024B">
      <w:pPr>
        <w:pStyle w:val="FootnoteText"/>
        <w:jc w:val="both"/>
        <w:rPr>
          <w:rFonts w:ascii="Cambria" w:hAnsi="Cambria"/>
          <w:sz w:val="16"/>
          <w:szCs w:val="16"/>
          <w:lang w:val="es-ES"/>
        </w:rPr>
      </w:pPr>
      <w:r w:rsidRPr="00C5191D">
        <w:rPr>
          <w:rStyle w:val="FootnoteReference"/>
          <w:rFonts w:ascii="Cambria" w:hAnsi="Cambria"/>
          <w:sz w:val="16"/>
          <w:szCs w:val="16"/>
        </w:rPr>
        <w:footnoteRef/>
      </w:r>
      <w:r w:rsidRPr="007F55AE">
        <w:rPr>
          <w:rFonts w:ascii="Cambria" w:hAnsi="Cambria"/>
          <w:sz w:val="16"/>
          <w:szCs w:val="16"/>
        </w:rPr>
        <w:t xml:space="preserve"> I / A Court H.R. Case of Cabrera García and Montiel Flores v. Mexico. Preliminary Exception, Merits, Reparations and Costs. Judgment of November 26, 2010. Series C No. 220, para. </w:t>
      </w:r>
      <w:r w:rsidRPr="0044024B">
        <w:rPr>
          <w:rFonts w:ascii="Cambria" w:hAnsi="Cambria"/>
          <w:sz w:val="16"/>
          <w:szCs w:val="16"/>
          <w:lang w:val="es-ES"/>
        </w:rPr>
        <w:t>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B3282F"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DC645" w14:textId="77777777" w:rsidR="006C1559" w:rsidRDefault="006C1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F90DD6"/>
    <w:multiLevelType w:val="hybridMultilevel"/>
    <w:tmpl w:val="B6A2F588"/>
    <w:lvl w:ilvl="0" w:tplc="E982A132">
      <w:start w:val="1"/>
      <w:numFmt w:val="decimal"/>
      <w:lvlText w:val="%1."/>
      <w:lvlJc w:val="left"/>
      <w:pPr>
        <w:ind w:left="720" w:hanging="360"/>
      </w:pPr>
      <w:rPr>
        <w:rFonts w:asciiTheme="majorHAnsi" w:hAnsi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E7213E"/>
    <w:multiLevelType w:val="hybridMultilevel"/>
    <w:tmpl w:val="0ED42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EE03FF"/>
    <w:multiLevelType w:val="hybridMultilevel"/>
    <w:tmpl w:val="6E064D46"/>
    <w:lvl w:ilvl="0" w:tplc="E6781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8"/>
  </w:num>
  <w:num w:numId="85">
    <w:abstractNumId w:val="51"/>
  </w:num>
  <w:num w:numId="86">
    <w:abstractNumId w:val="53"/>
  </w:num>
  <w:num w:numId="87">
    <w:abstractNumId w:val="56"/>
  </w:num>
  <w:num w:numId="88">
    <w:abstractNumId w:val="58"/>
  </w:num>
  <w:num w:numId="89">
    <w:abstractNumId w:val="60"/>
  </w:num>
  <w:num w:numId="90">
    <w:abstractNumId w:val="61"/>
  </w:num>
  <w:num w:numId="91">
    <w:abstractNumId w:val="62"/>
  </w:num>
  <w:num w:numId="92">
    <w:abstractNumId w:val="64"/>
  </w:num>
  <w:num w:numId="93">
    <w:abstractNumId w:val="65"/>
  </w:num>
  <w:num w:numId="94">
    <w:abstractNumId w:val="21"/>
  </w:num>
  <w:num w:numId="95">
    <w:abstractNumId w:val="42"/>
  </w:num>
  <w:num w:numId="96">
    <w:abstractNumId w:val="54"/>
  </w:num>
  <w:num w:numId="97">
    <w:abstractNumId w:val="52"/>
  </w:num>
  <w:num w:numId="98">
    <w:abstractNumId w:val="47"/>
  </w:num>
  <w:num w:numId="99">
    <w:abstractNumId w:val="37"/>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55"/>
  </w:num>
  <w:num w:numId="107">
    <w:abstractNumId w:val="44"/>
  </w:num>
  <w:num w:numId="108">
    <w:abstractNumId w:val="6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44569"/>
    <w:rsid w:val="000639C0"/>
    <w:rsid w:val="00070F3A"/>
    <w:rsid w:val="000716C5"/>
    <w:rsid w:val="00075E23"/>
    <w:rsid w:val="000771B9"/>
    <w:rsid w:val="00092F32"/>
    <w:rsid w:val="0009344A"/>
    <w:rsid w:val="000A575F"/>
    <w:rsid w:val="000C4365"/>
    <w:rsid w:val="000D10DB"/>
    <w:rsid w:val="000D755A"/>
    <w:rsid w:val="00124116"/>
    <w:rsid w:val="00130279"/>
    <w:rsid w:val="0013104F"/>
    <w:rsid w:val="00137EBA"/>
    <w:rsid w:val="00145EDC"/>
    <w:rsid w:val="00153084"/>
    <w:rsid w:val="00157B97"/>
    <w:rsid w:val="00167A34"/>
    <w:rsid w:val="001714B4"/>
    <w:rsid w:val="0018037F"/>
    <w:rsid w:val="001A5F27"/>
    <w:rsid w:val="001A65E4"/>
    <w:rsid w:val="001A7870"/>
    <w:rsid w:val="001B2EA5"/>
    <w:rsid w:val="001C1B41"/>
    <w:rsid w:val="001E366B"/>
    <w:rsid w:val="001F1902"/>
    <w:rsid w:val="00210E0E"/>
    <w:rsid w:val="00210F4B"/>
    <w:rsid w:val="002200E9"/>
    <w:rsid w:val="00230163"/>
    <w:rsid w:val="0023351C"/>
    <w:rsid w:val="002359B5"/>
    <w:rsid w:val="00247403"/>
    <w:rsid w:val="00247542"/>
    <w:rsid w:val="00257893"/>
    <w:rsid w:val="00266092"/>
    <w:rsid w:val="00266B61"/>
    <w:rsid w:val="0026712A"/>
    <w:rsid w:val="002704DB"/>
    <w:rsid w:val="002760CE"/>
    <w:rsid w:val="002B7A85"/>
    <w:rsid w:val="002C1641"/>
    <w:rsid w:val="002D7EA2"/>
    <w:rsid w:val="002E15DF"/>
    <w:rsid w:val="002E187C"/>
    <w:rsid w:val="002E6E57"/>
    <w:rsid w:val="002F7E64"/>
    <w:rsid w:val="00301075"/>
    <w:rsid w:val="00302733"/>
    <w:rsid w:val="00302748"/>
    <w:rsid w:val="0030359C"/>
    <w:rsid w:val="00311A4F"/>
    <w:rsid w:val="00314078"/>
    <w:rsid w:val="00321AFD"/>
    <w:rsid w:val="00322450"/>
    <w:rsid w:val="003246B5"/>
    <w:rsid w:val="0033169F"/>
    <w:rsid w:val="003414AC"/>
    <w:rsid w:val="00356185"/>
    <w:rsid w:val="00360380"/>
    <w:rsid w:val="003771A3"/>
    <w:rsid w:val="00386CF0"/>
    <w:rsid w:val="003A18A7"/>
    <w:rsid w:val="003A4348"/>
    <w:rsid w:val="003C32BC"/>
    <w:rsid w:val="003C3B50"/>
    <w:rsid w:val="003E3E03"/>
    <w:rsid w:val="003F1BBF"/>
    <w:rsid w:val="004162B1"/>
    <w:rsid w:val="004165C2"/>
    <w:rsid w:val="0044024B"/>
    <w:rsid w:val="00450A4A"/>
    <w:rsid w:val="004666FB"/>
    <w:rsid w:val="00466D0B"/>
    <w:rsid w:val="00467B7E"/>
    <w:rsid w:val="00473196"/>
    <w:rsid w:val="0049419D"/>
    <w:rsid w:val="004B2762"/>
    <w:rsid w:val="004B7EB6"/>
    <w:rsid w:val="004C41DE"/>
    <w:rsid w:val="004C4B62"/>
    <w:rsid w:val="004C7A36"/>
    <w:rsid w:val="004D6025"/>
    <w:rsid w:val="004D72BC"/>
    <w:rsid w:val="004E4BCE"/>
    <w:rsid w:val="004F6B67"/>
    <w:rsid w:val="00501399"/>
    <w:rsid w:val="00507BC4"/>
    <w:rsid w:val="005128E4"/>
    <w:rsid w:val="00521B60"/>
    <w:rsid w:val="00525560"/>
    <w:rsid w:val="005357A6"/>
    <w:rsid w:val="005406C2"/>
    <w:rsid w:val="00544C49"/>
    <w:rsid w:val="00560359"/>
    <w:rsid w:val="0057402A"/>
    <w:rsid w:val="005771D0"/>
    <w:rsid w:val="005816E5"/>
    <w:rsid w:val="0059191A"/>
    <w:rsid w:val="005921FF"/>
    <w:rsid w:val="00592718"/>
    <w:rsid w:val="005A6D0E"/>
    <w:rsid w:val="005B0771"/>
    <w:rsid w:val="005B222D"/>
    <w:rsid w:val="005B52B0"/>
    <w:rsid w:val="005B6806"/>
    <w:rsid w:val="005C00F9"/>
    <w:rsid w:val="005C4225"/>
    <w:rsid w:val="005C558C"/>
    <w:rsid w:val="005C5B26"/>
    <w:rsid w:val="005E1339"/>
    <w:rsid w:val="005F0F33"/>
    <w:rsid w:val="00600DEB"/>
    <w:rsid w:val="00605DE2"/>
    <w:rsid w:val="00613027"/>
    <w:rsid w:val="00627C9F"/>
    <w:rsid w:val="006311DA"/>
    <w:rsid w:val="006311E9"/>
    <w:rsid w:val="006318B2"/>
    <w:rsid w:val="00632354"/>
    <w:rsid w:val="00642810"/>
    <w:rsid w:val="00652333"/>
    <w:rsid w:val="00653EA6"/>
    <w:rsid w:val="0065506C"/>
    <w:rsid w:val="006614CA"/>
    <w:rsid w:val="00666533"/>
    <w:rsid w:val="0068009E"/>
    <w:rsid w:val="006A17D2"/>
    <w:rsid w:val="006A73E6"/>
    <w:rsid w:val="006B2D5C"/>
    <w:rsid w:val="006C1559"/>
    <w:rsid w:val="006C4EB1"/>
    <w:rsid w:val="006D4707"/>
    <w:rsid w:val="006E0166"/>
    <w:rsid w:val="006E7B34"/>
    <w:rsid w:val="00701B24"/>
    <w:rsid w:val="007049AA"/>
    <w:rsid w:val="0071495F"/>
    <w:rsid w:val="0073798E"/>
    <w:rsid w:val="00745899"/>
    <w:rsid w:val="007544A8"/>
    <w:rsid w:val="007607C4"/>
    <w:rsid w:val="0076643F"/>
    <w:rsid w:val="00781653"/>
    <w:rsid w:val="007A2F70"/>
    <w:rsid w:val="007C3334"/>
    <w:rsid w:val="007C52BB"/>
    <w:rsid w:val="007D2B98"/>
    <w:rsid w:val="007F196E"/>
    <w:rsid w:val="007F55AE"/>
    <w:rsid w:val="00803F1C"/>
    <w:rsid w:val="00804DF6"/>
    <w:rsid w:val="0080600E"/>
    <w:rsid w:val="00816CCE"/>
    <w:rsid w:val="00817612"/>
    <w:rsid w:val="00837C45"/>
    <w:rsid w:val="00853419"/>
    <w:rsid w:val="00897E12"/>
    <w:rsid w:val="008A61AD"/>
    <w:rsid w:val="008D43BA"/>
    <w:rsid w:val="008E3759"/>
    <w:rsid w:val="009041DC"/>
    <w:rsid w:val="009104B4"/>
    <w:rsid w:val="009228DA"/>
    <w:rsid w:val="00925FCD"/>
    <w:rsid w:val="0093441A"/>
    <w:rsid w:val="00954BF7"/>
    <w:rsid w:val="0096706E"/>
    <w:rsid w:val="00981FBA"/>
    <w:rsid w:val="009B381B"/>
    <w:rsid w:val="009D7611"/>
    <w:rsid w:val="009E53DE"/>
    <w:rsid w:val="009E566A"/>
    <w:rsid w:val="00A0119C"/>
    <w:rsid w:val="00A02B76"/>
    <w:rsid w:val="00A12DBC"/>
    <w:rsid w:val="00A43458"/>
    <w:rsid w:val="00A528D1"/>
    <w:rsid w:val="00A66BE5"/>
    <w:rsid w:val="00A87160"/>
    <w:rsid w:val="00AC15ED"/>
    <w:rsid w:val="00AD37C1"/>
    <w:rsid w:val="00AE0C9C"/>
    <w:rsid w:val="00AE66EC"/>
    <w:rsid w:val="00AE6F91"/>
    <w:rsid w:val="00AF5571"/>
    <w:rsid w:val="00B06BB7"/>
    <w:rsid w:val="00B167E9"/>
    <w:rsid w:val="00B179ED"/>
    <w:rsid w:val="00B314DB"/>
    <w:rsid w:val="00B31EBE"/>
    <w:rsid w:val="00B3282F"/>
    <w:rsid w:val="00B3718B"/>
    <w:rsid w:val="00B44B23"/>
    <w:rsid w:val="00B4632A"/>
    <w:rsid w:val="00B51815"/>
    <w:rsid w:val="00B92E49"/>
    <w:rsid w:val="00BA276C"/>
    <w:rsid w:val="00BB306F"/>
    <w:rsid w:val="00BD232B"/>
    <w:rsid w:val="00BD2E42"/>
    <w:rsid w:val="00BD4B89"/>
    <w:rsid w:val="00BE45B0"/>
    <w:rsid w:val="00BF1835"/>
    <w:rsid w:val="00BF4B32"/>
    <w:rsid w:val="00C05480"/>
    <w:rsid w:val="00C14851"/>
    <w:rsid w:val="00C21762"/>
    <w:rsid w:val="00C24543"/>
    <w:rsid w:val="00C256A2"/>
    <w:rsid w:val="00C25B3D"/>
    <w:rsid w:val="00C3492D"/>
    <w:rsid w:val="00C55560"/>
    <w:rsid w:val="00C66B72"/>
    <w:rsid w:val="00C7450A"/>
    <w:rsid w:val="00C9567A"/>
    <w:rsid w:val="00CA14B3"/>
    <w:rsid w:val="00CA22E8"/>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435A1"/>
    <w:rsid w:val="00F56BA5"/>
    <w:rsid w:val="00F621C3"/>
    <w:rsid w:val="00F644E6"/>
    <w:rsid w:val="00F862D8"/>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64DB"/>
    <w:rsid w:val="0037631B"/>
    <w:rsid w:val="004108B1"/>
    <w:rsid w:val="00602DBB"/>
    <w:rsid w:val="00686D89"/>
    <w:rsid w:val="00733948"/>
    <w:rsid w:val="00900126"/>
    <w:rsid w:val="009405F6"/>
    <w:rsid w:val="00AB44F1"/>
    <w:rsid w:val="00E07124"/>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DE07D-75DA-4203-BD18-EBCAFE67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11126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153/20</dc:title>
  <dc:creator/>
  <cp:lastModifiedBy/>
  <cp:revision>1</cp:revision>
  <dcterms:created xsi:type="dcterms:W3CDTF">2020-07-22T16:16:00Z</dcterms:created>
  <dcterms:modified xsi:type="dcterms:W3CDTF">2020-07-22T16:16:00Z</dcterms:modified>
</cp:coreProperties>
</file>