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A35EE46" w:rsidR="00040C3A" w:rsidRPr="003C32BC" w:rsidRDefault="00724919"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161D7D5B">
                <wp:simplePos x="0" y="0"/>
                <wp:positionH relativeFrom="column">
                  <wp:posOffset>-370114</wp:posOffset>
                </wp:positionH>
                <wp:positionV relativeFrom="paragraph">
                  <wp:posOffset>129086</wp:posOffset>
                </wp:positionV>
                <wp:extent cx="140970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0970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19FD2646" w:rsidR="00302748" w:rsidRDefault="00724919" w:rsidP="009E566A">
                            <w:pPr>
                              <w:jc w:val="right"/>
                              <w:rPr>
                                <w:rFonts w:asciiTheme="minorHAnsi" w:hAnsiTheme="minorHAnsi"/>
                                <w:color w:val="FF0000"/>
                                <w:sz w:val="22"/>
                                <w:lang w:val="pt-BR"/>
                              </w:rPr>
                            </w:pPr>
                            <w:r>
                              <w:rPr>
                                <w:rFonts w:asciiTheme="minorHAnsi" w:hAnsiTheme="minorHAnsi"/>
                                <w:color w:val="FFFFFF" w:themeColor="background1"/>
                                <w:sz w:val="22"/>
                                <w:lang w:val="pt-BR"/>
                              </w:rPr>
                              <w:t>OEA/Ser.L/V/II.</w:t>
                            </w:r>
                          </w:p>
                          <w:p w14:paraId="4AA08A8C" w14:textId="62455F8F"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724919">
                              <w:rPr>
                                <w:rFonts w:asciiTheme="minorHAnsi" w:hAnsiTheme="minorHAnsi"/>
                                <w:color w:val="FFFFFF" w:themeColor="background1"/>
                                <w:sz w:val="22"/>
                                <w:lang w:val="pt-BR"/>
                              </w:rPr>
                              <w:t>175</w:t>
                            </w:r>
                          </w:p>
                          <w:p w14:paraId="3794DBE0" w14:textId="1E603EDC" w:rsidR="00724919"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724919">
                              <w:rPr>
                                <w:rFonts w:asciiTheme="minorHAnsi" w:hAnsiTheme="minorHAnsi"/>
                                <w:color w:val="FFFFFF" w:themeColor="background1"/>
                                <w:sz w:val="22"/>
                                <w:lang w:val="pt-BR"/>
                              </w:rPr>
                              <w:t xml:space="preserve"> 2 </w:t>
                            </w:r>
                            <w:r w:rsidR="00167D72">
                              <w:rPr>
                                <w:rFonts w:asciiTheme="minorHAnsi" w:hAnsiTheme="minorHAnsi"/>
                                <w:color w:val="FFFFFF" w:themeColor="background1"/>
                                <w:sz w:val="22"/>
                              </w:rPr>
                              <w:t>Ju</w:t>
                            </w:r>
                            <w:r w:rsidR="00724919">
                              <w:rPr>
                                <w:rFonts w:asciiTheme="minorHAnsi" w:hAnsiTheme="minorHAnsi"/>
                                <w:color w:val="FFFFFF" w:themeColor="background1"/>
                                <w:sz w:val="22"/>
                              </w:rPr>
                              <w:t>ly</w:t>
                            </w:r>
                            <w:r w:rsidR="00167D72">
                              <w:rPr>
                                <w:rFonts w:asciiTheme="minorHAnsi" w:hAnsiTheme="minorHAnsi"/>
                                <w:color w:val="FFFFFF" w:themeColor="background1"/>
                                <w:sz w:val="22"/>
                              </w:rPr>
                              <w:t xml:space="preserve"> 2020</w:t>
                            </w:r>
                          </w:p>
                          <w:p w14:paraId="5F1F7BEA" w14:textId="0EC012FA" w:rsidR="00302748" w:rsidRPr="00302748" w:rsidRDefault="00627C9F" w:rsidP="00724919">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24919">
                              <w:rPr>
                                <w:rFonts w:asciiTheme="minorHAnsi" w:hAnsiTheme="minorHAnsi"/>
                                <w:color w:val="FFFFFF" w:themeColor="background1"/>
                                <w:sz w:val="22"/>
                              </w:rPr>
                              <w:t xml:space="preserve"> Spanish</w:t>
                            </w:r>
                            <w:r w:rsidR="002C1641" w:rsidRPr="004B7EB6">
                              <w:rPr>
                                <w:rFonts w:asciiTheme="minorHAnsi" w:hAnsiTheme="minorHAnsi"/>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65BFE5E" id="_x0000_t202" coordsize="21600,21600" o:spt="202" path="m,l,21600r21600,l21600,xe">
                <v:stroke joinstyle="miter"/>
                <v:path gradientshapeok="t" o:connecttype="rect"/>
              </v:shapetype>
              <v:shape id="Text Box 8" o:spid="_x0000_s1027" type="#_x0000_t202" style="position:absolute;left:0;text-align:left;margin-left:-29.15pt;margin-top:10.15pt;width:111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" filled="f" stroked="f" strokeweight=".5pt">
                <v:textbox>
                  <w:txbxContent>
                    <w:p w14:paraId="3F823D97" w14:textId="19FD2646" w:rsidR="00302748" w:rsidRDefault="00724919" w:rsidP="009E566A">
                      <w:pPr>
                        <w:jc w:val="right"/>
                        <w:rPr>
                          <w:rFonts w:asciiTheme="minorHAnsi" w:hAnsiTheme="minorHAnsi"/>
                          <w:color w:val="FF0000"/>
                          <w:sz w:val="22"/>
                          <w:lang w:val="pt-BR"/>
                        </w:rPr>
                      </w:pPr>
                      <w:r>
                        <w:rPr>
                          <w:rFonts w:asciiTheme="minorHAnsi" w:hAnsiTheme="minorHAnsi"/>
                          <w:color w:val="FFFFFF" w:themeColor="background1"/>
                          <w:sz w:val="22"/>
                          <w:lang w:val="pt-BR"/>
                        </w:rPr>
                        <w:t>OEA/Ser.L/V/II.</w:t>
                      </w:r>
                    </w:p>
                    <w:p w14:paraId="4AA08A8C" w14:textId="62455F8F"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724919">
                        <w:rPr>
                          <w:rFonts w:asciiTheme="minorHAnsi" w:hAnsiTheme="minorHAnsi"/>
                          <w:color w:val="FFFFFF" w:themeColor="background1"/>
                          <w:sz w:val="22"/>
                          <w:lang w:val="pt-BR"/>
                        </w:rPr>
                        <w:t>175</w:t>
                      </w:r>
                    </w:p>
                    <w:p w14:paraId="3794DBE0" w14:textId="1E603EDC" w:rsidR="00724919"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724919">
                        <w:rPr>
                          <w:rFonts w:asciiTheme="minorHAnsi" w:hAnsiTheme="minorHAnsi"/>
                          <w:color w:val="FFFFFF" w:themeColor="background1"/>
                          <w:sz w:val="22"/>
                          <w:lang w:val="pt-BR"/>
                        </w:rPr>
                        <w:t xml:space="preserve"> 2 </w:t>
                      </w:r>
                      <w:r w:rsidR="00167D72">
                        <w:rPr>
                          <w:rFonts w:asciiTheme="minorHAnsi" w:hAnsiTheme="minorHAnsi"/>
                          <w:color w:val="FFFFFF" w:themeColor="background1"/>
                          <w:sz w:val="22"/>
                        </w:rPr>
                        <w:t>Ju</w:t>
                      </w:r>
                      <w:r w:rsidR="00724919">
                        <w:rPr>
                          <w:rFonts w:asciiTheme="minorHAnsi" w:hAnsiTheme="minorHAnsi"/>
                          <w:color w:val="FFFFFF" w:themeColor="background1"/>
                          <w:sz w:val="22"/>
                        </w:rPr>
                        <w:t>ly</w:t>
                      </w:r>
                      <w:r w:rsidR="00167D72">
                        <w:rPr>
                          <w:rFonts w:asciiTheme="minorHAnsi" w:hAnsiTheme="minorHAnsi"/>
                          <w:color w:val="FFFFFF" w:themeColor="background1"/>
                          <w:sz w:val="22"/>
                        </w:rPr>
                        <w:t xml:space="preserve"> 2020</w:t>
                      </w:r>
                    </w:p>
                    <w:p w14:paraId="5F1F7BEA" w14:textId="0EC012FA" w:rsidR="00302748" w:rsidRPr="00302748" w:rsidRDefault="00627C9F" w:rsidP="00724919">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24919">
                        <w:rPr>
                          <w:rFonts w:asciiTheme="minorHAnsi" w:hAnsiTheme="minorHAnsi"/>
                          <w:color w:val="FFFFFF" w:themeColor="background1"/>
                          <w:sz w:val="22"/>
                        </w:rPr>
                        <w:t xml:space="preserve"> Spanish</w:t>
                      </w:r>
                      <w:r w:rsidR="002C1641" w:rsidRPr="004B7EB6">
                        <w:rPr>
                          <w:rFonts w:asciiTheme="minorHAnsi" w:hAnsiTheme="minorHAnsi"/>
                          <w:color w:val="FFFFFF" w:themeColor="background1"/>
                          <w:sz w:val="22"/>
                        </w:rPr>
                        <w:t xml:space="preserve"> </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5F0E097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06728E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24919">
                              <w:rPr>
                                <w:rFonts w:asciiTheme="majorHAnsi" w:hAnsiTheme="majorHAnsi" w:cs="Arial"/>
                                <w:b/>
                                <w:bCs/>
                                <w:color w:val="0D0D0D" w:themeColor="text1" w:themeTint="F2"/>
                                <w:sz w:val="36"/>
                                <w:szCs w:val="40"/>
                              </w:rPr>
                              <w:t>165</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5B65164A"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72A02" w:rsidRPr="00331493">
                              <w:rPr>
                                <w:rFonts w:asciiTheme="majorHAnsi" w:hAnsiTheme="majorHAnsi" w:cs="Arial"/>
                                <w:b/>
                                <w:color w:val="0D0D0D" w:themeColor="text1" w:themeTint="F2"/>
                                <w:sz w:val="36"/>
                                <w:szCs w:val="22"/>
                              </w:rPr>
                              <w:t>209-11</w:t>
                            </w:r>
                          </w:p>
                          <w:p w14:paraId="34978E5A" w14:textId="31E578D0" w:rsidR="002C1641" w:rsidRPr="004B7EB6" w:rsidRDefault="00F621C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C257929" w14:textId="3706F1AF" w:rsidR="004F35AC" w:rsidRPr="00226222" w:rsidRDefault="004F35AC" w:rsidP="004F35AC">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JES</w:t>
                            </w:r>
                            <w:r>
                              <w:rPr>
                                <w:rFonts w:asciiTheme="majorHAnsi" w:hAnsiTheme="majorHAnsi" w:cs="Arial"/>
                                <w:color w:val="0D0D0D" w:themeColor="text1" w:themeTint="F2"/>
                                <w:szCs w:val="22"/>
                                <w:lang w:val="es-PA"/>
                              </w:rPr>
                              <w:t>ÚS ALBERTO FELIZZOLA GUERRERO AND FAMILY</w:t>
                            </w:r>
                          </w:p>
                          <w:p w14:paraId="17A89EFB" w14:textId="44A60A70" w:rsidR="005B52B0" w:rsidRPr="000C4365" w:rsidRDefault="004F35AC" w:rsidP="004F35A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06728E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24919">
                        <w:rPr>
                          <w:rFonts w:asciiTheme="majorHAnsi" w:hAnsiTheme="majorHAnsi" w:cs="Arial"/>
                          <w:b/>
                          <w:bCs/>
                          <w:color w:val="0D0D0D" w:themeColor="text1" w:themeTint="F2"/>
                          <w:sz w:val="36"/>
                          <w:szCs w:val="40"/>
                        </w:rPr>
                        <w:t>165</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5B65164A"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72A02" w:rsidRPr="00331493">
                        <w:rPr>
                          <w:rFonts w:asciiTheme="majorHAnsi" w:hAnsiTheme="majorHAnsi" w:cs="Arial"/>
                          <w:b/>
                          <w:color w:val="0D0D0D" w:themeColor="text1" w:themeTint="F2"/>
                          <w:sz w:val="36"/>
                          <w:szCs w:val="22"/>
                        </w:rPr>
                        <w:t>209-11</w:t>
                      </w:r>
                    </w:p>
                    <w:p w14:paraId="34978E5A" w14:textId="31E578D0" w:rsidR="002C1641" w:rsidRPr="004B7EB6" w:rsidRDefault="00F621C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C257929" w14:textId="3706F1AF" w:rsidR="004F35AC" w:rsidRPr="00226222" w:rsidRDefault="004F35AC" w:rsidP="004F35AC">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JES</w:t>
                      </w:r>
                      <w:r>
                        <w:rPr>
                          <w:rFonts w:asciiTheme="majorHAnsi" w:hAnsiTheme="majorHAnsi" w:cs="Arial"/>
                          <w:color w:val="0D0D0D" w:themeColor="text1" w:themeTint="F2"/>
                          <w:szCs w:val="22"/>
                          <w:lang w:val="es-PA"/>
                        </w:rPr>
                        <w:t>ÚS ALBERTO FELIZZOLA GUERRERO AND FAMILY</w:t>
                      </w:r>
                    </w:p>
                    <w:p w14:paraId="17A89EFB" w14:textId="44A60A70" w:rsidR="005B52B0" w:rsidRPr="000C4365" w:rsidRDefault="004F35AC" w:rsidP="004F35AC">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COLOMBIA</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8F4E72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24919">
                              <w:rPr>
                                <w:rFonts w:asciiTheme="majorHAnsi" w:hAnsiTheme="majorHAnsi"/>
                                <w:color w:val="0D0D0D" w:themeColor="text1" w:themeTint="F2"/>
                                <w:sz w:val="18"/>
                                <w:szCs w:val="20"/>
                              </w:rPr>
                              <w:t>electronically</w:t>
                            </w:r>
                            <w:r w:rsidR="00724919"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24919">
                              <w:rPr>
                                <w:rFonts w:asciiTheme="majorHAnsi" w:hAnsiTheme="majorHAnsi"/>
                                <w:color w:val="0D0D0D" w:themeColor="text1" w:themeTint="F2"/>
                                <w:sz w:val="18"/>
                                <w:szCs w:val="20"/>
                              </w:rPr>
                              <w:t>July 2</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0B43E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8F4E72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24919">
                        <w:rPr>
                          <w:rFonts w:asciiTheme="majorHAnsi" w:hAnsiTheme="majorHAnsi"/>
                          <w:color w:val="0D0D0D" w:themeColor="text1" w:themeTint="F2"/>
                          <w:sz w:val="18"/>
                          <w:szCs w:val="20"/>
                        </w:rPr>
                        <w:t>electronically</w:t>
                      </w:r>
                      <w:r w:rsidR="00724919"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24919">
                        <w:rPr>
                          <w:rFonts w:asciiTheme="majorHAnsi" w:hAnsiTheme="majorHAnsi"/>
                          <w:color w:val="0D0D0D" w:themeColor="text1" w:themeTint="F2"/>
                          <w:sz w:val="18"/>
                          <w:szCs w:val="20"/>
                        </w:rPr>
                        <w:t>July 2</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0B43E4">
                        <w:rPr>
                          <w:rFonts w:asciiTheme="majorHAnsi" w:hAnsiTheme="majorHAnsi"/>
                          <w:color w:val="0D0D0D" w:themeColor="text1" w:themeTint="F2"/>
                          <w:sz w:val="18"/>
                          <w:szCs w:val="20"/>
                        </w:rPr>
                        <w:t>.</w:t>
                      </w:r>
                      <w:bookmarkStart w:id="1" w:name="_GoBack"/>
                      <w:bookmarkEnd w:id="1"/>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BC49E2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24919">
                              <w:rPr>
                                <w:rFonts w:asciiTheme="majorHAnsi" w:hAnsiTheme="majorHAnsi"/>
                                <w:color w:val="595959" w:themeColor="text1" w:themeTint="A6"/>
                                <w:sz w:val="18"/>
                              </w:rPr>
                              <w:t>165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24919">
                              <w:rPr>
                                <w:rFonts w:asciiTheme="majorHAnsi" w:hAnsiTheme="majorHAnsi"/>
                                <w:color w:val="595959" w:themeColor="text1" w:themeTint="A6"/>
                                <w:sz w:val="18"/>
                              </w:rPr>
                              <w:t>209</w:t>
                            </w:r>
                            <w:r w:rsidR="00F621C3">
                              <w:rPr>
                                <w:rFonts w:asciiTheme="majorHAnsi" w:hAnsiTheme="majorHAnsi"/>
                                <w:color w:val="595959" w:themeColor="text1" w:themeTint="A6"/>
                                <w:sz w:val="18"/>
                              </w:rPr>
                              <w:t>-</w:t>
                            </w:r>
                            <w:r w:rsidR="00724919">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sidRPr="004509CD">
                              <w:rPr>
                                <w:rFonts w:asciiTheme="majorHAnsi" w:hAnsiTheme="majorHAnsi"/>
                                <w:color w:val="595959" w:themeColor="text1" w:themeTint="A6"/>
                                <w:sz w:val="18"/>
                                <w:lang w:val="es-US"/>
                              </w:rPr>
                              <w:t>In</w:t>
                            </w:r>
                            <w:r w:rsidR="00724919" w:rsidRPr="004509CD">
                              <w:rPr>
                                <w:rFonts w:asciiTheme="majorHAnsi" w:hAnsiTheme="majorHAnsi"/>
                                <w:color w:val="595959" w:themeColor="text1" w:themeTint="A6"/>
                                <w:sz w:val="18"/>
                                <w:lang w:val="es-US"/>
                              </w:rPr>
                              <w:t>a</w:t>
                            </w:r>
                            <w:r w:rsidR="00F42B71" w:rsidRPr="004509CD">
                              <w:rPr>
                                <w:rFonts w:asciiTheme="majorHAnsi" w:hAnsiTheme="majorHAnsi"/>
                                <w:color w:val="595959" w:themeColor="text1" w:themeTint="A6"/>
                                <w:sz w:val="18"/>
                                <w:lang w:val="es-US"/>
                              </w:rPr>
                              <w:t>dmissibility</w:t>
                            </w:r>
                            <w:r w:rsidRPr="004509CD">
                              <w:rPr>
                                <w:rFonts w:asciiTheme="majorHAnsi" w:hAnsiTheme="majorHAnsi"/>
                                <w:color w:val="595959" w:themeColor="text1" w:themeTint="A6"/>
                                <w:sz w:val="18"/>
                                <w:lang w:val="es-US"/>
                              </w:rPr>
                              <w:t xml:space="preserve">. </w:t>
                            </w:r>
                            <w:r w:rsidR="00724919" w:rsidRPr="004509CD">
                              <w:rPr>
                                <w:rFonts w:asciiTheme="majorHAnsi" w:hAnsiTheme="majorHAnsi"/>
                                <w:color w:val="595959" w:themeColor="text1" w:themeTint="A6"/>
                                <w:sz w:val="18"/>
                                <w:lang w:val="es-US"/>
                              </w:rPr>
                              <w:t>Jesus Alberto Felizzola Guerrero and family</w:t>
                            </w:r>
                            <w:r w:rsidRPr="004509CD">
                              <w:rPr>
                                <w:rFonts w:asciiTheme="majorHAnsi" w:hAnsiTheme="majorHAnsi"/>
                                <w:color w:val="595959" w:themeColor="text1" w:themeTint="A6"/>
                                <w:sz w:val="18"/>
                                <w:lang w:val="es-US"/>
                              </w:rPr>
                              <w:t xml:space="preserve">. </w:t>
                            </w:r>
                            <w:r w:rsidR="00724919" w:rsidRPr="004509CD">
                              <w:rPr>
                                <w:rFonts w:asciiTheme="majorHAnsi" w:hAnsiTheme="majorHAnsi"/>
                                <w:color w:val="595959" w:themeColor="text1" w:themeTint="A6"/>
                                <w:sz w:val="18"/>
                                <w:lang w:val="es-US"/>
                              </w:rPr>
                              <w:t>Colombia</w:t>
                            </w:r>
                            <w:r w:rsidR="00022CF5" w:rsidRPr="004509CD">
                              <w:rPr>
                                <w:rFonts w:asciiTheme="majorHAnsi" w:hAnsiTheme="majorHAnsi"/>
                                <w:color w:val="595959" w:themeColor="text1" w:themeTint="A6"/>
                                <w:sz w:val="18"/>
                                <w:lang w:val="es-US"/>
                              </w:rPr>
                              <w:t xml:space="preserve">. </w:t>
                            </w:r>
                            <w:r w:rsidR="00724919">
                              <w:rPr>
                                <w:rFonts w:asciiTheme="majorHAnsi" w:hAnsiTheme="majorHAnsi"/>
                                <w:color w:val="595959" w:themeColor="text1" w:themeTint="A6"/>
                                <w:sz w:val="18"/>
                              </w:rPr>
                              <w:t>July 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BC49E2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724919">
                        <w:rPr>
                          <w:rFonts w:asciiTheme="majorHAnsi" w:hAnsiTheme="majorHAnsi"/>
                          <w:color w:val="595959" w:themeColor="text1" w:themeTint="A6"/>
                          <w:sz w:val="18"/>
                        </w:rPr>
                        <w:t>165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24919">
                        <w:rPr>
                          <w:rFonts w:asciiTheme="majorHAnsi" w:hAnsiTheme="majorHAnsi"/>
                          <w:color w:val="595959" w:themeColor="text1" w:themeTint="A6"/>
                          <w:sz w:val="18"/>
                        </w:rPr>
                        <w:t>209</w:t>
                      </w:r>
                      <w:r w:rsidR="00F621C3">
                        <w:rPr>
                          <w:rFonts w:asciiTheme="majorHAnsi" w:hAnsiTheme="majorHAnsi"/>
                          <w:color w:val="595959" w:themeColor="text1" w:themeTint="A6"/>
                          <w:sz w:val="18"/>
                        </w:rPr>
                        <w:t>-</w:t>
                      </w:r>
                      <w:r w:rsidR="00724919">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724919">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724919">
                        <w:rPr>
                          <w:rFonts w:asciiTheme="majorHAnsi" w:hAnsiTheme="majorHAnsi"/>
                          <w:color w:val="595959" w:themeColor="text1" w:themeTint="A6"/>
                          <w:sz w:val="18"/>
                        </w:rPr>
                        <w:t xml:space="preserve">Jesus Alberto </w:t>
                      </w:r>
                      <w:proofErr w:type="spellStart"/>
                      <w:r w:rsidR="00724919">
                        <w:rPr>
                          <w:rFonts w:asciiTheme="majorHAnsi" w:hAnsiTheme="majorHAnsi"/>
                          <w:color w:val="595959" w:themeColor="text1" w:themeTint="A6"/>
                          <w:sz w:val="18"/>
                        </w:rPr>
                        <w:t>Felizzola</w:t>
                      </w:r>
                      <w:proofErr w:type="spellEnd"/>
                      <w:r w:rsidR="00724919">
                        <w:rPr>
                          <w:rFonts w:asciiTheme="majorHAnsi" w:hAnsiTheme="majorHAnsi"/>
                          <w:color w:val="595959" w:themeColor="text1" w:themeTint="A6"/>
                          <w:sz w:val="18"/>
                        </w:rPr>
                        <w:t xml:space="preserve"> Guerrero and family</w:t>
                      </w:r>
                      <w:r w:rsidRPr="003C32BC">
                        <w:rPr>
                          <w:rFonts w:asciiTheme="majorHAnsi" w:hAnsiTheme="majorHAnsi"/>
                          <w:color w:val="595959" w:themeColor="text1" w:themeTint="A6"/>
                          <w:sz w:val="18"/>
                        </w:rPr>
                        <w:t xml:space="preserve">. </w:t>
                      </w:r>
                      <w:r w:rsidR="00724919">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724919">
                        <w:rPr>
                          <w:rFonts w:asciiTheme="majorHAnsi" w:hAnsiTheme="majorHAnsi"/>
                          <w:color w:val="595959" w:themeColor="text1" w:themeTint="A6"/>
                          <w:sz w:val="18"/>
                        </w:rPr>
                        <w:t>July 2,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509CD"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4720E4FE" w:rsidR="00F621C3" w:rsidRPr="00724919" w:rsidRDefault="004F35AC" w:rsidP="009163FC">
            <w:pPr>
              <w:jc w:val="both"/>
              <w:rPr>
                <w:rFonts w:asciiTheme="majorHAnsi" w:hAnsiTheme="majorHAnsi"/>
                <w:bCs/>
                <w:sz w:val="20"/>
                <w:szCs w:val="20"/>
                <w:lang w:val="pt-BR"/>
              </w:rPr>
            </w:pPr>
            <w:r w:rsidRPr="00724919">
              <w:rPr>
                <w:rFonts w:ascii="Cambria" w:hAnsi="Cambria"/>
                <w:bCs/>
                <w:sz w:val="19"/>
                <w:szCs w:val="19"/>
                <w:lang w:val="pt-BR"/>
              </w:rPr>
              <w:t>Jesús Alberto Felizzola Guerrero and Nerio José Alvis Barranco</w:t>
            </w:r>
          </w:p>
        </w:tc>
      </w:tr>
      <w:tr w:rsidR="00F621C3" w:rsidRPr="004509CD"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AE46B5"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12A7C91E" w:rsidR="00F621C3" w:rsidRPr="00331493" w:rsidRDefault="004F35AC" w:rsidP="009163FC">
            <w:pPr>
              <w:jc w:val="both"/>
              <w:rPr>
                <w:rFonts w:asciiTheme="majorHAnsi" w:hAnsiTheme="majorHAnsi"/>
                <w:bCs/>
                <w:sz w:val="20"/>
                <w:szCs w:val="20"/>
                <w:lang w:val="es-PA"/>
              </w:rPr>
            </w:pPr>
            <w:r>
              <w:rPr>
                <w:rFonts w:ascii="Cambria" w:hAnsi="Cambria"/>
                <w:bCs/>
                <w:sz w:val="19"/>
                <w:szCs w:val="19"/>
                <w:lang w:val="es-ES"/>
              </w:rPr>
              <w:t xml:space="preserve">Jesús Alberto </w:t>
            </w:r>
            <w:proofErr w:type="spellStart"/>
            <w:r>
              <w:rPr>
                <w:rFonts w:ascii="Cambria" w:hAnsi="Cambria"/>
                <w:bCs/>
                <w:sz w:val="19"/>
                <w:szCs w:val="19"/>
                <w:lang w:val="es-ES"/>
              </w:rPr>
              <w:t>Felizzola</w:t>
            </w:r>
            <w:proofErr w:type="spellEnd"/>
            <w:r>
              <w:rPr>
                <w:rFonts w:ascii="Cambria" w:hAnsi="Cambria"/>
                <w:bCs/>
                <w:sz w:val="19"/>
                <w:szCs w:val="19"/>
                <w:lang w:val="es-ES"/>
              </w:rPr>
              <w:t xml:space="preserve"> Guerrero and </w:t>
            </w:r>
            <w:proofErr w:type="spellStart"/>
            <w:r>
              <w:rPr>
                <w:rFonts w:ascii="Cambria" w:hAnsi="Cambria"/>
                <w:bCs/>
                <w:sz w:val="19"/>
                <w:szCs w:val="19"/>
                <w:lang w:val="es-ES"/>
              </w:rPr>
              <w:t>family</w:t>
            </w:r>
            <w:proofErr w:type="spellEnd"/>
            <w:r>
              <w:rPr>
                <w:rStyle w:val="FootnoteReference"/>
                <w:rFonts w:ascii="Cambria" w:hAnsi="Cambria"/>
                <w:bCs/>
                <w:sz w:val="19"/>
                <w:szCs w:val="19"/>
                <w:lang w:val="es-ES"/>
              </w:rPr>
              <w:footnoteReference w:id="2"/>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EF6E052" w:rsidR="00F621C3" w:rsidRPr="00FE5113" w:rsidRDefault="003826B3" w:rsidP="009163FC">
            <w:pPr>
              <w:jc w:val="both"/>
              <w:rPr>
                <w:rFonts w:asciiTheme="majorHAnsi" w:hAnsiTheme="majorHAnsi"/>
                <w:bCs/>
                <w:sz w:val="20"/>
                <w:szCs w:val="20"/>
              </w:rPr>
            </w:pPr>
            <w:r w:rsidRPr="00A47A32">
              <w:rPr>
                <w:rFonts w:asciiTheme="majorHAnsi" w:hAnsiTheme="majorHAnsi"/>
                <w:bCs/>
                <w:sz w:val="20"/>
                <w:szCs w:val="20"/>
                <w:lang w:val="es-ES_tradnl"/>
              </w:rPr>
              <w:t>Colombia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F66F39B" w:rsidR="00E47F3D" w:rsidRPr="00FE5113" w:rsidRDefault="004F35AC" w:rsidP="009163FC">
            <w:pPr>
              <w:jc w:val="both"/>
              <w:rPr>
                <w:rFonts w:ascii="Cambria" w:hAnsi="Cambria"/>
                <w:bCs/>
                <w:sz w:val="20"/>
                <w:szCs w:val="20"/>
              </w:rPr>
            </w:pPr>
            <w:r w:rsidRPr="004F35AC">
              <w:rPr>
                <w:rFonts w:ascii="Cambria" w:hAnsi="Cambria"/>
                <w:bCs/>
                <w:sz w:val="20"/>
                <w:szCs w:val="20"/>
              </w:rPr>
              <w:t>Articles of the American Convention on Human Rights</w:t>
            </w:r>
            <w:r>
              <w:rPr>
                <w:rStyle w:val="FootnoteReference"/>
                <w:rFonts w:ascii="Cambria" w:hAnsi="Cambria"/>
                <w:bCs/>
                <w:sz w:val="19"/>
                <w:szCs w:val="19"/>
                <w:lang w:val="es-ES"/>
              </w:rPr>
              <w:footnoteReference w:id="3"/>
            </w:r>
            <w:r w:rsidRPr="00331493">
              <w:rPr>
                <w:rFonts w:ascii="Cambria" w:hAnsi="Cambria"/>
                <w:bCs/>
                <w:sz w:val="19"/>
                <w:szCs w:val="19"/>
              </w:rPr>
              <w:t xml:space="preserve"> </w:t>
            </w:r>
            <w:r w:rsidRPr="004F35AC">
              <w:rPr>
                <w:rFonts w:ascii="Cambria" w:hAnsi="Cambria"/>
                <w:bCs/>
                <w:sz w:val="20"/>
                <w:szCs w:val="20"/>
              </w:rPr>
              <w:t xml:space="preserve"> are not specified but other international instruments are invoked</w:t>
            </w:r>
            <w:r>
              <w:rPr>
                <w:rStyle w:val="FootnoteReference"/>
                <w:rFonts w:ascii="Cambria" w:hAnsi="Cambria"/>
                <w:bCs/>
                <w:sz w:val="19"/>
                <w:szCs w:val="19"/>
                <w:lang w:val="es-ES"/>
              </w:rPr>
              <w:footnoteReference w:id="4"/>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55A357D5" w14:textId="77777777" w:rsidR="004F35AC" w:rsidRPr="004F35AC" w:rsidRDefault="004F35AC" w:rsidP="004F35AC">
            <w:pPr>
              <w:jc w:val="center"/>
              <w:rPr>
                <w:rFonts w:ascii="Cambria" w:hAnsi="Cambria"/>
                <w:b/>
                <w:bCs/>
                <w:color w:val="FFFFFF" w:themeColor="background1"/>
                <w:sz w:val="22"/>
                <w:szCs w:val="22"/>
              </w:rPr>
            </w:pPr>
            <w:r w:rsidRPr="004F35AC">
              <w:rPr>
                <w:rFonts w:ascii="Cambria" w:hAnsi="Cambria"/>
                <w:b/>
                <w:bCs/>
                <w:color w:val="FFFFFF" w:themeColor="background1"/>
                <w:sz w:val="22"/>
                <w:szCs w:val="22"/>
              </w:rPr>
              <w:t>Date of receipt</w:t>
            </w:r>
          </w:p>
          <w:p w14:paraId="2C2ED774" w14:textId="3FE7C9AE" w:rsidR="00F621C3" w:rsidRPr="00521B60" w:rsidRDefault="00F621C3" w:rsidP="00B06BB7">
            <w:pPr>
              <w:jc w:val="center"/>
              <w:rPr>
                <w:rFonts w:ascii="Cambria" w:hAnsi="Cambria"/>
                <w:b/>
                <w:bCs/>
                <w:color w:val="FFFFFF" w:themeColor="background1"/>
                <w:sz w:val="22"/>
                <w:szCs w:val="22"/>
              </w:rPr>
            </w:pPr>
          </w:p>
        </w:tc>
        <w:tc>
          <w:tcPr>
            <w:tcW w:w="5670" w:type="dxa"/>
            <w:vAlign w:val="center"/>
          </w:tcPr>
          <w:p w14:paraId="1C0C3DE2" w14:textId="693DF944" w:rsidR="00F621C3" w:rsidRPr="00FE5113" w:rsidRDefault="004F35AC" w:rsidP="009163FC">
            <w:pPr>
              <w:jc w:val="both"/>
              <w:rPr>
                <w:rFonts w:ascii="Cambria" w:hAnsi="Cambria"/>
                <w:bCs/>
                <w:sz w:val="20"/>
                <w:szCs w:val="20"/>
              </w:rPr>
            </w:pPr>
            <w:proofErr w:type="spellStart"/>
            <w:r>
              <w:rPr>
                <w:rFonts w:ascii="Cambria" w:hAnsi="Cambria"/>
                <w:bCs/>
                <w:sz w:val="20"/>
                <w:szCs w:val="20"/>
                <w:lang w:val="es-ES"/>
              </w:rPr>
              <w:t>February</w:t>
            </w:r>
            <w:proofErr w:type="spellEnd"/>
            <w:r>
              <w:rPr>
                <w:rFonts w:ascii="Cambria" w:hAnsi="Cambria"/>
                <w:bCs/>
                <w:sz w:val="20"/>
                <w:szCs w:val="20"/>
                <w:lang w:val="es-ES"/>
              </w:rPr>
              <w:t xml:space="preserve"> 21, 2011</w:t>
            </w:r>
          </w:p>
        </w:tc>
      </w:tr>
      <w:tr w:rsidR="00DB2771" w:rsidRPr="000B6B7A" w14:paraId="50325F68" w14:textId="77777777" w:rsidTr="00B06BB7">
        <w:tc>
          <w:tcPr>
            <w:tcW w:w="3690" w:type="dxa"/>
            <w:tcBorders>
              <w:top w:val="single" w:sz="6" w:space="0" w:color="auto"/>
              <w:bottom w:val="single" w:sz="6" w:space="0" w:color="auto"/>
            </w:tcBorders>
            <w:shd w:val="clear" w:color="auto" w:fill="67AE3C"/>
            <w:vAlign w:val="center"/>
          </w:tcPr>
          <w:p w14:paraId="4CBEC65A"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 xml:space="preserve">Additional information received at the stage of initial review: </w:t>
            </w:r>
          </w:p>
          <w:p w14:paraId="283CB52E" w14:textId="77777777" w:rsidR="00DB2771" w:rsidRPr="00521B60" w:rsidRDefault="00DB2771" w:rsidP="004F35AC">
            <w:pPr>
              <w:jc w:val="center"/>
              <w:rPr>
                <w:rFonts w:ascii="Cambria" w:hAnsi="Cambria"/>
                <w:b/>
                <w:color w:val="FFFFFF" w:themeColor="background1"/>
                <w:sz w:val="22"/>
                <w:szCs w:val="22"/>
              </w:rPr>
            </w:pPr>
          </w:p>
        </w:tc>
        <w:tc>
          <w:tcPr>
            <w:tcW w:w="5670" w:type="dxa"/>
            <w:vAlign w:val="center"/>
          </w:tcPr>
          <w:p w14:paraId="1E18CB0F" w14:textId="6E26ACA2" w:rsidR="00DB2771" w:rsidRDefault="004F35AC" w:rsidP="009163FC">
            <w:pPr>
              <w:jc w:val="both"/>
              <w:rPr>
                <w:rFonts w:ascii="Cambria" w:hAnsi="Cambria"/>
                <w:bCs/>
                <w:sz w:val="20"/>
                <w:szCs w:val="20"/>
              </w:rPr>
            </w:pPr>
            <w:r>
              <w:rPr>
                <w:rFonts w:ascii="Cambria" w:hAnsi="Cambria"/>
                <w:bCs/>
                <w:sz w:val="20"/>
                <w:szCs w:val="20"/>
              </w:rPr>
              <w:t>February 25, 2011, December 30, 2011, February 15, 2012, April 11, 2012, May 24, 2012, June 11, 2012</w:t>
            </w:r>
          </w:p>
          <w:p w14:paraId="3BFF6780" w14:textId="5CB9AF32" w:rsidR="004F35AC" w:rsidRPr="00FE5113" w:rsidRDefault="004F35AC" w:rsidP="009163FC">
            <w:pPr>
              <w:jc w:val="both"/>
              <w:rPr>
                <w:rFonts w:ascii="Cambria" w:hAnsi="Cambria"/>
                <w:bCs/>
                <w:sz w:val="20"/>
                <w:szCs w:val="20"/>
              </w:rPr>
            </w:pPr>
          </w:p>
        </w:tc>
      </w:tr>
      <w:tr w:rsidR="00DB2771" w:rsidRPr="000B6B7A" w14:paraId="6AA51B6F" w14:textId="77777777" w:rsidTr="00B06BB7">
        <w:tc>
          <w:tcPr>
            <w:tcW w:w="3690" w:type="dxa"/>
            <w:tcBorders>
              <w:top w:val="single" w:sz="6" w:space="0" w:color="auto"/>
              <w:bottom w:val="single" w:sz="6" w:space="0" w:color="auto"/>
            </w:tcBorders>
            <w:shd w:val="clear" w:color="auto" w:fill="67AE3C"/>
            <w:vAlign w:val="center"/>
          </w:tcPr>
          <w:p w14:paraId="4B589798"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Notification of the petition to the State:</w:t>
            </w:r>
          </w:p>
          <w:p w14:paraId="08AF1E5E" w14:textId="5A83042D" w:rsidR="00DB2771" w:rsidRPr="00521B60" w:rsidRDefault="00DB2771" w:rsidP="00B06BB7">
            <w:pPr>
              <w:jc w:val="center"/>
              <w:rPr>
                <w:rFonts w:ascii="Cambria" w:hAnsi="Cambria"/>
                <w:b/>
                <w:color w:val="FFFFFF" w:themeColor="background1"/>
                <w:sz w:val="22"/>
                <w:szCs w:val="22"/>
              </w:rPr>
            </w:pPr>
          </w:p>
        </w:tc>
        <w:tc>
          <w:tcPr>
            <w:tcW w:w="5670" w:type="dxa"/>
            <w:vAlign w:val="center"/>
          </w:tcPr>
          <w:p w14:paraId="412CB193" w14:textId="68B59B57" w:rsidR="00DB2771" w:rsidRPr="00FE5113" w:rsidRDefault="004F35AC" w:rsidP="009163FC">
            <w:pPr>
              <w:jc w:val="both"/>
              <w:rPr>
                <w:rFonts w:ascii="Cambria" w:hAnsi="Cambria"/>
                <w:bCs/>
                <w:sz w:val="20"/>
                <w:szCs w:val="20"/>
              </w:rPr>
            </w:pPr>
            <w:r>
              <w:rPr>
                <w:rFonts w:ascii="Cambria" w:hAnsi="Cambria"/>
                <w:bCs/>
                <w:sz w:val="20"/>
                <w:szCs w:val="20"/>
              </w:rPr>
              <w:t>April 12, 2017</w:t>
            </w:r>
          </w:p>
        </w:tc>
      </w:tr>
      <w:tr w:rsidR="004F35AC" w:rsidRPr="000B6B7A" w14:paraId="6C8DD469" w14:textId="77777777" w:rsidTr="00B06BB7">
        <w:tc>
          <w:tcPr>
            <w:tcW w:w="3690" w:type="dxa"/>
            <w:tcBorders>
              <w:top w:val="single" w:sz="6" w:space="0" w:color="auto"/>
              <w:bottom w:val="single" w:sz="6" w:space="0" w:color="auto"/>
            </w:tcBorders>
            <w:shd w:val="clear" w:color="auto" w:fill="67AE3C"/>
            <w:vAlign w:val="center"/>
          </w:tcPr>
          <w:p w14:paraId="60B0A901"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State’s first response:</w:t>
            </w:r>
          </w:p>
          <w:p w14:paraId="41C256C0" w14:textId="77777777" w:rsidR="004F35AC" w:rsidRPr="00521B60" w:rsidRDefault="004F35AC" w:rsidP="004F35AC">
            <w:pPr>
              <w:jc w:val="center"/>
              <w:rPr>
                <w:rFonts w:ascii="Cambria" w:hAnsi="Cambria"/>
                <w:b/>
                <w:color w:val="FFFFFF" w:themeColor="background1"/>
                <w:sz w:val="22"/>
                <w:szCs w:val="22"/>
              </w:rPr>
            </w:pPr>
          </w:p>
        </w:tc>
        <w:tc>
          <w:tcPr>
            <w:tcW w:w="5670" w:type="dxa"/>
            <w:vAlign w:val="center"/>
          </w:tcPr>
          <w:p w14:paraId="5786E1B5" w14:textId="552BEAE2" w:rsidR="004F35AC" w:rsidRDefault="004F35AC" w:rsidP="009163FC">
            <w:pPr>
              <w:jc w:val="both"/>
              <w:rPr>
                <w:rFonts w:ascii="Cambria" w:hAnsi="Cambria"/>
                <w:bCs/>
                <w:sz w:val="20"/>
                <w:szCs w:val="20"/>
              </w:rPr>
            </w:pPr>
            <w:r>
              <w:rPr>
                <w:rFonts w:ascii="Cambria" w:hAnsi="Cambria"/>
                <w:bCs/>
                <w:sz w:val="20"/>
                <w:szCs w:val="20"/>
              </w:rPr>
              <w:t>February 9, 2018</w:t>
            </w:r>
          </w:p>
        </w:tc>
      </w:tr>
      <w:tr w:rsidR="004F35AC" w:rsidRPr="000B6B7A" w14:paraId="29D5073D" w14:textId="77777777" w:rsidTr="00B06BB7">
        <w:tc>
          <w:tcPr>
            <w:tcW w:w="3690" w:type="dxa"/>
            <w:tcBorders>
              <w:top w:val="single" w:sz="6" w:space="0" w:color="auto"/>
              <w:bottom w:val="single" w:sz="6" w:space="0" w:color="auto"/>
            </w:tcBorders>
            <w:shd w:val="clear" w:color="auto" w:fill="67AE3C"/>
            <w:vAlign w:val="center"/>
          </w:tcPr>
          <w:p w14:paraId="3F8B0F60"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Additional observations from the petitioner</w:t>
            </w:r>
          </w:p>
          <w:p w14:paraId="5E23FCC0" w14:textId="77777777" w:rsidR="004F35AC" w:rsidRPr="004F35AC" w:rsidRDefault="004F35AC" w:rsidP="004F35AC">
            <w:pPr>
              <w:jc w:val="center"/>
              <w:rPr>
                <w:rFonts w:ascii="Cambria" w:hAnsi="Cambria"/>
                <w:b/>
                <w:color w:val="FFFFFF" w:themeColor="background1"/>
                <w:sz w:val="22"/>
                <w:szCs w:val="22"/>
              </w:rPr>
            </w:pPr>
          </w:p>
        </w:tc>
        <w:tc>
          <w:tcPr>
            <w:tcW w:w="5670" w:type="dxa"/>
            <w:vAlign w:val="center"/>
          </w:tcPr>
          <w:p w14:paraId="12401F6F" w14:textId="1F3BE34C" w:rsidR="004F35AC" w:rsidRDefault="004F35AC" w:rsidP="009163FC">
            <w:pPr>
              <w:jc w:val="both"/>
              <w:rPr>
                <w:rFonts w:ascii="Cambria" w:hAnsi="Cambria"/>
                <w:bCs/>
                <w:sz w:val="19"/>
                <w:szCs w:val="19"/>
                <w:lang w:val="es-ES"/>
              </w:rPr>
            </w:pPr>
            <w:proofErr w:type="spellStart"/>
            <w:r>
              <w:rPr>
                <w:rFonts w:ascii="Cambria" w:hAnsi="Cambria"/>
                <w:bCs/>
                <w:sz w:val="19"/>
                <w:szCs w:val="19"/>
                <w:lang w:val="es-ES"/>
              </w:rPr>
              <w:t>July</w:t>
            </w:r>
            <w:proofErr w:type="spellEnd"/>
            <w:r>
              <w:rPr>
                <w:rFonts w:ascii="Cambria" w:hAnsi="Cambria"/>
                <w:bCs/>
                <w:sz w:val="19"/>
                <w:szCs w:val="19"/>
                <w:lang w:val="es-ES"/>
              </w:rPr>
              <w:t xml:space="preserve"> 17, 2017, </w:t>
            </w:r>
            <w:proofErr w:type="spellStart"/>
            <w:r>
              <w:rPr>
                <w:rFonts w:ascii="Cambria" w:hAnsi="Cambria"/>
                <w:bCs/>
                <w:sz w:val="19"/>
                <w:szCs w:val="19"/>
                <w:lang w:val="es-ES"/>
              </w:rPr>
              <w:t>September</w:t>
            </w:r>
            <w:proofErr w:type="spellEnd"/>
            <w:r>
              <w:rPr>
                <w:rFonts w:ascii="Cambria" w:hAnsi="Cambria"/>
                <w:bCs/>
                <w:sz w:val="19"/>
                <w:szCs w:val="19"/>
                <w:lang w:val="es-ES"/>
              </w:rPr>
              <w:t xml:space="preserve"> 25, 2018</w:t>
            </w:r>
          </w:p>
          <w:p w14:paraId="25A44418" w14:textId="578BA6F6" w:rsidR="004F35AC" w:rsidRDefault="004F35AC" w:rsidP="009163FC">
            <w:pPr>
              <w:jc w:val="both"/>
              <w:rPr>
                <w:rFonts w:ascii="Cambria" w:hAnsi="Cambria"/>
                <w:bCs/>
                <w:sz w:val="20"/>
                <w:szCs w:val="20"/>
              </w:rPr>
            </w:pP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7802E70D" w:rsidR="00F621C3" w:rsidRPr="000B6B7A" w:rsidRDefault="00F210CE" w:rsidP="009163FC">
            <w:pPr>
              <w:jc w:val="both"/>
              <w:rPr>
                <w:rFonts w:asciiTheme="majorHAnsi" w:hAnsiTheme="majorHAnsi"/>
                <w:bCs/>
                <w:sz w:val="20"/>
                <w:szCs w:val="20"/>
              </w:rPr>
            </w:pPr>
            <w:r w:rsidRPr="00F210CE">
              <w:rPr>
                <w:rFonts w:asciiTheme="majorHAnsi" w:hAnsiTheme="majorHAnsi"/>
                <w:bCs/>
                <w:sz w:val="20"/>
                <w:szCs w:val="20"/>
              </w:rPr>
              <w:t xml:space="preserve">Yes, American Convention (deposit of the instrument of ratification made on July </w:t>
            </w:r>
            <w:r w:rsidR="003826B3">
              <w:rPr>
                <w:rFonts w:asciiTheme="majorHAnsi" w:hAnsiTheme="majorHAnsi"/>
                <w:bCs/>
                <w:sz w:val="20"/>
                <w:szCs w:val="20"/>
              </w:rPr>
              <w:t>31</w:t>
            </w:r>
            <w:r w:rsidRPr="00F210CE">
              <w:rPr>
                <w:rFonts w:asciiTheme="majorHAnsi" w:hAnsiTheme="majorHAnsi"/>
                <w:bCs/>
                <w:sz w:val="20"/>
                <w:szCs w:val="20"/>
              </w:rPr>
              <w:t>, 197</w:t>
            </w:r>
            <w:r w:rsidR="003826B3">
              <w:rPr>
                <w:rFonts w:asciiTheme="majorHAnsi" w:hAnsiTheme="majorHAnsi"/>
                <w:bCs/>
                <w:sz w:val="20"/>
                <w:szCs w:val="20"/>
              </w:rPr>
              <w:t>3</w:t>
            </w:r>
            <w:r w:rsidRPr="00F210CE">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02137A42" w:rsidR="00F621C3" w:rsidRPr="000B6B7A" w:rsidRDefault="00A71C1C" w:rsidP="009163FC">
            <w:pPr>
              <w:jc w:val="both"/>
              <w:rPr>
                <w:rFonts w:ascii="Cambria" w:hAnsi="Cambria"/>
                <w:bCs/>
                <w:sz w:val="20"/>
                <w:szCs w:val="20"/>
              </w:rPr>
            </w:pPr>
            <w:r>
              <w:rPr>
                <w:rFonts w:ascii="Cambria" w:hAnsi="Cambria"/>
                <w:bCs/>
                <w:sz w:val="20"/>
                <w:szCs w:val="20"/>
              </w:rPr>
              <w:t xml:space="preserve">None. </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668B7107" w:rsidR="00F621C3" w:rsidRPr="000B6B7A" w:rsidRDefault="00A71C1C" w:rsidP="009163FC">
            <w:pPr>
              <w:rPr>
                <w:rFonts w:ascii="Cambria" w:hAnsi="Cambria"/>
                <w:bCs/>
                <w:sz w:val="20"/>
                <w:szCs w:val="20"/>
              </w:rPr>
            </w:pPr>
            <w:r w:rsidRPr="00A71C1C">
              <w:rPr>
                <w:rFonts w:ascii="Cambria" w:hAnsi="Cambria"/>
                <w:bCs/>
                <w:sz w:val="20"/>
                <w:szCs w:val="20"/>
              </w:rPr>
              <w:t>Yes, the exception of Article 46.1 (a) of the American Convention applies.</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5EB423D" w:rsidR="00F621C3" w:rsidRPr="000B6B7A" w:rsidRDefault="00A71C1C" w:rsidP="009163FC">
            <w:pPr>
              <w:rPr>
                <w:rFonts w:asciiTheme="majorHAnsi" w:hAnsiTheme="majorHAnsi"/>
                <w:bCs/>
                <w:sz w:val="20"/>
                <w:szCs w:val="20"/>
              </w:rPr>
            </w:pPr>
            <w:r>
              <w:rPr>
                <w:rFonts w:asciiTheme="majorHAnsi" w:hAnsiTheme="majorHAnsi"/>
                <w:bCs/>
                <w:sz w:val="20"/>
                <w:szCs w:val="20"/>
              </w:rPr>
              <w:t>No</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Pr="00167D72" w:rsidRDefault="00B06BB7">
      <w:pPr>
        <w:rPr>
          <w:rFonts w:asciiTheme="majorHAnsi" w:hAnsiTheme="majorHAnsi"/>
          <w:b/>
          <w:sz w:val="20"/>
          <w:szCs w:val="20"/>
        </w:rPr>
      </w:pPr>
      <w:r w:rsidRPr="00167D72">
        <w:rPr>
          <w:rFonts w:asciiTheme="majorHAnsi" w:hAnsiTheme="majorHAnsi"/>
          <w:b/>
          <w:sz w:val="20"/>
          <w:szCs w:val="20"/>
        </w:rPr>
        <w:br w:type="page"/>
      </w:r>
    </w:p>
    <w:p w14:paraId="22BE12EB" w14:textId="77777777" w:rsidR="00BF4B32" w:rsidRPr="00167D72" w:rsidRDefault="00F621C3" w:rsidP="00BF4B32">
      <w:pPr>
        <w:spacing w:before="240" w:after="240"/>
        <w:ind w:firstLine="720"/>
        <w:jc w:val="both"/>
        <w:rPr>
          <w:rFonts w:asciiTheme="majorHAnsi" w:hAnsiTheme="majorHAnsi"/>
          <w:b/>
          <w:sz w:val="20"/>
          <w:szCs w:val="20"/>
        </w:rPr>
      </w:pPr>
      <w:r w:rsidRPr="00167D72">
        <w:rPr>
          <w:rFonts w:asciiTheme="majorHAnsi" w:hAnsiTheme="majorHAnsi"/>
          <w:b/>
          <w:sz w:val="20"/>
          <w:szCs w:val="20"/>
        </w:rPr>
        <w:lastRenderedPageBreak/>
        <w:t xml:space="preserve">V. </w:t>
      </w:r>
      <w:r w:rsidRPr="00167D72">
        <w:rPr>
          <w:rFonts w:asciiTheme="majorHAnsi" w:hAnsiTheme="majorHAnsi"/>
          <w:b/>
          <w:sz w:val="20"/>
          <w:szCs w:val="20"/>
        </w:rPr>
        <w:tab/>
        <w:t xml:space="preserve">FACTS </w:t>
      </w:r>
      <w:r w:rsidR="005816E5" w:rsidRPr="00167D72">
        <w:rPr>
          <w:rFonts w:asciiTheme="majorHAnsi" w:hAnsiTheme="majorHAnsi"/>
          <w:b/>
          <w:sz w:val="20"/>
          <w:szCs w:val="20"/>
        </w:rPr>
        <w:t>ALLEGED</w:t>
      </w:r>
    </w:p>
    <w:p w14:paraId="76C2F630" w14:textId="796333C6" w:rsidR="00D52067" w:rsidRPr="000B43E4" w:rsidRDefault="00D52067" w:rsidP="00724919">
      <w:pPr>
        <w:numPr>
          <w:ilvl w:val="0"/>
          <w:numId w:val="107"/>
        </w:numPr>
        <w:tabs>
          <w:tab w:val="num" w:pos="720"/>
        </w:tabs>
        <w:suppressAutoHyphens/>
        <w:spacing w:after="120"/>
        <w:ind w:left="0" w:firstLine="720"/>
        <w:jc w:val="both"/>
        <w:rPr>
          <w:rFonts w:ascii="Cambria" w:hAnsi="Cambria"/>
          <w:sz w:val="20"/>
          <w:szCs w:val="20"/>
        </w:rPr>
      </w:pPr>
      <w:proofErr w:type="spellStart"/>
      <w:r w:rsidRPr="000B43E4">
        <w:rPr>
          <w:rFonts w:ascii="Cambria" w:hAnsi="Cambria"/>
          <w:sz w:val="20"/>
          <w:szCs w:val="20"/>
        </w:rPr>
        <w:t>Jesús</w:t>
      </w:r>
      <w:proofErr w:type="spellEnd"/>
      <w:r w:rsidRPr="000B43E4">
        <w:rPr>
          <w:rFonts w:ascii="Cambria" w:hAnsi="Cambria"/>
          <w:sz w:val="20"/>
          <w:szCs w:val="20"/>
        </w:rPr>
        <w:t xml:space="preserve"> Alberto </w:t>
      </w:r>
      <w:proofErr w:type="spellStart"/>
      <w:r w:rsidRPr="000B43E4">
        <w:rPr>
          <w:rFonts w:ascii="Cambria" w:hAnsi="Cambria"/>
          <w:sz w:val="20"/>
          <w:szCs w:val="20"/>
        </w:rPr>
        <w:t>Felizzola</w:t>
      </w:r>
      <w:proofErr w:type="spellEnd"/>
      <w:r w:rsidRPr="000B43E4">
        <w:rPr>
          <w:rFonts w:ascii="Cambria" w:hAnsi="Cambria"/>
          <w:sz w:val="20"/>
          <w:szCs w:val="20"/>
        </w:rPr>
        <w:t xml:space="preserve"> Guerrero and </w:t>
      </w:r>
      <w:proofErr w:type="spellStart"/>
      <w:r w:rsidRPr="000B43E4">
        <w:rPr>
          <w:rFonts w:ascii="Cambria" w:hAnsi="Cambria"/>
          <w:sz w:val="20"/>
          <w:szCs w:val="20"/>
        </w:rPr>
        <w:t>Nerio</w:t>
      </w:r>
      <w:proofErr w:type="spellEnd"/>
      <w:r w:rsidRPr="000B43E4">
        <w:rPr>
          <w:rFonts w:ascii="Cambria" w:hAnsi="Cambria"/>
          <w:sz w:val="20"/>
          <w:szCs w:val="20"/>
        </w:rPr>
        <w:t xml:space="preserve"> José Alvis </w:t>
      </w:r>
      <w:proofErr w:type="spellStart"/>
      <w:r w:rsidRPr="000B43E4">
        <w:rPr>
          <w:rFonts w:ascii="Cambria" w:hAnsi="Cambria"/>
          <w:sz w:val="20"/>
          <w:szCs w:val="20"/>
        </w:rPr>
        <w:t>Barranco</w:t>
      </w:r>
      <w:proofErr w:type="spellEnd"/>
      <w:r w:rsidRPr="000B43E4">
        <w:rPr>
          <w:rFonts w:ascii="Cambria" w:hAnsi="Cambria"/>
          <w:sz w:val="20"/>
          <w:szCs w:val="20"/>
        </w:rPr>
        <w:t xml:space="preserve"> (hereinafter "the petitioner") denounce alleged violations of the human rights of </w:t>
      </w:r>
      <w:proofErr w:type="spellStart"/>
      <w:r w:rsidRPr="000B43E4">
        <w:rPr>
          <w:rFonts w:ascii="Cambria" w:hAnsi="Cambria"/>
          <w:sz w:val="20"/>
          <w:szCs w:val="20"/>
        </w:rPr>
        <w:t>Jesús</w:t>
      </w:r>
      <w:proofErr w:type="spellEnd"/>
      <w:r w:rsidRPr="000B43E4">
        <w:rPr>
          <w:rFonts w:ascii="Cambria" w:hAnsi="Cambria"/>
          <w:sz w:val="20"/>
          <w:szCs w:val="20"/>
        </w:rPr>
        <w:t xml:space="preserve"> Alberto </w:t>
      </w:r>
      <w:proofErr w:type="spellStart"/>
      <w:r w:rsidRPr="000B43E4">
        <w:rPr>
          <w:rFonts w:ascii="Cambria" w:hAnsi="Cambria"/>
          <w:sz w:val="20"/>
          <w:szCs w:val="20"/>
        </w:rPr>
        <w:t>Felizzola</w:t>
      </w:r>
      <w:proofErr w:type="spellEnd"/>
      <w:r w:rsidRPr="000B43E4">
        <w:rPr>
          <w:rFonts w:ascii="Cambria" w:hAnsi="Cambria"/>
          <w:sz w:val="20"/>
          <w:szCs w:val="20"/>
        </w:rPr>
        <w:t xml:space="preserve"> (hereinafter "the alleged victim") and his next of kin alleging that he was removed from</w:t>
      </w:r>
      <w:r w:rsidR="00331493" w:rsidRPr="000B43E4">
        <w:rPr>
          <w:rFonts w:ascii="Cambria" w:hAnsi="Cambria"/>
          <w:sz w:val="20"/>
          <w:szCs w:val="20"/>
        </w:rPr>
        <w:t xml:space="preserve"> the</w:t>
      </w:r>
      <w:r w:rsidRPr="000B43E4">
        <w:rPr>
          <w:rFonts w:ascii="Cambria" w:hAnsi="Cambria"/>
          <w:sz w:val="20"/>
          <w:szCs w:val="20"/>
        </w:rPr>
        <w:t xml:space="preserve"> </w:t>
      </w:r>
      <w:r w:rsidR="00331493" w:rsidRPr="000B43E4">
        <w:rPr>
          <w:rFonts w:ascii="Cambria" w:hAnsi="Cambria"/>
          <w:sz w:val="20"/>
          <w:szCs w:val="20"/>
        </w:rPr>
        <w:t xml:space="preserve">position </w:t>
      </w:r>
      <w:r w:rsidRPr="000B43E4">
        <w:rPr>
          <w:rFonts w:ascii="Cambria" w:hAnsi="Cambria"/>
          <w:sz w:val="20"/>
          <w:szCs w:val="20"/>
        </w:rPr>
        <w:t>that he held in the Comptroller General of the Republic of Colombia</w:t>
      </w:r>
      <w:r w:rsidR="00331493" w:rsidRPr="000B43E4">
        <w:rPr>
          <w:rFonts w:ascii="Cambria" w:hAnsi="Cambria"/>
          <w:sz w:val="20"/>
          <w:szCs w:val="20"/>
        </w:rPr>
        <w:t>’s Office</w:t>
      </w:r>
      <w:r w:rsidRPr="000B43E4">
        <w:rPr>
          <w:rFonts w:ascii="Cambria" w:hAnsi="Cambria"/>
          <w:sz w:val="20"/>
          <w:szCs w:val="20"/>
        </w:rPr>
        <w:t xml:space="preserve"> in violation of the </w:t>
      </w:r>
      <w:r w:rsidR="00331493" w:rsidRPr="000B43E4">
        <w:rPr>
          <w:rFonts w:ascii="Cambria" w:hAnsi="Cambria"/>
          <w:sz w:val="20"/>
          <w:szCs w:val="20"/>
        </w:rPr>
        <w:t>trade union rights</w:t>
      </w:r>
      <w:r w:rsidRPr="000B43E4">
        <w:rPr>
          <w:rFonts w:ascii="Cambria" w:hAnsi="Cambria"/>
          <w:sz w:val="20"/>
          <w:szCs w:val="20"/>
        </w:rPr>
        <w:t xml:space="preserve"> that protected him and without prior process.</w:t>
      </w:r>
    </w:p>
    <w:p w14:paraId="6E39B1B4" w14:textId="42ABAFAA" w:rsidR="00D52067" w:rsidRPr="004509CD" w:rsidRDefault="00D52067" w:rsidP="00724919">
      <w:pPr>
        <w:numPr>
          <w:ilvl w:val="0"/>
          <w:numId w:val="107"/>
        </w:numPr>
        <w:tabs>
          <w:tab w:val="num" w:pos="720"/>
        </w:tabs>
        <w:suppressAutoHyphens/>
        <w:spacing w:after="120"/>
        <w:ind w:left="0" w:firstLine="720"/>
        <w:jc w:val="both"/>
        <w:rPr>
          <w:rFonts w:ascii="Cambria" w:hAnsi="Cambria"/>
          <w:sz w:val="20"/>
          <w:szCs w:val="20"/>
        </w:rPr>
      </w:pPr>
      <w:r w:rsidRPr="004509CD">
        <w:rPr>
          <w:rFonts w:ascii="Cambria" w:hAnsi="Cambria"/>
          <w:sz w:val="20"/>
          <w:szCs w:val="20"/>
        </w:rPr>
        <w:t>The petitioner reports that on June 9, 1992, the alleged victim was appointed as  a</w:t>
      </w:r>
      <w:r w:rsidR="00331493" w:rsidRPr="004509CD">
        <w:rPr>
          <w:rFonts w:ascii="Cambria" w:hAnsi="Cambria"/>
          <w:sz w:val="20"/>
          <w:szCs w:val="20"/>
        </w:rPr>
        <w:t xml:space="preserve"> </w:t>
      </w:r>
      <w:r w:rsidRPr="004509CD">
        <w:rPr>
          <w:rFonts w:ascii="Cambria" w:hAnsi="Cambria"/>
          <w:sz w:val="20"/>
          <w:szCs w:val="20"/>
        </w:rPr>
        <w:t xml:space="preserve">grade 3 typist in the Office of the Comptroller General of the Republic (hereinafter “the Comptroller's Office”), and was subsequently registered as an administrative assistant in grade 06 in the career ladder on May 15, 1995 after having won a meritocracy contest. He adds that while serving the Comptroller's Office, the alleged victim completed a career as a public accountant. In addition, it indicates that the alleged victim acquired </w:t>
      </w:r>
      <w:r w:rsidR="00331493" w:rsidRPr="004509CD">
        <w:rPr>
          <w:rFonts w:ascii="Cambria" w:hAnsi="Cambria"/>
          <w:sz w:val="20"/>
          <w:szCs w:val="20"/>
        </w:rPr>
        <w:t>protection as a union leader</w:t>
      </w:r>
      <w:r w:rsidRPr="004509CD">
        <w:rPr>
          <w:rFonts w:ascii="Cambria" w:hAnsi="Cambria"/>
          <w:sz w:val="20"/>
          <w:szCs w:val="20"/>
        </w:rPr>
        <w:t xml:space="preserve"> after being designated an active member of the board of directors of the Association of Public Servants of the Comptrollers of Colombia (hereinafter “ASDECCO”) Subdirective Sectional Cesar.</w:t>
      </w:r>
    </w:p>
    <w:p w14:paraId="3BABD563" w14:textId="2481A3CD" w:rsidR="00D52067" w:rsidRPr="004509CD" w:rsidRDefault="00D52067"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t>It is further reported that in 1999 a restructuring of positions occurred in the Comptroller's Office with the alleged purpose of improving the service and professionalizing the entity. It indicates that in the framework of the restructuring process, the designation "grade 06 administrative assistants" was changed to "</w:t>
      </w:r>
      <w:r w:rsidR="00264C3D" w:rsidRPr="000B43E4">
        <w:rPr>
          <w:rFonts w:ascii="Cambria" w:hAnsi="Cambria"/>
          <w:sz w:val="20"/>
          <w:szCs w:val="20"/>
        </w:rPr>
        <w:t>assistance staff</w:t>
      </w:r>
      <w:r w:rsidRPr="000B43E4">
        <w:rPr>
          <w:rFonts w:ascii="Cambria" w:hAnsi="Cambria"/>
          <w:sz w:val="20"/>
          <w:szCs w:val="20"/>
        </w:rPr>
        <w:t xml:space="preserve">", being agreed in a bipartite commission composed of directors of the entity and of the unions, that the positions occupied under the old designation would be homologated to the new one based on the following incorporation criteria: (seniority 35%, experience 35%, studies 30%). In addition, it indicates that it was also agreed that public workers who were protected </w:t>
      </w:r>
      <w:r w:rsidR="00264C3D" w:rsidRPr="000B43E4">
        <w:rPr>
          <w:rFonts w:ascii="Cambria" w:hAnsi="Cambria"/>
          <w:sz w:val="20"/>
          <w:szCs w:val="20"/>
        </w:rPr>
        <w:t xml:space="preserve">as trade union leaders </w:t>
      </w:r>
      <w:r w:rsidRPr="000B43E4">
        <w:rPr>
          <w:rFonts w:ascii="Cambria" w:hAnsi="Cambria"/>
          <w:sz w:val="20"/>
          <w:szCs w:val="20"/>
        </w:rPr>
        <w:t xml:space="preserve">would not be dismissed or disadvantaged. </w:t>
      </w:r>
      <w:r w:rsidRPr="004509CD">
        <w:rPr>
          <w:rFonts w:ascii="Cambria" w:hAnsi="Cambria"/>
          <w:sz w:val="20"/>
          <w:szCs w:val="20"/>
        </w:rPr>
        <w:t>He alleges that, despite what was agree</w:t>
      </w:r>
      <w:r w:rsidR="00264C3D" w:rsidRPr="004509CD">
        <w:rPr>
          <w:rFonts w:ascii="Cambria" w:hAnsi="Cambria"/>
          <w:sz w:val="20"/>
          <w:szCs w:val="20"/>
        </w:rPr>
        <w:t>d regarding the union rights’ protection</w:t>
      </w:r>
      <w:r w:rsidRPr="004509CD">
        <w:rPr>
          <w:rFonts w:ascii="Cambria" w:hAnsi="Cambria"/>
          <w:sz w:val="20"/>
          <w:szCs w:val="20"/>
        </w:rPr>
        <w:t xml:space="preserve"> and that the alleged victim obtained the highest rating (92/100) in the evaluation made by the Human Talent Management of the Comptroller</w:t>
      </w:r>
      <w:r w:rsidR="00264C3D" w:rsidRPr="004509CD">
        <w:rPr>
          <w:rFonts w:ascii="Cambria" w:hAnsi="Cambria"/>
          <w:sz w:val="20"/>
          <w:szCs w:val="20"/>
        </w:rPr>
        <w:t>’s Office</w:t>
      </w:r>
      <w:r w:rsidRPr="004509CD">
        <w:rPr>
          <w:rFonts w:ascii="Cambria" w:hAnsi="Cambria"/>
          <w:sz w:val="20"/>
          <w:szCs w:val="20"/>
        </w:rPr>
        <w:t xml:space="preserve"> based on the agreed criteria, the alleged victim was not incorporated into the new plant of the Comptroller</w:t>
      </w:r>
      <w:r w:rsidR="00264C3D" w:rsidRPr="004509CD">
        <w:rPr>
          <w:rFonts w:ascii="Cambria" w:hAnsi="Cambria"/>
          <w:sz w:val="20"/>
          <w:szCs w:val="20"/>
        </w:rPr>
        <w:t>s’ Office</w:t>
      </w:r>
      <w:r w:rsidRPr="004509CD">
        <w:rPr>
          <w:rFonts w:ascii="Cambria" w:hAnsi="Cambria"/>
          <w:sz w:val="20"/>
          <w:szCs w:val="20"/>
        </w:rPr>
        <w:t>. It is worth noting that the other 5 people who held positions of administrative assistant grade 06 prior to the restructuring were incorporated as assistants, despite having received a lower score than that of the alleged victim.</w:t>
      </w:r>
    </w:p>
    <w:p w14:paraId="6F10239D" w14:textId="148BC063" w:rsidR="00D52067" w:rsidRPr="004509CD" w:rsidRDefault="00D52067"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t xml:space="preserve">It indicates that the alleged victim was dismissed from the position he held on March 16, 2000 but that on June 13, 2000, he was provisionally appointed as a Grade 01 University Professional, indicating that he would eventually be reinstated definitively. However, on April 26, 2001, he was notified that he had been definitively removed. Petitioner indicates that against the irregularities committed, the alleged victim filed an action for annulment and reinstatement, which was resolved against him by the Administrative Court of Cesar on October 1, 2002. He explains that the Court declared the application inept, considering that it had not been directed against the correct administrative act. The petitioner adds that the petitioner appealed the inept demand decision, but the appeal was not studied based on the fact that the matter was considered to be a single instance due to its amount. It adds that the permanent </w:t>
      </w:r>
      <w:r w:rsidR="00264C3D" w:rsidRPr="000B43E4">
        <w:rPr>
          <w:rFonts w:ascii="Cambria" w:hAnsi="Cambria"/>
          <w:sz w:val="20"/>
          <w:szCs w:val="20"/>
        </w:rPr>
        <w:t>partner</w:t>
      </w:r>
      <w:r w:rsidRPr="000B43E4">
        <w:rPr>
          <w:rFonts w:ascii="Cambria" w:hAnsi="Cambria"/>
          <w:sz w:val="20"/>
          <w:szCs w:val="20"/>
        </w:rPr>
        <w:t xml:space="preserve"> of the alleged victim filed a </w:t>
      </w:r>
      <w:proofErr w:type="spellStart"/>
      <w:r w:rsidRPr="000B43E4">
        <w:rPr>
          <w:rFonts w:ascii="Cambria" w:hAnsi="Cambria"/>
          <w:sz w:val="20"/>
          <w:szCs w:val="20"/>
        </w:rPr>
        <w:t>tutela</w:t>
      </w:r>
      <w:proofErr w:type="spellEnd"/>
      <w:r w:rsidRPr="000B43E4">
        <w:rPr>
          <w:rFonts w:ascii="Cambria" w:hAnsi="Cambria"/>
          <w:sz w:val="20"/>
          <w:szCs w:val="20"/>
        </w:rPr>
        <w:t xml:space="preserve"> action against the Comptroller's Office on January 19, 2010, which was denied by the Superior Court of Valledupar on February 8, 2010 after considering that the demand did not meet the requirement of immediacy, having been presented 10 years after the removal of the alleged victim. </w:t>
      </w:r>
      <w:r w:rsidRPr="004509CD">
        <w:rPr>
          <w:rFonts w:ascii="Cambria" w:hAnsi="Cambria"/>
          <w:sz w:val="20"/>
          <w:szCs w:val="20"/>
        </w:rPr>
        <w:t>This decision was later confirmed by the Supreme Court of Justice on July 22, 2009 and excluded from review by the Selection Chamber of the Constitutional Court; therefore, the file corresponding to the action was filed on October 14, 2010.</w:t>
      </w:r>
    </w:p>
    <w:p w14:paraId="7722D527" w14:textId="1436745A" w:rsidR="001966F0" w:rsidRPr="004509CD" w:rsidRDefault="00D52067"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t xml:space="preserve">The petitioner considers that the claim of nullity and restoration of the right has been declared inept by a formal error </w:t>
      </w:r>
      <w:r w:rsidR="005C7ADD" w:rsidRPr="000B43E4">
        <w:rPr>
          <w:rFonts w:ascii="Cambria" w:hAnsi="Cambria"/>
          <w:sz w:val="20"/>
          <w:szCs w:val="20"/>
        </w:rPr>
        <w:t xml:space="preserve">and thus </w:t>
      </w:r>
      <w:r w:rsidRPr="000B43E4">
        <w:rPr>
          <w:rFonts w:ascii="Cambria" w:hAnsi="Cambria"/>
          <w:sz w:val="20"/>
          <w:szCs w:val="20"/>
        </w:rPr>
        <w:t xml:space="preserve">does not imply that the alleged victim has incurred undue exhaustion. It maintains that, if the court considered that the lawsuit was not directed against the correct act, it should have warned this when admitting or </w:t>
      </w:r>
      <w:r w:rsidR="001966F0" w:rsidRPr="000B43E4">
        <w:rPr>
          <w:rFonts w:ascii="Cambria" w:hAnsi="Cambria"/>
          <w:sz w:val="20"/>
          <w:szCs w:val="20"/>
        </w:rPr>
        <w:t xml:space="preserve">denying </w:t>
      </w:r>
      <w:r w:rsidRPr="000B43E4">
        <w:rPr>
          <w:rFonts w:ascii="Cambria" w:hAnsi="Cambria"/>
          <w:sz w:val="20"/>
          <w:szCs w:val="20"/>
        </w:rPr>
        <w:t xml:space="preserve">the lawsuit instead of waiting several years and </w:t>
      </w:r>
      <w:r w:rsidR="00264C3D" w:rsidRPr="000B43E4">
        <w:rPr>
          <w:rFonts w:ascii="Cambria" w:hAnsi="Cambria"/>
          <w:sz w:val="20"/>
          <w:szCs w:val="20"/>
        </w:rPr>
        <w:t>proceeding with</w:t>
      </w:r>
      <w:r w:rsidRPr="000B43E4">
        <w:rPr>
          <w:rFonts w:ascii="Cambria" w:hAnsi="Cambria"/>
          <w:sz w:val="20"/>
          <w:szCs w:val="20"/>
        </w:rPr>
        <w:t xml:space="preserve"> all the evidentiary stages to finally issue a ruling, inhibiting itself from ruling</w:t>
      </w:r>
      <w:r w:rsidR="001966F0" w:rsidRPr="000B43E4">
        <w:rPr>
          <w:rFonts w:ascii="Cambria" w:hAnsi="Cambria"/>
          <w:sz w:val="20"/>
          <w:szCs w:val="20"/>
        </w:rPr>
        <w:t xml:space="preserve"> on the merits</w:t>
      </w:r>
      <w:r w:rsidRPr="000B43E4">
        <w:rPr>
          <w:rFonts w:ascii="Cambria" w:hAnsi="Cambria"/>
          <w:sz w:val="20"/>
          <w:szCs w:val="20"/>
        </w:rPr>
        <w:t xml:space="preserve">. It highlights that after the aforementioned decision, the concepts of inept demand and inhibitory rulings have been </w:t>
      </w:r>
      <w:r w:rsidR="00CE4884" w:rsidRPr="000B43E4">
        <w:rPr>
          <w:rFonts w:ascii="Cambria" w:hAnsi="Cambria"/>
          <w:sz w:val="20"/>
          <w:szCs w:val="20"/>
        </w:rPr>
        <w:t>overcome</w:t>
      </w:r>
      <w:r w:rsidRPr="000B43E4">
        <w:rPr>
          <w:rFonts w:ascii="Cambria" w:hAnsi="Cambria"/>
          <w:sz w:val="20"/>
          <w:szCs w:val="20"/>
        </w:rPr>
        <w:t xml:space="preserve"> in Colombia,</w:t>
      </w:r>
      <w:r w:rsidR="00264C3D" w:rsidRPr="000B43E4">
        <w:rPr>
          <w:rFonts w:ascii="Cambria" w:hAnsi="Cambria"/>
          <w:sz w:val="20"/>
          <w:szCs w:val="20"/>
        </w:rPr>
        <w:t xml:space="preserve"> being now established</w:t>
      </w:r>
      <w:r w:rsidRPr="000B43E4">
        <w:rPr>
          <w:rFonts w:ascii="Cambria" w:hAnsi="Cambria"/>
          <w:sz w:val="20"/>
          <w:szCs w:val="20"/>
        </w:rPr>
        <w:t xml:space="preserve"> that judges have an obligation to rule on the merits and that judges must notice the shortcomings of the demands and request their correction. Likewise, it maintains that the petition should not be co</w:t>
      </w:r>
      <w:r w:rsidR="00CE4884" w:rsidRPr="000B43E4">
        <w:rPr>
          <w:rFonts w:ascii="Cambria" w:hAnsi="Cambria"/>
          <w:sz w:val="20"/>
          <w:szCs w:val="20"/>
        </w:rPr>
        <w:t xml:space="preserve">nsidered out of time because of the tutela </w:t>
      </w:r>
      <w:r w:rsidRPr="000B43E4">
        <w:rPr>
          <w:rFonts w:ascii="Cambria" w:hAnsi="Cambria"/>
          <w:sz w:val="20"/>
          <w:szCs w:val="20"/>
        </w:rPr>
        <w:t xml:space="preserve">action </w:t>
      </w:r>
      <w:r w:rsidR="00CE4884" w:rsidRPr="000B43E4">
        <w:rPr>
          <w:rFonts w:ascii="Cambria" w:hAnsi="Cambria"/>
          <w:sz w:val="20"/>
          <w:szCs w:val="20"/>
        </w:rPr>
        <w:t>being</w:t>
      </w:r>
      <w:r w:rsidRPr="000B43E4">
        <w:rPr>
          <w:rFonts w:ascii="Cambria" w:hAnsi="Cambria"/>
          <w:sz w:val="20"/>
          <w:szCs w:val="20"/>
        </w:rPr>
        <w:t xml:space="preserve"> rejected due to an alleged lack of immediacy, since </w:t>
      </w:r>
      <w:r w:rsidR="00CE4884" w:rsidRPr="000B43E4">
        <w:rPr>
          <w:rFonts w:ascii="Cambria" w:hAnsi="Cambria"/>
          <w:sz w:val="20"/>
          <w:szCs w:val="20"/>
        </w:rPr>
        <w:t xml:space="preserve">tutelas are legal actions </w:t>
      </w:r>
      <w:r w:rsidRPr="000B43E4">
        <w:rPr>
          <w:rFonts w:ascii="Cambria" w:hAnsi="Cambria"/>
          <w:sz w:val="20"/>
          <w:szCs w:val="20"/>
        </w:rPr>
        <w:t xml:space="preserve">llowed in Colombia. </w:t>
      </w:r>
      <w:r w:rsidRPr="004509CD">
        <w:rPr>
          <w:rFonts w:ascii="Cambria" w:hAnsi="Cambria"/>
          <w:sz w:val="20"/>
          <w:szCs w:val="20"/>
        </w:rPr>
        <w:t xml:space="preserve">It stands out that the alleged victim, despite his lack of technical training, has complied with using and exhausting all the legal </w:t>
      </w:r>
      <w:r w:rsidR="00CE4884" w:rsidRPr="004509CD">
        <w:rPr>
          <w:rFonts w:ascii="Cambria" w:hAnsi="Cambria"/>
          <w:sz w:val="20"/>
          <w:szCs w:val="20"/>
        </w:rPr>
        <w:t xml:space="preserve">tools </w:t>
      </w:r>
      <w:r w:rsidRPr="004509CD">
        <w:rPr>
          <w:rFonts w:ascii="Cambria" w:hAnsi="Cambria"/>
          <w:sz w:val="20"/>
          <w:szCs w:val="20"/>
        </w:rPr>
        <w:t>allowed by internal law.</w:t>
      </w:r>
    </w:p>
    <w:p w14:paraId="3563BFCC" w14:textId="02887C43" w:rsidR="001966F0" w:rsidRPr="000B43E4" w:rsidRDefault="001966F0"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lastRenderedPageBreak/>
        <w:t xml:space="preserve">The State, for its part, considers that the petition should be inadmissible for having been submitted out of time. It maintains that the decision that definitively resolved the legal situation of the alleged victim at the domestic level was that by which the Council of State determined that the appeal filed by the latter against the denial of his claim for nullity and restoration of the right </w:t>
      </w:r>
      <w:r w:rsidR="00CE4884" w:rsidRPr="000B43E4">
        <w:rPr>
          <w:rFonts w:ascii="Cambria" w:hAnsi="Cambria"/>
          <w:sz w:val="20"/>
          <w:szCs w:val="20"/>
        </w:rPr>
        <w:t xml:space="preserve">was inadmissible due to the </w:t>
      </w:r>
      <w:r w:rsidRPr="000B43E4">
        <w:rPr>
          <w:rFonts w:ascii="Cambria" w:hAnsi="Cambria"/>
          <w:sz w:val="20"/>
          <w:szCs w:val="20"/>
        </w:rPr>
        <w:t>process</w:t>
      </w:r>
      <w:r w:rsidR="00CE4884" w:rsidRPr="000B43E4">
        <w:rPr>
          <w:rFonts w:ascii="Cambria" w:hAnsi="Cambria"/>
          <w:sz w:val="20"/>
          <w:szCs w:val="20"/>
        </w:rPr>
        <w:t xml:space="preserve"> being single instance</w:t>
      </w:r>
      <w:r w:rsidRPr="000B43E4">
        <w:rPr>
          <w:rFonts w:ascii="Cambria" w:hAnsi="Cambria"/>
          <w:sz w:val="20"/>
          <w:szCs w:val="20"/>
        </w:rPr>
        <w:t xml:space="preserve"> by reason of its amount. It indicates that the alleged victim was notified of this decision on March 13, 2003, while the petition was presented to the Commission on February 21, 2011, having elapsed almost 8 years between the two acts and greatly exceeding the 6-month period provided for in Article 46.1 (b) of the American Convention. It maintains that the filing of a </w:t>
      </w:r>
      <w:r w:rsidR="00CE4884" w:rsidRPr="000B43E4">
        <w:rPr>
          <w:rFonts w:ascii="Cambria" w:hAnsi="Cambria"/>
          <w:sz w:val="20"/>
          <w:szCs w:val="20"/>
        </w:rPr>
        <w:t>tutela</w:t>
      </w:r>
      <w:r w:rsidRPr="000B43E4">
        <w:rPr>
          <w:rFonts w:ascii="Cambria" w:hAnsi="Cambria"/>
          <w:sz w:val="20"/>
          <w:szCs w:val="20"/>
        </w:rPr>
        <w:t xml:space="preserve"> action by the permanent partner of the alleged victim in 2010 could not suspend or revive the period provided for in article 46.1 (b) given that said action was manifestly inadmissible. The State explains that the Constitutional Court had determined that “immediacy” is a requirement for the </w:t>
      </w:r>
      <w:r w:rsidR="00CE4884" w:rsidRPr="000B43E4">
        <w:rPr>
          <w:rFonts w:ascii="Cambria" w:hAnsi="Cambria"/>
          <w:sz w:val="20"/>
          <w:szCs w:val="20"/>
        </w:rPr>
        <w:t xml:space="preserve">admissibility </w:t>
      </w:r>
      <w:r w:rsidRPr="000B43E4">
        <w:rPr>
          <w:rFonts w:ascii="Cambria" w:hAnsi="Cambria"/>
          <w:sz w:val="20"/>
          <w:szCs w:val="20"/>
        </w:rPr>
        <w:t xml:space="preserve">tutela actions in Colombia and that, although each particular case requires a particular analysis of the period that can be considered immediate or not, the filing, in this case, </w:t>
      </w:r>
      <w:r w:rsidR="00CE4884" w:rsidRPr="000B43E4">
        <w:rPr>
          <w:rFonts w:ascii="Cambria" w:hAnsi="Cambria"/>
          <w:sz w:val="20"/>
          <w:szCs w:val="20"/>
        </w:rPr>
        <w:t xml:space="preserve">of </w:t>
      </w:r>
      <w:r w:rsidRPr="000B43E4">
        <w:rPr>
          <w:rFonts w:ascii="Cambria" w:hAnsi="Cambria"/>
          <w:sz w:val="20"/>
          <w:szCs w:val="20"/>
        </w:rPr>
        <w:t xml:space="preserve">a petition for </w:t>
      </w:r>
      <w:r w:rsidR="00CE4884" w:rsidRPr="000B43E4">
        <w:rPr>
          <w:rFonts w:ascii="Cambria" w:hAnsi="Cambria"/>
          <w:sz w:val="20"/>
          <w:szCs w:val="20"/>
        </w:rPr>
        <w:t>tutela</w:t>
      </w:r>
      <w:r w:rsidRPr="000B43E4">
        <w:rPr>
          <w:rFonts w:ascii="Cambria" w:hAnsi="Cambria"/>
          <w:sz w:val="20"/>
          <w:szCs w:val="20"/>
        </w:rPr>
        <w:t xml:space="preserve"> 7 years after the final decision of the contentious administrative jurisdiction was issued was clearly contrary to the principle of immediacy.</w:t>
      </w:r>
    </w:p>
    <w:p w14:paraId="197A721B" w14:textId="690A5426" w:rsidR="001966F0" w:rsidRPr="000B43E4" w:rsidRDefault="001966F0"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t>It also alleges that the petition must be inadmissible because the alleged victim committed undue exhaustion of domestic remedies. It indicates that the Administrative Court of Cesar determined that the claim for nullity and restoration of the right filed by the alleged victim was inept because it had been directed against the general act that ordered the establishment of the new staff of the Comptroller's Office, while the act that should have been sued was the one that decided not to link him to the new plant. It maintains that the judge of first instance was not empowered to modify the procedural path selected by the actor by virtue of the principle of "requested justice" that governs the contentious administrative specialty in Colombia. It adds that the constitutional jurisdiction was not duly exhausted either because the action was rejected for causes attributable to the plaintiffs such as the extemporaneous filing of the lawsuit in violation of the principle of immediacy and the fact that the lawsuit was filed by the permanent companion of the alleged victim without</w:t>
      </w:r>
      <w:r w:rsidR="00CE4884" w:rsidRPr="000B43E4">
        <w:rPr>
          <w:rFonts w:ascii="Cambria" w:hAnsi="Cambria"/>
          <w:sz w:val="20"/>
          <w:szCs w:val="20"/>
        </w:rPr>
        <w:t xml:space="preserve"> a </w:t>
      </w:r>
      <w:r w:rsidRPr="000B43E4">
        <w:rPr>
          <w:rFonts w:ascii="Cambria" w:hAnsi="Cambria"/>
          <w:sz w:val="20"/>
          <w:szCs w:val="20"/>
        </w:rPr>
        <w:t>the power</w:t>
      </w:r>
      <w:r w:rsidR="00CE4884" w:rsidRPr="000B43E4">
        <w:rPr>
          <w:rFonts w:ascii="Cambria" w:hAnsi="Cambria"/>
          <w:sz w:val="20"/>
          <w:szCs w:val="20"/>
        </w:rPr>
        <w:t xml:space="preserve"> of attorney to legitimize her to act on her</w:t>
      </w:r>
      <w:r w:rsidRPr="000B43E4">
        <w:rPr>
          <w:rFonts w:ascii="Cambria" w:hAnsi="Cambria"/>
          <w:sz w:val="20"/>
          <w:szCs w:val="20"/>
        </w:rPr>
        <w:t xml:space="preserve"> behalf. The State adds that the alleged victim at no time used the ordinary labor action for reinstatement, which was the ideal procedural route if he considered that his union </w:t>
      </w:r>
      <w:r w:rsidR="003D3847" w:rsidRPr="000B43E4">
        <w:rPr>
          <w:rFonts w:ascii="Cambria" w:hAnsi="Cambria"/>
          <w:sz w:val="20"/>
          <w:szCs w:val="20"/>
        </w:rPr>
        <w:t>rights</w:t>
      </w:r>
      <w:r w:rsidRPr="000B43E4">
        <w:rPr>
          <w:rFonts w:ascii="Cambria" w:hAnsi="Cambria"/>
          <w:sz w:val="20"/>
          <w:szCs w:val="20"/>
        </w:rPr>
        <w:t xml:space="preserve"> had been violated.</w:t>
      </w:r>
    </w:p>
    <w:p w14:paraId="399250A0" w14:textId="6A3BE372" w:rsidR="001966F0" w:rsidRPr="000B43E4" w:rsidRDefault="001966F0"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t xml:space="preserve">In addition, it states that the petition must be inadmissible based on Article 47 (b) of the American Convention because the facts set forth in it do not characterize violations of the rights enshrined in said Convention. It considers that the impossibility of appealing the decision of the Administrative Court of Cesar by reason of the amount does not imply violation of the rights of the alleged victim, since the right to appeal the decision and access a second instance court is not absolute and can be submitted to restrictions evaluated from reasonableness and proportionality. It also indicates that the separation of the alleged victim did not lead to a violation of his right to work since neither the Colombian law nor the Colombian Constitution prohibit the restructuring of positions because jobs are occupied by administrative career servers. It highlights that the Constitutional Court has concluded that "when there are reasons of general interest that justify the removal of charges from a public entity, it is legitimate for the State to do so, without </w:t>
      </w:r>
      <w:r w:rsidR="003D3847" w:rsidRPr="000B43E4">
        <w:rPr>
          <w:rFonts w:ascii="Cambria" w:hAnsi="Cambria"/>
          <w:sz w:val="20"/>
          <w:szCs w:val="20"/>
        </w:rPr>
        <w:t>it having to challenge</w:t>
      </w:r>
      <w:r w:rsidRPr="000B43E4">
        <w:rPr>
          <w:rFonts w:ascii="Cambria" w:hAnsi="Cambria"/>
          <w:sz w:val="20"/>
          <w:szCs w:val="20"/>
        </w:rPr>
        <w:t xml:space="preserve"> the career rights of the officials since th</w:t>
      </w:r>
      <w:r w:rsidR="003D3847" w:rsidRPr="000B43E4">
        <w:rPr>
          <w:rFonts w:ascii="Cambria" w:hAnsi="Cambria"/>
          <w:sz w:val="20"/>
          <w:szCs w:val="20"/>
        </w:rPr>
        <w:t>ose</w:t>
      </w:r>
      <w:r w:rsidRPr="000B43E4">
        <w:rPr>
          <w:rFonts w:ascii="Cambria" w:hAnsi="Cambria"/>
          <w:sz w:val="20"/>
          <w:szCs w:val="20"/>
        </w:rPr>
        <w:t xml:space="preserve"> must yield in the general interest ”.</w:t>
      </w:r>
    </w:p>
    <w:p w14:paraId="3191A206" w14:textId="168CDF6B" w:rsidR="00D74450" w:rsidRPr="001966F0" w:rsidRDefault="00F621C3" w:rsidP="001966F0">
      <w:pPr>
        <w:pStyle w:val="ListParagraph"/>
        <w:spacing w:before="240" w:after="240"/>
        <w:jc w:val="both"/>
        <w:rPr>
          <w:rFonts w:asciiTheme="majorHAnsi" w:hAnsiTheme="majorHAnsi"/>
          <w:sz w:val="20"/>
          <w:szCs w:val="20"/>
        </w:rPr>
      </w:pPr>
      <w:r w:rsidRPr="001966F0">
        <w:rPr>
          <w:rFonts w:asciiTheme="majorHAnsi" w:hAnsiTheme="majorHAnsi"/>
          <w:b/>
          <w:bCs/>
          <w:sz w:val="20"/>
          <w:szCs w:val="20"/>
        </w:rPr>
        <w:t>VI.</w:t>
      </w:r>
      <w:r w:rsidRPr="001966F0">
        <w:rPr>
          <w:rFonts w:asciiTheme="majorHAnsi" w:hAnsiTheme="majorHAnsi"/>
          <w:b/>
          <w:bCs/>
          <w:sz w:val="20"/>
          <w:szCs w:val="20"/>
        </w:rPr>
        <w:tab/>
      </w:r>
      <w:r w:rsidR="001F1902" w:rsidRPr="001966F0">
        <w:rPr>
          <w:rFonts w:asciiTheme="majorHAnsi" w:hAnsiTheme="majorHAnsi"/>
          <w:b/>
          <w:bCs/>
          <w:sz w:val="20"/>
          <w:szCs w:val="20"/>
        </w:rPr>
        <w:t xml:space="preserve">ANALYSIS OF </w:t>
      </w:r>
      <w:r w:rsidRPr="001966F0">
        <w:rPr>
          <w:rFonts w:asciiTheme="majorHAnsi" w:hAnsiTheme="majorHAnsi"/>
          <w:b/>
          <w:sz w:val="20"/>
          <w:szCs w:val="20"/>
        </w:rPr>
        <w:t>EXHAUSTION OF DOMESTIC REMEDIES AND TIMELINESS OF THE PETITION</w:t>
      </w:r>
      <w:r w:rsidRPr="001966F0">
        <w:rPr>
          <w:rFonts w:asciiTheme="majorHAnsi" w:hAnsiTheme="majorHAnsi"/>
          <w:b/>
          <w:bCs/>
          <w:sz w:val="20"/>
          <w:szCs w:val="20"/>
        </w:rPr>
        <w:t xml:space="preserve"> </w:t>
      </w:r>
    </w:p>
    <w:p w14:paraId="58D97728" w14:textId="775CD74C" w:rsidR="001966F0" w:rsidRPr="004509CD" w:rsidRDefault="001966F0"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t xml:space="preserve">The Commission observes that the petitioner has indicated that the alleged victim has complied with using and exhausting all the legal weapons permitted by domestic law. Likewise, the Commission notes that the State considers that the petition was filed out of time and that the tutela action filed by the </w:t>
      </w:r>
      <w:proofErr w:type="gramStart"/>
      <w:r w:rsidR="003D3847" w:rsidRPr="000B43E4">
        <w:rPr>
          <w:rFonts w:ascii="Cambria" w:hAnsi="Cambria"/>
          <w:sz w:val="20"/>
          <w:szCs w:val="20"/>
        </w:rPr>
        <w:t xml:space="preserve">partner </w:t>
      </w:r>
      <w:r w:rsidRPr="000B43E4">
        <w:rPr>
          <w:rFonts w:ascii="Cambria" w:hAnsi="Cambria"/>
          <w:sz w:val="20"/>
          <w:szCs w:val="20"/>
        </w:rPr>
        <w:t xml:space="preserve"> of</w:t>
      </w:r>
      <w:proofErr w:type="gramEnd"/>
      <w:r w:rsidRPr="000B43E4">
        <w:rPr>
          <w:rFonts w:ascii="Cambria" w:hAnsi="Cambria"/>
          <w:sz w:val="20"/>
          <w:szCs w:val="20"/>
        </w:rPr>
        <w:t xml:space="preserve"> the alleged victim was manifestly inadmissible and therefore cannot be considered a validly exhausted remedy for the purposes of calculating the term established in Article 46.1 (b) of the American Convention. </w:t>
      </w:r>
      <w:r w:rsidRPr="004509CD">
        <w:rPr>
          <w:rFonts w:ascii="Cambria" w:hAnsi="Cambria"/>
          <w:sz w:val="20"/>
          <w:szCs w:val="20"/>
        </w:rPr>
        <w:t>In addition, the State has also denounced that the administrative and constitutional contentious channels were unduly exhausted.</w:t>
      </w:r>
    </w:p>
    <w:p w14:paraId="7E01F4E6" w14:textId="453447B1" w:rsidR="001966F0" w:rsidRPr="000B43E4" w:rsidRDefault="001966F0"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t xml:space="preserve">In the instant case, the Commission considers that the action for annulment and restoration of the right before the contentious administrative jurisdiction filed by the alleged victim was, prima facie, an appropriate route </w:t>
      </w:r>
      <w:r w:rsidR="003D3847" w:rsidRPr="000B43E4">
        <w:rPr>
          <w:rFonts w:ascii="Cambria" w:hAnsi="Cambria"/>
          <w:sz w:val="20"/>
          <w:szCs w:val="20"/>
        </w:rPr>
        <w:t>for</w:t>
      </w:r>
      <w:r w:rsidRPr="000B43E4">
        <w:rPr>
          <w:rFonts w:ascii="Cambria" w:hAnsi="Cambria"/>
          <w:sz w:val="20"/>
          <w:szCs w:val="20"/>
        </w:rPr>
        <w:t xml:space="preserve"> the claims raised in the petition </w:t>
      </w:r>
      <w:r w:rsidR="003D3847" w:rsidRPr="000B43E4">
        <w:rPr>
          <w:rFonts w:ascii="Cambria" w:hAnsi="Cambria"/>
          <w:sz w:val="20"/>
          <w:szCs w:val="20"/>
        </w:rPr>
        <w:t xml:space="preserve">to be </w:t>
      </w:r>
      <w:r w:rsidRPr="000B43E4">
        <w:rPr>
          <w:rFonts w:ascii="Cambria" w:hAnsi="Cambria"/>
          <w:sz w:val="20"/>
          <w:szCs w:val="20"/>
        </w:rPr>
        <w:t xml:space="preserve">addressed at the domestic level. As stated by the State and not contested by the petitioner, the alleged victim filed an action for annulment and restoration of </w:t>
      </w:r>
      <w:r w:rsidRPr="000B43E4">
        <w:rPr>
          <w:rFonts w:ascii="Cambria" w:hAnsi="Cambria"/>
          <w:sz w:val="20"/>
          <w:szCs w:val="20"/>
        </w:rPr>
        <w:lastRenderedPageBreak/>
        <w:t xml:space="preserve">the right before the contentious administrative jurisdiction whose final decision of rejection was notified to him on March 13, 2003. It does not appear from the file that additional actions related to the object of the petition </w:t>
      </w:r>
      <w:r w:rsidR="003D3847" w:rsidRPr="000B43E4">
        <w:rPr>
          <w:rFonts w:ascii="Cambria" w:hAnsi="Cambria"/>
          <w:sz w:val="20"/>
          <w:szCs w:val="20"/>
        </w:rPr>
        <w:t>were</w:t>
      </w:r>
      <w:r w:rsidRPr="000B43E4">
        <w:rPr>
          <w:rFonts w:ascii="Cambria" w:hAnsi="Cambria"/>
          <w:sz w:val="20"/>
          <w:szCs w:val="20"/>
        </w:rPr>
        <w:t xml:space="preserve"> filed until the permanent partner of the alleged victim filed </w:t>
      </w:r>
      <w:proofErr w:type="gramStart"/>
      <w:r w:rsidR="003D3847" w:rsidRPr="000B43E4">
        <w:rPr>
          <w:rFonts w:ascii="Cambria" w:hAnsi="Cambria"/>
          <w:sz w:val="20"/>
          <w:szCs w:val="20"/>
        </w:rPr>
        <w:t>a  tutela</w:t>
      </w:r>
      <w:proofErr w:type="gramEnd"/>
      <w:r w:rsidR="003D3847" w:rsidRPr="000B43E4">
        <w:rPr>
          <w:rFonts w:ascii="Cambria" w:hAnsi="Cambria"/>
          <w:sz w:val="20"/>
          <w:szCs w:val="20"/>
        </w:rPr>
        <w:t xml:space="preserve"> action</w:t>
      </w:r>
      <w:r w:rsidRPr="000B43E4">
        <w:rPr>
          <w:rFonts w:ascii="Cambria" w:hAnsi="Cambria"/>
          <w:sz w:val="20"/>
          <w:szCs w:val="20"/>
        </w:rPr>
        <w:t xml:space="preserve"> on January 19, 2010.</w:t>
      </w:r>
    </w:p>
    <w:p w14:paraId="573E2B7F" w14:textId="362E4BD4" w:rsidR="001966F0" w:rsidRPr="000B43E4" w:rsidRDefault="001966F0"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t>In these circumstances, the Commission recalls that it has already ruled "with regard to those remedies that are adequate and effective, and that therefore it is necessary to exhaust as a general rule, and the procedural continuity of domestic remedies in those cases in which, in addition to exhausting these remedies, the petitioner continues to litigate internally by filing appeals or additional claims. This procedural continuity of the resources exhausted internally is relevant when it comes to elucidating which should be considered the definitive r</w:t>
      </w:r>
      <w:r w:rsidR="003D3847" w:rsidRPr="000B43E4">
        <w:rPr>
          <w:rFonts w:ascii="Cambria" w:hAnsi="Cambria"/>
          <w:sz w:val="20"/>
          <w:szCs w:val="20"/>
        </w:rPr>
        <w:t>emedy</w:t>
      </w:r>
      <w:r w:rsidRPr="000B43E4">
        <w:rPr>
          <w:rFonts w:ascii="Cambria" w:hAnsi="Cambria"/>
          <w:sz w:val="20"/>
          <w:szCs w:val="20"/>
        </w:rPr>
        <w:t xml:space="preserve"> that ends the process</w:t>
      </w:r>
      <w:proofErr w:type="gramStart"/>
      <w:r w:rsidRPr="000B43E4">
        <w:rPr>
          <w:rFonts w:ascii="Cambria" w:hAnsi="Cambria"/>
          <w:sz w:val="20"/>
          <w:szCs w:val="20"/>
        </w:rPr>
        <w:t>”</w:t>
      </w:r>
      <w:r w:rsidR="00FE0C56" w:rsidRPr="000B43E4">
        <w:rPr>
          <w:rFonts w:ascii="Cambria" w:hAnsi="Cambria"/>
          <w:sz w:val="20"/>
          <w:szCs w:val="20"/>
        </w:rPr>
        <w:t xml:space="preserve"> </w:t>
      </w:r>
      <w:proofErr w:type="gramEnd"/>
      <w:r w:rsidR="00FE0C56" w:rsidRPr="00724919">
        <w:rPr>
          <w:rFonts w:ascii="Cambria" w:hAnsi="Cambria"/>
          <w:lang w:val="es-ES"/>
        </w:rPr>
        <w:footnoteReference w:id="6"/>
      </w:r>
      <w:r w:rsidR="00FE0C56" w:rsidRPr="000B43E4">
        <w:rPr>
          <w:rFonts w:ascii="Cambria" w:hAnsi="Cambria"/>
          <w:sz w:val="20"/>
          <w:szCs w:val="20"/>
        </w:rPr>
        <w:t>.</w:t>
      </w:r>
      <w:r w:rsidRPr="000B43E4">
        <w:rPr>
          <w:rFonts w:ascii="Cambria" w:hAnsi="Cambria"/>
          <w:sz w:val="20"/>
          <w:szCs w:val="20"/>
        </w:rPr>
        <w:t xml:space="preserve"> In the present case, given the 7 years elapsed without filing additional actions from the final decision of the administrative contentious process to the filing of the action before the constitutional justice, as well as the absence of information indicating that the alleged victim </w:t>
      </w:r>
      <w:r w:rsidR="003D3847" w:rsidRPr="000B43E4">
        <w:rPr>
          <w:rFonts w:ascii="Cambria" w:hAnsi="Cambria"/>
          <w:sz w:val="20"/>
          <w:szCs w:val="20"/>
        </w:rPr>
        <w:t xml:space="preserve">was prevented to file the tutela </w:t>
      </w:r>
      <w:r w:rsidRPr="000B43E4">
        <w:rPr>
          <w:rFonts w:ascii="Cambria" w:hAnsi="Cambria"/>
          <w:sz w:val="20"/>
          <w:szCs w:val="20"/>
        </w:rPr>
        <w:t>action earlier, the Commission considers that there is no situation of procedural cont</w:t>
      </w:r>
      <w:r w:rsidR="003D3847" w:rsidRPr="000B43E4">
        <w:rPr>
          <w:rFonts w:ascii="Cambria" w:hAnsi="Cambria"/>
          <w:sz w:val="20"/>
          <w:szCs w:val="20"/>
        </w:rPr>
        <w:t>inuity that leads to the tutela action</w:t>
      </w:r>
      <w:r w:rsidRPr="000B43E4">
        <w:rPr>
          <w:rFonts w:ascii="Cambria" w:hAnsi="Cambria"/>
          <w:sz w:val="20"/>
          <w:szCs w:val="20"/>
        </w:rPr>
        <w:t xml:space="preserve"> filed by the permanent partner of the alleged victim being considered as a validly exhausted remedy for the purpose of analyzing the admissibility requirements.</w:t>
      </w:r>
    </w:p>
    <w:p w14:paraId="181D86EA" w14:textId="4B83100A" w:rsidR="001966F0" w:rsidRPr="000B43E4" w:rsidRDefault="001966F0" w:rsidP="00724919">
      <w:pPr>
        <w:numPr>
          <w:ilvl w:val="0"/>
          <w:numId w:val="107"/>
        </w:numPr>
        <w:tabs>
          <w:tab w:val="num" w:pos="720"/>
        </w:tabs>
        <w:suppressAutoHyphens/>
        <w:spacing w:after="120"/>
        <w:ind w:left="0" w:firstLine="720"/>
        <w:jc w:val="both"/>
        <w:rPr>
          <w:rFonts w:ascii="Cambria" w:hAnsi="Cambria"/>
          <w:sz w:val="20"/>
          <w:szCs w:val="20"/>
        </w:rPr>
      </w:pPr>
      <w:r w:rsidRPr="000B43E4">
        <w:rPr>
          <w:rFonts w:ascii="Cambria" w:hAnsi="Cambria"/>
          <w:sz w:val="20"/>
          <w:szCs w:val="20"/>
        </w:rPr>
        <w:t>Regarding the process advanced before the contentious administrative jurisdiction, the Commission observes that the petitioner was prevented from appealing the decision that rejected his action for nullity and restoration of the right based on a normative provision regarding the amount of the claims. In these circumstances, the Commission considers, without prejudging on the merits and as it has previously done in a case of a similar nature</w:t>
      </w:r>
      <w:r w:rsidR="00FE0C56" w:rsidRPr="00724919">
        <w:rPr>
          <w:rFonts w:ascii="Cambria" w:hAnsi="Cambria"/>
          <w:lang w:val="es-ES"/>
        </w:rPr>
        <w:footnoteReference w:id="7"/>
      </w:r>
      <w:r w:rsidRPr="000B43E4">
        <w:rPr>
          <w:rFonts w:ascii="Cambria" w:hAnsi="Cambria"/>
          <w:sz w:val="20"/>
          <w:szCs w:val="20"/>
        </w:rPr>
        <w:t xml:space="preserve">, that the exception to the requirement of exhaustion of domestic remedies contemplated in Article 46.2 (a) of the American Convention is applicable to the present petition. Pursuant to article 32.2 of its </w:t>
      </w:r>
      <w:r w:rsidR="001624BA" w:rsidRPr="000B43E4">
        <w:rPr>
          <w:rFonts w:ascii="Cambria" w:hAnsi="Cambria"/>
          <w:sz w:val="20"/>
          <w:szCs w:val="20"/>
        </w:rPr>
        <w:t>rules of procedure</w:t>
      </w:r>
      <w:r w:rsidRPr="000B43E4">
        <w:rPr>
          <w:rFonts w:ascii="Cambria" w:hAnsi="Cambria"/>
          <w:sz w:val="20"/>
          <w:szCs w:val="20"/>
        </w:rPr>
        <w:t xml:space="preserve"> in cases where the exceptions to the requirement of prior exhaustion of domestic remedies are applicable, the Commission must assess whether the petition was presented within a reasonable period of time, taking into account the date on which the alleged violation of the rights and circumstances of each case. In the present case, the Commission observes that the petition was presented on February 21, 2011, having elapsed almost 10 years since the alleged victim was definitively removed from the Comptroller's Office on April 26, 2001 and more than 8 years since the he was definitively notified on March 13, 2013 that the decision that declared his claim for nullity and restoration of law inept was not appealable. The petitioner has not provided information on causes that have prevented or hindered the alleged victim from filing his petition earlier with the Commission. For these reasons, the Commission concludes that the present petition is inadmissible </w:t>
      </w:r>
      <w:r w:rsidR="001624BA" w:rsidRPr="000B43E4">
        <w:rPr>
          <w:rFonts w:ascii="Cambria" w:hAnsi="Cambria"/>
          <w:sz w:val="20"/>
          <w:szCs w:val="20"/>
        </w:rPr>
        <w:t>due to it not</w:t>
      </w:r>
      <w:r w:rsidRPr="000B43E4">
        <w:rPr>
          <w:rFonts w:ascii="Cambria" w:hAnsi="Cambria"/>
          <w:sz w:val="20"/>
          <w:szCs w:val="20"/>
        </w:rPr>
        <w:t xml:space="preserve"> having been presented within a reasonable time under the terms of Article 32.2 of its r</w:t>
      </w:r>
      <w:r w:rsidR="001624BA" w:rsidRPr="000B43E4">
        <w:rPr>
          <w:rFonts w:ascii="Cambria" w:hAnsi="Cambria"/>
          <w:sz w:val="20"/>
          <w:szCs w:val="20"/>
        </w:rPr>
        <w:t>ule</w:t>
      </w:r>
      <w:r w:rsidRPr="000B43E4">
        <w:rPr>
          <w:rFonts w:ascii="Cambria" w:hAnsi="Cambria"/>
          <w:sz w:val="20"/>
          <w:szCs w:val="20"/>
        </w:rPr>
        <w:t>s</w:t>
      </w:r>
      <w:r w:rsidR="001624BA" w:rsidRPr="000B43E4">
        <w:rPr>
          <w:rFonts w:ascii="Cambria" w:hAnsi="Cambria"/>
          <w:sz w:val="20"/>
          <w:szCs w:val="20"/>
        </w:rPr>
        <w:t xml:space="preserve"> of procedure</w:t>
      </w:r>
      <w:r w:rsidRPr="000B43E4">
        <w:rPr>
          <w:rFonts w:ascii="Cambria" w:hAnsi="Cambria"/>
          <w:sz w:val="20"/>
          <w:szCs w:val="20"/>
        </w:rPr>
        <w:t>.</w:t>
      </w:r>
    </w:p>
    <w:p w14:paraId="70146B96" w14:textId="7B7E39EA" w:rsidR="00F621C3" w:rsidRPr="001966F0" w:rsidRDefault="00A96602" w:rsidP="001966F0">
      <w:pPr>
        <w:spacing w:before="240" w:after="240"/>
        <w:jc w:val="both"/>
        <w:rPr>
          <w:rFonts w:asciiTheme="majorHAnsi" w:hAnsiTheme="majorHAnsi"/>
          <w:b/>
          <w:bCs/>
          <w:sz w:val="20"/>
          <w:szCs w:val="20"/>
        </w:rPr>
      </w:pPr>
      <w:r>
        <w:rPr>
          <w:rFonts w:asciiTheme="majorHAnsi" w:hAnsiTheme="majorHAnsi"/>
          <w:b/>
          <w:bCs/>
          <w:sz w:val="20"/>
          <w:szCs w:val="20"/>
        </w:rPr>
        <w:tab/>
      </w:r>
      <w:r w:rsidR="00F621C3" w:rsidRPr="001966F0">
        <w:rPr>
          <w:rFonts w:asciiTheme="majorHAnsi" w:hAnsiTheme="majorHAnsi"/>
          <w:b/>
          <w:bCs/>
          <w:sz w:val="20"/>
          <w:szCs w:val="20"/>
        </w:rPr>
        <w:t>VII.</w:t>
      </w:r>
      <w:r w:rsidR="00F621C3" w:rsidRPr="001966F0">
        <w:rPr>
          <w:rFonts w:asciiTheme="majorHAnsi" w:hAnsiTheme="majorHAnsi"/>
          <w:b/>
          <w:bCs/>
          <w:sz w:val="20"/>
          <w:szCs w:val="20"/>
        </w:rPr>
        <w:tab/>
      </w:r>
      <w:r w:rsidR="001F1902" w:rsidRPr="001966F0">
        <w:rPr>
          <w:rFonts w:asciiTheme="majorHAnsi" w:hAnsiTheme="majorHAnsi"/>
          <w:b/>
          <w:bCs/>
          <w:sz w:val="20"/>
          <w:szCs w:val="20"/>
        </w:rPr>
        <w:t xml:space="preserve">ANALYSIS OF </w:t>
      </w:r>
      <w:r w:rsidR="00F621C3" w:rsidRPr="001966F0">
        <w:rPr>
          <w:rFonts w:asciiTheme="majorHAnsi" w:hAnsiTheme="majorHAnsi"/>
          <w:b/>
          <w:bCs/>
          <w:sz w:val="20"/>
          <w:szCs w:val="20"/>
        </w:rPr>
        <w:t>COLORABLE CLAIM</w:t>
      </w:r>
    </w:p>
    <w:p w14:paraId="5CFD1CBF" w14:textId="4AAC4874" w:rsidR="000B5E02" w:rsidRDefault="000B5E02" w:rsidP="00724919">
      <w:pPr>
        <w:pStyle w:val="ListParagraph"/>
        <w:numPr>
          <w:ilvl w:val="0"/>
          <w:numId w:val="107"/>
        </w:numPr>
        <w:spacing w:before="240" w:after="240"/>
        <w:ind w:left="0" w:firstLine="720"/>
        <w:jc w:val="both"/>
        <w:rPr>
          <w:rFonts w:asciiTheme="majorHAnsi" w:hAnsiTheme="majorHAnsi"/>
          <w:sz w:val="20"/>
          <w:szCs w:val="20"/>
        </w:rPr>
      </w:pPr>
      <w:r w:rsidRPr="000B5E02">
        <w:rPr>
          <w:rFonts w:asciiTheme="majorHAnsi" w:hAnsiTheme="majorHAnsi"/>
          <w:sz w:val="20"/>
          <w:szCs w:val="20"/>
        </w:rPr>
        <w:t xml:space="preserve"> </w:t>
      </w:r>
      <w:r w:rsidR="00FE0C56" w:rsidRPr="00FE0C56">
        <w:rPr>
          <w:rFonts w:asciiTheme="majorHAnsi" w:hAnsiTheme="majorHAnsi"/>
          <w:sz w:val="20"/>
          <w:szCs w:val="20"/>
        </w:rPr>
        <w:t>Given the conclusions set forth in section VI of this report, the Commission will not carry out an analysis regarding whether the facts raised by the petitioner could characterize violations of the American Convention or other treaties that confer jurisdiction.</w:t>
      </w:r>
    </w:p>
    <w:p w14:paraId="5A70550C" w14:textId="60FBA66E" w:rsidR="00F621C3" w:rsidRPr="00EB6B8C" w:rsidRDefault="00A96602" w:rsidP="00EB6B8C">
      <w:pPr>
        <w:spacing w:before="240" w:after="240"/>
        <w:jc w:val="both"/>
        <w:rPr>
          <w:rFonts w:asciiTheme="majorHAnsi" w:hAnsiTheme="majorHAnsi"/>
          <w:b/>
          <w:bCs/>
          <w:sz w:val="20"/>
          <w:szCs w:val="20"/>
        </w:rPr>
      </w:pPr>
      <w:r>
        <w:rPr>
          <w:rFonts w:asciiTheme="majorHAnsi" w:hAnsiTheme="majorHAnsi"/>
          <w:b/>
          <w:bCs/>
          <w:sz w:val="20"/>
          <w:szCs w:val="20"/>
        </w:rPr>
        <w:tab/>
      </w:r>
      <w:r w:rsidR="00F621C3" w:rsidRPr="00EB6B8C">
        <w:rPr>
          <w:rFonts w:asciiTheme="majorHAnsi" w:hAnsiTheme="majorHAnsi"/>
          <w:b/>
          <w:bCs/>
          <w:sz w:val="20"/>
          <w:szCs w:val="20"/>
        </w:rPr>
        <w:t xml:space="preserve">VIII. </w:t>
      </w:r>
      <w:r w:rsidR="00F621C3" w:rsidRPr="00EB6B8C">
        <w:rPr>
          <w:rFonts w:asciiTheme="majorHAnsi" w:hAnsiTheme="majorHAnsi"/>
          <w:b/>
          <w:bCs/>
          <w:sz w:val="20"/>
          <w:szCs w:val="20"/>
        </w:rPr>
        <w:tab/>
        <w:t>DECISION</w:t>
      </w:r>
    </w:p>
    <w:p w14:paraId="1E9D692B" w14:textId="3D9FD312" w:rsidR="00E44DF9" w:rsidRPr="00FE0C56" w:rsidRDefault="00FE0C56" w:rsidP="00724919">
      <w:pPr>
        <w:pStyle w:val="ListParagraph"/>
        <w:numPr>
          <w:ilvl w:val="0"/>
          <w:numId w:val="108"/>
        </w:numPr>
        <w:tabs>
          <w:tab w:val="left" w:pos="0"/>
        </w:tabs>
        <w:suppressAutoHyphens/>
        <w:spacing w:line="276" w:lineRule="auto"/>
        <w:ind w:left="0" w:firstLine="720"/>
        <w:rPr>
          <w:rFonts w:asciiTheme="majorHAnsi" w:hAnsiTheme="majorHAnsi"/>
          <w:sz w:val="20"/>
          <w:szCs w:val="20"/>
        </w:rPr>
      </w:pPr>
      <w:r w:rsidRPr="00FE0C56">
        <w:rPr>
          <w:rFonts w:asciiTheme="majorHAnsi" w:hAnsiTheme="majorHAnsi"/>
          <w:sz w:val="20"/>
          <w:szCs w:val="20"/>
        </w:rPr>
        <w:t>Declare this petition inadmissible based on article 32.2 of its r</w:t>
      </w:r>
      <w:r w:rsidR="001624BA">
        <w:rPr>
          <w:rFonts w:asciiTheme="majorHAnsi" w:hAnsiTheme="majorHAnsi"/>
          <w:sz w:val="20"/>
          <w:szCs w:val="20"/>
        </w:rPr>
        <w:t>ules of procedure</w:t>
      </w:r>
      <w:r w:rsidRPr="00FE0C56">
        <w:rPr>
          <w:rFonts w:asciiTheme="majorHAnsi" w:hAnsiTheme="majorHAnsi"/>
          <w:sz w:val="20"/>
          <w:szCs w:val="20"/>
        </w:rPr>
        <w:t>.</w:t>
      </w:r>
    </w:p>
    <w:p w14:paraId="69F6BEFE" w14:textId="77777777" w:rsidR="00FE0C56" w:rsidRPr="00FE0C56" w:rsidRDefault="00FE0C56" w:rsidP="00724919">
      <w:pPr>
        <w:pStyle w:val="ListParagraph"/>
        <w:tabs>
          <w:tab w:val="left" w:pos="2820"/>
        </w:tabs>
        <w:suppressAutoHyphens/>
        <w:spacing w:line="276" w:lineRule="auto"/>
        <w:ind w:left="0" w:firstLine="720"/>
        <w:rPr>
          <w:rFonts w:asciiTheme="majorHAnsi" w:hAnsiTheme="majorHAnsi"/>
          <w:sz w:val="20"/>
          <w:szCs w:val="20"/>
        </w:rPr>
      </w:pPr>
    </w:p>
    <w:p w14:paraId="2122B46A" w14:textId="7ACD2FE6" w:rsidR="00C55560" w:rsidRDefault="000B5E02" w:rsidP="00724919">
      <w:pPr>
        <w:pStyle w:val="ListParagraph"/>
        <w:numPr>
          <w:ilvl w:val="0"/>
          <w:numId w:val="108"/>
        </w:numPr>
        <w:tabs>
          <w:tab w:val="left" w:pos="0"/>
        </w:tabs>
        <w:suppressAutoHyphens/>
        <w:spacing w:line="276" w:lineRule="auto"/>
        <w:ind w:left="0" w:firstLine="720"/>
        <w:rPr>
          <w:rFonts w:asciiTheme="majorHAnsi" w:hAnsiTheme="majorHAnsi"/>
          <w:sz w:val="20"/>
          <w:szCs w:val="20"/>
        </w:rPr>
      </w:pPr>
      <w:r w:rsidRPr="000B5E02">
        <w:rPr>
          <w:rFonts w:asciiTheme="majorHAnsi" w:hAnsiTheme="majorHAnsi"/>
          <w:sz w:val="20"/>
          <w:szCs w:val="20"/>
        </w:rPr>
        <w:t xml:space="preserve"> Notify the parties of this decision; and publish this decision and include it in its Annual Report to the General Assembly of the Organization of American States.</w:t>
      </w:r>
    </w:p>
    <w:p w14:paraId="2CB3903B" w14:textId="4D40859A" w:rsidR="00724919" w:rsidRDefault="00724919" w:rsidP="00724919">
      <w:pPr>
        <w:pStyle w:val="ListParagraph"/>
        <w:tabs>
          <w:tab w:val="left" w:pos="0"/>
        </w:tabs>
        <w:suppressAutoHyphens/>
        <w:spacing w:line="276" w:lineRule="auto"/>
        <w:rPr>
          <w:rFonts w:asciiTheme="majorHAnsi" w:hAnsiTheme="majorHAnsi"/>
          <w:sz w:val="20"/>
          <w:szCs w:val="20"/>
        </w:rPr>
      </w:pPr>
    </w:p>
    <w:p w14:paraId="1E7E5280" w14:textId="337B365E" w:rsidR="00724919" w:rsidRPr="00EB6B8C" w:rsidRDefault="00724919" w:rsidP="00724919">
      <w:pPr>
        <w:suppressAutoHyphens/>
        <w:ind w:firstLine="720"/>
        <w:jc w:val="both"/>
        <w:rPr>
          <w:rFonts w:asciiTheme="majorHAnsi" w:hAnsiTheme="majorHAnsi"/>
          <w:sz w:val="20"/>
          <w:szCs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sidR="005E100F">
        <w:rPr>
          <w:rFonts w:ascii="Cambria" w:hAnsi="Cambria"/>
          <w:spacing w:val="-2"/>
          <w:sz w:val="20"/>
        </w:rPr>
        <w:t>2</w:t>
      </w:r>
      <w:r w:rsidR="005E100F" w:rsidRPr="005E100F">
        <w:rPr>
          <w:rFonts w:ascii="Cambria" w:hAnsi="Cambria"/>
          <w:spacing w:val="-2"/>
          <w:sz w:val="20"/>
          <w:vertAlign w:val="superscript"/>
        </w:rPr>
        <w:t>nd</w:t>
      </w:r>
      <w:r w:rsidR="005E100F">
        <w:rPr>
          <w:rFonts w:ascii="Cambria" w:hAnsi="Cambria"/>
          <w:spacing w:val="-2"/>
          <w:sz w:val="20"/>
        </w:rPr>
        <w:t xml:space="preserve"> </w:t>
      </w:r>
      <w:r w:rsidRPr="00365F2F">
        <w:rPr>
          <w:rFonts w:ascii="Cambria" w:hAnsi="Cambria"/>
          <w:spacing w:val="-2"/>
          <w:sz w:val="20"/>
        </w:rPr>
        <w:t xml:space="preserve">day of the month of </w:t>
      </w:r>
      <w:r w:rsidR="005E100F">
        <w:rPr>
          <w:rFonts w:ascii="Cambria" w:hAnsi="Cambria"/>
          <w:spacing w:val="-2"/>
          <w:sz w:val="20"/>
        </w:rPr>
        <w:t>July</w:t>
      </w:r>
      <w:r>
        <w:rPr>
          <w:rFonts w:ascii="Cambria" w:hAnsi="Cambria"/>
          <w:spacing w:val="-2"/>
          <w:sz w:val="20"/>
        </w:rPr>
        <w:t>,</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 xml:space="preserve">Margarette May Macaulay, </w:t>
      </w:r>
      <w:r w:rsidR="005E100F">
        <w:rPr>
          <w:rFonts w:asciiTheme="majorHAnsi" w:hAnsiTheme="majorHAnsi" w:cs="Arial"/>
          <w:noProof/>
          <w:spacing w:val="-2"/>
          <w:sz w:val="20"/>
          <w:szCs w:val="20"/>
        </w:rPr>
        <w:t xml:space="preserve">and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724919" w:rsidRPr="00EB6B8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70E21" w14:textId="77777777" w:rsidR="00AE46B5" w:rsidRDefault="00AE46B5" w:rsidP="00036A8A">
      <w:r>
        <w:separator/>
      </w:r>
    </w:p>
  </w:endnote>
  <w:endnote w:type="continuationSeparator" w:id="0">
    <w:p w14:paraId="3BB9AED9" w14:textId="77777777" w:rsidR="00AE46B5" w:rsidRDefault="00AE46B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2800" w14:textId="77777777" w:rsidR="004509CD" w:rsidRDefault="00450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457E87FF"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509CD">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32FD6" w14:textId="77777777" w:rsidR="00AE46B5" w:rsidRPr="00036A8A" w:rsidRDefault="00AE46B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4C0D697" w14:textId="77777777" w:rsidR="00AE46B5" w:rsidRPr="00036A8A" w:rsidRDefault="00AE46B5" w:rsidP="00036A8A">
      <w:pPr>
        <w:rPr>
          <w:rFonts w:asciiTheme="majorHAnsi" w:hAnsiTheme="majorHAnsi"/>
          <w:sz w:val="16"/>
          <w:szCs w:val="16"/>
        </w:rPr>
      </w:pPr>
      <w:r w:rsidRPr="00036A8A">
        <w:rPr>
          <w:rFonts w:asciiTheme="majorHAnsi" w:hAnsiTheme="majorHAnsi"/>
          <w:sz w:val="16"/>
          <w:szCs w:val="16"/>
        </w:rPr>
        <w:separator/>
      </w:r>
    </w:p>
    <w:p w14:paraId="34F546EF" w14:textId="77777777" w:rsidR="00AE46B5" w:rsidRPr="00036A8A" w:rsidRDefault="00AE46B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44A11DC" w14:textId="77777777" w:rsidR="00AE46B5" w:rsidRPr="0093441A" w:rsidRDefault="00AE46B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381522B" w14:textId="1044CA3F" w:rsidR="004F35AC" w:rsidRPr="00331493" w:rsidRDefault="00724919" w:rsidP="00A71C1C">
      <w:pPr>
        <w:pStyle w:val="FootnoteText"/>
        <w:jc w:val="both"/>
        <w:rPr>
          <w:rFonts w:asciiTheme="majorHAnsi" w:hAnsiTheme="majorHAnsi"/>
          <w:sz w:val="16"/>
          <w:szCs w:val="16"/>
        </w:rPr>
      </w:pPr>
      <w:r>
        <w:rPr>
          <w:rFonts w:asciiTheme="majorHAnsi" w:hAnsiTheme="majorHAnsi"/>
          <w:sz w:val="16"/>
          <w:szCs w:val="16"/>
        </w:rPr>
        <w:tab/>
      </w:r>
      <w:r w:rsidR="004F35AC" w:rsidRPr="00226222">
        <w:rPr>
          <w:rStyle w:val="FootnoteReference"/>
          <w:rFonts w:asciiTheme="majorHAnsi" w:hAnsiTheme="majorHAnsi"/>
          <w:sz w:val="16"/>
          <w:szCs w:val="16"/>
        </w:rPr>
        <w:footnoteRef/>
      </w:r>
      <w:r w:rsidR="004F35AC" w:rsidRPr="00331493">
        <w:rPr>
          <w:rFonts w:asciiTheme="majorHAnsi" w:hAnsiTheme="majorHAnsi"/>
          <w:sz w:val="16"/>
          <w:szCs w:val="16"/>
        </w:rPr>
        <w:t xml:space="preserve"> </w:t>
      </w:r>
      <w:r w:rsidR="00A71C1C" w:rsidRPr="00331493">
        <w:rPr>
          <w:rFonts w:asciiTheme="majorHAnsi" w:hAnsiTheme="majorHAnsi"/>
          <w:sz w:val="16"/>
          <w:szCs w:val="16"/>
        </w:rPr>
        <w:t>The petitioner names his permanent partner Rosmary Barrera Rojas and his daughter Andrea Carolina Felizzola Barrera as alleged victims.</w:t>
      </w:r>
    </w:p>
  </w:footnote>
  <w:footnote w:id="3">
    <w:p w14:paraId="75ECE683" w14:textId="1D5CE80A" w:rsidR="004F35AC" w:rsidRPr="00331493" w:rsidRDefault="00724919" w:rsidP="00A71C1C">
      <w:pPr>
        <w:pStyle w:val="FootnoteText"/>
        <w:jc w:val="both"/>
        <w:rPr>
          <w:rFonts w:asciiTheme="majorHAnsi" w:hAnsiTheme="majorHAnsi"/>
          <w:sz w:val="16"/>
          <w:szCs w:val="16"/>
        </w:rPr>
      </w:pPr>
      <w:r>
        <w:rPr>
          <w:rFonts w:asciiTheme="majorHAnsi" w:hAnsiTheme="majorHAnsi"/>
          <w:sz w:val="16"/>
          <w:szCs w:val="16"/>
        </w:rPr>
        <w:tab/>
      </w:r>
      <w:r w:rsidR="004F35AC" w:rsidRPr="00226222">
        <w:rPr>
          <w:rStyle w:val="FootnoteReference"/>
          <w:rFonts w:asciiTheme="majorHAnsi" w:hAnsiTheme="majorHAnsi"/>
          <w:sz w:val="16"/>
          <w:szCs w:val="16"/>
        </w:rPr>
        <w:footnoteRef/>
      </w:r>
      <w:r w:rsidR="004F35AC" w:rsidRPr="00331493">
        <w:rPr>
          <w:rFonts w:asciiTheme="majorHAnsi" w:hAnsiTheme="majorHAnsi"/>
          <w:sz w:val="16"/>
          <w:szCs w:val="16"/>
        </w:rPr>
        <w:t xml:space="preserve"> </w:t>
      </w:r>
      <w:r w:rsidR="00A71C1C" w:rsidRPr="00331493">
        <w:rPr>
          <w:rFonts w:asciiTheme="majorHAnsi" w:hAnsiTheme="majorHAnsi"/>
          <w:sz w:val="16"/>
          <w:szCs w:val="16"/>
        </w:rPr>
        <w:t>Hereinafter "the American Convention".</w:t>
      </w:r>
    </w:p>
  </w:footnote>
  <w:footnote w:id="4">
    <w:p w14:paraId="3B9C64BD" w14:textId="02D35CFC" w:rsidR="004F35AC" w:rsidRPr="00331493" w:rsidRDefault="00724919" w:rsidP="00A71C1C">
      <w:pPr>
        <w:pStyle w:val="FootnoteText"/>
        <w:jc w:val="both"/>
        <w:rPr>
          <w:rFonts w:asciiTheme="majorHAnsi" w:hAnsiTheme="majorHAnsi"/>
          <w:sz w:val="16"/>
          <w:szCs w:val="16"/>
        </w:rPr>
      </w:pPr>
      <w:r>
        <w:tab/>
      </w:r>
      <w:r w:rsidR="004F35AC">
        <w:rPr>
          <w:rStyle w:val="FootnoteReference"/>
        </w:rPr>
        <w:footnoteRef/>
      </w:r>
      <w:r w:rsidR="004F35AC" w:rsidRPr="00331493">
        <w:t xml:space="preserve"> </w:t>
      </w:r>
      <w:r w:rsidR="00A71C1C" w:rsidRPr="00331493">
        <w:rPr>
          <w:rFonts w:asciiTheme="majorHAnsi" w:hAnsiTheme="majorHAnsi"/>
          <w:sz w:val="16"/>
          <w:szCs w:val="16"/>
        </w:rPr>
        <w:t>Articles 8, 9 and 10 of the Universal Declaration of Human Rights; and “international treaties on trade union association rights O.I.T”.</w:t>
      </w:r>
    </w:p>
  </w:footnote>
  <w:footnote w:id="5">
    <w:p w14:paraId="6F51BDAF" w14:textId="67AD7704" w:rsidR="00653EA6" w:rsidRPr="000B6B7A" w:rsidRDefault="00724919" w:rsidP="00CA14B3">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6">
    <w:p w14:paraId="559555A9" w14:textId="141976F4" w:rsidR="00FE0C56" w:rsidRPr="00331493" w:rsidRDefault="00724919" w:rsidP="00FE0C56">
      <w:pPr>
        <w:pStyle w:val="FootnoteText"/>
        <w:jc w:val="both"/>
        <w:rPr>
          <w:rFonts w:asciiTheme="majorHAnsi" w:hAnsiTheme="majorHAnsi"/>
          <w:sz w:val="16"/>
          <w:szCs w:val="16"/>
        </w:rPr>
      </w:pPr>
      <w:r>
        <w:rPr>
          <w:rFonts w:asciiTheme="majorHAnsi" w:hAnsiTheme="majorHAnsi"/>
          <w:sz w:val="16"/>
          <w:szCs w:val="16"/>
          <w:lang w:val="pt-BR"/>
        </w:rPr>
        <w:tab/>
      </w:r>
      <w:r w:rsidR="00FE0C56" w:rsidRPr="00C4317B">
        <w:rPr>
          <w:rStyle w:val="FootnoteReference"/>
          <w:rFonts w:asciiTheme="majorHAnsi" w:hAnsiTheme="majorHAnsi"/>
          <w:sz w:val="16"/>
          <w:szCs w:val="16"/>
        </w:rPr>
        <w:footnoteRef/>
      </w:r>
      <w:r w:rsidR="00FE0C56" w:rsidRPr="00F259C9">
        <w:rPr>
          <w:rFonts w:asciiTheme="majorHAnsi" w:hAnsiTheme="majorHAnsi"/>
          <w:sz w:val="16"/>
          <w:szCs w:val="16"/>
          <w:lang w:val="pt-BR"/>
        </w:rPr>
        <w:t xml:space="preserve"> </w:t>
      </w:r>
      <w:r w:rsidR="00FE0C56" w:rsidRPr="00FE0C56">
        <w:rPr>
          <w:rFonts w:asciiTheme="majorHAnsi" w:hAnsiTheme="majorHAnsi"/>
          <w:sz w:val="16"/>
          <w:szCs w:val="16"/>
          <w:lang w:val="pt-BR"/>
        </w:rPr>
        <w:t xml:space="preserve">IACHR, Report No. 178/19. Inadmissibility. Jorge Orlando Caicedo Rojas. </w:t>
      </w:r>
      <w:r w:rsidR="00FE0C56" w:rsidRPr="00724919">
        <w:rPr>
          <w:rFonts w:asciiTheme="majorHAnsi" w:hAnsiTheme="majorHAnsi"/>
          <w:sz w:val="16"/>
          <w:szCs w:val="16"/>
        </w:rPr>
        <w:t>Colombia. December 5, 2019, para. 12</w:t>
      </w:r>
      <w:r w:rsidR="00FE0C56" w:rsidRPr="00331493">
        <w:rPr>
          <w:rFonts w:asciiTheme="majorHAnsi" w:hAnsiTheme="majorHAnsi"/>
          <w:sz w:val="16"/>
          <w:szCs w:val="16"/>
        </w:rPr>
        <w:t>2</w:t>
      </w:r>
    </w:p>
  </w:footnote>
  <w:footnote w:id="7">
    <w:p w14:paraId="57B46024" w14:textId="727BE1B3" w:rsidR="00FE0C56" w:rsidRPr="00F3559E" w:rsidRDefault="00724919" w:rsidP="00FE0C56">
      <w:pPr>
        <w:pStyle w:val="Default"/>
        <w:jc w:val="both"/>
        <w:rPr>
          <w:rFonts w:ascii="Cambria" w:eastAsia="Arial Unicode MS" w:hAnsi="Cambria" w:cs="Cambria"/>
          <w:sz w:val="16"/>
          <w:szCs w:val="16"/>
          <w:bdr w:val="nil"/>
          <w:lang w:eastAsia="es-ES"/>
        </w:rPr>
      </w:pPr>
      <w:r>
        <w:rPr>
          <w:rFonts w:asciiTheme="majorHAnsi" w:hAnsiTheme="majorHAnsi"/>
          <w:sz w:val="16"/>
          <w:szCs w:val="16"/>
        </w:rPr>
        <w:tab/>
      </w:r>
      <w:r w:rsidR="00FE0C56" w:rsidRPr="00F3559E">
        <w:rPr>
          <w:rStyle w:val="FootnoteReference"/>
          <w:rFonts w:asciiTheme="majorHAnsi" w:hAnsiTheme="majorHAnsi"/>
          <w:sz w:val="16"/>
          <w:szCs w:val="16"/>
        </w:rPr>
        <w:footnoteRef/>
      </w:r>
      <w:r w:rsidR="00FE0C56" w:rsidRPr="00331493">
        <w:rPr>
          <w:rFonts w:asciiTheme="majorHAnsi" w:hAnsiTheme="majorHAnsi"/>
          <w:sz w:val="16"/>
          <w:szCs w:val="16"/>
        </w:rPr>
        <w:t xml:space="preserve"> </w:t>
      </w:r>
      <w:r w:rsidR="00FE0C56" w:rsidRPr="00331493">
        <w:rPr>
          <w:rFonts w:ascii="Cambria" w:eastAsia="Arial Unicode MS" w:hAnsi="Cambria" w:cs="Cambria"/>
          <w:sz w:val="16"/>
          <w:szCs w:val="16"/>
        </w:rPr>
        <w:t xml:space="preserve"> IACHR, Report No. 82/18. Petition 551-07. Admissibility. Alcides Espinosa Ospino and others. </w:t>
      </w:r>
      <w:r w:rsidR="00FE0C56" w:rsidRPr="00FE0C56">
        <w:rPr>
          <w:rFonts w:ascii="Cambria" w:eastAsia="Arial Unicode MS" w:hAnsi="Cambria" w:cs="Cambria"/>
          <w:sz w:val="16"/>
          <w:szCs w:val="16"/>
          <w:lang w:val="es-PA"/>
        </w:rPr>
        <w:t>Colombia. July 10, 2018, para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E46B5"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49AC1" w14:textId="77777777" w:rsidR="004509CD" w:rsidRDefault="00450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E2B186E"/>
    <w:multiLevelType w:val="hybridMultilevel"/>
    <w:tmpl w:val="0C848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F90DD6"/>
    <w:multiLevelType w:val="hybridMultilevel"/>
    <w:tmpl w:val="2EE4408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E7213E"/>
    <w:multiLevelType w:val="hybridMultilevel"/>
    <w:tmpl w:val="0ED42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8"/>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8"/>
  </w:num>
  <w:num w:numId="55">
    <w:abstractNumId w:val="39"/>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1"/>
  </w:num>
  <w:num w:numId="83">
    <w:abstractNumId w:val="42"/>
  </w:num>
  <w:num w:numId="84">
    <w:abstractNumId w:val="49"/>
  </w:num>
  <w:num w:numId="85">
    <w:abstractNumId w:val="52"/>
  </w:num>
  <w:num w:numId="86">
    <w:abstractNumId w:val="54"/>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1"/>
  </w:num>
  <w:num w:numId="95">
    <w:abstractNumId w:val="43"/>
  </w:num>
  <w:num w:numId="96">
    <w:abstractNumId w:val="55"/>
  </w:num>
  <w:num w:numId="97">
    <w:abstractNumId w:val="53"/>
  </w:num>
  <w:num w:numId="98">
    <w:abstractNumId w:val="48"/>
  </w:num>
  <w:num w:numId="99">
    <w:abstractNumId w:val="37"/>
  </w:num>
  <w:num w:numId="100">
    <w:abstractNumId w:val="3"/>
  </w:num>
  <w:num w:numId="101">
    <w:abstractNumId w:val="26"/>
  </w:num>
  <w:num w:numId="102">
    <w:abstractNumId w:val="50"/>
  </w:num>
  <w:num w:numId="103">
    <w:abstractNumId w:val="5"/>
  </w:num>
  <w:num w:numId="104">
    <w:abstractNumId w:val="11"/>
  </w:num>
  <w:num w:numId="105">
    <w:abstractNumId w:val="46"/>
  </w:num>
  <w:num w:numId="106">
    <w:abstractNumId w:val="56"/>
  </w:num>
  <w:num w:numId="107">
    <w:abstractNumId w:val="45"/>
  </w:num>
  <w:num w:numId="108">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4569"/>
    <w:rsid w:val="000639C0"/>
    <w:rsid w:val="00070571"/>
    <w:rsid w:val="00070F3A"/>
    <w:rsid w:val="000716C5"/>
    <w:rsid w:val="00075E23"/>
    <w:rsid w:val="00092F32"/>
    <w:rsid w:val="0009344A"/>
    <w:rsid w:val="00094D5B"/>
    <w:rsid w:val="000A575F"/>
    <w:rsid w:val="000B427B"/>
    <w:rsid w:val="000B43E4"/>
    <w:rsid w:val="000B5E02"/>
    <w:rsid w:val="000C4365"/>
    <w:rsid w:val="000D10DB"/>
    <w:rsid w:val="00124116"/>
    <w:rsid w:val="00130279"/>
    <w:rsid w:val="0013104F"/>
    <w:rsid w:val="00137EBA"/>
    <w:rsid w:val="00145EDC"/>
    <w:rsid w:val="00153084"/>
    <w:rsid w:val="00153439"/>
    <w:rsid w:val="00157B97"/>
    <w:rsid w:val="001624BA"/>
    <w:rsid w:val="00167A34"/>
    <w:rsid w:val="00167D72"/>
    <w:rsid w:val="001714B4"/>
    <w:rsid w:val="00173AB7"/>
    <w:rsid w:val="0018037F"/>
    <w:rsid w:val="001966F0"/>
    <w:rsid w:val="001A5F27"/>
    <w:rsid w:val="001A65E4"/>
    <w:rsid w:val="001A7870"/>
    <w:rsid w:val="001B2EA5"/>
    <w:rsid w:val="001C1B41"/>
    <w:rsid w:val="001E366B"/>
    <w:rsid w:val="001F1902"/>
    <w:rsid w:val="00210E0E"/>
    <w:rsid w:val="00210F4B"/>
    <w:rsid w:val="00220CFD"/>
    <w:rsid w:val="00230163"/>
    <w:rsid w:val="00232B3E"/>
    <w:rsid w:val="0023351C"/>
    <w:rsid w:val="00247403"/>
    <w:rsid w:val="00247542"/>
    <w:rsid w:val="00257893"/>
    <w:rsid w:val="00264C3D"/>
    <w:rsid w:val="00266092"/>
    <w:rsid w:val="00266B61"/>
    <w:rsid w:val="0026712A"/>
    <w:rsid w:val="002704DB"/>
    <w:rsid w:val="002760CE"/>
    <w:rsid w:val="0028259C"/>
    <w:rsid w:val="002B7A85"/>
    <w:rsid w:val="002C1641"/>
    <w:rsid w:val="002D7EA2"/>
    <w:rsid w:val="002E15DF"/>
    <w:rsid w:val="002E187C"/>
    <w:rsid w:val="002E6E57"/>
    <w:rsid w:val="00301075"/>
    <w:rsid w:val="00302733"/>
    <w:rsid w:val="00302748"/>
    <w:rsid w:val="00311A4F"/>
    <w:rsid w:val="00314078"/>
    <w:rsid w:val="00321AFD"/>
    <w:rsid w:val="00322450"/>
    <w:rsid w:val="003246B5"/>
    <w:rsid w:val="00331493"/>
    <w:rsid w:val="0033169F"/>
    <w:rsid w:val="003414AC"/>
    <w:rsid w:val="00347852"/>
    <w:rsid w:val="00356185"/>
    <w:rsid w:val="00360380"/>
    <w:rsid w:val="003771A3"/>
    <w:rsid w:val="003826B3"/>
    <w:rsid w:val="003854F5"/>
    <w:rsid w:val="00386CF0"/>
    <w:rsid w:val="003A18A7"/>
    <w:rsid w:val="003A4348"/>
    <w:rsid w:val="003C32BC"/>
    <w:rsid w:val="003D3847"/>
    <w:rsid w:val="003E3E03"/>
    <w:rsid w:val="003F1BBF"/>
    <w:rsid w:val="004162B1"/>
    <w:rsid w:val="004165C2"/>
    <w:rsid w:val="004509CD"/>
    <w:rsid w:val="00450A4A"/>
    <w:rsid w:val="004666FB"/>
    <w:rsid w:val="00466D0B"/>
    <w:rsid w:val="00467B7E"/>
    <w:rsid w:val="00473B3B"/>
    <w:rsid w:val="00476D29"/>
    <w:rsid w:val="00484FE3"/>
    <w:rsid w:val="0049419D"/>
    <w:rsid w:val="004B2762"/>
    <w:rsid w:val="004B7EB6"/>
    <w:rsid w:val="004C41DE"/>
    <w:rsid w:val="004C4B62"/>
    <w:rsid w:val="004C7A36"/>
    <w:rsid w:val="004D6025"/>
    <w:rsid w:val="004D72BC"/>
    <w:rsid w:val="004F35AC"/>
    <w:rsid w:val="004F6B67"/>
    <w:rsid w:val="00501399"/>
    <w:rsid w:val="00507BC4"/>
    <w:rsid w:val="005128E4"/>
    <w:rsid w:val="00521B60"/>
    <w:rsid w:val="00525560"/>
    <w:rsid w:val="005357A6"/>
    <w:rsid w:val="005406C2"/>
    <w:rsid w:val="00544C49"/>
    <w:rsid w:val="00572A02"/>
    <w:rsid w:val="0057402A"/>
    <w:rsid w:val="00576A49"/>
    <w:rsid w:val="005771D0"/>
    <w:rsid w:val="005816E5"/>
    <w:rsid w:val="0059191A"/>
    <w:rsid w:val="005921FF"/>
    <w:rsid w:val="00592718"/>
    <w:rsid w:val="005A4F7C"/>
    <w:rsid w:val="005A6D0E"/>
    <w:rsid w:val="005B0771"/>
    <w:rsid w:val="005B222D"/>
    <w:rsid w:val="005B52B0"/>
    <w:rsid w:val="005B6806"/>
    <w:rsid w:val="005C00F9"/>
    <w:rsid w:val="005C4225"/>
    <w:rsid w:val="005C7ADD"/>
    <w:rsid w:val="005D369D"/>
    <w:rsid w:val="005E100F"/>
    <w:rsid w:val="005F0F33"/>
    <w:rsid w:val="00600DEB"/>
    <w:rsid w:val="00605DE2"/>
    <w:rsid w:val="00613027"/>
    <w:rsid w:val="00627C9F"/>
    <w:rsid w:val="006311DA"/>
    <w:rsid w:val="006311E9"/>
    <w:rsid w:val="006318B2"/>
    <w:rsid w:val="00632354"/>
    <w:rsid w:val="00642810"/>
    <w:rsid w:val="00652333"/>
    <w:rsid w:val="00653EA6"/>
    <w:rsid w:val="0065506C"/>
    <w:rsid w:val="006614CA"/>
    <w:rsid w:val="0068009E"/>
    <w:rsid w:val="006A17D2"/>
    <w:rsid w:val="006A73E6"/>
    <w:rsid w:val="006B2D5C"/>
    <w:rsid w:val="006C4EB1"/>
    <w:rsid w:val="006D4707"/>
    <w:rsid w:val="006E0166"/>
    <w:rsid w:val="006E7B34"/>
    <w:rsid w:val="00701B24"/>
    <w:rsid w:val="00702338"/>
    <w:rsid w:val="0071495F"/>
    <w:rsid w:val="00724919"/>
    <w:rsid w:val="0073798E"/>
    <w:rsid w:val="00745899"/>
    <w:rsid w:val="007607C4"/>
    <w:rsid w:val="007656D5"/>
    <w:rsid w:val="0076643F"/>
    <w:rsid w:val="00781653"/>
    <w:rsid w:val="007A2F70"/>
    <w:rsid w:val="007C3334"/>
    <w:rsid w:val="007C52BB"/>
    <w:rsid w:val="007D1585"/>
    <w:rsid w:val="007D2B98"/>
    <w:rsid w:val="007F196E"/>
    <w:rsid w:val="00803F1C"/>
    <w:rsid w:val="0080600E"/>
    <w:rsid w:val="00817612"/>
    <w:rsid w:val="00817887"/>
    <w:rsid w:val="00837C45"/>
    <w:rsid w:val="00842B67"/>
    <w:rsid w:val="00853419"/>
    <w:rsid w:val="00893AF4"/>
    <w:rsid w:val="00897E12"/>
    <w:rsid w:val="008A614D"/>
    <w:rsid w:val="008A61AD"/>
    <w:rsid w:val="008D43BA"/>
    <w:rsid w:val="008E10AB"/>
    <w:rsid w:val="008E3759"/>
    <w:rsid w:val="009041DC"/>
    <w:rsid w:val="009104B4"/>
    <w:rsid w:val="009228DA"/>
    <w:rsid w:val="00925FCD"/>
    <w:rsid w:val="0093441A"/>
    <w:rsid w:val="00954BF7"/>
    <w:rsid w:val="0096706E"/>
    <w:rsid w:val="00981FBA"/>
    <w:rsid w:val="009B381B"/>
    <w:rsid w:val="009D3A87"/>
    <w:rsid w:val="009D7611"/>
    <w:rsid w:val="009E53DE"/>
    <w:rsid w:val="009E566A"/>
    <w:rsid w:val="009F1B3B"/>
    <w:rsid w:val="00A12DBC"/>
    <w:rsid w:val="00A14AAA"/>
    <w:rsid w:val="00A34EBD"/>
    <w:rsid w:val="00A43458"/>
    <w:rsid w:val="00A528D1"/>
    <w:rsid w:val="00A66BE5"/>
    <w:rsid w:val="00A67ADC"/>
    <w:rsid w:val="00A71C1C"/>
    <w:rsid w:val="00A96602"/>
    <w:rsid w:val="00AD37C1"/>
    <w:rsid w:val="00AE0C9C"/>
    <w:rsid w:val="00AE46B5"/>
    <w:rsid w:val="00AE66EC"/>
    <w:rsid w:val="00AE6F91"/>
    <w:rsid w:val="00AF5571"/>
    <w:rsid w:val="00B06BB7"/>
    <w:rsid w:val="00B167E9"/>
    <w:rsid w:val="00B179ED"/>
    <w:rsid w:val="00B314DB"/>
    <w:rsid w:val="00B31EBE"/>
    <w:rsid w:val="00B3718B"/>
    <w:rsid w:val="00B44B23"/>
    <w:rsid w:val="00B4632A"/>
    <w:rsid w:val="00B51815"/>
    <w:rsid w:val="00B92E49"/>
    <w:rsid w:val="00B930DB"/>
    <w:rsid w:val="00B96994"/>
    <w:rsid w:val="00BA276C"/>
    <w:rsid w:val="00BB306F"/>
    <w:rsid w:val="00BB7E63"/>
    <w:rsid w:val="00BD232B"/>
    <w:rsid w:val="00BD2E42"/>
    <w:rsid w:val="00BD4B89"/>
    <w:rsid w:val="00BE45B0"/>
    <w:rsid w:val="00BF1835"/>
    <w:rsid w:val="00BF4B32"/>
    <w:rsid w:val="00C05480"/>
    <w:rsid w:val="00C14851"/>
    <w:rsid w:val="00C20982"/>
    <w:rsid w:val="00C21762"/>
    <w:rsid w:val="00C24543"/>
    <w:rsid w:val="00C256A2"/>
    <w:rsid w:val="00C3492D"/>
    <w:rsid w:val="00C34BA2"/>
    <w:rsid w:val="00C55560"/>
    <w:rsid w:val="00C66B72"/>
    <w:rsid w:val="00C9567A"/>
    <w:rsid w:val="00CA14B3"/>
    <w:rsid w:val="00CA6577"/>
    <w:rsid w:val="00CB2660"/>
    <w:rsid w:val="00CC5E90"/>
    <w:rsid w:val="00CD046C"/>
    <w:rsid w:val="00CE4884"/>
    <w:rsid w:val="00CE5199"/>
    <w:rsid w:val="00CE66D5"/>
    <w:rsid w:val="00D34786"/>
    <w:rsid w:val="00D40A1E"/>
    <w:rsid w:val="00D52067"/>
    <w:rsid w:val="00D533C0"/>
    <w:rsid w:val="00D712D3"/>
    <w:rsid w:val="00D71422"/>
    <w:rsid w:val="00D7145E"/>
    <w:rsid w:val="00D720D9"/>
    <w:rsid w:val="00D74450"/>
    <w:rsid w:val="00D75084"/>
    <w:rsid w:val="00D7558D"/>
    <w:rsid w:val="00D81D92"/>
    <w:rsid w:val="00D93446"/>
    <w:rsid w:val="00DA7B5F"/>
    <w:rsid w:val="00DB2771"/>
    <w:rsid w:val="00DC28E0"/>
    <w:rsid w:val="00DF078B"/>
    <w:rsid w:val="00DF350D"/>
    <w:rsid w:val="00E227C1"/>
    <w:rsid w:val="00E43157"/>
    <w:rsid w:val="00E44DF9"/>
    <w:rsid w:val="00E47F3D"/>
    <w:rsid w:val="00E533FF"/>
    <w:rsid w:val="00E709B3"/>
    <w:rsid w:val="00E7588C"/>
    <w:rsid w:val="00E850B6"/>
    <w:rsid w:val="00E8789F"/>
    <w:rsid w:val="00E97B71"/>
    <w:rsid w:val="00EB454D"/>
    <w:rsid w:val="00EB6B8C"/>
    <w:rsid w:val="00ED0D1B"/>
    <w:rsid w:val="00EE3522"/>
    <w:rsid w:val="00EF619B"/>
    <w:rsid w:val="00F00B55"/>
    <w:rsid w:val="00F02FCB"/>
    <w:rsid w:val="00F1380F"/>
    <w:rsid w:val="00F14F0E"/>
    <w:rsid w:val="00F15A3B"/>
    <w:rsid w:val="00F210CE"/>
    <w:rsid w:val="00F24C29"/>
    <w:rsid w:val="00F253CC"/>
    <w:rsid w:val="00F42B71"/>
    <w:rsid w:val="00F56BA5"/>
    <w:rsid w:val="00F621C3"/>
    <w:rsid w:val="00F644E6"/>
    <w:rsid w:val="00F862D8"/>
    <w:rsid w:val="00F9653B"/>
    <w:rsid w:val="00FB62CF"/>
    <w:rsid w:val="00FC3EB4"/>
    <w:rsid w:val="00FC6C58"/>
    <w:rsid w:val="00FE0C56"/>
    <w:rsid w:val="00FE511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3826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Default">
    <w:name w:val="Default"/>
    <w:link w:val="DefaultChar"/>
    <w:rsid w:val="00FE0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FE0C56"/>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035">
      <w:bodyDiv w:val="1"/>
      <w:marLeft w:val="0"/>
      <w:marRight w:val="0"/>
      <w:marTop w:val="0"/>
      <w:marBottom w:val="0"/>
      <w:divBdr>
        <w:top w:val="none" w:sz="0" w:space="0" w:color="auto"/>
        <w:left w:val="none" w:sz="0" w:space="0" w:color="auto"/>
        <w:bottom w:val="none" w:sz="0" w:space="0" w:color="auto"/>
        <w:right w:val="none" w:sz="0" w:space="0" w:color="auto"/>
      </w:divBdr>
    </w:div>
    <w:div w:id="163016155">
      <w:bodyDiv w:val="1"/>
      <w:marLeft w:val="0"/>
      <w:marRight w:val="0"/>
      <w:marTop w:val="0"/>
      <w:marBottom w:val="0"/>
      <w:divBdr>
        <w:top w:val="none" w:sz="0" w:space="0" w:color="auto"/>
        <w:left w:val="none" w:sz="0" w:space="0" w:color="auto"/>
        <w:bottom w:val="none" w:sz="0" w:space="0" w:color="auto"/>
        <w:right w:val="none" w:sz="0" w:space="0" w:color="auto"/>
      </w:divBdr>
    </w:div>
    <w:div w:id="181944525">
      <w:bodyDiv w:val="1"/>
      <w:marLeft w:val="0"/>
      <w:marRight w:val="0"/>
      <w:marTop w:val="0"/>
      <w:marBottom w:val="0"/>
      <w:divBdr>
        <w:top w:val="none" w:sz="0" w:space="0" w:color="auto"/>
        <w:left w:val="none" w:sz="0" w:space="0" w:color="auto"/>
        <w:bottom w:val="none" w:sz="0" w:space="0" w:color="auto"/>
        <w:right w:val="none" w:sz="0" w:space="0" w:color="auto"/>
      </w:divBdr>
    </w:div>
    <w:div w:id="428431920">
      <w:bodyDiv w:val="1"/>
      <w:marLeft w:val="0"/>
      <w:marRight w:val="0"/>
      <w:marTop w:val="0"/>
      <w:marBottom w:val="0"/>
      <w:divBdr>
        <w:top w:val="none" w:sz="0" w:space="0" w:color="auto"/>
        <w:left w:val="none" w:sz="0" w:space="0" w:color="auto"/>
        <w:bottom w:val="none" w:sz="0" w:space="0" w:color="auto"/>
        <w:right w:val="none" w:sz="0" w:space="0" w:color="auto"/>
      </w:divBdr>
    </w:div>
    <w:div w:id="447890763">
      <w:bodyDiv w:val="1"/>
      <w:marLeft w:val="0"/>
      <w:marRight w:val="0"/>
      <w:marTop w:val="0"/>
      <w:marBottom w:val="0"/>
      <w:divBdr>
        <w:top w:val="none" w:sz="0" w:space="0" w:color="auto"/>
        <w:left w:val="none" w:sz="0" w:space="0" w:color="auto"/>
        <w:bottom w:val="none" w:sz="0" w:space="0" w:color="auto"/>
        <w:right w:val="none" w:sz="0" w:space="0" w:color="auto"/>
      </w:divBdr>
    </w:div>
    <w:div w:id="664864760">
      <w:bodyDiv w:val="1"/>
      <w:marLeft w:val="0"/>
      <w:marRight w:val="0"/>
      <w:marTop w:val="0"/>
      <w:marBottom w:val="0"/>
      <w:divBdr>
        <w:top w:val="none" w:sz="0" w:space="0" w:color="auto"/>
        <w:left w:val="none" w:sz="0" w:space="0" w:color="auto"/>
        <w:bottom w:val="none" w:sz="0" w:space="0" w:color="auto"/>
        <w:right w:val="none" w:sz="0" w:space="0" w:color="auto"/>
      </w:divBdr>
    </w:div>
    <w:div w:id="817455304">
      <w:bodyDiv w:val="1"/>
      <w:marLeft w:val="0"/>
      <w:marRight w:val="0"/>
      <w:marTop w:val="0"/>
      <w:marBottom w:val="0"/>
      <w:divBdr>
        <w:top w:val="none" w:sz="0" w:space="0" w:color="auto"/>
        <w:left w:val="none" w:sz="0" w:space="0" w:color="auto"/>
        <w:bottom w:val="none" w:sz="0" w:space="0" w:color="auto"/>
        <w:right w:val="none" w:sz="0" w:space="0" w:color="auto"/>
      </w:divBdr>
    </w:div>
    <w:div w:id="851990095">
      <w:bodyDiv w:val="1"/>
      <w:marLeft w:val="0"/>
      <w:marRight w:val="0"/>
      <w:marTop w:val="0"/>
      <w:marBottom w:val="0"/>
      <w:divBdr>
        <w:top w:val="none" w:sz="0" w:space="0" w:color="auto"/>
        <w:left w:val="none" w:sz="0" w:space="0" w:color="auto"/>
        <w:bottom w:val="none" w:sz="0" w:space="0" w:color="auto"/>
        <w:right w:val="none" w:sz="0" w:space="0" w:color="auto"/>
      </w:divBdr>
    </w:div>
    <w:div w:id="999769292">
      <w:bodyDiv w:val="1"/>
      <w:marLeft w:val="0"/>
      <w:marRight w:val="0"/>
      <w:marTop w:val="0"/>
      <w:marBottom w:val="0"/>
      <w:divBdr>
        <w:top w:val="none" w:sz="0" w:space="0" w:color="auto"/>
        <w:left w:val="none" w:sz="0" w:space="0" w:color="auto"/>
        <w:bottom w:val="none" w:sz="0" w:space="0" w:color="auto"/>
        <w:right w:val="none" w:sz="0" w:space="0" w:color="auto"/>
      </w:divBdr>
    </w:div>
    <w:div w:id="1107233097">
      <w:bodyDiv w:val="1"/>
      <w:marLeft w:val="0"/>
      <w:marRight w:val="0"/>
      <w:marTop w:val="0"/>
      <w:marBottom w:val="0"/>
      <w:divBdr>
        <w:top w:val="none" w:sz="0" w:space="0" w:color="auto"/>
        <w:left w:val="none" w:sz="0" w:space="0" w:color="auto"/>
        <w:bottom w:val="none" w:sz="0" w:space="0" w:color="auto"/>
        <w:right w:val="none" w:sz="0" w:space="0" w:color="auto"/>
      </w:divBdr>
    </w:div>
    <w:div w:id="1186478240">
      <w:bodyDiv w:val="1"/>
      <w:marLeft w:val="0"/>
      <w:marRight w:val="0"/>
      <w:marTop w:val="0"/>
      <w:marBottom w:val="0"/>
      <w:divBdr>
        <w:top w:val="none" w:sz="0" w:space="0" w:color="auto"/>
        <w:left w:val="none" w:sz="0" w:space="0" w:color="auto"/>
        <w:bottom w:val="none" w:sz="0" w:space="0" w:color="auto"/>
        <w:right w:val="none" w:sz="0" w:space="0" w:color="auto"/>
      </w:divBdr>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497841196">
      <w:bodyDiv w:val="1"/>
      <w:marLeft w:val="0"/>
      <w:marRight w:val="0"/>
      <w:marTop w:val="0"/>
      <w:marBottom w:val="0"/>
      <w:divBdr>
        <w:top w:val="none" w:sz="0" w:space="0" w:color="auto"/>
        <w:left w:val="none" w:sz="0" w:space="0" w:color="auto"/>
        <w:bottom w:val="none" w:sz="0" w:space="0" w:color="auto"/>
        <w:right w:val="none" w:sz="0" w:space="0" w:color="auto"/>
      </w:divBdr>
    </w:div>
    <w:div w:id="1497964973">
      <w:bodyDiv w:val="1"/>
      <w:marLeft w:val="0"/>
      <w:marRight w:val="0"/>
      <w:marTop w:val="0"/>
      <w:marBottom w:val="0"/>
      <w:divBdr>
        <w:top w:val="none" w:sz="0" w:space="0" w:color="auto"/>
        <w:left w:val="none" w:sz="0" w:space="0" w:color="auto"/>
        <w:bottom w:val="none" w:sz="0" w:space="0" w:color="auto"/>
        <w:right w:val="none" w:sz="0" w:space="0" w:color="auto"/>
      </w:divBdr>
    </w:div>
    <w:div w:id="1573657417">
      <w:bodyDiv w:val="1"/>
      <w:marLeft w:val="0"/>
      <w:marRight w:val="0"/>
      <w:marTop w:val="0"/>
      <w:marBottom w:val="0"/>
      <w:divBdr>
        <w:top w:val="none" w:sz="0" w:space="0" w:color="auto"/>
        <w:left w:val="none" w:sz="0" w:space="0" w:color="auto"/>
        <w:bottom w:val="none" w:sz="0" w:space="0" w:color="auto"/>
        <w:right w:val="none" w:sz="0" w:space="0" w:color="auto"/>
      </w:divBdr>
    </w:div>
    <w:div w:id="1633096838">
      <w:bodyDiv w:val="1"/>
      <w:marLeft w:val="0"/>
      <w:marRight w:val="0"/>
      <w:marTop w:val="0"/>
      <w:marBottom w:val="0"/>
      <w:divBdr>
        <w:top w:val="none" w:sz="0" w:space="0" w:color="auto"/>
        <w:left w:val="none" w:sz="0" w:space="0" w:color="auto"/>
        <w:bottom w:val="none" w:sz="0" w:space="0" w:color="auto"/>
        <w:right w:val="none" w:sz="0" w:space="0" w:color="auto"/>
      </w:divBdr>
    </w:div>
    <w:div w:id="1638950850">
      <w:bodyDiv w:val="1"/>
      <w:marLeft w:val="0"/>
      <w:marRight w:val="0"/>
      <w:marTop w:val="0"/>
      <w:marBottom w:val="0"/>
      <w:divBdr>
        <w:top w:val="none" w:sz="0" w:space="0" w:color="auto"/>
        <w:left w:val="none" w:sz="0" w:space="0" w:color="auto"/>
        <w:bottom w:val="none" w:sz="0" w:space="0" w:color="auto"/>
        <w:right w:val="none" w:sz="0" w:space="0" w:color="auto"/>
      </w:divBdr>
    </w:div>
    <w:div w:id="1645701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403136">
      <w:bodyDiv w:val="1"/>
      <w:marLeft w:val="0"/>
      <w:marRight w:val="0"/>
      <w:marTop w:val="0"/>
      <w:marBottom w:val="0"/>
      <w:divBdr>
        <w:top w:val="none" w:sz="0" w:space="0" w:color="auto"/>
        <w:left w:val="none" w:sz="0" w:space="0" w:color="auto"/>
        <w:bottom w:val="none" w:sz="0" w:space="0" w:color="auto"/>
        <w:right w:val="none" w:sz="0" w:space="0" w:color="auto"/>
      </w:divBdr>
    </w:div>
    <w:div w:id="1896045534">
      <w:bodyDiv w:val="1"/>
      <w:marLeft w:val="0"/>
      <w:marRight w:val="0"/>
      <w:marTop w:val="0"/>
      <w:marBottom w:val="0"/>
      <w:divBdr>
        <w:top w:val="none" w:sz="0" w:space="0" w:color="auto"/>
        <w:left w:val="none" w:sz="0" w:space="0" w:color="auto"/>
        <w:bottom w:val="none" w:sz="0" w:space="0" w:color="auto"/>
        <w:right w:val="none" w:sz="0" w:space="0" w:color="auto"/>
      </w:divBdr>
    </w:div>
    <w:div w:id="1951358337">
      <w:bodyDiv w:val="1"/>
      <w:marLeft w:val="0"/>
      <w:marRight w:val="0"/>
      <w:marTop w:val="0"/>
      <w:marBottom w:val="0"/>
      <w:divBdr>
        <w:top w:val="none" w:sz="0" w:space="0" w:color="auto"/>
        <w:left w:val="none" w:sz="0" w:space="0" w:color="auto"/>
        <w:bottom w:val="none" w:sz="0" w:space="0" w:color="auto"/>
        <w:right w:val="none" w:sz="0" w:space="0" w:color="auto"/>
      </w:divBdr>
    </w:div>
    <w:div w:id="211701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64DB"/>
    <w:rsid w:val="004108B1"/>
    <w:rsid w:val="00602DBB"/>
    <w:rsid w:val="006C223A"/>
    <w:rsid w:val="00733948"/>
    <w:rsid w:val="00823E28"/>
    <w:rsid w:val="009405F6"/>
    <w:rsid w:val="00A939E7"/>
    <w:rsid w:val="00AB44F1"/>
    <w:rsid w:val="00B27754"/>
    <w:rsid w:val="00BD73EC"/>
    <w:rsid w:val="00C46B03"/>
    <w:rsid w:val="00D7165A"/>
    <w:rsid w:val="00E715BD"/>
    <w:rsid w:val="00EA0868"/>
    <w:rsid w:val="00F64AE8"/>
    <w:rsid w:val="00FE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165/20</dc:title>
  <dc:creator/>
  <cp:lastModifiedBy/>
  <cp:revision>1</cp:revision>
  <dcterms:created xsi:type="dcterms:W3CDTF">2020-08-03T18:46:00Z</dcterms:created>
  <dcterms:modified xsi:type="dcterms:W3CDTF">2020-08-03T18:46:00Z</dcterms:modified>
</cp:coreProperties>
</file>