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9B72" w14:textId="77777777" w:rsidR="00583C84" w:rsidRDefault="00583C84" w:rsidP="0045789B">
      <w:pPr>
        <w:pStyle w:val="LightGrid-Accent31"/>
        <w:spacing w:after="0" w:line="240" w:lineRule="auto"/>
        <w:jc w:val="both"/>
        <w:rPr>
          <w:rFonts w:ascii="Cambria" w:hAnsi="Cambria"/>
          <w:color w:val="000000"/>
        </w:rPr>
      </w:pPr>
    </w:p>
    <w:p w14:paraId="55B83722" w14:textId="77777777" w:rsidR="00B130F3" w:rsidRPr="00DD1E2F" w:rsidRDefault="00B130F3" w:rsidP="0045789B">
      <w:pPr>
        <w:pStyle w:val="LightGrid-Accent31"/>
        <w:spacing w:after="0" w:line="240" w:lineRule="auto"/>
        <w:jc w:val="both"/>
        <w:rPr>
          <w:rFonts w:ascii="Cambria" w:hAnsi="Cambria"/>
          <w:color w:val="000000"/>
        </w:rPr>
      </w:pPr>
    </w:p>
    <w:p w14:paraId="17280193"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TECHNICAL INFORMATION SHEET</w:t>
      </w:r>
    </w:p>
    <w:p w14:paraId="74D11F4B" w14:textId="77777777" w:rsidR="00583C84" w:rsidRPr="00DD1E2F" w:rsidRDefault="00583C84" w:rsidP="0045789B">
      <w:pPr>
        <w:spacing w:after="0" w:line="240" w:lineRule="auto"/>
        <w:jc w:val="center"/>
        <w:rPr>
          <w:rFonts w:ascii="Cambria" w:eastAsia="Batang" w:hAnsi="Cambria"/>
          <w:b/>
          <w:color w:val="000000"/>
          <w:lang w:val="es-CO"/>
        </w:rPr>
      </w:pPr>
      <w:r w:rsidRPr="00DD1E2F">
        <w:rPr>
          <w:rFonts w:ascii="Cambria" w:eastAsia="Batang" w:hAnsi="Cambria"/>
          <w:b/>
          <w:color w:val="000000"/>
          <w:lang w:val="es-CO"/>
        </w:rPr>
        <w:t>CASE 11.626 B LUIS ENRIQUE CAÑOLA VALENCIA</w:t>
      </w:r>
    </w:p>
    <w:p w14:paraId="15AA779C" w14:textId="77777777" w:rsidR="00583C84" w:rsidRPr="00DD1E2F" w:rsidRDefault="00583C84" w:rsidP="0045789B">
      <w:pPr>
        <w:spacing w:after="0" w:line="240" w:lineRule="auto"/>
        <w:jc w:val="center"/>
        <w:rPr>
          <w:rFonts w:ascii="Cambria" w:eastAsia="Batang" w:hAnsi="Cambria"/>
          <w:b/>
          <w:color w:val="000000"/>
        </w:rPr>
      </w:pPr>
      <w:r w:rsidRPr="00DD1E2F">
        <w:rPr>
          <w:rFonts w:ascii="Cambria" w:hAnsi="Cambria"/>
          <w:b/>
          <w:color w:val="000000"/>
        </w:rPr>
        <w:t xml:space="preserve">REPORT ON FRIENDLY SETTLEMENT AGREEMENT Nº </w:t>
      </w:r>
      <w:r w:rsidRPr="00DD1E2F">
        <w:rPr>
          <w:rFonts w:ascii="Cambria" w:hAnsi="Cambria" w:cs="Calibri"/>
          <w:b/>
          <w:bCs/>
          <w:color w:val="000000"/>
        </w:rPr>
        <w:t>82/20</w:t>
      </w:r>
    </w:p>
    <w:p w14:paraId="47BB5CC9"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rPr>
        <w:t>ARCHIVE</w:t>
      </w:r>
    </w:p>
    <w:p w14:paraId="79E35EF0" w14:textId="77777777" w:rsidR="00583C84" w:rsidRPr="00DD1E2F" w:rsidRDefault="00981586" w:rsidP="0045789B">
      <w:pPr>
        <w:spacing w:after="0" w:line="240" w:lineRule="auto"/>
        <w:jc w:val="center"/>
        <w:rPr>
          <w:rFonts w:ascii="Cambria" w:eastAsia="Batang" w:hAnsi="Cambria"/>
          <w:b/>
          <w:color w:val="000000"/>
        </w:rPr>
      </w:pPr>
      <w:r w:rsidRPr="00DD1E2F">
        <w:rPr>
          <w:rFonts w:ascii="Cambria" w:eastAsia="Batang" w:hAnsi="Cambria"/>
          <w:b/>
          <w:color w:val="000000"/>
        </w:rPr>
        <w:t>(ECUADOR</w:t>
      </w:r>
      <w:r w:rsidR="00583C84" w:rsidRPr="00DD1E2F">
        <w:rPr>
          <w:rFonts w:ascii="Cambria" w:eastAsia="Batang" w:hAnsi="Cambria"/>
          <w:b/>
          <w:color w:val="000000"/>
        </w:rPr>
        <w:t>)</w:t>
      </w:r>
    </w:p>
    <w:p w14:paraId="22BE07D0" w14:textId="77777777" w:rsidR="00583C84" w:rsidRPr="00DD1E2F" w:rsidRDefault="00583C84" w:rsidP="0045789B">
      <w:pPr>
        <w:spacing w:after="0" w:line="240" w:lineRule="auto"/>
        <w:ind w:right="-270"/>
        <w:jc w:val="center"/>
        <w:rPr>
          <w:rFonts w:ascii="Cambria" w:eastAsia="Batang" w:hAnsi="Cambria"/>
          <w:b/>
          <w:color w:val="000000"/>
        </w:rPr>
      </w:pPr>
    </w:p>
    <w:p w14:paraId="6F3E7C51" w14:textId="77777777" w:rsidR="00583C84" w:rsidRPr="00DD1E2F" w:rsidRDefault="00583C84" w:rsidP="00AD711F">
      <w:pPr>
        <w:numPr>
          <w:ilvl w:val="0"/>
          <w:numId w:val="90"/>
        </w:numPr>
        <w:tabs>
          <w:tab w:val="left" w:pos="720"/>
        </w:tabs>
        <w:spacing w:after="0" w:line="240" w:lineRule="auto"/>
        <w:ind w:left="-142" w:firstLine="862"/>
        <w:rPr>
          <w:rFonts w:ascii="Cambria" w:eastAsia="Batang" w:hAnsi="Cambria" w:cs="Calibri Light"/>
          <w:b/>
          <w:color w:val="000000"/>
        </w:rPr>
      </w:pPr>
      <w:r w:rsidRPr="00DD1E2F">
        <w:rPr>
          <w:rFonts w:ascii="Cambria" w:eastAsia="Batang" w:hAnsi="Cambria" w:cs="Calibri Light"/>
          <w:b/>
          <w:color w:val="000000"/>
        </w:rPr>
        <w:t xml:space="preserve">SUMMARY OF THE CASE </w:t>
      </w:r>
    </w:p>
    <w:p w14:paraId="4B3433C0" w14:textId="77777777" w:rsidR="00583C84" w:rsidRPr="00DD1E2F" w:rsidRDefault="00583C84" w:rsidP="0045789B">
      <w:pPr>
        <w:spacing w:after="0" w:line="240" w:lineRule="auto"/>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2A940814" w14:textId="77777777" w:rsidTr="003408C5">
        <w:trPr>
          <w:trHeight w:val="6484"/>
          <w:jc w:val="center"/>
        </w:trPr>
        <w:tc>
          <w:tcPr>
            <w:tcW w:w="9576" w:type="dxa"/>
            <w:shd w:val="clear" w:color="auto" w:fill="F2F2F2"/>
          </w:tcPr>
          <w:p w14:paraId="2CB21E33" w14:textId="77777777" w:rsidR="00583C84" w:rsidRPr="00DD1E2F" w:rsidRDefault="00583C84" w:rsidP="0045789B">
            <w:pPr>
              <w:tabs>
                <w:tab w:val="left" w:pos="9270"/>
              </w:tabs>
              <w:spacing w:after="0" w:line="240" w:lineRule="auto"/>
              <w:jc w:val="both"/>
              <w:rPr>
                <w:rFonts w:ascii="Cambria" w:eastAsia="Batang" w:hAnsi="Cambria"/>
                <w:color w:val="000000"/>
                <w:lang w:val="es-AR"/>
              </w:rPr>
            </w:pPr>
            <w:r w:rsidRPr="00DD1E2F">
              <w:rPr>
                <w:rFonts w:ascii="Cambria" w:eastAsia="Batang" w:hAnsi="Cambria"/>
                <w:b/>
                <w:color w:val="000000"/>
                <w:lang w:val="es-AR"/>
              </w:rPr>
              <w:t>Victim (s):</w:t>
            </w:r>
            <w:r w:rsidRPr="00DD1E2F">
              <w:rPr>
                <w:rFonts w:ascii="Cambria" w:eastAsia="Batang" w:hAnsi="Cambria"/>
                <w:color w:val="000000"/>
                <w:lang w:val="es-AR"/>
              </w:rPr>
              <w:t xml:space="preserve"> Luis Enrique Cañola Valencia</w:t>
            </w:r>
          </w:p>
          <w:p w14:paraId="483D4F03" w14:textId="77777777" w:rsidR="00583C84" w:rsidRPr="00DD1E2F" w:rsidRDefault="00583C84" w:rsidP="0045789B">
            <w:pPr>
              <w:tabs>
                <w:tab w:val="left" w:pos="9270"/>
              </w:tabs>
              <w:spacing w:after="0" w:line="240" w:lineRule="auto"/>
              <w:jc w:val="both"/>
              <w:rPr>
                <w:rFonts w:ascii="Cambria" w:eastAsia="Batang" w:hAnsi="Cambria"/>
                <w:bCs/>
                <w:color w:val="000000"/>
              </w:rPr>
            </w:pPr>
            <w:r w:rsidRPr="00DD1E2F">
              <w:rPr>
                <w:rFonts w:ascii="Cambria" w:eastAsia="Batang" w:hAnsi="Cambria"/>
                <w:b/>
                <w:color w:val="000000"/>
              </w:rPr>
              <w:t xml:space="preserve">Petitioner (s): </w:t>
            </w:r>
            <w:r w:rsidRPr="00DD1E2F">
              <w:rPr>
                <w:rFonts w:ascii="Cambria" w:eastAsia="Batang" w:hAnsi="Cambria"/>
                <w:bCs/>
                <w:color w:val="000000"/>
              </w:rPr>
              <w:t xml:space="preserve">Ecumenical Commission for Human Rights </w:t>
            </w:r>
          </w:p>
          <w:p w14:paraId="730D00AD"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State:</w:t>
            </w:r>
            <w:r w:rsidRPr="00DD1E2F">
              <w:rPr>
                <w:rFonts w:ascii="Cambria" w:eastAsia="Batang" w:hAnsi="Cambria"/>
                <w:color w:val="000000"/>
              </w:rPr>
              <w:t xml:space="preserve"> Ecuador</w:t>
            </w:r>
          </w:p>
          <w:p w14:paraId="54DFDDD7"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hAnsi="Cambria"/>
                <w:b/>
                <w:bCs/>
                <w:color w:val="000000"/>
              </w:rPr>
              <w:t xml:space="preserve">Negotiation start date: </w:t>
            </w:r>
            <w:r w:rsidRPr="00DD1E2F">
              <w:rPr>
                <w:rFonts w:ascii="Cambria" w:hAnsi="Cambria"/>
                <w:color w:val="000000"/>
              </w:rPr>
              <w:t>June 11, 1999</w:t>
            </w:r>
          </w:p>
          <w:p w14:paraId="2B4E57A6" w14:textId="77777777" w:rsidR="00583C84" w:rsidRPr="00DD1E2F" w:rsidRDefault="00583C84" w:rsidP="0045789B">
            <w:pPr>
              <w:tabs>
                <w:tab w:val="left" w:pos="9270"/>
              </w:tabs>
              <w:spacing w:after="0" w:line="240" w:lineRule="auto"/>
              <w:jc w:val="both"/>
              <w:rPr>
                <w:rFonts w:ascii="Cambria" w:hAnsi="Cambria"/>
                <w:color w:val="000000"/>
              </w:rPr>
            </w:pPr>
            <w:r w:rsidRPr="00DD1E2F">
              <w:rPr>
                <w:rFonts w:ascii="Cambria" w:hAnsi="Cambria"/>
                <w:b/>
                <w:bCs/>
                <w:color w:val="000000"/>
              </w:rPr>
              <w:t xml:space="preserve">Date FSA signed: </w:t>
            </w:r>
            <w:r w:rsidRPr="00DD1E2F">
              <w:rPr>
                <w:rFonts w:ascii="Cambria" w:hAnsi="Cambria"/>
                <w:color w:val="000000"/>
              </w:rPr>
              <w:t>June 11, 1999</w:t>
            </w:r>
          </w:p>
          <w:p w14:paraId="77854D46" w14:textId="77777777" w:rsidR="00583C84" w:rsidRPr="00DD1E2F" w:rsidRDefault="00583C84" w:rsidP="0045789B">
            <w:pPr>
              <w:tabs>
                <w:tab w:val="left" w:pos="9270"/>
              </w:tabs>
              <w:spacing w:after="0" w:line="240" w:lineRule="auto"/>
              <w:jc w:val="both"/>
              <w:rPr>
                <w:rFonts w:ascii="Cambria" w:eastAsia="Batang" w:hAnsi="Cambria"/>
                <w:b/>
                <w:color w:val="000000"/>
              </w:rPr>
            </w:pPr>
            <w:r w:rsidRPr="00DD1E2F">
              <w:rPr>
                <w:rFonts w:ascii="Cambria" w:eastAsia="Batang" w:hAnsi="Cambria"/>
                <w:b/>
                <w:color w:val="000000"/>
              </w:rPr>
              <w:t xml:space="preserve">Report on Friendly Settlement Agreement </w:t>
            </w:r>
            <w:r w:rsidRPr="00DD1E2F">
              <w:rPr>
                <w:rFonts w:ascii="Cambria" w:eastAsia="Batang" w:hAnsi="Cambria"/>
                <w:bCs/>
                <w:color w:val="000000"/>
              </w:rPr>
              <w:t xml:space="preserve">Nº </w:t>
            </w:r>
            <w:hyperlink r:id="rId12" w:history="1">
              <w:r w:rsidRPr="00DD1E2F">
                <w:rPr>
                  <w:rFonts w:ascii="Cambria" w:eastAsia="Batang" w:hAnsi="Cambria"/>
                  <w:b/>
                  <w:bCs/>
                  <w:u w:val="single"/>
                </w:rPr>
                <w:t>82/20</w:t>
              </w:r>
            </w:hyperlink>
            <w:r w:rsidRPr="00DD1E2F">
              <w:rPr>
                <w:rFonts w:ascii="Cambria" w:eastAsia="Batang" w:hAnsi="Cambria"/>
                <w:bCs/>
              </w:rPr>
              <w:t>,</w:t>
            </w:r>
            <w:r w:rsidRPr="00DD1E2F">
              <w:rPr>
                <w:rFonts w:ascii="Cambria" w:eastAsia="Batang" w:hAnsi="Cambria"/>
                <w:bCs/>
                <w:color w:val="000000"/>
              </w:rPr>
              <w:t xml:space="preserve"> published on June 1, 2020</w:t>
            </w:r>
          </w:p>
          <w:p w14:paraId="4FF26BB1" w14:textId="77777777" w:rsidR="00583C84" w:rsidRPr="00DD1E2F" w:rsidRDefault="00583C84" w:rsidP="0045789B">
            <w:pPr>
              <w:tabs>
                <w:tab w:val="left" w:pos="9270"/>
              </w:tabs>
              <w:spacing w:after="0" w:line="240" w:lineRule="auto"/>
              <w:jc w:val="both"/>
              <w:rPr>
                <w:rFonts w:ascii="Cambria" w:hAnsi="Cambria"/>
                <w:color w:val="000000"/>
              </w:rPr>
            </w:pPr>
            <w:r w:rsidRPr="00DD1E2F">
              <w:rPr>
                <w:rFonts w:ascii="Cambria" w:hAnsi="Cambria"/>
                <w:b/>
                <w:bCs/>
                <w:color w:val="000000"/>
              </w:rPr>
              <w:t xml:space="preserve">Estimated length of negotiation phase: </w:t>
            </w:r>
            <w:r w:rsidRPr="00DD1E2F">
              <w:rPr>
                <w:rFonts w:ascii="Cambria" w:hAnsi="Cambria"/>
                <w:bCs/>
                <w:color w:val="000000"/>
              </w:rPr>
              <w:t>21 years</w:t>
            </w:r>
          </w:p>
          <w:p w14:paraId="221A497B" w14:textId="77777777" w:rsidR="00583C84" w:rsidRPr="00DD1E2F" w:rsidRDefault="00CE4346"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Rapporteurship</w:t>
            </w:r>
            <w:r w:rsidR="00583C84" w:rsidRPr="00DD1E2F">
              <w:rPr>
                <w:rFonts w:ascii="Cambria" w:eastAsia="Batang" w:hAnsi="Cambria"/>
                <w:b/>
                <w:color w:val="000000"/>
              </w:rPr>
              <w:t xml:space="preserve"> involved:</w:t>
            </w:r>
            <w:r w:rsidR="00583C84" w:rsidRPr="00DD1E2F">
              <w:rPr>
                <w:rFonts w:ascii="Cambria" w:eastAsia="Batang" w:hAnsi="Cambria"/>
                <w:color w:val="000000"/>
              </w:rPr>
              <w:t xml:space="preserve"> Persons Deprived of Liberty </w:t>
            </w:r>
          </w:p>
          <w:p w14:paraId="6581C7E7"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 xml:space="preserve">Topics: </w:t>
            </w:r>
            <w:r w:rsidRPr="00DD1E2F">
              <w:rPr>
                <w:rFonts w:ascii="Cambria" w:eastAsia="Batang" w:hAnsi="Cambria"/>
                <w:bCs/>
                <w:color w:val="000000"/>
              </w:rPr>
              <w:t>Right to Life</w:t>
            </w:r>
            <w:r w:rsidRPr="00DD1E2F">
              <w:rPr>
                <w:rFonts w:ascii="Cambria" w:eastAsia="Batang" w:hAnsi="Cambria"/>
                <w:color w:val="000000"/>
              </w:rPr>
              <w:t xml:space="preserve"> / Forced disappearance / Arbitrary or illegal detention / Fair trial rights /</w:t>
            </w:r>
            <w:r w:rsidRPr="00DD1E2F">
              <w:rPr>
                <w:rFonts w:ascii="Cambria" w:eastAsia="Batang" w:hAnsi="Cambria"/>
                <w:b/>
                <w:color w:val="000000"/>
              </w:rPr>
              <w:t xml:space="preserve"> </w:t>
            </w:r>
            <w:r w:rsidRPr="00DD1E2F">
              <w:rPr>
                <w:rFonts w:ascii="Cambria" w:eastAsia="Batang" w:hAnsi="Cambria"/>
                <w:bCs/>
                <w:color w:val="000000"/>
              </w:rPr>
              <w:t xml:space="preserve">Investigation and due diligence </w:t>
            </w:r>
            <w:r w:rsidRPr="00DD1E2F">
              <w:rPr>
                <w:rFonts w:ascii="Cambria" w:eastAsia="Batang" w:hAnsi="Cambria"/>
                <w:color w:val="000000"/>
              </w:rPr>
              <w:t xml:space="preserve">/ Judicial protection / Security and violence / Torture, cruel, inhuman and/or degrading treatment / Police violence </w:t>
            </w:r>
          </w:p>
          <w:p w14:paraId="3EDEC90D" w14:textId="77777777" w:rsidR="00583C84" w:rsidRPr="00DD1E2F" w:rsidRDefault="00583C84" w:rsidP="0045789B">
            <w:pPr>
              <w:tabs>
                <w:tab w:val="left" w:pos="9270"/>
              </w:tabs>
              <w:spacing w:after="0" w:line="240" w:lineRule="auto"/>
              <w:jc w:val="both"/>
              <w:rPr>
                <w:rFonts w:ascii="Cambria" w:eastAsia="Batang" w:hAnsi="Cambria"/>
                <w:color w:val="000000"/>
              </w:rPr>
            </w:pPr>
          </w:p>
          <w:p w14:paraId="03D3D34A" w14:textId="77777777" w:rsidR="00583C84" w:rsidRPr="00DD1E2F" w:rsidRDefault="00583C84" w:rsidP="0045789B">
            <w:pPr>
              <w:autoSpaceDE w:val="0"/>
              <w:autoSpaceDN w:val="0"/>
              <w:adjustRightInd w:val="0"/>
              <w:spacing w:after="0" w:line="240" w:lineRule="auto"/>
              <w:jc w:val="both"/>
              <w:rPr>
                <w:rFonts w:ascii="Cambria" w:hAnsi="Cambria" w:cs="Cambria"/>
                <w:bCs/>
                <w:color w:val="000000"/>
                <w:lang w:eastAsia="es-MX"/>
              </w:rPr>
            </w:pPr>
            <w:r w:rsidRPr="00DD1E2F">
              <w:rPr>
                <w:rFonts w:ascii="Cambria" w:eastAsia="Batang" w:hAnsi="Cambria" w:cs="Cambria"/>
                <w:b/>
                <w:color w:val="000000"/>
                <w:lang w:eastAsia="es-AR"/>
              </w:rPr>
              <w:t>Facts:</w:t>
            </w:r>
            <w:r w:rsidRPr="00DD1E2F">
              <w:rPr>
                <w:rFonts w:ascii="Cambria" w:eastAsia="Batang" w:hAnsi="Cambria" w:cs="Cambria"/>
                <w:bCs/>
                <w:color w:val="000000"/>
                <w:lang w:eastAsia="es-AR"/>
              </w:rPr>
              <w:t xml:space="preserve"> The petitioner contended that on April 12, 1993, Luis Enrique Cañola Gonzáles Valencia was detained by police agents in the Chacana sector of the Chura Parrish in the canton of Quinindé of the Province of Esmeraldas in the company of Santo Cañola Gonzáles; subsequent to the detentions, the alleged victims were taken to Viche, where they were placed at the orders of an Ecuadorian Police Lieutenant. Additionally, the petitioner claimed that the alleged victims were taken by police agents to Esmeraldas, where two hours later their lifeless bodies were found, in the city’s cemetery, along with the corpse of Fredy Oreste Cañola Valencia, with signs of torture and bullet holes.  The petitioner further reported that in May 1994, he filed a private criminal complaint and that subsequently a criminal trial was held before the Fourth Court for Criminal Matters of Quinindé and that the Judge had “dropped the criminal case.” He also reported that he had filed a complaint about the dropping of the two criminal cases with the Human Rights Committee of Esmeraldas and that, as of the time of the filing of the petition; the case was pending before the Superior Court of Esmeraldas. </w:t>
            </w:r>
          </w:p>
          <w:p w14:paraId="705D7002" w14:textId="77777777" w:rsidR="00583C84" w:rsidRPr="00DD1E2F" w:rsidRDefault="00583C84" w:rsidP="0045789B">
            <w:pPr>
              <w:tabs>
                <w:tab w:val="left" w:pos="9270"/>
              </w:tabs>
              <w:spacing w:after="0" w:line="240" w:lineRule="auto"/>
              <w:jc w:val="both"/>
              <w:rPr>
                <w:rFonts w:ascii="Cambria" w:eastAsia="Batang" w:hAnsi="Cambria"/>
                <w:color w:val="000000"/>
              </w:rPr>
            </w:pPr>
          </w:p>
          <w:p w14:paraId="4B9EEA6C" w14:textId="77777777" w:rsidR="00583C84" w:rsidRPr="00DD1E2F" w:rsidRDefault="00583C84" w:rsidP="0045789B">
            <w:pPr>
              <w:tabs>
                <w:tab w:val="left" w:pos="9270"/>
              </w:tabs>
              <w:spacing w:after="0" w:line="240" w:lineRule="auto"/>
              <w:jc w:val="both"/>
              <w:rPr>
                <w:rFonts w:ascii="Cambria" w:eastAsia="Batang" w:hAnsi="Cambria"/>
                <w:bCs/>
                <w:color w:val="000000"/>
              </w:rPr>
            </w:pPr>
            <w:r w:rsidRPr="00DD1E2F">
              <w:rPr>
                <w:rFonts w:ascii="Cambria" w:eastAsia="Batang" w:hAnsi="Cambria"/>
                <w:b/>
                <w:color w:val="000000"/>
              </w:rPr>
              <w:t xml:space="preserve">Rights alleged: </w:t>
            </w:r>
            <w:r w:rsidRPr="00DD1E2F">
              <w:rPr>
                <w:rFonts w:ascii="Cambria" w:eastAsia="Batang" w:hAnsi="Cambria"/>
                <w:bCs/>
                <w:color w:val="000000"/>
              </w:rPr>
              <w:t>The petitioner alleged that the Republic of Ecuador violated Articles 4 (right to life), 7 (right to personal liberty), 8 (fair trial) and 25 (judicial protection) of the American Convention, in connection with Article 1.1 of the same instrument.</w:t>
            </w:r>
          </w:p>
        </w:tc>
      </w:tr>
    </w:tbl>
    <w:p w14:paraId="0C06AEC0" w14:textId="77777777" w:rsidR="00583C84" w:rsidRPr="00DD1E2F" w:rsidRDefault="00583C84" w:rsidP="0045789B">
      <w:pPr>
        <w:spacing w:after="0" w:line="240" w:lineRule="auto"/>
        <w:rPr>
          <w:rFonts w:ascii="Cambria" w:hAnsi="Cambria"/>
        </w:rPr>
      </w:pPr>
    </w:p>
    <w:p w14:paraId="776ABA2A" w14:textId="77777777" w:rsidR="00583C84" w:rsidRPr="00DD1E2F" w:rsidRDefault="00583C84" w:rsidP="00AD711F">
      <w:pPr>
        <w:pStyle w:val="ListParagraph"/>
        <w:numPr>
          <w:ilvl w:val="0"/>
          <w:numId w:val="92"/>
        </w:numPr>
        <w:spacing w:after="0" w:line="240" w:lineRule="auto"/>
        <w:ind w:left="-142" w:firstLine="851"/>
        <w:jc w:val="both"/>
        <w:rPr>
          <w:rFonts w:ascii="Cambria" w:eastAsia="Batang" w:hAnsi="Cambria" w:cs="Calibri Light"/>
          <w:b/>
          <w:color w:val="000000"/>
          <w:lang w:val="en-US"/>
        </w:rPr>
      </w:pPr>
      <w:r w:rsidRPr="00DD1E2F">
        <w:rPr>
          <w:rFonts w:ascii="Cambria" w:eastAsia="Batang" w:hAnsi="Cambria"/>
          <w:b/>
          <w:color w:val="000000"/>
          <w:lang w:val="en-US"/>
        </w:rPr>
        <w:t xml:space="preserve">       PROCEDURAL ACTIVITY </w:t>
      </w:r>
    </w:p>
    <w:p w14:paraId="5474C2DC" w14:textId="77777777" w:rsidR="00583C84" w:rsidRPr="00DD1E2F" w:rsidRDefault="00583C84" w:rsidP="0045789B">
      <w:pPr>
        <w:spacing w:after="0" w:line="240" w:lineRule="auto"/>
        <w:ind w:left="-142" w:firstLine="851"/>
        <w:jc w:val="both"/>
        <w:rPr>
          <w:rFonts w:ascii="Cambria" w:eastAsia="Batang" w:hAnsi="Cambria" w:cs="Calibri Light"/>
          <w:b/>
          <w:color w:val="000000"/>
        </w:rPr>
      </w:pPr>
    </w:p>
    <w:p w14:paraId="1E645774" w14:textId="77777777" w:rsidR="00583C84" w:rsidRPr="00DD1E2F" w:rsidRDefault="00583C84" w:rsidP="00AD711F">
      <w:pPr>
        <w:pStyle w:val="LightGrid-Accent31"/>
        <w:numPr>
          <w:ilvl w:val="0"/>
          <w:numId w:val="91"/>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 xml:space="preserve">On June 11, </w:t>
      </w:r>
      <w:r w:rsidR="00531C37" w:rsidRPr="00DD1E2F">
        <w:rPr>
          <w:rFonts w:ascii="Cambria" w:hAnsi="Cambria" w:cs="Calibri Light"/>
          <w:bCs/>
          <w:color w:val="000000"/>
        </w:rPr>
        <w:t>1999,</w:t>
      </w:r>
      <w:r w:rsidRPr="00DD1E2F">
        <w:rPr>
          <w:rFonts w:ascii="Cambria" w:hAnsi="Cambria" w:cs="Calibri Light"/>
          <w:bCs/>
          <w:color w:val="000000"/>
        </w:rPr>
        <w:t xml:space="preserve"> the parties signed the friendly settlement agreement.</w:t>
      </w:r>
    </w:p>
    <w:p w14:paraId="0A7BB557" w14:textId="77777777" w:rsidR="00583C84" w:rsidRPr="00DD1E2F" w:rsidRDefault="00583C84" w:rsidP="0045789B">
      <w:pPr>
        <w:pStyle w:val="LightGrid-Accent31"/>
        <w:spacing w:after="0" w:line="240" w:lineRule="auto"/>
        <w:ind w:left="-142" w:firstLine="851"/>
        <w:contextualSpacing w:val="0"/>
        <w:jc w:val="both"/>
        <w:rPr>
          <w:rFonts w:ascii="Cambria" w:hAnsi="Cambria" w:cs="Calibri Light"/>
          <w:bCs/>
          <w:color w:val="000000"/>
        </w:rPr>
      </w:pPr>
    </w:p>
    <w:p w14:paraId="46E886EC" w14:textId="77777777" w:rsidR="00583C84" w:rsidRPr="00DD1E2F" w:rsidRDefault="00583C84" w:rsidP="00AD711F">
      <w:pPr>
        <w:pStyle w:val="LightGrid-Accent31"/>
        <w:numPr>
          <w:ilvl w:val="0"/>
          <w:numId w:val="91"/>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June 1, 2020, the Commission approved the friendly settlement agreement by report No. 82/20.</w:t>
      </w:r>
    </w:p>
    <w:p w14:paraId="618CEE0A" w14:textId="77777777" w:rsidR="00583C84" w:rsidRPr="00DD1E2F" w:rsidRDefault="00583C84" w:rsidP="0045789B">
      <w:pPr>
        <w:pStyle w:val="LightGrid-Accent31"/>
        <w:spacing w:after="0" w:line="240" w:lineRule="auto"/>
        <w:ind w:left="0"/>
        <w:contextualSpacing w:val="0"/>
        <w:jc w:val="both"/>
        <w:rPr>
          <w:rFonts w:ascii="Cambria" w:hAnsi="Cambria" w:cs="Calibri Light"/>
          <w:bCs/>
          <w:color w:val="000000"/>
        </w:rPr>
      </w:pPr>
    </w:p>
    <w:p w14:paraId="7694DB75" w14:textId="77777777" w:rsidR="0092467B" w:rsidRPr="00DD1E2F" w:rsidRDefault="00583C84" w:rsidP="00AD711F">
      <w:pPr>
        <w:numPr>
          <w:ilvl w:val="0"/>
          <w:numId w:val="92"/>
        </w:numPr>
        <w:tabs>
          <w:tab w:val="left" w:pos="1440"/>
        </w:tabs>
        <w:spacing w:after="0" w:line="240" w:lineRule="auto"/>
        <w:contextualSpacing/>
        <w:jc w:val="both"/>
        <w:rPr>
          <w:rFonts w:ascii="Cambria" w:eastAsia="Batang" w:hAnsi="Cambria" w:cs="Calibri Light"/>
          <w:b/>
          <w:color w:val="000000"/>
        </w:rPr>
      </w:pPr>
      <w:r w:rsidRPr="00DD1E2F">
        <w:rPr>
          <w:rFonts w:ascii="Cambria" w:eastAsia="Batang" w:hAnsi="Cambria" w:cs="Calibri Light"/>
          <w:b/>
          <w:color w:val="000000"/>
        </w:rPr>
        <w:lastRenderedPageBreak/>
        <w:t xml:space="preserve">ANALYSIS OF COMPLIANCE WITH COMMITMENTS IN THE FRIENDLY SETTLEMENT AGREEMENT </w:t>
      </w:r>
    </w:p>
    <w:p w14:paraId="47B411F0" w14:textId="77777777" w:rsidR="0092467B" w:rsidRPr="00DD1E2F" w:rsidRDefault="0092467B" w:rsidP="0045789B">
      <w:pPr>
        <w:tabs>
          <w:tab w:val="left" w:pos="1440"/>
        </w:tabs>
        <w:spacing w:after="0" w:line="240" w:lineRule="auto"/>
        <w:ind w:left="1080"/>
        <w:contextualSpacing/>
        <w:jc w:val="both"/>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2787"/>
      </w:tblGrid>
      <w:tr w:rsidR="0092467B" w:rsidRPr="00DD1E2F" w14:paraId="53FECE4D" w14:textId="77777777" w:rsidTr="00AD711F">
        <w:trPr>
          <w:jc w:val="center"/>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20F688" w14:textId="77777777" w:rsidR="0092467B" w:rsidRPr="00DD1E2F" w:rsidRDefault="0092467B" w:rsidP="0045789B">
            <w:pPr>
              <w:tabs>
                <w:tab w:val="center" w:pos="2049"/>
              </w:tabs>
              <w:spacing w:after="0" w:line="240" w:lineRule="auto"/>
              <w:jc w:val="center"/>
              <w:rPr>
                <w:rFonts w:ascii="Cambria" w:eastAsia="Batang" w:hAnsi="Cambria"/>
                <w:b/>
                <w:color w:val="000000"/>
              </w:rPr>
            </w:pPr>
            <w:r w:rsidRPr="00DD1E2F">
              <w:rPr>
                <w:rFonts w:ascii="Cambria" w:eastAsia="Batang" w:hAnsi="Cambria"/>
                <w:b/>
                <w:color w:val="000000"/>
              </w:rPr>
              <w:t xml:space="preserve">Agreement clause </w:t>
            </w:r>
          </w:p>
        </w:tc>
        <w:tc>
          <w:tcPr>
            <w:tcW w:w="28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EB126" w14:textId="77777777" w:rsidR="0092467B" w:rsidRPr="00DD1E2F" w:rsidRDefault="0092467B" w:rsidP="0045789B">
            <w:pPr>
              <w:spacing w:after="0" w:line="240" w:lineRule="auto"/>
              <w:jc w:val="center"/>
              <w:rPr>
                <w:rFonts w:ascii="Cambria" w:eastAsia="Batang" w:hAnsi="Cambria"/>
                <w:b/>
                <w:color w:val="000000"/>
              </w:rPr>
            </w:pPr>
            <w:r w:rsidRPr="00DD1E2F">
              <w:rPr>
                <w:rFonts w:ascii="Cambria" w:eastAsia="Batang" w:hAnsi="Cambria"/>
                <w:b/>
                <w:color w:val="000000"/>
              </w:rPr>
              <w:t>State of compliance</w:t>
            </w:r>
          </w:p>
        </w:tc>
      </w:tr>
      <w:tr w:rsidR="0092467B" w:rsidRPr="00DD1E2F" w14:paraId="59046283" w14:textId="77777777" w:rsidTr="00AD711F">
        <w:trPr>
          <w:trHeight w:val="526"/>
          <w:jc w:val="center"/>
        </w:trPr>
        <w:tc>
          <w:tcPr>
            <w:tcW w:w="0" w:type="auto"/>
            <w:gridSpan w:val="2"/>
            <w:tcBorders>
              <w:top w:val="single" w:sz="4" w:space="0" w:color="auto"/>
              <w:left w:val="single" w:sz="4" w:space="0" w:color="auto"/>
              <w:right w:val="single" w:sz="4" w:space="0" w:color="auto"/>
            </w:tcBorders>
            <w:vAlign w:val="center"/>
          </w:tcPr>
          <w:p w14:paraId="713D5575" w14:textId="77777777" w:rsidR="0092467B" w:rsidRPr="00DD1E2F" w:rsidRDefault="0092467B" w:rsidP="0045789B">
            <w:pPr>
              <w:spacing w:after="0" w:line="240" w:lineRule="auto"/>
              <w:rPr>
                <w:rFonts w:ascii="Cambria" w:eastAsia="Batang" w:hAnsi="Cambria"/>
                <w:b/>
                <w:color w:val="000000"/>
              </w:rPr>
            </w:pPr>
            <w:r w:rsidRPr="00DD1E2F">
              <w:rPr>
                <w:rFonts w:ascii="Cambria" w:eastAsia="Batang" w:hAnsi="Cambria"/>
                <w:b/>
                <w:bCs/>
                <w:color w:val="000000"/>
              </w:rPr>
              <w:t xml:space="preserve">CLAUSE 3. RESPONSIBILITY OF THE STATE AND ADMISSION OF THE FACTS </w:t>
            </w:r>
          </w:p>
        </w:tc>
      </w:tr>
      <w:tr w:rsidR="0092467B" w:rsidRPr="00DD1E2F" w14:paraId="32607DEC" w14:textId="77777777" w:rsidTr="00AD711F">
        <w:trPr>
          <w:trHeight w:val="2015"/>
          <w:jc w:val="center"/>
        </w:trPr>
        <w:tc>
          <w:tcPr>
            <w:tcW w:w="6663" w:type="dxa"/>
            <w:tcBorders>
              <w:top w:val="single" w:sz="4" w:space="0" w:color="auto"/>
              <w:left w:val="single" w:sz="4" w:space="0" w:color="auto"/>
              <w:bottom w:val="single" w:sz="4" w:space="0" w:color="auto"/>
              <w:right w:val="single" w:sz="4" w:space="0" w:color="auto"/>
            </w:tcBorders>
          </w:tcPr>
          <w:p w14:paraId="184422EB" w14:textId="77777777" w:rsidR="0092467B" w:rsidRPr="00DD1E2F" w:rsidRDefault="0092467B" w:rsidP="0045789B">
            <w:pPr>
              <w:spacing w:after="0" w:line="240" w:lineRule="auto"/>
              <w:ind w:right="72"/>
              <w:jc w:val="both"/>
              <w:rPr>
                <w:rFonts w:ascii="Cambria" w:eastAsia="Times New Roman" w:hAnsi="Cambria"/>
                <w:bCs/>
                <w:color w:val="000000"/>
                <w:kern w:val="36"/>
              </w:rPr>
            </w:pPr>
            <w:r w:rsidRPr="00DD1E2F">
              <w:rPr>
                <w:rFonts w:ascii="Cambria" w:eastAsia="Times New Roman" w:hAnsi="Cambria"/>
                <w:bCs/>
                <w:color w:val="000000"/>
                <w:kern w:val="36"/>
              </w:rPr>
              <w:t xml:space="preserve">The  State recognizes its international responsibility for having violated the human rights of Mr. Luis Enrique Cañola Valencia, as recognized in Article 4 (Right to life), Article 7 (Right to personal liberty), Article 8 (Fair trial rights), Article 25 (Judicial protection) and in turn the general obligation set forth in Article 1.1 of the American Convention on Human Rights and other international instruments, with said violations having been committed by agents of the State, and that these acts have not be disproven by the State and have triggered the responsibility thereof vis-à-vis society. With these precedents, the State acquiesced to the facts constituting Case No.11.626, which is being processed before the Inter-American Commission on Human Rights and commits to undertake the necessary measures of reparation in order to redress the damages caused by these violations to the victim or, otherwise, to his heirs. </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8FC575C" w14:textId="77777777" w:rsidR="0092467B" w:rsidRPr="00DD1E2F" w:rsidRDefault="0092467B" w:rsidP="0045789B">
            <w:pPr>
              <w:spacing w:after="0" w:line="240" w:lineRule="auto"/>
              <w:ind w:left="-45" w:firstLine="142"/>
              <w:jc w:val="center"/>
              <w:rPr>
                <w:rFonts w:ascii="Cambria" w:eastAsia="Batang" w:hAnsi="Cambria"/>
                <w:b/>
                <w:bCs/>
                <w:color w:val="000000"/>
              </w:rPr>
            </w:pPr>
            <w:r w:rsidRPr="00DD1E2F">
              <w:rPr>
                <w:rFonts w:ascii="Cambria" w:eastAsia="Batang" w:hAnsi="Cambria"/>
                <w:b/>
                <w:bCs/>
                <w:color w:val="000000"/>
              </w:rPr>
              <w:t xml:space="preserve">Declarative clause </w:t>
            </w:r>
          </w:p>
          <w:p w14:paraId="53B00A8F" w14:textId="77777777" w:rsidR="0092467B" w:rsidRPr="00DD1E2F" w:rsidRDefault="0092467B" w:rsidP="0045789B">
            <w:pPr>
              <w:spacing w:after="0" w:line="240" w:lineRule="auto"/>
              <w:jc w:val="both"/>
              <w:rPr>
                <w:rFonts w:ascii="Cambria" w:eastAsia="Batang" w:hAnsi="Cambria"/>
                <w:b/>
                <w:bCs/>
                <w:color w:val="000000"/>
              </w:rPr>
            </w:pPr>
          </w:p>
          <w:p w14:paraId="2391FB40" w14:textId="77777777" w:rsidR="0092467B" w:rsidRPr="00DD1E2F" w:rsidRDefault="0092467B" w:rsidP="0045789B">
            <w:pPr>
              <w:spacing w:after="0" w:line="240" w:lineRule="auto"/>
              <w:jc w:val="both"/>
              <w:rPr>
                <w:rFonts w:ascii="Cambria" w:eastAsia="Batang" w:hAnsi="Cambria"/>
                <w:b/>
                <w:bCs/>
                <w:color w:val="000000"/>
              </w:rPr>
            </w:pPr>
          </w:p>
        </w:tc>
      </w:tr>
      <w:tr w:rsidR="0092467B" w:rsidRPr="00DD1E2F" w14:paraId="309F9BCB" w14:textId="77777777" w:rsidTr="00AD711F">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tcPr>
          <w:p w14:paraId="3ACB9F00" w14:textId="77777777" w:rsidR="0092467B" w:rsidRPr="00DD1E2F" w:rsidRDefault="0092467B" w:rsidP="0045789B">
            <w:pPr>
              <w:spacing w:after="0" w:line="240" w:lineRule="auto"/>
              <w:rPr>
                <w:rFonts w:ascii="Cambria" w:eastAsia="Batang" w:hAnsi="Cambria"/>
                <w:b/>
                <w:color w:val="000000"/>
              </w:rPr>
            </w:pPr>
            <w:r w:rsidRPr="00DD1E2F">
              <w:rPr>
                <w:rFonts w:ascii="Cambria" w:eastAsia="Batang" w:hAnsi="Cambria"/>
                <w:b/>
                <w:color w:val="000000"/>
              </w:rPr>
              <w:t xml:space="preserve">CLAUSE 4. COMPENSATION </w:t>
            </w:r>
          </w:p>
        </w:tc>
      </w:tr>
      <w:tr w:rsidR="0092467B" w:rsidRPr="00DD1E2F" w14:paraId="26DBE10A" w14:textId="77777777" w:rsidTr="00AD711F">
        <w:trPr>
          <w:trHeight w:val="672"/>
          <w:jc w:val="center"/>
        </w:trPr>
        <w:tc>
          <w:tcPr>
            <w:tcW w:w="6663" w:type="dxa"/>
            <w:tcBorders>
              <w:top w:val="single" w:sz="4" w:space="0" w:color="auto"/>
              <w:left w:val="single" w:sz="4" w:space="0" w:color="auto"/>
              <w:bottom w:val="single" w:sz="4" w:space="0" w:color="auto"/>
              <w:right w:val="single" w:sz="4" w:space="0" w:color="auto"/>
            </w:tcBorders>
          </w:tcPr>
          <w:p w14:paraId="76287796" w14:textId="77777777" w:rsidR="0092467B" w:rsidRPr="00DD1E2F" w:rsidRDefault="0092467B" w:rsidP="0045789B">
            <w:pPr>
              <w:spacing w:after="0" w:line="240" w:lineRule="auto"/>
              <w:ind w:right="72"/>
              <w:jc w:val="both"/>
              <w:rPr>
                <w:rFonts w:ascii="Cambria" w:eastAsia="Times New Roman" w:hAnsi="Cambria"/>
                <w:color w:val="000000"/>
                <w:kern w:val="36"/>
              </w:rPr>
            </w:pPr>
            <w:r w:rsidRPr="00DD1E2F">
              <w:rPr>
                <w:rFonts w:ascii="Cambria" w:eastAsia="Times New Roman" w:hAnsi="Cambria"/>
                <w:color w:val="000000"/>
                <w:kern w:val="36"/>
              </w:rPr>
              <w:t>With these precedents, through the Counsel General of the State, as the sole judicial representative of the State in accordance with Article 215 of the Political Constitution of the Republic of Ecuador, enacted in Official Register No. 1, in force since August 11, 1998, the  State hands over to Mr. Jorge Iván Bolaño Pazmiño, pursuant to the provisions of the special power of attorney, as provided in Articles 1045 and 1052 of the Civil Code, a compensatory indemnity in a single payment of fifteen thousand United States dollars (USD 15,000) or the equivalent thereof in national currency, calculated at the rate of exchange in force at the time of payment, charged to the General Budget of the State. […]</w:t>
            </w:r>
          </w:p>
        </w:tc>
        <w:tc>
          <w:tcPr>
            <w:tcW w:w="2805" w:type="dxa"/>
            <w:tcBorders>
              <w:top w:val="single" w:sz="4" w:space="0" w:color="auto"/>
              <w:left w:val="single" w:sz="4" w:space="0" w:color="auto"/>
              <w:bottom w:val="single" w:sz="4" w:space="0" w:color="auto"/>
              <w:right w:val="single" w:sz="4" w:space="0" w:color="auto"/>
            </w:tcBorders>
            <w:vAlign w:val="center"/>
          </w:tcPr>
          <w:p w14:paraId="0980A237" w14:textId="77777777" w:rsidR="0092467B" w:rsidRPr="00DD1E2F" w:rsidRDefault="0092467B" w:rsidP="0045789B">
            <w:pPr>
              <w:spacing w:after="0" w:line="240" w:lineRule="auto"/>
              <w:jc w:val="center"/>
              <w:rPr>
                <w:rFonts w:ascii="Cambria" w:eastAsia="Batang" w:hAnsi="Cambria"/>
                <w:b/>
                <w:color w:val="000000"/>
                <w:vertAlign w:val="superscript"/>
              </w:rPr>
            </w:pPr>
            <w:r w:rsidRPr="00DD1E2F">
              <w:rPr>
                <w:rFonts w:ascii="Cambria" w:hAnsi="Cambria"/>
                <w:b/>
                <w:color w:val="000000"/>
              </w:rPr>
              <w:t>Total</w:t>
            </w:r>
            <w:r w:rsidRPr="00DD1E2F">
              <w:rPr>
                <w:rFonts w:ascii="Cambria" w:eastAsia="Batang" w:hAnsi="Cambria"/>
                <w:b/>
                <w:color w:val="000000"/>
                <w:vertAlign w:val="superscript"/>
              </w:rPr>
              <w:footnoteReference w:id="1"/>
            </w:r>
          </w:p>
        </w:tc>
      </w:tr>
      <w:tr w:rsidR="0092467B" w:rsidRPr="00DD1E2F" w14:paraId="421ECD40" w14:textId="77777777" w:rsidTr="00AD711F">
        <w:trPr>
          <w:trHeight w:val="228"/>
          <w:jc w:val="center"/>
        </w:trPr>
        <w:tc>
          <w:tcPr>
            <w:tcW w:w="0" w:type="auto"/>
            <w:gridSpan w:val="2"/>
            <w:tcBorders>
              <w:top w:val="single" w:sz="4" w:space="0" w:color="auto"/>
              <w:left w:val="single" w:sz="4" w:space="0" w:color="auto"/>
              <w:bottom w:val="single" w:sz="4" w:space="0" w:color="auto"/>
              <w:right w:val="single" w:sz="4" w:space="0" w:color="auto"/>
            </w:tcBorders>
          </w:tcPr>
          <w:p w14:paraId="5C54F3EE" w14:textId="77777777" w:rsidR="0092467B" w:rsidRPr="00DD1E2F" w:rsidRDefault="0092467B" w:rsidP="0045789B">
            <w:pPr>
              <w:spacing w:after="0" w:line="240" w:lineRule="auto"/>
              <w:ind w:right="72"/>
              <w:jc w:val="both"/>
              <w:rPr>
                <w:rFonts w:ascii="Cambria" w:eastAsia="Times New Roman" w:hAnsi="Cambria"/>
                <w:b/>
                <w:bCs/>
                <w:color w:val="000000"/>
                <w:kern w:val="36"/>
              </w:rPr>
            </w:pPr>
            <w:r w:rsidRPr="00DD1E2F">
              <w:rPr>
                <w:rFonts w:ascii="Cambria" w:eastAsia="Times New Roman" w:hAnsi="Cambria"/>
                <w:b/>
                <w:bCs/>
                <w:color w:val="000000"/>
                <w:kern w:val="36"/>
              </w:rPr>
              <w:t xml:space="preserve">CLAUSE 5. PUNISHMENT OF THOSE RESPONSIBLE </w:t>
            </w:r>
          </w:p>
        </w:tc>
      </w:tr>
      <w:tr w:rsidR="0092467B" w:rsidRPr="00DD1E2F" w14:paraId="31D28161" w14:textId="77777777" w:rsidTr="00AD711F">
        <w:trPr>
          <w:trHeight w:val="1151"/>
          <w:jc w:val="center"/>
        </w:trPr>
        <w:tc>
          <w:tcPr>
            <w:tcW w:w="6663" w:type="dxa"/>
            <w:tcBorders>
              <w:top w:val="single" w:sz="4" w:space="0" w:color="auto"/>
              <w:left w:val="single" w:sz="4" w:space="0" w:color="auto"/>
              <w:right w:val="single" w:sz="4" w:space="0" w:color="auto"/>
            </w:tcBorders>
          </w:tcPr>
          <w:p w14:paraId="32B4D748" w14:textId="77777777" w:rsidR="0092467B" w:rsidRPr="00DD1E2F" w:rsidRDefault="00EA4D16" w:rsidP="0045789B">
            <w:pPr>
              <w:spacing w:after="0" w:line="240" w:lineRule="auto"/>
              <w:ind w:right="72"/>
              <w:jc w:val="both"/>
              <w:rPr>
                <w:rFonts w:ascii="Cambria" w:eastAsia="Times New Roman" w:hAnsi="Cambria"/>
                <w:color w:val="000000"/>
                <w:kern w:val="36"/>
              </w:rPr>
            </w:pPr>
            <w:r w:rsidRPr="00DD1E2F">
              <w:rPr>
                <w:rFonts w:ascii="Cambria" w:eastAsia="Times New Roman" w:hAnsi="Cambria"/>
                <w:color w:val="000000"/>
                <w:kern w:val="36"/>
              </w:rPr>
              <w:t>The State</w:t>
            </w:r>
            <w:r w:rsidR="0092467B" w:rsidRPr="00DD1E2F">
              <w:rPr>
                <w:rFonts w:ascii="Cambria" w:eastAsia="Times New Roman" w:hAnsi="Cambria"/>
                <w:color w:val="000000"/>
                <w:kern w:val="36"/>
              </w:rPr>
              <w:t xml:space="preserve"> undertakes to prosecute both civilly and criminally and to seek administrative sanctions of the persons who, in performance of state duties or taking advantage of public authority, are presumed to have been involved in the alleged violation. The Office of the General Counsel of the State undertakes to urge the Attorney General of the State, the competent agencies of the Judiciary, and public or private agencies to provide legally supported information to make it possible to establish the responsibility of said persons.  If it is found admissible, this prosecution will be conducted in keeping with Constitution and the body of laws </w:t>
            </w:r>
            <w:r w:rsidRPr="00DD1E2F">
              <w:rPr>
                <w:rFonts w:ascii="Cambria" w:eastAsia="Times New Roman" w:hAnsi="Cambria"/>
                <w:color w:val="000000"/>
                <w:kern w:val="36"/>
              </w:rPr>
              <w:t>the State</w:t>
            </w:r>
            <w:r w:rsidR="0092467B" w:rsidRPr="00DD1E2F">
              <w:rPr>
                <w:rFonts w:ascii="Cambria" w:eastAsia="Times New Roman" w:hAnsi="Cambria"/>
                <w:color w:val="000000"/>
                <w:kern w:val="36"/>
              </w:rPr>
              <w:t xml:space="preserve">. </w:t>
            </w:r>
          </w:p>
        </w:tc>
        <w:tc>
          <w:tcPr>
            <w:tcW w:w="2805" w:type="dxa"/>
            <w:tcBorders>
              <w:top w:val="single" w:sz="4" w:space="0" w:color="auto"/>
              <w:left w:val="single" w:sz="4" w:space="0" w:color="auto"/>
              <w:right w:val="single" w:sz="4" w:space="0" w:color="auto"/>
            </w:tcBorders>
            <w:vAlign w:val="center"/>
          </w:tcPr>
          <w:p w14:paraId="5EB3C67D" w14:textId="77777777" w:rsidR="0092467B" w:rsidRPr="00DD1E2F" w:rsidRDefault="00EA4D16" w:rsidP="0045789B">
            <w:pPr>
              <w:spacing w:after="0" w:line="240" w:lineRule="auto"/>
              <w:jc w:val="center"/>
              <w:rPr>
                <w:rFonts w:ascii="Cambria" w:eastAsia="Batang" w:hAnsi="Cambria"/>
              </w:rPr>
            </w:pPr>
            <w:r w:rsidRPr="00DD1E2F">
              <w:rPr>
                <w:rFonts w:ascii="Cambria" w:eastAsia="MS Mincho" w:hAnsi="Cambria"/>
                <w:b/>
                <w:bCs/>
                <w:color w:val="000000"/>
              </w:rPr>
              <w:t>Noncompliance</w:t>
            </w:r>
            <w:r w:rsidR="0092467B" w:rsidRPr="00DD1E2F">
              <w:rPr>
                <w:rStyle w:val="FootnoteReference"/>
                <w:rFonts w:ascii="Cambria" w:eastAsia="MS Mincho" w:hAnsi="Cambria"/>
                <w:b/>
                <w:bCs/>
                <w:color w:val="000000"/>
              </w:rPr>
              <w:footnoteReference w:id="2"/>
            </w:r>
          </w:p>
        </w:tc>
      </w:tr>
      <w:tr w:rsidR="0092467B" w:rsidRPr="00DD1E2F" w14:paraId="46E382DB" w14:textId="77777777" w:rsidTr="00AD711F">
        <w:trPr>
          <w:trHeight w:val="300"/>
          <w:jc w:val="center"/>
        </w:trPr>
        <w:tc>
          <w:tcPr>
            <w:tcW w:w="0" w:type="auto"/>
            <w:gridSpan w:val="2"/>
            <w:tcBorders>
              <w:top w:val="single" w:sz="4" w:space="0" w:color="auto"/>
              <w:left w:val="single" w:sz="4" w:space="0" w:color="auto"/>
              <w:right w:val="single" w:sz="4" w:space="0" w:color="auto"/>
            </w:tcBorders>
          </w:tcPr>
          <w:p w14:paraId="73BA2327" w14:textId="77777777" w:rsidR="0092467B" w:rsidRPr="00DD1E2F" w:rsidRDefault="0092467B" w:rsidP="0045789B">
            <w:pPr>
              <w:spacing w:after="0" w:line="240" w:lineRule="auto"/>
              <w:jc w:val="both"/>
              <w:rPr>
                <w:rFonts w:ascii="Cambria" w:eastAsia="Batang" w:hAnsi="Cambria"/>
              </w:rPr>
            </w:pPr>
            <w:r w:rsidRPr="00DD1E2F">
              <w:rPr>
                <w:rFonts w:ascii="Cambria" w:eastAsia="Times New Roman" w:hAnsi="Cambria"/>
                <w:b/>
                <w:color w:val="000000"/>
                <w:kern w:val="36"/>
              </w:rPr>
              <w:lastRenderedPageBreak/>
              <w:t xml:space="preserve">CLAUSE 6. RIGHT OF REPETITION </w:t>
            </w:r>
          </w:p>
        </w:tc>
      </w:tr>
      <w:tr w:rsidR="0092467B" w:rsidRPr="00DD1E2F" w14:paraId="3F3F15A2" w14:textId="77777777" w:rsidTr="00F5415B">
        <w:trPr>
          <w:trHeight w:val="1835"/>
          <w:jc w:val="center"/>
        </w:trPr>
        <w:tc>
          <w:tcPr>
            <w:tcW w:w="6663" w:type="dxa"/>
            <w:tcBorders>
              <w:top w:val="single" w:sz="4" w:space="0" w:color="auto"/>
              <w:left w:val="single" w:sz="4" w:space="0" w:color="auto"/>
              <w:right w:val="single" w:sz="4" w:space="0" w:color="auto"/>
            </w:tcBorders>
          </w:tcPr>
          <w:p w14:paraId="211FF6C8" w14:textId="77777777" w:rsidR="0092467B" w:rsidRPr="00DD1E2F" w:rsidRDefault="00EA4D16" w:rsidP="0045789B">
            <w:pPr>
              <w:spacing w:after="0" w:line="240" w:lineRule="auto"/>
              <w:ind w:right="72"/>
              <w:jc w:val="both"/>
              <w:rPr>
                <w:rFonts w:ascii="Cambria" w:eastAsia="Times New Roman" w:hAnsi="Cambria"/>
                <w:bCs/>
                <w:color w:val="000000"/>
                <w:kern w:val="36"/>
              </w:rPr>
            </w:pPr>
            <w:r w:rsidRPr="00DD1E2F">
              <w:rPr>
                <w:rFonts w:ascii="Cambria" w:eastAsia="Times New Roman" w:hAnsi="Cambria"/>
                <w:bCs/>
                <w:color w:val="000000"/>
                <w:kern w:val="36"/>
              </w:rPr>
              <w:t>The State</w:t>
            </w:r>
            <w:r w:rsidR="0092467B" w:rsidRPr="00DD1E2F">
              <w:rPr>
                <w:rFonts w:ascii="Cambria" w:eastAsia="Times New Roman" w:hAnsi="Cambria"/>
                <w:bCs/>
                <w:color w:val="000000"/>
                <w:kern w:val="36"/>
              </w:rPr>
              <w:t xml:space="preserve"> reserves the Right of Repetition pursuant to Article 22 of the Political Constitution of the Republic of Ecuador, against any persons who are responsible for the violation of human rights through a final, firm judgment issued by the courts of the country or when administrative responsibility has been determined, in accordance with Article 8 of the American Convention on Human Rights.  </w:t>
            </w:r>
          </w:p>
        </w:tc>
        <w:tc>
          <w:tcPr>
            <w:tcW w:w="2805" w:type="dxa"/>
            <w:tcBorders>
              <w:top w:val="single" w:sz="4" w:space="0" w:color="auto"/>
              <w:left w:val="single" w:sz="4" w:space="0" w:color="auto"/>
              <w:right w:val="single" w:sz="4" w:space="0" w:color="auto"/>
            </w:tcBorders>
            <w:vAlign w:val="center"/>
          </w:tcPr>
          <w:p w14:paraId="624B2DB9" w14:textId="77777777" w:rsidR="0092467B" w:rsidRPr="00DD1E2F" w:rsidRDefault="0092467B" w:rsidP="0045789B">
            <w:pPr>
              <w:spacing w:after="0" w:line="240" w:lineRule="auto"/>
              <w:jc w:val="center"/>
              <w:rPr>
                <w:rFonts w:ascii="Cambria" w:eastAsia="Batang" w:hAnsi="Cambria"/>
                <w:b/>
                <w:bCs/>
              </w:rPr>
            </w:pPr>
            <w:r w:rsidRPr="00DD1E2F">
              <w:rPr>
                <w:rFonts w:ascii="Cambria" w:eastAsia="Batang" w:hAnsi="Cambria"/>
                <w:b/>
                <w:bCs/>
              </w:rPr>
              <w:t xml:space="preserve">Declarative clause </w:t>
            </w:r>
          </w:p>
          <w:p w14:paraId="7925EE97" w14:textId="77777777" w:rsidR="0092467B" w:rsidRPr="00DD1E2F" w:rsidRDefault="0092467B" w:rsidP="0045789B">
            <w:pPr>
              <w:spacing w:after="0" w:line="240" w:lineRule="auto"/>
              <w:jc w:val="center"/>
              <w:rPr>
                <w:rFonts w:ascii="Cambria" w:eastAsia="Batang" w:hAnsi="Cambria"/>
              </w:rPr>
            </w:pPr>
          </w:p>
        </w:tc>
      </w:tr>
      <w:tr w:rsidR="0092467B" w:rsidRPr="00DD1E2F" w14:paraId="625ADEBA" w14:textId="77777777" w:rsidTr="00AD711F">
        <w:trPr>
          <w:trHeight w:val="216"/>
          <w:jc w:val="center"/>
        </w:trPr>
        <w:tc>
          <w:tcPr>
            <w:tcW w:w="0" w:type="auto"/>
            <w:gridSpan w:val="2"/>
            <w:tcBorders>
              <w:top w:val="single" w:sz="4" w:space="0" w:color="auto"/>
              <w:left w:val="single" w:sz="4" w:space="0" w:color="auto"/>
              <w:bottom w:val="single" w:sz="4" w:space="0" w:color="auto"/>
              <w:right w:val="single" w:sz="4" w:space="0" w:color="auto"/>
            </w:tcBorders>
          </w:tcPr>
          <w:p w14:paraId="722DCE93" w14:textId="77777777" w:rsidR="0092467B" w:rsidRPr="00DD1E2F" w:rsidRDefault="0092467B" w:rsidP="0045789B">
            <w:pPr>
              <w:spacing w:after="0" w:line="240" w:lineRule="auto"/>
              <w:rPr>
                <w:rFonts w:ascii="Cambria" w:eastAsia="Batang" w:hAnsi="Cambria"/>
                <w:b/>
                <w:bCs/>
              </w:rPr>
            </w:pPr>
            <w:r w:rsidRPr="00DD1E2F">
              <w:rPr>
                <w:rFonts w:ascii="Cambria" w:eastAsia="Batang" w:hAnsi="Cambria"/>
                <w:b/>
                <w:bCs/>
              </w:rPr>
              <w:t xml:space="preserve">CLAUSE 7. TAX EXEMPT PAYMENT AND DEFAULT IN COMPLIANCE </w:t>
            </w:r>
          </w:p>
        </w:tc>
      </w:tr>
      <w:tr w:rsidR="0092467B" w:rsidRPr="00DD1E2F" w14:paraId="6E91D641" w14:textId="77777777" w:rsidTr="00AD711F">
        <w:trPr>
          <w:trHeight w:val="2348"/>
          <w:jc w:val="center"/>
        </w:trPr>
        <w:tc>
          <w:tcPr>
            <w:tcW w:w="6663" w:type="dxa"/>
            <w:tcBorders>
              <w:top w:val="single" w:sz="4" w:space="0" w:color="auto"/>
              <w:left w:val="single" w:sz="4" w:space="0" w:color="auto"/>
              <w:bottom w:val="single" w:sz="4" w:space="0" w:color="auto"/>
              <w:right w:val="single" w:sz="4" w:space="0" w:color="auto"/>
            </w:tcBorders>
          </w:tcPr>
          <w:p w14:paraId="531F7331" w14:textId="77777777" w:rsidR="0092467B" w:rsidRPr="00DD1E2F" w:rsidRDefault="0092467B" w:rsidP="0045789B">
            <w:pPr>
              <w:spacing w:after="0" w:line="240" w:lineRule="auto"/>
              <w:jc w:val="both"/>
              <w:rPr>
                <w:rFonts w:ascii="Cambria" w:eastAsia="Batang" w:hAnsi="Cambria"/>
              </w:rPr>
            </w:pPr>
            <w:r w:rsidRPr="00DD1E2F">
              <w:rPr>
                <w:rFonts w:ascii="Cambria" w:eastAsia="Batang" w:hAnsi="Cambria"/>
              </w:rPr>
              <w:t xml:space="preserve">The payment that </w:t>
            </w:r>
            <w:r w:rsidR="00EA4D16" w:rsidRPr="00DD1E2F">
              <w:rPr>
                <w:rFonts w:ascii="Cambria" w:eastAsia="Batang" w:hAnsi="Cambria"/>
              </w:rPr>
              <w:t>the State</w:t>
            </w:r>
            <w:r w:rsidRPr="00DD1E2F">
              <w:rPr>
                <w:rFonts w:ascii="Cambria" w:eastAsia="Batang" w:hAnsi="Cambria"/>
              </w:rPr>
              <w:t xml:space="preserve"> shall make to the person who is the subject of this friendly settlement agreement, is not subject to currently existing taxes nor may it be decreed in the future with the exception of the capital circulation “tax of 1%.” In the event that the State defaults for more than three months, from the date of the signing of the agreement, it shall pay interest on the amount it owes that will be equivalent to the average interest rate paid by the three banks with the highest deposits in Ecuador, over the entire period of the default.</w:t>
            </w:r>
          </w:p>
        </w:tc>
        <w:tc>
          <w:tcPr>
            <w:tcW w:w="2805" w:type="dxa"/>
            <w:tcBorders>
              <w:top w:val="single" w:sz="4" w:space="0" w:color="auto"/>
              <w:left w:val="single" w:sz="4" w:space="0" w:color="auto"/>
              <w:bottom w:val="single" w:sz="4" w:space="0" w:color="auto"/>
              <w:right w:val="single" w:sz="4" w:space="0" w:color="auto"/>
            </w:tcBorders>
            <w:vAlign w:val="center"/>
          </w:tcPr>
          <w:p w14:paraId="7892EEAC" w14:textId="77777777" w:rsidR="0092467B" w:rsidRPr="00DD1E2F" w:rsidRDefault="0092467B" w:rsidP="0045789B">
            <w:pPr>
              <w:spacing w:after="0" w:line="240" w:lineRule="auto"/>
              <w:jc w:val="center"/>
              <w:rPr>
                <w:rFonts w:ascii="Cambria" w:eastAsia="Batang" w:hAnsi="Cambria"/>
                <w:b/>
                <w:bCs/>
              </w:rPr>
            </w:pPr>
            <w:r w:rsidRPr="00DD1E2F">
              <w:rPr>
                <w:rFonts w:ascii="Cambria" w:eastAsia="Batang" w:hAnsi="Cambria"/>
                <w:b/>
                <w:bCs/>
              </w:rPr>
              <w:t xml:space="preserve">Declarative clause </w:t>
            </w:r>
          </w:p>
          <w:p w14:paraId="37DB2E73" w14:textId="77777777" w:rsidR="0092467B" w:rsidRPr="00DD1E2F" w:rsidRDefault="0092467B" w:rsidP="0045789B">
            <w:pPr>
              <w:spacing w:after="0" w:line="240" w:lineRule="auto"/>
              <w:jc w:val="center"/>
              <w:rPr>
                <w:rFonts w:ascii="Cambria" w:eastAsia="Batang" w:hAnsi="Cambria"/>
                <w:b/>
                <w:bCs/>
              </w:rPr>
            </w:pPr>
          </w:p>
        </w:tc>
      </w:tr>
      <w:tr w:rsidR="0092467B" w:rsidRPr="00DD1E2F" w14:paraId="7591CE66" w14:textId="77777777" w:rsidTr="00AD711F">
        <w:trPr>
          <w:trHeight w:val="78"/>
          <w:jc w:val="center"/>
        </w:trPr>
        <w:tc>
          <w:tcPr>
            <w:tcW w:w="0" w:type="auto"/>
            <w:gridSpan w:val="2"/>
            <w:tcBorders>
              <w:top w:val="single" w:sz="4" w:space="0" w:color="auto"/>
              <w:left w:val="single" w:sz="4" w:space="0" w:color="auto"/>
              <w:bottom w:val="single" w:sz="4" w:space="0" w:color="auto"/>
              <w:right w:val="single" w:sz="4" w:space="0" w:color="auto"/>
            </w:tcBorders>
          </w:tcPr>
          <w:p w14:paraId="6BD56BB4" w14:textId="77777777" w:rsidR="0092467B" w:rsidRPr="00DD1E2F" w:rsidRDefault="0092467B" w:rsidP="0045789B">
            <w:pPr>
              <w:spacing w:after="0" w:line="240" w:lineRule="auto"/>
              <w:rPr>
                <w:rFonts w:ascii="Cambria" w:eastAsia="Batang" w:hAnsi="Cambria"/>
                <w:b/>
                <w:bCs/>
              </w:rPr>
            </w:pPr>
            <w:r w:rsidRPr="00DD1E2F">
              <w:rPr>
                <w:rFonts w:ascii="Cambria" w:eastAsia="Batang" w:hAnsi="Cambria"/>
                <w:b/>
                <w:bCs/>
              </w:rPr>
              <w:t>CLÁUSULA 8. INFORMACIÓN</w:t>
            </w:r>
          </w:p>
        </w:tc>
      </w:tr>
      <w:tr w:rsidR="0092467B" w:rsidRPr="00DD1E2F" w14:paraId="55AE7A92" w14:textId="77777777" w:rsidTr="00F5415B">
        <w:trPr>
          <w:trHeight w:val="1781"/>
          <w:jc w:val="center"/>
        </w:trPr>
        <w:tc>
          <w:tcPr>
            <w:tcW w:w="6663" w:type="dxa"/>
            <w:tcBorders>
              <w:top w:val="single" w:sz="4" w:space="0" w:color="auto"/>
              <w:left w:val="single" w:sz="4" w:space="0" w:color="auto"/>
              <w:bottom w:val="single" w:sz="4" w:space="0" w:color="auto"/>
              <w:right w:val="single" w:sz="4" w:space="0" w:color="auto"/>
            </w:tcBorders>
          </w:tcPr>
          <w:p w14:paraId="75A8228D" w14:textId="77777777" w:rsidR="0092467B" w:rsidRPr="00DD1E2F" w:rsidRDefault="00EA4D16" w:rsidP="0045789B">
            <w:pPr>
              <w:autoSpaceDE w:val="0"/>
              <w:autoSpaceDN w:val="0"/>
              <w:adjustRightInd w:val="0"/>
              <w:spacing w:after="0" w:line="240" w:lineRule="auto"/>
              <w:jc w:val="both"/>
              <w:rPr>
                <w:rFonts w:ascii="Cambria" w:hAnsi="Cambria" w:cs="Cambria"/>
                <w:color w:val="000000"/>
                <w:lang w:eastAsia="es-MX"/>
              </w:rPr>
            </w:pPr>
            <w:r w:rsidRPr="00DD1E2F">
              <w:rPr>
                <w:rFonts w:ascii="Cambria" w:eastAsia="Batang" w:hAnsi="Cambria"/>
              </w:rPr>
              <w:t>The State</w:t>
            </w:r>
            <w:r w:rsidR="0092467B" w:rsidRPr="00DD1E2F">
              <w:rPr>
                <w:rFonts w:ascii="Cambria" w:eastAsia="Batang" w:hAnsi="Cambria"/>
              </w:rPr>
              <w:t>, through the Office of the General Counsel of the State, undertakes to inform the Inter-American Commission on Human rights every three months on compliance with the obligations taken on by the State under this friendly settlement. In keeping with its consistent practice and the obligations imposed on it by the American Convention, the Inter-American Commission on Human Rights will supervise compliance of this agreement.</w:t>
            </w:r>
          </w:p>
        </w:tc>
        <w:tc>
          <w:tcPr>
            <w:tcW w:w="2805" w:type="dxa"/>
            <w:tcBorders>
              <w:top w:val="single" w:sz="4" w:space="0" w:color="auto"/>
              <w:left w:val="single" w:sz="4" w:space="0" w:color="auto"/>
              <w:bottom w:val="single" w:sz="4" w:space="0" w:color="auto"/>
              <w:right w:val="single" w:sz="4" w:space="0" w:color="auto"/>
            </w:tcBorders>
            <w:vAlign w:val="center"/>
          </w:tcPr>
          <w:p w14:paraId="4E427308" w14:textId="77777777" w:rsidR="0092467B" w:rsidRPr="00DD1E2F" w:rsidRDefault="0092467B" w:rsidP="0045789B">
            <w:pPr>
              <w:spacing w:after="0" w:line="240" w:lineRule="auto"/>
              <w:jc w:val="center"/>
              <w:rPr>
                <w:rFonts w:ascii="Cambria" w:eastAsia="Batang" w:hAnsi="Cambria"/>
                <w:b/>
                <w:bCs/>
              </w:rPr>
            </w:pPr>
          </w:p>
          <w:p w14:paraId="6643E4D4" w14:textId="77777777" w:rsidR="0092467B" w:rsidRPr="00DD1E2F" w:rsidRDefault="0092467B" w:rsidP="0045789B">
            <w:pPr>
              <w:spacing w:after="0" w:line="240" w:lineRule="auto"/>
              <w:jc w:val="center"/>
              <w:rPr>
                <w:rFonts w:ascii="Cambria" w:eastAsia="Batang" w:hAnsi="Cambria"/>
                <w:b/>
                <w:bCs/>
              </w:rPr>
            </w:pPr>
            <w:r w:rsidRPr="00DD1E2F">
              <w:rPr>
                <w:rFonts w:ascii="Cambria" w:eastAsia="Batang" w:hAnsi="Cambria"/>
                <w:b/>
                <w:bCs/>
              </w:rPr>
              <w:t xml:space="preserve">Declarative clause </w:t>
            </w:r>
          </w:p>
        </w:tc>
      </w:tr>
    </w:tbl>
    <w:p w14:paraId="21A11FE9" w14:textId="77777777" w:rsidR="0092467B" w:rsidRPr="00DD1E2F" w:rsidRDefault="0092467B" w:rsidP="0045789B">
      <w:pPr>
        <w:tabs>
          <w:tab w:val="left" w:pos="1440"/>
        </w:tabs>
        <w:spacing w:after="0" w:line="240" w:lineRule="auto"/>
        <w:ind w:left="1080"/>
        <w:contextualSpacing/>
        <w:jc w:val="both"/>
        <w:rPr>
          <w:rFonts w:ascii="Cambria" w:eastAsia="Batang" w:hAnsi="Cambria" w:cs="Calibri Light"/>
          <w:b/>
          <w:color w:val="000000"/>
        </w:rPr>
      </w:pPr>
    </w:p>
    <w:p w14:paraId="3D520490" w14:textId="77777777" w:rsidR="0092467B" w:rsidRPr="00DD1E2F" w:rsidRDefault="0092467B" w:rsidP="00AD711F">
      <w:pPr>
        <w:numPr>
          <w:ilvl w:val="0"/>
          <w:numId w:val="92"/>
        </w:numPr>
        <w:tabs>
          <w:tab w:val="left" w:pos="720"/>
        </w:tabs>
        <w:spacing w:after="0" w:line="240" w:lineRule="auto"/>
        <w:ind w:left="0" w:firstLine="720"/>
        <w:contextualSpacing/>
        <w:jc w:val="both"/>
        <w:rPr>
          <w:rFonts w:ascii="Cambria" w:eastAsia="Batang" w:hAnsi="Cambria" w:cs="Calibri Light"/>
          <w:b/>
          <w:color w:val="000000"/>
        </w:rPr>
      </w:pPr>
      <w:r w:rsidRPr="00DD1E2F">
        <w:rPr>
          <w:rFonts w:ascii="Cambria" w:eastAsia="Batang" w:hAnsi="Cambria" w:cs="Calibri Light"/>
          <w:b/>
          <w:color w:val="000000"/>
        </w:rPr>
        <w:t>LEVEL OF COMPLIANCE OF THE CASE</w:t>
      </w:r>
    </w:p>
    <w:p w14:paraId="0E85D6C4" w14:textId="77777777" w:rsidR="00583C84" w:rsidRPr="00DD1E2F" w:rsidRDefault="00583C84" w:rsidP="0045789B">
      <w:pPr>
        <w:tabs>
          <w:tab w:val="left" w:pos="720"/>
        </w:tabs>
        <w:autoSpaceDE w:val="0"/>
        <w:autoSpaceDN w:val="0"/>
        <w:adjustRightInd w:val="0"/>
        <w:spacing w:after="0" w:line="240" w:lineRule="auto"/>
        <w:ind w:firstLine="720"/>
        <w:jc w:val="both"/>
        <w:rPr>
          <w:rFonts w:ascii="Cambria" w:eastAsia="Batang" w:hAnsi="Cambria"/>
          <w:color w:val="000000"/>
        </w:rPr>
      </w:pPr>
    </w:p>
    <w:p w14:paraId="3F8CD77F" w14:textId="77777777" w:rsidR="00981586" w:rsidRPr="00DD1E2F" w:rsidRDefault="00981586" w:rsidP="00AD711F">
      <w:pPr>
        <w:numPr>
          <w:ilvl w:val="0"/>
          <w:numId w:val="91"/>
        </w:numPr>
        <w:tabs>
          <w:tab w:val="left" w:pos="720"/>
        </w:tabs>
        <w:autoSpaceDE w:val="0"/>
        <w:autoSpaceDN w:val="0"/>
        <w:adjustRightInd w:val="0"/>
        <w:spacing w:after="0" w:line="240" w:lineRule="auto"/>
        <w:ind w:left="0" w:firstLine="720"/>
        <w:jc w:val="both"/>
        <w:rPr>
          <w:rFonts w:ascii="Cambria" w:eastAsia="Batang" w:hAnsi="Cambria" w:cs="Calibri Light"/>
          <w:b/>
          <w:color w:val="000000"/>
        </w:rPr>
      </w:pPr>
      <w:r w:rsidRPr="00DD1E2F">
        <w:rPr>
          <w:rFonts w:ascii="Cambria" w:eastAsia="Times New Roman" w:hAnsi="Cambria" w:cs="Calibri"/>
          <w:color w:val="000000"/>
          <w:lang w:eastAsia="es-ES_tradnl"/>
        </w:rPr>
        <w:t>The Commission assessed the request filed by the petitioners to archive the case, therefore considered that it was not appropriate to continue with the supervision of the agreement.</w:t>
      </w:r>
      <w:r w:rsidRPr="00DD1E2F">
        <w:rPr>
          <w:rFonts w:ascii="Cambria" w:eastAsia="Batang" w:hAnsi="Cambria" w:cs="Calibri Light"/>
          <w:b/>
          <w:color w:val="000000"/>
        </w:rPr>
        <w:t xml:space="preserve"> </w:t>
      </w:r>
      <w:r w:rsidRPr="00DD1E2F">
        <w:rPr>
          <w:rFonts w:ascii="Cambria" w:eastAsia="Batang" w:hAnsi="Cambria" w:cs="Calibri Light"/>
          <w:color w:val="000000"/>
        </w:rPr>
        <w:t>Based on the foregoing, t</w:t>
      </w:r>
      <w:r w:rsidRPr="00DD1E2F">
        <w:rPr>
          <w:rFonts w:ascii="Cambria" w:eastAsia="Times New Roman" w:hAnsi="Cambria" w:cs="Calibri"/>
          <w:color w:val="000000"/>
          <w:lang w:eastAsia="es-ES_tradnl"/>
        </w:rPr>
        <w:t>he Commission decided to cease supervision of the friendly settlement agreement and archive the case, noting on the record in the Annual Report that the measure of justice was not complied by the Ecuadorian State and that the level of compliance of the agreement is partial.</w:t>
      </w:r>
    </w:p>
    <w:p w14:paraId="1934091E" w14:textId="77777777" w:rsidR="00583C84" w:rsidRPr="00DD1E2F" w:rsidRDefault="00583C84" w:rsidP="0045789B">
      <w:pPr>
        <w:autoSpaceDE w:val="0"/>
        <w:autoSpaceDN w:val="0"/>
        <w:adjustRightInd w:val="0"/>
        <w:spacing w:after="0" w:line="240" w:lineRule="auto"/>
        <w:ind w:firstLine="720"/>
        <w:jc w:val="both"/>
        <w:rPr>
          <w:rFonts w:ascii="Cambria" w:eastAsia="Batang" w:hAnsi="Cambria" w:cs="Calibri Light"/>
          <w:b/>
          <w:color w:val="000000"/>
        </w:rPr>
      </w:pPr>
    </w:p>
    <w:p w14:paraId="7C4E7F8A" w14:textId="77777777" w:rsidR="00583C84" w:rsidRPr="00DD1E2F" w:rsidRDefault="00981586" w:rsidP="0045789B">
      <w:pPr>
        <w:pStyle w:val="ListParagraph"/>
        <w:autoSpaceDE w:val="0"/>
        <w:autoSpaceDN w:val="0"/>
        <w:adjustRightInd w:val="0"/>
        <w:spacing w:after="0" w:line="240" w:lineRule="auto"/>
        <w:jc w:val="both"/>
        <w:rPr>
          <w:rFonts w:ascii="Cambria" w:eastAsia="Batang" w:hAnsi="Cambria" w:cs="Calibri Light"/>
          <w:b/>
          <w:color w:val="000000"/>
          <w:lang w:val="en-US"/>
        </w:rPr>
      </w:pPr>
      <w:r w:rsidRPr="00DD1E2F">
        <w:rPr>
          <w:rFonts w:ascii="Cambria" w:eastAsia="Batang" w:hAnsi="Cambria" w:cs="Calibri Light"/>
          <w:b/>
          <w:color w:val="000000"/>
          <w:lang w:val="en-US"/>
        </w:rPr>
        <w:t xml:space="preserve">V.           </w:t>
      </w:r>
      <w:r w:rsidR="00583C84" w:rsidRPr="00DD1E2F">
        <w:rPr>
          <w:rFonts w:ascii="Cambria" w:eastAsia="Batang" w:hAnsi="Cambria" w:cs="Calibri Light"/>
          <w:b/>
          <w:color w:val="000000"/>
          <w:lang w:val="en-US"/>
        </w:rPr>
        <w:t xml:space="preserve">INDIVIDUAL AND STRUCTURAL OUTCOMES OF THE CASE </w:t>
      </w:r>
    </w:p>
    <w:p w14:paraId="6A7FC173" w14:textId="77777777" w:rsidR="00583C84" w:rsidRPr="00DD1E2F" w:rsidRDefault="00583C84" w:rsidP="0045789B">
      <w:pPr>
        <w:spacing w:after="0" w:line="240" w:lineRule="auto"/>
        <w:ind w:firstLine="720"/>
        <w:contextualSpacing/>
        <w:jc w:val="both"/>
        <w:rPr>
          <w:rFonts w:ascii="Cambria" w:eastAsia="Batang" w:hAnsi="Cambria" w:cs="Calibri Light"/>
          <w:b/>
          <w:color w:val="000000"/>
        </w:rPr>
      </w:pPr>
    </w:p>
    <w:p w14:paraId="422D3D68" w14:textId="77777777" w:rsidR="00583C84" w:rsidRPr="00DD1E2F" w:rsidRDefault="00981586" w:rsidP="00AD711F">
      <w:pPr>
        <w:pStyle w:val="ListParagraph"/>
        <w:numPr>
          <w:ilvl w:val="0"/>
          <w:numId w:val="93"/>
        </w:numPr>
        <w:spacing w:after="0" w:line="240" w:lineRule="auto"/>
        <w:ind w:left="0" w:firstLine="720"/>
        <w:jc w:val="both"/>
        <w:rPr>
          <w:rFonts w:ascii="Cambria" w:eastAsia="Batang" w:hAnsi="Cambria" w:cs="Calibri Light"/>
          <w:b/>
          <w:color w:val="000000"/>
          <w:lang w:val="en-US"/>
        </w:rPr>
      </w:pPr>
      <w:r w:rsidRPr="00DD1E2F">
        <w:rPr>
          <w:rFonts w:ascii="Cambria" w:eastAsia="Batang" w:hAnsi="Cambria" w:cs="Calibri Light"/>
          <w:b/>
          <w:color w:val="000000"/>
          <w:lang w:val="en-US"/>
        </w:rPr>
        <w:t>Individual outcomes of the case</w:t>
      </w:r>
    </w:p>
    <w:p w14:paraId="5C999672" w14:textId="77777777" w:rsidR="00583C84" w:rsidRPr="00DD1E2F" w:rsidRDefault="00583C84" w:rsidP="0045789B">
      <w:pPr>
        <w:pStyle w:val="ListParagraph"/>
        <w:spacing w:after="0" w:line="240" w:lineRule="auto"/>
        <w:ind w:left="0" w:firstLine="720"/>
        <w:jc w:val="both"/>
        <w:rPr>
          <w:rFonts w:ascii="Cambria" w:eastAsia="Batang" w:hAnsi="Cambria" w:cs="Calibri Light"/>
          <w:b/>
          <w:color w:val="000000"/>
          <w:lang w:val="en-US"/>
        </w:rPr>
      </w:pPr>
    </w:p>
    <w:p w14:paraId="0B2D8130" w14:textId="77777777" w:rsidR="006D7134" w:rsidRPr="00DD1E2F" w:rsidRDefault="00583C84" w:rsidP="0045789B">
      <w:pPr>
        <w:spacing w:after="0" w:line="240" w:lineRule="auto"/>
        <w:ind w:firstLine="720"/>
        <w:contextualSpacing/>
        <w:jc w:val="both"/>
        <w:rPr>
          <w:rFonts w:ascii="Cambria" w:eastAsia="Batang" w:hAnsi="Cambria"/>
          <w:color w:val="000000"/>
        </w:rPr>
      </w:pPr>
      <w:r w:rsidRPr="00DD1E2F">
        <w:rPr>
          <w:rFonts w:ascii="Cambria" w:eastAsia="Batang" w:hAnsi="Cambria"/>
          <w:color w:val="000000"/>
        </w:rPr>
        <w:t>•</w:t>
      </w:r>
      <w:r w:rsidRPr="00DD1E2F">
        <w:rPr>
          <w:rFonts w:ascii="Cambria" w:eastAsia="Batang" w:hAnsi="Cambria"/>
          <w:color w:val="000000"/>
        </w:rPr>
        <w:tab/>
        <w:t>The State paid financial compensation, as set for</w:t>
      </w:r>
      <w:r w:rsidR="006D7134" w:rsidRPr="00DD1E2F">
        <w:rPr>
          <w:rFonts w:ascii="Cambria" w:eastAsia="Batang" w:hAnsi="Cambria"/>
          <w:color w:val="000000"/>
        </w:rPr>
        <w:t>th under the agreement</w:t>
      </w:r>
      <w:r w:rsidR="00206C8A" w:rsidRPr="00DD1E2F">
        <w:rPr>
          <w:rFonts w:ascii="Cambria" w:eastAsia="Batang" w:hAnsi="Cambria"/>
          <w:color w:val="000000"/>
        </w:rPr>
        <w:t>.</w:t>
      </w:r>
    </w:p>
    <w:p w14:paraId="6BC1C5E2" w14:textId="77777777" w:rsidR="00206C8A" w:rsidRDefault="00206C8A" w:rsidP="0045789B">
      <w:pPr>
        <w:spacing w:after="0" w:line="240" w:lineRule="auto"/>
        <w:ind w:firstLine="720"/>
        <w:contextualSpacing/>
        <w:jc w:val="both"/>
        <w:rPr>
          <w:rFonts w:ascii="Cambria" w:eastAsia="Batang" w:hAnsi="Cambria"/>
          <w:color w:val="000000"/>
        </w:rPr>
      </w:pPr>
    </w:p>
    <w:sectPr w:rsidR="00206C8A" w:rsidSect="008E42E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7CE2" w14:textId="77777777" w:rsidR="000A293A" w:rsidRDefault="000A293A" w:rsidP="00A343FF">
      <w:pPr>
        <w:spacing w:after="0" w:line="240" w:lineRule="auto"/>
      </w:pPr>
      <w:r>
        <w:separator/>
      </w:r>
    </w:p>
  </w:endnote>
  <w:endnote w:type="continuationSeparator" w:id="0">
    <w:p w14:paraId="3D515B6F" w14:textId="77777777" w:rsidR="000A293A" w:rsidRDefault="000A293A"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A996"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53EFA04E" w14:textId="77777777" w:rsidR="006D7134" w:rsidRDefault="006D7134"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0011" w14:textId="77777777" w:rsidR="006D7134" w:rsidRDefault="00B2472E" w:rsidP="008F2248">
    <w:pPr>
      <w:pStyle w:val="Footer"/>
      <w:spacing w:line="360" w:lineRule="auto"/>
    </w:pPr>
    <w:r>
      <w:pict w14:anchorId="03634F88">
        <v:rect id="_x0000_i1028" style="width:0;height:1.5pt" o:hralign="center" o:hrstd="t" o:hr="t" fillcolor="#a0a0a0" stroked="f"/>
      </w:pict>
    </w:r>
  </w:p>
  <w:p w14:paraId="6C873A67" w14:textId="77777777" w:rsidR="006D7134" w:rsidRDefault="00B2472E" w:rsidP="006E2BD8">
    <w:pPr>
      <w:pStyle w:val="Footer"/>
      <w:jc w:val="center"/>
    </w:pPr>
    <w:r>
      <w:pict w14:anchorId="43017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6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58D4" w14:textId="77777777" w:rsidR="000A293A" w:rsidRDefault="000A293A" w:rsidP="00A343FF">
      <w:pPr>
        <w:spacing w:after="0" w:line="240" w:lineRule="auto"/>
      </w:pPr>
      <w:r>
        <w:separator/>
      </w:r>
    </w:p>
  </w:footnote>
  <w:footnote w:type="continuationSeparator" w:id="0">
    <w:p w14:paraId="4B224FCA" w14:textId="77777777" w:rsidR="000A293A" w:rsidRDefault="000A293A" w:rsidP="00A343FF">
      <w:pPr>
        <w:spacing w:after="0" w:line="240" w:lineRule="auto"/>
      </w:pPr>
      <w:r>
        <w:continuationSeparator/>
      </w:r>
    </w:p>
  </w:footnote>
  <w:footnote w:id="1">
    <w:p w14:paraId="13EEBF31" w14:textId="77777777" w:rsidR="0092467B" w:rsidRPr="0092467B" w:rsidRDefault="0092467B" w:rsidP="0092467B">
      <w:pPr>
        <w:pStyle w:val="Default"/>
        <w:ind w:firstLine="720"/>
        <w:jc w:val="both"/>
        <w:rPr>
          <w:sz w:val="16"/>
          <w:szCs w:val="16"/>
          <w:lang w:val="en-US"/>
        </w:rPr>
      </w:pPr>
      <w:r w:rsidRPr="00D7738D">
        <w:rPr>
          <w:rStyle w:val="FootnoteReference"/>
          <w:sz w:val="16"/>
          <w:szCs w:val="16"/>
        </w:rPr>
        <w:footnoteRef/>
      </w:r>
      <w:r w:rsidRPr="00D7738D">
        <w:rPr>
          <w:sz w:val="16"/>
          <w:szCs w:val="16"/>
          <w:lang w:val="es-CO"/>
        </w:rPr>
        <w:t xml:space="preserve"> </w:t>
      </w:r>
      <w:r w:rsidRPr="00D7738D">
        <w:rPr>
          <w:sz w:val="16"/>
          <w:szCs w:val="16"/>
          <w:vertAlign w:val="superscript"/>
          <w:lang w:val="es-CO"/>
        </w:rPr>
        <w:t>1</w:t>
      </w:r>
      <w:r w:rsidRPr="00D7738D">
        <w:rPr>
          <w:sz w:val="16"/>
          <w:szCs w:val="16"/>
          <w:lang w:val="es-CO" w:eastAsia="es-MX"/>
        </w:rPr>
        <w:t xml:space="preserve">IACHR, Report No. 82/20, Case 11.626 B. Friendly Settlement Luis Enrique Cañola Valencia. Ecuador. </w:t>
      </w:r>
      <w:r w:rsidRPr="00D7738D">
        <w:rPr>
          <w:sz w:val="16"/>
          <w:szCs w:val="16"/>
          <w:lang w:val="en-US" w:eastAsia="es-MX"/>
        </w:rPr>
        <w:t xml:space="preserve">June 1, 2020.  Available at: </w:t>
      </w:r>
      <w:hyperlink r:id="rId1" w:history="1">
        <w:r w:rsidRPr="00D7738D">
          <w:rPr>
            <w:rStyle w:val="Hyperlink"/>
            <w:sz w:val="16"/>
            <w:szCs w:val="16"/>
            <w:lang w:val="en-US" w:eastAsia="es-MX"/>
          </w:rPr>
          <w:t>http://www.oas.org/es/cidh/decisiones/2020/ecsa11626bes.pdf</w:t>
        </w:r>
      </w:hyperlink>
      <w:r w:rsidRPr="00D7738D">
        <w:rPr>
          <w:sz w:val="16"/>
          <w:szCs w:val="16"/>
          <w:lang w:val="en-US" w:eastAsia="es-MX"/>
        </w:rPr>
        <w:t xml:space="preserve"> </w:t>
      </w:r>
    </w:p>
  </w:footnote>
  <w:footnote w:id="2">
    <w:p w14:paraId="492989C6" w14:textId="77777777" w:rsidR="0092467B" w:rsidRPr="001800DD" w:rsidRDefault="0092467B" w:rsidP="0092467B">
      <w:pPr>
        <w:pStyle w:val="FootnoteText"/>
        <w:ind w:firstLine="720"/>
        <w:jc w:val="both"/>
      </w:pPr>
      <w:r w:rsidRPr="00D7738D">
        <w:rPr>
          <w:rStyle w:val="FootnoteReference"/>
          <w:rFonts w:ascii="Cambria" w:hAnsi="Cambria"/>
          <w:sz w:val="16"/>
          <w:szCs w:val="16"/>
        </w:rPr>
        <w:footnoteRef/>
      </w:r>
      <w:r w:rsidRPr="00D7738D">
        <w:rPr>
          <w:rFonts w:ascii="Cambria" w:hAnsi="Cambria"/>
          <w:sz w:val="16"/>
          <w:szCs w:val="16"/>
        </w:rPr>
        <w:t xml:space="preserve"> See IACHR, Annual Report 2020, Chapter II, Section G. Friendly Settlements. Available at: </w:t>
      </w:r>
      <w:hyperlink r:id="rId2" w:history="1">
        <w:r w:rsidRPr="00D7738D">
          <w:rPr>
            <w:rStyle w:val="Hyperlink"/>
            <w:rFonts w:ascii="Cambria" w:hAnsi="Cambria"/>
            <w:sz w:val="16"/>
            <w:szCs w:val="16"/>
          </w:rPr>
          <w:t>http://www.oas.org/en/iachr/docs/annual/2020/Chapters/IA2020cap2-en.pdf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7A89" w14:textId="77777777" w:rsidR="006D7134" w:rsidRDefault="00B2472E" w:rsidP="00DC7C8F">
    <w:pPr>
      <w:pStyle w:val="Header"/>
      <w:jc w:val="center"/>
    </w:pPr>
    <w:r>
      <w:pict w14:anchorId="4157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8.9pt">
          <v:imagedata r:id="rId1" o:title="iachr-peq"/>
        </v:shape>
      </w:pict>
    </w:r>
  </w:p>
  <w:p w14:paraId="4CD9C152" w14:textId="77777777" w:rsidR="006D7134" w:rsidRDefault="00B2472E">
    <w:pPr>
      <w:pStyle w:val="Header"/>
    </w:pPr>
    <w:r>
      <w:pict w14:anchorId="1B7AA816">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AA21" w14:textId="77777777" w:rsidR="006D7134" w:rsidRDefault="00B2472E" w:rsidP="00A61B5E">
    <w:pPr>
      <w:pStyle w:val="Header"/>
    </w:pPr>
    <w:r>
      <w:rPr>
        <w:noProof/>
      </w:rPr>
      <w:pict w14:anchorId="02530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45C0935C">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32249E8A" w14:textId="77777777" w:rsidR="006D7134" w:rsidRDefault="006D7134" w:rsidP="00A61B5E">
    <w:pPr>
      <w:pStyle w:val="Header"/>
    </w:pPr>
  </w:p>
  <w:p w14:paraId="41E2D2D9" w14:textId="77777777" w:rsidR="006D7134" w:rsidRDefault="006D7134" w:rsidP="00A61B5E">
    <w:pPr>
      <w:pStyle w:val="Header"/>
    </w:pPr>
  </w:p>
  <w:p w14:paraId="35BFA9F2" w14:textId="77777777" w:rsidR="006D7134" w:rsidRDefault="00B2472E" w:rsidP="00A61B5E">
    <w:pPr>
      <w:pStyle w:val="Header"/>
    </w:pPr>
    <w:r>
      <w:pict w14:anchorId="07E1FAE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3746013">
    <w:abstractNumId w:val="78"/>
  </w:num>
  <w:num w:numId="2" w16cid:durableId="1298800840">
    <w:abstractNumId w:val="59"/>
  </w:num>
  <w:num w:numId="3" w16cid:durableId="1164082822">
    <w:abstractNumId w:val="21"/>
  </w:num>
  <w:num w:numId="4" w16cid:durableId="738334466">
    <w:abstractNumId w:val="52"/>
  </w:num>
  <w:num w:numId="5" w16cid:durableId="1669406460">
    <w:abstractNumId w:val="3"/>
  </w:num>
  <w:num w:numId="6" w16cid:durableId="1843545274">
    <w:abstractNumId w:val="44"/>
  </w:num>
  <w:num w:numId="7" w16cid:durableId="1694645607">
    <w:abstractNumId w:val="104"/>
  </w:num>
  <w:num w:numId="8" w16cid:durableId="1302536949">
    <w:abstractNumId w:val="36"/>
  </w:num>
  <w:num w:numId="9" w16cid:durableId="1481996203">
    <w:abstractNumId w:val="0"/>
  </w:num>
  <w:num w:numId="10" w16cid:durableId="1069420325">
    <w:abstractNumId w:val="30"/>
  </w:num>
  <w:num w:numId="11" w16cid:durableId="514223302">
    <w:abstractNumId w:val="65"/>
  </w:num>
  <w:num w:numId="12" w16cid:durableId="635767697">
    <w:abstractNumId w:val="68"/>
  </w:num>
  <w:num w:numId="13" w16cid:durableId="1715885627">
    <w:abstractNumId w:val="51"/>
  </w:num>
  <w:num w:numId="14" w16cid:durableId="1404525819">
    <w:abstractNumId w:val="1"/>
  </w:num>
  <w:num w:numId="15" w16cid:durableId="1345520226">
    <w:abstractNumId w:val="47"/>
  </w:num>
  <w:num w:numId="16" w16cid:durableId="319238635">
    <w:abstractNumId w:val="67"/>
  </w:num>
  <w:num w:numId="17" w16cid:durableId="1322393300">
    <w:abstractNumId w:val="48"/>
  </w:num>
  <w:num w:numId="18" w16cid:durableId="1966499334">
    <w:abstractNumId w:val="100"/>
  </w:num>
  <w:num w:numId="19" w16cid:durableId="1098408094">
    <w:abstractNumId w:val="70"/>
  </w:num>
  <w:num w:numId="20" w16cid:durableId="1363096364">
    <w:abstractNumId w:val="31"/>
  </w:num>
  <w:num w:numId="21" w16cid:durableId="1583493736">
    <w:abstractNumId w:val="9"/>
  </w:num>
  <w:num w:numId="22" w16cid:durableId="192498230">
    <w:abstractNumId w:val="32"/>
  </w:num>
  <w:num w:numId="23" w16cid:durableId="752244252">
    <w:abstractNumId w:val="2"/>
  </w:num>
  <w:num w:numId="24" w16cid:durableId="1051228741">
    <w:abstractNumId w:val="81"/>
  </w:num>
  <w:num w:numId="25" w16cid:durableId="85805209">
    <w:abstractNumId w:val="92"/>
  </w:num>
  <w:num w:numId="26" w16cid:durableId="1199784102">
    <w:abstractNumId w:val="98"/>
  </w:num>
  <w:num w:numId="27" w16cid:durableId="16512045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849607">
    <w:abstractNumId w:val="76"/>
  </w:num>
  <w:num w:numId="29" w16cid:durableId="1106776385">
    <w:abstractNumId w:val="16"/>
  </w:num>
  <w:num w:numId="30" w16cid:durableId="711078239">
    <w:abstractNumId w:val="13"/>
  </w:num>
  <w:num w:numId="31" w16cid:durableId="1083069052">
    <w:abstractNumId w:val="63"/>
  </w:num>
  <w:num w:numId="32" w16cid:durableId="449739820">
    <w:abstractNumId w:val="23"/>
  </w:num>
  <w:num w:numId="33" w16cid:durableId="33894079">
    <w:abstractNumId w:val="11"/>
  </w:num>
  <w:num w:numId="34" w16cid:durableId="32271635">
    <w:abstractNumId w:val="66"/>
  </w:num>
  <w:num w:numId="35" w16cid:durableId="1005519066">
    <w:abstractNumId w:val="5"/>
  </w:num>
  <w:num w:numId="36" w16cid:durableId="1467117666">
    <w:abstractNumId w:val="7"/>
  </w:num>
  <w:num w:numId="37" w16cid:durableId="727192485">
    <w:abstractNumId w:val="53"/>
  </w:num>
  <w:num w:numId="38" w16cid:durableId="1462575565">
    <w:abstractNumId w:val="54"/>
  </w:num>
  <w:num w:numId="39" w16cid:durableId="1990401059">
    <w:abstractNumId w:val="27"/>
  </w:num>
  <w:num w:numId="40" w16cid:durableId="758141220">
    <w:abstractNumId w:val="35"/>
  </w:num>
  <w:num w:numId="41" w16cid:durableId="265235796">
    <w:abstractNumId w:val="77"/>
  </w:num>
  <w:num w:numId="42" w16cid:durableId="694115696">
    <w:abstractNumId w:val="22"/>
  </w:num>
  <w:num w:numId="43" w16cid:durableId="1673798288">
    <w:abstractNumId w:val="64"/>
  </w:num>
  <w:num w:numId="44" w16cid:durableId="510023093">
    <w:abstractNumId w:val="24"/>
  </w:num>
  <w:num w:numId="45" w16cid:durableId="1500001835">
    <w:abstractNumId w:val="87"/>
  </w:num>
  <w:num w:numId="46" w16cid:durableId="1515149472">
    <w:abstractNumId w:val="42"/>
  </w:num>
  <w:num w:numId="47" w16cid:durableId="1006858123">
    <w:abstractNumId w:val="61"/>
  </w:num>
  <w:num w:numId="48" w16cid:durableId="1898977588">
    <w:abstractNumId w:val="99"/>
  </w:num>
  <w:num w:numId="49" w16cid:durableId="148406108">
    <w:abstractNumId w:val="90"/>
  </w:num>
  <w:num w:numId="50" w16cid:durableId="1060399521">
    <w:abstractNumId w:val="40"/>
  </w:num>
  <w:num w:numId="51" w16cid:durableId="191191975">
    <w:abstractNumId w:val="93"/>
  </w:num>
  <w:num w:numId="52" w16cid:durableId="1591163846">
    <w:abstractNumId w:val="49"/>
  </w:num>
  <w:num w:numId="53" w16cid:durableId="1815491498">
    <w:abstractNumId w:val="83"/>
  </w:num>
  <w:num w:numId="54" w16cid:durableId="1039671504">
    <w:abstractNumId w:val="33"/>
  </w:num>
  <w:num w:numId="55" w16cid:durableId="2045981490">
    <w:abstractNumId w:val="4"/>
  </w:num>
  <w:num w:numId="56" w16cid:durableId="1266036573">
    <w:abstractNumId w:val="28"/>
  </w:num>
  <w:num w:numId="57" w16cid:durableId="1072657309">
    <w:abstractNumId w:val="10"/>
  </w:num>
  <w:num w:numId="58" w16cid:durableId="257062354">
    <w:abstractNumId w:val="75"/>
  </w:num>
  <w:num w:numId="59" w16cid:durableId="1127699967">
    <w:abstractNumId w:val="55"/>
  </w:num>
  <w:num w:numId="60" w16cid:durableId="1549604125">
    <w:abstractNumId w:val="73"/>
  </w:num>
  <w:num w:numId="61" w16cid:durableId="4944192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8414642">
    <w:abstractNumId w:val="102"/>
  </w:num>
  <w:num w:numId="63" w16cid:durableId="559488536">
    <w:abstractNumId w:val="82"/>
  </w:num>
  <w:num w:numId="64" w16cid:durableId="1192960622">
    <w:abstractNumId w:val="26"/>
  </w:num>
  <w:num w:numId="65" w16cid:durableId="4892483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33795081">
    <w:abstractNumId w:val="95"/>
  </w:num>
  <w:num w:numId="67" w16cid:durableId="584147979">
    <w:abstractNumId w:val="19"/>
  </w:num>
  <w:num w:numId="68" w16cid:durableId="1388332509">
    <w:abstractNumId w:val="20"/>
  </w:num>
  <w:num w:numId="69" w16cid:durableId="2018192807">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5778859">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32481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60314338">
    <w:abstractNumId w:val="60"/>
  </w:num>
  <w:num w:numId="73" w16cid:durableId="123635778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601161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20598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4448852">
    <w:abstractNumId w:val="88"/>
  </w:num>
  <w:num w:numId="77" w16cid:durableId="19400624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60082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9509961">
    <w:abstractNumId w:val="72"/>
  </w:num>
  <w:num w:numId="80" w16cid:durableId="2008550723">
    <w:abstractNumId w:val="6"/>
  </w:num>
  <w:num w:numId="81" w16cid:durableId="131489142">
    <w:abstractNumId w:val="86"/>
  </w:num>
  <w:num w:numId="82" w16cid:durableId="869414533">
    <w:abstractNumId w:val="71"/>
  </w:num>
  <w:num w:numId="83" w16cid:durableId="11665545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5341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93961677">
    <w:abstractNumId w:val="79"/>
  </w:num>
  <w:num w:numId="86" w16cid:durableId="1793162897">
    <w:abstractNumId w:val="17"/>
  </w:num>
  <w:num w:numId="87" w16cid:durableId="1279872825">
    <w:abstractNumId w:val="85"/>
  </w:num>
  <w:num w:numId="88" w16cid:durableId="2120567388">
    <w:abstractNumId w:val="15"/>
  </w:num>
  <w:num w:numId="89" w16cid:durableId="1565722048">
    <w:abstractNumId w:val="69"/>
  </w:num>
  <w:num w:numId="90" w16cid:durableId="874780727">
    <w:abstractNumId w:val="46"/>
  </w:num>
  <w:num w:numId="91" w16cid:durableId="863786108">
    <w:abstractNumId w:val="91"/>
  </w:num>
  <w:num w:numId="92" w16cid:durableId="1686133949">
    <w:abstractNumId w:val="43"/>
  </w:num>
  <w:num w:numId="93" w16cid:durableId="2124112737">
    <w:abstractNumId w:val="8"/>
  </w:num>
  <w:num w:numId="94" w16cid:durableId="1163663549">
    <w:abstractNumId w:val="37"/>
  </w:num>
  <w:num w:numId="95" w16cid:durableId="990905015">
    <w:abstractNumId w:val="38"/>
  </w:num>
  <w:num w:numId="96" w16cid:durableId="1565489032">
    <w:abstractNumId w:val="39"/>
  </w:num>
  <w:num w:numId="97" w16cid:durableId="1783381053">
    <w:abstractNumId w:val="12"/>
  </w:num>
  <w:num w:numId="98" w16cid:durableId="495919514">
    <w:abstractNumId w:val="89"/>
  </w:num>
  <w:num w:numId="99" w16cid:durableId="1404721469">
    <w:abstractNumId w:val="74"/>
  </w:num>
  <w:num w:numId="100" w16cid:durableId="909971814">
    <w:abstractNumId w:val="29"/>
  </w:num>
  <w:num w:numId="101" w16cid:durableId="766194202">
    <w:abstractNumId w:val="103"/>
  </w:num>
  <w:num w:numId="102" w16cid:durableId="1461655030">
    <w:abstractNumId w:val="80"/>
  </w:num>
  <w:num w:numId="103" w16cid:durableId="637959509">
    <w:abstractNumId w:val="41"/>
  </w:num>
  <w:num w:numId="104" w16cid:durableId="2136173546">
    <w:abstractNumId w:val="84"/>
  </w:num>
  <w:num w:numId="105" w16cid:durableId="918367547">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32F0"/>
    <w:rsid w:val="00047B56"/>
    <w:rsid w:val="0006009D"/>
    <w:rsid w:val="0006625E"/>
    <w:rsid w:val="0006762F"/>
    <w:rsid w:val="00096079"/>
    <w:rsid w:val="00096F88"/>
    <w:rsid w:val="000A293A"/>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1D4270"/>
    <w:rsid w:val="001F6907"/>
    <w:rsid w:val="002032CF"/>
    <w:rsid w:val="00206C8A"/>
    <w:rsid w:val="00214378"/>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76845"/>
    <w:rsid w:val="00393310"/>
    <w:rsid w:val="003B1772"/>
    <w:rsid w:val="003B4055"/>
    <w:rsid w:val="003B6168"/>
    <w:rsid w:val="003C2346"/>
    <w:rsid w:val="003C4836"/>
    <w:rsid w:val="003D5044"/>
    <w:rsid w:val="003E0DFA"/>
    <w:rsid w:val="003F0F0D"/>
    <w:rsid w:val="003F186E"/>
    <w:rsid w:val="003F262C"/>
    <w:rsid w:val="00414974"/>
    <w:rsid w:val="00433F4F"/>
    <w:rsid w:val="00457108"/>
    <w:rsid w:val="0045789B"/>
    <w:rsid w:val="0047146A"/>
    <w:rsid w:val="004722BC"/>
    <w:rsid w:val="00474650"/>
    <w:rsid w:val="00476696"/>
    <w:rsid w:val="00494C40"/>
    <w:rsid w:val="00495CA7"/>
    <w:rsid w:val="004A66BD"/>
    <w:rsid w:val="004B3074"/>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07CA7"/>
    <w:rsid w:val="0071332B"/>
    <w:rsid w:val="0073273B"/>
    <w:rsid w:val="00736A43"/>
    <w:rsid w:val="007609D9"/>
    <w:rsid w:val="0076210E"/>
    <w:rsid w:val="00772E3C"/>
    <w:rsid w:val="00792456"/>
    <w:rsid w:val="007B0327"/>
    <w:rsid w:val="007B7762"/>
    <w:rsid w:val="007C2CC3"/>
    <w:rsid w:val="007C351D"/>
    <w:rsid w:val="007E2645"/>
    <w:rsid w:val="007E6A34"/>
    <w:rsid w:val="007F5F4E"/>
    <w:rsid w:val="00807BAA"/>
    <w:rsid w:val="00822FF4"/>
    <w:rsid w:val="0082548A"/>
    <w:rsid w:val="00841815"/>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962A2"/>
    <w:rsid w:val="00AA2279"/>
    <w:rsid w:val="00AA7906"/>
    <w:rsid w:val="00AB1BC7"/>
    <w:rsid w:val="00AC61DF"/>
    <w:rsid w:val="00AD711F"/>
    <w:rsid w:val="00AE1B0F"/>
    <w:rsid w:val="00AF3A07"/>
    <w:rsid w:val="00AF51F7"/>
    <w:rsid w:val="00B056D9"/>
    <w:rsid w:val="00B111C3"/>
    <w:rsid w:val="00B130F3"/>
    <w:rsid w:val="00B205A7"/>
    <w:rsid w:val="00B238D3"/>
    <w:rsid w:val="00B2472E"/>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BF54F6"/>
    <w:rsid w:val="00C01947"/>
    <w:rsid w:val="00C1460C"/>
    <w:rsid w:val="00C17F04"/>
    <w:rsid w:val="00C359F1"/>
    <w:rsid w:val="00C37778"/>
    <w:rsid w:val="00C37954"/>
    <w:rsid w:val="00C402CB"/>
    <w:rsid w:val="00C57947"/>
    <w:rsid w:val="00C66C6D"/>
    <w:rsid w:val="00C931AE"/>
    <w:rsid w:val="00CA5D4D"/>
    <w:rsid w:val="00CB6344"/>
    <w:rsid w:val="00CC0727"/>
    <w:rsid w:val="00CC5D2E"/>
    <w:rsid w:val="00CC6DB2"/>
    <w:rsid w:val="00CE4346"/>
    <w:rsid w:val="00CF54E1"/>
    <w:rsid w:val="00D0510C"/>
    <w:rsid w:val="00D05BCC"/>
    <w:rsid w:val="00D06D1F"/>
    <w:rsid w:val="00D26B92"/>
    <w:rsid w:val="00D277D6"/>
    <w:rsid w:val="00D32DD7"/>
    <w:rsid w:val="00D54D6F"/>
    <w:rsid w:val="00D63A53"/>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5644B"/>
    <w:rsid w:val="00E57070"/>
    <w:rsid w:val="00E62F1F"/>
    <w:rsid w:val="00E6614F"/>
    <w:rsid w:val="00E66191"/>
    <w:rsid w:val="00E9048E"/>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B18BD"/>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D5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0/ecsa11626b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n/iachr/docs/annual/2020/Chapters/IA2020cap2-en.pdf" TargetMode="External"/><Relationship Id="rId1" Type="http://schemas.openxmlformats.org/officeDocument/2006/relationships/hyperlink" Target="http://www.oas.org/es/cidh/decisiones/2020/ecsa11626b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96AE4DDB-F905-4F17-B459-7AF76DAAF3D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Links>
    <vt:vector size="18" baseType="variant">
      <vt:variant>
        <vt:i4>1048596</vt:i4>
      </vt:variant>
      <vt:variant>
        <vt:i4>0</vt:i4>
      </vt:variant>
      <vt:variant>
        <vt:i4>0</vt:i4>
      </vt:variant>
      <vt:variant>
        <vt:i4>5</vt:i4>
      </vt:variant>
      <vt:variant>
        <vt:lpwstr>https://www.oas.org/en/iachr/decisions/2020/ecsa11626ben.pdf</vt:lpwstr>
      </vt:variant>
      <vt:variant>
        <vt:lpwstr/>
      </vt:variant>
      <vt:variant>
        <vt:i4>3670115</vt:i4>
      </vt:variant>
      <vt:variant>
        <vt:i4>3</vt:i4>
      </vt:variant>
      <vt:variant>
        <vt:i4>0</vt:i4>
      </vt:variant>
      <vt:variant>
        <vt:i4>5</vt:i4>
      </vt:variant>
      <vt:variant>
        <vt:lpwstr>http://www.oas.org/en/iachr/docs/annual/2020/Chapters/IA2020cap2-en.pdf</vt:lpwstr>
      </vt:variant>
      <vt:variant>
        <vt:lpwstr/>
      </vt:variant>
      <vt:variant>
        <vt:i4>2949166</vt:i4>
      </vt:variant>
      <vt:variant>
        <vt:i4>0</vt:i4>
      </vt:variant>
      <vt:variant>
        <vt:i4>0</vt:i4>
      </vt:variant>
      <vt:variant>
        <vt:i4>5</vt:i4>
      </vt:variant>
      <vt:variant>
        <vt:lpwstr>http://www.oas.org/es/cidh/decisiones/2020/ecsa11626bes.pdf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2023-03-03T22:04:00Z</dcterms:created>
  <dcterms:modified xsi:type="dcterms:W3CDTF">2023-03-03T22:04:00Z</dcterms:modified>
</cp:coreProperties>
</file>