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DD98" w14:textId="77777777" w:rsidR="00583C84" w:rsidRDefault="00583C84" w:rsidP="0045789B">
      <w:pPr>
        <w:spacing w:after="0" w:line="240" w:lineRule="auto"/>
        <w:jc w:val="center"/>
        <w:rPr>
          <w:rFonts w:ascii="Cambria" w:hAnsi="Cambria"/>
        </w:rPr>
      </w:pPr>
    </w:p>
    <w:p w14:paraId="7F1AE21D" w14:textId="77777777" w:rsidR="00B36CD8" w:rsidRPr="00DD1E2F" w:rsidRDefault="00B36CD8" w:rsidP="0045789B">
      <w:pPr>
        <w:spacing w:after="0" w:line="240" w:lineRule="auto"/>
        <w:jc w:val="center"/>
        <w:rPr>
          <w:rFonts w:ascii="Cambria" w:hAnsi="Cambria"/>
        </w:rPr>
      </w:pPr>
    </w:p>
    <w:p w14:paraId="456160D4" w14:textId="77777777" w:rsidR="00583C84" w:rsidRPr="00DD1E2F" w:rsidRDefault="00583C84" w:rsidP="0045789B">
      <w:pPr>
        <w:pStyle w:val="MediumGrid2-Accent11"/>
        <w:ind w:left="-270" w:right="-270"/>
        <w:jc w:val="center"/>
        <w:rPr>
          <w:rFonts w:ascii="Cambria" w:hAnsi="Cambria"/>
          <w:b/>
          <w:color w:val="000000"/>
          <w:lang w:val="en-US"/>
        </w:rPr>
      </w:pPr>
      <w:r w:rsidRPr="00DD1E2F">
        <w:rPr>
          <w:rFonts w:ascii="Cambria" w:hAnsi="Cambria"/>
          <w:b/>
          <w:color w:val="000000"/>
          <w:lang w:val="en-US"/>
        </w:rPr>
        <w:t>TECHNICAL INFORMATION SHEET</w:t>
      </w:r>
    </w:p>
    <w:p w14:paraId="43CC8D3E" w14:textId="77777777" w:rsidR="00583C84" w:rsidRPr="00DD1E2F" w:rsidRDefault="00583C84" w:rsidP="0045789B">
      <w:pPr>
        <w:spacing w:after="0" w:line="240" w:lineRule="auto"/>
        <w:ind w:right="-270"/>
        <w:jc w:val="center"/>
        <w:rPr>
          <w:rFonts w:ascii="Cambria" w:eastAsia="Batang" w:hAnsi="Cambria"/>
          <w:b/>
          <w:color w:val="000000"/>
        </w:rPr>
      </w:pPr>
      <w:r w:rsidRPr="00DD1E2F">
        <w:rPr>
          <w:rFonts w:ascii="Cambria" w:eastAsia="Batang" w:hAnsi="Cambria"/>
          <w:b/>
          <w:color w:val="000000"/>
        </w:rPr>
        <w:t>CASE 12.558 FAUSTO MENDOZA GILER Y DIÓGENES MENDOZA BRAVO</w:t>
      </w:r>
    </w:p>
    <w:p w14:paraId="19535067" w14:textId="77777777" w:rsidR="00583C84" w:rsidRPr="00DD1E2F" w:rsidRDefault="00583C84" w:rsidP="0045789B">
      <w:pPr>
        <w:pStyle w:val="MediumGrid2-Accent11"/>
        <w:ind w:left="-270" w:right="-270"/>
        <w:jc w:val="center"/>
        <w:rPr>
          <w:rFonts w:ascii="Cambria" w:hAnsi="Cambria" w:cs="Calibri"/>
          <w:b/>
          <w:bCs/>
          <w:color w:val="000000"/>
        </w:rPr>
      </w:pPr>
      <w:r w:rsidRPr="00DD1E2F">
        <w:rPr>
          <w:rFonts w:ascii="Cambria" w:hAnsi="Cambria"/>
          <w:b/>
          <w:color w:val="000000"/>
          <w:lang w:val="en-US"/>
        </w:rPr>
        <w:t xml:space="preserve">REPORT ON FRIENDLY SETTLEMENT AGREEMENT Nº </w:t>
      </w:r>
      <w:r w:rsidRPr="00DD1E2F">
        <w:rPr>
          <w:rFonts w:ascii="Cambria" w:hAnsi="Cambria" w:cs="Calibri"/>
          <w:b/>
          <w:bCs/>
          <w:color w:val="000000"/>
          <w:lang w:val="en-US"/>
        </w:rPr>
        <w:t>47/06</w:t>
      </w:r>
    </w:p>
    <w:p w14:paraId="2C4040D5" w14:textId="77777777" w:rsidR="00583C84" w:rsidRPr="00DD1E2F" w:rsidRDefault="00583C84" w:rsidP="0045789B">
      <w:pPr>
        <w:pStyle w:val="MediumGrid2-Accent11"/>
        <w:ind w:left="-270" w:right="-270"/>
        <w:jc w:val="center"/>
        <w:rPr>
          <w:rFonts w:ascii="Cambria" w:hAnsi="Cambria"/>
          <w:b/>
          <w:color w:val="000000"/>
          <w:lang w:val="es-ES"/>
        </w:rPr>
      </w:pPr>
      <w:r w:rsidRPr="00DD1E2F">
        <w:rPr>
          <w:rFonts w:ascii="Cambria" w:hAnsi="Cambria"/>
          <w:b/>
          <w:color w:val="000000"/>
        </w:rPr>
        <w:t>ARCHIVE</w:t>
      </w:r>
    </w:p>
    <w:p w14:paraId="3803F4CF" w14:textId="77777777" w:rsidR="00583C84" w:rsidRPr="00DD1E2F" w:rsidRDefault="001A1C17" w:rsidP="0045789B">
      <w:pPr>
        <w:pStyle w:val="MediumGrid2-Accent11"/>
        <w:ind w:left="-270" w:right="-270"/>
        <w:jc w:val="center"/>
        <w:rPr>
          <w:rFonts w:ascii="Cambria" w:hAnsi="Cambria"/>
          <w:b/>
          <w:color w:val="000000"/>
          <w:lang w:val="es-CO"/>
        </w:rPr>
      </w:pPr>
      <w:r w:rsidRPr="00DD1E2F">
        <w:rPr>
          <w:rFonts w:ascii="Cambria" w:hAnsi="Cambria"/>
          <w:b/>
          <w:color w:val="000000"/>
          <w:lang w:val="es-CO"/>
        </w:rPr>
        <w:t>(ECUADOR</w:t>
      </w:r>
      <w:r w:rsidR="00583C84" w:rsidRPr="00DD1E2F">
        <w:rPr>
          <w:rFonts w:ascii="Cambria" w:hAnsi="Cambria"/>
          <w:b/>
          <w:color w:val="000000"/>
          <w:lang w:val="es-CO"/>
        </w:rPr>
        <w:t>)</w:t>
      </w:r>
    </w:p>
    <w:p w14:paraId="0AD38357" w14:textId="77777777" w:rsidR="00583C84" w:rsidRPr="00DD1E2F" w:rsidRDefault="00583C84" w:rsidP="0045789B">
      <w:pPr>
        <w:spacing w:after="0" w:line="240" w:lineRule="auto"/>
        <w:ind w:right="-270"/>
        <w:jc w:val="center"/>
        <w:rPr>
          <w:rFonts w:ascii="Cambria" w:eastAsia="Batang" w:hAnsi="Cambria"/>
          <w:b/>
          <w:color w:val="000000"/>
        </w:rPr>
      </w:pPr>
    </w:p>
    <w:p w14:paraId="6F6267C9" w14:textId="77777777" w:rsidR="00583C84" w:rsidRPr="00DD1E2F" w:rsidRDefault="00583C84" w:rsidP="00AD711F">
      <w:pPr>
        <w:numPr>
          <w:ilvl w:val="0"/>
          <w:numId w:val="77"/>
        </w:numPr>
        <w:spacing w:after="0" w:line="240" w:lineRule="auto"/>
        <w:ind w:left="-142" w:firstLine="862"/>
        <w:rPr>
          <w:rFonts w:ascii="Cambria" w:eastAsia="Batang" w:hAnsi="Cambria" w:cs="Calibri Light"/>
          <w:b/>
          <w:color w:val="000000"/>
        </w:rPr>
      </w:pPr>
      <w:r w:rsidRPr="00DD1E2F">
        <w:rPr>
          <w:rFonts w:ascii="Cambria" w:eastAsia="Batang" w:hAnsi="Cambria" w:cs="Calibri Light"/>
          <w:b/>
          <w:color w:val="000000"/>
        </w:rPr>
        <w:t xml:space="preserve">SUMMARY OF THE CASE </w:t>
      </w:r>
    </w:p>
    <w:p w14:paraId="2D34794A" w14:textId="77777777" w:rsidR="00583C84" w:rsidRPr="00DD1E2F" w:rsidRDefault="00583C84" w:rsidP="0045789B">
      <w:pPr>
        <w:spacing w:after="0" w:line="240" w:lineRule="auto"/>
        <w:rPr>
          <w:rFonts w:ascii="Cambria" w:eastAsia="Batang" w:hAnsi="Cambria" w:cs="Calibri Light"/>
          <w:b/>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6"/>
      </w:tblGrid>
      <w:tr w:rsidR="00583C84" w:rsidRPr="00DD1E2F" w14:paraId="55F729BE" w14:textId="77777777" w:rsidTr="00C359F1">
        <w:trPr>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511DDBAE" w14:textId="77777777" w:rsidR="00583C84" w:rsidRPr="00DD1E2F" w:rsidRDefault="00583C84" w:rsidP="0045789B">
            <w:pPr>
              <w:spacing w:after="0" w:line="240" w:lineRule="auto"/>
              <w:jc w:val="both"/>
              <w:rPr>
                <w:rFonts w:ascii="Cambria" w:eastAsia="Batang" w:hAnsi="Cambria"/>
                <w:color w:val="000000"/>
              </w:rPr>
            </w:pPr>
            <w:r w:rsidRPr="00DD1E2F">
              <w:rPr>
                <w:rFonts w:ascii="Cambria" w:eastAsia="Batang" w:hAnsi="Cambria"/>
                <w:b/>
                <w:color w:val="000000"/>
              </w:rPr>
              <w:t>Victim(s)</w:t>
            </w:r>
            <w:r w:rsidRPr="00DD1E2F">
              <w:rPr>
                <w:rFonts w:ascii="Cambria" w:eastAsia="Batang" w:hAnsi="Cambria"/>
                <w:color w:val="000000"/>
              </w:rPr>
              <w:t>: Fausto Mendoza Giler and Diógenes Mendoza Bravo</w:t>
            </w:r>
          </w:p>
          <w:p w14:paraId="01818D36" w14:textId="77777777" w:rsidR="00583C84" w:rsidRPr="00DD1E2F" w:rsidRDefault="00583C84" w:rsidP="0045789B">
            <w:pPr>
              <w:spacing w:after="0" w:line="240" w:lineRule="auto"/>
              <w:jc w:val="both"/>
              <w:rPr>
                <w:rFonts w:ascii="Cambria" w:eastAsia="Batang" w:hAnsi="Cambria"/>
                <w:color w:val="000000"/>
              </w:rPr>
            </w:pPr>
            <w:r w:rsidRPr="00DD1E2F">
              <w:rPr>
                <w:rFonts w:ascii="Cambria" w:eastAsia="Batang" w:hAnsi="Cambria"/>
                <w:b/>
                <w:color w:val="000000"/>
              </w:rPr>
              <w:t>Petitioner(s)</w:t>
            </w:r>
            <w:r w:rsidRPr="00DD1E2F">
              <w:rPr>
                <w:rFonts w:ascii="Cambria" w:eastAsia="Batang" w:hAnsi="Cambria"/>
                <w:color w:val="000000"/>
              </w:rPr>
              <w:t>:</w:t>
            </w:r>
            <w:r w:rsidRPr="00DD1E2F">
              <w:rPr>
                <w:rFonts w:ascii="Cambria" w:eastAsia="Batang" w:hAnsi="Cambria"/>
                <w:b/>
                <w:color w:val="000000"/>
              </w:rPr>
              <w:t xml:space="preserve"> </w:t>
            </w:r>
            <w:r w:rsidRPr="00DD1E2F">
              <w:rPr>
                <w:rFonts w:ascii="Cambria" w:eastAsia="Batang" w:hAnsi="Cambria"/>
                <w:color w:val="000000"/>
              </w:rPr>
              <w:t xml:space="preserve">Committee for the Defense of Human Rights, Ecumenical Commission for Human Rights of Ecuador </w:t>
            </w:r>
          </w:p>
          <w:p w14:paraId="621312C7" w14:textId="77777777" w:rsidR="00583C84" w:rsidRPr="00DD1E2F" w:rsidRDefault="00583C84" w:rsidP="0045789B">
            <w:pPr>
              <w:spacing w:after="0" w:line="240" w:lineRule="auto"/>
              <w:jc w:val="both"/>
              <w:rPr>
                <w:rFonts w:ascii="Cambria" w:eastAsia="Batang" w:hAnsi="Cambria"/>
                <w:color w:val="000000"/>
              </w:rPr>
            </w:pPr>
            <w:r w:rsidRPr="00DD1E2F">
              <w:rPr>
                <w:rFonts w:ascii="Cambria" w:eastAsia="Batang" w:hAnsi="Cambria"/>
                <w:b/>
                <w:color w:val="000000"/>
              </w:rPr>
              <w:t>State</w:t>
            </w:r>
            <w:r w:rsidRPr="00DD1E2F">
              <w:rPr>
                <w:rFonts w:ascii="Cambria" w:eastAsia="Batang" w:hAnsi="Cambria"/>
                <w:color w:val="000000"/>
              </w:rPr>
              <w:t>: Ecuador</w:t>
            </w:r>
          </w:p>
          <w:p w14:paraId="10C4450C" w14:textId="77777777" w:rsidR="00583C84" w:rsidRPr="00DD1E2F" w:rsidRDefault="00583C84" w:rsidP="0045789B">
            <w:pPr>
              <w:pStyle w:val="MediumGrid21"/>
              <w:tabs>
                <w:tab w:val="left" w:pos="9270"/>
              </w:tabs>
              <w:jc w:val="both"/>
              <w:rPr>
                <w:rFonts w:ascii="Cambria" w:hAnsi="Cambria"/>
                <w:b/>
                <w:bCs/>
                <w:color w:val="000000"/>
                <w:lang w:val="en-US"/>
              </w:rPr>
            </w:pPr>
            <w:r w:rsidRPr="00DD1E2F">
              <w:rPr>
                <w:rFonts w:ascii="Cambria" w:hAnsi="Cambria"/>
                <w:b/>
                <w:bCs/>
                <w:color w:val="000000"/>
                <w:lang w:val="en-US"/>
              </w:rPr>
              <w:t>Beginning of the negotiation date</w:t>
            </w:r>
            <w:r w:rsidRPr="00DD1E2F">
              <w:rPr>
                <w:rFonts w:ascii="Cambria" w:hAnsi="Cambria"/>
                <w:b/>
                <w:bCs/>
                <w:lang w:val="en-US"/>
              </w:rPr>
              <w:t>:</w:t>
            </w:r>
            <w:r w:rsidRPr="00DD1E2F">
              <w:rPr>
                <w:rFonts w:ascii="Cambria" w:hAnsi="Cambria"/>
                <w:bCs/>
                <w:lang w:val="en-US"/>
              </w:rPr>
              <w:t xml:space="preserve"> January 10, 2005</w:t>
            </w:r>
            <w:r w:rsidRPr="00DD1E2F">
              <w:rPr>
                <w:rFonts w:ascii="Cambria" w:hAnsi="Cambria"/>
                <w:bCs/>
                <w:color w:val="000000"/>
                <w:lang w:val="en-US"/>
              </w:rPr>
              <w:t xml:space="preserve"> </w:t>
            </w:r>
          </w:p>
          <w:p w14:paraId="549999C0" w14:textId="77777777" w:rsidR="00583C84" w:rsidRPr="00DD1E2F" w:rsidRDefault="00583C84" w:rsidP="0045789B">
            <w:pPr>
              <w:spacing w:after="0" w:line="240" w:lineRule="auto"/>
              <w:rPr>
                <w:rFonts w:ascii="Cambria" w:hAnsi="Cambria"/>
                <w:b/>
                <w:bCs/>
                <w:color w:val="000000"/>
              </w:rPr>
            </w:pPr>
            <w:r w:rsidRPr="00DD1E2F">
              <w:rPr>
                <w:rFonts w:ascii="Cambria" w:hAnsi="Cambria"/>
                <w:b/>
                <w:bCs/>
                <w:color w:val="000000"/>
              </w:rPr>
              <w:t xml:space="preserve">FSA signature date: </w:t>
            </w:r>
            <w:r w:rsidRPr="00DD1E2F">
              <w:rPr>
                <w:rFonts w:ascii="Cambria" w:hAnsi="Cambria"/>
                <w:bCs/>
                <w:color w:val="000000"/>
              </w:rPr>
              <w:t>September 20, 2005</w:t>
            </w:r>
          </w:p>
          <w:p w14:paraId="23AC4407" w14:textId="77777777" w:rsidR="00583C84" w:rsidRPr="00DD1E2F" w:rsidRDefault="00583C84" w:rsidP="0045789B">
            <w:pPr>
              <w:spacing w:after="0" w:line="240" w:lineRule="auto"/>
              <w:rPr>
                <w:rFonts w:ascii="Cambria" w:eastAsia="Batang" w:hAnsi="Cambria"/>
                <w:color w:val="000000"/>
              </w:rPr>
            </w:pPr>
            <w:r w:rsidRPr="00DD1E2F">
              <w:rPr>
                <w:rFonts w:ascii="Cambria" w:eastAsia="Batang" w:hAnsi="Cambria"/>
                <w:b/>
                <w:color w:val="000000"/>
              </w:rPr>
              <w:t xml:space="preserve">Report on Friendly Settlement Agreement No. </w:t>
            </w:r>
            <w:hyperlink r:id="rId12" w:history="1">
              <w:r w:rsidRPr="00DD1E2F">
                <w:rPr>
                  <w:rFonts w:ascii="Cambria" w:eastAsia="Batang" w:hAnsi="Cambria"/>
                  <w:b/>
                  <w:color w:val="000000"/>
                  <w:u w:val="single"/>
                </w:rPr>
                <w:t>47/06</w:t>
              </w:r>
            </w:hyperlink>
            <w:r w:rsidRPr="00DD1E2F">
              <w:rPr>
                <w:rFonts w:ascii="Cambria" w:eastAsia="Batang" w:hAnsi="Cambria"/>
                <w:color w:val="000000"/>
              </w:rPr>
              <w:t>, published on March 15, 2006</w:t>
            </w:r>
          </w:p>
          <w:p w14:paraId="22BA7BE3" w14:textId="77777777" w:rsidR="00583C84" w:rsidRPr="00DD1E2F" w:rsidRDefault="00583C84" w:rsidP="0045789B">
            <w:pPr>
              <w:spacing w:after="0" w:line="240" w:lineRule="auto"/>
              <w:rPr>
                <w:rFonts w:ascii="Cambria" w:hAnsi="Cambria"/>
                <w:b/>
                <w:bCs/>
                <w:color w:val="000000"/>
              </w:rPr>
            </w:pPr>
            <w:r w:rsidRPr="00DD1E2F">
              <w:rPr>
                <w:rFonts w:ascii="Cambria" w:hAnsi="Cambria"/>
                <w:b/>
                <w:bCs/>
                <w:color w:val="000000"/>
              </w:rPr>
              <w:t xml:space="preserve">Estimated length of the negotiation phase: </w:t>
            </w:r>
            <w:r w:rsidRPr="00DD1E2F">
              <w:rPr>
                <w:rFonts w:ascii="Cambria" w:hAnsi="Cambria"/>
                <w:bCs/>
                <w:color w:val="000000"/>
              </w:rPr>
              <w:t>1 year</w:t>
            </w:r>
          </w:p>
          <w:p w14:paraId="672F87E8" w14:textId="77777777" w:rsidR="00583C84" w:rsidRPr="00DD1E2F" w:rsidRDefault="00CE4346" w:rsidP="0045789B">
            <w:pPr>
              <w:spacing w:after="0" w:line="240" w:lineRule="auto"/>
              <w:jc w:val="both"/>
              <w:rPr>
                <w:rFonts w:ascii="Cambria" w:eastAsia="Batang" w:hAnsi="Cambria"/>
                <w:color w:val="000000"/>
              </w:rPr>
            </w:pPr>
            <w:r w:rsidRPr="00DD1E2F">
              <w:rPr>
                <w:rFonts w:ascii="Cambria" w:eastAsia="Batang" w:hAnsi="Cambria"/>
                <w:b/>
                <w:color w:val="000000"/>
              </w:rPr>
              <w:t>Rapporteurship</w:t>
            </w:r>
            <w:r w:rsidR="00583C84" w:rsidRPr="00DD1E2F">
              <w:rPr>
                <w:rFonts w:ascii="Cambria" w:eastAsia="Batang" w:hAnsi="Cambria"/>
                <w:b/>
                <w:color w:val="000000"/>
              </w:rPr>
              <w:t xml:space="preserve"> involved</w:t>
            </w:r>
            <w:r w:rsidR="00583C84" w:rsidRPr="00DD1E2F">
              <w:rPr>
                <w:rFonts w:ascii="Cambria" w:eastAsia="Batang" w:hAnsi="Cambria"/>
                <w:color w:val="000000"/>
              </w:rPr>
              <w:t>: Persons Deprived of Liberty/Rights of the Child</w:t>
            </w:r>
          </w:p>
          <w:p w14:paraId="257DC452" w14:textId="77777777" w:rsidR="00583C84" w:rsidRPr="00DD1E2F" w:rsidRDefault="00583C84" w:rsidP="0045789B">
            <w:pPr>
              <w:spacing w:after="0" w:line="240" w:lineRule="auto"/>
              <w:rPr>
                <w:rFonts w:ascii="Cambria" w:eastAsia="Batang" w:hAnsi="Cambria"/>
                <w:b/>
                <w:color w:val="000000"/>
              </w:rPr>
            </w:pPr>
            <w:r w:rsidRPr="00DD1E2F">
              <w:rPr>
                <w:rFonts w:ascii="Cambria" w:eastAsia="Batang" w:hAnsi="Cambria"/>
                <w:b/>
                <w:color w:val="000000"/>
              </w:rPr>
              <w:t>Topics</w:t>
            </w:r>
            <w:r w:rsidRPr="00DD1E2F">
              <w:rPr>
                <w:rFonts w:ascii="Cambria" w:eastAsia="Batang" w:hAnsi="Cambria"/>
                <w:color w:val="000000"/>
              </w:rPr>
              <w:t>:</w:t>
            </w:r>
            <w:r w:rsidRPr="00DD1E2F">
              <w:rPr>
                <w:rFonts w:ascii="Cambria" w:eastAsia="Batang" w:hAnsi="Cambria"/>
                <w:b/>
                <w:color w:val="000000"/>
              </w:rPr>
              <w:t xml:space="preserve"> </w:t>
            </w:r>
            <w:r w:rsidRPr="00DD1E2F">
              <w:rPr>
                <w:rFonts w:ascii="Cambria" w:eastAsia="Batang" w:hAnsi="Cambria"/>
                <w:color w:val="000000"/>
              </w:rPr>
              <w:t xml:space="preserve">Right to life/children and adolescents/persons deprived of liberty/investigation/right to humane treatment/personal liberty/a fair trial/judicial protection </w:t>
            </w:r>
          </w:p>
          <w:p w14:paraId="64E14CFD" w14:textId="77777777" w:rsidR="00583C84" w:rsidRPr="00DD1E2F" w:rsidRDefault="00583C84" w:rsidP="0045789B">
            <w:pPr>
              <w:spacing w:after="0" w:line="240" w:lineRule="auto"/>
              <w:jc w:val="both"/>
              <w:rPr>
                <w:rFonts w:ascii="Cambria" w:eastAsia="Batang" w:hAnsi="Cambria"/>
                <w:color w:val="000000"/>
              </w:rPr>
            </w:pPr>
          </w:p>
          <w:p w14:paraId="32535F87" w14:textId="77777777" w:rsidR="00583C84" w:rsidRPr="00DD1E2F" w:rsidRDefault="00583C84" w:rsidP="0045789B">
            <w:pPr>
              <w:spacing w:after="0" w:line="240" w:lineRule="auto"/>
              <w:jc w:val="both"/>
              <w:rPr>
                <w:rFonts w:ascii="Cambria" w:eastAsia="MS Mincho" w:hAnsi="Cambria"/>
                <w:color w:val="000000"/>
              </w:rPr>
            </w:pPr>
            <w:r w:rsidRPr="00DD1E2F">
              <w:rPr>
                <w:rFonts w:ascii="Cambria" w:eastAsia="Batang" w:hAnsi="Cambria"/>
                <w:b/>
                <w:color w:val="000000"/>
              </w:rPr>
              <w:t>Facts</w:t>
            </w:r>
            <w:r w:rsidRPr="00DD1E2F">
              <w:rPr>
                <w:rFonts w:ascii="Cambria" w:eastAsia="Batang" w:hAnsi="Cambria"/>
                <w:color w:val="000000"/>
              </w:rPr>
              <w:t xml:space="preserve">: </w:t>
            </w:r>
            <w:r w:rsidRPr="00DD1E2F">
              <w:rPr>
                <w:rFonts w:ascii="Cambria" w:eastAsia="MS Mincho" w:hAnsi="Cambria"/>
                <w:color w:val="000000"/>
              </w:rPr>
              <w:t xml:space="preserve">The matter </w:t>
            </w:r>
            <w:r w:rsidR="00942C8E" w:rsidRPr="00DD1E2F">
              <w:rPr>
                <w:rFonts w:ascii="Cambria" w:eastAsia="MS Mincho" w:hAnsi="Cambria"/>
                <w:color w:val="000000"/>
              </w:rPr>
              <w:t>relates to</w:t>
            </w:r>
            <w:r w:rsidRPr="00DD1E2F">
              <w:rPr>
                <w:rFonts w:ascii="Cambria" w:eastAsia="MS Mincho" w:hAnsi="Cambria"/>
                <w:color w:val="000000"/>
              </w:rPr>
              <w:t xml:space="preserve"> the detention of Fausto Mendoza Giler (minor child) and Diógenes Mendoza Bravo (the child’s father), on March 19, 2000 by members of the police Special Operations Group. The victims were beaten, as a result of which Fausto Fabricio Mendoza died. Diógenes Mendoza Bravo filed to be a party to the prosecution against the police officers who were involved in the detention. The petitioners also allege that on July 20, 2000, a blanket order to open proceedings was handed down; however, said order did not indict any of the officers responsible for the events.</w:t>
            </w:r>
          </w:p>
          <w:p w14:paraId="43847ACF" w14:textId="77777777" w:rsidR="00583C84" w:rsidRPr="00DD1E2F" w:rsidRDefault="00583C84" w:rsidP="0045789B">
            <w:pPr>
              <w:spacing w:after="0" w:line="240" w:lineRule="auto"/>
              <w:jc w:val="both"/>
              <w:rPr>
                <w:rFonts w:ascii="Cambria" w:eastAsia="Batang" w:hAnsi="Cambria"/>
                <w:color w:val="000000"/>
              </w:rPr>
            </w:pPr>
          </w:p>
          <w:p w14:paraId="4C683CF4" w14:textId="77777777" w:rsidR="00583C84" w:rsidRPr="00DD1E2F" w:rsidRDefault="00583C84" w:rsidP="0045789B">
            <w:pPr>
              <w:spacing w:after="0" w:line="240" w:lineRule="auto"/>
              <w:jc w:val="both"/>
              <w:rPr>
                <w:rFonts w:ascii="Cambria" w:eastAsia="Batang" w:hAnsi="Cambria"/>
                <w:color w:val="000000"/>
              </w:rPr>
            </w:pPr>
            <w:r w:rsidRPr="00DD1E2F">
              <w:rPr>
                <w:rFonts w:ascii="Cambria" w:eastAsia="Batang" w:hAnsi="Cambria"/>
                <w:b/>
                <w:color w:val="000000"/>
              </w:rPr>
              <w:t>Rights alleged</w:t>
            </w:r>
            <w:r w:rsidRPr="00DD1E2F">
              <w:rPr>
                <w:rFonts w:ascii="Cambria" w:eastAsia="Batang" w:hAnsi="Cambria"/>
                <w:color w:val="000000"/>
              </w:rPr>
              <w:t>: The petitioners alleged violation of the rights provided for under Articles 4 (life), 5 (humane treatment), 7 (personal liberty), 8 (a fair trial), and 25 (judicial protection) [of the American Convention on Human Rights], in breach of the obligations provided for under Article 1(1) thereof, to the detriment of Fausto Mendoza Giler and Diógenes Mendoza Bravo.</w:t>
            </w:r>
          </w:p>
        </w:tc>
      </w:tr>
    </w:tbl>
    <w:p w14:paraId="06093458" w14:textId="77777777" w:rsidR="00583C84" w:rsidRDefault="00583C84" w:rsidP="0045789B">
      <w:pPr>
        <w:spacing w:after="0" w:line="240" w:lineRule="auto"/>
        <w:contextualSpacing/>
        <w:jc w:val="both"/>
        <w:rPr>
          <w:rFonts w:ascii="Cambria" w:eastAsia="Batang" w:hAnsi="Cambria" w:cs="Calibri Light"/>
          <w:b/>
          <w:color w:val="000000"/>
        </w:rPr>
      </w:pPr>
    </w:p>
    <w:p w14:paraId="2A29D109" w14:textId="77777777" w:rsidR="00B36CD8" w:rsidRPr="00DD1E2F" w:rsidRDefault="00B36CD8" w:rsidP="0045789B">
      <w:pPr>
        <w:spacing w:after="0" w:line="240" w:lineRule="auto"/>
        <w:contextualSpacing/>
        <w:jc w:val="both"/>
        <w:rPr>
          <w:rFonts w:ascii="Cambria" w:eastAsia="Batang" w:hAnsi="Cambria" w:cs="Calibri Light"/>
          <w:b/>
          <w:color w:val="000000"/>
        </w:rPr>
      </w:pPr>
    </w:p>
    <w:p w14:paraId="21452189" w14:textId="77777777" w:rsidR="00583C84" w:rsidRPr="00DD1E2F" w:rsidRDefault="00583C84" w:rsidP="00AD711F">
      <w:pPr>
        <w:numPr>
          <w:ilvl w:val="0"/>
          <w:numId w:val="77"/>
        </w:numPr>
        <w:spacing w:after="0" w:line="240" w:lineRule="auto"/>
        <w:ind w:left="-142" w:firstLine="862"/>
        <w:contextualSpacing/>
        <w:jc w:val="both"/>
        <w:rPr>
          <w:rFonts w:ascii="Cambria" w:eastAsia="Batang" w:hAnsi="Cambria" w:cs="Calibri Light"/>
          <w:b/>
          <w:color w:val="000000"/>
        </w:rPr>
      </w:pPr>
      <w:r w:rsidRPr="00DD1E2F">
        <w:rPr>
          <w:rFonts w:ascii="Cambria" w:eastAsia="Batang" w:hAnsi="Cambria"/>
          <w:b/>
          <w:color w:val="000000"/>
        </w:rPr>
        <w:t>PROCEDURAL ACTIVITY</w:t>
      </w:r>
    </w:p>
    <w:p w14:paraId="74244162" w14:textId="77777777" w:rsidR="00583C84" w:rsidRPr="00DD1E2F" w:rsidRDefault="00583C84" w:rsidP="0045789B">
      <w:pPr>
        <w:spacing w:after="0" w:line="240" w:lineRule="auto"/>
        <w:ind w:left="-142" w:firstLine="862"/>
        <w:contextualSpacing/>
        <w:jc w:val="both"/>
        <w:rPr>
          <w:rFonts w:ascii="Cambria" w:eastAsia="Batang" w:hAnsi="Cambria" w:cs="Calibri Light"/>
          <w:b/>
          <w:color w:val="000000"/>
        </w:rPr>
      </w:pPr>
    </w:p>
    <w:p w14:paraId="2DED4AC8" w14:textId="77777777" w:rsidR="00583C84" w:rsidRPr="00DD1E2F" w:rsidRDefault="00583C84" w:rsidP="00AD711F">
      <w:pPr>
        <w:pStyle w:val="LightGrid-Accent31"/>
        <w:numPr>
          <w:ilvl w:val="0"/>
          <w:numId w:val="79"/>
        </w:numPr>
        <w:spacing w:after="0" w:line="240" w:lineRule="auto"/>
        <w:ind w:left="-142" w:firstLine="862"/>
        <w:contextualSpacing w:val="0"/>
        <w:jc w:val="both"/>
        <w:rPr>
          <w:rFonts w:ascii="Cambria" w:hAnsi="Cambria" w:cs="Calibri Light"/>
          <w:bCs/>
          <w:color w:val="000000"/>
        </w:rPr>
      </w:pPr>
      <w:r w:rsidRPr="00DD1E2F">
        <w:rPr>
          <w:rFonts w:ascii="Cambria" w:hAnsi="Cambria" w:cs="Calibri Light"/>
          <w:bCs/>
          <w:color w:val="000000"/>
        </w:rPr>
        <w:t xml:space="preserve">On September 20, </w:t>
      </w:r>
      <w:r w:rsidR="00E0254C" w:rsidRPr="00DD1E2F">
        <w:rPr>
          <w:rFonts w:ascii="Cambria" w:hAnsi="Cambria" w:cs="Calibri Light"/>
          <w:bCs/>
          <w:color w:val="000000"/>
        </w:rPr>
        <w:t>2005,</w:t>
      </w:r>
      <w:r w:rsidRPr="00DD1E2F">
        <w:rPr>
          <w:rFonts w:ascii="Cambria" w:hAnsi="Cambria" w:cs="Calibri Light"/>
          <w:bCs/>
          <w:color w:val="000000"/>
        </w:rPr>
        <w:t xml:space="preserve"> the parties signed the friendly settlement agreement.</w:t>
      </w:r>
    </w:p>
    <w:p w14:paraId="035AB001" w14:textId="77777777" w:rsidR="00583C84" w:rsidRPr="00DD1E2F" w:rsidRDefault="00583C84" w:rsidP="0045789B">
      <w:pPr>
        <w:pStyle w:val="LightGrid-Accent31"/>
        <w:spacing w:after="0" w:line="240" w:lineRule="auto"/>
        <w:ind w:left="-142" w:firstLine="862"/>
        <w:contextualSpacing w:val="0"/>
        <w:jc w:val="both"/>
        <w:rPr>
          <w:rFonts w:ascii="Cambria" w:hAnsi="Cambria" w:cs="Calibri Light"/>
          <w:bCs/>
          <w:color w:val="000000"/>
        </w:rPr>
      </w:pPr>
    </w:p>
    <w:p w14:paraId="491EC591" w14:textId="77777777" w:rsidR="00583C84" w:rsidRPr="00DD1E2F" w:rsidRDefault="00583C84" w:rsidP="00AD711F">
      <w:pPr>
        <w:pStyle w:val="LightGrid-Accent31"/>
        <w:numPr>
          <w:ilvl w:val="0"/>
          <w:numId w:val="79"/>
        </w:numPr>
        <w:spacing w:after="0" w:line="240" w:lineRule="auto"/>
        <w:ind w:left="-142" w:firstLine="862"/>
        <w:contextualSpacing w:val="0"/>
        <w:jc w:val="both"/>
        <w:rPr>
          <w:rFonts w:ascii="Cambria" w:hAnsi="Cambria" w:cs="Calibri Light"/>
          <w:bCs/>
          <w:color w:val="000000"/>
        </w:rPr>
      </w:pPr>
      <w:r w:rsidRPr="00DD1E2F">
        <w:rPr>
          <w:rFonts w:ascii="Cambria" w:hAnsi="Cambria" w:cs="Calibri Light"/>
          <w:bCs/>
          <w:color w:val="000000"/>
        </w:rPr>
        <w:t>On March 15, 2006, the Commission approved the friendly settlement agreement by report No. 47/06.</w:t>
      </w:r>
    </w:p>
    <w:p w14:paraId="3C8E3626" w14:textId="77777777" w:rsidR="00583C84" w:rsidRPr="00DD1E2F" w:rsidRDefault="00583C84" w:rsidP="0045789B">
      <w:pPr>
        <w:spacing w:after="0" w:line="240" w:lineRule="auto"/>
        <w:ind w:left="-142" w:firstLine="862"/>
        <w:jc w:val="both"/>
        <w:rPr>
          <w:rFonts w:ascii="Cambria" w:eastAsia="Batang" w:hAnsi="Cambria" w:cs="Calibri Light"/>
          <w:color w:val="000000"/>
        </w:rPr>
      </w:pPr>
    </w:p>
    <w:p w14:paraId="36C02DEA" w14:textId="77777777" w:rsidR="004F12B6" w:rsidRPr="00DD1E2F" w:rsidRDefault="004F12B6" w:rsidP="0045789B">
      <w:pPr>
        <w:spacing w:after="0" w:line="240" w:lineRule="auto"/>
        <w:ind w:left="-142" w:firstLine="862"/>
        <w:jc w:val="both"/>
        <w:rPr>
          <w:rFonts w:ascii="Cambria" w:eastAsia="Batang" w:hAnsi="Cambria" w:cs="Calibri Light"/>
          <w:color w:val="000000"/>
        </w:rPr>
      </w:pPr>
    </w:p>
    <w:p w14:paraId="05AE493F" w14:textId="77777777" w:rsidR="004F12B6" w:rsidRDefault="004F12B6" w:rsidP="0045789B">
      <w:pPr>
        <w:spacing w:after="0" w:line="240" w:lineRule="auto"/>
        <w:ind w:left="-142" w:firstLine="862"/>
        <w:jc w:val="both"/>
        <w:rPr>
          <w:rFonts w:ascii="Cambria" w:eastAsia="Batang" w:hAnsi="Cambria" w:cs="Calibri Light"/>
          <w:color w:val="000000"/>
        </w:rPr>
      </w:pPr>
    </w:p>
    <w:p w14:paraId="0A3CA432" w14:textId="77777777" w:rsidR="00B36CD8" w:rsidRDefault="00B36CD8" w:rsidP="0045789B">
      <w:pPr>
        <w:spacing w:after="0" w:line="240" w:lineRule="auto"/>
        <w:ind w:left="-142" w:firstLine="862"/>
        <w:jc w:val="both"/>
        <w:rPr>
          <w:rFonts w:ascii="Cambria" w:eastAsia="Batang" w:hAnsi="Cambria" w:cs="Calibri Light"/>
          <w:color w:val="000000"/>
        </w:rPr>
      </w:pPr>
    </w:p>
    <w:p w14:paraId="5373CF61" w14:textId="77777777" w:rsidR="00B36CD8" w:rsidRDefault="00B36CD8" w:rsidP="0045789B">
      <w:pPr>
        <w:spacing w:after="0" w:line="240" w:lineRule="auto"/>
        <w:ind w:left="-142" w:firstLine="862"/>
        <w:jc w:val="both"/>
        <w:rPr>
          <w:rFonts w:ascii="Cambria" w:eastAsia="Batang" w:hAnsi="Cambria" w:cs="Calibri Light"/>
          <w:color w:val="000000"/>
        </w:rPr>
      </w:pPr>
    </w:p>
    <w:p w14:paraId="1CE7A571" w14:textId="77777777" w:rsidR="00B36CD8" w:rsidRDefault="00B36CD8" w:rsidP="0045789B">
      <w:pPr>
        <w:spacing w:after="0" w:line="240" w:lineRule="auto"/>
        <w:ind w:left="-142" w:firstLine="862"/>
        <w:jc w:val="both"/>
        <w:rPr>
          <w:rFonts w:ascii="Cambria" w:eastAsia="Batang" w:hAnsi="Cambria" w:cs="Calibri Light"/>
          <w:color w:val="000000"/>
        </w:rPr>
      </w:pPr>
    </w:p>
    <w:p w14:paraId="7DC2946C" w14:textId="77777777" w:rsidR="00B36CD8" w:rsidRPr="00DD1E2F" w:rsidRDefault="00B36CD8" w:rsidP="0045789B">
      <w:pPr>
        <w:spacing w:after="0" w:line="240" w:lineRule="auto"/>
        <w:ind w:left="-142" w:firstLine="862"/>
        <w:jc w:val="both"/>
        <w:rPr>
          <w:rFonts w:ascii="Cambria" w:eastAsia="Batang" w:hAnsi="Cambria" w:cs="Calibri Light"/>
          <w:color w:val="000000"/>
        </w:rPr>
      </w:pPr>
    </w:p>
    <w:p w14:paraId="2CC4F22A" w14:textId="77777777" w:rsidR="00583C84" w:rsidRPr="00DD1E2F" w:rsidRDefault="00583C84" w:rsidP="00AD711F">
      <w:pPr>
        <w:numPr>
          <w:ilvl w:val="0"/>
          <w:numId w:val="77"/>
        </w:numPr>
        <w:spacing w:after="0" w:line="240" w:lineRule="auto"/>
        <w:ind w:left="-142" w:firstLine="862"/>
        <w:contextualSpacing/>
        <w:jc w:val="both"/>
        <w:rPr>
          <w:rFonts w:ascii="Cambria" w:eastAsia="Batang" w:hAnsi="Cambria" w:cs="Calibri Light"/>
          <w:b/>
          <w:color w:val="000000"/>
        </w:rPr>
      </w:pPr>
      <w:r w:rsidRPr="00DD1E2F">
        <w:rPr>
          <w:rFonts w:ascii="Cambria" w:eastAsia="Batang" w:hAnsi="Cambria" w:cs="Calibri Light"/>
          <w:b/>
          <w:color w:val="000000"/>
        </w:rPr>
        <w:t>ANALYSIS OF COMPLIANCE WITH THE CLAUSES OF THE FRIENDLY SETTLEMENT AGREEMENT</w:t>
      </w:r>
    </w:p>
    <w:p w14:paraId="1A8B03B6" w14:textId="77777777" w:rsidR="00583C84" w:rsidRPr="00DD1E2F" w:rsidRDefault="00583C84" w:rsidP="0045789B">
      <w:pPr>
        <w:spacing w:after="0" w:line="240" w:lineRule="auto"/>
        <w:ind w:left="1170"/>
        <w:contextualSpacing/>
        <w:jc w:val="both"/>
        <w:rPr>
          <w:rFonts w:ascii="Cambria" w:eastAsia="Batang" w:hAnsi="Cambria" w:cs="Calibri Light"/>
          <w:b/>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5"/>
        <w:gridCol w:w="2231"/>
      </w:tblGrid>
      <w:tr w:rsidR="004F12B6" w:rsidRPr="00DD1E2F" w14:paraId="26FB7045" w14:textId="77777777" w:rsidTr="00C359F1">
        <w:trPr>
          <w:jc w:val="center"/>
        </w:trPr>
        <w:tc>
          <w:tcPr>
            <w:tcW w:w="7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1A1769" w14:textId="77777777" w:rsidR="004F12B6" w:rsidRPr="00DD1E2F" w:rsidRDefault="004F12B6" w:rsidP="0045789B">
            <w:pPr>
              <w:spacing w:after="0" w:line="240" w:lineRule="auto"/>
              <w:jc w:val="center"/>
              <w:rPr>
                <w:rFonts w:ascii="Cambria" w:hAnsi="Cambria"/>
                <w:b/>
                <w:color w:val="000000"/>
              </w:rPr>
            </w:pPr>
            <w:r w:rsidRPr="00DD1E2F">
              <w:rPr>
                <w:rFonts w:ascii="Cambria" w:hAnsi="Cambria"/>
                <w:b/>
                <w:color w:val="000000"/>
              </w:rPr>
              <w:t>Agreement clause</w:t>
            </w:r>
          </w:p>
        </w:tc>
        <w:tc>
          <w:tcPr>
            <w:tcW w:w="2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0FD20" w14:textId="77777777" w:rsidR="004F12B6" w:rsidRPr="00DD1E2F" w:rsidRDefault="004F12B6" w:rsidP="0045789B">
            <w:pPr>
              <w:spacing w:after="0" w:line="240" w:lineRule="auto"/>
              <w:jc w:val="center"/>
              <w:rPr>
                <w:rFonts w:ascii="Cambria" w:hAnsi="Cambria"/>
                <w:b/>
                <w:color w:val="000000"/>
              </w:rPr>
            </w:pPr>
            <w:r w:rsidRPr="00DD1E2F">
              <w:rPr>
                <w:rFonts w:ascii="Cambria" w:hAnsi="Cambria"/>
                <w:b/>
                <w:color w:val="000000"/>
              </w:rPr>
              <w:t>State of compliance</w:t>
            </w:r>
          </w:p>
        </w:tc>
      </w:tr>
      <w:tr w:rsidR="000E2820" w:rsidRPr="00DD1E2F" w14:paraId="744D23B1" w14:textId="77777777" w:rsidTr="00C359F1">
        <w:trPr>
          <w:jc w:val="center"/>
        </w:trPr>
        <w:tc>
          <w:tcPr>
            <w:tcW w:w="7125" w:type="dxa"/>
            <w:tcBorders>
              <w:top w:val="single" w:sz="4" w:space="0" w:color="auto"/>
              <w:left w:val="single" w:sz="4" w:space="0" w:color="auto"/>
              <w:bottom w:val="single" w:sz="4" w:space="0" w:color="auto"/>
              <w:right w:val="single" w:sz="4" w:space="0" w:color="auto"/>
            </w:tcBorders>
            <w:vAlign w:val="center"/>
          </w:tcPr>
          <w:p w14:paraId="170ED106" w14:textId="77777777" w:rsidR="000E2820" w:rsidRPr="00DD1E2F" w:rsidRDefault="000E2820" w:rsidP="000E2820">
            <w:pPr>
              <w:spacing w:after="0" w:line="240" w:lineRule="auto"/>
              <w:jc w:val="both"/>
              <w:rPr>
                <w:rFonts w:ascii="Cambria" w:eastAsia="Times New Roman" w:hAnsi="Cambria"/>
                <w:b/>
                <w:bCs/>
                <w:color w:val="000000"/>
              </w:rPr>
            </w:pPr>
            <w:r w:rsidRPr="00DD1E2F">
              <w:rPr>
                <w:rFonts w:ascii="Cambria" w:eastAsia="Times New Roman" w:hAnsi="Cambria"/>
                <w:b/>
                <w:bCs/>
                <w:color w:val="000000"/>
              </w:rPr>
              <w:t>III. RESPONSIBILITY OF THE STATE</w:t>
            </w:r>
          </w:p>
          <w:p w14:paraId="2E75915F" w14:textId="77777777" w:rsidR="000E2820" w:rsidRPr="00DD1E2F" w:rsidRDefault="000E2820" w:rsidP="000E2820">
            <w:pPr>
              <w:spacing w:after="0" w:line="240" w:lineRule="auto"/>
              <w:jc w:val="both"/>
              <w:rPr>
                <w:rFonts w:ascii="Cambria" w:eastAsia="Times New Roman" w:hAnsi="Cambria"/>
                <w:color w:val="000000"/>
              </w:rPr>
            </w:pPr>
            <w:r w:rsidRPr="00DD1E2F">
              <w:rPr>
                <w:rFonts w:ascii="Cambria" w:eastAsia="Times New Roman" w:hAnsi="Cambria"/>
                <w:color w:val="000000"/>
              </w:rPr>
              <w:t>Ecuador accepts responsibility for violating the human rights of the minor Fausto Mendoza Giler and of Mr. Diogenes Mendoza Bravo, rights emanating from the general obligations of Article 1(1) of the American Convention and other international instruments, and that are specifically enshrined in Articles 4 (Right to Life), 8 (Right to a Fair Trial), and 25 (Right to Judicial Protection) of the Convention. These violations were committed by agents of the State and have not been refuted by the State, which thus must bear responsibility for them before society.</w:t>
            </w:r>
          </w:p>
          <w:p w14:paraId="6F56BA35" w14:textId="77777777" w:rsidR="000E2820" w:rsidRPr="00DD1E2F" w:rsidRDefault="000E2820" w:rsidP="000E2820">
            <w:pPr>
              <w:spacing w:after="0" w:line="240" w:lineRule="auto"/>
              <w:ind w:left="72"/>
              <w:jc w:val="both"/>
              <w:rPr>
                <w:rFonts w:ascii="Cambria" w:eastAsia="Times New Roman" w:hAnsi="Cambria"/>
                <w:color w:val="000000"/>
              </w:rPr>
            </w:pPr>
          </w:p>
          <w:p w14:paraId="6D327524" w14:textId="77777777" w:rsidR="000E2820" w:rsidRPr="00DD1E2F" w:rsidRDefault="000E2820" w:rsidP="000E2820">
            <w:pPr>
              <w:spacing w:after="0" w:line="240" w:lineRule="auto"/>
              <w:jc w:val="both"/>
              <w:rPr>
                <w:rFonts w:ascii="Cambria" w:eastAsia="Times New Roman" w:hAnsi="Cambria"/>
                <w:b/>
                <w:bCs/>
                <w:color w:val="000000"/>
              </w:rPr>
            </w:pPr>
            <w:r w:rsidRPr="00DD1E2F">
              <w:rPr>
                <w:rFonts w:ascii="Cambria" w:eastAsia="Times New Roman" w:hAnsi="Cambria"/>
                <w:color w:val="000000"/>
              </w:rPr>
              <w:t>The Ecuadorian State thus agrees to accept the facts outlined in Petition P 533-01, currently being examined by the IACHR, and to take any reparatory measures necessary to assuring compensation of the damages suffered by the victim.</w:t>
            </w:r>
          </w:p>
        </w:tc>
        <w:tc>
          <w:tcPr>
            <w:tcW w:w="2231" w:type="dxa"/>
            <w:tcBorders>
              <w:top w:val="single" w:sz="4" w:space="0" w:color="auto"/>
              <w:left w:val="single" w:sz="4" w:space="0" w:color="auto"/>
              <w:bottom w:val="single" w:sz="4" w:space="0" w:color="auto"/>
              <w:right w:val="single" w:sz="4" w:space="0" w:color="auto"/>
            </w:tcBorders>
            <w:vAlign w:val="center"/>
          </w:tcPr>
          <w:p w14:paraId="43C4E9E1" w14:textId="77777777" w:rsidR="000E2820" w:rsidRPr="00DD1E2F" w:rsidRDefault="000E2820" w:rsidP="0045789B">
            <w:pPr>
              <w:spacing w:after="0" w:line="240" w:lineRule="auto"/>
              <w:jc w:val="center"/>
              <w:rPr>
                <w:rFonts w:ascii="Cambria" w:hAnsi="Cambria"/>
                <w:b/>
                <w:color w:val="000000"/>
              </w:rPr>
            </w:pPr>
            <w:r w:rsidRPr="00DD1E2F">
              <w:rPr>
                <w:rFonts w:ascii="Cambria" w:hAnsi="Cambria"/>
                <w:b/>
                <w:color w:val="000000"/>
              </w:rPr>
              <w:t>Declarative</w:t>
            </w:r>
          </w:p>
        </w:tc>
      </w:tr>
      <w:tr w:rsidR="00583C84" w:rsidRPr="00DD1E2F" w14:paraId="770C3C51" w14:textId="77777777" w:rsidTr="00C359F1">
        <w:trPr>
          <w:jc w:val="center"/>
        </w:trPr>
        <w:tc>
          <w:tcPr>
            <w:tcW w:w="7125" w:type="dxa"/>
            <w:tcBorders>
              <w:top w:val="single" w:sz="4" w:space="0" w:color="auto"/>
              <w:left w:val="single" w:sz="4" w:space="0" w:color="auto"/>
              <w:bottom w:val="single" w:sz="4" w:space="0" w:color="auto"/>
              <w:right w:val="single" w:sz="4" w:space="0" w:color="auto"/>
            </w:tcBorders>
            <w:vAlign w:val="center"/>
            <w:hideMark/>
          </w:tcPr>
          <w:p w14:paraId="4E5F3E07" w14:textId="77777777" w:rsidR="00583C84" w:rsidRPr="00DD1E2F" w:rsidRDefault="00583C84" w:rsidP="0045789B">
            <w:pPr>
              <w:spacing w:after="0" w:line="240" w:lineRule="auto"/>
              <w:ind w:left="72"/>
              <w:jc w:val="both"/>
              <w:rPr>
                <w:rFonts w:ascii="Cambria" w:eastAsia="Times New Roman" w:hAnsi="Cambria"/>
                <w:b/>
                <w:bCs/>
                <w:color w:val="000000"/>
              </w:rPr>
            </w:pPr>
            <w:r w:rsidRPr="00DD1E2F">
              <w:rPr>
                <w:rFonts w:ascii="Cambria" w:eastAsia="Times New Roman" w:hAnsi="Cambria"/>
                <w:b/>
                <w:bCs/>
                <w:color w:val="000000"/>
              </w:rPr>
              <w:t>IV.    COMPENSATION</w:t>
            </w:r>
          </w:p>
          <w:p w14:paraId="36DB6EC8" w14:textId="77777777" w:rsidR="00583C84" w:rsidRPr="00DD1E2F" w:rsidRDefault="00583C84" w:rsidP="0045789B">
            <w:pPr>
              <w:spacing w:after="0" w:line="240" w:lineRule="auto"/>
              <w:ind w:left="72"/>
              <w:jc w:val="both"/>
              <w:rPr>
                <w:rFonts w:ascii="Cambria" w:eastAsia="Times New Roman" w:hAnsi="Cambria"/>
                <w:color w:val="000000"/>
              </w:rPr>
            </w:pPr>
            <w:r w:rsidRPr="00DD1E2F">
              <w:rPr>
                <w:rFonts w:ascii="Cambria" w:eastAsia="Times New Roman" w:hAnsi="Cambria"/>
                <w:color w:val="000000"/>
              </w:rPr>
              <w:t>The Ecuadorian State, through its Attorney General, the sole legal representative of the State according to Article 215 of the Constitution of the Republic of Ecuador, promulgated in Official Register No. 1 and in force since August 11, 1998, will compensate Mr. Diógenes Mendoza Bravo with a lump sum payment of three hundred thousand United States dollars (US $300,000), to be paid from the National Budget.. […]</w:t>
            </w:r>
          </w:p>
        </w:tc>
        <w:tc>
          <w:tcPr>
            <w:tcW w:w="2231" w:type="dxa"/>
            <w:tcBorders>
              <w:top w:val="single" w:sz="4" w:space="0" w:color="auto"/>
              <w:left w:val="single" w:sz="4" w:space="0" w:color="auto"/>
              <w:bottom w:val="single" w:sz="4" w:space="0" w:color="auto"/>
              <w:right w:val="single" w:sz="4" w:space="0" w:color="auto"/>
            </w:tcBorders>
            <w:vAlign w:val="center"/>
            <w:hideMark/>
          </w:tcPr>
          <w:p w14:paraId="1B35B923" w14:textId="77777777" w:rsidR="00583C84" w:rsidRPr="00DD1E2F" w:rsidRDefault="00583C84" w:rsidP="0045789B">
            <w:pPr>
              <w:spacing w:after="0" w:line="240" w:lineRule="auto"/>
              <w:jc w:val="center"/>
              <w:rPr>
                <w:rFonts w:ascii="Cambria" w:hAnsi="Cambria"/>
                <w:color w:val="000000"/>
              </w:rPr>
            </w:pPr>
            <w:r w:rsidRPr="00DD1E2F">
              <w:rPr>
                <w:rFonts w:ascii="Cambria" w:hAnsi="Cambria"/>
                <w:b/>
                <w:color w:val="000000"/>
              </w:rPr>
              <w:t>Total</w:t>
            </w:r>
            <w:r w:rsidRPr="00DD1E2F">
              <w:rPr>
                <w:rFonts w:ascii="Cambria" w:hAnsi="Cambria"/>
                <w:color w:val="000000"/>
                <w:vertAlign w:val="superscript"/>
              </w:rPr>
              <w:footnoteReference w:id="1"/>
            </w:r>
          </w:p>
        </w:tc>
      </w:tr>
      <w:tr w:rsidR="00C359F1" w:rsidRPr="00DD1E2F" w14:paraId="0564A026" w14:textId="77777777" w:rsidTr="00C359F1">
        <w:trPr>
          <w:trHeight w:val="3928"/>
          <w:jc w:val="center"/>
        </w:trPr>
        <w:tc>
          <w:tcPr>
            <w:tcW w:w="7125" w:type="dxa"/>
            <w:tcBorders>
              <w:top w:val="single" w:sz="4" w:space="0" w:color="auto"/>
              <w:left w:val="single" w:sz="4" w:space="0" w:color="auto"/>
              <w:bottom w:val="single" w:sz="4" w:space="0" w:color="auto"/>
              <w:right w:val="single" w:sz="4" w:space="0" w:color="auto"/>
            </w:tcBorders>
            <w:hideMark/>
          </w:tcPr>
          <w:p w14:paraId="2B72F001" w14:textId="77777777" w:rsidR="00C359F1" w:rsidRPr="00DD1E2F" w:rsidRDefault="00C359F1" w:rsidP="0045789B">
            <w:pPr>
              <w:spacing w:after="0" w:line="240" w:lineRule="auto"/>
              <w:ind w:hanging="18"/>
              <w:jc w:val="both"/>
              <w:rPr>
                <w:rFonts w:ascii="Cambria" w:eastAsia="Times New Roman" w:hAnsi="Cambria"/>
                <w:b/>
                <w:color w:val="000000"/>
              </w:rPr>
            </w:pPr>
            <w:r w:rsidRPr="00DD1E2F">
              <w:rPr>
                <w:rFonts w:ascii="Cambria" w:eastAsia="Times New Roman" w:hAnsi="Cambria"/>
                <w:b/>
                <w:color w:val="000000"/>
              </w:rPr>
              <w:t xml:space="preserve">V. </w:t>
            </w:r>
            <w:r w:rsidRPr="00DD1E2F">
              <w:rPr>
                <w:rFonts w:ascii="Cambria" w:eastAsia="Times New Roman" w:hAnsi="Cambria"/>
                <w:b/>
                <w:bCs/>
                <w:color w:val="000000"/>
              </w:rPr>
              <w:t>PUNISHMENT OF THOSE RESPONSIBLE</w:t>
            </w:r>
          </w:p>
          <w:p w14:paraId="736E2483" w14:textId="77777777" w:rsidR="00C359F1" w:rsidRPr="00DD1E2F" w:rsidRDefault="00C359F1" w:rsidP="0045789B">
            <w:pPr>
              <w:spacing w:after="0" w:line="240" w:lineRule="auto"/>
              <w:ind w:hanging="18"/>
              <w:jc w:val="both"/>
              <w:rPr>
                <w:rFonts w:ascii="Cambria" w:eastAsia="Times New Roman" w:hAnsi="Cambria"/>
                <w:color w:val="000000"/>
              </w:rPr>
            </w:pPr>
            <w:r w:rsidRPr="00DD1E2F">
              <w:rPr>
                <w:rFonts w:ascii="Cambria" w:eastAsia="Times New Roman" w:hAnsi="Cambria"/>
                <w:color w:val="000000"/>
              </w:rPr>
              <w:t xml:space="preserve">The Ecuadorian State will undertake, to the extent possible, to bring both civil and </w:t>
            </w:r>
            <w:r w:rsidR="000E2820" w:rsidRPr="00DD1E2F">
              <w:rPr>
                <w:rFonts w:ascii="Cambria" w:eastAsia="Times New Roman" w:hAnsi="Cambria"/>
                <w:color w:val="000000"/>
              </w:rPr>
              <w:t>criminal proceedings</w:t>
            </w:r>
            <w:r w:rsidRPr="00DD1E2F">
              <w:rPr>
                <w:rFonts w:ascii="Cambria" w:eastAsia="Times New Roman" w:hAnsi="Cambria"/>
                <w:color w:val="000000"/>
              </w:rPr>
              <w:t xml:space="preserve"> and to pursue administrative sanctions against those persons who, in the course of their official duties or by taking advantage of their position, are presumed to have participated in the alleged violation.</w:t>
            </w:r>
          </w:p>
          <w:p w14:paraId="637BA0BC" w14:textId="77777777" w:rsidR="00C359F1" w:rsidRPr="00DD1E2F" w:rsidRDefault="00C359F1" w:rsidP="0045789B">
            <w:pPr>
              <w:spacing w:after="0" w:line="240" w:lineRule="auto"/>
              <w:ind w:hanging="18"/>
              <w:jc w:val="both"/>
              <w:rPr>
                <w:rFonts w:ascii="Cambria" w:eastAsia="Times New Roman" w:hAnsi="Cambria"/>
                <w:color w:val="000000"/>
              </w:rPr>
            </w:pPr>
            <w:r w:rsidRPr="00DD1E2F">
              <w:rPr>
                <w:rFonts w:ascii="Cambria" w:eastAsia="Times New Roman" w:hAnsi="Cambria"/>
                <w:color w:val="000000"/>
              </w:rPr>
              <w:t> </w:t>
            </w:r>
          </w:p>
          <w:p w14:paraId="18D242E9" w14:textId="77777777" w:rsidR="00C359F1" w:rsidRPr="00DD1E2F" w:rsidRDefault="00C359F1" w:rsidP="0045789B">
            <w:pPr>
              <w:spacing w:after="0" w:line="240" w:lineRule="auto"/>
              <w:ind w:hanging="18"/>
              <w:jc w:val="both"/>
              <w:rPr>
                <w:rFonts w:ascii="Cambria" w:eastAsia="Times New Roman" w:hAnsi="Cambria"/>
                <w:color w:val="000000"/>
              </w:rPr>
            </w:pPr>
            <w:r w:rsidRPr="00DD1E2F">
              <w:rPr>
                <w:rFonts w:ascii="Cambria" w:eastAsia="Times New Roman" w:hAnsi="Cambria"/>
                <w:color w:val="000000"/>
              </w:rPr>
              <w:t>The Office of the Attorney General will make available to the Public Prosecutor all documentation needed to initiate investigations that could lead to the punishment of the parties responsible for the violations in question. Likewise, it will encourage the competent judicial organs and other public or private entities to provide any legal evidence that may contribute to establishing responsibility for the violations.  Any prosecution that may ensue will be carried out in accordance with the constitutional and legal framework of Ecuador. </w:t>
            </w:r>
          </w:p>
          <w:p w14:paraId="555DACB9" w14:textId="77777777" w:rsidR="00C359F1" w:rsidRPr="00DD1E2F" w:rsidRDefault="00C359F1" w:rsidP="0045789B">
            <w:pPr>
              <w:spacing w:after="0" w:line="240" w:lineRule="auto"/>
              <w:ind w:hanging="18"/>
              <w:jc w:val="both"/>
              <w:rPr>
                <w:rFonts w:ascii="Cambria" w:eastAsia="Times New Roman" w:hAnsi="Cambria"/>
                <w:color w:val="000000"/>
              </w:rPr>
            </w:pPr>
          </w:p>
        </w:tc>
        <w:tc>
          <w:tcPr>
            <w:tcW w:w="2231" w:type="dxa"/>
            <w:tcBorders>
              <w:top w:val="single" w:sz="4" w:space="0" w:color="auto"/>
              <w:left w:val="single" w:sz="4" w:space="0" w:color="auto"/>
              <w:bottom w:val="single" w:sz="4" w:space="0" w:color="auto"/>
              <w:right w:val="single" w:sz="4" w:space="0" w:color="auto"/>
            </w:tcBorders>
            <w:vAlign w:val="center"/>
            <w:hideMark/>
          </w:tcPr>
          <w:p w14:paraId="05B82B5F" w14:textId="77777777" w:rsidR="00C359F1" w:rsidRPr="00DD1E2F" w:rsidRDefault="000E2820" w:rsidP="0045789B">
            <w:pPr>
              <w:autoSpaceDE w:val="0"/>
              <w:autoSpaceDN w:val="0"/>
              <w:adjustRightInd w:val="0"/>
              <w:spacing w:after="0" w:line="240" w:lineRule="auto"/>
              <w:jc w:val="center"/>
              <w:rPr>
                <w:rFonts w:ascii="Cambria" w:eastAsia="MS Mincho" w:hAnsi="Cambria"/>
                <w:color w:val="000000"/>
              </w:rPr>
            </w:pPr>
            <w:r w:rsidRPr="00DD1E2F">
              <w:rPr>
                <w:rFonts w:ascii="Cambria" w:eastAsia="MS Mincho" w:hAnsi="Cambria"/>
                <w:b/>
                <w:bCs/>
                <w:color w:val="000000"/>
              </w:rPr>
              <w:t>Noncompliance</w:t>
            </w:r>
            <w:r w:rsidR="00C359F1" w:rsidRPr="00DD1E2F">
              <w:rPr>
                <w:rStyle w:val="FootnoteReference"/>
                <w:rFonts w:ascii="Cambria" w:eastAsia="MS Mincho" w:hAnsi="Cambria"/>
                <w:b/>
                <w:bCs/>
                <w:color w:val="000000"/>
              </w:rPr>
              <w:footnoteReference w:id="2"/>
            </w:r>
          </w:p>
        </w:tc>
      </w:tr>
    </w:tbl>
    <w:p w14:paraId="006093F8" w14:textId="77777777" w:rsidR="00583C84" w:rsidRPr="00DD1E2F" w:rsidRDefault="00583C84" w:rsidP="0045789B">
      <w:pPr>
        <w:autoSpaceDE w:val="0"/>
        <w:autoSpaceDN w:val="0"/>
        <w:adjustRightInd w:val="0"/>
        <w:spacing w:after="0" w:line="240" w:lineRule="auto"/>
        <w:jc w:val="both"/>
        <w:rPr>
          <w:rFonts w:ascii="Cambria" w:eastAsia="Batang" w:hAnsi="Cambria"/>
          <w:color w:val="000000"/>
        </w:rPr>
      </w:pPr>
    </w:p>
    <w:p w14:paraId="1419537C" w14:textId="77777777" w:rsidR="00583C84" w:rsidRPr="00DD1E2F" w:rsidRDefault="00583C84" w:rsidP="00AD711F">
      <w:pPr>
        <w:numPr>
          <w:ilvl w:val="0"/>
          <w:numId w:val="77"/>
        </w:numPr>
        <w:autoSpaceDE w:val="0"/>
        <w:autoSpaceDN w:val="0"/>
        <w:adjustRightInd w:val="0"/>
        <w:spacing w:after="0" w:line="240" w:lineRule="auto"/>
        <w:jc w:val="both"/>
        <w:rPr>
          <w:rFonts w:ascii="Cambria" w:eastAsia="Batang" w:hAnsi="Cambria"/>
          <w:color w:val="000000"/>
        </w:rPr>
      </w:pPr>
      <w:r w:rsidRPr="00DD1E2F">
        <w:rPr>
          <w:rFonts w:ascii="Cambria" w:eastAsia="Batang" w:hAnsi="Cambria" w:cs="Calibri Light"/>
          <w:b/>
          <w:color w:val="000000"/>
        </w:rPr>
        <w:t>LEVEL OF COMPLIANCE OF THE CASE</w:t>
      </w:r>
    </w:p>
    <w:p w14:paraId="2AA46CFA" w14:textId="77777777" w:rsidR="00583C84" w:rsidRPr="00DD1E2F" w:rsidRDefault="00583C84" w:rsidP="0045789B">
      <w:pPr>
        <w:autoSpaceDE w:val="0"/>
        <w:autoSpaceDN w:val="0"/>
        <w:adjustRightInd w:val="0"/>
        <w:spacing w:after="0" w:line="240" w:lineRule="auto"/>
        <w:jc w:val="both"/>
        <w:rPr>
          <w:rFonts w:ascii="Cambria" w:eastAsia="Batang" w:hAnsi="Cambria"/>
          <w:color w:val="000000"/>
        </w:rPr>
      </w:pPr>
    </w:p>
    <w:p w14:paraId="00F58C1F" w14:textId="77777777" w:rsidR="00583C84" w:rsidRPr="00DD1E2F" w:rsidRDefault="00583C84" w:rsidP="00AD711F">
      <w:pPr>
        <w:numPr>
          <w:ilvl w:val="0"/>
          <w:numId w:val="79"/>
        </w:numPr>
        <w:autoSpaceDE w:val="0"/>
        <w:autoSpaceDN w:val="0"/>
        <w:adjustRightInd w:val="0"/>
        <w:spacing w:after="0" w:line="240" w:lineRule="auto"/>
        <w:ind w:left="-142" w:firstLine="851"/>
        <w:jc w:val="both"/>
        <w:rPr>
          <w:rFonts w:ascii="Cambria" w:hAnsi="Cambria"/>
          <w:color w:val="000000"/>
        </w:rPr>
      </w:pPr>
      <w:r w:rsidRPr="00DD1E2F">
        <w:rPr>
          <w:rFonts w:ascii="Cambria" w:eastAsia="Times New Roman" w:hAnsi="Cambria" w:cs="Calibri"/>
          <w:color w:val="000000"/>
          <w:lang w:eastAsia="es-ES_tradnl"/>
        </w:rPr>
        <w:t xml:space="preserve">The Commission assessed the request filed on January 17, </w:t>
      </w:r>
      <w:r w:rsidR="00E0254C" w:rsidRPr="00DD1E2F">
        <w:rPr>
          <w:rFonts w:ascii="Cambria" w:eastAsia="Times New Roman" w:hAnsi="Cambria" w:cs="Calibri"/>
          <w:color w:val="000000"/>
          <w:lang w:eastAsia="es-ES_tradnl"/>
        </w:rPr>
        <w:t>2020,</w:t>
      </w:r>
      <w:r w:rsidRPr="00DD1E2F">
        <w:rPr>
          <w:rFonts w:ascii="Cambria" w:eastAsia="Times New Roman" w:hAnsi="Cambria" w:cs="Calibri"/>
          <w:color w:val="000000"/>
          <w:lang w:eastAsia="es-ES_tradnl"/>
        </w:rPr>
        <w:t xml:space="preserve"> by the petitioners seeking termination of supervision of the agreement and archiving of the case, given that they </w:t>
      </w:r>
      <w:r w:rsidR="00B238D3" w:rsidRPr="00DD1E2F">
        <w:rPr>
          <w:rFonts w:ascii="Cambria" w:eastAsia="Times New Roman" w:hAnsi="Cambria" w:cs="Calibri"/>
          <w:color w:val="000000"/>
          <w:lang w:eastAsia="es-ES_tradnl"/>
        </w:rPr>
        <w:t>were</w:t>
      </w:r>
      <w:r w:rsidRPr="00DD1E2F">
        <w:rPr>
          <w:rFonts w:ascii="Cambria" w:eastAsia="Times New Roman" w:hAnsi="Cambria" w:cs="Calibri"/>
          <w:color w:val="000000"/>
          <w:lang w:eastAsia="es-ES_tradnl"/>
        </w:rPr>
        <w:t xml:space="preserve"> </w:t>
      </w:r>
      <w:r w:rsidRPr="00DD1E2F">
        <w:rPr>
          <w:rFonts w:ascii="Cambria" w:eastAsia="Times New Roman" w:hAnsi="Cambria" w:cs="Calibri"/>
          <w:color w:val="000000"/>
          <w:lang w:eastAsia="es-ES_tradnl"/>
        </w:rPr>
        <w:lastRenderedPageBreak/>
        <w:t xml:space="preserve">unable to contact the victims of the case. In this respect, the Commission decided to cease supervision of the friendly settlement agreement and archive the case, noting on the record in the Annual Report that the measure of justice was not complied by the Ecuadorian State and that the level of compliance of the agreement is partial. </w:t>
      </w:r>
    </w:p>
    <w:p w14:paraId="670D2A05" w14:textId="77777777" w:rsidR="00583C84" w:rsidRPr="00DD1E2F" w:rsidRDefault="00583C84" w:rsidP="0045789B">
      <w:pPr>
        <w:spacing w:after="0" w:line="240" w:lineRule="auto"/>
        <w:contextualSpacing/>
        <w:jc w:val="both"/>
        <w:rPr>
          <w:rFonts w:ascii="Cambria" w:eastAsia="Batang" w:hAnsi="Cambria"/>
          <w:color w:val="000000"/>
        </w:rPr>
      </w:pPr>
    </w:p>
    <w:p w14:paraId="7F11FAD3" w14:textId="77777777" w:rsidR="00583C84" w:rsidRPr="00DD1E2F" w:rsidRDefault="00583C84" w:rsidP="0045789B">
      <w:pPr>
        <w:spacing w:after="0" w:line="240" w:lineRule="auto"/>
        <w:ind w:firstLine="709"/>
        <w:contextualSpacing/>
        <w:jc w:val="both"/>
        <w:rPr>
          <w:rFonts w:ascii="Cambria" w:eastAsia="Batang" w:hAnsi="Cambria" w:cs="Calibri Light"/>
          <w:b/>
          <w:color w:val="000000"/>
        </w:rPr>
      </w:pPr>
      <w:r w:rsidRPr="00DD1E2F">
        <w:rPr>
          <w:rFonts w:ascii="Cambria" w:eastAsia="Batang" w:hAnsi="Cambria" w:cs="Calibri Light"/>
          <w:b/>
          <w:color w:val="000000"/>
        </w:rPr>
        <w:t xml:space="preserve">V.            INDIVIDUAL AND STRUCTURAL OUTCOMES OF THE CASE </w:t>
      </w:r>
    </w:p>
    <w:p w14:paraId="6FD0635D" w14:textId="77777777" w:rsidR="00583C84" w:rsidRPr="00DD1E2F" w:rsidRDefault="00583C84" w:rsidP="0045789B">
      <w:pPr>
        <w:spacing w:after="0" w:line="240" w:lineRule="auto"/>
        <w:contextualSpacing/>
        <w:jc w:val="both"/>
        <w:rPr>
          <w:rFonts w:ascii="Cambria" w:eastAsia="Batang" w:hAnsi="Cambria" w:cs="Calibri Light"/>
          <w:b/>
          <w:color w:val="000000"/>
        </w:rPr>
      </w:pPr>
    </w:p>
    <w:p w14:paraId="2880EA96" w14:textId="77777777" w:rsidR="00583C84" w:rsidRPr="00DD1E2F" w:rsidRDefault="004F12B6" w:rsidP="00AD711F">
      <w:pPr>
        <w:numPr>
          <w:ilvl w:val="0"/>
          <w:numId w:val="78"/>
        </w:numPr>
        <w:spacing w:after="0" w:line="240" w:lineRule="auto"/>
        <w:ind w:left="0" w:firstLine="720"/>
        <w:contextualSpacing/>
        <w:jc w:val="both"/>
        <w:rPr>
          <w:rFonts w:ascii="Cambria" w:eastAsia="Batang" w:hAnsi="Cambria" w:cs="Calibri Light"/>
          <w:b/>
          <w:color w:val="000000"/>
        </w:rPr>
      </w:pPr>
      <w:r w:rsidRPr="00DD1E2F">
        <w:rPr>
          <w:rFonts w:ascii="Cambria" w:eastAsia="Batang" w:hAnsi="Cambria" w:cs="Calibri Light"/>
          <w:b/>
          <w:color w:val="000000"/>
        </w:rPr>
        <w:t>Individual outcomes of the case</w:t>
      </w:r>
    </w:p>
    <w:p w14:paraId="74B44372" w14:textId="77777777" w:rsidR="00583C84" w:rsidRPr="00DD1E2F" w:rsidRDefault="00583C84" w:rsidP="0045789B">
      <w:pPr>
        <w:spacing w:after="0" w:line="240" w:lineRule="auto"/>
        <w:contextualSpacing/>
        <w:jc w:val="both"/>
        <w:rPr>
          <w:rFonts w:ascii="Cambria" w:eastAsia="Batang" w:hAnsi="Cambria" w:cs="Calibri Light"/>
          <w:b/>
          <w:color w:val="000000"/>
        </w:rPr>
      </w:pPr>
    </w:p>
    <w:p w14:paraId="428C6D24" w14:textId="77777777" w:rsidR="00C931AE" w:rsidRPr="00DD1E2F" w:rsidRDefault="00583C84" w:rsidP="0045789B">
      <w:pPr>
        <w:numPr>
          <w:ilvl w:val="0"/>
          <w:numId w:val="3"/>
        </w:numPr>
        <w:spacing w:after="0" w:line="240" w:lineRule="auto"/>
        <w:ind w:firstLine="0"/>
        <w:contextualSpacing/>
        <w:jc w:val="both"/>
        <w:rPr>
          <w:rFonts w:ascii="Cambria" w:eastAsia="Batang" w:hAnsi="Cambria"/>
          <w:color w:val="000000"/>
        </w:rPr>
      </w:pPr>
      <w:r w:rsidRPr="00DD1E2F">
        <w:rPr>
          <w:rFonts w:ascii="Cambria" w:eastAsia="Batang" w:hAnsi="Cambria"/>
          <w:color w:val="000000"/>
        </w:rPr>
        <w:t>The State paid financial compensation, as set forth under the agreement</w:t>
      </w:r>
      <w:r w:rsidR="00DA4368" w:rsidRPr="00DD1E2F">
        <w:rPr>
          <w:rFonts w:ascii="Cambria" w:eastAsia="Batang" w:hAnsi="Cambria"/>
          <w:color w:val="000000"/>
        </w:rPr>
        <w:t>.</w:t>
      </w:r>
    </w:p>
    <w:p w14:paraId="2043DA51" w14:textId="77777777" w:rsidR="004F12B6" w:rsidRDefault="004F12B6" w:rsidP="00B36CD8">
      <w:pPr>
        <w:spacing w:after="0" w:line="240" w:lineRule="auto"/>
        <w:contextualSpacing/>
        <w:jc w:val="both"/>
        <w:rPr>
          <w:rFonts w:ascii="Cambria" w:eastAsia="Batang" w:hAnsi="Cambria"/>
          <w:color w:val="000000"/>
        </w:rPr>
      </w:pPr>
    </w:p>
    <w:sectPr w:rsidR="004F12B6" w:rsidSect="008E42E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CA93" w14:textId="77777777" w:rsidR="004C6BD2" w:rsidRDefault="004C6BD2" w:rsidP="00A343FF">
      <w:pPr>
        <w:spacing w:after="0" w:line="240" w:lineRule="auto"/>
      </w:pPr>
      <w:r>
        <w:separator/>
      </w:r>
    </w:p>
  </w:endnote>
  <w:endnote w:type="continuationSeparator" w:id="0">
    <w:p w14:paraId="69980638" w14:textId="77777777" w:rsidR="004C6BD2" w:rsidRDefault="004C6BD2"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1437" w14:textId="77777777" w:rsidR="00561C07" w:rsidRDefault="0056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8353" w14:textId="77777777" w:rsidR="006D7134" w:rsidRPr="00A61B5E" w:rsidRDefault="006D7134">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CA5D4D">
      <w:rPr>
        <w:noProof/>
        <w:color w:val="404040"/>
        <w:sz w:val="16"/>
        <w:szCs w:val="16"/>
      </w:rPr>
      <w:t>21</w:t>
    </w:r>
    <w:r w:rsidRPr="00A61B5E">
      <w:rPr>
        <w:noProof/>
        <w:color w:val="404040"/>
        <w:sz w:val="16"/>
        <w:szCs w:val="16"/>
      </w:rPr>
      <w:fldChar w:fldCharType="end"/>
    </w:r>
  </w:p>
  <w:p w14:paraId="52B8D7A0" w14:textId="77777777" w:rsidR="006D7134" w:rsidRDefault="006D7134"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94DB" w14:textId="77777777" w:rsidR="006D7134" w:rsidRDefault="002F4600" w:rsidP="008F2248">
    <w:pPr>
      <w:pStyle w:val="Footer"/>
      <w:spacing w:line="360" w:lineRule="auto"/>
    </w:pPr>
    <w:r>
      <w:pict w14:anchorId="7778A81F">
        <v:rect id="_x0000_i1028" style="width:0;height:1.5pt" o:hralign="center" o:hrstd="t" o:hr="t" fillcolor="#a0a0a0" stroked="f"/>
      </w:pict>
    </w:r>
  </w:p>
  <w:p w14:paraId="07185F71" w14:textId="77777777" w:rsidR="006D7134" w:rsidRDefault="002F4600" w:rsidP="006E2BD8">
    <w:pPr>
      <w:pStyle w:val="Footer"/>
      <w:jc w:val="center"/>
    </w:pPr>
    <w:r>
      <w:pict w14:anchorId="242B6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75pt;height:24.75pt">
          <v:imagedata r:id="rId1" o:title="footer-es"/>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1FE7" w14:textId="77777777" w:rsidR="004C6BD2" w:rsidRDefault="004C6BD2" w:rsidP="00A343FF">
      <w:pPr>
        <w:spacing w:after="0" w:line="240" w:lineRule="auto"/>
      </w:pPr>
      <w:r>
        <w:separator/>
      </w:r>
    </w:p>
  </w:footnote>
  <w:footnote w:type="continuationSeparator" w:id="0">
    <w:p w14:paraId="5C6B11AD" w14:textId="77777777" w:rsidR="004C6BD2" w:rsidRDefault="004C6BD2" w:rsidP="00A343FF">
      <w:pPr>
        <w:spacing w:after="0" w:line="240" w:lineRule="auto"/>
      </w:pPr>
      <w:r>
        <w:continuationSeparator/>
      </w:r>
    </w:p>
  </w:footnote>
  <w:footnote w:id="1">
    <w:p w14:paraId="6AD69DCD" w14:textId="77777777" w:rsidR="006D7134" w:rsidRPr="002643E1" w:rsidRDefault="006D7134" w:rsidP="00583C84">
      <w:pPr>
        <w:pStyle w:val="FootnoteText"/>
        <w:ind w:firstLine="720"/>
        <w:jc w:val="both"/>
        <w:rPr>
          <w:rFonts w:ascii="Cambria" w:hAnsi="Cambria"/>
          <w:color w:val="000000"/>
          <w:sz w:val="16"/>
          <w:szCs w:val="16"/>
          <w:lang w:val="es-VE"/>
        </w:rPr>
      </w:pPr>
      <w:r w:rsidRPr="002643E1">
        <w:rPr>
          <w:rStyle w:val="FootnoteReference"/>
          <w:rFonts w:ascii="Cambria" w:hAnsi="Cambria"/>
          <w:color w:val="000000"/>
          <w:sz w:val="16"/>
          <w:szCs w:val="16"/>
        </w:rPr>
        <w:footnoteRef/>
      </w:r>
      <w:r w:rsidRPr="002643E1">
        <w:rPr>
          <w:rFonts w:ascii="Cambria" w:hAnsi="Cambria"/>
          <w:color w:val="000000"/>
          <w:sz w:val="16"/>
          <w:szCs w:val="16"/>
          <w:lang w:val="es-VE"/>
        </w:rPr>
        <w:t xml:space="preserve"> Report No. 47/06, Petición 533-01, Fausto Mendoza Giler y otro, March </w:t>
      </w:r>
      <w:r w:rsidR="00D0510C" w:rsidRPr="002643E1">
        <w:rPr>
          <w:rFonts w:ascii="Cambria" w:hAnsi="Cambria"/>
          <w:color w:val="000000"/>
          <w:sz w:val="16"/>
          <w:szCs w:val="16"/>
          <w:lang w:val="es-VE"/>
        </w:rPr>
        <w:t>15, 2006</w:t>
      </w:r>
      <w:r w:rsidRPr="002643E1">
        <w:rPr>
          <w:rFonts w:ascii="Cambria" w:hAnsi="Cambria"/>
          <w:color w:val="000000"/>
          <w:sz w:val="16"/>
          <w:szCs w:val="16"/>
          <w:lang w:val="es-VE"/>
        </w:rPr>
        <w:t>.</w:t>
      </w:r>
    </w:p>
  </w:footnote>
  <w:footnote w:id="2">
    <w:p w14:paraId="4670BB15" w14:textId="77777777" w:rsidR="00C359F1" w:rsidRPr="001800DD" w:rsidRDefault="00C359F1" w:rsidP="00583C84">
      <w:pPr>
        <w:pStyle w:val="FootnoteText"/>
        <w:ind w:firstLine="720"/>
        <w:jc w:val="both"/>
      </w:pPr>
      <w:r w:rsidRPr="002643E1">
        <w:rPr>
          <w:rStyle w:val="FootnoteReference"/>
          <w:rFonts w:ascii="Cambria" w:hAnsi="Cambria"/>
          <w:sz w:val="16"/>
          <w:szCs w:val="16"/>
        </w:rPr>
        <w:footnoteRef/>
      </w:r>
      <w:r w:rsidRPr="002643E1">
        <w:rPr>
          <w:rFonts w:ascii="Cambria" w:hAnsi="Cambria"/>
          <w:sz w:val="16"/>
          <w:szCs w:val="16"/>
        </w:rPr>
        <w:t xml:space="preserve"> See IACHR, Annual Report 2020, Chapter II, Section G. Friendly Settlements. Available at: </w:t>
      </w:r>
      <w:hyperlink r:id="rId1" w:history="1">
        <w:r w:rsidRPr="002643E1">
          <w:rPr>
            <w:rStyle w:val="Hyperlink"/>
            <w:rFonts w:ascii="Cambria" w:hAnsi="Cambria"/>
            <w:sz w:val="16"/>
            <w:szCs w:val="16"/>
          </w:rPr>
          <w:t>http://www.oas.org/en/iachr/docs/annual/2020/Chapters/IA2020cap2-en.pdf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D9A3" w14:textId="77777777" w:rsidR="00561C07" w:rsidRDefault="00561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F378" w14:textId="77777777" w:rsidR="006D7134" w:rsidRDefault="002F4600" w:rsidP="00DC7C8F">
    <w:pPr>
      <w:pStyle w:val="Header"/>
      <w:jc w:val="center"/>
    </w:pPr>
    <w:r>
      <w:pict w14:anchorId="33677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65pt;height:9pt">
          <v:imagedata r:id="rId1" o:title="iachr-peq"/>
        </v:shape>
      </w:pict>
    </w:r>
  </w:p>
  <w:p w14:paraId="2AD11624" w14:textId="77777777" w:rsidR="006D7134" w:rsidRDefault="002F4600">
    <w:pPr>
      <w:pStyle w:val="Header"/>
    </w:pPr>
    <w:r>
      <w:pict w14:anchorId="00770F6A">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05F9" w14:textId="77777777" w:rsidR="006D7134" w:rsidRDefault="002F4600" w:rsidP="00A61B5E">
    <w:pPr>
      <w:pStyle w:val="Header"/>
    </w:pPr>
    <w:r>
      <w:rPr>
        <w:noProof/>
      </w:rPr>
      <w:pict w14:anchorId="6B425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2.25pt;width:202.2pt;height:39pt;z-index:-251659264" wrapcoords="-87 0 -87 21150 21600 21150 21600 0 -87 0">
          <v:imagedata r:id="rId1" o:title="cidh-en"/>
          <w10:wrap type="through"/>
        </v:shape>
      </w:pict>
    </w:r>
    <w:r>
      <w:rPr>
        <w:noProof/>
      </w:rPr>
      <w:pict w14:anchorId="6C06195F">
        <v:shape id="_x0000_s1026" type="#_x0000_t75" style="position:absolute;margin-left:316.5pt;margin-top:-2.7pt;width:151.5pt;height:39.3pt;z-index:-251658240" wrapcoords="1653 0 882 1694 -110 5506 -110 14824 992 20329 1653 21176 3747 21176 13445 20329 21600 17365 21600 12706 20057 6776 20278 5082 16971 3812 3747 0 1653 0">
          <v:imagedata r:id="rId2" o:title="OAS_Seal_ENG_Principal_"/>
          <w10:wrap type="through"/>
        </v:shape>
      </w:pict>
    </w:r>
    <w:r w:rsidR="006D7134">
      <w:tab/>
    </w:r>
    <w:r w:rsidR="006D7134">
      <w:tab/>
    </w:r>
  </w:p>
  <w:p w14:paraId="20A6E738" w14:textId="77777777" w:rsidR="006D7134" w:rsidRDefault="006D7134" w:rsidP="00A61B5E">
    <w:pPr>
      <w:pStyle w:val="Header"/>
    </w:pPr>
  </w:p>
  <w:p w14:paraId="3E0106F1" w14:textId="77777777" w:rsidR="006D7134" w:rsidRDefault="006D7134" w:rsidP="00A61B5E">
    <w:pPr>
      <w:pStyle w:val="Header"/>
    </w:pPr>
  </w:p>
  <w:p w14:paraId="48741CD9" w14:textId="77777777" w:rsidR="006D7134" w:rsidRDefault="002F4600" w:rsidP="00A61B5E">
    <w:pPr>
      <w:pStyle w:val="Header"/>
    </w:pPr>
    <w:r>
      <w:pict w14:anchorId="4108538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EB4"/>
    <w:multiLevelType w:val="hybridMultilevel"/>
    <w:tmpl w:val="5E16D26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1F1915"/>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24D03ED"/>
    <w:multiLevelType w:val="hybridMultilevel"/>
    <w:tmpl w:val="51CC7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97E4C"/>
    <w:multiLevelType w:val="hybridMultilevel"/>
    <w:tmpl w:val="88409002"/>
    <w:lvl w:ilvl="0" w:tplc="92566816">
      <w:start w:val="1"/>
      <w:numFmt w:val="decimal"/>
      <w:lvlText w:val="%1."/>
      <w:lvlJc w:val="left"/>
      <w:pPr>
        <w:ind w:left="1800" w:hanging="360"/>
      </w:pPr>
      <w:rPr>
        <w:rFonts w:cs="Times New Roman"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4"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812A68"/>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80522"/>
    <w:multiLevelType w:val="hybridMultilevel"/>
    <w:tmpl w:val="F544C17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AAE6EAD"/>
    <w:multiLevelType w:val="hybridMultilevel"/>
    <w:tmpl w:val="2D7C3B04"/>
    <w:lvl w:ilvl="0" w:tplc="FFFFFFFF">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0"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F50237B"/>
    <w:multiLevelType w:val="hybridMultilevel"/>
    <w:tmpl w:val="0A2443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D14E2F"/>
    <w:multiLevelType w:val="hybridMultilevel"/>
    <w:tmpl w:val="AA364C9E"/>
    <w:lvl w:ilvl="0" w:tplc="0338B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33F95"/>
    <w:multiLevelType w:val="hybridMultilevel"/>
    <w:tmpl w:val="B3E264FA"/>
    <w:lvl w:ilvl="0" w:tplc="5F62A53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E265F"/>
    <w:multiLevelType w:val="hybridMultilevel"/>
    <w:tmpl w:val="CC4C1884"/>
    <w:lvl w:ilvl="0" w:tplc="BFDCF8E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5F477A3"/>
    <w:multiLevelType w:val="hybridMultilevel"/>
    <w:tmpl w:val="634E0DC4"/>
    <w:lvl w:ilvl="0" w:tplc="8260077C">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16D800B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F4874"/>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DE16DF5"/>
    <w:multiLevelType w:val="hybridMultilevel"/>
    <w:tmpl w:val="43683FBE"/>
    <w:lvl w:ilvl="0" w:tplc="EBBE5C6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F02392C"/>
    <w:multiLevelType w:val="hybridMultilevel"/>
    <w:tmpl w:val="A1547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31D36C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2342637C"/>
    <w:multiLevelType w:val="hybridMultilevel"/>
    <w:tmpl w:val="E55A6CF2"/>
    <w:lvl w:ilvl="0" w:tplc="FA94A6DC">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38B5396"/>
    <w:multiLevelType w:val="hybridMultilevel"/>
    <w:tmpl w:val="E6249728"/>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3D31722"/>
    <w:multiLevelType w:val="hybridMultilevel"/>
    <w:tmpl w:val="AE8E2586"/>
    <w:lvl w:ilvl="0" w:tplc="E5D6C0E0">
      <w:start w:val="2"/>
      <w:numFmt w:val="upperRoman"/>
      <w:lvlText w:val="%1."/>
      <w:lvlJc w:val="left"/>
      <w:pPr>
        <w:ind w:left="1440" w:hanging="720"/>
      </w:pPr>
      <w:rPr>
        <w:rFonts w:cs="Times New Roman" w:hint="default"/>
        <w:b/>
        <w:bCs/>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5B559C4"/>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3C7FC2"/>
    <w:multiLevelType w:val="hybridMultilevel"/>
    <w:tmpl w:val="2AD22794"/>
    <w:lvl w:ilvl="0" w:tplc="BC2696BC">
      <w:start w:val="1"/>
      <w:numFmt w:val="upperRoman"/>
      <w:lvlText w:val="%1."/>
      <w:lvlJc w:val="left"/>
      <w:pPr>
        <w:ind w:left="1288"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7BE4DD0"/>
    <w:multiLevelType w:val="hybridMultilevel"/>
    <w:tmpl w:val="88409002"/>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0535A9"/>
    <w:multiLevelType w:val="hybridMultilevel"/>
    <w:tmpl w:val="91088DBA"/>
    <w:lvl w:ilvl="0" w:tplc="99C81214">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2A646E24"/>
    <w:multiLevelType w:val="hybridMultilevel"/>
    <w:tmpl w:val="0E60F21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2BCD018A"/>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C0A27DC"/>
    <w:multiLevelType w:val="hybridMultilevel"/>
    <w:tmpl w:val="AAC83C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2D3A39C1"/>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3" w15:restartNumberingAfterBreak="0">
    <w:nsid w:val="2F2A0EBB"/>
    <w:multiLevelType w:val="hybridMultilevel"/>
    <w:tmpl w:val="0AE2CBB2"/>
    <w:lvl w:ilvl="0" w:tplc="F33E4636">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066084B"/>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A808D6"/>
    <w:multiLevelType w:val="hybridMultilevel"/>
    <w:tmpl w:val="E4484D36"/>
    <w:lvl w:ilvl="0" w:tplc="9FC61820">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15:restartNumberingAfterBreak="0">
    <w:nsid w:val="34A84033"/>
    <w:multiLevelType w:val="hybridMultilevel"/>
    <w:tmpl w:val="F6FCC5FC"/>
    <w:lvl w:ilvl="0" w:tplc="EEF49C9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6CD047C"/>
    <w:multiLevelType w:val="hybridMultilevel"/>
    <w:tmpl w:val="B5E80E60"/>
    <w:lvl w:ilvl="0" w:tplc="F8683754">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378816C6"/>
    <w:multiLevelType w:val="hybridMultilevel"/>
    <w:tmpl w:val="4B7C54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79A4549"/>
    <w:multiLevelType w:val="hybridMultilevel"/>
    <w:tmpl w:val="EE06FA14"/>
    <w:lvl w:ilvl="0" w:tplc="583E931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52" w15:restartNumberingAfterBreak="0">
    <w:nsid w:val="38640E60"/>
    <w:multiLevelType w:val="hybridMultilevel"/>
    <w:tmpl w:val="5DA894BA"/>
    <w:lvl w:ilvl="0" w:tplc="20DC086A">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ABD281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3BC5381F"/>
    <w:multiLevelType w:val="hybridMultilevel"/>
    <w:tmpl w:val="31F03516"/>
    <w:lvl w:ilvl="0" w:tplc="1F9AA54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BF2A9F"/>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1"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C31CDA"/>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435304E1"/>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6"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92C711D"/>
    <w:multiLevelType w:val="hybridMultilevel"/>
    <w:tmpl w:val="B492C49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4A3E6C95"/>
    <w:multiLevelType w:val="hybridMultilevel"/>
    <w:tmpl w:val="98EE7E7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1" w15:restartNumberingAfterBreak="0">
    <w:nsid w:val="4E6C4836"/>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2" w15:restartNumberingAfterBreak="0">
    <w:nsid w:val="4E9B47A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50656865"/>
    <w:multiLevelType w:val="hybridMultilevel"/>
    <w:tmpl w:val="6FFC9F4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14505AB"/>
    <w:multiLevelType w:val="hybridMultilevel"/>
    <w:tmpl w:val="53AA1E40"/>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47C67A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7"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6FA766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1" w15:restartNumberingAfterBreak="0">
    <w:nsid w:val="5710431D"/>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9F26E82"/>
    <w:multiLevelType w:val="hybridMultilevel"/>
    <w:tmpl w:val="9EC20220"/>
    <w:lvl w:ilvl="0" w:tplc="CB00531A">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5B8009D7"/>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4" w15:restartNumberingAfterBreak="0">
    <w:nsid w:val="5B9F3E40"/>
    <w:multiLevelType w:val="hybridMultilevel"/>
    <w:tmpl w:val="01881064"/>
    <w:lvl w:ilvl="0" w:tplc="2FE6DA22">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85"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E29185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9" w15:restartNumberingAfterBreak="0">
    <w:nsid w:val="5F824EF1"/>
    <w:multiLevelType w:val="hybridMultilevel"/>
    <w:tmpl w:val="08BED28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FE9425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5FFB66E7"/>
    <w:multiLevelType w:val="hybridMultilevel"/>
    <w:tmpl w:val="CEBC8738"/>
    <w:lvl w:ilvl="0" w:tplc="0AC23898">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2" w15:restartNumberingAfterBreak="0">
    <w:nsid w:val="61A24E55"/>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3"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85C5A7B"/>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30838B0"/>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3B95A32"/>
    <w:multiLevelType w:val="hybridMultilevel"/>
    <w:tmpl w:val="20D62F2E"/>
    <w:lvl w:ilvl="0" w:tplc="7B808112">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0" w15:restartNumberingAfterBreak="0">
    <w:nsid w:val="756861C7"/>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1"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782C7D43"/>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9A877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CC44672"/>
    <w:multiLevelType w:val="hybridMultilevel"/>
    <w:tmpl w:val="E34EE0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14003299">
    <w:abstractNumId w:val="78"/>
  </w:num>
  <w:num w:numId="2" w16cid:durableId="713700265">
    <w:abstractNumId w:val="59"/>
  </w:num>
  <w:num w:numId="3" w16cid:durableId="208496417">
    <w:abstractNumId w:val="21"/>
  </w:num>
  <w:num w:numId="4" w16cid:durableId="761537236">
    <w:abstractNumId w:val="52"/>
  </w:num>
  <w:num w:numId="5" w16cid:durableId="1263146664">
    <w:abstractNumId w:val="3"/>
  </w:num>
  <w:num w:numId="6" w16cid:durableId="1499032119">
    <w:abstractNumId w:val="44"/>
  </w:num>
  <w:num w:numId="7" w16cid:durableId="436297111">
    <w:abstractNumId w:val="104"/>
  </w:num>
  <w:num w:numId="8" w16cid:durableId="690303803">
    <w:abstractNumId w:val="36"/>
  </w:num>
  <w:num w:numId="9" w16cid:durableId="223028800">
    <w:abstractNumId w:val="0"/>
  </w:num>
  <w:num w:numId="10" w16cid:durableId="421992148">
    <w:abstractNumId w:val="30"/>
  </w:num>
  <w:num w:numId="11" w16cid:durableId="1850562022">
    <w:abstractNumId w:val="65"/>
  </w:num>
  <w:num w:numId="12" w16cid:durableId="260187970">
    <w:abstractNumId w:val="68"/>
  </w:num>
  <w:num w:numId="13" w16cid:durableId="1335377130">
    <w:abstractNumId w:val="51"/>
  </w:num>
  <w:num w:numId="14" w16cid:durableId="627584550">
    <w:abstractNumId w:val="1"/>
  </w:num>
  <w:num w:numId="15" w16cid:durableId="677999051">
    <w:abstractNumId w:val="47"/>
  </w:num>
  <w:num w:numId="16" w16cid:durableId="1495029795">
    <w:abstractNumId w:val="67"/>
  </w:num>
  <w:num w:numId="17" w16cid:durableId="271057230">
    <w:abstractNumId w:val="48"/>
  </w:num>
  <w:num w:numId="18" w16cid:durableId="1046493639">
    <w:abstractNumId w:val="100"/>
  </w:num>
  <w:num w:numId="19" w16cid:durableId="1179390416">
    <w:abstractNumId w:val="70"/>
  </w:num>
  <w:num w:numId="20" w16cid:durableId="358746485">
    <w:abstractNumId w:val="31"/>
  </w:num>
  <w:num w:numId="21" w16cid:durableId="116604395">
    <w:abstractNumId w:val="9"/>
  </w:num>
  <w:num w:numId="22" w16cid:durableId="352340971">
    <w:abstractNumId w:val="32"/>
  </w:num>
  <w:num w:numId="23" w16cid:durableId="1149175066">
    <w:abstractNumId w:val="2"/>
  </w:num>
  <w:num w:numId="24" w16cid:durableId="1469132468">
    <w:abstractNumId w:val="81"/>
  </w:num>
  <w:num w:numId="25" w16cid:durableId="1491949604">
    <w:abstractNumId w:val="92"/>
  </w:num>
  <w:num w:numId="26" w16cid:durableId="638995078">
    <w:abstractNumId w:val="98"/>
  </w:num>
  <w:num w:numId="27" w16cid:durableId="13022748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5350554">
    <w:abstractNumId w:val="76"/>
  </w:num>
  <w:num w:numId="29" w16cid:durableId="1352878771">
    <w:abstractNumId w:val="16"/>
  </w:num>
  <w:num w:numId="30" w16cid:durableId="1924139325">
    <w:abstractNumId w:val="13"/>
  </w:num>
  <w:num w:numId="31" w16cid:durableId="417137279">
    <w:abstractNumId w:val="63"/>
  </w:num>
  <w:num w:numId="32" w16cid:durableId="61759600">
    <w:abstractNumId w:val="23"/>
  </w:num>
  <w:num w:numId="33" w16cid:durableId="71590716">
    <w:abstractNumId w:val="11"/>
  </w:num>
  <w:num w:numId="34" w16cid:durableId="1273243946">
    <w:abstractNumId w:val="66"/>
  </w:num>
  <w:num w:numId="35" w16cid:durableId="1637560972">
    <w:abstractNumId w:val="5"/>
  </w:num>
  <w:num w:numId="36" w16cid:durableId="1592464849">
    <w:abstractNumId w:val="7"/>
  </w:num>
  <w:num w:numId="37" w16cid:durableId="694308095">
    <w:abstractNumId w:val="53"/>
  </w:num>
  <w:num w:numId="38" w16cid:durableId="229776724">
    <w:abstractNumId w:val="54"/>
  </w:num>
  <w:num w:numId="39" w16cid:durableId="1236667681">
    <w:abstractNumId w:val="27"/>
  </w:num>
  <w:num w:numId="40" w16cid:durableId="1690595556">
    <w:abstractNumId w:val="35"/>
  </w:num>
  <w:num w:numId="41" w16cid:durableId="956564490">
    <w:abstractNumId w:val="77"/>
  </w:num>
  <w:num w:numId="42" w16cid:durableId="801768500">
    <w:abstractNumId w:val="22"/>
  </w:num>
  <w:num w:numId="43" w16cid:durableId="1942030294">
    <w:abstractNumId w:val="64"/>
  </w:num>
  <w:num w:numId="44" w16cid:durableId="1589919127">
    <w:abstractNumId w:val="24"/>
  </w:num>
  <w:num w:numId="45" w16cid:durableId="213271984">
    <w:abstractNumId w:val="87"/>
  </w:num>
  <w:num w:numId="46" w16cid:durableId="900824526">
    <w:abstractNumId w:val="42"/>
  </w:num>
  <w:num w:numId="47" w16cid:durableId="252708179">
    <w:abstractNumId w:val="61"/>
  </w:num>
  <w:num w:numId="48" w16cid:durableId="2059433839">
    <w:abstractNumId w:val="99"/>
  </w:num>
  <w:num w:numId="49" w16cid:durableId="912424733">
    <w:abstractNumId w:val="90"/>
  </w:num>
  <w:num w:numId="50" w16cid:durableId="1120875312">
    <w:abstractNumId w:val="40"/>
  </w:num>
  <w:num w:numId="51" w16cid:durableId="1801848703">
    <w:abstractNumId w:val="93"/>
  </w:num>
  <w:num w:numId="52" w16cid:durableId="995959269">
    <w:abstractNumId w:val="49"/>
  </w:num>
  <w:num w:numId="53" w16cid:durableId="1944796396">
    <w:abstractNumId w:val="83"/>
  </w:num>
  <w:num w:numId="54" w16cid:durableId="1714185012">
    <w:abstractNumId w:val="33"/>
  </w:num>
  <w:num w:numId="55" w16cid:durableId="372970038">
    <w:abstractNumId w:val="4"/>
  </w:num>
  <w:num w:numId="56" w16cid:durableId="1595750293">
    <w:abstractNumId w:val="28"/>
  </w:num>
  <w:num w:numId="57" w16cid:durableId="188571976">
    <w:abstractNumId w:val="10"/>
  </w:num>
  <w:num w:numId="58" w16cid:durableId="1659262583">
    <w:abstractNumId w:val="75"/>
  </w:num>
  <w:num w:numId="59" w16cid:durableId="1433550816">
    <w:abstractNumId w:val="55"/>
  </w:num>
  <w:num w:numId="60" w16cid:durableId="867378983">
    <w:abstractNumId w:val="73"/>
  </w:num>
  <w:num w:numId="61" w16cid:durableId="100081808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14684878">
    <w:abstractNumId w:val="102"/>
  </w:num>
  <w:num w:numId="63" w16cid:durableId="2120098569">
    <w:abstractNumId w:val="82"/>
  </w:num>
  <w:num w:numId="64" w16cid:durableId="1503353775">
    <w:abstractNumId w:val="26"/>
  </w:num>
  <w:num w:numId="65" w16cid:durableId="2158932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30979658">
    <w:abstractNumId w:val="95"/>
  </w:num>
  <w:num w:numId="67" w16cid:durableId="2119446500">
    <w:abstractNumId w:val="19"/>
  </w:num>
  <w:num w:numId="68" w16cid:durableId="20938201">
    <w:abstractNumId w:val="20"/>
  </w:num>
  <w:num w:numId="69" w16cid:durableId="944728677">
    <w:abstractNumId w:val="9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18524422">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23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2827879">
    <w:abstractNumId w:val="60"/>
  </w:num>
  <w:num w:numId="73" w16cid:durableId="347367993">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57701881">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025273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9544922">
    <w:abstractNumId w:val="88"/>
  </w:num>
  <w:num w:numId="77" w16cid:durableId="37671026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438053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53312920">
    <w:abstractNumId w:val="72"/>
  </w:num>
  <w:num w:numId="80" w16cid:durableId="1275674315">
    <w:abstractNumId w:val="6"/>
  </w:num>
  <w:num w:numId="81" w16cid:durableId="1152868155">
    <w:abstractNumId w:val="86"/>
  </w:num>
  <w:num w:numId="82" w16cid:durableId="472719923">
    <w:abstractNumId w:val="71"/>
  </w:num>
  <w:num w:numId="83" w16cid:durableId="8850268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212760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1031437">
    <w:abstractNumId w:val="79"/>
  </w:num>
  <w:num w:numId="86" w16cid:durableId="1386175955">
    <w:abstractNumId w:val="17"/>
  </w:num>
  <w:num w:numId="87" w16cid:durableId="539323438">
    <w:abstractNumId w:val="85"/>
  </w:num>
  <w:num w:numId="88" w16cid:durableId="1784807658">
    <w:abstractNumId w:val="15"/>
  </w:num>
  <w:num w:numId="89" w16cid:durableId="985279915">
    <w:abstractNumId w:val="69"/>
  </w:num>
  <w:num w:numId="90" w16cid:durableId="749422065">
    <w:abstractNumId w:val="46"/>
  </w:num>
  <w:num w:numId="91" w16cid:durableId="40835976">
    <w:abstractNumId w:val="91"/>
  </w:num>
  <w:num w:numId="92" w16cid:durableId="1574974122">
    <w:abstractNumId w:val="43"/>
  </w:num>
  <w:num w:numId="93" w16cid:durableId="1458911785">
    <w:abstractNumId w:val="8"/>
  </w:num>
  <w:num w:numId="94" w16cid:durableId="25569356">
    <w:abstractNumId w:val="37"/>
  </w:num>
  <w:num w:numId="95" w16cid:durableId="835459515">
    <w:abstractNumId w:val="38"/>
  </w:num>
  <w:num w:numId="96" w16cid:durableId="1675380737">
    <w:abstractNumId w:val="39"/>
  </w:num>
  <w:num w:numId="97" w16cid:durableId="52583462">
    <w:abstractNumId w:val="12"/>
  </w:num>
  <w:num w:numId="98" w16cid:durableId="1910267238">
    <w:abstractNumId w:val="89"/>
  </w:num>
  <w:num w:numId="99" w16cid:durableId="1313022108">
    <w:abstractNumId w:val="74"/>
  </w:num>
  <w:num w:numId="100" w16cid:durableId="909192740">
    <w:abstractNumId w:val="29"/>
  </w:num>
  <w:num w:numId="101" w16cid:durableId="1359086931">
    <w:abstractNumId w:val="103"/>
  </w:num>
  <w:num w:numId="102" w16cid:durableId="1775248243">
    <w:abstractNumId w:val="80"/>
  </w:num>
  <w:num w:numId="103" w16cid:durableId="864631222">
    <w:abstractNumId w:val="41"/>
  </w:num>
  <w:num w:numId="104" w16cid:durableId="928588271">
    <w:abstractNumId w:val="84"/>
  </w:num>
  <w:num w:numId="105" w16cid:durableId="1984238058">
    <w:abstractNumId w:val="1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B0F"/>
    <w:rsid w:val="0002150A"/>
    <w:rsid w:val="00021551"/>
    <w:rsid w:val="0002624B"/>
    <w:rsid w:val="00030763"/>
    <w:rsid w:val="000321E0"/>
    <w:rsid w:val="000432F0"/>
    <w:rsid w:val="00047B56"/>
    <w:rsid w:val="0006009D"/>
    <w:rsid w:val="0006625E"/>
    <w:rsid w:val="0006762F"/>
    <w:rsid w:val="00096079"/>
    <w:rsid w:val="00096F88"/>
    <w:rsid w:val="000B0076"/>
    <w:rsid w:val="000D228E"/>
    <w:rsid w:val="000E1242"/>
    <w:rsid w:val="000E2820"/>
    <w:rsid w:val="000E3F0D"/>
    <w:rsid w:val="000F3F0F"/>
    <w:rsid w:val="00112F7C"/>
    <w:rsid w:val="001164B6"/>
    <w:rsid w:val="00123896"/>
    <w:rsid w:val="001256E5"/>
    <w:rsid w:val="0012586C"/>
    <w:rsid w:val="001424B8"/>
    <w:rsid w:val="00157163"/>
    <w:rsid w:val="00162DF2"/>
    <w:rsid w:val="001838B1"/>
    <w:rsid w:val="00195811"/>
    <w:rsid w:val="001A1C17"/>
    <w:rsid w:val="001B1050"/>
    <w:rsid w:val="001C3035"/>
    <w:rsid w:val="001C53D9"/>
    <w:rsid w:val="001D4270"/>
    <w:rsid w:val="002032CF"/>
    <w:rsid w:val="00206C8A"/>
    <w:rsid w:val="0021669C"/>
    <w:rsid w:val="00223987"/>
    <w:rsid w:val="00226F48"/>
    <w:rsid w:val="00234203"/>
    <w:rsid w:val="00235E0A"/>
    <w:rsid w:val="00240E8E"/>
    <w:rsid w:val="00245574"/>
    <w:rsid w:val="00245A73"/>
    <w:rsid w:val="00255AC0"/>
    <w:rsid w:val="00260F47"/>
    <w:rsid w:val="002643E1"/>
    <w:rsid w:val="00275D2E"/>
    <w:rsid w:val="00284638"/>
    <w:rsid w:val="002859A9"/>
    <w:rsid w:val="00292B52"/>
    <w:rsid w:val="00293A11"/>
    <w:rsid w:val="002944EB"/>
    <w:rsid w:val="00294B17"/>
    <w:rsid w:val="002966F4"/>
    <w:rsid w:val="002A39B2"/>
    <w:rsid w:val="002E66CA"/>
    <w:rsid w:val="002E6730"/>
    <w:rsid w:val="002F4600"/>
    <w:rsid w:val="002F5C77"/>
    <w:rsid w:val="00317741"/>
    <w:rsid w:val="0032106C"/>
    <w:rsid w:val="003408C5"/>
    <w:rsid w:val="00343CED"/>
    <w:rsid w:val="0035302C"/>
    <w:rsid w:val="003548C4"/>
    <w:rsid w:val="00357D1A"/>
    <w:rsid w:val="00376845"/>
    <w:rsid w:val="00393310"/>
    <w:rsid w:val="003B1772"/>
    <w:rsid w:val="003B4055"/>
    <w:rsid w:val="003B6168"/>
    <w:rsid w:val="003C2346"/>
    <w:rsid w:val="003C4836"/>
    <w:rsid w:val="003D5044"/>
    <w:rsid w:val="003E0DFA"/>
    <w:rsid w:val="003F0F0D"/>
    <w:rsid w:val="003F186E"/>
    <w:rsid w:val="003F262C"/>
    <w:rsid w:val="00414974"/>
    <w:rsid w:val="00433F4F"/>
    <w:rsid w:val="0045789B"/>
    <w:rsid w:val="0047146A"/>
    <w:rsid w:val="004722BC"/>
    <w:rsid w:val="00474650"/>
    <w:rsid w:val="00476696"/>
    <w:rsid w:val="00494C40"/>
    <w:rsid w:val="00495CA7"/>
    <w:rsid w:val="004A66BD"/>
    <w:rsid w:val="004B3074"/>
    <w:rsid w:val="004C6BD2"/>
    <w:rsid w:val="004D2211"/>
    <w:rsid w:val="004F12B6"/>
    <w:rsid w:val="004F6FD8"/>
    <w:rsid w:val="0050266C"/>
    <w:rsid w:val="00503957"/>
    <w:rsid w:val="00526977"/>
    <w:rsid w:val="0052740B"/>
    <w:rsid w:val="005309E6"/>
    <w:rsid w:val="00531C37"/>
    <w:rsid w:val="00534F2B"/>
    <w:rsid w:val="00543B28"/>
    <w:rsid w:val="005523E5"/>
    <w:rsid w:val="005534B1"/>
    <w:rsid w:val="005566F5"/>
    <w:rsid w:val="00561C07"/>
    <w:rsid w:val="00572284"/>
    <w:rsid w:val="00575931"/>
    <w:rsid w:val="00580A30"/>
    <w:rsid w:val="00583C84"/>
    <w:rsid w:val="00587AE9"/>
    <w:rsid w:val="005A00E8"/>
    <w:rsid w:val="005A328E"/>
    <w:rsid w:val="005A5E14"/>
    <w:rsid w:val="005A5F0E"/>
    <w:rsid w:val="005A6A6D"/>
    <w:rsid w:val="005D447F"/>
    <w:rsid w:val="005E3827"/>
    <w:rsid w:val="005F4AAA"/>
    <w:rsid w:val="00602467"/>
    <w:rsid w:val="00604132"/>
    <w:rsid w:val="00613DA3"/>
    <w:rsid w:val="0061420C"/>
    <w:rsid w:val="006436A8"/>
    <w:rsid w:val="00652C68"/>
    <w:rsid w:val="00666251"/>
    <w:rsid w:val="00675F22"/>
    <w:rsid w:val="006A5BD8"/>
    <w:rsid w:val="006A6AE0"/>
    <w:rsid w:val="006B441D"/>
    <w:rsid w:val="006B5B33"/>
    <w:rsid w:val="006D7134"/>
    <w:rsid w:val="006E2BD8"/>
    <w:rsid w:val="006E2C7E"/>
    <w:rsid w:val="006F0429"/>
    <w:rsid w:val="006F0E6C"/>
    <w:rsid w:val="006F1011"/>
    <w:rsid w:val="006F6C6F"/>
    <w:rsid w:val="00707CA7"/>
    <w:rsid w:val="0071332B"/>
    <w:rsid w:val="0073273B"/>
    <w:rsid w:val="00736A43"/>
    <w:rsid w:val="007609D9"/>
    <w:rsid w:val="0076210E"/>
    <w:rsid w:val="00772E3C"/>
    <w:rsid w:val="00775ADE"/>
    <w:rsid w:val="00792456"/>
    <w:rsid w:val="007B0327"/>
    <w:rsid w:val="007B7762"/>
    <w:rsid w:val="007C2CC3"/>
    <w:rsid w:val="007C351D"/>
    <w:rsid w:val="007E2645"/>
    <w:rsid w:val="007E6A34"/>
    <w:rsid w:val="007F5F4E"/>
    <w:rsid w:val="00807BAA"/>
    <w:rsid w:val="00822FF4"/>
    <w:rsid w:val="0082548A"/>
    <w:rsid w:val="00841815"/>
    <w:rsid w:val="008550EF"/>
    <w:rsid w:val="008563F0"/>
    <w:rsid w:val="0085675C"/>
    <w:rsid w:val="00860263"/>
    <w:rsid w:val="00864EB7"/>
    <w:rsid w:val="0087552B"/>
    <w:rsid w:val="008837A8"/>
    <w:rsid w:val="008C09FD"/>
    <w:rsid w:val="008D1A95"/>
    <w:rsid w:val="008D3BD3"/>
    <w:rsid w:val="008E42E1"/>
    <w:rsid w:val="008F2248"/>
    <w:rsid w:val="008F7FFD"/>
    <w:rsid w:val="00903383"/>
    <w:rsid w:val="00910BBC"/>
    <w:rsid w:val="00922155"/>
    <w:rsid w:val="0092467B"/>
    <w:rsid w:val="00930AD9"/>
    <w:rsid w:val="00942C8E"/>
    <w:rsid w:val="009453FE"/>
    <w:rsid w:val="009566FE"/>
    <w:rsid w:val="00963542"/>
    <w:rsid w:val="00980A7D"/>
    <w:rsid w:val="00981586"/>
    <w:rsid w:val="009866D9"/>
    <w:rsid w:val="009949ED"/>
    <w:rsid w:val="0099696A"/>
    <w:rsid w:val="009A3C1C"/>
    <w:rsid w:val="009B219C"/>
    <w:rsid w:val="009B6E96"/>
    <w:rsid w:val="009C095B"/>
    <w:rsid w:val="009C227B"/>
    <w:rsid w:val="009C4D87"/>
    <w:rsid w:val="009D20A3"/>
    <w:rsid w:val="009D6F0F"/>
    <w:rsid w:val="009E73F0"/>
    <w:rsid w:val="009F11D2"/>
    <w:rsid w:val="00A14411"/>
    <w:rsid w:val="00A16430"/>
    <w:rsid w:val="00A2502C"/>
    <w:rsid w:val="00A25CA7"/>
    <w:rsid w:val="00A30651"/>
    <w:rsid w:val="00A343FF"/>
    <w:rsid w:val="00A43DD8"/>
    <w:rsid w:val="00A518D3"/>
    <w:rsid w:val="00A54047"/>
    <w:rsid w:val="00A5663C"/>
    <w:rsid w:val="00A61B5E"/>
    <w:rsid w:val="00A74A8B"/>
    <w:rsid w:val="00A7781B"/>
    <w:rsid w:val="00A90CCA"/>
    <w:rsid w:val="00AA2279"/>
    <w:rsid w:val="00AA7906"/>
    <w:rsid w:val="00AB1BC7"/>
    <w:rsid w:val="00AC61DF"/>
    <w:rsid w:val="00AD711F"/>
    <w:rsid w:val="00AE1B0F"/>
    <w:rsid w:val="00AF3A07"/>
    <w:rsid w:val="00AF51F7"/>
    <w:rsid w:val="00B056D9"/>
    <w:rsid w:val="00B111C3"/>
    <w:rsid w:val="00B205A7"/>
    <w:rsid w:val="00B238D3"/>
    <w:rsid w:val="00B341F5"/>
    <w:rsid w:val="00B36CD8"/>
    <w:rsid w:val="00B4618D"/>
    <w:rsid w:val="00B47600"/>
    <w:rsid w:val="00B50962"/>
    <w:rsid w:val="00B571D6"/>
    <w:rsid w:val="00B806AC"/>
    <w:rsid w:val="00B93993"/>
    <w:rsid w:val="00BA2B9F"/>
    <w:rsid w:val="00BA3C5C"/>
    <w:rsid w:val="00BB13EE"/>
    <w:rsid w:val="00BD5884"/>
    <w:rsid w:val="00BE28A3"/>
    <w:rsid w:val="00BE32DA"/>
    <w:rsid w:val="00BE4A59"/>
    <w:rsid w:val="00BE53EB"/>
    <w:rsid w:val="00BF2D33"/>
    <w:rsid w:val="00BF54F6"/>
    <w:rsid w:val="00C01947"/>
    <w:rsid w:val="00C17F04"/>
    <w:rsid w:val="00C359F1"/>
    <w:rsid w:val="00C37778"/>
    <w:rsid w:val="00C37954"/>
    <w:rsid w:val="00C402CB"/>
    <w:rsid w:val="00C57947"/>
    <w:rsid w:val="00C66C6D"/>
    <w:rsid w:val="00C931AE"/>
    <w:rsid w:val="00CA5D4D"/>
    <w:rsid w:val="00CB6344"/>
    <w:rsid w:val="00CC0727"/>
    <w:rsid w:val="00CC5D2E"/>
    <w:rsid w:val="00CC6DB2"/>
    <w:rsid w:val="00CE4346"/>
    <w:rsid w:val="00CF54E1"/>
    <w:rsid w:val="00D0510C"/>
    <w:rsid w:val="00D05BCC"/>
    <w:rsid w:val="00D26B92"/>
    <w:rsid w:val="00D277D6"/>
    <w:rsid w:val="00D32DD7"/>
    <w:rsid w:val="00D54D6F"/>
    <w:rsid w:val="00D63A53"/>
    <w:rsid w:val="00D7738D"/>
    <w:rsid w:val="00DA0C80"/>
    <w:rsid w:val="00DA1E58"/>
    <w:rsid w:val="00DA4368"/>
    <w:rsid w:val="00DA5231"/>
    <w:rsid w:val="00DC5A37"/>
    <w:rsid w:val="00DC7C8F"/>
    <w:rsid w:val="00DD1E2F"/>
    <w:rsid w:val="00DD67A1"/>
    <w:rsid w:val="00DE65A9"/>
    <w:rsid w:val="00DE7A8B"/>
    <w:rsid w:val="00DF0687"/>
    <w:rsid w:val="00DF0FE5"/>
    <w:rsid w:val="00E0254C"/>
    <w:rsid w:val="00E0542C"/>
    <w:rsid w:val="00E16827"/>
    <w:rsid w:val="00E3040C"/>
    <w:rsid w:val="00E5644B"/>
    <w:rsid w:val="00E57070"/>
    <w:rsid w:val="00E62F1F"/>
    <w:rsid w:val="00E6614F"/>
    <w:rsid w:val="00E66191"/>
    <w:rsid w:val="00E90D5A"/>
    <w:rsid w:val="00E9516C"/>
    <w:rsid w:val="00E979A1"/>
    <w:rsid w:val="00EA4D16"/>
    <w:rsid w:val="00EB0F8E"/>
    <w:rsid w:val="00EE07D8"/>
    <w:rsid w:val="00EE38E0"/>
    <w:rsid w:val="00F045AB"/>
    <w:rsid w:val="00F0747D"/>
    <w:rsid w:val="00F33205"/>
    <w:rsid w:val="00F5380D"/>
    <w:rsid w:val="00F53B51"/>
    <w:rsid w:val="00F5415B"/>
    <w:rsid w:val="00F54F60"/>
    <w:rsid w:val="00F66FEE"/>
    <w:rsid w:val="00F67CA5"/>
    <w:rsid w:val="00F7094E"/>
    <w:rsid w:val="00F74974"/>
    <w:rsid w:val="00F86C52"/>
    <w:rsid w:val="00FB18BD"/>
    <w:rsid w:val="00FC66C2"/>
    <w:rsid w:val="00FE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204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583C8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583C84"/>
    <w:rPr>
      <w:rFonts w:ascii="Times New Roman" w:eastAsia="Times New Roman" w:hAnsi="Times New Roman"/>
      <w:b/>
      <w:bCs/>
      <w:sz w:val="36"/>
      <w:szCs w:val="36"/>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83C84"/>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583C84"/>
    <w:rPr>
      <w:rFonts w:ascii="Times New Roman" w:hAnsi="Times New Roman"/>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583C84"/>
    <w:rPr>
      <w:vertAlign w:val="superscript"/>
    </w:rPr>
  </w:style>
  <w:style w:type="paragraph" w:customStyle="1" w:styleId="Appelnotedebasde">
    <w:name w:val="Appel note de bas de..."/>
    <w:basedOn w:val="Normal"/>
    <w:link w:val="FootnoteReference"/>
    <w:rsid w:val="00583C84"/>
    <w:pPr>
      <w:spacing w:after="160" w:line="240" w:lineRule="exact"/>
    </w:pPr>
    <w:rPr>
      <w:sz w:val="20"/>
      <w:szCs w:val="20"/>
      <w:vertAlign w:val="superscript"/>
      <w:lang w:val="es-AR" w:eastAsia="es-AR"/>
    </w:rPr>
  </w:style>
  <w:style w:type="paragraph" w:customStyle="1" w:styleId="LightGrid-Accent31">
    <w:name w:val="Light Grid - Accent 31"/>
    <w:aliases w:val="Párrafo de lista1,List Paragraph1,Colorful List - Accent 11,List Paragraph11"/>
    <w:basedOn w:val="Normal"/>
    <w:link w:val="LightGrid-Accent3Char"/>
    <w:uiPriority w:val="34"/>
    <w:qFormat/>
    <w:rsid w:val="00583C84"/>
    <w:pPr>
      <w:ind w:left="720"/>
      <w:contextualSpacing/>
    </w:pPr>
  </w:style>
  <w:style w:type="character" w:styleId="Hyperlink">
    <w:name w:val="Hyperlink"/>
    <w:uiPriority w:val="99"/>
    <w:unhideWhenUsed/>
    <w:rsid w:val="00583C84"/>
    <w:rPr>
      <w:color w:val="0000FF"/>
      <w:u w:val="single"/>
    </w:rPr>
  </w:style>
  <w:style w:type="paragraph" w:customStyle="1" w:styleId="MediumGrid2-Accent11">
    <w:name w:val="Medium Grid 2 - Accent 11"/>
    <w:uiPriority w:val="1"/>
    <w:qFormat/>
    <w:rsid w:val="00583C84"/>
    <w:rPr>
      <w:sz w:val="22"/>
      <w:szCs w:val="22"/>
      <w:lang w:val="pt-BR"/>
    </w:rPr>
  </w:style>
  <w:style w:type="character" w:customStyle="1" w:styleId="LightGrid-Accent3Char">
    <w:name w:val="Light Grid - Accent 3 Char"/>
    <w:aliases w:val="Párrafo de lista1 Char,List Paragraph1 Char,Colorful List - Accent 11 Char,List Paragraph11 Char,Colorful List - Accent 1 Char"/>
    <w:link w:val="LightGrid-Accent31"/>
    <w:uiPriority w:val="34"/>
    <w:locked/>
    <w:rsid w:val="00583C84"/>
    <w:rPr>
      <w:sz w:val="22"/>
      <w:szCs w:val="22"/>
      <w:lang w:val="en-US" w:eastAsia="en-US"/>
    </w:rPr>
  </w:style>
  <w:style w:type="paragraph" w:customStyle="1" w:styleId="MediumGrid21">
    <w:name w:val="Medium Grid 21"/>
    <w:uiPriority w:val="1"/>
    <w:qFormat/>
    <w:rsid w:val="00583C84"/>
    <w:rPr>
      <w:sz w:val="22"/>
      <w:szCs w:val="22"/>
      <w:lang w:val="pt-BR"/>
    </w:rPr>
  </w:style>
  <w:style w:type="character" w:styleId="UnresolvedMention">
    <w:name w:val="Unresolved Mention"/>
    <w:uiPriority w:val="99"/>
    <w:semiHidden/>
    <w:unhideWhenUsed/>
    <w:rsid w:val="00583C84"/>
    <w:rPr>
      <w:color w:val="605E5C"/>
      <w:shd w:val="clear" w:color="auto" w:fill="E1DFDD"/>
    </w:rPr>
  </w:style>
  <w:style w:type="character" w:customStyle="1" w:styleId="Cuadrculaclara-nfasis3Car">
    <w:name w:val="Cuadrícula clara - Énfasis 3 Car"/>
    <w:aliases w:val="Párrafo de lista1 Car,List Paragraph1 Car,Colorful List - Accent 11 Car,List Paragraph11 Car,Cuadrícula media 1 - Énfasis 2 Car,Párrafo de lista Car"/>
    <w:link w:val="LightGrid-Accent3"/>
    <w:uiPriority w:val="34"/>
    <w:locked/>
    <w:rsid w:val="00583C84"/>
    <w:rPr>
      <w:sz w:val="22"/>
      <w:szCs w:val="22"/>
      <w:lang w:val="en-US" w:eastAsia="en-US"/>
    </w:rPr>
  </w:style>
  <w:style w:type="table" w:styleId="LightGrid-Accent3">
    <w:name w:val="Light Grid Accent 3"/>
    <w:basedOn w:val="TableNormal"/>
    <w:link w:val="Cuadrculaclara-nfasis3Car"/>
    <w:uiPriority w:val="34"/>
    <w:unhideWhenUsed/>
    <w:rsid w:val="00583C84"/>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ListParagraph">
    <w:name w:val="List Paragraph"/>
    <w:basedOn w:val="Normal"/>
    <w:uiPriority w:val="34"/>
    <w:qFormat/>
    <w:rsid w:val="00583C84"/>
    <w:pPr>
      <w:ind w:left="720"/>
      <w:contextualSpacing/>
    </w:pPr>
    <w:rPr>
      <w:lang w:val="es-ES"/>
    </w:rPr>
  </w:style>
  <w:style w:type="paragraph" w:customStyle="1" w:styleId="Default">
    <w:name w:val="Default"/>
    <w:rsid w:val="00583C84"/>
    <w:pPr>
      <w:autoSpaceDE w:val="0"/>
      <w:autoSpaceDN w:val="0"/>
      <w:adjustRightInd w:val="0"/>
    </w:pPr>
    <w:rPr>
      <w:rFonts w:ascii="Cambria" w:hAnsi="Cambria" w:cs="Cambria"/>
      <w:color w:val="000000"/>
      <w:sz w:val="24"/>
      <w:szCs w:val="24"/>
      <w:lang w:val="pt-BR" w:eastAsia="pt-BR"/>
    </w:rPr>
  </w:style>
  <w:style w:type="paragraph" w:styleId="NoSpacing">
    <w:name w:val="No Spacing"/>
    <w:uiPriority w:val="1"/>
    <w:qFormat/>
    <w:rsid w:val="00583C84"/>
    <w:rPr>
      <w:sz w:val="22"/>
      <w:szCs w:val="22"/>
    </w:rPr>
  </w:style>
  <w:style w:type="paragraph" w:styleId="EndnoteText">
    <w:name w:val="endnote text"/>
    <w:basedOn w:val="Normal"/>
    <w:link w:val="EndnoteTextChar"/>
    <w:uiPriority w:val="99"/>
    <w:semiHidden/>
    <w:unhideWhenUsed/>
    <w:rsid w:val="00D54D6F"/>
    <w:rPr>
      <w:sz w:val="20"/>
      <w:szCs w:val="20"/>
    </w:rPr>
  </w:style>
  <w:style w:type="character" w:customStyle="1" w:styleId="EndnoteTextChar">
    <w:name w:val="Endnote Text Char"/>
    <w:link w:val="EndnoteText"/>
    <w:uiPriority w:val="99"/>
    <w:semiHidden/>
    <w:rsid w:val="00D54D6F"/>
    <w:rPr>
      <w:lang w:val="en-US" w:eastAsia="en-US"/>
    </w:rPr>
  </w:style>
  <w:style w:type="character" w:styleId="EndnoteReference">
    <w:name w:val="endnote reference"/>
    <w:uiPriority w:val="99"/>
    <w:semiHidden/>
    <w:unhideWhenUsed/>
    <w:rsid w:val="00D54D6F"/>
    <w:rPr>
      <w:vertAlign w:val="superscript"/>
    </w:rPr>
  </w:style>
  <w:style w:type="character" w:styleId="FollowedHyperlink">
    <w:name w:val="FollowedHyperlink"/>
    <w:uiPriority w:val="99"/>
    <w:semiHidden/>
    <w:unhideWhenUsed/>
    <w:rsid w:val="0073273B"/>
    <w:rPr>
      <w:color w:val="954F72"/>
      <w:u w:val="single"/>
    </w:rPr>
  </w:style>
  <w:style w:type="character" w:customStyle="1" w:styleId="ui-provider">
    <w:name w:val="ui-provider"/>
    <w:basedOn w:val="DefaultParagraphFont"/>
    <w:rsid w:val="00AA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idh.oas.org/annualrep/2006eng/ECUADOR.533.01eng.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n/iachr/docs/annual/2020/Chapters/IA2020cap2-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8C2EB229-3D94-4917-BEFB-C1B062B9C0DB}">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B0001585-DE71-493B-B245-668A51CE9202}">
  <ds:schemaRefs>
    <ds:schemaRef ds:uri="http://schemas.openxmlformats.org/officeDocument/2006/bibliography"/>
  </ds:schemaRefs>
</ds:datastoreItem>
</file>

<file path=customXml/itemProps4.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A2D28-5FAE-4C93-A166-435BBB1CA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Links>
    <vt:vector size="12" baseType="variant">
      <vt:variant>
        <vt:i4>3211379</vt:i4>
      </vt:variant>
      <vt:variant>
        <vt:i4>0</vt:i4>
      </vt:variant>
      <vt:variant>
        <vt:i4>0</vt:i4>
      </vt:variant>
      <vt:variant>
        <vt:i4>5</vt:i4>
      </vt:variant>
      <vt:variant>
        <vt:lpwstr>http://www.cidh.oas.org/annualrep/2006eng/ECUADOR.533.01eng.htm</vt:lpwstr>
      </vt:variant>
      <vt:variant>
        <vt:lpwstr/>
      </vt:variant>
      <vt:variant>
        <vt:i4>3670115</vt:i4>
      </vt:variant>
      <vt:variant>
        <vt:i4>0</vt:i4>
      </vt:variant>
      <vt:variant>
        <vt:i4>0</vt:i4>
      </vt:variant>
      <vt:variant>
        <vt:i4>5</vt:i4>
      </vt:variant>
      <vt:variant>
        <vt:lpwstr>http://www.oas.org/en/iachr/docs/annual/2020/Chapters/IA2020cap2-en.pdf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2023-03-03T22:05:00Z</dcterms:created>
  <dcterms:modified xsi:type="dcterms:W3CDTF">2023-03-03T22:05:00Z</dcterms:modified>
</cp:coreProperties>
</file>