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662D54" w:rsidRDefault="006311DA" w:rsidP="00627C9F">
      <w:pPr>
        <w:jc w:val="both"/>
        <w:rPr>
          <w:rFonts w:asciiTheme="majorHAnsi" w:hAnsiTheme="majorHAnsi" w:cs="Univers"/>
          <w:b/>
          <w:bCs/>
          <w:sz w:val="22"/>
          <w:szCs w:val="22"/>
          <w:lang w:val="es-ES_tradnl"/>
        </w:rPr>
      </w:pPr>
      <w:r w:rsidRPr="00662D5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68038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62D5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DF5796" w:rsidRDefault="00DF579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DF5796" w:rsidRDefault="00DF579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662D54"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662D54"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662D54"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662D54"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662D54"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662D54"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662D54"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662D54"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662D54"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662D54"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662D54" w:rsidRDefault="00E533FF" w:rsidP="00040C3A">
      <w:pPr>
        <w:tabs>
          <w:tab w:val="center" w:pos="5400"/>
        </w:tabs>
        <w:suppressAutoHyphens/>
        <w:jc w:val="center"/>
        <w:rPr>
          <w:rFonts w:asciiTheme="majorHAnsi" w:hAnsiTheme="majorHAnsi"/>
          <w:sz w:val="22"/>
          <w:szCs w:val="22"/>
          <w:lang w:val="es-ES_tradnl"/>
        </w:rPr>
      </w:pPr>
      <w:r w:rsidRPr="00662D5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6C89523" w:rsidR="00DF5796" w:rsidRPr="004B7EB6" w:rsidRDefault="00283B6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290</w:t>
                            </w:r>
                            <w:r w:rsidR="00DF5796" w:rsidRPr="004B7EB6">
                              <w:rPr>
                                <w:rFonts w:asciiTheme="majorHAnsi" w:hAnsiTheme="majorHAnsi" w:cs="Arial"/>
                                <w:b/>
                                <w:bCs/>
                                <w:color w:val="0D0D0D" w:themeColor="text1" w:themeTint="F2"/>
                                <w:sz w:val="36"/>
                                <w:szCs w:val="40"/>
                              </w:rPr>
                              <w:t>/</w:t>
                            </w:r>
                            <w:r w:rsidR="00DF5796">
                              <w:rPr>
                                <w:rFonts w:asciiTheme="majorHAnsi" w:hAnsiTheme="majorHAnsi" w:cs="Arial"/>
                                <w:b/>
                                <w:bCs/>
                                <w:color w:val="0D0D0D" w:themeColor="text1" w:themeTint="F2"/>
                                <w:sz w:val="36"/>
                                <w:szCs w:val="40"/>
                              </w:rPr>
                              <w:t>20</w:t>
                            </w:r>
                          </w:p>
                          <w:p w14:paraId="081F51F3" w14:textId="28D87DC5" w:rsidR="00DF5796" w:rsidRPr="004B7EB6" w:rsidRDefault="00DF579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F12FCC">
                              <w:rPr>
                                <w:rFonts w:asciiTheme="majorHAnsi" w:hAnsiTheme="majorHAnsi" w:cs="Arial"/>
                                <w:b/>
                                <w:bCs/>
                                <w:color w:val="0D0D0D" w:themeColor="text1" w:themeTint="F2"/>
                                <w:sz w:val="36"/>
                                <w:szCs w:val="40"/>
                              </w:rPr>
                              <w:t>1077</w:t>
                            </w:r>
                            <w:r>
                              <w:rPr>
                                <w:rFonts w:asciiTheme="majorHAnsi" w:hAnsiTheme="majorHAnsi" w:cs="Arial"/>
                                <w:b/>
                                <w:bCs/>
                                <w:color w:val="0D0D0D" w:themeColor="text1" w:themeTint="F2"/>
                                <w:sz w:val="36"/>
                                <w:szCs w:val="40"/>
                              </w:rPr>
                              <w:t>-</w:t>
                            </w:r>
                            <w:r w:rsidR="00F12FCC">
                              <w:rPr>
                                <w:rFonts w:asciiTheme="majorHAnsi" w:hAnsiTheme="majorHAnsi" w:cs="Arial"/>
                                <w:b/>
                                <w:bCs/>
                                <w:color w:val="0D0D0D" w:themeColor="text1" w:themeTint="F2"/>
                                <w:sz w:val="36"/>
                                <w:szCs w:val="40"/>
                              </w:rPr>
                              <w:t>14</w:t>
                            </w:r>
                          </w:p>
                          <w:p w14:paraId="34978E5A" w14:textId="2E06ADA4" w:rsidR="00DF5796" w:rsidRPr="004B7EB6" w:rsidRDefault="00DF579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DF5796" w:rsidRPr="004B7EB6" w:rsidRDefault="00DF5796" w:rsidP="004B7EB6">
                            <w:pPr>
                              <w:spacing w:line="276" w:lineRule="auto"/>
                              <w:rPr>
                                <w:rFonts w:asciiTheme="majorHAnsi" w:hAnsiTheme="majorHAnsi" w:cs="Arial"/>
                                <w:color w:val="0D0D0D" w:themeColor="text1" w:themeTint="F2"/>
                                <w:szCs w:val="22"/>
                              </w:rPr>
                            </w:pPr>
                          </w:p>
                          <w:p w14:paraId="7A73D628" w14:textId="21191A46" w:rsidR="00DF5796" w:rsidRPr="004B625D" w:rsidRDefault="00DF57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PAUL RICHARD BROWN</w:t>
                            </w:r>
                            <w:r w:rsidR="00B36E57">
                              <w:rPr>
                                <w:rFonts w:ascii="Cambria" w:hAnsi="Cambria" w:cs="Arial"/>
                                <w:color w:val="0D0D0D"/>
                                <w:szCs w:val="22"/>
                              </w:rPr>
                              <w:t xml:space="preserve"> AND FAMILY</w:t>
                            </w:r>
                          </w:p>
                          <w:p w14:paraId="48EBC31A" w14:textId="71FCBD43" w:rsidR="00DF5796" w:rsidRPr="004B625D" w:rsidRDefault="00DF57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DF5796" w:rsidRPr="000C4365" w:rsidRDefault="00DF5796"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6C89523" w:rsidR="00DF5796" w:rsidRPr="004B7EB6" w:rsidRDefault="00283B6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290</w:t>
                      </w:r>
                      <w:r w:rsidR="00DF5796" w:rsidRPr="004B7EB6">
                        <w:rPr>
                          <w:rFonts w:asciiTheme="majorHAnsi" w:hAnsiTheme="majorHAnsi" w:cs="Arial"/>
                          <w:b/>
                          <w:bCs/>
                          <w:color w:val="0D0D0D" w:themeColor="text1" w:themeTint="F2"/>
                          <w:sz w:val="36"/>
                          <w:szCs w:val="40"/>
                        </w:rPr>
                        <w:t>/</w:t>
                      </w:r>
                      <w:r w:rsidR="00DF5796">
                        <w:rPr>
                          <w:rFonts w:asciiTheme="majorHAnsi" w:hAnsiTheme="majorHAnsi" w:cs="Arial"/>
                          <w:b/>
                          <w:bCs/>
                          <w:color w:val="0D0D0D" w:themeColor="text1" w:themeTint="F2"/>
                          <w:sz w:val="36"/>
                          <w:szCs w:val="40"/>
                        </w:rPr>
                        <w:t>20</w:t>
                      </w:r>
                    </w:p>
                    <w:p w14:paraId="081F51F3" w14:textId="28D87DC5" w:rsidR="00DF5796" w:rsidRPr="004B7EB6" w:rsidRDefault="00DF579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F12FCC">
                        <w:rPr>
                          <w:rFonts w:asciiTheme="majorHAnsi" w:hAnsiTheme="majorHAnsi" w:cs="Arial"/>
                          <w:b/>
                          <w:bCs/>
                          <w:color w:val="0D0D0D" w:themeColor="text1" w:themeTint="F2"/>
                          <w:sz w:val="36"/>
                          <w:szCs w:val="40"/>
                        </w:rPr>
                        <w:t>1077</w:t>
                      </w:r>
                      <w:r>
                        <w:rPr>
                          <w:rFonts w:asciiTheme="majorHAnsi" w:hAnsiTheme="majorHAnsi" w:cs="Arial"/>
                          <w:b/>
                          <w:bCs/>
                          <w:color w:val="0D0D0D" w:themeColor="text1" w:themeTint="F2"/>
                          <w:sz w:val="36"/>
                          <w:szCs w:val="40"/>
                        </w:rPr>
                        <w:t>-</w:t>
                      </w:r>
                      <w:r w:rsidR="00F12FCC">
                        <w:rPr>
                          <w:rFonts w:asciiTheme="majorHAnsi" w:hAnsiTheme="majorHAnsi" w:cs="Arial"/>
                          <w:b/>
                          <w:bCs/>
                          <w:color w:val="0D0D0D" w:themeColor="text1" w:themeTint="F2"/>
                          <w:sz w:val="36"/>
                          <w:szCs w:val="40"/>
                        </w:rPr>
                        <w:t>14</w:t>
                      </w:r>
                    </w:p>
                    <w:p w14:paraId="34978E5A" w14:textId="2E06ADA4" w:rsidR="00DF5796" w:rsidRPr="004B7EB6" w:rsidRDefault="00DF579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DF5796" w:rsidRPr="004B7EB6" w:rsidRDefault="00DF5796" w:rsidP="004B7EB6">
                      <w:pPr>
                        <w:spacing w:line="276" w:lineRule="auto"/>
                        <w:rPr>
                          <w:rFonts w:asciiTheme="majorHAnsi" w:hAnsiTheme="majorHAnsi" w:cs="Arial"/>
                          <w:color w:val="0D0D0D" w:themeColor="text1" w:themeTint="F2"/>
                          <w:szCs w:val="22"/>
                        </w:rPr>
                      </w:pPr>
                    </w:p>
                    <w:p w14:paraId="7A73D628" w14:textId="21191A46" w:rsidR="00DF5796" w:rsidRPr="004B625D" w:rsidRDefault="00DF57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PAUL RICHARD BROWN</w:t>
                      </w:r>
                      <w:r w:rsidR="00B36E57">
                        <w:rPr>
                          <w:rFonts w:ascii="Cambria" w:hAnsi="Cambria" w:cs="Arial"/>
                          <w:color w:val="0D0D0D"/>
                          <w:szCs w:val="22"/>
                        </w:rPr>
                        <w:t xml:space="preserve"> AND FAMILY</w:t>
                      </w:r>
                    </w:p>
                    <w:p w14:paraId="48EBC31A" w14:textId="71FCBD43" w:rsidR="00DF5796" w:rsidRPr="004B625D" w:rsidRDefault="00DF579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DF5796" w:rsidRPr="000C4365" w:rsidRDefault="00DF5796" w:rsidP="00F42B71">
                      <w:pPr>
                        <w:spacing w:line="276" w:lineRule="auto"/>
                        <w:rPr>
                          <w:rFonts w:asciiTheme="majorHAnsi" w:hAnsiTheme="majorHAnsi"/>
                          <w:color w:val="0D0D0D" w:themeColor="text1" w:themeTint="F2"/>
                        </w:rPr>
                      </w:pPr>
                    </w:p>
                  </w:txbxContent>
                </v:textbox>
              </v:shape>
            </w:pict>
          </mc:Fallback>
        </mc:AlternateContent>
      </w:r>
      <w:r w:rsidR="004B7EB6" w:rsidRPr="00662D5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0C998A7" w:rsidR="00DF5796" w:rsidRPr="000B3F8D" w:rsidRDefault="00DF5796" w:rsidP="009E566A">
                            <w:pPr>
                              <w:jc w:val="right"/>
                              <w:rPr>
                                <w:rFonts w:asciiTheme="minorHAnsi" w:hAnsiTheme="minorHAnsi"/>
                                <w:color w:val="FFFFFF" w:themeColor="background1"/>
                                <w:sz w:val="22"/>
                                <w:lang w:val="es-US"/>
                              </w:rPr>
                            </w:pPr>
                            <w:r w:rsidRPr="000B3F8D">
                              <w:rPr>
                                <w:rFonts w:asciiTheme="minorHAnsi" w:hAnsiTheme="minorHAnsi"/>
                                <w:color w:val="FFFFFF" w:themeColor="background1"/>
                                <w:sz w:val="22"/>
                                <w:lang w:val="es-US"/>
                              </w:rPr>
                              <w:t>OEA/</w:t>
                            </w:r>
                            <w:proofErr w:type="spellStart"/>
                            <w:r w:rsidRPr="000B3F8D">
                              <w:rPr>
                                <w:rFonts w:asciiTheme="minorHAnsi" w:hAnsiTheme="minorHAnsi"/>
                                <w:color w:val="FFFFFF" w:themeColor="background1"/>
                                <w:sz w:val="22"/>
                                <w:lang w:val="es-US"/>
                              </w:rPr>
                              <w:t>Ser.L</w:t>
                            </w:r>
                            <w:proofErr w:type="spellEnd"/>
                            <w:r w:rsidRPr="000B3F8D">
                              <w:rPr>
                                <w:rFonts w:asciiTheme="minorHAnsi" w:hAnsiTheme="minorHAnsi"/>
                                <w:color w:val="FFFFFF" w:themeColor="background1"/>
                                <w:sz w:val="22"/>
                                <w:lang w:val="es-US"/>
                              </w:rPr>
                              <w:t>/V/II.</w:t>
                            </w:r>
                          </w:p>
                          <w:p w14:paraId="4AA08A8C" w14:textId="4C708DB1" w:rsidR="00DF5796" w:rsidRPr="00283B6F" w:rsidRDefault="00DF5796" w:rsidP="009E566A">
                            <w:pPr>
                              <w:jc w:val="right"/>
                              <w:rPr>
                                <w:rFonts w:asciiTheme="minorHAnsi" w:hAnsiTheme="minorHAnsi"/>
                                <w:color w:val="FFFFFF" w:themeColor="background1"/>
                                <w:sz w:val="22"/>
                              </w:rPr>
                            </w:pPr>
                            <w:r w:rsidRPr="00283B6F">
                              <w:rPr>
                                <w:rFonts w:asciiTheme="minorHAnsi" w:hAnsiTheme="minorHAnsi"/>
                                <w:color w:val="FFFFFF" w:themeColor="background1"/>
                                <w:sz w:val="22"/>
                              </w:rPr>
                              <w:t xml:space="preserve">Doc. </w:t>
                            </w:r>
                            <w:r w:rsidR="00283B6F" w:rsidRPr="00283B6F">
                              <w:rPr>
                                <w:rFonts w:asciiTheme="minorHAnsi" w:hAnsiTheme="minorHAnsi"/>
                                <w:color w:val="FFFFFF" w:themeColor="background1"/>
                                <w:sz w:val="22"/>
                              </w:rPr>
                              <w:t>307</w:t>
                            </w:r>
                          </w:p>
                          <w:p w14:paraId="0BEFF61A" w14:textId="0A856729" w:rsidR="00DF5796" w:rsidRPr="00283B6F" w:rsidRDefault="00DF5796" w:rsidP="009E566A">
                            <w:pPr>
                              <w:jc w:val="right"/>
                              <w:rPr>
                                <w:rFonts w:asciiTheme="minorHAnsi" w:hAnsiTheme="minorHAnsi"/>
                                <w:color w:val="FFFFFF" w:themeColor="background1"/>
                                <w:sz w:val="22"/>
                              </w:rPr>
                            </w:pPr>
                            <w:r w:rsidRPr="00283B6F">
                              <w:rPr>
                                <w:rFonts w:asciiTheme="minorHAnsi" w:hAnsiTheme="minorHAnsi"/>
                                <w:color w:val="FFFFFF" w:themeColor="background1"/>
                                <w:sz w:val="22"/>
                              </w:rPr>
                              <w:t xml:space="preserve"> </w:t>
                            </w:r>
                            <w:r w:rsidR="00283B6F">
                              <w:rPr>
                                <w:rFonts w:asciiTheme="minorHAnsi" w:hAnsiTheme="minorHAnsi"/>
                                <w:color w:val="FFFFFF" w:themeColor="background1"/>
                                <w:sz w:val="22"/>
                              </w:rPr>
                              <w:t>12 October</w:t>
                            </w:r>
                            <w:r w:rsidRPr="00283B6F">
                              <w:rPr>
                                <w:rFonts w:asciiTheme="minorHAnsi" w:hAnsiTheme="minorHAnsi"/>
                                <w:color w:val="FFFFFF" w:themeColor="background1"/>
                                <w:sz w:val="22"/>
                              </w:rPr>
                              <w:t xml:space="preserve"> 20</w:t>
                            </w:r>
                            <w:r w:rsidR="00283B6F">
                              <w:rPr>
                                <w:rFonts w:asciiTheme="minorHAnsi" w:hAnsiTheme="minorHAnsi"/>
                                <w:color w:val="FFFFFF" w:themeColor="background1"/>
                                <w:sz w:val="22"/>
                              </w:rPr>
                              <w:t>20</w:t>
                            </w:r>
                          </w:p>
                          <w:p w14:paraId="0FC103BD" w14:textId="6D5051C1" w:rsidR="00DF5796" w:rsidRPr="00283B6F" w:rsidRDefault="00DF5796" w:rsidP="009E566A">
                            <w:pPr>
                              <w:jc w:val="right"/>
                              <w:rPr>
                                <w:rFonts w:asciiTheme="minorHAnsi" w:hAnsiTheme="minorHAnsi"/>
                                <w:color w:val="FFFFFF" w:themeColor="background1"/>
                                <w:sz w:val="22"/>
                              </w:rPr>
                            </w:pPr>
                            <w:r w:rsidRPr="00283B6F">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0C998A7" w:rsidR="00DF5796" w:rsidRPr="00283B6F" w:rsidRDefault="00DF5796" w:rsidP="009E566A">
                      <w:pPr>
                        <w:jc w:val="right"/>
                        <w:rPr>
                          <w:rFonts w:asciiTheme="minorHAnsi" w:hAnsiTheme="minorHAnsi"/>
                          <w:color w:val="FFFFFF" w:themeColor="background1"/>
                          <w:sz w:val="22"/>
                        </w:rPr>
                      </w:pPr>
                      <w:r w:rsidRPr="00283B6F">
                        <w:rPr>
                          <w:rFonts w:asciiTheme="minorHAnsi" w:hAnsiTheme="minorHAnsi"/>
                          <w:color w:val="FFFFFF" w:themeColor="background1"/>
                          <w:sz w:val="22"/>
                        </w:rPr>
                        <w:t>OEA/Ser.L/V/II.</w:t>
                      </w:r>
                    </w:p>
                    <w:p w14:paraId="4AA08A8C" w14:textId="4C708DB1" w:rsidR="00DF5796" w:rsidRPr="00283B6F" w:rsidRDefault="00DF5796" w:rsidP="009E566A">
                      <w:pPr>
                        <w:jc w:val="right"/>
                        <w:rPr>
                          <w:rFonts w:asciiTheme="minorHAnsi" w:hAnsiTheme="minorHAnsi"/>
                          <w:color w:val="FFFFFF" w:themeColor="background1"/>
                          <w:sz w:val="22"/>
                        </w:rPr>
                      </w:pPr>
                      <w:r w:rsidRPr="00283B6F">
                        <w:rPr>
                          <w:rFonts w:asciiTheme="minorHAnsi" w:hAnsiTheme="minorHAnsi"/>
                          <w:color w:val="FFFFFF" w:themeColor="background1"/>
                          <w:sz w:val="22"/>
                        </w:rPr>
                        <w:t xml:space="preserve">Doc. </w:t>
                      </w:r>
                      <w:r w:rsidR="00283B6F" w:rsidRPr="00283B6F">
                        <w:rPr>
                          <w:rFonts w:asciiTheme="minorHAnsi" w:hAnsiTheme="minorHAnsi"/>
                          <w:color w:val="FFFFFF" w:themeColor="background1"/>
                          <w:sz w:val="22"/>
                        </w:rPr>
                        <w:t>307</w:t>
                      </w:r>
                    </w:p>
                    <w:p w14:paraId="0BEFF61A" w14:textId="0A856729" w:rsidR="00DF5796" w:rsidRPr="00283B6F" w:rsidRDefault="00DF5796" w:rsidP="009E566A">
                      <w:pPr>
                        <w:jc w:val="right"/>
                        <w:rPr>
                          <w:rFonts w:asciiTheme="minorHAnsi" w:hAnsiTheme="minorHAnsi"/>
                          <w:color w:val="FFFFFF" w:themeColor="background1"/>
                          <w:sz w:val="22"/>
                        </w:rPr>
                      </w:pPr>
                      <w:r w:rsidRPr="00283B6F">
                        <w:rPr>
                          <w:rFonts w:asciiTheme="minorHAnsi" w:hAnsiTheme="minorHAnsi"/>
                          <w:color w:val="FFFFFF" w:themeColor="background1"/>
                          <w:sz w:val="22"/>
                        </w:rPr>
                        <w:t xml:space="preserve"> </w:t>
                      </w:r>
                      <w:r w:rsidR="00283B6F">
                        <w:rPr>
                          <w:rFonts w:asciiTheme="minorHAnsi" w:hAnsiTheme="minorHAnsi"/>
                          <w:color w:val="FFFFFF" w:themeColor="background1"/>
                          <w:sz w:val="22"/>
                        </w:rPr>
                        <w:t>12 October</w:t>
                      </w:r>
                      <w:r w:rsidRPr="00283B6F">
                        <w:rPr>
                          <w:rFonts w:asciiTheme="minorHAnsi" w:hAnsiTheme="minorHAnsi"/>
                          <w:color w:val="FFFFFF" w:themeColor="background1"/>
                          <w:sz w:val="22"/>
                        </w:rPr>
                        <w:t xml:space="preserve"> 20</w:t>
                      </w:r>
                      <w:r w:rsidR="00283B6F">
                        <w:rPr>
                          <w:rFonts w:asciiTheme="minorHAnsi" w:hAnsiTheme="minorHAnsi"/>
                          <w:color w:val="FFFFFF" w:themeColor="background1"/>
                          <w:sz w:val="22"/>
                        </w:rPr>
                        <w:t>20</w:t>
                      </w:r>
                    </w:p>
                    <w:p w14:paraId="0FC103BD" w14:textId="6D5051C1" w:rsidR="00DF5796" w:rsidRPr="00283B6F" w:rsidRDefault="00DF5796" w:rsidP="009E566A">
                      <w:pPr>
                        <w:jc w:val="right"/>
                        <w:rPr>
                          <w:rFonts w:asciiTheme="minorHAnsi" w:hAnsiTheme="minorHAnsi"/>
                          <w:color w:val="FFFFFF" w:themeColor="background1"/>
                          <w:sz w:val="22"/>
                        </w:rPr>
                      </w:pPr>
                      <w:r w:rsidRPr="00283B6F">
                        <w:rPr>
                          <w:rFonts w:asciiTheme="minorHAnsi" w:hAnsiTheme="minorHAnsi"/>
                          <w:color w:val="FFFFFF" w:themeColor="background1"/>
                          <w:sz w:val="22"/>
                        </w:rPr>
                        <w:t>Original: English</w:t>
                      </w:r>
                    </w:p>
                  </w:txbxContent>
                </v:textbox>
              </v:shape>
            </w:pict>
          </mc:Fallback>
        </mc:AlternateContent>
      </w:r>
    </w:p>
    <w:p w14:paraId="3765F9FA"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662D54"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662D54"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662D54"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662D54"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662D54"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662D54"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662D54" w:rsidRDefault="003C32BC" w:rsidP="00040C3A">
      <w:pPr>
        <w:tabs>
          <w:tab w:val="center" w:pos="5400"/>
        </w:tabs>
        <w:suppressAutoHyphens/>
        <w:jc w:val="center"/>
        <w:rPr>
          <w:rFonts w:asciiTheme="majorHAnsi" w:hAnsiTheme="majorHAnsi"/>
          <w:sz w:val="18"/>
          <w:szCs w:val="22"/>
          <w:lang w:val="es-ES_tradnl"/>
        </w:rPr>
      </w:pPr>
      <w:r w:rsidRPr="00662D5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1520416" w:rsidR="00DF5796" w:rsidRPr="003C32BC" w:rsidRDefault="00DF579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83B6F">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283B6F">
                              <w:rPr>
                                <w:rFonts w:asciiTheme="majorHAnsi" w:hAnsiTheme="majorHAnsi"/>
                                <w:color w:val="0D0D0D" w:themeColor="text1" w:themeTint="F2"/>
                                <w:sz w:val="18"/>
                                <w:szCs w:val="20"/>
                              </w:rPr>
                              <w:t>October 12</w:t>
                            </w:r>
                            <w:r>
                              <w:rPr>
                                <w:rFonts w:asciiTheme="majorHAnsi" w:hAnsiTheme="majorHAnsi"/>
                                <w:color w:val="0D0D0D" w:themeColor="text1" w:themeTint="F2"/>
                                <w:sz w:val="18"/>
                                <w:szCs w:val="20"/>
                              </w:rPr>
                              <w:t>, 2020</w:t>
                            </w:r>
                            <w:r w:rsidR="000B3F8D">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1520416" w:rsidR="00DF5796" w:rsidRPr="003C32BC" w:rsidRDefault="00DF579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83B6F">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283B6F">
                        <w:rPr>
                          <w:rFonts w:asciiTheme="majorHAnsi" w:hAnsiTheme="majorHAnsi"/>
                          <w:color w:val="0D0D0D" w:themeColor="text1" w:themeTint="F2"/>
                          <w:sz w:val="18"/>
                          <w:szCs w:val="20"/>
                        </w:rPr>
                        <w:t>October 12</w:t>
                      </w:r>
                      <w:r>
                        <w:rPr>
                          <w:rFonts w:asciiTheme="majorHAnsi" w:hAnsiTheme="majorHAnsi"/>
                          <w:color w:val="0D0D0D" w:themeColor="text1" w:themeTint="F2"/>
                          <w:sz w:val="18"/>
                          <w:szCs w:val="20"/>
                        </w:rPr>
                        <w:t>, 2020</w:t>
                      </w:r>
                      <w:r w:rsidR="000B3F8D">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662D54" w:rsidRDefault="003C32BC" w:rsidP="00040C3A">
      <w:pPr>
        <w:tabs>
          <w:tab w:val="center" w:pos="5400"/>
        </w:tabs>
        <w:suppressAutoHyphens/>
        <w:jc w:val="center"/>
        <w:rPr>
          <w:rFonts w:asciiTheme="majorHAnsi" w:hAnsiTheme="majorHAnsi"/>
          <w:sz w:val="18"/>
          <w:szCs w:val="22"/>
          <w:lang w:val="es-ES_tradnl"/>
        </w:rPr>
      </w:pPr>
      <w:r w:rsidRPr="00662D5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B657EBC" w:rsidR="00DF5796" w:rsidRPr="003C32BC" w:rsidRDefault="00DF579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83B6F">
                              <w:rPr>
                                <w:rFonts w:asciiTheme="majorHAnsi" w:hAnsiTheme="majorHAnsi"/>
                                <w:color w:val="595959" w:themeColor="text1" w:themeTint="A6"/>
                                <w:sz w:val="18"/>
                              </w:rPr>
                              <w:t>290</w:t>
                            </w:r>
                            <w:r w:rsidRPr="00B36E57">
                              <w:rPr>
                                <w:rFonts w:asciiTheme="majorHAnsi" w:hAnsiTheme="majorHAnsi"/>
                                <w:color w:val="595959" w:themeColor="text1" w:themeTint="A6"/>
                                <w:sz w:val="18"/>
                              </w:rPr>
                              <w:t>/</w:t>
                            </w:r>
                            <w:r w:rsidR="00283B6F">
                              <w:rPr>
                                <w:rFonts w:asciiTheme="majorHAnsi" w:hAnsiTheme="majorHAnsi"/>
                                <w:color w:val="595959" w:themeColor="text1" w:themeTint="A6"/>
                                <w:sz w:val="18"/>
                              </w:rPr>
                              <w:t>20</w:t>
                            </w:r>
                            <w:r w:rsidRPr="00B36E57">
                              <w:rPr>
                                <w:rFonts w:asciiTheme="majorHAnsi" w:hAnsiTheme="majorHAnsi"/>
                                <w:color w:val="595959" w:themeColor="text1" w:themeTint="A6"/>
                                <w:sz w:val="18"/>
                              </w:rPr>
                              <w:t xml:space="preserve">, Petition </w:t>
                            </w:r>
                            <w:r w:rsidR="00B36E57" w:rsidRPr="00B36E57">
                              <w:rPr>
                                <w:rFonts w:asciiTheme="majorHAnsi" w:hAnsiTheme="majorHAnsi"/>
                                <w:color w:val="595959" w:themeColor="text1" w:themeTint="A6"/>
                                <w:sz w:val="18"/>
                              </w:rPr>
                              <w:t>1077</w:t>
                            </w:r>
                            <w:r w:rsidRPr="00B36E57">
                              <w:rPr>
                                <w:rFonts w:asciiTheme="majorHAnsi" w:hAnsiTheme="majorHAnsi"/>
                                <w:color w:val="595959" w:themeColor="text1" w:themeTint="A6"/>
                                <w:sz w:val="18"/>
                              </w:rPr>
                              <w:t>-</w:t>
                            </w:r>
                            <w:r w:rsidR="00B36E57" w:rsidRPr="00B36E57">
                              <w:rPr>
                                <w:rFonts w:asciiTheme="majorHAnsi" w:hAnsiTheme="majorHAnsi"/>
                                <w:color w:val="595959" w:themeColor="text1" w:themeTint="A6"/>
                                <w:sz w:val="18"/>
                              </w:rPr>
                              <w:t>14</w:t>
                            </w:r>
                            <w:r w:rsidRPr="00B36E57">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36E57">
                              <w:rPr>
                                <w:rFonts w:asciiTheme="majorHAnsi" w:hAnsiTheme="majorHAnsi"/>
                                <w:color w:val="595959" w:themeColor="text1" w:themeTint="A6"/>
                                <w:sz w:val="18"/>
                              </w:rPr>
                              <w:t>Paul Richard Brown and family</w:t>
                            </w:r>
                            <w:r w:rsidRPr="003C32BC">
                              <w:rPr>
                                <w:rFonts w:asciiTheme="majorHAnsi" w:hAnsiTheme="majorHAnsi"/>
                                <w:color w:val="595959" w:themeColor="text1" w:themeTint="A6"/>
                                <w:sz w:val="18"/>
                              </w:rPr>
                              <w:t xml:space="preserve">. </w:t>
                            </w:r>
                            <w:r w:rsidR="00B36E57">
                              <w:rPr>
                                <w:rFonts w:asciiTheme="majorHAnsi" w:hAnsiTheme="majorHAnsi"/>
                                <w:color w:val="595959" w:themeColor="text1" w:themeTint="A6"/>
                                <w:sz w:val="18"/>
                              </w:rPr>
                              <w:t>Jamaica</w:t>
                            </w:r>
                            <w:r>
                              <w:rPr>
                                <w:rFonts w:asciiTheme="majorHAnsi" w:hAnsiTheme="majorHAnsi"/>
                                <w:color w:val="595959" w:themeColor="text1" w:themeTint="A6"/>
                                <w:sz w:val="18"/>
                              </w:rPr>
                              <w:t xml:space="preserve">. </w:t>
                            </w:r>
                            <w:r w:rsidR="00283B6F">
                              <w:rPr>
                                <w:rFonts w:asciiTheme="majorHAnsi" w:hAnsiTheme="majorHAnsi"/>
                                <w:color w:val="595959" w:themeColor="text1" w:themeTint="A6"/>
                                <w:sz w:val="18"/>
                              </w:rPr>
                              <w:t>October 12,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B657EBC" w:rsidR="00DF5796" w:rsidRPr="003C32BC" w:rsidRDefault="00DF579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83B6F">
                        <w:rPr>
                          <w:rFonts w:asciiTheme="majorHAnsi" w:hAnsiTheme="majorHAnsi"/>
                          <w:color w:val="595959" w:themeColor="text1" w:themeTint="A6"/>
                          <w:sz w:val="18"/>
                        </w:rPr>
                        <w:t>290</w:t>
                      </w:r>
                      <w:r w:rsidRPr="00B36E57">
                        <w:rPr>
                          <w:rFonts w:asciiTheme="majorHAnsi" w:hAnsiTheme="majorHAnsi"/>
                          <w:color w:val="595959" w:themeColor="text1" w:themeTint="A6"/>
                          <w:sz w:val="18"/>
                        </w:rPr>
                        <w:t>/</w:t>
                      </w:r>
                      <w:r w:rsidR="00283B6F">
                        <w:rPr>
                          <w:rFonts w:asciiTheme="majorHAnsi" w:hAnsiTheme="majorHAnsi"/>
                          <w:color w:val="595959" w:themeColor="text1" w:themeTint="A6"/>
                          <w:sz w:val="18"/>
                        </w:rPr>
                        <w:t>20</w:t>
                      </w:r>
                      <w:r w:rsidRPr="00B36E57">
                        <w:rPr>
                          <w:rFonts w:asciiTheme="majorHAnsi" w:hAnsiTheme="majorHAnsi"/>
                          <w:color w:val="595959" w:themeColor="text1" w:themeTint="A6"/>
                          <w:sz w:val="18"/>
                        </w:rPr>
                        <w:t xml:space="preserve">, Petition </w:t>
                      </w:r>
                      <w:r w:rsidR="00B36E57" w:rsidRPr="00B36E57">
                        <w:rPr>
                          <w:rFonts w:asciiTheme="majorHAnsi" w:hAnsiTheme="majorHAnsi"/>
                          <w:color w:val="595959" w:themeColor="text1" w:themeTint="A6"/>
                          <w:sz w:val="18"/>
                        </w:rPr>
                        <w:t>1077</w:t>
                      </w:r>
                      <w:r w:rsidRPr="00B36E57">
                        <w:rPr>
                          <w:rFonts w:asciiTheme="majorHAnsi" w:hAnsiTheme="majorHAnsi"/>
                          <w:color w:val="595959" w:themeColor="text1" w:themeTint="A6"/>
                          <w:sz w:val="18"/>
                        </w:rPr>
                        <w:t>-</w:t>
                      </w:r>
                      <w:r w:rsidR="00B36E57" w:rsidRPr="00B36E57">
                        <w:rPr>
                          <w:rFonts w:asciiTheme="majorHAnsi" w:hAnsiTheme="majorHAnsi"/>
                          <w:color w:val="595959" w:themeColor="text1" w:themeTint="A6"/>
                          <w:sz w:val="18"/>
                        </w:rPr>
                        <w:t>14</w:t>
                      </w:r>
                      <w:r w:rsidRPr="00B36E57">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36E57">
                        <w:rPr>
                          <w:rFonts w:asciiTheme="majorHAnsi" w:hAnsiTheme="majorHAnsi"/>
                          <w:color w:val="595959" w:themeColor="text1" w:themeTint="A6"/>
                          <w:sz w:val="18"/>
                        </w:rPr>
                        <w:t>Paul Richard Brown and family</w:t>
                      </w:r>
                      <w:r w:rsidRPr="003C32BC">
                        <w:rPr>
                          <w:rFonts w:asciiTheme="majorHAnsi" w:hAnsiTheme="majorHAnsi"/>
                          <w:color w:val="595959" w:themeColor="text1" w:themeTint="A6"/>
                          <w:sz w:val="18"/>
                        </w:rPr>
                        <w:t xml:space="preserve">. </w:t>
                      </w:r>
                      <w:r w:rsidR="00B36E57">
                        <w:rPr>
                          <w:rFonts w:asciiTheme="majorHAnsi" w:hAnsiTheme="majorHAnsi"/>
                          <w:color w:val="595959" w:themeColor="text1" w:themeTint="A6"/>
                          <w:sz w:val="18"/>
                        </w:rPr>
                        <w:t>Jamaica</w:t>
                      </w:r>
                      <w:r>
                        <w:rPr>
                          <w:rFonts w:asciiTheme="majorHAnsi" w:hAnsiTheme="majorHAnsi"/>
                          <w:color w:val="595959" w:themeColor="text1" w:themeTint="A6"/>
                          <w:sz w:val="18"/>
                        </w:rPr>
                        <w:t xml:space="preserve">. </w:t>
                      </w:r>
                      <w:r w:rsidR="00283B6F">
                        <w:rPr>
                          <w:rFonts w:asciiTheme="majorHAnsi" w:hAnsiTheme="majorHAnsi"/>
                          <w:color w:val="595959" w:themeColor="text1" w:themeTint="A6"/>
                          <w:sz w:val="18"/>
                        </w:rPr>
                        <w:t>October 12,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662D54"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662D54" w:rsidRDefault="003C32BC" w:rsidP="003C32BC">
      <w:pPr>
        <w:tabs>
          <w:tab w:val="center" w:pos="5400"/>
        </w:tabs>
        <w:suppressAutoHyphens/>
        <w:jc w:val="center"/>
        <w:rPr>
          <w:rFonts w:asciiTheme="majorHAnsi" w:hAnsiTheme="majorHAnsi"/>
          <w:sz w:val="18"/>
          <w:szCs w:val="22"/>
        </w:rPr>
      </w:pPr>
    </w:p>
    <w:p w14:paraId="154A4854" w14:textId="77777777" w:rsidR="003C32BC" w:rsidRPr="00662D54" w:rsidRDefault="006311DA" w:rsidP="003C32BC">
      <w:pPr>
        <w:tabs>
          <w:tab w:val="center" w:pos="5400"/>
        </w:tabs>
        <w:suppressAutoHyphens/>
        <w:jc w:val="center"/>
        <w:rPr>
          <w:rFonts w:asciiTheme="majorHAnsi" w:hAnsiTheme="majorHAnsi"/>
          <w:sz w:val="18"/>
          <w:szCs w:val="22"/>
        </w:rPr>
      </w:pPr>
      <w:r w:rsidRPr="00662D5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A015754" w:rsidR="00DF5796" w:rsidRPr="004B7EB6" w:rsidRDefault="00DF579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83B6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A015754" w:rsidR="00DF5796" w:rsidRPr="004B7EB6" w:rsidRDefault="00DF579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83B6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662D5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0807672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34ACB556" w:rsidR="00DF5796" w:rsidRDefault="00DF5796">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34ACB556" w:rsidR="00DF5796" w:rsidRDefault="00DF5796">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662D54" w:rsidRDefault="007607C4" w:rsidP="003C32BC">
      <w:pPr>
        <w:tabs>
          <w:tab w:val="center" w:pos="5400"/>
        </w:tabs>
        <w:suppressAutoHyphens/>
        <w:jc w:val="center"/>
        <w:rPr>
          <w:rFonts w:asciiTheme="majorHAnsi" w:hAnsiTheme="majorHAnsi"/>
          <w:sz w:val="18"/>
          <w:szCs w:val="22"/>
        </w:rPr>
        <w:sectPr w:rsidR="007607C4" w:rsidRPr="00662D5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662D54" w:rsidRDefault="00F621C3" w:rsidP="00B36E57">
      <w:pPr>
        <w:spacing w:after="120"/>
        <w:ind w:firstLine="720"/>
        <w:jc w:val="both"/>
        <w:rPr>
          <w:rFonts w:asciiTheme="majorHAnsi" w:hAnsiTheme="majorHAnsi"/>
          <w:b/>
          <w:bCs/>
          <w:sz w:val="20"/>
          <w:szCs w:val="20"/>
        </w:rPr>
      </w:pPr>
      <w:r w:rsidRPr="00662D54">
        <w:rPr>
          <w:rFonts w:asciiTheme="majorHAnsi" w:hAnsiTheme="majorHAnsi"/>
          <w:b/>
          <w:bCs/>
          <w:sz w:val="20"/>
          <w:szCs w:val="20"/>
        </w:rPr>
        <w:lastRenderedPageBreak/>
        <w:t>I.</w:t>
      </w:r>
      <w:r w:rsidRPr="00662D54">
        <w:rPr>
          <w:rFonts w:asciiTheme="majorHAnsi" w:hAnsiTheme="majorHAnsi"/>
          <w:b/>
          <w:bCs/>
          <w:sz w:val="20"/>
          <w:szCs w:val="20"/>
        </w:rPr>
        <w:tab/>
      </w:r>
      <w:r w:rsidR="00592718" w:rsidRPr="00662D54">
        <w:rPr>
          <w:rFonts w:asciiTheme="majorHAnsi" w:hAnsiTheme="majorHAnsi"/>
          <w:b/>
          <w:bCs/>
          <w:sz w:val="20"/>
          <w:szCs w:val="20"/>
        </w:rPr>
        <w:t>INFORMATION ABOUT THE PETITION</w:t>
      </w:r>
      <w:r w:rsidRPr="00662D5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2D5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662D54" w:rsidRDefault="003771A3" w:rsidP="00DF5796">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Petitioner</w:t>
            </w:r>
            <w:r w:rsidR="00F621C3" w:rsidRPr="00662D54">
              <w:rPr>
                <w:rFonts w:ascii="Cambria" w:hAnsi="Cambria"/>
                <w:bCs/>
                <w:color w:val="FFFFFF" w:themeColor="background1"/>
                <w:sz w:val="20"/>
                <w:szCs w:val="20"/>
              </w:rPr>
              <w:t>:</w:t>
            </w:r>
          </w:p>
        </w:tc>
        <w:tc>
          <w:tcPr>
            <w:tcW w:w="5670" w:type="dxa"/>
            <w:vAlign w:val="center"/>
          </w:tcPr>
          <w:p w14:paraId="0674C7B8" w14:textId="4833AC20" w:rsidR="00F621C3" w:rsidRPr="00662D54" w:rsidRDefault="00B36E57" w:rsidP="00DF5796">
            <w:pPr>
              <w:jc w:val="both"/>
              <w:rPr>
                <w:rFonts w:ascii="Cambria" w:hAnsi="Cambria"/>
                <w:bCs/>
                <w:sz w:val="20"/>
                <w:szCs w:val="20"/>
              </w:rPr>
            </w:pPr>
            <w:r w:rsidRPr="00662D54">
              <w:rPr>
                <w:rFonts w:asciiTheme="majorHAnsi" w:hAnsiTheme="majorHAnsi"/>
                <w:bCs/>
                <w:sz w:val="20"/>
                <w:szCs w:val="20"/>
              </w:rPr>
              <w:t>International Human Rights Clinic of the Loyola Law School</w:t>
            </w:r>
          </w:p>
        </w:tc>
      </w:tr>
      <w:tr w:rsidR="00F621C3" w:rsidRPr="00662D5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662D54" w:rsidRDefault="00DB3211" w:rsidP="00DF5796">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662D54">
                  <w:rPr>
                    <w:rFonts w:ascii="Cambria" w:hAnsi="Cambria"/>
                    <w:bCs/>
                    <w:color w:val="FFFFFF" w:themeColor="background1"/>
                    <w:sz w:val="20"/>
                    <w:szCs w:val="20"/>
                  </w:rPr>
                  <w:t>Alleged victim</w:t>
                </w:r>
              </w:sdtContent>
            </w:sdt>
            <w:r w:rsidR="00F621C3" w:rsidRPr="00662D54">
              <w:rPr>
                <w:rFonts w:ascii="Cambria" w:hAnsi="Cambria"/>
                <w:bCs/>
                <w:color w:val="FFFFFF" w:themeColor="background1"/>
                <w:sz w:val="20"/>
                <w:szCs w:val="20"/>
              </w:rPr>
              <w:t>:</w:t>
            </w:r>
          </w:p>
        </w:tc>
        <w:tc>
          <w:tcPr>
            <w:tcW w:w="5670" w:type="dxa"/>
            <w:vAlign w:val="center"/>
          </w:tcPr>
          <w:p w14:paraId="60895337" w14:textId="103593EF" w:rsidR="00F621C3" w:rsidRPr="00662D54" w:rsidRDefault="00766282" w:rsidP="00DF5796">
            <w:pPr>
              <w:jc w:val="both"/>
              <w:rPr>
                <w:rFonts w:ascii="Cambria" w:hAnsi="Cambria"/>
                <w:bCs/>
                <w:sz w:val="20"/>
                <w:szCs w:val="20"/>
              </w:rPr>
            </w:pPr>
            <w:r w:rsidRPr="00662D54">
              <w:rPr>
                <w:rFonts w:ascii="Cambria" w:hAnsi="Cambria"/>
                <w:bCs/>
                <w:sz w:val="20"/>
                <w:szCs w:val="20"/>
              </w:rPr>
              <w:t>Paul Richard Brown and family</w:t>
            </w:r>
            <w:r w:rsidRPr="00662D54">
              <w:rPr>
                <w:rStyle w:val="FootnoteReference"/>
                <w:rFonts w:ascii="Cambria" w:hAnsi="Cambria"/>
                <w:bCs/>
                <w:sz w:val="20"/>
                <w:szCs w:val="20"/>
              </w:rPr>
              <w:footnoteReference w:id="2"/>
            </w:r>
          </w:p>
        </w:tc>
      </w:tr>
      <w:tr w:rsidR="00F621C3" w:rsidRPr="00662D5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662D54" w:rsidRDefault="005816E5" w:rsidP="005816E5">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 xml:space="preserve">Respondent </w:t>
            </w:r>
            <w:r w:rsidR="00F621C3" w:rsidRPr="00662D54">
              <w:rPr>
                <w:rFonts w:ascii="Cambria" w:hAnsi="Cambria"/>
                <w:bCs/>
                <w:color w:val="FFFFFF" w:themeColor="background1"/>
                <w:sz w:val="20"/>
                <w:szCs w:val="20"/>
              </w:rPr>
              <w:t>State:</w:t>
            </w:r>
          </w:p>
        </w:tc>
        <w:tc>
          <w:tcPr>
            <w:tcW w:w="5670" w:type="dxa"/>
            <w:vAlign w:val="center"/>
          </w:tcPr>
          <w:p w14:paraId="3539D391" w14:textId="4C455FEF" w:rsidR="00F621C3" w:rsidRPr="00662D54" w:rsidRDefault="00A851EA" w:rsidP="00DF5796">
            <w:pPr>
              <w:jc w:val="both"/>
              <w:rPr>
                <w:rFonts w:ascii="Cambria" w:hAnsi="Cambria"/>
                <w:bCs/>
                <w:sz w:val="20"/>
                <w:szCs w:val="20"/>
              </w:rPr>
            </w:pPr>
            <w:r w:rsidRPr="00662D54">
              <w:rPr>
                <w:rFonts w:ascii="Cambria" w:hAnsi="Cambria"/>
                <w:bCs/>
                <w:sz w:val="20"/>
                <w:szCs w:val="20"/>
              </w:rPr>
              <w:t>Jamaica</w:t>
            </w:r>
            <w:r w:rsidRPr="00662D54">
              <w:rPr>
                <w:rStyle w:val="FootnoteReference"/>
                <w:rFonts w:ascii="Cambria" w:hAnsi="Cambria"/>
                <w:bCs/>
                <w:sz w:val="20"/>
                <w:szCs w:val="20"/>
              </w:rPr>
              <w:footnoteReference w:id="3"/>
            </w:r>
          </w:p>
        </w:tc>
      </w:tr>
      <w:tr w:rsidR="00E47F3D" w:rsidRPr="00662D5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662D54" w:rsidRDefault="00E47F3D" w:rsidP="00E7588C">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 xml:space="preserve">Rights </w:t>
            </w:r>
            <w:r w:rsidR="00E7588C" w:rsidRPr="00662D54">
              <w:rPr>
                <w:rFonts w:ascii="Cambria" w:hAnsi="Cambria"/>
                <w:bCs/>
                <w:color w:val="FFFFFF" w:themeColor="background1"/>
                <w:sz w:val="20"/>
                <w:szCs w:val="20"/>
              </w:rPr>
              <w:t>invoked:</w:t>
            </w:r>
          </w:p>
        </w:tc>
        <w:tc>
          <w:tcPr>
            <w:tcW w:w="5670" w:type="dxa"/>
            <w:vAlign w:val="center"/>
          </w:tcPr>
          <w:p w14:paraId="51EEF9D2" w14:textId="3D1B0132" w:rsidR="00E47F3D" w:rsidRPr="00662D54" w:rsidRDefault="00444640" w:rsidP="00DF5796">
            <w:pPr>
              <w:jc w:val="both"/>
              <w:rPr>
                <w:rFonts w:ascii="Cambria" w:hAnsi="Cambria"/>
                <w:bCs/>
                <w:sz w:val="20"/>
                <w:szCs w:val="20"/>
              </w:rPr>
            </w:pPr>
            <w:r w:rsidRPr="00662D54">
              <w:rPr>
                <w:rFonts w:ascii="Cambria" w:hAnsi="Cambria"/>
                <w:bCs/>
                <w:sz w:val="20"/>
                <w:szCs w:val="20"/>
              </w:rPr>
              <w:t>Articles 4 (life), 5 (humane treatment), 8 (fair trial) and 25 (judicial protection) of the American Convention on Human Rights</w:t>
            </w:r>
            <w:r w:rsidRPr="00662D54">
              <w:rPr>
                <w:rStyle w:val="FootnoteReference"/>
                <w:rFonts w:ascii="Cambria" w:hAnsi="Cambria"/>
                <w:bCs/>
                <w:sz w:val="20"/>
                <w:szCs w:val="20"/>
              </w:rPr>
              <w:footnoteReference w:id="4"/>
            </w:r>
            <w:r w:rsidRPr="00662D54">
              <w:rPr>
                <w:rFonts w:ascii="Cambria" w:hAnsi="Cambria"/>
                <w:bCs/>
                <w:sz w:val="20"/>
                <w:szCs w:val="20"/>
              </w:rPr>
              <w:t>, in relation with its Articles 1.1</w:t>
            </w:r>
            <w:r w:rsidR="00A851EA" w:rsidRPr="00662D54">
              <w:rPr>
                <w:rFonts w:ascii="Cambria" w:hAnsi="Cambria"/>
                <w:bCs/>
                <w:sz w:val="20"/>
                <w:szCs w:val="20"/>
              </w:rPr>
              <w:t xml:space="preserve"> (obligation to respect rights)</w:t>
            </w:r>
            <w:r w:rsidRPr="00662D54">
              <w:rPr>
                <w:rFonts w:ascii="Cambria" w:hAnsi="Cambria"/>
                <w:bCs/>
                <w:sz w:val="20"/>
                <w:szCs w:val="20"/>
              </w:rPr>
              <w:t xml:space="preserve"> and 2 (domestic legal effects)</w:t>
            </w:r>
          </w:p>
        </w:tc>
      </w:tr>
    </w:tbl>
    <w:p w14:paraId="006E8D49" w14:textId="1C646C41" w:rsidR="00F621C3" w:rsidRPr="00662D54" w:rsidRDefault="00F621C3" w:rsidP="00B36E57">
      <w:pPr>
        <w:spacing w:before="120" w:after="120"/>
        <w:ind w:firstLine="720"/>
        <w:jc w:val="both"/>
        <w:rPr>
          <w:rFonts w:asciiTheme="majorHAnsi" w:hAnsiTheme="majorHAnsi"/>
          <w:b/>
          <w:bCs/>
          <w:sz w:val="20"/>
          <w:szCs w:val="20"/>
        </w:rPr>
      </w:pPr>
      <w:r w:rsidRPr="00662D54">
        <w:rPr>
          <w:rFonts w:asciiTheme="majorHAnsi" w:hAnsiTheme="majorHAnsi"/>
          <w:b/>
          <w:bCs/>
          <w:sz w:val="20"/>
          <w:szCs w:val="20"/>
        </w:rPr>
        <w:t>II.</w:t>
      </w:r>
      <w:r w:rsidRPr="00662D54">
        <w:rPr>
          <w:rFonts w:asciiTheme="majorHAnsi" w:hAnsiTheme="majorHAnsi"/>
          <w:b/>
          <w:bCs/>
          <w:sz w:val="20"/>
          <w:szCs w:val="20"/>
        </w:rPr>
        <w:tab/>
        <w:t>PROCE</w:t>
      </w:r>
      <w:r w:rsidR="00321AFD" w:rsidRPr="00662D54">
        <w:rPr>
          <w:rFonts w:asciiTheme="majorHAnsi" w:hAnsiTheme="majorHAnsi"/>
          <w:b/>
          <w:bCs/>
          <w:sz w:val="20"/>
          <w:szCs w:val="20"/>
        </w:rPr>
        <w:t>EDINGS</w:t>
      </w:r>
      <w:r w:rsidRPr="00662D54">
        <w:rPr>
          <w:rFonts w:asciiTheme="majorHAnsi" w:hAnsiTheme="majorHAnsi"/>
          <w:b/>
          <w:bCs/>
          <w:sz w:val="20"/>
          <w:szCs w:val="20"/>
        </w:rPr>
        <w:t xml:space="preserve"> BEFORE THE IACHR</w:t>
      </w:r>
      <w:r w:rsidR="00653EA6" w:rsidRPr="00662D54">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2D5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662D54" w:rsidRDefault="00B06BB7" w:rsidP="00B06BB7">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Filing of the petition</w:t>
            </w:r>
            <w:r w:rsidR="00F621C3" w:rsidRPr="00662D54">
              <w:rPr>
                <w:rFonts w:ascii="Cambria" w:hAnsi="Cambria"/>
                <w:bCs/>
                <w:color w:val="FFFFFF" w:themeColor="background1"/>
                <w:sz w:val="20"/>
                <w:szCs w:val="20"/>
              </w:rPr>
              <w:t>:</w:t>
            </w:r>
          </w:p>
        </w:tc>
        <w:tc>
          <w:tcPr>
            <w:tcW w:w="5670" w:type="dxa"/>
            <w:vAlign w:val="center"/>
          </w:tcPr>
          <w:p w14:paraId="1C0C3DE2" w14:textId="4880D9DB" w:rsidR="00F621C3" w:rsidRPr="00662D54" w:rsidRDefault="00A851EA" w:rsidP="00DF5796">
            <w:pPr>
              <w:jc w:val="both"/>
              <w:rPr>
                <w:rFonts w:ascii="Cambria" w:hAnsi="Cambria"/>
                <w:bCs/>
                <w:sz w:val="20"/>
                <w:szCs w:val="20"/>
              </w:rPr>
            </w:pPr>
            <w:r w:rsidRPr="00662D54">
              <w:rPr>
                <w:rFonts w:ascii="Cambria" w:hAnsi="Cambria"/>
                <w:bCs/>
                <w:sz w:val="20"/>
                <w:szCs w:val="20"/>
              </w:rPr>
              <w:t>July 29, 2014</w:t>
            </w:r>
          </w:p>
        </w:tc>
      </w:tr>
      <w:tr w:rsidR="00F621C3" w:rsidRPr="00662D54"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662D54" w:rsidRDefault="00F621C3" w:rsidP="003771A3">
            <w:pPr>
              <w:jc w:val="center"/>
              <w:rPr>
                <w:rFonts w:ascii="Cambria" w:hAnsi="Cambria"/>
                <w:color w:val="FFFFFF" w:themeColor="background1"/>
                <w:sz w:val="20"/>
                <w:szCs w:val="20"/>
              </w:rPr>
            </w:pPr>
            <w:r w:rsidRPr="00662D54">
              <w:rPr>
                <w:rFonts w:ascii="Cambria" w:hAnsi="Cambria"/>
                <w:color w:val="FFFFFF" w:themeColor="background1"/>
                <w:sz w:val="20"/>
                <w:szCs w:val="20"/>
              </w:rPr>
              <w:t xml:space="preserve">Additional information received at the </w:t>
            </w:r>
            <w:r w:rsidR="003771A3" w:rsidRPr="00662D54">
              <w:rPr>
                <w:rFonts w:ascii="Cambria" w:hAnsi="Cambria"/>
                <w:color w:val="FFFFFF" w:themeColor="background1"/>
                <w:sz w:val="20"/>
                <w:szCs w:val="20"/>
              </w:rPr>
              <w:t>s</w:t>
            </w:r>
            <w:r w:rsidRPr="00662D54">
              <w:rPr>
                <w:rFonts w:ascii="Cambria" w:hAnsi="Cambria"/>
                <w:color w:val="FFFFFF" w:themeColor="background1"/>
                <w:sz w:val="20"/>
                <w:szCs w:val="20"/>
              </w:rPr>
              <w:t>tage</w:t>
            </w:r>
            <w:r w:rsidR="003771A3" w:rsidRPr="00662D54">
              <w:rPr>
                <w:rFonts w:ascii="Cambria" w:hAnsi="Cambria"/>
                <w:color w:val="FFFFFF" w:themeColor="background1"/>
                <w:sz w:val="20"/>
                <w:szCs w:val="20"/>
              </w:rPr>
              <w:t xml:space="preserve"> of initial review</w:t>
            </w:r>
            <w:r w:rsidRPr="00662D54">
              <w:rPr>
                <w:rFonts w:ascii="Cambria" w:hAnsi="Cambria"/>
                <w:color w:val="FFFFFF" w:themeColor="background1"/>
                <w:sz w:val="20"/>
                <w:szCs w:val="20"/>
              </w:rPr>
              <w:t>:</w:t>
            </w:r>
          </w:p>
        </w:tc>
        <w:tc>
          <w:tcPr>
            <w:tcW w:w="5670" w:type="dxa"/>
            <w:vAlign w:val="center"/>
          </w:tcPr>
          <w:p w14:paraId="499B90CB" w14:textId="57500C55" w:rsidR="00F621C3" w:rsidRPr="00662D54" w:rsidRDefault="002211CE" w:rsidP="00DF5796">
            <w:pPr>
              <w:jc w:val="both"/>
              <w:rPr>
                <w:rFonts w:ascii="Cambria" w:hAnsi="Cambria"/>
                <w:bCs/>
                <w:sz w:val="20"/>
                <w:szCs w:val="20"/>
              </w:rPr>
            </w:pPr>
            <w:r w:rsidRPr="00662D54">
              <w:rPr>
                <w:rFonts w:ascii="Cambria" w:hAnsi="Cambria"/>
                <w:bCs/>
                <w:sz w:val="20"/>
                <w:szCs w:val="20"/>
              </w:rPr>
              <w:t>April 15, 2019</w:t>
            </w:r>
          </w:p>
        </w:tc>
      </w:tr>
      <w:tr w:rsidR="00F621C3" w:rsidRPr="00662D5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662D54" w:rsidRDefault="00B06BB7" w:rsidP="00B06BB7">
            <w:pPr>
              <w:jc w:val="center"/>
              <w:rPr>
                <w:rFonts w:ascii="Cambria" w:hAnsi="Cambria"/>
                <w:bCs/>
                <w:color w:val="FFFFFF" w:themeColor="background1"/>
                <w:sz w:val="20"/>
                <w:szCs w:val="20"/>
              </w:rPr>
            </w:pPr>
            <w:r w:rsidRPr="00662D54">
              <w:rPr>
                <w:rFonts w:ascii="Cambria" w:hAnsi="Cambria"/>
                <w:color w:val="FFFFFF" w:themeColor="background1"/>
                <w:sz w:val="20"/>
                <w:szCs w:val="20"/>
              </w:rPr>
              <w:t>Notification of the petition to</w:t>
            </w:r>
            <w:r w:rsidR="00F621C3" w:rsidRPr="00662D54">
              <w:rPr>
                <w:rFonts w:ascii="Cambria" w:hAnsi="Cambria"/>
                <w:color w:val="FFFFFF" w:themeColor="background1"/>
                <w:sz w:val="20"/>
                <w:szCs w:val="20"/>
              </w:rPr>
              <w:t xml:space="preserve"> the State:</w:t>
            </w:r>
          </w:p>
        </w:tc>
        <w:tc>
          <w:tcPr>
            <w:tcW w:w="5670" w:type="dxa"/>
            <w:vAlign w:val="center"/>
          </w:tcPr>
          <w:p w14:paraId="22ADBFFE" w14:textId="4AD78715" w:rsidR="00F621C3" w:rsidRPr="00662D54" w:rsidRDefault="002211CE" w:rsidP="00DF5796">
            <w:pPr>
              <w:jc w:val="both"/>
              <w:rPr>
                <w:rFonts w:ascii="Cambria" w:hAnsi="Cambria"/>
                <w:bCs/>
                <w:sz w:val="20"/>
                <w:szCs w:val="20"/>
              </w:rPr>
            </w:pPr>
            <w:r w:rsidRPr="00662D54">
              <w:rPr>
                <w:rFonts w:ascii="Cambria" w:hAnsi="Cambria"/>
                <w:bCs/>
                <w:sz w:val="20"/>
                <w:szCs w:val="20"/>
              </w:rPr>
              <w:t>June 3, 2019</w:t>
            </w:r>
          </w:p>
        </w:tc>
      </w:tr>
      <w:tr w:rsidR="00F621C3" w:rsidRPr="00662D5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662D54" w:rsidRDefault="00F621C3" w:rsidP="00DF5796">
            <w:pPr>
              <w:jc w:val="center"/>
              <w:rPr>
                <w:rFonts w:ascii="Cambria" w:hAnsi="Cambria"/>
                <w:bCs/>
                <w:color w:val="FFFFFF" w:themeColor="background1"/>
                <w:sz w:val="20"/>
                <w:szCs w:val="20"/>
              </w:rPr>
            </w:pPr>
            <w:r w:rsidRPr="00662D54">
              <w:rPr>
                <w:rFonts w:ascii="Cambria" w:hAnsi="Cambria"/>
                <w:color w:val="FFFFFF" w:themeColor="background1"/>
                <w:sz w:val="20"/>
                <w:szCs w:val="20"/>
              </w:rPr>
              <w:t>State’s first response:</w:t>
            </w:r>
          </w:p>
        </w:tc>
        <w:tc>
          <w:tcPr>
            <w:tcW w:w="5670" w:type="dxa"/>
            <w:vAlign w:val="center"/>
          </w:tcPr>
          <w:p w14:paraId="19C5DA57" w14:textId="6502B832" w:rsidR="00F621C3" w:rsidRPr="00662D54" w:rsidRDefault="002211CE" w:rsidP="00DF5796">
            <w:pPr>
              <w:jc w:val="both"/>
              <w:rPr>
                <w:rFonts w:ascii="Cambria" w:hAnsi="Cambria"/>
                <w:bCs/>
                <w:sz w:val="20"/>
                <w:szCs w:val="20"/>
              </w:rPr>
            </w:pPr>
            <w:r w:rsidRPr="00662D54">
              <w:rPr>
                <w:rFonts w:ascii="Cambria" w:hAnsi="Cambria"/>
                <w:bCs/>
                <w:sz w:val="20"/>
                <w:szCs w:val="20"/>
              </w:rPr>
              <w:t>September 27, 2019</w:t>
            </w:r>
          </w:p>
        </w:tc>
      </w:tr>
      <w:tr w:rsidR="003771A3" w:rsidRPr="00662D54"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662D54" w:rsidRDefault="003771A3" w:rsidP="0023351C">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Additional observations from the petition</w:t>
            </w:r>
            <w:r w:rsidR="0023351C" w:rsidRPr="00662D54">
              <w:rPr>
                <w:rFonts w:ascii="Cambria" w:hAnsi="Cambria"/>
                <w:bCs/>
                <w:color w:val="FFFFFF" w:themeColor="background1"/>
                <w:sz w:val="20"/>
                <w:szCs w:val="20"/>
              </w:rPr>
              <w:t>er</w:t>
            </w:r>
            <w:r w:rsidRPr="00662D54">
              <w:rPr>
                <w:rFonts w:ascii="Cambria" w:hAnsi="Cambria"/>
                <w:bCs/>
                <w:color w:val="FFFFFF" w:themeColor="background1"/>
                <w:sz w:val="20"/>
                <w:szCs w:val="20"/>
              </w:rPr>
              <w:t>:</w:t>
            </w:r>
          </w:p>
        </w:tc>
        <w:tc>
          <w:tcPr>
            <w:tcW w:w="5670" w:type="dxa"/>
            <w:vAlign w:val="center"/>
          </w:tcPr>
          <w:p w14:paraId="2A863ACD" w14:textId="73D0CCC1" w:rsidR="003771A3" w:rsidRPr="00662D54" w:rsidRDefault="002211CE" w:rsidP="002211CE">
            <w:pPr>
              <w:jc w:val="both"/>
              <w:rPr>
                <w:rFonts w:ascii="Cambria" w:hAnsi="Cambria"/>
                <w:bCs/>
                <w:sz w:val="20"/>
                <w:szCs w:val="20"/>
              </w:rPr>
            </w:pPr>
            <w:r w:rsidRPr="00662D54">
              <w:rPr>
                <w:rFonts w:ascii="Cambria" w:hAnsi="Cambria"/>
                <w:bCs/>
                <w:sz w:val="20"/>
                <w:szCs w:val="20"/>
              </w:rPr>
              <w:t>April 30, 2020</w:t>
            </w:r>
          </w:p>
        </w:tc>
      </w:tr>
    </w:tbl>
    <w:p w14:paraId="7F88B361" w14:textId="77777777" w:rsidR="00F621C3" w:rsidRPr="00662D54" w:rsidRDefault="00F621C3" w:rsidP="00B36E57">
      <w:pPr>
        <w:spacing w:before="120" w:after="120"/>
        <w:ind w:firstLine="720"/>
        <w:jc w:val="both"/>
        <w:rPr>
          <w:rFonts w:asciiTheme="majorHAnsi" w:hAnsiTheme="majorHAnsi"/>
          <w:b/>
          <w:bCs/>
          <w:sz w:val="20"/>
          <w:szCs w:val="20"/>
        </w:rPr>
      </w:pPr>
      <w:r w:rsidRPr="00662D54">
        <w:rPr>
          <w:rFonts w:asciiTheme="majorHAnsi" w:hAnsiTheme="majorHAnsi"/>
          <w:b/>
          <w:bCs/>
          <w:sz w:val="20"/>
          <w:szCs w:val="20"/>
        </w:rPr>
        <w:t xml:space="preserve">III. </w:t>
      </w:r>
      <w:r w:rsidRPr="00662D5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662D54" w14:paraId="2F81CC8B" w14:textId="77777777" w:rsidTr="00B36E57">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662D54" w:rsidRDefault="00F621C3" w:rsidP="00DF5796">
            <w:pPr>
              <w:jc w:val="center"/>
              <w:rPr>
                <w:rFonts w:ascii="Cambria" w:hAnsi="Cambria"/>
                <w:bCs/>
                <w:i/>
                <w:color w:val="FFFFFF" w:themeColor="background1"/>
                <w:sz w:val="20"/>
                <w:szCs w:val="20"/>
              </w:rPr>
            </w:pPr>
            <w:r w:rsidRPr="00662D54">
              <w:rPr>
                <w:rFonts w:ascii="Cambria" w:hAnsi="Cambria"/>
                <w:bCs/>
                <w:color w:val="FFFFFF" w:themeColor="background1"/>
                <w:sz w:val="20"/>
                <w:szCs w:val="20"/>
              </w:rPr>
              <w:t>Competence</w:t>
            </w:r>
            <w:r w:rsidRPr="00662D54">
              <w:rPr>
                <w:rFonts w:ascii="Cambria" w:hAnsi="Cambria"/>
                <w:bCs/>
                <w:i/>
                <w:color w:val="FFFFFF" w:themeColor="background1"/>
                <w:sz w:val="20"/>
                <w:szCs w:val="20"/>
              </w:rPr>
              <w:t xml:space="preserve"> Ratione personae:</w:t>
            </w:r>
          </w:p>
        </w:tc>
        <w:tc>
          <w:tcPr>
            <w:tcW w:w="5670" w:type="dxa"/>
            <w:tcBorders>
              <w:top w:val="single" w:sz="4" w:space="0" w:color="auto"/>
              <w:bottom w:val="single" w:sz="6" w:space="0" w:color="auto"/>
            </w:tcBorders>
            <w:vAlign w:val="center"/>
          </w:tcPr>
          <w:p w14:paraId="237A8D0C" w14:textId="7DC77F34" w:rsidR="00F621C3" w:rsidRPr="00662D54" w:rsidRDefault="002211CE" w:rsidP="00DF5796">
            <w:pPr>
              <w:rPr>
                <w:rFonts w:asciiTheme="majorHAnsi" w:hAnsiTheme="majorHAnsi"/>
                <w:bCs/>
                <w:sz w:val="20"/>
                <w:szCs w:val="20"/>
              </w:rPr>
            </w:pPr>
            <w:r w:rsidRPr="00662D54">
              <w:rPr>
                <w:rFonts w:asciiTheme="majorHAnsi" w:hAnsiTheme="majorHAnsi"/>
                <w:bCs/>
                <w:sz w:val="20"/>
                <w:szCs w:val="20"/>
              </w:rPr>
              <w:t>Yes</w:t>
            </w:r>
          </w:p>
        </w:tc>
      </w:tr>
      <w:tr w:rsidR="00F621C3" w:rsidRPr="00662D54" w14:paraId="5FE56D1B" w14:textId="77777777" w:rsidTr="00B36E57">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662D54" w:rsidRDefault="00F621C3" w:rsidP="00DF5796">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Competence</w:t>
            </w:r>
            <w:r w:rsidRPr="00662D54">
              <w:rPr>
                <w:rFonts w:ascii="Cambria" w:hAnsi="Cambria"/>
                <w:bCs/>
                <w:i/>
                <w:color w:val="FFFFFF" w:themeColor="background1"/>
                <w:sz w:val="20"/>
                <w:szCs w:val="20"/>
              </w:rPr>
              <w:t xml:space="preserve"> Ratione loci</w:t>
            </w:r>
            <w:r w:rsidRPr="00662D54">
              <w:rPr>
                <w:rFonts w:ascii="Cambria" w:hAnsi="Cambria"/>
                <w:bCs/>
                <w:color w:val="FFFFFF" w:themeColor="background1"/>
                <w:sz w:val="20"/>
                <w:szCs w:val="20"/>
              </w:rPr>
              <w:t>:</w:t>
            </w:r>
          </w:p>
        </w:tc>
        <w:tc>
          <w:tcPr>
            <w:tcW w:w="5670" w:type="dxa"/>
            <w:tcBorders>
              <w:top w:val="single" w:sz="6" w:space="0" w:color="auto"/>
              <w:bottom w:val="single" w:sz="6" w:space="0" w:color="auto"/>
            </w:tcBorders>
            <w:vAlign w:val="center"/>
          </w:tcPr>
          <w:p w14:paraId="48257424" w14:textId="317BA936" w:rsidR="00F621C3" w:rsidRPr="00662D54" w:rsidRDefault="002211CE" w:rsidP="00DF5796">
            <w:pPr>
              <w:rPr>
                <w:rFonts w:asciiTheme="majorHAnsi" w:hAnsiTheme="majorHAnsi"/>
                <w:bCs/>
                <w:sz w:val="20"/>
                <w:szCs w:val="20"/>
              </w:rPr>
            </w:pPr>
            <w:r w:rsidRPr="00662D54">
              <w:rPr>
                <w:rFonts w:asciiTheme="majorHAnsi" w:hAnsiTheme="majorHAnsi"/>
                <w:bCs/>
                <w:sz w:val="20"/>
                <w:szCs w:val="20"/>
              </w:rPr>
              <w:t>Yes</w:t>
            </w:r>
          </w:p>
        </w:tc>
      </w:tr>
      <w:tr w:rsidR="00F621C3" w:rsidRPr="00662D54" w14:paraId="372B5DD8" w14:textId="77777777" w:rsidTr="00B36E57">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662D54" w:rsidRDefault="00F621C3" w:rsidP="00DF5796">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Competence</w:t>
            </w:r>
            <w:r w:rsidRPr="00662D54">
              <w:rPr>
                <w:rFonts w:ascii="Cambria" w:hAnsi="Cambria"/>
                <w:bCs/>
                <w:i/>
                <w:color w:val="FFFFFF" w:themeColor="background1"/>
                <w:sz w:val="20"/>
                <w:szCs w:val="20"/>
              </w:rPr>
              <w:t xml:space="preserve"> Ratione temporis</w:t>
            </w:r>
            <w:r w:rsidRPr="00662D54">
              <w:rPr>
                <w:rFonts w:ascii="Cambria" w:hAnsi="Cambria"/>
                <w:bCs/>
                <w:color w:val="FFFFFF" w:themeColor="background1"/>
                <w:sz w:val="20"/>
                <w:szCs w:val="20"/>
              </w:rPr>
              <w:t>:</w:t>
            </w:r>
          </w:p>
        </w:tc>
        <w:tc>
          <w:tcPr>
            <w:tcW w:w="5670" w:type="dxa"/>
            <w:tcBorders>
              <w:top w:val="single" w:sz="6" w:space="0" w:color="auto"/>
              <w:bottom w:val="single" w:sz="6" w:space="0" w:color="auto"/>
            </w:tcBorders>
            <w:vAlign w:val="center"/>
          </w:tcPr>
          <w:p w14:paraId="74B3F783" w14:textId="3764B73D" w:rsidR="00F621C3" w:rsidRPr="00662D54" w:rsidRDefault="002211CE" w:rsidP="00DF5796">
            <w:pPr>
              <w:rPr>
                <w:rFonts w:asciiTheme="majorHAnsi" w:hAnsiTheme="majorHAnsi"/>
                <w:bCs/>
                <w:sz w:val="20"/>
                <w:szCs w:val="20"/>
              </w:rPr>
            </w:pPr>
            <w:r w:rsidRPr="00662D54">
              <w:rPr>
                <w:rFonts w:asciiTheme="majorHAnsi" w:hAnsiTheme="majorHAnsi"/>
                <w:bCs/>
                <w:sz w:val="20"/>
                <w:szCs w:val="20"/>
              </w:rPr>
              <w:t>Yes</w:t>
            </w:r>
          </w:p>
        </w:tc>
      </w:tr>
      <w:tr w:rsidR="00F621C3" w:rsidRPr="00662D54" w14:paraId="6648704B" w14:textId="77777777" w:rsidTr="00B36E57">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662D54" w:rsidRDefault="00F621C3" w:rsidP="00DF5796">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Competence</w:t>
            </w:r>
            <w:r w:rsidRPr="00662D54">
              <w:rPr>
                <w:rFonts w:ascii="Cambria" w:hAnsi="Cambria"/>
                <w:bCs/>
                <w:i/>
                <w:color w:val="FFFFFF" w:themeColor="background1"/>
                <w:sz w:val="20"/>
                <w:szCs w:val="20"/>
              </w:rPr>
              <w:t xml:space="preserve"> Ratione materiae</w:t>
            </w:r>
            <w:r w:rsidRPr="00662D54">
              <w:rPr>
                <w:rFonts w:ascii="Cambria" w:hAnsi="Cambria"/>
                <w:bCs/>
                <w:color w:val="FFFFFF" w:themeColor="background1"/>
                <w:sz w:val="20"/>
                <w:szCs w:val="20"/>
              </w:rPr>
              <w:t>:</w:t>
            </w:r>
          </w:p>
        </w:tc>
        <w:tc>
          <w:tcPr>
            <w:tcW w:w="5670" w:type="dxa"/>
            <w:tcBorders>
              <w:top w:val="single" w:sz="6" w:space="0" w:color="auto"/>
            </w:tcBorders>
            <w:vAlign w:val="center"/>
          </w:tcPr>
          <w:p w14:paraId="64B3F199" w14:textId="67BBEED2" w:rsidR="00F621C3" w:rsidRPr="00662D54" w:rsidRDefault="002211CE" w:rsidP="00DF5796">
            <w:pPr>
              <w:jc w:val="both"/>
              <w:rPr>
                <w:rFonts w:asciiTheme="majorHAnsi" w:hAnsiTheme="majorHAnsi"/>
                <w:bCs/>
                <w:sz w:val="20"/>
                <w:szCs w:val="20"/>
              </w:rPr>
            </w:pPr>
            <w:r w:rsidRPr="00662D54">
              <w:rPr>
                <w:rFonts w:asciiTheme="majorHAnsi" w:hAnsiTheme="majorHAnsi"/>
                <w:bCs/>
                <w:sz w:val="20"/>
                <w:szCs w:val="20"/>
              </w:rPr>
              <w:t>Yes</w:t>
            </w:r>
            <w:r w:rsidR="00B36E57" w:rsidRPr="00662D54">
              <w:rPr>
                <w:rFonts w:asciiTheme="majorHAnsi" w:hAnsiTheme="majorHAnsi"/>
                <w:bCs/>
                <w:sz w:val="20"/>
                <w:szCs w:val="20"/>
              </w:rPr>
              <w:t>, deposit of the instrument of ratification of the American Declaration on July 19, 1978</w:t>
            </w:r>
          </w:p>
        </w:tc>
      </w:tr>
    </w:tbl>
    <w:p w14:paraId="0408D4CD" w14:textId="54A61356" w:rsidR="00F621C3" w:rsidRPr="00662D54" w:rsidRDefault="00F621C3" w:rsidP="00B36E57">
      <w:pPr>
        <w:spacing w:before="120" w:after="120"/>
        <w:ind w:firstLine="720"/>
        <w:jc w:val="both"/>
        <w:rPr>
          <w:rFonts w:asciiTheme="majorHAnsi" w:hAnsiTheme="majorHAnsi"/>
          <w:b/>
          <w:bCs/>
          <w:sz w:val="20"/>
          <w:szCs w:val="20"/>
        </w:rPr>
      </w:pPr>
      <w:r w:rsidRPr="00662D54">
        <w:rPr>
          <w:rFonts w:asciiTheme="majorHAnsi" w:hAnsiTheme="majorHAnsi"/>
          <w:b/>
          <w:bCs/>
          <w:sz w:val="20"/>
          <w:szCs w:val="20"/>
        </w:rPr>
        <w:t xml:space="preserve">IV. </w:t>
      </w:r>
      <w:r w:rsidRPr="00662D54">
        <w:rPr>
          <w:rFonts w:asciiTheme="majorHAnsi" w:hAnsiTheme="majorHAnsi"/>
          <w:b/>
          <w:bCs/>
          <w:sz w:val="20"/>
          <w:szCs w:val="20"/>
        </w:rPr>
        <w:tab/>
        <w:t xml:space="preserve">DUPLICATION OF PROCEDURES AND INTERNATIONAL </w:t>
      </w:r>
      <w:r w:rsidRPr="00662D54">
        <w:rPr>
          <w:rFonts w:asciiTheme="majorHAnsi" w:hAnsiTheme="majorHAnsi"/>
          <w:b/>
          <w:bCs/>
          <w:i/>
          <w:sz w:val="20"/>
          <w:szCs w:val="20"/>
        </w:rPr>
        <w:t>RES JUDICATA</w:t>
      </w:r>
      <w:r w:rsidRPr="00662D5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662D5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662D54" w:rsidRDefault="00F621C3" w:rsidP="00DF5796">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 xml:space="preserve">Duplication of procedures and International </w:t>
            </w:r>
            <w:r w:rsidRPr="00662D54">
              <w:rPr>
                <w:rFonts w:ascii="Cambria" w:hAnsi="Cambria"/>
                <w:bCs/>
                <w:i/>
                <w:color w:val="FFFFFF" w:themeColor="background1"/>
                <w:sz w:val="20"/>
                <w:szCs w:val="20"/>
              </w:rPr>
              <w:t>res judicata</w:t>
            </w:r>
            <w:r w:rsidRPr="00662D54">
              <w:rPr>
                <w:rFonts w:ascii="Cambria" w:hAnsi="Cambria"/>
                <w:bCs/>
                <w:color w:val="FFFFFF" w:themeColor="background1"/>
                <w:sz w:val="20"/>
                <w:szCs w:val="20"/>
              </w:rPr>
              <w:t>:</w:t>
            </w:r>
          </w:p>
        </w:tc>
        <w:tc>
          <w:tcPr>
            <w:tcW w:w="5670" w:type="dxa"/>
            <w:vAlign w:val="center"/>
          </w:tcPr>
          <w:p w14:paraId="4773CD23" w14:textId="0CE2DAF8" w:rsidR="00F621C3" w:rsidRPr="00662D54" w:rsidRDefault="00B36E57" w:rsidP="00DF5796">
            <w:pPr>
              <w:jc w:val="both"/>
              <w:rPr>
                <w:rFonts w:ascii="Cambria" w:hAnsi="Cambria"/>
                <w:bCs/>
                <w:sz w:val="20"/>
                <w:szCs w:val="20"/>
              </w:rPr>
            </w:pPr>
            <w:r w:rsidRPr="00662D54">
              <w:rPr>
                <w:rFonts w:ascii="Cambria" w:hAnsi="Cambria"/>
                <w:bCs/>
                <w:sz w:val="20"/>
                <w:szCs w:val="20"/>
              </w:rPr>
              <w:t>No</w:t>
            </w:r>
          </w:p>
        </w:tc>
      </w:tr>
      <w:tr w:rsidR="00F621C3" w:rsidRPr="00662D5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662D54" w:rsidRDefault="00F621C3" w:rsidP="00DF5796">
            <w:pPr>
              <w:jc w:val="center"/>
              <w:rPr>
                <w:rFonts w:ascii="Cambria" w:hAnsi="Cambria"/>
                <w:bCs/>
                <w:i/>
                <w:color w:val="FFFFFF" w:themeColor="background1"/>
                <w:sz w:val="20"/>
                <w:szCs w:val="20"/>
              </w:rPr>
            </w:pPr>
            <w:r w:rsidRPr="00662D54">
              <w:rPr>
                <w:rFonts w:ascii="Cambria" w:hAnsi="Cambria"/>
                <w:bCs/>
                <w:color w:val="FFFFFF" w:themeColor="background1"/>
                <w:sz w:val="20"/>
                <w:szCs w:val="20"/>
              </w:rPr>
              <w:t>Rights declared admissible</w:t>
            </w:r>
          </w:p>
        </w:tc>
        <w:tc>
          <w:tcPr>
            <w:tcW w:w="5670" w:type="dxa"/>
            <w:vAlign w:val="center"/>
          </w:tcPr>
          <w:p w14:paraId="33BE4040" w14:textId="314AC294" w:rsidR="00F621C3" w:rsidRPr="00662D54" w:rsidRDefault="00B36E57" w:rsidP="00B36E57">
            <w:pPr>
              <w:jc w:val="both"/>
              <w:rPr>
                <w:rFonts w:ascii="Cambria" w:hAnsi="Cambria"/>
                <w:bCs/>
                <w:sz w:val="20"/>
                <w:szCs w:val="20"/>
              </w:rPr>
            </w:pPr>
            <w:r w:rsidRPr="00662D54">
              <w:rPr>
                <w:rFonts w:ascii="Cambria" w:hAnsi="Cambria"/>
                <w:bCs/>
                <w:sz w:val="20"/>
                <w:szCs w:val="20"/>
              </w:rPr>
              <w:t>Articles 4 (life), 5 (humane treatment), 8 (fair trial) and 25 (judicial protection) of the American Convention, in relation with its Articles 1.1 (obligation to respect rights) and 2 (domestic legal effects)</w:t>
            </w:r>
          </w:p>
        </w:tc>
      </w:tr>
      <w:tr w:rsidR="00F621C3" w:rsidRPr="00662D5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662D54" w:rsidRDefault="00F621C3" w:rsidP="00DF5796">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Exhaustion of domestic remedies or applicability of an exception to the rule:</w:t>
            </w:r>
          </w:p>
        </w:tc>
        <w:tc>
          <w:tcPr>
            <w:tcW w:w="5670" w:type="dxa"/>
            <w:vAlign w:val="center"/>
          </w:tcPr>
          <w:p w14:paraId="432DC56B" w14:textId="7C5295FF" w:rsidR="00F621C3" w:rsidRPr="00662D54" w:rsidRDefault="00695400" w:rsidP="00DF5796">
            <w:pPr>
              <w:rPr>
                <w:rFonts w:ascii="Cambria" w:hAnsi="Cambria"/>
                <w:bCs/>
                <w:sz w:val="20"/>
                <w:szCs w:val="20"/>
              </w:rPr>
            </w:pPr>
            <w:r w:rsidRPr="00662D54">
              <w:rPr>
                <w:rFonts w:ascii="Cambria" w:hAnsi="Cambria"/>
                <w:bCs/>
                <w:sz w:val="20"/>
                <w:szCs w:val="20"/>
              </w:rPr>
              <w:t>Yes, e</w:t>
            </w:r>
            <w:r w:rsidR="00B36E57" w:rsidRPr="00662D54">
              <w:rPr>
                <w:rFonts w:ascii="Cambria" w:hAnsi="Cambria"/>
                <w:bCs/>
                <w:sz w:val="20"/>
                <w:szCs w:val="20"/>
              </w:rPr>
              <w:t>xception</w:t>
            </w:r>
            <w:r w:rsidR="00CC39DA" w:rsidRPr="00662D54">
              <w:rPr>
                <w:rFonts w:ascii="Cambria" w:hAnsi="Cambria"/>
                <w:bCs/>
                <w:sz w:val="20"/>
                <w:szCs w:val="20"/>
              </w:rPr>
              <w:t>s</w:t>
            </w:r>
            <w:r w:rsidR="00B36E57" w:rsidRPr="00662D54">
              <w:rPr>
                <w:rFonts w:ascii="Cambria" w:hAnsi="Cambria"/>
                <w:bCs/>
                <w:sz w:val="20"/>
                <w:szCs w:val="20"/>
              </w:rPr>
              <w:t xml:space="preserve"> set forth in Article 46.2(a)</w:t>
            </w:r>
            <w:r w:rsidR="00CC39DA" w:rsidRPr="00662D54">
              <w:rPr>
                <w:rFonts w:ascii="Cambria" w:hAnsi="Cambria"/>
                <w:bCs/>
                <w:sz w:val="20"/>
                <w:szCs w:val="20"/>
              </w:rPr>
              <w:t xml:space="preserve"> and (c) apply</w:t>
            </w:r>
          </w:p>
        </w:tc>
      </w:tr>
      <w:tr w:rsidR="00F621C3" w:rsidRPr="00662D5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662D54" w:rsidRDefault="00F621C3" w:rsidP="00DF5796">
            <w:pPr>
              <w:jc w:val="center"/>
              <w:rPr>
                <w:rFonts w:ascii="Cambria" w:hAnsi="Cambria"/>
                <w:bCs/>
                <w:color w:val="FFFFFF" w:themeColor="background1"/>
                <w:sz w:val="20"/>
                <w:szCs w:val="20"/>
              </w:rPr>
            </w:pPr>
            <w:r w:rsidRPr="00662D54">
              <w:rPr>
                <w:rFonts w:ascii="Cambria" w:hAnsi="Cambria"/>
                <w:bCs/>
                <w:color w:val="FFFFFF" w:themeColor="background1"/>
                <w:sz w:val="20"/>
                <w:szCs w:val="20"/>
              </w:rPr>
              <w:t>Timeliness of the petition:</w:t>
            </w:r>
          </w:p>
        </w:tc>
        <w:tc>
          <w:tcPr>
            <w:tcW w:w="5670" w:type="dxa"/>
            <w:vAlign w:val="center"/>
          </w:tcPr>
          <w:p w14:paraId="6A26CCE9" w14:textId="6DC7FC65" w:rsidR="00F621C3" w:rsidRPr="00662D54" w:rsidRDefault="00B36E57" w:rsidP="00DF5796">
            <w:pPr>
              <w:rPr>
                <w:rFonts w:asciiTheme="majorHAnsi" w:hAnsiTheme="majorHAnsi"/>
                <w:bCs/>
                <w:sz w:val="20"/>
                <w:szCs w:val="20"/>
              </w:rPr>
            </w:pPr>
            <w:r w:rsidRPr="00662D54">
              <w:rPr>
                <w:rFonts w:asciiTheme="majorHAnsi" w:hAnsiTheme="majorHAnsi"/>
                <w:bCs/>
                <w:sz w:val="20"/>
                <w:szCs w:val="20"/>
              </w:rPr>
              <w:t>Yes, in terms of Section VI</w:t>
            </w:r>
          </w:p>
        </w:tc>
      </w:tr>
    </w:tbl>
    <w:p w14:paraId="629E2DE8" w14:textId="76A8BFF7" w:rsidR="00F621C3" w:rsidRPr="00662D54" w:rsidRDefault="00F621C3" w:rsidP="00B36E57">
      <w:pPr>
        <w:spacing w:before="120" w:after="120"/>
        <w:ind w:firstLine="720"/>
        <w:jc w:val="both"/>
        <w:rPr>
          <w:rFonts w:asciiTheme="majorHAnsi" w:hAnsiTheme="majorHAnsi"/>
          <w:b/>
          <w:sz w:val="20"/>
          <w:szCs w:val="20"/>
        </w:rPr>
      </w:pPr>
      <w:r w:rsidRPr="00662D54">
        <w:rPr>
          <w:rFonts w:asciiTheme="majorHAnsi" w:hAnsiTheme="majorHAnsi"/>
          <w:b/>
          <w:sz w:val="20"/>
          <w:szCs w:val="20"/>
        </w:rPr>
        <w:t xml:space="preserve">V. </w:t>
      </w:r>
      <w:r w:rsidRPr="00662D54">
        <w:rPr>
          <w:rFonts w:asciiTheme="majorHAnsi" w:hAnsiTheme="majorHAnsi"/>
          <w:b/>
          <w:sz w:val="20"/>
          <w:szCs w:val="20"/>
        </w:rPr>
        <w:tab/>
      </w:r>
      <w:r w:rsidR="00706858" w:rsidRPr="00662D54">
        <w:rPr>
          <w:rFonts w:asciiTheme="majorHAnsi" w:hAnsiTheme="majorHAnsi"/>
          <w:b/>
          <w:sz w:val="20"/>
          <w:szCs w:val="20"/>
        </w:rPr>
        <w:t xml:space="preserve">ALLEGED </w:t>
      </w:r>
      <w:r w:rsidRPr="00662D54">
        <w:rPr>
          <w:rFonts w:asciiTheme="majorHAnsi" w:hAnsiTheme="majorHAnsi"/>
          <w:b/>
          <w:sz w:val="20"/>
          <w:szCs w:val="20"/>
        </w:rPr>
        <w:t xml:space="preserve">FACTS </w:t>
      </w:r>
    </w:p>
    <w:p w14:paraId="5F7F16F9" w14:textId="21D8C336" w:rsidR="00444243" w:rsidRPr="00662D54" w:rsidRDefault="00444243" w:rsidP="00B36E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 xml:space="preserve">The petitioners denounce the extrajudicial execution of the alleged victim, Paul Richard Brown, by </w:t>
      </w:r>
      <w:r w:rsidR="00842F31" w:rsidRPr="00662D54">
        <w:rPr>
          <w:rFonts w:ascii="Cambria" w:hAnsi="Cambria"/>
          <w:sz w:val="20"/>
          <w:szCs w:val="20"/>
        </w:rPr>
        <w:t>a member</w:t>
      </w:r>
      <w:r w:rsidRPr="00662D54">
        <w:rPr>
          <w:rFonts w:ascii="Cambria" w:hAnsi="Cambria"/>
          <w:sz w:val="20"/>
          <w:szCs w:val="20"/>
        </w:rPr>
        <w:t xml:space="preserve"> of the Jamaica Constabulary Forces </w:t>
      </w:r>
      <w:r w:rsidR="00F80B71" w:rsidRPr="00662D54">
        <w:rPr>
          <w:rFonts w:asciiTheme="majorHAnsi" w:hAnsiTheme="majorHAnsi"/>
          <w:sz w:val="20"/>
          <w:szCs w:val="20"/>
        </w:rPr>
        <w:t xml:space="preserve">(hereinafter JCF) </w:t>
      </w:r>
      <w:r w:rsidRPr="00662D54">
        <w:rPr>
          <w:rFonts w:ascii="Cambria" w:hAnsi="Cambria"/>
          <w:sz w:val="20"/>
          <w:szCs w:val="20"/>
        </w:rPr>
        <w:t>on January 5, 2009, and the failure of the State to carry out proper, timely and diligent investigation and prosecution.</w:t>
      </w:r>
      <w:r w:rsidR="00A851EA" w:rsidRPr="00662D54">
        <w:rPr>
          <w:rFonts w:asciiTheme="majorHAnsi" w:hAnsiTheme="majorHAnsi"/>
          <w:sz w:val="20"/>
          <w:szCs w:val="20"/>
        </w:rPr>
        <w:t xml:space="preserve"> They condemn a widespread pattern of extrajudicial executions</w:t>
      </w:r>
      <w:r w:rsidR="00F80B71" w:rsidRPr="00662D54">
        <w:rPr>
          <w:rFonts w:asciiTheme="majorHAnsi" w:hAnsiTheme="majorHAnsi"/>
          <w:sz w:val="20"/>
          <w:szCs w:val="20"/>
        </w:rPr>
        <w:t xml:space="preserve"> by security forces members</w:t>
      </w:r>
      <w:r w:rsidR="00A851EA" w:rsidRPr="00662D54">
        <w:rPr>
          <w:rFonts w:asciiTheme="majorHAnsi" w:hAnsiTheme="majorHAnsi"/>
          <w:sz w:val="20"/>
          <w:szCs w:val="20"/>
        </w:rPr>
        <w:t xml:space="preserve"> in Jamaica and structural defects in the criminal investigation of these incidents, resulting in a virtually absolute impunity for these killings.</w:t>
      </w:r>
      <w:r w:rsidR="00A851EA" w:rsidRPr="00662D54">
        <w:rPr>
          <w:rStyle w:val="FootnoteReference"/>
          <w:rFonts w:asciiTheme="majorHAnsi" w:hAnsiTheme="majorHAnsi"/>
          <w:sz w:val="20"/>
          <w:szCs w:val="20"/>
        </w:rPr>
        <w:footnoteReference w:id="6"/>
      </w:r>
    </w:p>
    <w:p w14:paraId="5C97D97D" w14:textId="30341287" w:rsidR="00412950" w:rsidRPr="00662D54" w:rsidRDefault="00444243" w:rsidP="00B36E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lastRenderedPageBreak/>
        <w:t xml:space="preserve">The petitioners </w:t>
      </w:r>
      <w:r w:rsidR="00DC73F8" w:rsidRPr="00662D54">
        <w:rPr>
          <w:rFonts w:ascii="Cambria" w:hAnsi="Cambria"/>
          <w:sz w:val="20"/>
          <w:szCs w:val="20"/>
        </w:rPr>
        <w:t>claim</w:t>
      </w:r>
      <w:r w:rsidRPr="00662D54">
        <w:rPr>
          <w:rFonts w:ascii="Cambria" w:hAnsi="Cambria"/>
          <w:sz w:val="20"/>
          <w:szCs w:val="20"/>
        </w:rPr>
        <w:t xml:space="preserve"> that </w:t>
      </w:r>
      <w:r w:rsidR="00FF2A5F" w:rsidRPr="00662D54">
        <w:rPr>
          <w:rFonts w:ascii="Cambria" w:hAnsi="Cambria"/>
          <w:sz w:val="20"/>
          <w:szCs w:val="20"/>
        </w:rPr>
        <w:t>t</w:t>
      </w:r>
      <w:r w:rsidR="00FF2A5F" w:rsidRPr="00662D54">
        <w:rPr>
          <w:rFonts w:asciiTheme="majorHAnsi" w:hAnsiTheme="majorHAnsi"/>
          <w:sz w:val="20"/>
          <w:szCs w:val="20"/>
        </w:rPr>
        <w:t xml:space="preserve">he </w:t>
      </w:r>
      <w:r w:rsidR="00A23C94" w:rsidRPr="00662D54">
        <w:rPr>
          <w:rFonts w:asciiTheme="majorHAnsi" w:hAnsiTheme="majorHAnsi"/>
          <w:sz w:val="20"/>
          <w:szCs w:val="20"/>
        </w:rPr>
        <w:t>JCF</w:t>
      </w:r>
      <w:r w:rsidR="00FF2A5F" w:rsidRPr="00662D54">
        <w:rPr>
          <w:rFonts w:asciiTheme="majorHAnsi" w:hAnsiTheme="majorHAnsi"/>
          <w:sz w:val="20"/>
          <w:szCs w:val="20"/>
        </w:rPr>
        <w:t xml:space="preserve"> is</w:t>
      </w:r>
      <w:r w:rsidR="0057084C" w:rsidRPr="00662D54">
        <w:rPr>
          <w:rFonts w:asciiTheme="majorHAnsi" w:hAnsiTheme="majorHAnsi"/>
          <w:sz w:val="20"/>
          <w:szCs w:val="20"/>
        </w:rPr>
        <w:t xml:space="preserve"> one of Jamaica’s security forces, </w:t>
      </w:r>
      <w:r w:rsidR="00861458" w:rsidRPr="00662D54">
        <w:rPr>
          <w:rFonts w:asciiTheme="majorHAnsi" w:hAnsiTheme="majorHAnsi"/>
          <w:sz w:val="20"/>
          <w:szCs w:val="20"/>
        </w:rPr>
        <w:t>and allegedly amongst the deadliest in the world per capita.</w:t>
      </w:r>
      <w:r w:rsidR="00861458" w:rsidRPr="00662D54">
        <w:rPr>
          <w:rStyle w:val="FootnoteReference"/>
          <w:rFonts w:asciiTheme="majorHAnsi" w:hAnsiTheme="majorHAnsi"/>
          <w:sz w:val="20"/>
          <w:szCs w:val="20"/>
        </w:rPr>
        <w:footnoteReference w:id="7"/>
      </w:r>
      <w:r w:rsidR="00861458" w:rsidRPr="00662D54">
        <w:rPr>
          <w:rFonts w:asciiTheme="majorHAnsi" w:hAnsiTheme="majorHAnsi"/>
          <w:sz w:val="20"/>
          <w:szCs w:val="20"/>
        </w:rPr>
        <w:t xml:space="preserve"> They submit </w:t>
      </w:r>
      <w:r w:rsidR="00861458" w:rsidRPr="00662D54">
        <w:rPr>
          <w:rFonts w:ascii="Cambria" w:hAnsi="Cambria"/>
          <w:sz w:val="20"/>
          <w:szCs w:val="20"/>
        </w:rPr>
        <w:t>that</w:t>
      </w:r>
      <w:r w:rsidRPr="00662D54">
        <w:rPr>
          <w:rFonts w:ascii="Cambria" w:hAnsi="Cambria"/>
          <w:sz w:val="20"/>
          <w:szCs w:val="20"/>
        </w:rPr>
        <w:t xml:space="preserve"> while the alleged victim was driving his commercial bus</w:t>
      </w:r>
      <w:r w:rsidR="008372CA" w:rsidRPr="00662D54">
        <w:rPr>
          <w:rFonts w:ascii="Cambria" w:hAnsi="Cambria"/>
          <w:sz w:val="20"/>
          <w:szCs w:val="20"/>
        </w:rPr>
        <w:t>, with passengers</w:t>
      </w:r>
      <w:r w:rsidRPr="00662D54">
        <w:rPr>
          <w:rFonts w:ascii="Cambria" w:hAnsi="Cambria"/>
          <w:sz w:val="20"/>
          <w:szCs w:val="20"/>
        </w:rPr>
        <w:t>, a</w:t>
      </w:r>
      <w:r w:rsidR="00766282" w:rsidRPr="00662D54">
        <w:rPr>
          <w:rFonts w:ascii="Cambria" w:hAnsi="Cambria"/>
          <w:sz w:val="20"/>
          <w:szCs w:val="20"/>
        </w:rPr>
        <w:t>n off duty</w:t>
      </w:r>
      <w:r w:rsidRPr="00662D54">
        <w:rPr>
          <w:rFonts w:ascii="Cambria" w:hAnsi="Cambria"/>
          <w:sz w:val="20"/>
          <w:szCs w:val="20"/>
        </w:rPr>
        <w:t xml:space="preserve"> member of the</w:t>
      </w:r>
      <w:r w:rsidR="00A851EA" w:rsidRPr="00662D54">
        <w:rPr>
          <w:rFonts w:ascii="Cambria" w:hAnsi="Cambria"/>
          <w:sz w:val="20"/>
          <w:szCs w:val="20"/>
        </w:rPr>
        <w:t xml:space="preserve"> </w:t>
      </w:r>
      <w:r w:rsidR="00A23C94" w:rsidRPr="00662D54">
        <w:rPr>
          <w:rFonts w:ascii="Cambria" w:hAnsi="Cambria"/>
          <w:sz w:val="20"/>
          <w:szCs w:val="20"/>
        </w:rPr>
        <w:t>JCF</w:t>
      </w:r>
      <w:r w:rsidR="00861458" w:rsidRPr="00662D54">
        <w:rPr>
          <w:rFonts w:ascii="Cambria" w:hAnsi="Cambria"/>
          <w:sz w:val="20"/>
          <w:szCs w:val="20"/>
        </w:rPr>
        <w:t xml:space="preserve"> </w:t>
      </w:r>
      <w:r w:rsidRPr="00662D54">
        <w:rPr>
          <w:rFonts w:ascii="Cambria" w:hAnsi="Cambria"/>
          <w:sz w:val="20"/>
          <w:szCs w:val="20"/>
        </w:rPr>
        <w:t>pulled up</w:t>
      </w:r>
      <w:r w:rsidR="00A851EA" w:rsidRPr="00662D54">
        <w:rPr>
          <w:rFonts w:ascii="Cambria" w:hAnsi="Cambria"/>
          <w:sz w:val="20"/>
          <w:szCs w:val="20"/>
        </w:rPr>
        <w:t xml:space="preserve"> beside him in a</w:t>
      </w:r>
      <w:r w:rsidR="00DB5DF5" w:rsidRPr="00662D54">
        <w:rPr>
          <w:rFonts w:ascii="Cambria" w:hAnsi="Cambria"/>
          <w:sz w:val="20"/>
          <w:szCs w:val="20"/>
        </w:rPr>
        <w:t xml:space="preserve"> white Mazda</w:t>
      </w:r>
      <w:r w:rsidR="00A851EA" w:rsidRPr="00662D54">
        <w:rPr>
          <w:rFonts w:ascii="Cambria" w:hAnsi="Cambria"/>
          <w:sz w:val="20"/>
          <w:szCs w:val="20"/>
        </w:rPr>
        <w:t xml:space="preserve"> car, got out of it, came up to the alleged victim’s door and shot him in his head. </w:t>
      </w:r>
      <w:r w:rsidR="00766282" w:rsidRPr="00662D54">
        <w:rPr>
          <w:rFonts w:ascii="Cambria" w:hAnsi="Cambria"/>
          <w:sz w:val="20"/>
          <w:szCs w:val="20"/>
        </w:rPr>
        <w:t>The conductor</w:t>
      </w:r>
      <w:r w:rsidR="00DB5DF5" w:rsidRPr="00662D54">
        <w:rPr>
          <w:rFonts w:ascii="Cambria" w:hAnsi="Cambria"/>
          <w:sz w:val="20"/>
          <w:szCs w:val="20"/>
        </w:rPr>
        <w:t xml:space="preserve"> of the bus</w:t>
      </w:r>
      <w:r w:rsidR="00FF2A5F" w:rsidRPr="00662D54">
        <w:rPr>
          <w:rStyle w:val="FootnoteReference"/>
          <w:rFonts w:ascii="Cambria" w:hAnsi="Cambria"/>
          <w:sz w:val="20"/>
          <w:szCs w:val="20"/>
        </w:rPr>
        <w:footnoteReference w:id="8"/>
      </w:r>
      <w:r w:rsidR="00FF2A5F" w:rsidRPr="00662D54">
        <w:rPr>
          <w:rFonts w:ascii="Cambria" w:hAnsi="Cambria"/>
          <w:sz w:val="20"/>
          <w:szCs w:val="20"/>
        </w:rPr>
        <w:t>, who accompanied the allege</w:t>
      </w:r>
      <w:r w:rsidR="00346F4D" w:rsidRPr="00662D54">
        <w:rPr>
          <w:rFonts w:ascii="Cambria" w:hAnsi="Cambria"/>
          <w:sz w:val="20"/>
          <w:szCs w:val="20"/>
        </w:rPr>
        <w:t>d</w:t>
      </w:r>
      <w:r w:rsidR="00FF2A5F" w:rsidRPr="00662D54">
        <w:rPr>
          <w:rFonts w:ascii="Cambria" w:hAnsi="Cambria"/>
          <w:sz w:val="20"/>
          <w:szCs w:val="20"/>
        </w:rPr>
        <w:t xml:space="preserve"> victim at the time </w:t>
      </w:r>
      <w:r w:rsidR="00DB5DF5" w:rsidRPr="00662D54">
        <w:rPr>
          <w:rFonts w:ascii="Cambria" w:hAnsi="Cambria"/>
          <w:sz w:val="20"/>
          <w:szCs w:val="20"/>
        </w:rPr>
        <w:t>explained</w:t>
      </w:r>
      <w:r w:rsidR="00B627FB" w:rsidRPr="00662D54">
        <w:rPr>
          <w:rFonts w:ascii="Cambria" w:hAnsi="Cambria"/>
          <w:sz w:val="20"/>
          <w:szCs w:val="20"/>
        </w:rPr>
        <w:t xml:space="preserve"> that</w:t>
      </w:r>
      <w:r w:rsidR="00766282" w:rsidRPr="00662D54">
        <w:rPr>
          <w:rFonts w:ascii="Cambria" w:hAnsi="Cambria"/>
          <w:sz w:val="20"/>
          <w:szCs w:val="20"/>
        </w:rPr>
        <w:t xml:space="preserve"> he noticed a white car with tinted window on their left at an earlier light stop, and saw it again when they stopped to pick up a passe</w:t>
      </w:r>
      <w:r w:rsidR="00412950" w:rsidRPr="00662D54">
        <w:rPr>
          <w:rFonts w:ascii="Cambria" w:hAnsi="Cambria"/>
          <w:sz w:val="20"/>
          <w:szCs w:val="20"/>
        </w:rPr>
        <w:t>nger. The car followed them and when the bus had to do another stop, it came around its right side and blocked the bus from moving forward. The conductor then saw the car driver</w:t>
      </w:r>
      <w:r w:rsidR="00B627FB" w:rsidRPr="00662D54">
        <w:rPr>
          <w:rFonts w:ascii="Cambria" w:hAnsi="Cambria"/>
          <w:sz w:val="20"/>
          <w:szCs w:val="20"/>
        </w:rPr>
        <w:t xml:space="preserve">, later identified as Officer Owen Montague, </w:t>
      </w:r>
      <w:r w:rsidR="00412950" w:rsidRPr="00662D54">
        <w:rPr>
          <w:rFonts w:ascii="Cambria" w:hAnsi="Cambria"/>
          <w:sz w:val="20"/>
          <w:szCs w:val="20"/>
        </w:rPr>
        <w:t xml:space="preserve">get out of his vehicle and come towards the bus with a gun in his hand. </w:t>
      </w:r>
      <w:r w:rsidR="008372CA" w:rsidRPr="00662D54">
        <w:rPr>
          <w:rFonts w:ascii="Cambria" w:hAnsi="Cambria"/>
          <w:sz w:val="20"/>
          <w:szCs w:val="20"/>
        </w:rPr>
        <w:t>Without saying a word, h</w:t>
      </w:r>
      <w:r w:rsidR="00412950" w:rsidRPr="00662D54">
        <w:rPr>
          <w:rFonts w:ascii="Cambria" w:hAnsi="Cambria"/>
          <w:sz w:val="20"/>
          <w:szCs w:val="20"/>
        </w:rPr>
        <w:t>e then shot the alleged victim and drove off. The conductor took the alleged victim to Kingston Public Hospital, where he was pronounced dead on arrival.</w:t>
      </w:r>
      <w:r w:rsidR="008054F7" w:rsidRPr="00662D54">
        <w:rPr>
          <w:rFonts w:ascii="Cambria" w:hAnsi="Cambria"/>
          <w:sz w:val="20"/>
          <w:szCs w:val="20"/>
        </w:rPr>
        <w:t xml:space="preserve"> The petitioners indicate that the police version of the events contradicts </w:t>
      </w:r>
      <w:r w:rsidR="008372CA" w:rsidRPr="00662D54">
        <w:rPr>
          <w:rFonts w:ascii="Cambria" w:hAnsi="Cambria"/>
          <w:sz w:val="20"/>
          <w:szCs w:val="20"/>
        </w:rPr>
        <w:t>this</w:t>
      </w:r>
      <w:r w:rsidR="008054F7" w:rsidRPr="00662D54">
        <w:rPr>
          <w:rFonts w:ascii="Cambria" w:hAnsi="Cambria"/>
          <w:sz w:val="20"/>
          <w:szCs w:val="20"/>
        </w:rPr>
        <w:t xml:space="preserve"> version of events. According to </w:t>
      </w:r>
      <w:r w:rsidR="00DC73F8" w:rsidRPr="00662D54">
        <w:rPr>
          <w:rFonts w:ascii="Cambria" w:hAnsi="Cambria"/>
          <w:sz w:val="20"/>
          <w:szCs w:val="20"/>
        </w:rPr>
        <w:t>the police</w:t>
      </w:r>
      <w:r w:rsidR="008054F7" w:rsidRPr="00662D54">
        <w:rPr>
          <w:rFonts w:ascii="Cambria" w:hAnsi="Cambria"/>
          <w:sz w:val="20"/>
          <w:szCs w:val="20"/>
        </w:rPr>
        <w:t xml:space="preserve">, Mr. Brown's bus </w:t>
      </w:r>
      <w:r w:rsidR="00DC73F8" w:rsidRPr="00662D54">
        <w:rPr>
          <w:rFonts w:ascii="Cambria" w:hAnsi="Cambria"/>
          <w:sz w:val="20"/>
          <w:szCs w:val="20"/>
        </w:rPr>
        <w:t xml:space="preserve">would have </w:t>
      </w:r>
      <w:r w:rsidR="008054F7" w:rsidRPr="00662D54">
        <w:rPr>
          <w:rFonts w:ascii="Cambria" w:hAnsi="Cambria"/>
          <w:sz w:val="20"/>
          <w:szCs w:val="20"/>
        </w:rPr>
        <w:t xml:space="preserve">collided with Officer Montague's white car in the left rear and </w:t>
      </w:r>
      <w:r w:rsidR="008372CA" w:rsidRPr="00662D54">
        <w:rPr>
          <w:rFonts w:ascii="Cambria" w:hAnsi="Cambria"/>
          <w:sz w:val="20"/>
          <w:szCs w:val="20"/>
        </w:rPr>
        <w:t xml:space="preserve">then </w:t>
      </w:r>
      <w:r w:rsidR="008054F7" w:rsidRPr="00662D54">
        <w:rPr>
          <w:rFonts w:ascii="Cambria" w:hAnsi="Cambria"/>
          <w:sz w:val="20"/>
          <w:szCs w:val="20"/>
        </w:rPr>
        <w:t>failed to stop. Officer Montague</w:t>
      </w:r>
      <w:r w:rsidR="00DC73F8" w:rsidRPr="00662D54">
        <w:rPr>
          <w:rFonts w:ascii="Cambria" w:hAnsi="Cambria"/>
          <w:sz w:val="20"/>
          <w:szCs w:val="20"/>
        </w:rPr>
        <w:t xml:space="preserve"> would have</w:t>
      </w:r>
      <w:r w:rsidR="008054F7" w:rsidRPr="00662D54">
        <w:rPr>
          <w:rFonts w:ascii="Cambria" w:hAnsi="Cambria"/>
          <w:sz w:val="20"/>
          <w:szCs w:val="20"/>
        </w:rPr>
        <w:t xml:space="preserve"> tried to stop the bus, but was unable to do</w:t>
      </w:r>
      <w:r w:rsidR="00DC73F8" w:rsidRPr="00662D54">
        <w:rPr>
          <w:rFonts w:ascii="Cambria" w:hAnsi="Cambria"/>
          <w:sz w:val="20"/>
          <w:szCs w:val="20"/>
        </w:rPr>
        <w:t xml:space="preserve"> so</w:t>
      </w:r>
      <w:r w:rsidR="008054F7" w:rsidRPr="00662D54">
        <w:rPr>
          <w:rFonts w:ascii="Cambria" w:hAnsi="Cambria"/>
          <w:sz w:val="20"/>
          <w:szCs w:val="20"/>
        </w:rPr>
        <w:t xml:space="preserve"> until the bus eventually st</w:t>
      </w:r>
      <w:r w:rsidR="003D4CD1" w:rsidRPr="00662D54">
        <w:rPr>
          <w:rFonts w:ascii="Cambria" w:hAnsi="Cambria"/>
          <w:sz w:val="20"/>
          <w:szCs w:val="20"/>
        </w:rPr>
        <w:t>opped to let a passenger off.</w:t>
      </w:r>
      <w:r w:rsidR="008054F7" w:rsidRPr="00662D54">
        <w:rPr>
          <w:rFonts w:ascii="Cambria" w:hAnsi="Cambria"/>
          <w:sz w:val="20"/>
          <w:szCs w:val="20"/>
        </w:rPr>
        <w:t xml:space="preserve"> </w:t>
      </w:r>
      <w:r w:rsidR="008372CA" w:rsidRPr="00662D54">
        <w:rPr>
          <w:rFonts w:ascii="Cambria" w:hAnsi="Cambria"/>
          <w:sz w:val="20"/>
          <w:szCs w:val="20"/>
        </w:rPr>
        <w:t>O</w:t>
      </w:r>
      <w:r w:rsidR="008054F7" w:rsidRPr="00662D54">
        <w:rPr>
          <w:rFonts w:ascii="Cambria" w:hAnsi="Cambria"/>
          <w:sz w:val="20"/>
          <w:szCs w:val="20"/>
        </w:rPr>
        <w:t xml:space="preserve">nce Officer Montague blocked the bus with his car, he and Mr. Brown </w:t>
      </w:r>
      <w:r w:rsidR="00DC73F8" w:rsidRPr="00662D54">
        <w:rPr>
          <w:rFonts w:ascii="Cambria" w:hAnsi="Cambria"/>
          <w:sz w:val="20"/>
          <w:szCs w:val="20"/>
        </w:rPr>
        <w:t xml:space="preserve">would have </w:t>
      </w:r>
      <w:r w:rsidR="008054F7" w:rsidRPr="00662D54">
        <w:rPr>
          <w:rFonts w:ascii="Cambria" w:hAnsi="Cambria"/>
          <w:sz w:val="20"/>
          <w:szCs w:val="20"/>
        </w:rPr>
        <w:t>got</w:t>
      </w:r>
      <w:r w:rsidR="00DC73F8" w:rsidRPr="00662D54">
        <w:rPr>
          <w:rFonts w:ascii="Cambria" w:hAnsi="Cambria"/>
          <w:sz w:val="20"/>
          <w:szCs w:val="20"/>
        </w:rPr>
        <w:t>ten</w:t>
      </w:r>
      <w:r w:rsidR="008054F7" w:rsidRPr="00662D54">
        <w:rPr>
          <w:rFonts w:ascii="Cambria" w:hAnsi="Cambria"/>
          <w:sz w:val="20"/>
          <w:szCs w:val="20"/>
        </w:rPr>
        <w:t xml:space="preserve"> into a</w:t>
      </w:r>
      <w:r w:rsidR="00DC73F8" w:rsidRPr="00662D54">
        <w:rPr>
          <w:rFonts w:ascii="Cambria" w:hAnsi="Cambria"/>
          <w:sz w:val="20"/>
          <w:szCs w:val="20"/>
        </w:rPr>
        <w:t>n</w:t>
      </w:r>
      <w:r w:rsidR="008054F7" w:rsidRPr="00662D54">
        <w:rPr>
          <w:rFonts w:ascii="Cambria" w:hAnsi="Cambria"/>
          <w:sz w:val="20"/>
          <w:szCs w:val="20"/>
        </w:rPr>
        <w:t xml:space="preserve"> argument before Officer Montague shot Mr. Brown in the head.</w:t>
      </w:r>
    </w:p>
    <w:p w14:paraId="73285566" w14:textId="0C515BA0" w:rsidR="00444243" w:rsidRPr="00662D54" w:rsidRDefault="008054F7" w:rsidP="00EE61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 xml:space="preserve">The petitioners indicate that </w:t>
      </w:r>
      <w:r w:rsidR="00FF2A5F" w:rsidRPr="00662D54">
        <w:rPr>
          <w:rFonts w:ascii="Cambria" w:hAnsi="Cambria"/>
          <w:sz w:val="20"/>
          <w:szCs w:val="20"/>
        </w:rPr>
        <w:t>Sergeant Bennet, from the Hunts Bay Police, initiated an investigation</w:t>
      </w:r>
      <w:r w:rsidR="008372CA" w:rsidRPr="00662D54">
        <w:rPr>
          <w:rFonts w:ascii="Cambria" w:hAnsi="Cambria"/>
          <w:sz w:val="20"/>
          <w:szCs w:val="20"/>
        </w:rPr>
        <w:t xml:space="preserve"> on the day of the killing</w:t>
      </w:r>
      <w:r w:rsidRPr="00662D54">
        <w:rPr>
          <w:rFonts w:ascii="Cambria" w:hAnsi="Cambria"/>
          <w:sz w:val="20"/>
          <w:szCs w:val="20"/>
        </w:rPr>
        <w:t xml:space="preserve">. </w:t>
      </w:r>
      <w:r w:rsidR="003A0906" w:rsidRPr="00662D54">
        <w:rPr>
          <w:rFonts w:ascii="Cambria" w:hAnsi="Cambria"/>
          <w:sz w:val="20"/>
          <w:szCs w:val="20"/>
        </w:rPr>
        <w:t xml:space="preserve">Officer </w:t>
      </w:r>
      <w:r w:rsidR="00E70DD7" w:rsidRPr="00662D54">
        <w:rPr>
          <w:rFonts w:ascii="Cambria" w:hAnsi="Cambria"/>
          <w:sz w:val="20"/>
          <w:szCs w:val="20"/>
        </w:rPr>
        <w:t>Montague</w:t>
      </w:r>
      <w:r w:rsidR="003A0906" w:rsidRPr="00662D54">
        <w:rPr>
          <w:rFonts w:ascii="Cambria" w:hAnsi="Cambria"/>
          <w:sz w:val="20"/>
          <w:szCs w:val="20"/>
        </w:rPr>
        <w:t xml:space="preserve"> handed </w:t>
      </w:r>
      <w:r w:rsidRPr="00662D54">
        <w:rPr>
          <w:rFonts w:ascii="Cambria" w:hAnsi="Cambria"/>
          <w:sz w:val="20"/>
          <w:szCs w:val="20"/>
        </w:rPr>
        <w:t>him his</w:t>
      </w:r>
      <w:r w:rsidR="003A0906" w:rsidRPr="00662D54">
        <w:rPr>
          <w:rFonts w:ascii="Cambria" w:hAnsi="Cambria"/>
          <w:sz w:val="20"/>
          <w:szCs w:val="20"/>
        </w:rPr>
        <w:t xml:space="preserve"> .3</w:t>
      </w:r>
      <w:r w:rsidR="008372CA" w:rsidRPr="00662D54">
        <w:rPr>
          <w:rFonts w:ascii="Cambria" w:hAnsi="Cambria"/>
          <w:sz w:val="20"/>
          <w:szCs w:val="20"/>
        </w:rPr>
        <w:t xml:space="preserve">8 service revolver, in addition </w:t>
      </w:r>
      <w:r w:rsidR="003A0906" w:rsidRPr="00662D54">
        <w:rPr>
          <w:rFonts w:ascii="Cambria" w:hAnsi="Cambria"/>
          <w:sz w:val="20"/>
          <w:szCs w:val="20"/>
        </w:rPr>
        <w:t>to five rounds of .38 cartr</w:t>
      </w:r>
      <w:r w:rsidRPr="00662D54">
        <w:rPr>
          <w:rFonts w:ascii="Cambria" w:hAnsi="Cambria"/>
          <w:sz w:val="20"/>
          <w:szCs w:val="20"/>
        </w:rPr>
        <w:t>idges and one spent .38 casing,</w:t>
      </w:r>
      <w:r w:rsidR="003A0906" w:rsidRPr="00662D54">
        <w:rPr>
          <w:rFonts w:ascii="Cambria" w:hAnsi="Cambria"/>
          <w:sz w:val="20"/>
          <w:szCs w:val="20"/>
        </w:rPr>
        <w:t xml:space="preserve"> </w:t>
      </w:r>
      <w:r w:rsidRPr="00662D54">
        <w:rPr>
          <w:rFonts w:ascii="Cambria" w:hAnsi="Cambria"/>
          <w:sz w:val="20"/>
          <w:szCs w:val="20"/>
        </w:rPr>
        <w:t xml:space="preserve">and they were put </w:t>
      </w:r>
      <w:r w:rsidR="003A0906" w:rsidRPr="00662D54">
        <w:rPr>
          <w:rFonts w:ascii="Cambria" w:hAnsi="Cambria"/>
          <w:sz w:val="20"/>
          <w:szCs w:val="20"/>
        </w:rPr>
        <w:t>into envelopes</w:t>
      </w:r>
      <w:r w:rsidRPr="00662D54">
        <w:rPr>
          <w:rFonts w:ascii="Cambria" w:hAnsi="Cambria"/>
          <w:sz w:val="20"/>
          <w:szCs w:val="20"/>
        </w:rPr>
        <w:t xml:space="preserve"> and </w:t>
      </w:r>
      <w:r w:rsidR="003A0906" w:rsidRPr="00662D54">
        <w:rPr>
          <w:rFonts w:ascii="Cambria" w:hAnsi="Cambria"/>
          <w:sz w:val="20"/>
          <w:szCs w:val="20"/>
        </w:rPr>
        <w:t>mark</w:t>
      </w:r>
      <w:r w:rsidRPr="00662D54">
        <w:rPr>
          <w:rFonts w:ascii="Cambria" w:hAnsi="Cambria"/>
          <w:sz w:val="20"/>
          <w:szCs w:val="20"/>
        </w:rPr>
        <w:t>ed</w:t>
      </w:r>
      <w:r w:rsidR="003A0906" w:rsidRPr="00662D54">
        <w:rPr>
          <w:rFonts w:ascii="Cambria" w:hAnsi="Cambria"/>
          <w:sz w:val="20"/>
          <w:szCs w:val="20"/>
        </w:rPr>
        <w:t xml:space="preserve"> as exhibits. The petitioners submit that there is no indication that he handled this evidence properly. </w:t>
      </w:r>
      <w:r w:rsidRPr="00662D54">
        <w:rPr>
          <w:rFonts w:ascii="Cambria" w:hAnsi="Cambria"/>
          <w:sz w:val="20"/>
          <w:szCs w:val="20"/>
        </w:rPr>
        <w:t>B</w:t>
      </w:r>
      <w:r w:rsidR="007E70F7" w:rsidRPr="00662D54">
        <w:rPr>
          <w:rFonts w:ascii="Cambria" w:hAnsi="Cambria"/>
          <w:sz w:val="20"/>
          <w:szCs w:val="20"/>
        </w:rPr>
        <w:t>e</w:t>
      </w:r>
      <w:r w:rsidRPr="00662D54">
        <w:rPr>
          <w:rFonts w:ascii="Cambria" w:hAnsi="Cambria"/>
          <w:sz w:val="20"/>
          <w:szCs w:val="20"/>
        </w:rPr>
        <w:t>nnet</w:t>
      </w:r>
      <w:r w:rsidR="007E70F7" w:rsidRPr="00662D54">
        <w:rPr>
          <w:rFonts w:ascii="Cambria" w:hAnsi="Cambria"/>
          <w:sz w:val="20"/>
          <w:szCs w:val="20"/>
        </w:rPr>
        <w:t xml:space="preserve"> </w:t>
      </w:r>
      <w:r w:rsidRPr="00662D54">
        <w:rPr>
          <w:rFonts w:ascii="Cambria" w:hAnsi="Cambria"/>
          <w:sz w:val="20"/>
          <w:szCs w:val="20"/>
        </w:rPr>
        <w:t xml:space="preserve">then </w:t>
      </w:r>
      <w:r w:rsidR="007E70F7" w:rsidRPr="00662D54">
        <w:rPr>
          <w:rFonts w:ascii="Cambria" w:hAnsi="Cambria"/>
          <w:sz w:val="20"/>
          <w:szCs w:val="20"/>
        </w:rPr>
        <w:t xml:space="preserve">interviewed the bus conductor as well as the owner of the bus, and observed that the right front side of the bus was damaged, with white paint on it. </w:t>
      </w:r>
      <w:r w:rsidR="003A0906" w:rsidRPr="00662D54">
        <w:rPr>
          <w:rFonts w:ascii="Cambria" w:hAnsi="Cambria"/>
          <w:sz w:val="20"/>
          <w:szCs w:val="20"/>
        </w:rPr>
        <w:t xml:space="preserve">The Scenes of Crime unit processed the various pieces of evidence, swabbed </w:t>
      </w:r>
      <w:r w:rsidR="00E70DD7" w:rsidRPr="00662D54">
        <w:rPr>
          <w:rFonts w:ascii="Cambria" w:hAnsi="Cambria"/>
          <w:sz w:val="20"/>
          <w:szCs w:val="20"/>
        </w:rPr>
        <w:t>Montague</w:t>
      </w:r>
      <w:r w:rsidR="003A0906" w:rsidRPr="00662D54">
        <w:rPr>
          <w:rFonts w:ascii="Cambria" w:hAnsi="Cambria"/>
          <w:sz w:val="20"/>
          <w:szCs w:val="20"/>
        </w:rPr>
        <w:t>’s hands and photographed his car. The bus was taken to the Hunts Bay Police Station.</w:t>
      </w:r>
      <w:r w:rsidR="007E70F7" w:rsidRPr="00662D54">
        <w:rPr>
          <w:rFonts w:ascii="Cambria" w:hAnsi="Cambria"/>
          <w:sz w:val="20"/>
          <w:szCs w:val="20"/>
        </w:rPr>
        <w:t xml:space="preserve"> </w:t>
      </w:r>
      <w:r w:rsidRPr="00662D54">
        <w:rPr>
          <w:rFonts w:ascii="Cambria" w:hAnsi="Cambria"/>
          <w:sz w:val="20"/>
          <w:szCs w:val="20"/>
        </w:rPr>
        <w:t>The investigation and</w:t>
      </w:r>
      <w:r w:rsidR="00FF2A5F" w:rsidRPr="00662D54">
        <w:rPr>
          <w:rFonts w:ascii="Cambria" w:hAnsi="Cambria"/>
          <w:sz w:val="20"/>
          <w:szCs w:val="20"/>
        </w:rPr>
        <w:t xml:space="preserve"> evaluation of the evidence </w:t>
      </w:r>
      <w:r w:rsidRPr="00662D54">
        <w:rPr>
          <w:rFonts w:ascii="Cambria" w:hAnsi="Cambria"/>
          <w:sz w:val="20"/>
          <w:szCs w:val="20"/>
        </w:rPr>
        <w:t xml:space="preserve">continued in collaboration with </w:t>
      </w:r>
      <w:r w:rsidR="007E70F7" w:rsidRPr="00662D54">
        <w:rPr>
          <w:rFonts w:ascii="Cambria" w:hAnsi="Cambria"/>
          <w:sz w:val="20"/>
          <w:szCs w:val="20"/>
        </w:rPr>
        <w:t xml:space="preserve">the </w:t>
      </w:r>
      <w:r w:rsidR="00A23C94" w:rsidRPr="00662D54">
        <w:rPr>
          <w:rFonts w:ascii="Cambria" w:hAnsi="Cambria"/>
          <w:sz w:val="20"/>
          <w:szCs w:val="20"/>
        </w:rPr>
        <w:t>JCF</w:t>
      </w:r>
      <w:r w:rsidR="00A31E02" w:rsidRPr="00662D54">
        <w:rPr>
          <w:rFonts w:ascii="Cambria" w:hAnsi="Cambria"/>
          <w:sz w:val="20"/>
          <w:szCs w:val="20"/>
        </w:rPr>
        <w:t>’s Bureau of Special Investigation (BSI)</w:t>
      </w:r>
      <w:r w:rsidR="008372CA" w:rsidRPr="00662D54">
        <w:rPr>
          <w:rFonts w:ascii="Cambria" w:hAnsi="Cambria"/>
          <w:sz w:val="20"/>
          <w:szCs w:val="20"/>
        </w:rPr>
        <w:t xml:space="preserve"> – a clear conflict of interests according to the petitioners</w:t>
      </w:r>
      <w:r w:rsidR="00A23C94" w:rsidRPr="00662D54">
        <w:rPr>
          <w:rFonts w:ascii="Cambria" w:hAnsi="Cambria"/>
          <w:sz w:val="20"/>
          <w:szCs w:val="20"/>
        </w:rPr>
        <w:t xml:space="preserve">, since the officer targeted by the investigation is </w:t>
      </w:r>
      <w:r w:rsidR="00114AC5" w:rsidRPr="00662D54">
        <w:rPr>
          <w:rFonts w:ascii="Cambria" w:hAnsi="Cambria"/>
          <w:sz w:val="20"/>
          <w:szCs w:val="20"/>
        </w:rPr>
        <w:t xml:space="preserve">himself </w:t>
      </w:r>
      <w:r w:rsidR="00A23C94" w:rsidRPr="00662D54">
        <w:rPr>
          <w:rFonts w:ascii="Cambria" w:hAnsi="Cambria"/>
          <w:sz w:val="20"/>
          <w:szCs w:val="20"/>
        </w:rPr>
        <w:t>a member of the JCF</w:t>
      </w:r>
      <w:r w:rsidR="007E70F7" w:rsidRPr="00662D54">
        <w:rPr>
          <w:rFonts w:ascii="Cambria" w:hAnsi="Cambria"/>
          <w:sz w:val="20"/>
          <w:szCs w:val="20"/>
        </w:rPr>
        <w:t xml:space="preserve">. The same day, the Assistant Commissioner of Police in command at BSI issued a report concluding that Mr. Brown's bus collided with the white car in the left rear and failed to stop. </w:t>
      </w:r>
      <w:r w:rsidR="003665C3" w:rsidRPr="00662D54">
        <w:rPr>
          <w:rFonts w:ascii="Cambria" w:hAnsi="Cambria"/>
          <w:sz w:val="20"/>
          <w:szCs w:val="20"/>
        </w:rPr>
        <w:t>On January 6, 2009, the office of the Director of Public Prosecutions advised that the</w:t>
      </w:r>
      <w:r w:rsidR="002D5DA2" w:rsidRPr="00662D54">
        <w:rPr>
          <w:rFonts w:ascii="Cambria" w:hAnsi="Cambria"/>
          <w:sz w:val="20"/>
          <w:szCs w:val="20"/>
        </w:rPr>
        <w:t xml:space="preserve"> officer be charged with murder</w:t>
      </w:r>
      <w:r w:rsidR="003665C3" w:rsidRPr="00662D54">
        <w:rPr>
          <w:rFonts w:ascii="Cambria" w:hAnsi="Cambria"/>
          <w:sz w:val="20"/>
          <w:szCs w:val="20"/>
        </w:rPr>
        <w:t xml:space="preserve">. Officer Montague was arrested the next day. </w:t>
      </w:r>
      <w:r w:rsidR="00E70DD7" w:rsidRPr="00662D54">
        <w:rPr>
          <w:rFonts w:ascii="Cambria" w:hAnsi="Cambria"/>
          <w:sz w:val="20"/>
          <w:szCs w:val="20"/>
        </w:rPr>
        <w:t xml:space="preserve">A preliminary inquiry hearing took place starting on October 7, 2009, where the wife of the alleged victim and </w:t>
      </w:r>
      <w:r w:rsidR="00CC39DA" w:rsidRPr="00662D54">
        <w:rPr>
          <w:rFonts w:ascii="Cambria" w:hAnsi="Cambria"/>
          <w:sz w:val="20"/>
          <w:szCs w:val="20"/>
        </w:rPr>
        <w:t>the conductor</w:t>
      </w:r>
      <w:r w:rsidR="00E70DD7" w:rsidRPr="00662D54">
        <w:rPr>
          <w:rFonts w:ascii="Cambria" w:hAnsi="Cambria"/>
          <w:sz w:val="20"/>
          <w:szCs w:val="20"/>
        </w:rPr>
        <w:t xml:space="preserve"> testified. However,</w:t>
      </w:r>
      <w:r w:rsidR="00CC39DA" w:rsidRPr="00662D54">
        <w:rPr>
          <w:rFonts w:ascii="Cambria" w:hAnsi="Cambria"/>
          <w:sz w:val="20"/>
          <w:szCs w:val="20"/>
        </w:rPr>
        <w:t xml:space="preserve"> the petitioners indicate that</w:t>
      </w:r>
      <w:r w:rsidR="00E70DD7" w:rsidRPr="00662D54">
        <w:rPr>
          <w:rFonts w:ascii="Cambria" w:hAnsi="Cambria"/>
          <w:sz w:val="20"/>
          <w:szCs w:val="20"/>
        </w:rPr>
        <w:t xml:space="preserve"> before </w:t>
      </w:r>
      <w:r w:rsidR="00CC39DA" w:rsidRPr="00662D54">
        <w:rPr>
          <w:rFonts w:ascii="Cambria" w:hAnsi="Cambria"/>
          <w:sz w:val="20"/>
          <w:szCs w:val="20"/>
        </w:rPr>
        <w:t>the</w:t>
      </w:r>
      <w:r w:rsidR="00E70DD7" w:rsidRPr="00662D54">
        <w:rPr>
          <w:rFonts w:ascii="Cambria" w:hAnsi="Cambria"/>
          <w:sz w:val="20"/>
          <w:szCs w:val="20"/>
        </w:rPr>
        <w:t xml:space="preserve"> </w:t>
      </w:r>
      <w:r w:rsidR="00CC39DA" w:rsidRPr="00662D54">
        <w:rPr>
          <w:rFonts w:ascii="Cambria" w:hAnsi="Cambria"/>
          <w:sz w:val="20"/>
          <w:szCs w:val="20"/>
        </w:rPr>
        <w:t>cross-examination could take place,</w:t>
      </w:r>
      <w:r w:rsidR="00E70DD7" w:rsidRPr="00662D54">
        <w:rPr>
          <w:rFonts w:ascii="Cambria" w:hAnsi="Cambria"/>
          <w:sz w:val="20"/>
          <w:szCs w:val="20"/>
        </w:rPr>
        <w:t xml:space="preserve"> </w:t>
      </w:r>
      <w:r w:rsidR="00CC39DA" w:rsidRPr="00662D54">
        <w:rPr>
          <w:rFonts w:ascii="Cambria" w:hAnsi="Cambria"/>
          <w:sz w:val="20"/>
          <w:szCs w:val="20"/>
        </w:rPr>
        <w:t>the conductor</w:t>
      </w:r>
      <w:r w:rsidR="00E70DD7" w:rsidRPr="00662D54">
        <w:rPr>
          <w:rFonts w:ascii="Cambria" w:hAnsi="Cambria"/>
          <w:sz w:val="20"/>
          <w:szCs w:val="20"/>
        </w:rPr>
        <w:t xml:space="preserve"> disappeared, fearing for his life.</w:t>
      </w:r>
      <w:r w:rsidR="002D5DA2" w:rsidRPr="00662D54">
        <w:rPr>
          <w:rStyle w:val="FootnoteReference"/>
          <w:rFonts w:ascii="Cambria" w:hAnsi="Cambria"/>
          <w:sz w:val="20"/>
          <w:szCs w:val="20"/>
        </w:rPr>
        <w:footnoteReference w:id="9"/>
      </w:r>
      <w:r w:rsidR="00E70DD7" w:rsidRPr="00662D54">
        <w:rPr>
          <w:rFonts w:ascii="Cambria" w:hAnsi="Cambria"/>
          <w:sz w:val="20"/>
          <w:szCs w:val="20"/>
        </w:rPr>
        <w:t xml:space="preserve"> </w:t>
      </w:r>
      <w:r w:rsidR="00CC39DA" w:rsidRPr="00662D54">
        <w:rPr>
          <w:rFonts w:ascii="Cambria" w:hAnsi="Cambria"/>
          <w:sz w:val="20"/>
          <w:szCs w:val="20"/>
        </w:rPr>
        <w:t xml:space="preserve">The matter was </w:t>
      </w:r>
      <w:r w:rsidR="00A851EA" w:rsidRPr="00662D54">
        <w:rPr>
          <w:rFonts w:ascii="Cambria" w:hAnsi="Cambria"/>
          <w:sz w:val="20"/>
          <w:szCs w:val="20"/>
        </w:rPr>
        <w:t>transferred to the Supreme Court for a trial scheduled to be</w:t>
      </w:r>
      <w:r w:rsidR="00CC39DA" w:rsidRPr="00662D54">
        <w:rPr>
          <w:rFonts w:ascii="Cambria" w:hAnsi="Cambria"/>
          <w:sz w:val="20"/>
          <w:szCs w:val="20"/>
        </w:rPr>
        <w:t>g</w:t>
      </w:r>
      <w:r w:rsidR="00A851EA" w:rsidRPr="00662D54">
        <w:rPr>
          <w:rFonts w:ascii="Cambria" w:hAnsi="Cambria"/>
          <w:sz w:val="20"/>
          <w:szCs w:val="20"/>
        </w:rPr>
        <w:t>in on May 7, 2010, but the date was subsequently postponed on multiple occasions</w:t>
      </w:r>
      <w:r w:rsidR="003D4CD1" w:rsidRPr="00662D54">
        <w:rPr>
          <w:rFonts w:ascii="Cambria" w:hAnsi="Cambria"/>
          <w:sz w:val="20"/>
          <w:szCs w:val="20"/>
        </w:rPr>
        <w:t xml:space="preserve"> (</w:t>
      </w:r>
      <w:r w:rsidR="00E70DD7" w:rsidRPr="00662D54">
        <w:rPr>
          <w:rFonts w:ascii="Cambria" w:hAnsi="Cambria"/>
          <w:sz w:val="20"/>
          <w:szCs w:val="20"/>
        </w:rPr>
        <w:t>to June 11, 2010; J</w:t>
      </w:r>
      <w:r w:rsidR="00DF5796" w:rsidRPr="00662D54">
        <w:rPr>
          <w:rFonts w:ascii="Cambria" w:hAnsi="Cambria"/>
          <w:sz w:val="20"/>
          <w:szCs w:val="20"/>
        </w:rPr>
        <w:t>uly 2, 2010;</w:t>
      </w:r>
      <w:r w:rsidR="00E70DD7" w:rsidRPr="00662D54">
        <w:rPr>
          <w:rFonts w:ascii="Cambria" w:hAnsi="Cambria"/>
          <w:sz w:val="20"/>
          <w:szCs w:val="20"/>
        </w:rPr>
        <w:t xml:space="preserve"> February 25, 2011; and December 9, 2011</w:t>
      </w:r>
      <w:r w:rsidR="00CC39DA" w:rsidRPr="00662D54">
        <w:rPr>
          <w:rFonts w:ascii="Cambria" w:hAnsi="Cambria"/>
          <w:sz w:val="20"/>
          <w:szCs w:val="20"/>
        </w:rPr>
        <w:t>). On June 6, 2019</w:t>
      </w:r>
      <w:r w:rsidR="004F3EAD" w:rsidRPr="00662D54">
        <w:rPr>
          <w:rStyle w:val="FootnoteReference"/>
          <w:rFonts w:ascii="Cambria" w:hAnsi="Cambria"/>
          <w:sz w:val="20"/>
          <w:szCs w:val="20"/>
        </w:rPr>
        <w:footnoteReference w:id="10"/>
      </w:r>
      <w:r w:rsidR="00CC39DA" w:rsidRPr="00662D54">
        <w:rPr>
          <w:rFonts w:ascii="Cambria" w:hAnsi="Cambria"/>
          <w:sz w:val="20"/>
          <w:szCs w:val="20"/>
        </w:rPr>
        <w:t xml:space="preserve">, </w:t>
      </w:r>
      <w:r w:rsidR="004F3EAD" w:rsidRPr="00662D54">
        <w:rPr>
          <w:rFonts w:ascii="Cambria" w:hAnsi="Cambria"/>
          <w:sz w:val="20"/>
          <w:szCs w:val="20"/>
        </w:rPr>
        <w:t>officer Montague was sentenced to three years of imprisonment, after having pleaded guilty to manslaughter</w:t>
      </w:r>
      <w:r w:rsidR="00A851EA" w:rsidRPr="00662D54">
        <w:rPr>
          <w:rFonts w:ascii="Cambria" w:hAnsi="Cambria"/>
          <w:sz w:val="20"/>
          <w:szCs w:val="20"/>
        </w:rPr>
        <w:t xml:space="preserve">. </w:t>
      </w:r>
    </w:p>
    <w:p w14:paraId="2AE97C68" w14:textId="11EF5168" w:rsidR="00E02B29" w:rsidRPr="00662D54" w:rsidRDefault="008936F1" w:rsidP="00B36E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The petitioners submit that the extrajudicial execution of the alleged victim is attributable to the State. They submit Montague acted under color authority when he shot the alleged victim with a government-issued service weapon, in addition to the government having a specific obligation to prevent improper use of service weapon. Moreover, the State has a general obligation to prot</w:t>
      </w:r>
      <w:r w:rsidR="00CC39DA" w:rsidRPr="00662D54">
        <w:rPr>
          <w:rFonts w:ascii="Cambria" w:hAnsi="Cambria"/>
          <w:sz w:val="20"/>
          <w:szCs w:val="20"/>
        </w:rPr>
        <w:t>ect the right</w:t>
      </w:r>
      <w:r w:rsidR="002D5DA2" w:rsidRPr="00662D54">
        <w:rPr>
          <w:rFonts w:ascii="Cambria" w:hAnsi="Cambria"/>
          <w:sz w:val="20"/>
          <w:szCs w:val="20"/>
        </w:rPr>
        <w:t>s</w:t>
      </w:r>
      <w:r w:rsidRPr="00662D54">
        <w:rPr>
          <w:rFonts w:ascii="Cambria" w:hAnsi="Cambria"/>
          <w:sz w:val="20"/>
          <w:szCs w:val="20"/>
        </w:rPr>
        <w:t xml:space="preserve"> to life</w:t>
      </w:r>
      <w:r w:rsidR="00CC39DA" w:rsidRPr="00662D54">
        <w:rPr>
          <w:rFonts w:ascii="Cambria" w:hAnsi="Cambria"/>
          <w:sz w:val="20"/>
          <w:szCs w:val="20"/>
        </w:rPr>
        <w:t xml:space="preserve"> and physical integrity</w:t>
      </w:r>
      <w:r w:rsidRPr="00662D54">
        <w:rPr>
          <w:rFonts w:ascii="Cambria" w:hAnsi="Cambria"/>
          <w:sz w:val="20"/>
          <w:szCs w:val="20"/>
        </w:rPr>
        <w:t xml:space="preserve">, </w:t>
      </w:r>
      <w:r w:rsidR="00CC39DA" w:rsidRPr="00662D54">
        <w:rPr>
          <w:rFonts w:ascii="Cambria" w:hAnsi="Cambria"/>
          <w:sz w:val="20"/>
          <w:szCs w:val="20"/>
        </w:rPr>
        <w:t>reinforced</w:t>
      </w:r>
      <w:r w:rsidRPr="00662D54">
        <w:rPr>
          <w:rFonts w:ascii="Cambria" w:hAnsi="Cambria"/>
          <w:sz w:val="20"/>
          <w:szCs w:val="20"/>
        </w:rPr>
        <w:t xml:space="preserve"> in the context of the widespread occurrence of extrajudicial killing of civilians by Jamaican police forces</w:t>
      </w:r>
      <w:r w:rsidR="006825E2" w:rsidRPr="00662D54">
        <w:rPr>
          <w:rFonts w:ascii="Cambria" w:hAnsi="Cambria"/>
          <w:sz w:val="20"/>
          <w:szCs w:val="20"/>
        </w:rPr>
        <w:t xml:space="preserve">, where the State </w:t>
      </w:r>
      <w:r w:rsidR="009657AA" w:rsidRPr="00662D54">
        <w:rPr>
          <w:rFonts w:ascii="Cambria" w:hAnsi="Cambria"/>
          <w:sz w:val="20"/>
          <w:szCs w:val="20"/>
        </w:rPr>
        <w:t>knew or ought to have known of i</w:t>
      </w:r>
      <w:r w:rsidR="006825E2" w:rsidRPr="00662D54">
        <w:rPr>
          <w:rFonts w:ascii="Cambria" w:hAnsi="Cambria"/>
          <w:sz w:val="20"/>
          <w:szCs w:val="20"/>
        </w:rPr>
        <w:t>t and should have taken steps to prevent it</w:t>
      </w:r>
      <w:r w:rsidRPr="00662D54">
        <w:rPr>
          <w:rFonts w:ascii="Cambria" w:hAnsi="Cambria"/>
          <w:sz w:val="20"/>
          <w:szCs w:val="20"/>
        </w:rPr>
        <w:t>.</w:t>
      </w:r>
      <w:r w:rsidR="003665C3" w:rsidRPr="00662D54">
        <w:rPr>
          <w:rFonts w:ascii="Cambria" w:hAnsi="Cambria"/>
          <w:sz w:val="20"/>
          <w:szCs w:val="20"/>
        </w:rPr>
        <w:t xml:space="preserve"> Additionally, the petitioners </w:t>
      </w:r>
      <w:r w:rsidR="004F3EAD" w:rsidRPr="00662D54">
        <w:rPr>
          <w:rFonts w:ascii="Cambria" w:hAnsi="Cambria"/>
          <w:sz w:val="20"/>
          <w:szCs w:val="20"/>
        </w:rPr>
        <w:t>submit that despite the conviction, the State still failed to properly prosecute and punish the crime.</w:t>
      </w:r>
      <w:r w:rsidR="000A648F" w:rsidRPr="00662D54">
        <w:rPr>
          <w:rFonts w:ascii="Cambria" w:hAnsi="Cambria"/>
          <w:sz w:val="20"/>
          <w:szCs w:val="20"/>
        </w:rPr>
        <w:t xml:space="preserve"> They argue that the judicial system has been unable to deliver justice and provide the victims with effective remedies, and that the investigation, prosecution and punishment of Officer Montague in this case is patently inadequate, falling well</w:t>
      </w:r>
      <w:r w:rsidR="00725E08" w:rsidRPr="00662D54">
        <w:rPr>
          <w:rFonts w:ascii="Cambria" w:hAnsi="Cambria"/>
          <w:sz w:val="20"/>
          <w:szCs w:val="20"/>
        </w:rPr>
        <w:t xml:space="preserve"> below international standards.</w:t>
      </w:r>
      <w:r w:rsidR="00317AEB" w:rsidRPr="00662D54">
        <w:rPr>
          <w:rFonts w:ascii="Cambria" w:hAnsi="Cambria"/>
          <w:sz w:val="20"/>
          <w:szCs w:val="20"/>
        </w:rPr>
        <w:t xml:space="preserve"> </w:t>
      </w:r>
      <w:r w:rsidR="00725E08" w:rsidRPr="00662D54">
        <w:rPr>
          <w:rFonts w:ascii="Cambria" w:hAnsi="Cambria"/>
          <w:sz w:val="20"/>
          <w:szCs w:val="20"/>
        </w:rPr>
        <w:t>The murder of the alleged victim took place in 2009, and only in 2019 was the responsible sanctioned – an unjustified ten years period, during which the State failed to provide any meaningful updates to the family and the petitioners.</w:t>
      </w:r>
      <w:r w:rsidR="009657AA" w:rsidRPr="00662D54">
        <w:rPr>
          <w:rFonts w:ascii="Cambria" w:hAnsi="Cambria"/>
          <w:sz w:val="20"/>
          <w:szCs w:val="20"/>
        </w:rPr>
        <w:t xml:space="preserve"> </w:t>
      </w:r>
      <w:r w:rsidR="00317AEB" w:rsidRPr="00662D54">
        <w:rPr>
          <w:rFonts w:ascii="Cambria" w:hAnsi="Cambria"/>
          <w:sz w:val="20"/>
          <w:szCs w:val="20"/>
        </w:rPr>
        <w:t xml:space="preserve">In addition, they submit that a three years sentence is a gross violation of the principle of proportionality between </w:t>
      </w:r>
      <w:r w:rsidR="00317AEB" w:rsidRPr="00662D54">
        <w:rPr>
          <w:rFonts w:ascii="Cambria" w:hAnsi="Cambria"/>
          <w:sz w:val="20"/>
          <w:szCs w:val="20"/>
        </w:rPr>
        <w:lastRenderedPageBreak/>
        <w:t>crime and punishment. The petitioners are shocked that the State justifies the acceptance of Officer Montague’s guilty plea to manslaughter because there was “enough evidence to raise the issue of provocation”</w:t>
      </w:r>
      <w:r w:rsidR="00114AC5" w:rsidRPr="00662D54">
        <w:rPr>
          <w:rFonts w:ascii="Cambria" w:hAnsi="Cambria"/>
          <w:sz w:val="20"/>
          <w:szCs w:val="20"/>
        </w:rPr>
        <w:t xml:space="preserve"> – </w:t>
      </w:r>
      <w:r w:rsidR="00317AEB" w:rsidRPr="00662D54">
        <w:rPr>
          <w:rFonts w:ascii="Cambria" w:hAnsi="Cambria"/>
          <w:sz w:val="20"/>
          <w:szCs w:val="20"/>
        </w:rPr>
        <w:t xml:space="preserve">a simple traffic altercation </w:t>
      </w:r>
      <w:r w:rsidR="00BA6032" w:rsidRPr="00662D54">
        <w:rPr>
          <w:rFonts w:ascii="Cambria" w:hAnsi="Cambria"/>
          <w:sz w:val="20"/>
          <w:szCs w:val="20"/>
        </w:rPr>
        <w:t xml:space="preserve">– which </w:t>
      </w:r>
      <w:r w:rsidR="00317AEB" w:rsidRPr="00662D54">
        <w:rPr>
          <w:rFonts w:ascii="Cambria" w:hAnsi="Cambria"/>
          <w:sz w:val="20"/>
          <w:szCs w:val="20"/>
        </w:rPr>
        <w:t xml:space="preserve">cannot justify the killing of a human being. </w:t>
      </w:r>
      <w:r w:rsidR="00FA028B" w:rsidRPr="00662D54">
        <w:rPr>
          <w:rFonts w:ascii="Cambria" w:hAnsi="Cambria"/>
          <w:sz w:val="20"/>
          <w:szCs w:val="20"/>
        </w:rPr>
        <w:t>Jamaica has an obligation to deter extra-judicial killings</w:t>
      </w:r>
      <w:r w:rsidR="00114AC5" w:rsidRPr="00662D54">
        <w:rPr>
          <w:rFonts w:ascii="Cambria" w:hAnsi="Cambria"/>
          <w:sz w:val="20"/>
          <w:szCs w:val="20"/>
        </w:rPr>
        <w:t xml:space="preserve"> and not justify them</w:t>
      </w:r>
      <w:r w:rsidR="00FA028B" w:rsidRPr="00662D54">
        <w:rPr>
          <w:rFonts w:ascii="Cambria" w:hAnsi="Cambria"/>
          <w:sz w:val="20"/>
          <w:szCs w:val="20"/>
        </w:rPr>
        <w:t xml:space="preserve">. </w:t>
      </w:r>
      <w:r w:rsidR="000860D8" w:rsidRPr="00662D54">
        <w:rPr>
          <w:rFonts w:ascii="Cambria" w:hAnsi="Cambria"/>
          <w:sz w:val="20"/>
          <w:szCs w:val="20"/>
        </w:rPr>
        <w:t>Finally, t</w:t>
      </w:r>
      <w:r w:rsidR="009657AA" w:rsidRPr="00662D54">
        <w:rPr>
          <w:rFonts w:ascii="Cambria" w:hAnsi="Cambria"/>
          <w:sz w:val="20"/>
          <w:szCs w:val="20"/>
        </w:rPr>
        <w:t>hey submit that the exception to the rule of exhaustion of domestic remedies set forth in Article 46.2(c) of the Convention applies since there has been an unwarranted delay</w:t>
      </w:r>
      <w:r w:rsidR="00E02B29" w:rsidRPr="00662D54">
        <w:rPr>
          <w:rFonts w:ascii="Cambria" w:hAnsi="Cambria"/>
          <w:sz w:val="20"/>
          <w:szCs w:val="20"/>
        </w:rPr>
        <w:t xml:space="preserve"> in rendering a final judgement</w:t>
      </w:r>
    </w:p>
    <w:p w14:paraId="7EFF43B4" w14:textId="41754764" w:rsidR="009657AA" w:rsidRPr="00662D54" w:rsidRDefault="009657AA" w:rsidP="00B36E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 xml:space="preserve"> </w:t>
      </w:r>
      <w:r w:rsidR="00FA028B" w:rsidRPr="00662D54">
        <w:rPr>
          <w:rFonts w:ascii="Cambria" w:hAnsi="Cambria"/>
          <w:sz w:val="20"/>
          <w:szCs w:val="20"/>
        </w:rPr>
        <w:t xml:space="preserve">In addition, </w:t>
      </w:r>
      <w:r w:rsidR="00E02B29" w:rsidRPr="00662D54">
        <w:rPr>
          <w:rFonts w:ascii="Cambria" w:hAnsi="Cambria"/>
          <w:sz w:val="20"/>
          <w:szCs w:val="20"/>
        </w:rPr>
        <w:t xml:space="preserve">they claim that </w:t>
      </w:r>
      <w:r w:rsidR="00CC39DA" w:rsidRPr="00662D54">
        <w:rPr>
          <w:rFonts w:ascii="Cambria" w:hAnsi="Cambria"/>
          <w:sz w:val="20"/>
          <w:szCs w:val="20"/>
        </w:rPr>
        <w:t>neither the civil suit nor</w:t>
      </w:r>
      <w:r w:rsidR="00E02B29" w:rsidRPr="00662D54">
        <w:rPr>
          <w:rFonts w:ascii="Cambria" w:hAnsi="Cambria"/>
          <w:sz w:val="20"/>
          <w:szCs w:val="20"/>
        </w:rPr>
        <w:t xml:space="preserve"> the constitutional action are effective remedies</w:t>
      </w:r>
      <w:r w:rsidR="00CC39DA" w:rsidRPr="00662D54">
        <w:rPr>
          <w:rFonts w:ascii="Cambria" w:hAnsi="Cambria"/>
          <w:sz w:val="20"/>
          <w:szCs w:val="20"/>
        </w:rPr>
        <w:t xml:space="preserve"> that need to be exhausted</w:t>
      </w:r>
      <w:r w:rsidR="00E02B29" w:rsidRPr="00662D54">
        <w:rPr>
          <w:rFonts w:ascii="Cambria" w:hAnsi="Cambria"/>
          <w:sz w:val="20"/>
          <w:szCs w:val="20"/>
        </w:rPr>
        <w:t xml:space="preserve">. </w:t>
      </w:r>
      <w:r w:rsidRPr="00662D54">
        <w:rPr>
          <w:rFonts w:ascii="Cambria" w:hAnsi="Cambria"/>
          <w:sz w:val="20"/>
          <w:szCs w:val="20"/>
        </w:rPr>
        <w:t xml:space="preserve">The petitioners indicate that the alleged victim’s relatives do not have the means to pay for an attorney’s services in civil proceedings, and that there is no indication that the State would have been available to provide them free representation. These remedies are </w:t>
      </w:r>
      <w:r w:rsidR="00CC39DA" w:rsidRPr="00662D54">
        <w:rPr>
          <w:rFonts w:ascii="Cambria" w:hAnsi="Cambria"/>
          <w:sz w:val="20"/>
          <w:szCs w:val="20"/>
        </w:rPr>
        <w:t>thus</w:t>
      </w:r>
      <w:r w:rsidRPr="00662D54">
        <w:rPr>
          <w:rFonts w:ascii="Cambria" w:hAnsi="Cambria"/>
          <w:sz w:val="20"/>
          <w:szCs w:val="20"/>
        </w:rPr>
        <w:t xml:space="preserve"> inaccessible to them. </w:t>
      </w:r>
      <w:r w:rsidRPr="00662D54">
        <w:rPr>
          <w:rFonts w:asciiTheme="majorHAnsi" w:hAnsiTheme="majorHAnsi"/>
          <w:sz w:val="20"/>
          <w:szCs w:val="20"/>
        </w:rPr>
        <w:t>They also submit that, contrary to what is alleged by the State, civil remedies are not adequate remedies for a case of extra-judicial killing</w:t>
      </w:r>
      <w:r w:rsidRPr="00662D54">
        <w:rPr>
          <w:rStyle w:val="FootnoteReference"/>
          <w:rFonts w:asciiTheme="majorHAnsi" w:hAnsiTheme="majorHAnsi"/>
          <w:sz w:val="20"/>
          <w:szCs w:val="20"/>
        </w:rPr>
        <w:footnoteReference w:id="11"/>
      </w:r>
      <w:r w:rsidRPr="00662D54">
        <w:rPr>
          <w:rFonts w:asciiTheme="majorHAnsi" w:hAnsiTheme="majorHAnsi"/>
          <w:sz w:val="20"/>
          <w:szCs w:val="20"/>
        </w:rPr>
        <w:t>, and that while monetary compensation awarded to victims as a result of a civil suit is one of the possible remedies, it is not a sufficient one</w:t>
      </w:r>
      <w:r w:rsidRPr="00662D54">
        <w:rPr>
          <w:rStyle w:val="FootnoteReference"/>
          <w:rFonts w:asciiTheme="majorHAnsi" w:hAnsiTheme="majorHAnsi"/>
          <w:sz w:val="20"/>
          <w:szCs w:val="20"/>
        </w:rPr>
        <w:footnoteReference w:id="12"/>
      </w:r>
      <w:r w:rsidRPr="00662D54">
        <w:rPr>
          <w:rFonts w:asciiTheme="majorHAnsi" w:hAnsiTheme="majorHAnsi"/>
          <w:sz w:val="20"/>
          <w:szCs w:val="20"/>
        </w:rPr>
        <w:t>. It comes only after the State has fulfilled its basic obligation to investigate and prosecute</w:t>
      </w:r>
      <w:r w:rsidRPr="00662D54">
        <w:rPr>
          <w:rStyle w:val="FootnoteReference"/>
          <w:rFonts w:asciiTheme="majorHAnsi" w:hAnsiTheme="majorHAnsi"/>
          <w:sz w:val="20"/>
          <w:szCs w:val="20"/>
        </w:rPr>
        <w:footnoteReference w:id="13"/>
      </w:r>
      <w:r w:rsidR="0084731F" w:rsidRPr="00662D54">
        <w:rPr>
          <w:rFonts w:asciiTheme="majorHAnsi" w:hAnsiTheme="majorHAnsi"/>
          <w:sz w:val="20"/>
          <w:szCs w:val="20"/>
        </w:rPr>
        <w:t>.</w:t>
      </w:r>
      <w:r w:rsidRPr="00662D54">
        <w:rPr>
          <w:rFonts w:asciiTheme="majorHAnsi" w:hAnsiTheme="majorHAnsi"/>
          <w:sz w:val="20"/>
          <w:szCs w:val="20"/>
        </w:rPr>
        <w:t xml:space="preserve"> </w:t>
      </w:r>
    </w:p>
    <w:p w14:paraId="2D247667" w14:textId="4A7CC142" w:rsidR="005136A2" w:rsidRPr="00662D54" w:rsidRDefault="00444640" w:rsidP="005136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For its part,</w:t>
      </w:r>
      <w:r w:rsidR="005136A2" w:rsidRPr="00662D54">
        <w:rPr>
          <w:rFonts w:ascii="Cambria" w:hAnsi="Cambria"/>
          <w:sz w:val="20"/>
          <w:szCs w:val="20"/>
        </w:rPr>
        <w:t xml:space="preserve"> the Sate contends that Jamaica cannot be held responsible for unlawfully depriving Paul Richard Brown of his </w:t>
      </w:r>
      <w:r w:rsidR="00B44B52" w:rsidRPr="00662D54">
        <w:rPr>
          <w:rFonts w:ascii="Cambria" w:hAnsi="Cambria"/>
          <w:sz w:val="20"/>
          <w:szCs w:val="20"/>
        </w:rPr>
        <w:t>life,</w:t>
      </w:r>
      <w:r w:rsidR="005136A2" w:rsidRPr="00662D54">
        <w:rPr>
          <w:rFonts w:ascii="Cambria" w:hAnsi="Cambria"/>
          <w:sz w:val="20"/>
          <w:szCs w:val="20"/>
        </w:rPr>
        <w:t xml:space="preserve"> as it is insufficient, as a matter of law, that Montague was a member of the </w:t>
      </w:r>
      <w:r w:rsidR="00A23C94" w:rsidRPr="00662D54">
        <w:rPr>
          <w:rFonts w:ascii="Cambria" w:hAnsi="Cambria"/>
          <w:sz w:val="20"/>
          <w:szCs w:val="20"/>
        </w:rPr>
        <w:t>JCF</w:t>
      </w:r>
      <w:r w:rsidR="005136A2" w:rsidRPr="00662D54">
        <w:rPr>
          <w:rFonts w:ascii="Cambria" w:hAnsi="Cambria"/>
          <w:sz w:val="20"/>
          <w:szCs w:val="20"/>
        </w:rPr>
        <w:t>, since he was off duty at the time of the event, as recognized by the petitioners. Notably, in both versions of the events outlined in the petition, Montague did not identify himself nor was he identified by anyone as a police officer</w:t>
      </w:r>
      <w:r w:rsidR="00FF6B1D" w:rsidRPr="00662D54">
        <w:rPr>
          <w:rFonts w:ascii="Cambria" w:hAnsi="Cambria"/>
          <w:sz w:val="20"/>
          <w:szCs w:val="20"/>
        </w:rPr>
        <w:t xml:space="preserve"> at the </w:t>
      </w:r>
      <w:r w:rsidR="00F058C2" w:rsidRPr="00662D54">
        <w:rPr>
          <w:rFonts w:ascii="Cambria" w:hAnsi="Cambria"/>
          <w:sz w:val="20"/>
          <w:szCs w:val="20"/>
        </w:rPr>
        <w:t>time</w:t>
      </w:r>
      <w:r w:rsidR="00FF6B1D" w:rsidRPr="00662D54">
        <w:rPr>
          <w:rFonts w:ascii="Cambria" w:hAnsi="Cambria"/>
          <w:sz w:val="20"/>
          <w:szCs w:val="20"/>
        </w:rPr>
        <w:t xml:space="preserve"> of the </w:t>
      </w:r>
      <w:r w:rsidR="00F058C2" w:rsidRPr="00662D54">
        <w:rPr>
          <w:rFonts w:ascii="Cambria" w:hAnsi="Cambria"/>
          <w:sz w:val="20"/>
          <w:szCs w:val="20"/>
        </w:rPr>
        <w:t xml:space="preserve">alleged </w:t>
      </w:r>
      <w:r w:rsidR="00FF6B1D" w:rsidRPr="00662D54">
        <w:rPr>
          <w:rFonts w:ascii="Cambria" w:hAnsi="Cambria"/>
          <w:sz w:val="20"/>
          <w:szCs w:val="20"/>
        </w:rPr>
        <w:t>events</w:t>
      </w:r>
      <w:r w:rsidR="005136A2" w:rsidRPr="00662D54">
        <w:rPr>
          <w:rFonts w:ascii="Cambria" w:hAnsi="Cambria"/>
          <w:sz w:val="20"/>
          <w:szCs w:val="20"/>
        </w:rPr>
        <w:t>. The</w:t>
      </w:r>
      <w:r w:rsidRPr="00662D54">
        <w:rPr>
          <w:rFonts w:ascii="Cambria" w:hAnsi="Cambria"/>
          <w:sz w:val="20"/>
          <w:szCs w:val="20"/>
        </w:rPr>
        <w:t xml:space="preserve"> State </w:t>
      </w:r>
      <w:r w:rsidR="005136A2" w:rsidRPr="00662D54">
        <w:rPr>
          <w:rFonts w:ascii="Cambria" w:hAnsi="Cambria"/>
          <w:sz w:val="20"/>
          <w:szCs w:val="20"/>
        </w:rPr>
        <w:t xml:space="preserve">further </w:t>
      </w:r>
      <w:r w:rsidRPr="00662D54">
        <w:rPr>
          <w:rFonts w:ascii="Cambria" w:hAnsi="Cambria"/>
          <w:sz w:val="20"/>
          <w:szCs w:val="20"/>
        </w:rPr>
        <w:t xml:space="preserve">submits that the petition is inadmissible </w:t>
      </w:r>
      <w:r w:rsidR="005136A2" w:rsidRPr="00662D54">
        <w:rPr>
          <w:rFonts w:ascii="Cambria" w:hAnsi="Cambria"/>
          <w:sz w:val="20"/>
          <w:szCs w:val="20"/>
        </w:rPr>
        <w:t xml:space="preserve">because </w:t>
      </w:r>
      <w:r w:rsidRPr="00662D54">
        <w:rPr>
          <w:rFonts w:ascii="Cambria" w:hAnsi="Cambria"/>
          <w:sz w:val="20"/>
          <w:szCs w:val="20"/>
        </w:rPr>
        <w:t>the domestic remedies were not exhausted</w:t>
      </w:r>
      <w:r w:rsidR="005136A2" w:rsidRPr="00662D54">
        <w:rPr>
          <w:rFonts w:ascii="Cambria" w:hAnsi="Cambria"/>
          <w:sz w:val="20"/>
          <w:szCs w:val="20"/>
        </w:rPr>
        <w:t>, the unwarranted delay exception is inapplicable in the present petition</w:t>
      </w:r>
      <w:r w:rsidRPr="00662D54">
        <w:rPr>
          <w:rFonts w:ascii="Cambria" w:hAnsi="Cambria"/>
          <w:sz w:val="20"/>
          <w:szCs w:val="20"/>
        </w:rPr>
        <w:t xml:space="preserve"> and the State fulfilled its duty to inv</w:t>
      </w:r>
      <w:r w:rsidR="005136A2" w:rsidRPr="00662D54">
        <w:rPr>
          <w:rFonts w:ascii="Cambria" w:hAnsi="Cambria"/>
          <w:sz w:val="20"/>
          <w:szCs w:val="20"/>
        </w:rPr>
        <w:t>estigate, prosecute and punish.</w:t>
      </w:r>
    </w:p>
    <w:p w14:paraId="51360AD7" w14:textId="2EB458F2" w:rsidR="00F2633F" w:rsidRPr="00662D54" w:rsidRDefault="005136A2" w:rsidP="00B36E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Th</w:t>
      </w:r>
      <w:r w:rsidR="00F47A06" w:rsidRPr="00662D54">
        <w:rPr>
          <w:rFonts w:ascii="Cambria" w:hAnsi="Cambria"/>
          <w:sz w:val="20"/>
          <w:szCs w:val="20"/>
        </w:rPr>
        <w:t xml:space="preserve">e State </w:t>
      </w:r>
      <w:r w:rsidR="009543CD" w:rsidRPr="00662D54">
        <w:rPr>
          <w:rFonts w:ascii="Cambria" w:hAnsi="Cambria"/>
          <w:sz w:val="20"/>
          <w:szCs w:val="20"/>
        </w:rPr>
        <w:t>submits</w:t>
      </w:r>
      <w:r w:rsidRPr="00662D54">
        <w:rPr>
          <w:rFonts w:ascii="Cambria" w:hAnsi="Cambria"/>
          <w:sz w:val="20"/>
          <w:szCs w:val="20"/>
        </w:rPr>
        <w:t xml:space="preserve"> that the </w:t>
      </w:r>
      <w:r w:rsidR="00F47A06" w:rsidRPr="00662D54">
        <w:rPr>
          <w:rFonts w:ascii="Cambria" w:hAnsi="Cambria"/>
          <w:sz w:val="20"/>
          <w:szCs w:val="20"/>
        </w:rPr>
        <w:t>civil proceedings</w:t>
      </w:r>
      <w:r w:rsidR="00B44B52" w:rsidRPr="00662D54">
        <w:rPr>
          <w:rFonts w:ascii="Cambria" w:hAnsi="Cambria"/>
          <w:sz w:val="20"/>
          <w:szCs w:val="20"/>
        </w:rPr>
        <w:t xml:space="preserve"> have not been exhausted</w:t>
      </w:r>
      <w:r w:rsidR="00F47A06" w:rsidRPr="00662D54">
        <w:rPr>
          <w:rFonts w:ascii="Cambria" w:hAnsi="Cambria"/>
          <w:sz w:val="20"/>
          <w:szCs w:val="20"/>
        </w:rPr>
        <w:t xml:space="preserve"> in Jamaica in the form of constitutional relief for the alleged violation of human rights, and thus the requirement set forth in Article 46(1)</w:t>
      </w:r>
      <w:r w:rsidR="00B44B52" w:rsidRPr="00662D54">
        <w:rPr>
          <w:rFonts w:ascii="Cambria" w:hAnsi="Cambria"/>
          <w:sz w:val="20"/>
          <w:szCs w:val="20"/>
        </w:rPr>
        <w:t xml:space="preserve"> of the Convention haven’t been met</w:t>
      </w:r>
      <w:r w:rsidR="00F47A06" w:rsidRPr="00662D54">
        <w:rPr>
          <w:rFonts w:ascii="Cambria" w:hAnsi="Cambria"/>
          <w:sz w:val="20"/>
          <w:szCs w:val="20"/>
        </w:rPr>
        <w:t xml:space="preserve">. The Government hereby invites the Commission to depart from its previously held position in so far as suggesting that civil remedies are inadequate or ineffective remedies for alleged breaches of non-derogable rights by the State, and in turn submits that civil proceedings are an adequate and effective remedy and must be pursued by the petitioner regardless of whether the State has failed to adequately pursue the criminal process. Section 19(1) of the Constitution of Jamaica recognizes the rights of persons to approach the Supreme Court for redress for human rights violations, including violations of the right to life and of the right not to be subjected to cruel and inhumane treatment. </w:t>
      </w:r>
      <w:r w:rsidR="00F02E75" w:rsidRPr="00662D54">
        <w:rPr>
          <w:rFonts w:ascii="Cambria" w:hAnsi="Cambria"/>
          <w:sz w:val="20"/>
          <w:szCs w:val="20"/>
        </w:rPr>
        <w:t xml:space="preserve">The State submits that a remedy capable of establishing State liability is essential, where it is alleged, as in this case, that the State is directly responsible for unlawfully depriving someone’s life. Civil proceedings allow so, contrasting with the criminal process, which </w:t>
      </w:r>
      <w:r w:rsidR="00F47A06" w:rsidRPr="00662D54">
        <w:rPr>
          <w:rFonts w:ascii="Cambria" w:hAnsi="Cambria"/>
          <w:sz w:val="20"/>
          <w:szCs w:val="20"/>
        </w:rPr>
        <w:t xml:space="preserve">by </w:t>
      </w:r>
      <w:r w:rsidR="00F02E75" w:rsidRPr="00662D54">
        <w:rPr>
          <w:rFonts w:ascii="Cambria" w:hAnsi="Cambria"/>
          <w:sz w:val="20"/>
          <w:szCs w:val="20"/>
        </w:rPr>
        <w:t>its</w:t>
      </w:r>
      <w:r w:rsidR="00F47A06" w:rsidRPr="00662D54">
        <w:rPr>
          <w:rFonts w:ascii="Cambria" w:hAnsi="Cambria"/>
          <w:sz w:val="20"/>
          <w:szCs w:val="20"/>
        </w:rPr>
        <w:t xml:space="preserve"> very nature</w:t>
      </w:r>
      <w:r w:rsidR="00F02E75" w:rsidRPr="00662D54">
        <w:rPr>
          <w:rFonts w:ascii="Cambria" w:hAnsi="Cambria"/>
          <w:sz w:val="20"/>
          <w:szCs w:val="20"/>
        </w:rPr>
        <w:t xml:space="preserve"> cannot properly establish </w:t>
      </w:r>
      <w:r w:rsidR="00F47A06" w:rsidRPr="00662D54">
        <w:rPr>
          <w:rFonts w:ascii="Cambria" w:hAnsi="Cambria"/>
          <w:sz w:val="20"/>
          <w:szCs w:val="20"/>
        </w:rPr>
        <w:t>the responsibility of the State; the criminal law process</w:t>
      </w:r>
      <w:r w:rsidR="00F02E75" w:rsidRPr="00662D54">
        <w:rPr>
          <w:rFonts w:ascii="Cambria" w:hAnsi="Cambria"/>
          <w:sz w:val="20"/>
          <w:szCs w:val="20"/>
        </w:rPr>
        <w:t xml:space="preserve"> rather ho</w:t>
      </w:r>
      <w:r w:rsidR="00F47A06" w:rsidRPr="00662D54">
        <w:rPr>
          <w:rFonts w:ascii="Cambria" w:hAnsi="Cambria"/>
          <w:sz w:val="20"/>
          <w:szCs w:val="20"/>
        </w:rPr>
        <w:t>lds indivi</w:t>
      </w:r>
      <w:r w:rsidR="00F02E75" w:rsidRPr="00662D54">
        <w:rPr>
          <w:rFonts w:ascii="Cambria" w:hAnsi="Cambria"/>
          <w:sz w:val="20"/>
          <w:szCs w:val="20"/>
        </w:rPr>
        <w:t xml:space="preserve">duals responsible for offences. </w:t>
      </w:r>
      <w:r w:rsidR="00F47A06" w:rsidRPr="00662D54">
        <w:rPr>
          <w:rFonts w:ascii="Cambria" w:hAnsi="Cambria"/>
          <w:sz w:val="20"/>
          <w:szCs w:val="20"/>
        </w:rPr>
        <w:t>In addition, they cannot provide or facilitate the delivery of compensation</w:t>
      </w:r>
      <w:r w:rsidR="00F02E75" w:rsidRPr="00662D54">
        <w:rPr>
          <w:rFonts w:ascii="Cambria" w:hAnsi="Cambria"/>
          <w:sz w:val="20"/>
          <w:szCs w:val="20"/>
        </w:rPr>
        <w:t xml:space="preserve">. </w:t>
      </w:r>
      <w:r w:rsidR="00F47A06" w:rsidRPr="00662D54">
        <w:rPr>
          <w:rFonts w:ascii="Cambria" w:hAnsi="Cambria"/>
          <w:sz w:val="20"/>
          <w:szCs w:val="20"/>
        </w:rPr>
        <w:t>The State submits that civil proceedings are effective as it adheres to the principles of due process, including safeguards for judicial independence and impartiality</w:t>
      </w:r>
      <w:r w:rsidR="00F02E75" w:rsidRPr="00662D54">
        <w:rPr>
          <w:rFonts w:ascii="Cambria" w:hAnsi="Cambria"/>
          <w:sz w:val="20"/>
          <w:szCs w:val="20"/>
        </w:rPr>
        <w:t>.</w:t>
      </w:r>
      <w:r w:rsidR="00FF6964" w:rsidRPr="00662D54">
        <w:rPr>
          <w:rFonts w:ascii="Cambria" w:hAnsi="Cambria"/>
          <w:sz w:val="20"/>
          <w:szCs w:val="20"/>
        </w:rPr>
        <w:t xml:space="preserve"> </w:t>
      </w:r>
      <w:r w:rsidR="00F02E75" w:rsidRPr="00662D54">
        <w:rPr>
          <w:rFonts w:ascii="Cambria" w:hAnsi="Cambria"/>
          <w:sz w:val="20"/>
          <w:szCs w:val="20"/>
        </w:rPr>
        <w:t>T</w:t>
      </w:r>
      <w:r w:rsidR="00F47A06" w:rsidRPr="00662D54">
        <w:rPr>
          <w:rFonts w:ascii="Cambria" w:hAnsi="Cambria"/>
          <w:sz w:val="20"/>
          <w:szCs w:val="20"/>
        </w:rPr>
        <w:t>he State underscores that a perceived failure to</w:t>
      </w:r>
      <w:r w:rsidR="00F02E75" w:rsidRPr="00662D54">
        <w:rPr>
          <w:rFonts w:ascii="Cambria" w:hAnsi="Cambria"/>
          <w:sz w:val="20"/>
          <w:szCs w:val="20"/>
        </w:rPr>
        <w:t xml:space="preserve"> adequately</w:t>
      </w:r>
      <w:r w:rsidR="00F47A06" w:rsidRPr="00662D54">
        <w:rPr>
          <w:rFonts w:ascii="Cambria" w:hAnsi="Cambria"/>
          <w:sz w:val="20"/>
          <w:szCs w:val="20"/>
        </w:rPr>
        <w:t xml:space="preserve"> investigate and prosecute does not dispense with the need to exhaust remedies for allegations that the State is responsible for an unlawful killing or failed in its duty to prevent or punish its occurrence</w:t>
      </w:r>
      <w:r w:rsidR="00F2633F" w:rsidRPr="00662D54">
        <w:rPr>
          <w:rFonts w:ascii="Cambria" w:hAnsi="Cambria"/>
          <w:sz w:val="20"/>
          <w:szCs w:val="20"/>
        </w:rPr>
        <w:t>.</w:t>
      </w:r>
      <w:r w:rsidR="00FF6964" w:rsidRPr="00662D54">
        <w:t xml:space="preserve"> </w:t>
      </w:r>
      <w:r w:rsidR="00FF6964" w:rsidRPr="00662D54">
        <w:rPr>
          <w:rFonts w:ascii="Cambria" w:hAnsi="Cambria"/>
          <w:sz w:val="20"/>
          <w:szCs w:val="20"/>
        </w:rPr>
        <w:t>Irrespective of whether it is alleged that the criminal justice process is not sufficiently pursued, civil proceedings remain adequate and effective</w:t>
      </w:r>
      <w:r w:rsidR="00F058C2" w:rsidRPr="00662D54">
        <w:rPr>
          <w:rFonts w:ascii="Cambria" w:hAnsi="Cambria"/>
          <w:sz w:val="20"/>
          <w:szCs w:val="20"/>
        </w:rPr>
        <w:t>.</w:t>
      </w:r>
    </w:p>
    <w:p w14:paraId="50B63F66" w14:textId="7FF92C44" w:rsidR="00F47A06" w:rsidRPr="00662D54" w:rsidRDefault="00F02E75" w:rsidP="001262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The State further argues</w:t>
      </w:r>
      <w:r w:rsidR="001262A7" w:rsidRPr="00662D54">
        <w:rPr>
          <w:rFonts w:ascii="Cambria" w:hAnsi="Cambria"/>
          <w:sz w:val="20"/>
          <w:szCs w:val="20"/>
        </w:rPr>
        <w:t xml:space="preserve"> that the well-established principle that States have the duty to pursue the criminal justice process is incompatible with the view that the criminal justice process is a remedy to be exhausted</w:t>
      </w:r>
      <w:r w:rsidR="00E624D2" w:rsidRPr="00662D54">
        <w:rPr>
          <w:rFonts w:ascii="Cambria" w:hAnsi="Cambria"/>
          <w:sz w:val="20"/>
          <w:szCs w:val="20"/>
        </w:rPr>
        <w:t xml:space="preserve"> and </w:t>
      </w:r>
      <w:r w:rsidR="001262A7" w:rsidRPr="00662D54">
        <w:rPr>
          <w:rFonts w:ascii="Cambria" w:hAnsi="Cambria"/>
          <w:sz w:val="20"/>
          <w:szCs w:val="20"/>
        </w:rPr>
        <w:t>invites the Commission to depart from this approach. T</w:t>
      </w:r>
      <w:r w:rsidRPr="00662D54">
        <w:rPr>
          <w:rFonts w:ascii="Cambria" w:hAnsi="Cambria"/>
          <w:sz w:val="20"/>
          <w:szCs w:val="20"/>
        </w:rPr>
        <w:t xml:space="preserve">he unwarranted delay exception is inapplicable </w:t>
      </w:r>
      <w:r w:rsidR="00F2633F" w:rsidRPr="00662D54">
        <w:rPr>
          <w:rFonts w:ascii="Cambria" w:hAnsi="Cambria"/>
          <w:sz w:val="20"/>
          <w:szCs w:val="20"/>
        </w:rPr>
        <w:t>where the appropriate remedies have never been initiated by th</w:t>
      </w:r>
      <w:r w:rsidR="00F058C2" w:rsidRPr="00662D54">
        <w:rPr>
          <w:rFonts w:ascii="Cambria" w:hAnsi="Cambria"/>
          <w:sz w:val="20"/>
          <w:szCs w:val="20"/>
        </w:rPr>
        <w:t>e alleged victims or petitioner</w:t>
      </w:r>
      <w:r w:rsidR="00E624D2" w:rsidRPr="00662D54">
        <w:rPr>
          <w:rFonts w:ascii="Cambria" w:hAnsi="Cambria"/>
          <w:sz w:val="20"/>
          <w:szCs w:val="20"/>
        </w:rPr>
        <w:t>; t</w:t>
      </w:r>
      <w:r w:rsidR="00F058C2" w:rsidRPr="00662D54">
        <w:rPr>
          <w:rFonts w:ascii="Cambria" w:hAnsi="Cambria"/>
          <w:sz w:val="20"/>
          <w:szCs w:val="20"/>
        </w:rPr>
        <w:t>he criminal justice is not a “remedy” that should be “exhausted” by a petitioner</w:t>
      </w:r>
      <w:r w:rsidR="001262A7" w:rsidRPr="00662D54">
        <w:rPr>
          <w:rFonts w:ascii="Cambria" w:hAnsi="Cambria"/>
          <w:sz w:val="20"/>
          <w:szCs w:val="20"/>
        </w:rPr>
        <w:t>.</w:t>
      </w:r>
      <w:r w:rsidR="00F2633F" w:rsidRPr="00662D54">
        <w:rPr>
          <w:rFonts w:ascii="Cambria" w:hAnsi="Cambria"/>
          <w:sz w:val="20"/>
          <w:szCs w:val="20"/>
        </w:rPr>
        <w:t xml:space="preserve"> It is submitted that the adequate pursuit of the criminal justice process </w:t>
      </w:r>
      <w:r w:rsidR="001262A7" w:rsidRPr="00662D54">
        <w:rPr>
          <w:rFonts w:ascii="Cambria" w:hAnsi="Cambria"/>
          <w:sz w:val="20"/>
          <w:szCs w:val="20"/>
        </w:rPr>
        <w:t xml:space="preserve">is </w:t>
      </w:r>
      <w:r w:rsidR="00F2633F" w:rsidRPr="00662D54">
        <w:rPr>
          <w:rFonts w:ascii="Cambria" w:hAnsi="Cambria"/>
          <w:sz w:val="20"/>
          <w:szCs w:val="20"/>
        </w:rPr>
        <w:t>a form of reparations or relief</w:t>
      </w:r>
      <w:r w:rsidR="001262A7" w:rsidRPr="00662D54">
        <w:rPr>
          <w:rFonts w:ascii="Cambria" w:hAnsi="Cambria"/>
          <w:sz w:val="20"/>
          <w:szCs w:val="20"/>
        </w:rPr>
        <w:t xml:space="preserve">, rather than </w:t>
      </w:r>
      <w:r w:rsidR="00F2633F" w:rsidRPr="00662D54">
        <w:rPr>
          <w:rFonts w:ascii="Cambria" w:hAnsi="Cambria"/>
          <w:sz w:val="20"/>
          <w:szCs w:val="20"/>
        </w:rPr>
        <w:t>a forum in which arguable claims of human rights violations are resolved and which alleged victims must pursue to gain relief.</w:t>
      </w:r>
      <w:r w:rsidR="00F2633F" w:rsidRPr="00662D54">
        <w:t xml:space="preserve"> </w:t>
      </w:r>
      <w:r w:rsidR="00F2633F" w:rsidRPr="00662D54">
        <w:rPr>
          <w:rFonts w:ascii="Cambria" w:hAnsi="Cambria"/>
          <w:sz w:val="20"/>
          <w:szCs w:val="20"/>
        </w:rPr>
        <w:t xml:space="preserve">It is instead </w:t>
      </w:r>
      <w:r w:rsidR="00F2633F" w:rsidRPr="00662D54">
        <w:rPr>
          <w:rFonts w:ascii="Cambria" w:hAnsi="Cambria"/>
          <w:sz w:val="20"/>
          <w:szCs w:val="20"/>
        </w:rPr>
        <w:lastRenderedPageBreak/>
        <w:t xml:space="preserve">reiterated that the </w:t>
      </w:r>
      <w:r w:rsidR="00E624D2" w:rsidRPr="00662D54">
        <w:rPr>
          <w:rFonts w:ascii="Cambria" w:hAnsi="Cambria"/>
          <w:sz w:val="20"/>
          <w:szCs w:val="20"/>
        </w:rPr>
        <w:t>remedy that is to be exhausted in this matter</w:t>
      </w:r>
      <w:r w:rsidR="00F2633F" w:rsidRPr="00662D54">
        <w:rPr>
          <w:rFonts w:ascii="Cambria" w:hAnsi="Cambria"/>
          <w:sz w:val="20"/>
          <w:szCs w:val="20"/>
        </w:rPr>
        <w:t xml:space="preserve"> is civil/constitutional proceedings. Therefore, had there been inordinate delay in those proceedings, the unwarranted delay exception would have been applicable – in the present case, there has been no pursuit of this remedy.</w:t>
      </w:r>
    </w:p>
    <w:p w14:paraId="3C5044D9" w14:textId="0E8B6D32" w:rsidR="00FF6964" w:rsidRPr="00662D54" w:rsidRDefault="00FF6964" w:rsidP="001262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Finally, the State submits that it has resolved any arguable complaint of an extra-judicial killing thus depriving the Commission of jurisdiction over the complaint.</w:t>
      </w:r>
      <w:r w:rsidR="00657762" w:rsidRPr="00662D54">
        <w:rPr>
          <w:rFonts w:ascii="Cambria" w:hAnsi="Cambria"/>
          <w:sz w:val="20"/>
          <w:szCs w:val="20"/>
        </w:rPr>
        <w:t xml:space="preserve"> The petition acknowledges that the investigation commenced immediately, and that it involved </w:t>
      </w:r>
      <w:r w:rsidR="00657762" w:rsidRPr="00662D54">
        <w:rPr>
          <w:rFonts w:ascii="Cambria" w:hAnsi="Cambria"/>
          <w:i/>
          <w:sz w:val="20"/>
          <w:szCs w:val="20"/>
        </w:rPr>
        <w:t>inter alia</w:t>
      </w:r>
      <w:r w:rsidR="00657762" w:rsidRPr="00662D54">
        <w:rPr>
          <w:rFonts w:ascii="Cambria" w:hAnsi="Cambria"/>
          <w:sz w:val="20"/>
          <w:szCs w:val="20"/>
        </w:rPr>
        <w:t xml:space="preserve"> interviewing Owen Montague, taking possession of his gun as evidence, examining his car, examining the scene of the shooting and interviewing eyewitnesses</w:t>
      </w:r>
      <w:r w:rsidR="00CD7120" w:rsidRPr="00662D54">
        <w:rPr>
          <w:rFonts w:ascii="Cambria" w:hAnsi="Cambria"/>
          <w:sz w:val="20"/>
          <w:szCs w:val="20"/>
        </w:rPr>
        <w:t xml:space="preserve">. The Director of Public Prosecutions promptly determined that the officer be arrested and charged with murder. The criminal proceedings commenced on August 10, 2009. Montague pleaded guilty to the offence of manslaughter for the killing of Paul Brown and, on June 6, 2019, </w:t>
      </w:r>
      <w:r w:rsidR="001262A7" w:rsidRPr="00662D54">
        <w:rPr>
          <w:rFonts w:ascii="Cambria" w:hAnsi="Cambria"/>
          <w:sz w:val="20"/>
          <w:szCs w:val="20"/>
        </w:rPr>
        <w:t xml:space="preserve">he </w:t>
      </w:r>
      <w:r w:rsidR="00CD7120" w:rsidRPr="00662D54">
        <w:rPr>
          <w:rFonts w:ascii="Cambria" w:hAnsi="Cambria"/>
          <w:sz w:val="20"/>
          <w:szCs w:val="20"/>
        </w:rPr>
        <w:t>was sentenced to three years imprisonment. Accordingly, the State fulfilled its duty to in</w:t>
      </w:r>
      <w:r w:rsidR="001262A7" w:rsidRPr="00662D54">
        <w:rPr>
          <w:rFonts w:ascii="Cambria" w:hAnsi="Cambria"/>
          <w:sz w:val="20"/>
          <w:szCs w:val="20"/>
        </w:rPr>
        <w:t xml:space="preserve">vestigate, prosecute and punish. The </w:t>
      </w:r>
      <w:r w:rsidR="00EB03D1" w:rsidRPr="00662D54">
        <w:rPr>
          <w:rFonts w:ascii="Cambria" w:hAnsi="Cambria"/>
          <w:sz w:val="20"/>
          <w:szCs w:val="20"/>
        </w:rPr>
        <w:t>petitioners</w:t>
      </w:r>
      <w:r w:rsidR="001262A7" w:rsidRPr="00662D54">
        <w:rPr>
          <w:rFonts w:ascii="Cambria" w:hAnsi="Cambria"/>
          <w:sz w:val="20"/>
          <w:szCs w:val="20"/>
        </w:rPr>
        <w:t xml:space="preserve">’ </w:t>
      </w:r>
      <w:r w:rsidR="00EB03D1" w:rsidRPr="00662D54">
        <w:rPr>
          <w:rFonts w:ascii="Cambria" w:hAnsi="Cambria"/>
          <w:sz w:val="20"/>
          <w:szCs w:val="20"/>
        </w:rPr>
        <w:t xml:space="preserve">thus bear the burden of showing that the State’s efforts have nonetheless been manifestly ineffective – they failed to do so. </w:t>
      </w:r>
      <w:r w:rsidR="00DF5796" w:rsidRPr="00662D54">
        <w:rPr>
          <w:rFonts w:ascii="Cambria" w:hAnsi="Cambria"/>
          <w:sz w:val="20"/>
          <w:szCs w:val="20"/>
        </w:rPr>
        <w:t xml:space="preserve">The petitioners failed to point </w:t>
      </w:r>
      <w:r w:rsidR="001262A7" w:rsidRPr="00662D54">
        <w:rPr>
          <w:rFonts w:ascii="Cambria" w:hAnsi="Cambria"/>
          <w:sz w:val="20"/>
          <w:szCs w:val="20"/>
        </w:rPr>
        <w:t>at any serious defect or any significant shortcoming in the investigation.</w:t>
      </w:r>
      <w:r w:rsidR="00DF5796" w:rsidRPr="00662D54">
        <w:rPr>
          <w:rFonts w:ascii="Cambria" w:hAnsi="Cambria"/>
          <w:sz w:val="20"/>
          <w:szCs w:val="20"/>
        </w:rPr>
        <w:t xml:space="preserve"> Additionally, when taking into consideration that Montague was sentenced for manslaughter, rather than murder, and pleaded guilty, there is no manifest disproportion between the nature of the offence and the sentence imposed</w:t>
      </w:r>
      <w:r w:rsidR="00317AEB" w:rsidRPr="00662D54">
        <w:rPr>
          <w:rFonts w:ascii="Cambria" w:hAnsi="Cambria"/>
          <w:sz w:val="20"/>
          <w:szCs w:val="20"/>
        </w:rPr>
        <w:t>. The DPP chose</w:t>
      </w:r>
      <w:r w:rsidR="00317AEB" w:rsidRPr="00662D54">
        <w:t xml:space="preserve"> </w:t>
      </w:r>
      <w:r w:rsidR="00317AEB" w:rsidRPr="00662D54">
        <w:rPr>
          <w:rFonts w:ascii="Cambria" w:hAnsi="Cambria"/>
          <w:sz w:val="20"/>
          <w:szCs w:val="20"/>
        </w:rPr>
        <w:t>not to contest the plea of manslaughter as it judged that there was enough evidence to raise the issue of provocation</w:t>
      </w:r>
      <w:r w:rsidR="00DF5796" w:rsidRPr="00662D54">
        <w:rPr>
          <w:rFonts w:ascii="Cambria" w:hAnsi="Cambria"/>
          <w:sz w:val="20"/>
          <w:szCs w:val="20"/>
        </w:rPr>
        <w:t>. Finally, though the State regrets the delay in concluding this case, it is manifest that the delay did not undermine the integrity or effectiveness of the criminal justice process, which the State reiterates should be the Commission’s primary consideration.</w:t>
      </w:r>
      <w:r w:rsidR="00DF5796" w:rsidRPr="00662D54">
        <w:t xml:space="preserve"> </w:t>
      </w:r>
      <w:r w:rsidR="00DF5796" w:rsidRPr="00662D54">
        <w:rPr>
          <w:rFonts w:ascii="Cambria" w:hAnsi="Cambria"/>
          <w:sz w:val="20"/>
          <w:szCs w:val="20"/>
        </w:rPr>
        <w:t xml:space="preserve">The State also notes that the delay in concluding this case was due mainly to the unavailability of defense counsel or witnesses for the prosecution, on numerous occasions. </w:t>
      </w:r>
      <w:r w:rsidR="00EB03D1" w:rsidRPr="00662D54">
        <w:rPr>
          <w:rFonts w:ascii="Cambria" w:hAnsi="Cambria"/>
          <w:sz w:val="20"/>
          <w:szCs w:val="20"/>
        </w:rPr>
        <w:t>The Commission, in determining the overall effectiveness of the State’s efforts, must accords the appropriate level of deference to the strategies employed and the judgments and assessments made by national authorities concerning matters of fact and internal law.</w:t>
      </w:r>
      <w:r w:rsidR="00052BAF" w:rsidRPr="00662D54">
        <w:rPr>
          <w:rFonts w:ascii="Cambria" w:hAnsi="Cambria"/>
          <w:sz w:val="20"/>
          <w:szCs w:val="20"/>
        </w:rPr>
        <w:t xml:space="preserve"> </w:t>
      </w:r>
      <w:r w:rsidR="001262A7" w:rsidRPr="00662D54">
        <w:rPr>
          <w:rFonts w:ascii="Cambria" w:hAnsi="Cambria"/>
          <w:sz w:val="20"/>
          <w:szCs w:val="20"/>
        </w:rPr>
        <w:t>T</w:t>
      </w:r>
      <w:r w:rsidR="00DF5796" w:rsidRPr="00662D54">
        <w:rPr>
          <w:rFonts w:ascii="Cambria" w:hAnsi="Cambria"/>
          <w:sz w:val="20"/>
          <w:szCs w:val="20"/>
        </w:rPr>
        <w:t>he Commission lacks jurisdiction, in its quasi-judicial capacity, over such a complaint.</w:t>
      </w:r>
    </w:p>
    <w:p w14:paraId="55505107" w14:textId="28153572" w:rsidR="00F621C3" w:rsidRPr="00662D54" w:rsidRDefault="00F621C3" w:rsidP="00B36E57">
      <w:pPr>
        <w:spacing w:before="120" w:after="120"/>
        <w:ind w:firstLine="720"/>
        <w:jc w:val="both"/>
        <w:rPr>
          <w:rFonts w:ascii="Cambria" w:hAnsi="Cambria"/>
          <w:sz w:val="20"/>
          <w:szCs w:val="20"/>
        </w:rPr>
      </w:pPr>
      <w:r w:rsidRPr="00662D54">
        <w:rPr>
          <w:rFonts w:asciiTheme="majorHAnsi" w:eastAsia="Cambria" w:hAnsiTheme="majorHAnsi" w:cs="Cambria"/>
          <w:b/>
          <w:bCs/>
          <w:color w:val="000000"/>
          <w:sz w:val="20"/>
          <w:szCs w:val="20"/>
          <w:u w:color="000000"/>
          <w:lang w:eastAsia="es-ES"/>
        </w:rPr>
        <w:t>VI.</w:t>
      </w:r>
      <w:r w:rsidRPr="00662D54">
        <w:rPr>
          <w:rFonts w:asciiTheme="majorHAnsi" w:eastAsia="Cambria" w:hAnsiTheme="majorHAnsi" w:cs="Cambria"/>
          <w:b/>
          <w:bCs/>
          <w:color w:val="000000"/>
          <w:sz w:val="20"/>
          <w:szCs w:val="20"/>
          <w:u w:color="000000"/>
          <w:lang w:eastAsia="es-ES"/>
        </w:rPr>
        <w:tab/>
      </w:r>
      <w:r w:rsidR="001F1902" w:rsidRPr="00662D54">
        <w:rPr>
          <w:rFonts w:asciiTheme="majorHAnsi" w:hAnsiTheme="majorHAnsi"/>
          <w:b/>
          <w:bCs/>
          <w:sz w:val="20"/>
          <w:szCs w:val="20"/>
        </w:rPr>
        <w:t xml:space="preserve">ANALYSIS OF </w:t>
      </w:r>
      <w:r w:rsidRPr="00662D54">
        <w:rPr>
          <w:rFonts w:asciiTheme="majorHAnsi" w:hAnsiTheme="majorHAnsi"/>
          <w:b/>
          <w:sz w:val="20"/>
          <w:szCs w:val="20"/>
        </w:rPr>
        <w:t>EXHAUSTION OF DOMESTIC REMEDIES AND TIMELINESS OF THE PETITION</w:t>
      </w:r>
      <w:r w:rsidRPr="00662D54">
        <w:rPr>
          <w:rFonts w:asciiTheme="majorHAnsi" w:eastAsia="Cambria" w:hAnsiTheme="majorHAnsi" w:cs="Cambria"/>
          <w:b/>
          <w:bCs/>
          <w:color w:val="000000"/>
          <w:sz w:val="20"/>
          <w:szCs w:val="20"/>
          <w:u w:color="000000"/>
          <w:lang w:eastAsia="es-ES"/>
        </w:rPr>
        <w:t xml:space="preserve"> </w:t>
      </w:r>
    </w:p>
    <w:p w14:paraId="633B912A" w14:textId="57FE27C8" w:rsidR="003416AA" w:rsidRPr="00662D54" w:rsidRDefault="003416AA" w:rsidP="00B36E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662D54">
        <w:rPr>
          <w:rFonts w:asciiTheme="majorHAnsi" w:hAnsiTheme="majorHAnsi"/>
          <w:sz w:val="20"/>
          <w:szCs w:val="20"/>
        </w:rPr>
        <w:t>The petitioners</w:t>
      </w:r>
      <w:r w:rsidR="00B026BC" w:rsidRPr="00662D54">
        <w:rPr>
          <w:rFonts w:asciiTheme="majorHAnsi" w:hAnsiTheme="majorHAnsi"/>
          <w:sz w:val="20"/>
          <w:szCs w:val="20"/>
        </w:rPr>
        <w:t xml:space="preserve"> submit</w:t>
      </w:r>
      <w:r w:rsidRPr="00662D54">
        <w:rPr>
          <w:rFonts w:asciiTheme="majorHAnsi" w:hAnsiTheme="majorHAnsi"/>
          <w:sz w:val="20"/>
          <w:szCs w:val="20"/>
        </w:rPr>
        <w:t xml:space="preserve"> that the State failed to meet its duty to conduct an effective investigation, prosecution and adjudication</w:t>
      </w:r>
      <w:r w:rsidR="00C75A64" w:rsidRPr="00662D54">
        <w:rPr>
          <w:rFonts w:asciiTheme="majorHAnsi" w:hAnsiTheme="majorHAnsi"/>
          <w:sz w:val="20"/>
          <w:szCs w:val="20"/>
        </w:rPr>
        <w:t>.</w:t>
      </w:r>
      <w:r w:rsidRPr="00662D54">
        <w:rPr>
          <w:rFonts w:asciiTheme="majorHAnsi" w:hAnsiTheme="majorHAnsi"/>
          <w:sz w:val="20"/>
          <w:szCs w:val="20"/>
        </w:rPr>
        <w:t xml:space="preserve"> They argue that the c</w:t>
      </w:r>
      <w:r w:rsidR="001C606F" w:rsidRPr="00662D54">
        <w:rPr>
          <w:rFonts w:asciiTheme="majorHAnsi" w:hAnsiTheme="majorHAnsi"/>
          <w:sz w:val="20"/>
          <w:szCs w:val="20"/>
        </w:rPr>
        <w:t>riminal prosecution in Paul Richard Brown</w:t>
      </w:r>
      <w:r w:rsidRPr="00662D54">
        <w:rPr>
          <w:rFonts w:asciiTheme="majorHAnsi" w:hAnsiTheme="majorHAnsi"/>
          <w:sz w:val="20"/>
          <w:szCs w:val="20"/>
        </w:rPr>
        <w:t>’s case was ineffective</w:t>
      </w:r>
      <w:r w:rsidR="001C606F" w:rsidRPr="00662D54">
        <w:rPr>
          <w:rFonts w:asciiTheme="majorHAnsi" w:hAnsiTheme="majorHAnsi"/>
          <w:sz w:val="20"/>
          <w:szCs w:val="20"/>
        </w:rPr>
        <w:t xml:space="preserve">, </w:t>
      </w:r>
      <w:r w:rsidR="00C75A64" w:rsidRPr="00662D54">
        <w:rPr>
          <w:rFonts w:asciiTheme="majorHAnsi" w:hAnsiTheme="majorHAnsi"/>
          <w:sz w:val="20"/>
          <w:szCs w:val="20"/>
        </w:rPr>
        <w:t xml:space="preserve">that there has been undue delay between the murder and the conviction </w:t>
      </w:r>
      <w:r w:rsidR="001C606F" w:rsidRPr="00662D54">
        <w:rPr>
          <w:rFonts w:asciiTheme="majorHAnsi" w:hAnsiTheme="majorHAnsi"/>
          <w:sz w:val="20"/>
          <w:szCs w:val="20"/>
        </w:rPr>
        <w:t>and that the three years sentencing is grossly disproportionate to the crime committed. They submit that, i</w:t>
      </w:r>
      <w:r w:rsidRPr="00662D54">
        <w:rPr>
          <w:rFonts w:asciiTheme="majorHAnsi" w:hAnsiTheme="majorHAnsi"/>
          <w:sz w:val="20"/>
          <w:szCs w:val="20"/>
        </w:rPr>
        <w:t>n accordance, the exception to the rule of exhaustion of domestic remed</w:t>
      </w:r>
      <w:r w:rsidR="00C75A64" w:rsidRPr="00662D54">
        <w:rPr>
          <w:rFonts w:asciiTheme="majorHAnsi" w:hAnsiTheme="majorHAnsi"/>
          <w:sz w:val="20"/>
          <w:szCs w:val="20"/>
        </w:rPr>
        <w:t>ies set forth in Article 46(2)(c</w:t>
      </w:r>
      <w:r w:rsidRPr="00662D54">
        <w:rPr>
          <w:rFonts w:asciiTheme="majorHAnsi" w:hAnsiTheme="majorHAnsi"/>
          <w:sz w:val="20"/>
          <w:szCs w:val="20"/>
        </w:rPr>
        <w:t>) is applicable. In addition, they submit that civil proceedings need not be exhausted in the case of an alleged violation of the right to life when criminal proceedings have been initiated and that they are not an adequate remedy for a case of extra-judicial killing. For its part, the State submits</w:t>
      </w:r>
      <w:r w:rsidR="00DC37CC" w:rsidRPr="00662D54">
        <w:rPr>
          <w:rFonts w:asciiTheme="majorHAnsi" w:hAnsiTheme="majorHAnsi"/>
          <w:sz w:val="20"/>
          <w:szCs w:val="20"/>
        </w:rPr>
        <w:t xml:space="preserve"> that it</w:t>
      </w:r>
      <w:r w:rsidR="001C606F" w:rsidRPr="00662D54">
        <w:rPr>
          <w:rFonts w:asciiTheme="majorHAnsi" w:hAnsiTheme="majorHAnsi"/>
          <w:sz w:val="20"/>
          <w:szCs w:val="20"/>
        </w:rPr>
        <w:t xml:space="preserve"> </w:t>
      </w:r>
      <w:r w:rsidR="00DC37CC" w:rsidRPr="00662D54">
        <w:rPr>
          <w:rFonts w:ascii="Cambria" w:hAnsi="Cambria"/>
          <w:sz w:val="20"/>
          <w:szCs w:val="20"/>
        </w:rPr>
        <w:t xml:space="preserve">fulfilled its duty to investigate, prosecute and punish, but </w:t>
      </w:r>
      <w:r w:rsidRPr="00662D54">
        <w:rPr>
          <w:rFonts w:asciiTheme="majorHAnsi" w:hAnsiTheme="majorHAnsi"/>
          <w:sz w:val="20"/>
          <w:szCs w:val="20"/>
        </w:rPr>
        <w:t>that the petitioners have not fulfilled their obligation to exhaust the domestic remedies and that the petition is thus inadmissible. The State submits that civil proceedings is an adequate and effective rem</w:t>
      </w:r>
      <w:r w:rsidR="00DC37CC" w:rsidRPr="00662D54">
        <w:rPr>
          <w:rFonts w:asciiTheme="majorHAnsi" w:hAnsiTheme="majorHAnsi"/>
          <w:sz w:val="20"/>
          <w:szCs w:val="20"/>
        </w:rPr>
        <w:t>edy and must be pursued by the p</w:t>
      </w:r>
      <w:r w:rsidRPr="00662D54">
        <w:rPr>
          <w:rFonts w:asciiTheme="majorHAnsi" w:hAnsiTheme="majorHAnsi"/>
          <w:sz w:val="20"/>
          <w:szCs w:val="20"/>
        </w:rPr>
        <w:t>etitioner</w:t>
      </w:r>
      <w:r w:rsidR="00DC37CC" w:rsidRPr="00662D54">
        <w:rPr>
          <w:rFonts w:asciiTheme="majorHAnsi" w:hAnsiTheme="majorHAnsi"/>
          <w:sz w:val="20"/>
          <w:szCs w:val="20"/>
        </w:rPr>
        <w:t>s under Article 46.1 of the Convention</w:t>
      </w:r>
      <w:r w:rsidRPr="00662D54">
        <w:rPr>
          <w:rFonts w:asciiTheme="majorHAnsi" w:hAnsiTheme="majorHAnsi"/>
          <w:sz w:val="20"/>
          <w:szCs w:val="20"/>
        </w:rPr>
        <w:t xml:space="preserve">. </w:t>
      </w:r>
    </w:p>
    <w:p w14:paraId="50F16096" w14:textId="4318532E" w:rsidR="00A23C94" w:rsidRPr="00662D54" w:rsidRDefault="003416AA" w:rsidP="00A23C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662D54">
        <w:rPr>
          <w:rFonts w:asciiTheme="majorHAnsi" w:hAnsiTheme="majorHAnsi"/>
          <w:sz w:val="20"/>
          <w:szCs w:val="20"/>
        </w:rPr>
        <w:t xml:space="preserve">With respect to the State’s argument regarding the lack of exhaustion in the form of civil redress, the IACHR recalls that whenever an alleged crime prosecutable </w:t>
      </w:r>
      <w:r w:rsidRPr="00662D54">
        <w:rPr>
          <w:rFonts w:asciiTheme="majorHAnsi" w:hAnsiTheme="majorHAnsi"/>
          <w:i/>
          <w:sz w:val="20"/>
          <w:szCs w:val="20"/>
        </w:rPr>
        <w:t>ex officio</w:t>
      </w:r>
      <w:r w:rsidRPr="00662D54">
        <w:rPr>
          <w:rFonts w:asciiTheme="majorHAnsi" w:hAnsiTheme="majorHAnsi"/>
          <w:sz w:val="20"/>
          <w:szCs w:val="20"/>
        </w:rPr>
        <w:t xml:space="preserve"> is committed, the State has the obligation to promote the criminal proceedings and that, in these cases, this is the adequate avenue to clarify the facts, prosecute those responsible and establish the appropriate criminal punishment.</w:t>
      </w:r>
      <w:r w:rsidR="00A23C94" w:rsidRPr="00662D54">
        <w:rPr>
          <w:rStyle w:val="FootnoteReference"/>
          <w:rFonts w:asciiTheme="majorHAnsi" w:hAnsiTheme="majorHAnsi"/>
          <w:sz w:val="20"/>
          <w:szCs w:val="20"/>
        </w:rPr>
        <w:footnoteReference w:id="14"/>
      </w:r>
      <w:r w:rsidRPr="00662D54">
        <w:rPr>
          <w:rFonts w:asciiTheme="majorHAnsi" w:hAnsiTheme="majorHAnsi"/>
          <w:sz w:val="20"/>
          <w:szCs w:val="20"/>
        </w:rPr>
        <w:t xml:space="preserve"> Under international standards, where serious human rights violations such as homicide are alleged, the appropriate and effective remedy is precisely the filing and the undertaking of an effective criminal investigation aimed at the clarification of the facts and, if necessary, individualize and prosecute the people responsible. The Commission has repeatedly held that it is not necessary to exhaust civil action before resorting to the Inter-American system since that remedy would not redress the main claim made concerning the alleged arbitrary killing of Mr. </w:t>
      </w:r>
      <w:r w:rsidR="00DC37CC" w:rsidRPr="00662D54">
        <w:rPr>
          <w:rFonts w:asciiTheme="majorHAnsi" w:hAnsiTheme="majorHAnsi"/>
          <w:sz w:val="20"/>
          <w:szCs w:val="20"/>
        </w:rPr>
        <w:t>Brown</w:t>
      </w:r>
      <w:r w:rsidRPr="00662D54">
        <w:rPr>
          <w:rFonts w:asciiTheme="majorHAnsi" w:hAnsiTheme="majorHAnsi"/>
          <w:sz w:val="20"/>
          <w:szCs w:val="20"/>
        </w:rPr>
        <w:t>, followed by the alleged failure of due diligence in investigation, prosecution, and punishment of those responsible, together with delay in conducting such process.</w:t>
      </w:r>
      <w:r w:rsidRPr="00662D54">
        <w:rPr>
          <w:rStyle w:val="FootnoteReference"/>
          <w:rFonts w:asciiTheme="majorHAnsi" w:hAnsiTheme="majorHAnsi"/>
          <w:sz w:val="20"/>
          <w:szCs w:val="20"/>
        </w:rPr>
        <w:footnoteReference w:id="15"/>
      </w:r>
      <w:r w:rsidRPr="00662D54">
        <w:rPr>
          <w:rFonts w:asciiTheme="majorHAnsi" w:hAnsiTheme="majorHAnsi"/>
          <w:sz w:val="20"/>
          <w:szCs w:val="20"/>
        </w:rPr>
        <w:t xml:space="preserve"> The Commission observe </w:t>
      </w:r>
      <w:r w:rsidRPr="00662D54">
        <w:rPr>
          <w:rFonts w:asciiTheme="majorHAnsi" w:hAnsiTheme="majorHAnsi"/>
          <w:sz w:val="20"/>
          <w:szCs w:val="20"/>
        </w:rPr>
        <w:lastRenderedPageBreak/>
        <w:t xml:space="preserve">that in the present case, the State undertook procedures for investigating the killing of the alleged victim, and on </w:t>
      </w:r>
      <w:r w:rsidR="003D4CD1" w:rsidRPr="00662D54">
        <w:rPr>
          <w:rFonts w:asciiTheme="majorHAnsi" w:hAnsiTheme="majorHAnsi"/>
          <w:sz w:val="20"/>
          <w:szCs w:val="20"/>
        </w:rPr>
        <w:t>January 7</w:t>
      </w:r>
      <w:r w:rsidRPr="00662D54">
        <w:rPr>
          <w:rFonts w:asciiTheme="majorHAnsi" w:hAnsiTheme="majorHAnsi"/>
          <w:sz w:val="20"/>
          <w:szCs w:val="20"/>
        </w:rPr>
        <w:t>, 20</w:t>
      </w:r>
      <w:r w:rsidR="003D4CD1" w:rsidRPr="00662D54">
        <w:rPr>
          <w:rFonts w:asciiTheme="majorHAnsi" w:hAnsiTheme="majorHAnsi"/>
          <w:sz w:val="20"/>
          <w:szCs w:val="20"/>
        </w:rPr>
        <w:t>09</w:t>
      </w:r>
      <w:r w:rsidRPr="00662D54">
        <w:rPr>
          <w:rFonts w:asciiTheme="majorHAnsi" w:hAnsiTheme="majorHAnsi"/>
          <w:sz w:val="20"/>
          <w:szCs w:val="20"/>
        </w:rPr>
        <w:t xml:space="preserve">, charged </w:t>
      </w:r>
      <w:r w:rsidR="001748BC" w:rsidRPr="00662D54">
        <w:rPr>
          <w:rFonts w:asciiTheme="majorHAnsi" w:hAnsiTheme="majorHAnsi"/>
          <w:sz w:val="20"/>
          <w:szCs w:val="20"/>
        </w:rPr>
        <w:t>Officer</w:t>
      </w:r>
      <w:r w:rsidRPr="00662D54">
        <w:rPr>
          <w:rFonts w:asciiTheme="majorHAnsi" w:hAnsiTheme="majorHAnsi"/>
          <w:sz w:val="20"/>
          <w:szCs w:val="20"/>
        </w:rPr>
        <w:t xml:space="preserve"> </w:t>
      </w:r>
      <w:r w:rsidR="003D4CD1" w:rsidRPr="00662D54">
        <w:rPr>
          <w:rFonts w:asciiTheme="majorHAnsi" w:hAnsiTheme="majorHAnsi"/>
          <w:sz w:val="20"/>
          <w:szCs w:val="20"/>
        </w:rPr>
        <w:t>Montague</w:t>
      </w:r>
      <w:r w:rsidRPr="00662D54">
        <w:rPr>
          <w:rFonts w:asciiTheme="majorHAnsi" w:hAnsiTheme="majorHAnsi"/>
          <w:sz w:val="20"/>
          <w:szCs w:val="20"/>
        </w:rPr>
        <w:t xml:space="preserve"> with </w:t>
      </w:r>
      <w:r w:rsidR="00DC37CC" w:rsidRPr="00662D54">
        <w:rPr>
          <w:rFonts w:asciiTheme="majorHAnsi" w:hAnsiTheme="majorHAnsi"/>
          <w:sz w:val="20"/>
          <w:szCs w:val="20"/>
        </w:rPr>
        <w:t>Paul Richard Brown’s</w:t>
      </w:r>
      <w:r w:rsidRPr="00662D54">
        <w:rPr>
          <w:rFonts w:asciiTheme="majorHAnsi" w:hAnsiTheme="majorHAnsi"/>
          <w:sz w:val="20"/>
          <w:szCs w:val="20"/>
        </w:rPr>
        <w:t xml:space="preserve"> murder. The Commission also notes that on</w:t>
      </w:r>
      <w:r w:rsidR="003D4CD1" w:rsidRPr="00662D54">
        <w:rPr>
          <w:rFonts w:asciiTheme="majorHAnsi" w:hAnsiTheme="majorHAnsi"/>
          <w:sz w:val="20"/>
          <w:szCs w:val="20"/>
        </w:rPr>
        <w:t xml:space="preserve"> </w:t>
      </w:r>
      <w:r w:rsidR="003D4CD1" w:rsidRPr="00662D54">
        <w:rPr>
          <w:rFonts w:ascii="Cambria" w:hAnsi="Cambria"/>
          <w:sz w:val="20"/>
          <w:szCs w:val="20"/>
        </w:rPr>
        <w:t xml:space="preserve">June 6, 2019, </w:t>
      </w:r>
      <w:r w:rsidR="001748BC" w:rsidRPr="00662D54">
        <w:rPr>
          <w:rFonts w:ascii="Cambria" w:hAnsi="Cambria"/>
          <w:sz w:val="20"/>
          <w:szCs w:val="20"/>
        </w:rPr>
        <w:t>Officer</w:t>
      </w:r>
      <w:r w:rsidR="003D4CD1" w:rsidRPr="00662D54">
        <w:rPr>
          <w:rFonts w:ascii="Cambria" w:hAnsi="Cambria"/>
          <w:sz w:val="20"/>
          <w:szCs w:val="20"/>
        </w:rPr>
        <w:t xml:space="preserve"> Montague was sentenced to three years imprisonment for manslaughter</w:t>
      </w:r>
      <w:r w:rsidR="003D4CD1" w:rsidRPr="00662D54">
        <w:rPr>
          <w:rFonts w:asciiTheme="majorHAnsi" w:hAnsiTheme="majorHAnsi"/>
          <w:sz w:val="20"/>
          <w:szCs w:val="20"/>
        </w:rPr>
        <w:t>, after pleading guilty to the lesser charge</w:t>
      </w:r>
      <w:r w:rsidRPr="00662D54">
        <w:rPr>
          <w:rFonts w:asciiTheme="majorHAnsi" w:hAnsiTheme="majorHAnsi"/>
          <w:sz w:val="20"/>
          <w:szCs w:val="20"/>
        </w:rPr>
        <w:t xml:space="preserve">. </w:t>
      </w:r>
      <w:r w:rsidR="00DC37CC" w:rsidRPr="00662D54">
        <w:rPr>
          <w:rFonts w:asciiTheme="majorHAnsi" w:hAnsiTheme="majorHAnsi"/>
          <w:sz w:val="20"/>
          <w:szCs w:val="20"/>
        </w:rPr>
        <w:t>The p</w:t>
      </w:r>
      <w:r w:rsidRPr="00662D54">
        <w:rPr>
          <w:rFonts w:asciiTheme="majorHAnsi" w:hAnsiTheme="majorHAnsi"/>
          <w:sz w:val="20"/>
          <w:szCs w:val="20"/>
        </w:rPr>
        <w:t>etitioners claim, however, that the investigations were deficient</w:t>
      </w:r>
      <w:r w:rsidR="00B026BC" w:rsidRPr="00662D54">
        <w:rPr>
          <w:rFonts w:asciiTheme="majorHAnsi" w:hAnsiTheme="majorHAnsi"/>
          <w:sz w:val="20"/>
          <w:szCs w:val="20"/>
        </w:rPr>
        <w:t xml:space="preserve"> and</w:t>
      </w:r>
      <w:r w:rsidRPr="00662D54">
        <w:rPr>
          <w:rFonts w:asciiTheme="majorHAnsi" w:hAnsiTheme="majorHAnsi"/>
          <w:sz w:val="20"/>
          <w:szCs w:val="20"/>
        </w:rPr>
        <w:t xml:space="preserve"> did not provide for the participation of the relatives of the alleged victim,</w:t>
      </w:r>
      <w:r w:rsidR="00B026BC" w:rsidRPr="00662D54">
        <w:rPr>
          <w:rFonts w:asciiTheme="majorHAnsi" w:hAnsiTheme="majorHAnsi"/>
          <w:sz w:val="20"/>
          <w:szCs w:val="20"/>
        </w:rPr>
        <w:t xml:space="preserve"> that the ten years delay between the murder and the conviction was unjustified, and that </w:t>
      </w:r>
      <w:r w:rsidR="001748BC" w:rsidRPr="00662D54">
        <w:rPr>
          <w:rFonts w:asciiTheme="majorHAnsi" w:hAnsiTheme="majorHAnsi"/>
          <w:sz w:val="20"/>
          <w:szCs w:val="20"/>
        </w:rPr>
        <w:t>the sentence was grossly disproportionate</w:t>
      </w:r>
      <w:r w:rsidR="00B026BC" w:rsidRPr="00662D54">
        <w:rPr>
          <w:rFonts w:asciiTheme="majorHAnsi" w:hAnsiTheme="majorHAnsi"/>
          <w:sz w:val="20"/>
          <w:szCs w:val="20"/>
        </w:rPr>
        <w:t>, inconsistent with the evidence.</w:t>
      </w:r>
      <w:r w:rsidR="00A23C94" w:rsidRPr="00662D54">
        <w:rPr>
          <w:rFonts w:asciiTheme="majorHAnsi" w:hAnsiTheme="majorHAnsi"/>
          <w:sz w:val="20"/>
          <w:szCs w:val="20"/>
        </w:rPr>
        <w:t xml:space="preserve"> Based on the </w:t>
      </w:r>
      <w:r w:rsidR="009C28F2" w:rsidRPr="00662D54">
        <w:rPr>
          <w:rFonts w:asciiTheme="majorHAnsi" w:hAnsiTheme="majorHAnsi"/>
          <w:sz w:val="20"/>
          <w:szCs w:val="20"/>
        </w:rPr>
        <w:t>above</w:t>
      </w:r>
      <w:r w:rsidR="009C28F2">
        <w:rPr>
          <w:rFonts w:asciiTheme="majorHAnsi" w:hAnsiTheme="majorHAnsi"/>
          <w:sz w:val="20"/>
          <w:szCs w:val="20"/>
        </w:rPr>
        <w:t>,</w:t>
      </w:r>
      <w:r w:rsidR="00A23C94" w:rsidRPr="00662D54">
        <w:rPr>
          <w:rFonts w:asciiTheme="majorHAnsi" w:hAnsiTheme="majorHAnsi"/>
          <w:sz w:val="20"/>
          <w:szCs w:val="20"/>
        </w:rPr>
        <w:t xml:space="preserve"> </w:t>
      </w:r>
      <w:r w:rsidR="009C28F2">
        <w:rPr>
          <w:rFonts w:asciiTheme="majorHAnsi" w:hAnsiTheme="majorHAnsi"/>
          <w:sz w:val="20"/>
          <w:szCs w:val="20"/>
        </w:rPr>
        <w:t>and on the alleged</w:t>
      </w:r>
      <w:r w:rsidR="009C28F2" w:rsidRPr="009C28F2">
        <w:rPr>
          <w:rFonts w:asciiTheme="majorHAnsi" w:hAnsiTheme="majorHAnsi"/>
          <w:sz w:val="20"/>
          <w:szCs w:val="20"/>
        </w:rPr>
        <w:t xml:space="preserve"> structural defects in the investigation and prosecution of extrajudicial executions in Jamaica</w:t>
      </w:r>
      <w:r w:rsidR="009C28F2">
        <w:rPr>
          <w:rStyle w:val="FootnoteReference"/>
          <w:rFonts w:asciiTheme="majorHAnsi" w:hAnsiTheme="majorHAnsi"/>
          <w:sz w:val="20"/>
          <w:szCs w:val="20"/>
        </w:rPr>
        <w:footnoteReference w:id="16"/>
      </w:r>
      <w:r w:rsidR="009C28F2">
        <w:rPr>
          <w:rFonts w:asciiTheme="majorHAnsi" w:hAnsiTheme="majorHAnsi"/>
          <w:sz w:val="20"/>
          <w:szCs w:val="20"/>
        </w:rPr>
        <w:t>,</w:t>
      </w:r>
      <w:r w:rsidR="009C28F2" w:rsidRPr="009C28F2">
        <w:rPr>
          <w:rFonts w:asciiTheme="majorHAnsi" w:hAnsiTheme="majorHAnsi"/>
          <w:sz w:val="20"/>
          <w:szCs w:val="20"/>
        </w:rPr>
        <w:t xml:space="preserve"> </w:t>
      </w:r>
      <w:r w:rsidR="00A23C94" w:rsidRPr="00662D54">
        <w:rPr>
          <w:rFonts w:asciiTheme="majorHAnsi" w:hAnsiTheme="majorHAnsi"/>
          <w:sz w:val="20"/>
          <w:szCs w:val="20"/>
        </w:rPr>
        <w:t>the Commission notes, for the purpose of the analysis of admissibility, that the petitioners exhausted all the remedies available in the domestic legal framework, and that, consequently, the petition meets the requirement established in Article 46.1.a of the Convention.</w:t>
      </w:r>
    </w:p>
    <w:p w14:paraId="48D15C70" w14:textId="7949453E" w:rsidR="00A23C94" w:rsidRPr="00662D54" w:rsidRDefault="00A23C94" w:rsidP="00A23C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662D54">
        <w:rPr>
          <w:rFonts w:asciiTheme="majorHAnsi" w:hAnsiTheme="majorHAnsi"/>
          <w:sz w:val="20"/>
          <w:szCs w:val="20"/>
        </w:rPr>
        <w:t>As to timeliness, the Commission notes that the petition was filed on July 29, 2014 and that the final decision by which domestic remedies were exhausted was issued on June 6, 2019. Thus, the petition meets the requirement set forth in Article 46.1.b of the Convention.</w:t>
      </w:r>
    </w:p>
    <w:p w14:paraId="378478A0" w14:textId="50B01E58" w:rsidR="00F621C3" w:rsidRPr="00662D54" w:rsidRDefault="00F621C3" w:rsidP="00B36E57">
      <w:pPr>
        <w:pStyle w:val="ListParagraph"/>
        <w:spacing w:before="120" w:after="120"/>
        <w:jc w:val="both"/>
        <w:rPr>
          <w:rFonts w:asciiTheme="majorHAnsi" w:hAnsiTheme="majorHAnsi"/>
          <w:b/>
          <w:sz w:val="20"/>
          <w:szCs w:val="20"/>
        </w:rPr>
      </w:pPr>
      <w:r w:rsidRPr="00662D54">
        <w:rPr>
          <w:rFonts w:asciiTheme="majorHAnsi" w:hAnsiTheme="majorHAnsi"/>
          <w:b/>
          <w:bCs/>
          <w:sz w:val="20"/>
          <w:szCs w:val="20"/>
        </w:rPr>
        <w:t>VII.</w:t>
      </w:r>
      <w:r w:rsidRPr="00662D54">
        <w:rPr>
          <w:rFonts w:asciiTheme="majorHAnsi" w:hAnsiTheme="majorHAnsi"/>
          <w:b/>
          <w:bCs/>
          <w:sz w:val="20"/>
          <w:szCs w:val="20"/>
        </w:rPr>
        <w:tab/>
      </w:r>
      <w:r w:rsidR="001F1902" w:rsidRPr="00662D54">
        <w:rPr>
          <w:rFonts w:asciiTheme="majorHAnsi" w:hAnsiTheme="majorHAnsi"/>
          <w:b/>
          <w:bCs/>
          <w:sz w:val="20"/>
          <w:szCs w:val="20"/>
        </w:rPr>
        <w:t xml:space="preserve">ANALYSIS OF </w:t>
      </w:r>
      <w:r w:rsidRPr="00662D54">
        <w:rPr>
          <w:rFonts w:asciiTheme="majorHAnsi" w:hAnsiTheme="majorHAnsi"/>
          <w:b/>
          <w:bCs/>
          <w:sz w:val="20"/>
          <w:szCs w:val="20"/>
        </w:rPr>
        <w:t>COLORABLE CLAIM</w:t>
      </w:r>
    </w:p>
    <w:p w14:paraId="1F2E3975" w14:textId="13B90D38" w:rsidR="00C84D0A" w:rsidRPr="00662D54" w:rsidRDefault="00C76F8E" w:rsidP="00973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Theme="majorHAnsi" w:hAnsiTheme="majorHAnsi"/>
          <w:sz w:val="20"/>
          <w:szCs w:val="20"/>
        </w:rPr>
        <w:t>The Commission notes that this petition includes allegations regarding the extrajudicial execution of the allege victim, as well as the lack of due process and due diligence in the criminal investigations and judicial proceedings that followed</w:t>
      </w:r>
      <w:r w:rsidR="00973AFB" w:rsidRPr="00662D54">
        <w:rPr>
          <w:rFonts w:asciiTheme="majorHAnsi" w:hAnsiTheme="majorHAnsi"/>
          <w:sz w:val="20"/>
          <w:szCs w:val="20"/>
        </w:rPr>
        <w:t>, undue delays</w:t>
      </w:r>
      <w:r w:rsidR="000860D8" w:rsidRPr="00662D54">
        <w:rPr>
          <w:rFonts w:asciiTheme="majorHAnsi" w:hAnsiTheme="majorHAnsi"/>
          <w:sz w:val="20"/>
          <w:szCs w:val="20"/>
        </w:rPr>
        <w:t xml:space="preserve"> and a</w:t>
      </w:r>
      <w:r w:rsidR="004F7911" w:rsidRPr="00662D54">
        <w:rPr>
          <w:rFonts w:asciiTheme="majorHAnsi" w:hAnsiTheme="majorHAnsi"/>
          <w:sz w:val="20"/>
          <w:szCs w:val="20"/>
        </w:rPr>
        <w:t xml:space="preserve"> sentence</w:t>
      </w:r>
      <w:r w:rsidR="000860D8" w:rsidRPr="00662D54">
        <w:rPr>
          <w:rFonts w:asciiTheme="majorHAnsi" w:hAnsiTheme="majorHAnsi"/>
          <w:sz w:val="20"/>
          <w:szCs w:val="20"/>
        </w:rPr>
        <w:t xml:space="preserve"> disproportionate</w:t>
      </w:r>
      <w:r w:rsidR="004F7911" w:rsidRPr="00662D54">
        <w:rPr>
          <w:rFonts w:asciiTheme="majorHAnsi" w:hAnsiTheme="majorHAnsi"/>
          <w:sz w:val="20"/>
          <w:szCs w:val="20"/>
        </w:rPr>
        <w:t>ly lenient</w:t>
      </w:r>
      <w:r w:rsidR="000860D8" w:rsidRPr="00662D54">
        <w:rPr>
          <w:rFonts w:asciiTheme="majorHAnsi" w:hAnsiTheme="majorHAnsi"/>
          <w:sz w:val="20"/>
          <w:szCs w:val="20"/>
        </w:rPr>
        <w:t xml:space="preserve"> in relation to the gravity of the crime committed</w:t>
      </w:r>
      <w:r w:rsidRPr="00662D54">
        <w:rPr>
          <w:rFonts w:asciiTheme="majorHAnsi" w:hAnsiTheme="majorHAnsi"/>
          <w:sz w:val="20"/>
          <w:szCs w:val="20"/>
        </w:rPr>
        <w:t>. In view of these considerations and after examining the elements of fact and law presented by the parties, the Commission considers that the claims of the petitioner are not manifestly unfounded and require a substantive study on the merits as the alleged facts, to be corroborated as certain could characterize violations of Articles 4 (life), 5 (humane treatment), 8 (fair trial) and 25 (judicial protection) of the American Convention, in relation to its Articles 1.1 (obligation to respect rights) and 2 (domestic legal effects).</w:t>
      </w:r>
      <w:r w:rsidR="00973AFB" w:rsidRPr="00662D54">
        <w:rPr>
          <w:rFonts w:asciiTheme="majorHAnsi" w:hAnsiTheme="majorHAnsi"/>
          <w:sz w:val="20"/>
          <w:szCs w:val="20"/>
        </w:rPr>
        <w:t xml:space="preserve"> Likewise, the Commission will analyze at the merits stage whether the sentence imposed to the perpetrator as a result of the criminal proceeding follow the standards set by of the American Convention.</w:t>
      </w:r>
    </w:p>
    <w:p w14:paraId="4B5EFCAB" w14:textId="440912F0" w:rsidR="00C84D0A" w:rsidRPr="00662D54" w:rsidRDefault="00973AFB" w:rsidP="00973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Cambria" w:hAnsi="Cambria"/>
          <w:sz w:val="20"/>
          <w:szCs w:val="20"/>
        </w:rPr>
        <w:t xml:space="preserve">With respect to the State's allegations regarding the so-called “fourth instance” formula, the Commission reiterates that, for the purposes of admissibility, it must decide whether the alleged facts may characterize a violation of rights, as stipulated in article 47 (b) of the American Convention, or if the petition is “manifestly unfounded” or “its total inadmissibility is evident”, pursuant to subsection (c) of said article.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Convention. In other words, in light of the aforementioned conventional standards, in accordance with article 34 of its Rules of Procedure, the admissibility analysis focuses on the verification of such requirements, which refer to the existence of elements that, if true, could constitute </w:t>
      </w:r>
      <w:r w:rsidRPr="00662D54">
        <w:rPr>
          <w:rFonts w:ascii="Cambria" w:hAnsi="Cambria"/>
          <w:i/>
          <w:sz w:val="20"/>
          <w:szCs w:val="20"/>
        </w:rPr>
        <w:t>prima facie</w:t>
      </w:r>
      <w:r w:rsidRPr="00662D54">
        <w:rPr>
          <w:rFonts w:ascii="Cambria" w:hAnsi="Cambria"/>
          <w:sz w:val="20"/>
          <w:szCs w:val="20"/>
        </w:rPr>
        <w:t xml:space="preserve"> violation of the American Convention</w:t>
      </w:r>
      <w:r w:rsidRPr="00662D54">
        <w:rPr>
          <w:rStyle w:val="FootnoteReference"/>
          <w:rFonts w:ascii="Cambria" w:hAnsi="Cambria"/>
          <w:sz w:val="20"/>
          <w:szCs w:val="20"/>
        </w:rPr>
        <w:footnoteReference w:id="17"/>
      </w:r>
      <w:r w:rsidRPr="00662D54">
        <w:rPr>
          <w:rFonts w:ascii="Cambria" w:hAnsi="Cambria"/>
          <w:sz w:val="20"/>
          <w:szCs w:val="20"/>
        </w:rPr>
        <w:t>.</w:t>
      </w:r>
    </w:p>
    <w:p w14:paraId="5A70550C" w14:textId="77777777" w:rsidR="00F621C3" w:rsidRPr="00662D54" w:rsidRDefault="00F621C3" w:rsidP="00B36E57">
      <w:pPr>
        <w:pStyle w:val="ListParagraph"/>
        <w:spacing w:before="120" w:after="120"/>
        <w:jc w:val="both"/>
        <w:rPr>
          <w:rFonts w:asciiTheme="majorHAnsi" w:hAnsiTheme="majorHAnsi"/>
          <w:b/>
          <w:bCs/>
          <w:sz w:val="20"/>
          <w:szCs w:val="20"/>
        </w:rPr>
      </w:pPr>
      <w:r w:rsidRPr="00662D54">
        <w:rPr>
          <w:rFonts w:asciiTheme="majorHAnsi" w:hAnsiTheme="majorHAnsi"/>
          <w:b/>
          <w:bCs/>
          <w:sz w:val="20"/>
          <w:szCs w:val="20"/>
        </w:rPr>
        <w:t xml:space="preserve">VIII. </w:t>
      </w:r>
      <w:r w:rsidRPr="00662D54">
        <w:rPr>
          <w:rFonts w:asciiTheme="majorHAnsi" w:hAnsiTheme="majorHAnsi"/>
          <w:b/>
          <w:bCs/>
          <w:sz w:val="20"/>
          <w:szCs w:val="20"/>
        </w:rPr>
        <w:tab/>
        <w:t>DECISION</w:t>
      </w:r>
    </w:p>
    <w:p w14:paraId="227B9B6E" w14:textId="44A8798D" w:rsidR="00F621C3" w:rsidRPr="00662D54" w:rsidRDefault="00F621C3" w:rsidP="00B36E5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2D54">
        <w:rPr>
          <w:rFonts w:asciiTheme="majorHAnsi" w:hAnsiTheme="majorHAnsi"/>
          <w:sz w:val="20"/>
          <w:szCs w:val="20"/>
        </w:rPr>
        <w:t xml:space="preserve">To find the instant petition admissible in relation to Articles </w:t>
      </w:r>
      <w:r w:rsidR="002211CE" w:rsidRPr="00662D54">
        <w:rPr>
          <w:rFonts w:asciiTheme="majorHAnsi" w:hAnsiTheme="majorHAnsi"/>
          <w:sz w:val="20"/>
          <w:szCs w:val="20"/>
        </w:rPr>
        <w:t>4, 5, 8 and 25 of the American Convention, in relation to its Articles 1.1 and 2</w:t>
      </w:r>
      <w:r w:rsidRPr="00662D54">
        <w:rPr>
          <w:rFonts w:asciiTheme="majorHAnsi" w:hAnsiTheme="majorHAnsi"/>
          <w:sz w:val="20"/>
          <w:szCs w:val="20"/>
        </w:rPr>
        <w:t>;</w:t>
      </w:r>
    </w:p>
    <w:p w14:paraId="2122B46A" w14:textId="4A6B09EC" w:rsidR="00283B6F" w:rsidRDefault="00F621C3" w:rsidP="00A608D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jc w:val="both"/>
        <w:rPr>
          <w:rFonts w:asciiTheme="majorHAnsi" w:hAnsiTheme="majorHAnsi"/>
          <w:sz w:val="20"/>
          <w:szCs w:val="20"/>
        </w:rPr>
      </w:pPr>
      <w:r w:rsidRPr="00662D54">
        <w:rPr>
          <w:rFonts w:asciiTheme="majorHAnsi" w:hAnsiTheme="majorHAnsi"/>
          <w:sz w:val="20"/>
          <w:szCs w:val="20"/>
        </w:rPr>
        <w:t>To notify the parties of this decision;</w:t>
      </w:r>
      <w:r w:rsidR="001F1902" w:rsidRPr="00662D54">
        <w:rPr>
          <w:rFonts w:asciiTheme="majorHAnsi" w:hAnsiTheme="majorHAnsi"/>
          <w:sz w:val="20"/>
          <w:szCs w:val="20"/>
        </w:rPr>
        <w:t xml:space="preserve"> t</w:t>
      </w:r>
      <w:r w:rsidRPr="00662D54">
        <w:rPr>
          <w:rFonts w:asciiTheme="majorHAnsi" w:hAnsiTheme="majorHAnsi"/>
          <w:sz w:val="20"/>
          <w:szCs w:val="20"/>
        </w:rPr>
        <w:t xml:space="preserve">o continue with the analysis on the merits; and </w:t>
      </w:r>
      <w:r w:rsidR="001F1902" w:rsidRPr="00662D54">
        <w:rPr>
          <w:rFonts w:asciiTheme="majorHAnsi" w:hAnsiTheme="majorHAnsi"/>
          <w:sz w:val="20"/>
          <w:szCs w:val="20"/>
        </w:rPr>
        <w:t>t</w:t>
      </w:r>
      <w:r w:rsidRPr="00662D54">
        <w:rPr>
          <w:rFonts w:asciiTheme="majorHAnsi" w:hAnsiTheme="majorHAnsi"/>
          <w:sz w:val="20"/>
          <w:szCs w:val="20"/>
        </w:rPr>
        <w:t>o publish this decision and include it in its Annual Report to the General Assembly of the Organization of American States.</w:t>
      </w:r>
      <w:r w:rsidR="0097629F" w:rsidRPr="00662D54">
        <w:rPr>
          <w:rFonts w:asciiTheme="majorHAnsi" w:hAnsiTheme="majorHAnsi"/>
          <w:sz w:val="20"/>
          <w:szCs w:val="20"/>
        </w:rPr>
        <w:t xml:space="preserve"> </w:t>
      </w:r>
    </w:p>
    <w:p w14:paraId="38A57AA1" w14:textId="42AA0BC3" w:rsidR="00C51DAC" w:rsidRDefault="00C51DAC" w:rsidP="00C51DAC">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12</w:t>
      </w:r>
      <w:r w:rsidRPr="0091413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Vice </w:t>
      </w:r>
      <w:r w:rsidR="000B3F8D">
        <w:rPr>
          <w:rFonts w:ascii="Cambria" w:hAnsi="Cambria"/>
          <w:sz w:val="20"/>
        </w:rPr>
        <w:t>-</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w:t>
      </w:r>
      <w:r w:rsidR="000B3F8D">
        <w:rPr>
          <w:rFonts w:ascii="Cambria" w:hAnsi="Cambria"/>
          <w:sz w:val="20"/>
        </w:rPr>
        <w:t>-</w:t>
      </w:r>
      <w:r w:rsidRPr="006D25D7">
        <w:rPr>
          <w:rFonts w:ascii="Cambria" w:hAnsi="Cambria"/>
          <w:sz w:val="20"/>
        </w:rPr>
        <w:t>President;</w:t>
      </w:r>
      <w:r w:rsidRPr="00F9365E">
        <w:rPr>
          <w:rFonts w:ascii="Cambria" w:hAnsi="Cambria"/>
          <w:sz w:val="20"/>
        </w:rPr>
        <w:t xml:space="preserve"> </w:t>
      </w:r>
      <w:r>
        <w:rPr>
          <w:rFonts w:ascii="Cambria" w:hAnsi="Cambria"/>
          <w:sz w:val="20"/>
        </w:rPr>
        <w:t>and</w:t>
      </w:r>
      <w:r w:rsidRPr="008E4C59">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sectPr w:rsidR="00C51DA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7F7AB" w14:textId="77777777" w:rsidR="00DB3211" w:rsidRDefault="00DB3211" w:rsidP="00036A8A">
      <w:r>
        <w:separator/>
      </w:r>
    </w:p>
  </w:endnote>
  <w:endnote w:type="continuationSeparator" w:id="0">
    <w:p w14:paraId="0BB2D227" w14:textId="77777777" w:rsidR="00DB3211" w:rsidRDefault="00DB321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8FC7" w14:textId="77777777" w:rsidR="00DE425D" w:rsidRDefault="00DE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BF00EEC" w:rsidR="00DF5796" w:rsidRPr="006311DA" w:rsidRDefault="00DF579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E425D">
          <w:rPr>
            <w:noProof/>
            <w:sz w:val="16"/>
          </w:rPr>
          <w:t>3</w:t>
        </w:r>
        <w:r w:rsidRPr="006311DA">
          <w:rPr>
            <w:noProof/>
            <w:sz w:val="16"/>
          </w:rPr>
          <w:fldChar w:fldCharType="end"/>
        </w:r>
      </w:p>
    </w:sdtContent>
  </w:sdt>
  <w:p w14:paraId="767961CB" w14:textId="77777777" w:rsidR="00DF5796" w:rsidRDefault="00DF5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DF5796" w:rsidRDefault="00DF5796">
    <w:pPr>
      <w:pStyle w:val="Footer"/>
      <w:jc w:val="center"/>
    </w:pPr>
  </w:p>
  <w:p w14:paraId="2699B8C1" w14:textId="77777777" w:rsidR="00DF5796" w:rsidRDefault="00DF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4A704" w14:textId="77777777" w:rsidR="00DB3211" w:rsidRPr="00036A8A" w:rsidRDefault="00DB321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8E3C20D" w14:textId="77777777" w:rsidR="00DB3211" w:rsidRPr="00036A8A" w:rsidRDefault="00DB3211" w:rsidP="00036A8A">
      <w:pPr>
        <w:rPr>
          <w:rFonts w:asciiTheme="majorHAnsi" w:hAnsiTheme="majorHAnsi"/>
          <w:sz w:val="16"/>
          <w:szCs w:val="16"/>
        </w:rPr>
      </w:pPr>
      <w:r w:rsidRPr="00036A8A">
        <w:rPr>
          <w:rFonts w:asciiTheme="majorHAnsi" w:hAnsiTheme="majorHAnsi"/>
          <w:sz w:val="16"/>
          <w:szCs w:val="16"/>
        </w:rPr>
        <w:separator/>
      </w:r>
    </w:p>
    <w:p w14:paraId="049858EC" w14:textId="77777777" w:rsidR="00DB3211" w:rsidRPr="00036A8A" w:rsidRDefault="00DB321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C4F9B26" w14:textId="77777777" w:rsidR="00DB3211" w:rsidRPr="0093441A" w:rsidRDefault="00DB321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278F26A" w14:textId="35CD4228" w:rsidR="00DF5796"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DF5796" w:rsidRPr="00A23C94">
        <w:rPr>
          <w:rStyle w:val="FootnoteReference"/>
          <w:rFonts w:asciiTheme="majorHAnsi" w:hAnsiTheme="majorHAnsi"/>
          <w:sz w:val="16"/>
          <w:szCs w:val="16"/>
        </w:rPr>
        <w:footnoteRef/>
      </w:r>
      <w:r w:rsidR="00DF5796" w:rsidRPr="00A23C94">
        <w:rPr>
          <w:rFonts w:asciiTheme="majorHAnsi" w:hAnsiTheme="majorHAnsi"/>
          <w:sz w:val="16"/>
          <w:szCs w:val="16"/>
        </w:rPr>
        <w:t xml:space="preserve"> Winifred Brown, wife of the alleged victim; </w:t>
      </w:r>
      <w:proofErr w:type="spellStart"/>
      <w:r w:rsidR="00DF5796" w:rsidRPr="00A23C94">
        <w:rPr>
          <w:rFonts w:asciiTheme="majorHAnsi" w:hAnsiTheme="majorHAnsi"/>
          <w:sz w:val="16"/>
          <w:szCs w:val="16"/>
        </w:rPr>
        <w:t>Gaboyd</w:t>
      </w:r>
      <w:proofErr w:type="spellEnd"/>
      <w:r w:rsidR="00DF5796" w:rsidRPr="00A23C94">
        <w:rPr>
          <w:rFonts w:asciiTheme="majorHAnsi" w:hAnsiTheme="majorHAnsi"/>
          <w:sz w:val="16"/>
          <w:szCs w:val="16"/>
        </w:rPr>
        <w:t xml:space="preserve"> and Galey, children of the alleged victim.</w:t>
      </w:r>
    </w:p>
  </w:footnote>
  <w:footnote w:id="3">
    <w:p w14:paraId="1C7E2F17" w14:textId="0E1C2856" w:rsidR="00DF5796"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DF5796" w:rsidRPr="00A23C94">
        <w:rPr>
          <w:rStyle w:val="FootnoteReference"/>
          <w:rFonts w:asciiTheme="majorHAnsi" w:hAnsiTheme="majorHAnsi"/>
          <w:sz w:val="16"/>
          <w:szCs w:val="16"/>
        </w:rPr>
        <w:footnoteRef/>
      </w:r>
      <w:r w:rsidR="00DF5796" w:rsidRPr="00A23C94">
        <w:rPr>
          <w:rFonts w:asciiTheme="majorHAnsi" w:hAnsiTheme="majorHAnsi"/>
          <w:sz w:val="16"/>
          <w:szCs w:val="16"/>
        </w:rPr>
        <w:t xml:space="preserve"> In keeping with Article 17(2</w:t>
      </w:r>
      <w:proofErr w:type="gramStart"/>
      <w:r w:rsidR="00DF5796" w:rsidRPr="00A23C94">
        <w:rPr>
          <w:rFonts w:asciiTheme="majorHAnsi" w:hAnsiTheme="majorHAnsi"/>
          <w:sz w:val="16"/>
          <w:szCs w:val="16"/>
        </w:rPr>
        <w:t>)(</w:t>
      </w:r>
      <w:proofErr w:type="gramEnd"/>
      <w:r w:rsidR="00DF5796" w:rsidRPr="00A23C94">
        <w:rPr>
          <w:rFonts w:asciiTheme="majorHAnsi" w:hAnsiTheme="majorHAnsi"/>
          <w:sz w:val="16"/>
          <w:szCs w:val="16"/>
        </w:rPr>
        <w:t>a) of the Commission’s Rules of Procedure Commissioner Margarette May Macaulay, a Jamaican national, did not participate in the deliberations or decision in this matter.</w:t>
      </w:r>
    </w:p>
  </w:footnote>
  <w:footnote w:id="4">
    <w:p w14:paraId="61ACB11D" w14:textId="401031A1" w:rsidR="00DF5796"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DF5796" w:rsidRPr="00A23C94">
        <w:rPr>
          <w:rStyle w:val="FootnoteReference"/>
          <w:rFonts w:asciiTheme="majorHAnsi" w:hAnsiTheme="majorHAnsi"/>
          <w:sz w:val="16"/>
          <w:szCs w:val="16"/>
        </w:rPr>
        <w:footnoteRef/>
      </w:r>
      <w:r w:rsidR="00DF5796" w:rsidRPr="00A23C94">
        <w:rPr>
          <w:rFonts w:asciiTheme="majorHAnsi" w:hAnsiTheme="majorHAnsi"/>
          <w:sz w:val="16"/>
          <w:szCs w:val="16"/>
        </w:rPr>
        <w:t xml:space="preserve"> </w:t>
      </w:r>
      <w:r w:rsidR="00B36E57" w:rsidRPr="00A23C94">
        <w:rPr>
          <w:rFonts w:asciiTheme="majorHAnsi" w:hAnsiTheme="majorHAnsi"/>
          <w:sz w:val="16"/>
          <w:szCs w:val="16"/>
        </w:rPr>
        <w:t>Hereinafter, the “American Convention” or “Convention”.</w:t>
      </w:r>
    </w:p>
  </w:footnote>
  <w:footnote w:id="5">
    <w:p w14:paraId="6F51BDAF" w14:textId="26F5D3CE" w:rsidR="00DF5796"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DF5796" w:rsidRPr="00A23C94">
        <w:rPr>
          <w:rStyle w:val="FootnoteReference"/>
          <w:rFonts w:asciiTheme="majorHAnsi" w:hAnsiTheme="majorHAnsi"/>
          <w:sz w:val="16"/>
          <w:szCs w:val="16"/>
        </w:rPr>
        <w:footnoteRef/>
      </w:r>
      <w:r w:rsidR="00DF5796" w:rsidRPr="00A23C94">
        <w:rPr>
          <w:rFonts w:asciiTheme="majorHAnsi" w:hAnsiTheme="majorHAnsi"/>
          <w:sz w:val="16"/>
          <w:szCs w:val="16"/>
        </w:rPr>
        <w:t xml:space="preserve"> The observations submitted by each party were duly transmitted to the opposing party.</w:t>
      </w:r>
    </w:p>
  </w:footnote>
  <w:footnote w:id="6">
    <w:p w14:paraId="5CA5FFEA" w14:textId="1CEBA6EE" w:rsidR="00DF5796" w:rsidRPr="00A23C94" w:rsidRDefault="00283B6F" w:rsidP="00A23C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inorHAnsi"/>
          <w:sz w:val="16"/>
          <w:szCs w:val="16"/>
        </w:rPr>
      </w:pPr>
      <w:r>
        <w:rPr>
          <w:rFonts w:asciiTheme="majorHAnsi" w:hAnsiTheme="majorHAnsi" w:cstheme="minorHAnsi"/>
          <w:sz w:val="16"/>
          <w:szCs w:val="16"/>
        </w:rPr>
        <w:tab/>
      </w:r>
      <w:r w:rsidR="00DF5796" w:rsidRPr="00A23C94">
        <w:rPr>
          <w:rStyle w:val="FootnoteReference"/>
          <w:rFonts w:asciiTheme="majorHAnsi" w:hAnsiTheme="majorHAnsi" w:cstheme="minorHAnsi"/>
          <w:sz w:val="16"/>
          <w:szCs w:val="16"/>
        </w:rPr>
        <w:footnoteRef/>
      </w:r>
      <w:r w:rsidR="00DF5796" w:rsidRPr="00A23C94">
        <w:rPr>
          <w:rFonts w:asciiTheme="majorHAnsi" w:hAnsiTheme="majorHAnsi" w:cstheme="minorHAnsi"/>
          <w:sz w:val="16"/>
          <w:szCs w:val="16"/>
        </w:rPr>
        <w:t xml:space="preserve"> The petitioners refer notably to reports published by the IACHR: </w:t>
      </w:r>
      <w:r w:rsidR="00DF5796" w:rsidRPr="00A23C94">
        <w:rPr>
          <w:rFonts w:asciiTheme="majorHAnsi" w:hAnsiTheme="majorHAnsi" w:cstheme="minorHAnsi"/>
          <w:sz w:val="16"/>
          <w:szCs w:val="16"/>
          <w:lang w:eastAsia="es-ES"/>
        </w:rPr>
        <w:t xml:space="preserve">Inter-Am. </w:t>
      </w:r>
      <w:proofErr w:type="spellStart"/>
      <w:r w:rsidR="00DF5796" w:rsidRPr="00A23C94">
        <w:rPr>
          <w:rFonts w:asciiTheme="majorHAnsi" w:hAnsiTheme="majorHAnsi" w:cstheme="minorHAnsi"/>
          <w:sz w:val="16"/>
          <w:szCs w:val="16"/>
          <w:lang w:eastAsia="es-ES"/>
        </w:rPr>
        <w:t>Comm'n</w:t>
      </w:r>
      <w:proofErr w:type="spellEnd"/>
      <w:r w:rsidR="00DF5796" w:rsidRPr="00A23C94">
        <w:rPr>
          <w:rFonts w:asciiTheme="majorHAnsi" w:hAnsiTheme="majorHAnsi" w:cstheme="minorHAnsi"/>
          <w:sz w:val="16"/>
          <w:szCs w:val="16"/>
          <w:lang w:eastAsia="es-ES"/>
        </w:rPr>
        <w:t xml:space="preserve"> H.R., Press Release No. 59/08, </w:t>
      </w:r>
      <w:r w:rsidR="00DF5796" w:rsidRPr="00A23C94">
        <w:rPr>
          <w:rFonts w:asciiTheme="majorHAnsi" w:hAnsiTheme="majorHAnsi" w:cstheme="minorHAnsi"/>
          <w:i/>
          <w:sz w:val="16"/>
          <w:szCs w:val="16"/>
          <w:lang w:eastAsia="es-ES"/>
        </w:rPr>
        <w:t>IACHR Issues Preliminary Observations on Visit to Jamaica</w:t>
      </w:r>
      <w:r w:rsidR="00DF5796" w:rsidRPr="00A23C94">
        <w:rPr>
          <w:rFonts w:asciiTheme="majorHAnsi" w:hAnsiTheme="majorHAnsi" w:cstheme="minorHAnsi"/>
          <w:sz w:val="16"/>
          <w:szCs w:val="16"/>
          <w:lang w:eastAsia="es-ES"/>
        </w:rPr>
        <w:t xml:space="preserve"> (Dec. 5, 2008); Inter-Am. </w:t>
      </w:r>
      <w:proofErr w:type="spellStart"/>
      <w:r w:rsidR="00DF5796" w:rsidRPr="00A23C94">
        <w:rPr>
          <w:rFonts w:asciiTheme="majorHAnsi" w:hAnsiTheme="majorHAnsi" w:cstheme="minorHAnsi"/>
          <w:sz w:val="16"/>
          <w:szCs w:val="16"/>
          <w:lang w:eastAsia="es-ES"/>
        </w:rPr>
        <w:t>Comm’n</w:t>
      </w:r>
      <w:proofErr w:type="spellEnd"/>
      <w:r w:rsidR="00DF5796" w:rsidRPr="00A23C94">
        <w:rPr>
          <w:rFonts w:asciiTheme="majorHAnsi" w:hAnsiTheme="majorHAnsi" w:cstheme="minorHAnsi"/>
          <w:sz w:val="16"/>
          <w:szCs w:val="16"/>
          <w:lang w:eastAsia="es-ES"/>
        </w:rPr>
        <w:t xml:space="preserve"> H.R., OEA/</w:t>
      </w:r>
      <w:proofErr w:type="spellStart"/>
      <w:r w:rsidR="00DF5796" w:rsidRPr="00A23C94">
        <w:rPr>
          <w:rFonts w:asciiTheme="majorHAnsi" w:hAnsiTheme="majorHAnsi" w:cstheme="minorHAnsi"/>
          <w:sz w:val="16"/>
          <w:szCs w:val="16"/>
          <w:lang w:eastAsia="es-ES"/>
        </w:rPr>
        <w:t>Ser.L</w:t>
      </w:r>
      <w:proofErr w:type="spellEnd"/>
      <w:r w:rsidR="00DF5796" w:rsidRPr="00A23C94">
        <w:rPr>
          <w:rFonts w:asciiTheme="majorHAnsi" w:hAnsiTheme="majorHAnsi" w:cstheme="minorHAnsi"/>
          <w:sz w:val="16"/>
          <w:szCs w:val="16"/>
          <w:lang w:eastAsia="es-ES"/>
        </w:rPr>
        <w:t xml:space="preserve">/V/II.144 Doc. 12, </w:t>
      </w:r>
      <w:r w:rsidR="00DF5796" w:rsidRPr="00A23C94">
        <w:rPr>
          <w:rFonts w:asciiTheme="majorHAnsi" w:hAnsiTheme="majorHAnsi" w:cstheme="minorHAnsi"/>
          <w:i/>
          <w:sz w:val="16"/>
          <w:szCs w:val="16"/>
          <w:lang w:eastAsia="es-ES"/>
        </w:rPr>
        <w:t>Report on the Situation of Human Rights in Jamaica</w:t>
      </w:r>
      <w:r w:rsidR="00DF5796" w:rsidRPr="00A23C94">
        <w:rPr>
          <w:rFonts w:asciiTheme="majorHAnsi" w:hAnsiTheme="majorHAnsi" w:cstheme="minorHAnsi"/>
          <w:sz w:val="16"/>
          <w:szCs w:val="16"/>
          <w:lang w:eastAsia="es-ES"/>
        </w:rPr>
        <w:t>.</w:t>
      </w:r>
    </w:p>
  </w:footnote>
  <w:footnote w:id="7">
    <w:p w14:paraId="2F1285C3" w14:textId="4A7900A2" w:rsidR="00DF5796" w:rsidRPr="00A23C94" w:rsidRDefault="00283B6F" w:rsidP="00A23C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inorHAnsi"/>
          <w:sz w:val="16"/>
          <w:szCs w:val="16"/>
        </w:rPr>
      </w:pPr>
      <w:r>
        <w:rPr>
          <w:rFonts w:asciiTheme="majorHAnsi" w:hAnsiTheme="majorHAnsi" w:cstheme="minorHAnsi"/>
          <w:sz w:val="16"/>
          <w:szCs w:val="16"/>
        </w:rPr>
        <w:tab/>
      </w:r>
      <w:r w:rsidR="00DF5796" w:rsidRPr="00A23C94">
        <w:rPr>
          <w:rStyle w:val="FootnoteReference"/>
          <w:rFonts w:asciiTheme="majorHAnsi" w:hAnsiTheme="majorHAnsi" w:cstheme="minorHAnsi"/>
          <w:sz w:val="16"/>
          <w:szCs w:val="16"/>
        </w:rPr>
        <w:footnoteRef/>
      </w:r>
      <w:r w:rsidR="00DF5796" w:rsidRPr="00A23C94">
        <w:rPr>
          <w:rFonts w:asciiTheme="majorHAnsi" w:hAnsiTheme="majorHAnsi" w:cstheme="minorHAnsi"/>
          <w:sz w:val="16"/>
          <w:szCs w:val="16"/>
        </w:rPr>
        <w:t xml:space="preserve"> The petitioners cite the </w:t>
      </w:r>
      <w:r w:rsidR="00DF5796" w:rsidRPr="00A23C94">
        <w:rPr>
          <w:rFonts w:asciiTheme="majorHAnsi" w:hAnsiTheme="majorHAnsi" w:cstheme="minorHAnsi"/>
          <w:sz w:val="16"/>
          <w:szCs w:val="16"/>
          <w:lang w:eastAsia="es-ES"/>
        </w:rPr>
        <w:t xml:space="preserve">Jamaicans For Justice &amp; The George Washington University Law School International Human Rights Clinic, </w:t>
      </w:r>
      <w:r w:rsidR="00DF5796" w:rsidRPr="00A23C94">
        <w:rPr>
          <w:rFonts w:asciiTheme="majorHAnsi" w:hAnsiTheme="majorHAnsi" w:cstheme="minorHAnsi"/>
          <w:bCs/>
          <w:i/>
          <w:sz w:val="16"/>
          <w:szCs w:val="16"/>
          <w:lang w:eastAsia="es-ES"/>
        </w:rPr>
        <w:t>Killing Impunity: Fatal Police Shootings and Extrajudicial Executions in Jamaica: 2005-2007</w:t>
      </w:r>
      <w:r w:rsidR="00DF5796" w:rsidRPr="00A23C94">
        <w:rPr>
          <w:rFonts w:asciiTheme="majorHAnsi" w:hAnsiTheme="majorHAnsi" w:cstheme="minorHAnsi"/>
          <w:bCs/>
          <w:sz w:val="16"/>
          <w:szCs w:val="16"/>
          <w:lang w:eastAsia="es-ES"/>
        </w:rPr>
        <w:t xml:space="preserve"> </w:t>
      </w:r>
      <w:r w:rsidR="00DF5796" w:rsidRPr="00A23C94">
        <w:rPr>
          <w:rFonts w:asciiTheme="majorHAnsi" w:hAnsiTheme="majorHAnsi" w:cstheme="minorHAnsi"/>
          <w:sz w:val="16"/>
          <w:szCs w:val="16"/>
          <w:lang w:eastAsia="es-ES"/>
        </w:rPr>
        <w:t>(Mar. 18, 2008)</w:t>
      </w:r>
      <w:r w:rsidR="00DF5796" w:rsidRPr="00A23C94">
        <w:rPr>
          <w:rFonts w:asciiTheme="majorHAnsi" w:hAnsiTheme="majorHAnsi" w:cstheme="minorHAnsi"/>
          <w:sz w:val="16"/>
          <w:szCs w:val="16"/>
        </w:rPr>
        <w:t xml:space="preserve"> and the Jamaicans For Justice, </w:t>
      </w:r>
      <w:r w:rsidR="00DF5796" w:rsidRPr="00A23C94">
        <w:rPr>
          <w:rFonts w:asciiTheme="majorHAnsi" w:hAnsiTheme="majorHAnsi" w:cstheme="minorHAnsi"/>
          <w:i/>
          <w:sz w:val="16"/>
          <w:szCs w:val="16"/>
        </w:rPr>
        <w:t>Pattern of Impunity: A Report on Jamaica's Investigation and Prosecution of Deaths at the Hands of Agents of the State</w:t>
      </w:r>
      <w:r w:rsidR="00DF5796" w:rsidRPr="00A23C94">
        <w:rPr>
          <w:rFonts w:asciiTheme="majorHAnsi" w:hAnsiTheme="majorHAnsi" w:cstheme="minorHAnsi"/>
          <w:sz w:val="16"/>
          <w:szCs w:val="16"/>
        </w:rPr>
        <w:t xml:space="preserve"> (Sept. 30, 2005)</w:t>
      </w:r>
    </w:p>
  </w:footnote>
  <w:footnote w:id="8">
    <w:p w14:paraId="73172CB8" w14:textId="55122B1A" w:rsidR="00FF2A5F"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FF2A5F" w:rsidRPr="00A23C94">
        <w:rPr>
          <w:rStyle w:val="FootnoteReference"/>
          <w:rFonts w:asciiTheme="majorHAnsi" w:hAnsiTheme="majorHAnsi"/>
          <w:sz w:val="16"/>
          <w:szCs w:val="16"/>
        </w:rPr>
        <w:footnoteRef/>
      </w:r>
      <w:r w:rsidR="00FF2A5F" w:rsidRPr="00A23C94">
        <w:rPr>
          <w:rFonts w:asciiTheme="majorHAnsi" w:hAnsiTheme="majorHAnsi"/>
          <w:sz w:val="16"/>
          <w:szCs w:val="16"/>
        </w:rPr>
        <w:t xml:space="preserve"> The petitioners explain that each bus is staffed with a driver, in this case Paul Brown, and a conductor who directs and instructs the driver on what to do and where to go, in this case </w:t>
      </w:r>
      <w:proofErr w:type="spellStart"/>
      <w:r w:rsidR="00FF2A5F" w:rsidRPr="00A23C94">
        <w:rPr>
          <w:rFonts w:asciiTheme="majorHAnsi" w:hAnsiTheme="majorHAnsi"/>
          <w:sz w:val="16"/>
          <w:szCs w:val="16"/>
        </w:rPr>
        <w:t>Delroy</w:t>
      </w:r>
      <w:proofErr w:type="spellEnd"/>
      <w:r w:rsidR="00FF2A5F" w:rsidRPr="00A23C94">
        <w:rPr>
          <w:rFonts w:asciiTheme="majorHAnsi" w:hAnsiTheme="majorHAnsi"/>
          <w:sz w:val="16"/>
          <w:szCs w:val="16"/>
        </w:rPr>
        <w:t xml:space="preserve"> Bryan.</w:t>
      </w:r>
    </w:p>
  </w:footnote>
  <w:footnote w:id="9">
    <w:p w14:paraId="29076FFC" w14:textId="08B48E28" w:rsidR="002D5DA2"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2D5DA2" w:rsidRPr="00A23C94">
        <w:rPr>
          <w:rStyle w:val="FootnoteReference"/>
          <w:rFonts w:asciiTheme="majorHAnsi" w:hAnsiTheme="majorHAnsi"/>
          <w:sz w:val="16"/>
          <w:szCs w:val="16"/>
        </w:rPr>
        <w:footnoteRef/>
      </w:r>
      <w:r w:rsidR="002D5DA2" w:rsidRPr="00A23C94">
        <w:rPr>
          <w:rFonts w:asciiTheme="majorHAnsi" w:hAnsiTheme="majorHAnsi"/>
          <w:sz w:val="16"/>
          <w:szCs w:val="16"/>
        </w:rPr>
        <w:t xml:space="preserve"> The petitioners indicate that it is reported that he has since been </w:t>
      </w:r>
      <w:r w:rsidR="00114AC5">
        <w:rPr>
          <w:rFonts w:asciiTheme="majorHAnsi" w:hAnsiTheme="majorHAnsi"/>
          <w:sz w:val="16"/>
          <w:szCs w:val="16"/>
        </w:rPr>
        <w:t>located</w:t>
      </w:r>
      <w:r w:rsidR="002D5DA2" w:rsidRPr="00A23C94">
        <w:rPr>
          <w:rFonts w:asciiTheme="majorHAnsi" w:hAnsiTheme="majorHAnsi"/>
          <w:sz w:val="16"/>
          <w:szCs w:val="16"/>
        </w:rPr>
        <w:t>, but this information have not been verified.</w:t>
      </w:r>
    </w:p>
  </w:footnote>
  <w:footnote w:id="10">
    <w:p w14:paraId="09BB5267" w14:textId="6B4F045A" w:rsidR="00DF5796"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DF5796" w:rsidRPr="00A23C94">
        <w:rPr>
          <w:rStyle w:val="FootnoteReference"/>
          <w:rFonts w:asciiTheme="majorHAnsi" w:hAnsiTheme="majorHAnsi"/>
          <w:sz w:val="16"/>
          <w:szCs w:val="16"/>
        </w:rPr>
        <w:footnoteRef/>
      </w:r>
      <w:r w:rsidR="00DF5796" w:rsidRPr="00A23C94">
        <w:rPr>
          <w:rFonts w:asciiTheme="majorHAnsi" w:hAnsiTheme="majorHAnsi"/>
          <w:sz w:val="16"/>
          <w:szCs w:val="16"/>
        </w:rPr>
        <w:t xml:space="preserve"> </w:t>
      </w:r>
      <w:r w:rsidR="00CC39DA" w:rsidRPr="00A23C94">
        <w:rPr>
          <w:rFonts w:asciiTheme="majorHAnsi" w:hAnsiTheme="majorHAnsi"/>
          <w:sz w:val="16"/>
          <w:szCs w:val="16"/>
        </w:rPr>
        <w:t>10</w:t>
      </w:r>
      <w:r w:rsidR="00DF5796" w:rsidRPr="00A23C94">
        <w:rPr>
          <w:rFonts w:asciiTheme="majorHAnsi" w:hAnsiTheme="majorHAnsi"/>
          <w:sz w:val="16"/>
          <w:szCs w:val="16"/>
        </w:rPr>
        <w:t xml:space="preserve"> years after the murder, and </w:t>
      </w:r>
      <w:r w:rsidR="00CC39DA" w:rsidRPr="00A23C94">
        <w:rPr>
          <w:rFonts w:asciiTheme="majorHAnsi" w:hAnsiTheme="majorHAnsi"/>
          <w:sz w:val="16"/>
          <w:szCs w:val="16"/>
        </w:rPr>
        <w:t>5</w:t>
      </w:r>
      <w:r w:rsidR="00DF5796" w:rsidRPr="00A23C94">
        <w:rPr>
          <w:rFonts w:asciiTheme="majorHAnsi" w:hAnsiTheme="majorHAnsi"/>
          <w:sz w:val="16"/>
          <w:szCs w:val="16"/>
        </w:rPr>
        <w:t xml:space="preserve"> years after the filling of the petition before the IACHR.</w:t>
      </w:r>
    </w:p>
  </w:footnote>
  <w:footnote w:id="11">
    <w:p w14:paraId="4169D967" w14:textId="24F4B245" w:rsidR="009657AA"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9657AA" w:rsidRPr="00A23C94">
        <w:rPr>
          <w:rStyle w:val="FootnoteReference"/>
          <w:rFonts w:asciiTheme="majorHAnsi" w:hAnsiTheme="majorHAnsi"/>
          <w:sz w:val="16"/>
          <w:szCs w:val="16"/>
        </w:rPr>
        <w:footnoteRef/>
      </w:r>
      <w:r w:rsidR="009657AA" w:rsidRPr="00A23C94">
        <w:rPr>
          <w:rFonts w:asciiTheme="majorHAnsi" w:hAnsiTheme="majorHAnsi"/>
          <w:sz w:val="16"/>
          <w:szCs w:val="16"/>
        </w:rPr>
        <w:t xml:space="preserve"> The petitioners refer to IACHR</w:t>
      </w:r>
      <w:r w:rsidR="009657AA" w:rsidRPr="00A23C94">
        <w:rPr>
          <w:rFonts w:asciiTheme="majorHAnsi" w:hAnsiTheme="majorHAnsi"/>
          <w:i/>
          <w:sz w:val="16"/>
          <w:szCs w:val="16"/>
        </w:rPr>
        <w:t xml:space="preserve">, German Eduardo Giraldo </w:t>
      </w:r>
      <w:proofErr w:type="spellStart"/>
      <w:r w:rsidR="009657AA" w:rsidRPr="00A23C94">
        <w:rPr>
          <w:rFonts w:asciiTheme="majorHAnsi" w:hAnsiTheme="majorHAnsi"/>
          <w:i/>
          <w:sz w:val="16"/>
          <w:szCs w:val="16"/>
        </w:rPr>
        <w:t>Agudelo</w:t>
      </w:r>
      <w:proofErr w:type="spellEnd"/>
      <w:r w:rsidR="009657AA" w:rsidRPr="00A23C94">
        <w:rPr>
          <w:rFonts w:asciiTheme="majorHAnsi" w:hAnsiTheme="majorHAnsi"/>
          <w:i/>
          <w:sz w:val="16"/>
          <w:szCs w:val="16"/>
        </w:rPr>
        <w:t xml:space="preserve"> and Family v. Colombia</w:t>
      </w:r>
      <w:r w:rsidR="009657AA" w:rsidRPr="00A23C94">
        <w:rPr>
          <w:rFonts w:asciiTheme="majorHAnsi" w:hAnsiTheme="majorHAnsi"/>
          <w:sz w:val="16"/>
          <w:szCs w:val="16"/>
        </w:rPr>
        <w:t xml:space="preserve">, Admissibility Report No. 46/19, Inter-Am. </w:t>
      </w:r>
      <w:proofErr w:type="spellStart"/>
      <w:r w:rsidR="009657AA" w:rsidRPr="00A23C94">
        <w:rPr>
          <w:rFonts w:asciiTheme="majorHAnsi" w:hAnsiTheme="majorHAnsi"/>
          <w:sz w:val="16"/>
          <w:szCs w:val="16"/>
        </w:rPr>
        <w:t>Comm’n</w:t>
      </w:r>
      <w:proofErr w:type="spellEnd"/>
      <w:r w:rsidR="009657AA" w:rsidRPr="00A23C94">
        <w:rPr>
          <w:rFonts w:asciiTheme="majorHAnsi" w:hAnsiTheme="majorHAnsi"/>
          <w:sz w:val="16"/>
          <w:szCs w:val="16"/>
        </w:rPr>
        <w:t xml:space="preserve"> H.R., Petition 314-09, (April 24, 2019),</w:t>
      </w:r>
    </w:p>
  </w:footnote>
  <w:footnote w:id="12">
    <w:p w14:paraId="14C62262" w14:textId="1B31332D" w:rsidR="009657AA"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9657AA" w:rsidRPr="00A23C94">
        <w:rPr>
          <w:rStyle w:val="FootnoteReference"/>
          <w:rFonts w:asciiTheme="majorHAnsi" w:hAnsiTheme="majorHAnsi"/>
          <w:sz w:val="16"/>
          <w:szCs w:val="16"/>
        </w:rPr>
        <w:footnoteRef/>
      </w:r>
      <w:r w:rsidR="009657AA" w:rsidRPr="00A23C94">
        <w:rPr>
          <w:rFonts w:asciiTheme="majorHAnsi" w:hAnsiTheme="majorHAnsi"/>
          <w:sz w:val="16"/>
          <w:szCs w:val="16"/>
        </w:rPr>
        <w:t xml:space="preserve"> The petitioners refer to IACHR, </w:t>
      </w:r>
      <w:r w:rsidR="009657AA" w:rsidRPr="00A23C94">
        <w:rPr>
          <w:rFonts w:asciiTheme="majorHAnsi" w:hAnsiTheme="majorHAnsi"/>
          <w:i/>
          <w:sz w:val="16"/>
          <w:szCs w:val="16"/>
        </w:rPr>
        <w:t xml:space="preserve">Hugo </w:t>
      </w:r>
      <w:proofErr w:type="spellStart"/>
      <w:r w:rsidR="009657AA" w:rsidRPr="00A23C94">
        <w:rPr>
          <w:rFonts w:asciiTheme="majorHAnsi" w:hAnsiTheme="majorHAnsi"/>
          <w:i/>
          <w:sz w:val="16"/>
          <w:szCs w:val="16"/>
        </w:rPr>
        <w:t>Ferney</w:t>
      </w:r>
      <w:proofErr w:type="spellEnd"/>
      <w:r w:rsidR="009657AA" w:rsidRPr="00A23C94">
        <w:rPr>
          <w:rFonts w:asciiTheme="majorHAnsi" w:hAnsiTheme="majorHAnsi"/>
          <w:i/>
          <w:sz w:val="16"/>
          <w:szCs w:val="16"/>
        </w:rPr>
        <w:t xml:space="preserve"> Leon </w:t>
      </w:r>
      <w:proofErr w:type="spellStart"/>
      <w:r w:rsidR="009657AA" w:rsidRPr="00A23C94">
        <w:rPr>
          <w:rFonts w:asciiTheme="majorHAnsi" w:hAnsiTheme="majorHAnsi"/>
          <w:i/>
          <w:sz w:val="16"/>
          <w:szCs w:val="16"/>
        </w:rPr>
        <w:t>Londono</w:t>
      </w:r>
      <w:proofErr w:type="spellEnd"/>
      <w:r w:rsidR="009657AA" w:rsidRPr="00A23C94">
        <w:rPr>
          <w:rFonts w:asciiTheme="majorHAnsi" w:hAnsiTheme="majorHAnsi"/>
          <w:i/>
          <w:sz w:val="16"/>
          <w:szCs w:val="16"/>
        </w:rPr>
        <w:t xml:space="preserve"> and Family v. Colombia</w:t>
      </w:r>
      <w:r w:rsidR="009657AA" w:rsidRPr="00A23C94">
        <w:rPr>
          <w:rFonts w:asciiTheme="majorHAnsi" w:hAnsiTheme="majorHAnsi"/>
          <w:sz w:val="16"/>
          <w:szCs w:val="16"/>
        </w:rPr>
        <w:t xml:space="preserve">, Admissibility Report No. 50/19, Inter-Am. </w:t>
      </w:r>
      <w:proofErr w:type="spellStart"/>
      <w:r w:rsidR="009657AA" w:rsidRPr="00A23C94">
        <w:rPr>
          <w:rFonts w:asciiTheme="majorHAnsi" w:hAnsiTheme="majorHAnsi"/>
          <w:sz w:val="16"/>
          <w:szCs w:val="16"/>
        </w:rPr>
        <w:t>Comm’n</w:t>
      </w:r>
      <w:proofErr w:type="spellEnd"/>
      <w:r w:rsidR="009657AA" w:rsidRPr="00A23C94">
        <w:rPr>
          <w:rFonts w:asciiTheme="majorHAnsi" w:hAnsiTheme="majorHAnsi"/>
          <w:sz w:val="16"/>
          <w:szCs w:val="16"/>
        </w:rPr>
        <w:t xml:space="preserve"> H.R., Petition 1376-08, (May 5, 2019)</w:t>
      </w:r>
    </w:p>
  </w:footnote>
  <w:footnote w:id="13">
    <w:p w14:paraId="1021B48A" w14:textId="7881129A" w:rsidR="009657AA"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9657AA" w:rsidRPr="00A23C94">
        <w:rPr>
          <w:rStyle w:val="FootnoteReference"/>
          <w:rFonts w:asciiTheme="majorHAnsi" w:hAnsiTheme="majorHAnsi"/>
          <w:sz w:val="16"/>
          <w:szCs w:val="16"/>
        </w:rPr>
        <w:footnoteRef/>
      </w:r>
      <w:r w:rsidR="009657AA" w:rsidRPr="00A23C94">
        <w:rPr>
          <w:rFonts w:asciiTheme="majorHAnsi" w:hAnsiTheme="majorHAnsi"/>
          <w:sz w:val="16"/>
          <w:szCs w:val="16"/>
        </w:rPr>
        <w:t xml:space="preserve"> The petitioners refer to IACHR, </w:t>
      </w:r>
      <w:r w:rsidR="009657AA" w:rsidRPr="00A23C94">
        <w:rPr>
          <w:rFonts w:asciiTheme="majorHAnsi" w:hAnsiTheme="majorHAnsi"/>
          <w:i/>
          <w:sz w:val="16"/>
          <w:szCs w:val="16"/>
        </w:rPr>
        <w:t>Michael Gayle v. Jamaica</w:t>
      </w:r>
      <w:r w:rsidR="009657AA" w:rsidRPr="00A23C94">
        <w:rPr>
          <w:rFonts w:asciiTheme="majorHAnsi" w:hAnsiTheme="majorHAnsi"/>
          <w:sz w:val="16"/>
          <w:szCs w:val="16"/>
        </w:rPr>
        <w:t xml:space="preserve">, Admissibility Report No. 8/03, Inter-Am. </w:t>
      </w:r>
      <w:proofErr w:type="spellStart"/>
      <w:r w:rsidR="009657AA" w:rsidRPr="00A23C94">
        <w:rPr>
          <w:rFonts w:asciiTheme="majorHAnsi" w:hAnsiTheme="majorHAnsi"/>
          <w:sz w:val="16"/>
          <w:szCs w:val="16"/>
        </w:rPr>
        <w:t>Comm’n</w:t>
      </w:r>
      <w:proofErr w:type="spellEnd"/>
      <w:r w:rsidR="009657AA" w:rsidRPr="00A23C94">
        <w:rPr>
          <w:rFonts w:asciiTheme="majorHAnsi" w:hAnsiTheme="majorHAnsi"/>
          <w:sz w:val="16"/>
          <w:szCs w:val="16"/>
        </w:rPr>
        <w:t xml:space="preserve"> H.R., Petition 191/02, (Feb. 20, 2003)</w:t>
      </w:r>
    </w:p>
  </w:footnote>
  <w:footnote w:id="14">
    <w:p w14:paraId="4CDB131C" w14:textId="745AB0F9" w:rsidR="00A23C94"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A23C94" w:rsidRPr="00A23C94">
        <w:rPr>
          <w:rStyle w:val="FootnoteReference"/>
          <w:rFonts w:asciiTheme="majorHAnsi" w:hAnsiTheme="majorHAnsi"/>
          <w:sz w:val="16"/>
          <w:szCs w:val="16"/>
        </w:rPr>
        <w:footnoteRef/>
      </w:r>
      <w:r w:rsidR="00A23C94" w:rsidRPr="00A23C94">
        <w:rPr>
          <w:rFonts w:asciiTheme="majorHAnsi" w:hAnsiTheme="majorHAnsi"/>
          <w:sz w:val="16"/>
          <w:szCs w:val="16"/>
        </w:rPr>
        <w:t xml:space="preserve"> See IACHR, Report No. 87/08, Petition 558-05. Admissibility. Jeremy Smith. Jamaica. October 30, 2008, par. </w:t>
      </w:r>
      <w:proofErr w:type="gramStart"/>
      <w:r w:rsidR="00A23C94" w:rsidRPr="00A23C94">
        <w:rPr>
          <w:rFonts w:asciiTheme="majorHAnsi" w:hAnsiTheme="majorHAnsi"/>
          <w:sz w:val="16"/>
          <w:szCs w:val="16"/>
        </w:rPr>
        <w:t>36.;</w:t>
      </w:r>
      <w:proofErr w:type="gramEnd"/>
      <w:r w:rsidR="00A23C94" w:rsidRPr="00A23C94">
        <w:rPr>
          <w:rFonts w:asciiTheme="majorHAnsi" w:hAnsiTheme="majorHAnsi"/>
          <w:sz w:val="16"/>
          <w:szCs w:val="16"/>
        </w:rPr>
        <w:t xml:space="preserve"> IACHR, Report No.180/19, Petition P-1468-09. Admissibility. Pablo </w:t>
      </w:r>
      <w:proofErr w:type="spellStart"/>
      <w:r w:rsidR="00A23C94" w:rsidRPr="00A23C94">
        <w:rPr>
          <w:rFonts w:asciiTheme="majorHAnsi" w:hAnsiTheme="majorHAnsi"/>
          <w:sz w:val="16"/>
          <w:szCs w:val="16"/>
        </w:rPr>
        <w:t>Gac</w:t>
      </w:r>
      <w:proofErr w:type="spellEnd"/>
      <w:r w:rsidR="00A23C94" w:rsidRPr="00A23C94">
        <w:rPr>
          <w:rFonts w:asciiTheme="majorHAnsi" w:hAnsiTheme="majorHAnsi"/>
          <w:sz w:val="16"/>
          <w:szCs w:val="16"/>
        </w:rPr>
        <w:t xml:space="preserve"> Espinoza and </w:t>
      </w:r>
      <w:proofErr w:type="spellStart"/>
      <w:r w:rsidR="00A23C94" w:rsidRPr="00A23C94">
        <w:rPr>
          <w:rFonts w:asciiTheme="majorHAnsi" w:hAnsiTheme="majorHAnsi"/>
          <w:sz w:val="16"/>
          <w:szCs w:val="16"/>
        </w:rPr>
        <w:t>familiy</w:t>
      </w:r>
      <w:proofErr w:type="spellEnd"/>
      <w:r w:rsidR="00A23C94" w:rsidRPr="00A23C94">
        <w:rPr>
          <w:rFonts w:asciiTheme="majorHAnsi" w:hAnsiTheme="majorHAnsi"/>
          <w:sz w:val="16"/>
          <w:szCs w:val="16"/>
        </w:rPr>
        <w:t xml:space="preserve">. Chile. September 11, 2019, par. 7; IACHR, Report No. 105/17. Petition 798-07. Admissibility. David </w:t>
      </w:r>
      <w:proofErr w:type="spellStart"/>
      <w:r w:rsidR="00A23C94" w:rsidRPr="00A23C94">
        <w:rPr>
          <w:rFonts w:asciiTheme="majorHAnsi" w:hAnsiTheme="majorHAnsi"/>
          <w:sz w:val="16"/>
          <w:szCs w:val="16"/>
        </w:rPr>
        <w:t>Valderrama</w:t>
      </w:r>
      <w:proofErr w:type="spellEnd"/>
      <w:r w:rsidR="00A23C94" w:rsidRPr="00A23C94">
        <w:rPr>
          <w:rFonts w:asciiTheme="majorHAnsi" w:hAnsiTheme="majorHAnsi"/>
          <w:sz w:val="16"/>
          <w:szCs w:val="16"/>
        </w:rPr>
        <w:t xml:space="preserve"> </w:t>
      </w:r>
      <w:proofErr w:type="spellStart"/>
      <w:r w:rsidR="00A23C94" w:rsidRPr="00A23C94">
        <w:rPr>
          <w:rFonts w:asciiTheme="majorHAnsi" w:hAnsiTheme="majorHAnsi"/>
          <w:sz w:val="16"/>
          <w:szCs w:val="16"/>
        </w:rPr>
        <w:t>Opazo</w:t>
      </w:r>
      <w:proofErr w:type="spellEnd"/>
      <w:r w:rsidR="00A23C94" w:rsidRPr="00A23C94">
        <w:rPr>
          <w:rFonts w:asciiTheme="majorHAnsi" w:hAnsiTheme="majorHAnsi"/>
          <w:sz w:val="16"/>
          <w:szCs w:val="16"/>
        </w:rPr>
        <w:t xml:space="preserve"> and others. Chile. September 7, 2017.</w:t>
      </w:r>
    </w:p>
  </w:footnote>
  <w:footnote w:id="15">
    <w:p w14:paraId="4CFDCEC3" w14:textId="6C4EF6BE" w:rsidR="003416AA" w:rsidRPr="00A23C94" w:rsidRDefault="00283B6F" w:rsidP="00A23C94">
      <w:pPr>
        <w:pStyle w:val="FootnoteText"/>
        <w:jc w:val="both"/>
        <w:rPr>
          <w:rFonts w:asciiTheme="majorHAnsi" w:hAnsiTheme="majorHAnsi"/>
          <w:sz w:val="16"/>
          <w:szCs w:val="16"/>
        </w:rPr>
      </w:pPr>
      <w:r>
        <w:rPr>
          <w:rFonts w:asciiTheme="majorHAnsi" w:hAnsiTheme="majorHAnsi"/>
          <w:sz w:val="16"/>
          <w:szCs w:val="16"/>
        </w:rPr>
        <w:tab/>
      </w:r>
      <w:r w:rsidR="003416AA" w:rsidRPr="00A23C94">
        <w:rPr>
          <w:rStyle w:val="FootnoteReference"/>
          <w:rFonts w:asciiTheme="majorHAnsi" w:hAnsiTheme="majorHAnsi"/>
          <w:sz w:val="16"/>
          <w:szCs w:val="16"/>
        </w:rPr>
        <w:footnoteRef/>
      </w:r>
      <w:r w:rsidR="003416AA" w:rsidRPr="00A23C94">
        <w:rPr>
          <w:rFonts w:asciiTheme="majorHAnsi" w:hAnsiTheme="majorHAnsi"/>
          <w:sz w:val="16"/>
          <w:szCs w:val="16"/>
        </w:rPr>
        <w:t xml:space="preserve"> IACHR, Michael Gayle v. Jamaica, Admissibility Report No. 8/03, Inter-Am. </w:t>
      </w:r>
      <w:proofErr w:type="spellStart"/>
      <w:r w:rsidR="003416AA" w:rsidRPr="00A23C94">
        <w:rPr>
          <w:rFonts w:asciiTheme="majorHAnsi" w:hAnsiTheme="majorHAnsi"/>
          <w:sz w:val="16"/>
          <w:szCs w:val="16"/>
        </w:rPr>
        <w:t>Comm’n</w:t>
      </w:r>
      <w:proofErr w:type="spellEnd"/>
      <w:r w:rsidR="003416AA" w:rsidRPr="00A23C94">
        <w:rPr>
          <w:rFonts w:asciiTheme="majorHAnsi" w:hAnsiTheme="majorHAnsi"/>
          <w:sz w:val="16"/>
          <w:szCs w:val="16"/>
        </w:rPr>
        <w:t xml:space="preserve"> H.R., Petition 191/02, (Feb. 20, 2003), para 41; IACHR, Report No. 112/19, Petition 973-09. Admissibility. Janice and Family. Jamaica. June 10, 2019, para 13.</w:t>
      </w:r>
    </w:p>
  </w:footnote>
  <w:footnote w:id="16">
    <w:p w14:paraId="173BEAB9" w14:textId="6D9E4BC0" w:rsidR="009C28F2" w:rsidRPr="009C28F2" w:rsidRDefault="00283B6F" w:rsidP="009C28F2">
      <w:pPr>
        <w:pStyle w:val="FootnoteText"/>
        <w:jc w:val="both"/>
        <w:rPr>
          <w:rFonts w:asciiTheme="majorHAnsi" w:hAnsiTheme="majorHAnsi"/>
          <w:sz w:val="16"/>
          <w:szCs w:val="16"/>
        </w:rPr>
      </w:pPr>
      <w:r>
        <w:rPr>
          <w:rFonts w:asciiTheme="majorHAnsi" w:hAnsiTheme="majorHAnsi"/>
          <w:sz w:val="16"/>
          <w:szCs w:val="16"/>
        </w:rPr>
        <w:tab/>
      </w:r>
      <w:r w:rsidR="009C28F2" w:rsidRPr="009C28F2">
        <w:rPr>
          <w:rStyle w:val="FootnoteReference"/>
          <w:rFonts w:asciiTheme="majorHAnsi" w:hAnsiTheme="majorHAnsi"/>
          <w:sz w:val="16"/>
          <w:szCs w:val="16"/>
        </w:rPr>
        <w:footnoteRef/>
      </w:r>
      <w:r w:rsidR="009C28F2" w:rsidRPr="009C28F2">
        <w:rPr>
          <w:rFonts w:asciiTheme="majorHAnsi" w:hAnsiTheme="majorHAnsi"/>
          <w:sz w:val="16"/>
          <w:szCs w:val="16"/>
        </w:rPr>
        <w:t xml:space="preserve"> IACHR. Report on the situation of human rights in Jamaica, OEA/</w:t>
      </w:r>
      <w:proofErr w:type="spellStart"/>
      <w:r w:rsidR="009C28F2" w:rsidRPr="009C28F2">
        <w:rPr>
          <w:rFonts w:asciiTheme="majorHAnsi" w:hAnsiTheme="majorHAnsi"/>
          <w:sz w:val="16"/>
          <w:szCs w:val="16"/>
        </w:rPr>
        <w:t>Ser.L</w:t>
      </w:r>
      <w:proofErr w:type="spellEnd"/>
      <w:r w:rsidR="009C28F2" w:rsidRPr="009C28F2">
        <w:rPr>
          <w:rFonts w:asciiTheme="majorHAnsi" w:hAnsiTheme="majorHAnsi"/>
          <w:sz w:val="16"/>
          <w:szCs w:val="16"/>
        </w:rPr>
        <w:t>. OEA/</w:t>
      </w:r>
      <w:proofErr w:type="spellStart"/>
      <w:r w:rsidR="009C28F2" w:rsidRPr="009C28F2">
        <w:rPr>
          <w:rFonts w:asciiTheme="majorHAnsi" w:hAnsiTheme="majorHAnsi"/>
          <w:sz w:val="16"/>
          <w:szCs w:val="16"/>
        </w:rPr>
        <w:t>Ser.L</w:t>
      </w:r>
      <w:proofErr w:type="spellEnd"/>
      <w:r w:rsidR="009C28F2" w:rsidRPr="009C28F2">
        <w:rPr>
          <w:rFonts w:asciiTheme="majorHAnsi" w:hAnsiTheme="majorHAnsi"/>
          <w:sz w:val="16"/>
          <w:szCs w:val="16"/>
        </w:rPr>
        <w:t>/V/II.144 Doc.12, 10 of August of 2012, p. 27 and following.</w:t>
      </w:r>
    </w:p>
  </w:footnote>
  <w:footnote w:id="17">
    <w:p w14:paraId="2B286811" w14:textId="0BDE1E4A" w:rsidR="00973AFB" w:rsidRPr="00A23C94" w:rsidRDefault="00283B6F" w:rsidP="00A23C94">
      <w:pPr>
        <w:pStyle w:val="FootnoteText"/>
        <w:jc w:val="both"/>
        <w:rPr>
          <w:rFonts w:asciiTheme="majorHAnsi" w:hAnsiTheme="majorHAnsi"/>
          <w:sz w:val="16"/>
          <w:szCs w:val="16"/>
          <w:lang w:val="es-ES"/>
        </w:rPr>
      </w:pPr>
      <w:r>
        <w:rPr>
          <w:rFonts w:asciiTheme="majorHAnsi" w:hAnsiTheme="majorHAnsi"/>
          <w:sz w:val="16"/>
          <w:szCs w:val="16"/>
        </w:rPr>
        <w:tab/>
      </w:r>
      <w:r w:rsidR="00973AFB" w:rsidRPr="00A23C94">
        <w:rPr>
          <w:rStyle w:val="FootnoteReference"/>
          <w:rFonts w:asciiTheme="majorHAnsi" w:hAnsiTheme="majorHAnsi"/>
          <w:sz w:val="16"/>
          <w:szCs w:val="16"/>
        </w:rPr>
        <w:footnoteRef/>
      </w:r>
      <w:r w:rsidR="00973AFB" w:rsidRPr="00283B6F">
        <w:rPr>
          <w:rFonts w:asciiTheme="majorHAnsi" w:hAnsiTheme="majorHAnsi"/>
          <w:sz w:val="16"/>
          <w:szCs w:val="16"/>
          <w:lang w:val="es-419"/>
        </w:rPr>
        <w:t xml:space="preserve"> CIDH, Informe No. 143/18, Petición 940-08. </w:t>
      </w:r>
      <w:r w:rsidR="00973AFB" w:rsidRPr="00A23C94">
        <w:rPr>
          <w:rFonts w:asciiTheme="majorHAnsi" w:hAnsiTheme="majorHAnsi"/>
          <w:sz w:val="16"/>
          <w:szCs w:val="16"/>
          <w:lang w:val="es-ES"/>
        </w:rPr>
        <w:t>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DF5796" w:rsidRDefault="00DF5796" w:rsidP="00DF579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F5796" w:rsidRDefault="00DF5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DF5796" w:rsidRDefault="00DF579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DF5796" w:rsidRPr="00EC7D62" w:rsidRDefault="00DB321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E933" w14:textId="77777777" w:rsidR="00DE425D" w:rsidRDefault="00DE4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52BAF"/>
    <w:rsid w:val="000639C0"/>
    <w:rsid w:val="00070F3A"/>
    <w:rsid w:val="000716C5"/>
    <w:rsid w:val="00075E23"/>
    <w:rsid w:val="000860D8"/>
    <w:rsid w:val="00092F32"/>
    <w:rsid w:val="0009344A"/>
    <w:rsid w:val="000A575F"/>
    <w:rsid w:val="000A648F"/>
    <w:rsid w:val="000B2F51"/>
    <w:rsid w:val="000B3F8D"/>
    <w:rsid w:val="000C2A16"/>
    <w:rsid w:val="000C4365"/>
    <w:rsid w:val="000D10DB"/>
    <w:rsid w:val="00114AC5"/>
    <w:rsid w:val="00124116"/>
    <w:rsid w:val="001262A7"/>
    <w:rsid w:val="0013104F"/>
    <w:rsid w:val="00137E5A"/>
    <w:rsid w:val="00137EBA"/>
    <w:rsid w:val="00145EDC"/>
    <w:rsid w:val="00153084"/>
    <w:rsid w:val="00167A34"/>
    <w:rsid w:val="001714B4"/>
    <w:rsid w:val="001748BC"/>
    <w:rsid w:val="0018037F"/>
    <w:rsid w:val="001A056C"/>
    <w:rsid w:val="001A5F27"/>
    <w:rsid w:val="001A65E4"/>
    <w:rsid w:val="001A7870"/>
    <w:rsid w:val="001C1B41"/>
    <w:rsid w:val="001C606F"/>
    <w:rsid w:val="001E366B"/>
    <w:rsid w:val="001F1902"/>
    <w:rsid w:val="00210E0E"/>
    <w:rsid w:val="00210F4B"/>
    <w:rsid w:val="002211CE"/>
    <w:rsid w:val="00230163"/>
    <w:rsid w:val="0023351C"/>
    <w:rsid w:val="00247403"/>
    <w:rsid w:val="00247542"/>
    <w:rsid w:val="00257893"/>
    <w:rsid w:val="00266092"/>
    <w:rsid w:val="00266B61"/>
    <w:rsid w:val="0026712A"/>
    <w:rsid w:val="002704DB"/>
    <w:rsid w:val="002760CE"/>
    <w:rsid w:val="00283B6F"/>
    <w:rsid w:val="002A14BD"/>
    <w:rsid w:val="002B7A85"/>
    <w:rsid w:val="002C1641"/>
    <w:rsid w:val="002D5DA2"/>
    <w:rsid w:val="002D7EA2"/>
    <w:rsid w:val="002E15DF"/>
    <w:rsid w:val="002E187C"/>
    <w:rsid w:val="002E6E57"/>
    <w:rsid w:val="00300D31"/>
    <w:rsid w:val="00301075"/>
    <w:rsid w:val="00302733"/>
    <w:rsid w:val="00311A4F"/>
    <w:rsid w:val="00314078"/>
    <w:rsid w:val="00317AEB"/>
    <w:rsid w:val="00321AFD"/>
    <w:rsid w:val="00322450"/>
    <w:rsid w:val="003246B5"/>
    <w:rsid w:val="0033169F"/>
    <w:rsid w:val="003414AC"/>
    <w:rsid w:val="003416AA"/>
    <w:rsid w:val="00346F4D"/>
    <w:rsid w:val="00356185"/>
    <w:rsid w:val="00360380"/>
    <w:rsid w:val="003665C3"/>
    <w:rsid w:val="003771A3"/>
    <w:rsid w:val="00386CF0"/>
    <w:rsid w:val="003A0906"/>
    <w:rsid w:val="003A4348"/>
    <w:rsid w:val="003B4DE6"/>
    <w:rsid w:val="003C32BC"/>
    <w:rsid w:val="003D102A"/>
    <w:rsid w:val="003D4CD1"/>
    <w:rsid w:val="003E3E03"/>
    <w:rsid w:val="003F1BBF"/>
    <w:rsid w:val="00406700"/>
    <w:rsid w:val="00411FBB"/>
    <w:rsid w:val="00412950"/>
    <w:rsid w:val="004162B1"/>
    <w:rsid w:val="004165C2"/>
    <w:rsid w:val="00444243"/>
    <w:rsid w:val="00444640"/>
    <w:rsid w:val="004470B4"/>
    <w:rsid w:val="00450A4A"/>
    <w:rsid w:val="004666FB"/>
    <w:rsid w:val="00466D0B"/>
    <w:rsid w:val="00467B7E"/>
    <w:rsid w:val="0049419D"/>
    <w:rsid w:val="00497778"/>
    <w:rsid w:val="004B2762"/>
    <w:rsid w:val="004B7EB6"/>
    <w:rsid w:val="004C41DE"/>
    <w:rsid w:val="004C454E"/>
    <w:rsid w:val="004C4B62"/>
    <w:rsid w:val="004D0405"/>
    <w:rsid w:val="004D6025"/>
    <w:rsid w:val="004D72BC"/>
    <w:rsid w:val="004F3EAD"/>
    <w:rsid w:val="004F6B67"/>
    <w:rsid w:val="004F7911"/>
    <w:rsid w:val="00501399"/>
    <w:rsid w:val="00507BC4"/>
    <w:rsid w:val="005128E4"/>
    <w:rsid w:val="005136A2"/>
    <w:rsid w:val="00520468"/>
    <w:rsid w:val="00525560"/>
    <w:rsid w:val="005357A6"/>
    <w:rsid w:val="00544C49"/>
    <w:rsid w:val="0057084C"/>
    <w:rsid w:val="0057402A"/>
    <w:rsid w:val="005771D0"/>
    <w:rsid w:val="005816E5"/>
    <w:rsid w:val="0059191A"/>
    <w:rsid w:val="005921FF"/>
    <w:rsid w:val="00592718"/>
    <w:rsid w:val="005A0DC2"/>
    <w:rsid w:val="005A6D0E"/>
    <w:rsid w:val="005B222D"/>
    <w:rsid w:val="005B3A0E"/>
    <w:rsid w:val="005B52B0"/>
    <w:rsid w:val="005B6806"/>
    <w:rsid w:val="005C00F9"/>
    <w:rsid w:val="005C4225"/>
    <w:rsid w:val="005C63C3"/>
    <w:rsid w:val="005F0F33"/>
    <w:rsid w:val="005F79C3"/>
    <w:rsid w:val="00600DEB"/>
    <w:rsid w:val="00613027"/>
    <w:rsid w:val="00627C9F"/>
    <w:rsid w:val="006311DA"/>
    <w:rsid w:val="006311E9"/>
    <w:rsid w:val="006318B2"/>
    <w:rsid w:val="00632354"/>
    <w:rsid w:val="00642810"/>
    <w:rsid w:val="00652333"/>
    <w:rsid w:val="00653EA6"/>
    <w:rsid w:val="00657762"/>
    <w:rsid w:val="00662D54"/>
    <w:rsid w:val="0067504F"/>
    <w:rsid w:val="0068009E"/>
    <w:rsid w:val="006825E2"/>
    <w:rsid w:val="00695400"/>
    <w:rsid w:val="006A17D2"/>
    <w:rsid w:val="006A73E6"/>
    <w:rsid w:val="006B2D5C"/>
    <w:rsid w:val="006B3E4B"/>
    <w:rsid w:val="006C4EB1"/>
    <w:rsid w:val="006D4707"/>
    <w:rsid w:val="006E0166"/>
    <w:rsid w:val="006E7B34"/>
    <w:rsid w:val="006F1022"/>
    <w:rsid w:val="006F4458"/>
    <w:rsid w:val="00701B24"/>
    <w:rsid w:val="00706858"/>
    <w:rsid w:val="00707C08"/>
    <w:rsid w:val="00712F72"/>
    <w:rsid w:val="0071495F"/>
    <w:rsid w:val="00725841"/>
    <w:rsid w:val="00725E08"/>
    <w:rsid w:val="0073798E"/>
    <w:rsid w:val="0074015E"/>
    <w:rsid w:val="00745899"/>
    <w:rsid w:val="007607C4"/>
    <w:rsid w:val="007636C7"/>
    <w:rsid w:val="00766282"/>
    <w:rsid w:val="0076643F"/>
    <w:rsid w:val="00781653"/>
    <w:rsid w:val="007A2F70"/>
    <w:rsid w:val="007A4E36"/>
    <w:rsid w:val="007C3334"/>
    <w:rsid w:val="007C52BB"/>
    <w:rsid w:val="007D2048"/>
    <w:rsid w:val="007D2B98"/>
    <w:rsid w:val="007E70F7"/>
    <w:rsid w:val="007F4853"/>
    <w:rsid w:val="00803F1C"/>
    <w:rsid w:val="008054F7"/>
    <w:rsid w:val="00805643"/>
    <w:rsid w:val="0080600E"/>
    <w:rsid w:val="00814711"/>
    <w:rsid w:val="00817612"/>
    <w:rsid w:val="0082768B"/>
    <w:rsid w:val="008372CA"/>
    <w:rsid w:val="00837C45"/>
    <w:rsid w:val="00842F31"/>
    <w:rsid w:val="0084731F"/>
    <w:rsid w:val="00853419"/>
    <w:rsid w:val="00861458"/>
    <w:rsid w:val="00874FE2"/>
    <w:rsid w:val="008854CA"/>
    <w:rsid w:val="008936F1"/>
    <w:rsid w:val="00897E12"/>
    <w:rsid w:val="008D43BA"/>
    <w:rsid w:val="008E1109"/>
    <w:rsid w:val="008E3759"/>
    <w:rsid w:val="008E40F5"/>
    <w:rsid w:val="00901C17"/>
    <w:rsid w:val="009041DC"/>
    <w:rsid w:val="009104B4"/>
    <w:rsid w:val="00912B11"/>
    <w:rsid w:val="009228DA"/>
    <w:rsid w:val="00925FCD"/>
    <w:rsid w:val="0093441A"/>
    <w:rsid w:val="00943EF4"/>
    <w:rsid w:val="009543CD"/>
    <w:rsid w:val="00954BF7"/>
    <w:rsid w:val="009657AA"/>
    <w:rsid w:val="0096706E"/>
    <w:rsid w:val="00971FBB"/>
    <w:rsid w:val="00973AFB"/>
    <w:rsid w:val="0097629F"/>
    <w:rsid w:val="00981FBA"/>
    <w:rsid w:val="0098783D"/>
    <w:rsid w:val="009B381B"/>
    <w:rsid w:val="009C28F2"/>
    <w:rsid w:val="009D7611"/>
    <w:rsid w:val="009E53DE"/>
    <w:rsid w:val="009E566A"/>
    <w:rsid w:val="009E56CC"/>
    <w:rsid w:val="00A12DBC"/>
    <w:rsid w:val="00A23C94"/>
    <w:rsid w:val="00A31E02"/>
    <w:rsid w:val="00A43458"/>
    <w:rsid w:val="00A528D1"/>
    <w:rsid w:val="00A5614D"/>
    <w:rsid w:val="00A66BE5"/>
    <w:rsid w:val="00A851EA"/>
    <w:rsid w:val="00AB5B00"/>
    <w:rsid w:val="00AD131B"/>
    <w:rsid w:val="00AD37C1"/>
    <w:rsid w:val="00AE66EC"/>
    <w:rsid w:val="00AE6F91"/>
    <w:rsid w:val="00AF24CC"/>
    <w:rsid w:val="00AF5571"/>
    <w:rsid w:val="00B026BC"/>
    <w:rsid w:val="00B06BB7"/>
    <w:rsid w:val="00B167E9"/>
    <w:rsid w:val="00B179ED"/>
    <w:rsid w:val="00B314DB"/>
    <w:rsid w:val="00B31EBE"/>
    <w:rsid w:val="00B36E57"/>
    <w:rsid w:val="00B3718B"/>
    <w:rsid w:val="00B410AA"/>
    <w:rsid w:val="00B44B23"/>
    <w:rsid w:val="00B44B52"/>
    <w:rsid w:val="00B4632A"/>
    <w:rsid w:val="00B627FB"/>
    <w:rsid w:val="00B92E49"/>
    <w:rsid w:val="00BA276C"/>
    <w:rsid w:val="00BA6032"/>
    <w:rsid w:val="00BB306F"/>
    <w:rsid w:val="00BD232B"/>
    <w:rsid w:val="00BD2E42"/>
    <w:rsid w:val="00BD4B89"/>
    <w:rsid w:val="00C21762"/>
    <w:rsid w:val="00C24543"/>
    <w:rsid w:val="00C256A2"/>
    <w:rsid w:val="00C3492D"/>
    <w:rsid w:val="00C51DAC"/>
    <w:rsid w:val="00C55560"/>
    <w:rsid w:val="00C66B72"/>
    <w:rsid w:val="00C75A64"/>
    <w:rsid w:val="00C76F8E"/>
    <w:rsid w:val="00C84D0A"/>
    <w:rsid w:val="00C9380B"/>
    <w:rsid w:val="00C9567A"/>
    <w:rsid w:val="00CA6577"/>
    <w:rsid w:val="00CB2660"/>
    <w:rsid w:val="00CC39DA"/>
    <w:rsid w:val="00CC5E90"/>
    <w:rsid w:val="00CD03C4"/>
    <w:rsid w:val="00CD046C"/>
    <w:rsid w:val="00CD7120"/>
    <w:rsid w:val="00CE5199"/>
    <w:rsid w:val="00CE66D5"/>
    <w:rsid w:val="00CF0B9C"/>
    <w:rsid w:val="00D34786"/>
    <w:rsid w:val="00D40A1E"/>
    <w:rsid w:val="00D533C0"/>
    <w:rsid w:val="00D712D3"/>
    <w:rsid w:val="00D71422"/>
    <w:rsid w:val="00D7145E"/>
    <w:rsid w:val="00D75084"/>
    <w:rsid w:val="00D7558D"/>
    <w:rsid w:val="00D81D92"/>
    <w:rsid w:val="00D83730"/>
    <w:rsid w:val="00D93446"/>
    <w:rsid w:val="00DA7B5F"/>
    <w:rsid w:val="00DB1F81"/>
    <w:rsid w:val="00DB3211"/>
    <w:rsid w:val="00DB5DF5"/>
    <w:rsid w:val="00DC37CC"/>
    <w:rsid w:val="00DC73F8"/>
    <w:rsid w:val="00DE425D"/>
    <w:rsid w:val="00DF078B"/>
    <w:rsid w:val="00DF350D"/>
    <w:rsid w:val="00DF5796"/>
    <w:rsid w:val="00E02B29"/>
    <w:rsid w:val="00E227C1"/>
    <w:rsid w:val="00E43157"/>
    <w:rsid w:val="00E47F3D"/>
    <w:rsid w:val="00E533FF"/>
    <w:rsid w:val="00E624D2"/>
    <w:rsid w:val="00E709B3"/>
    <w:rsid w:val="00E70DD7"/>
    <w:rsid w:val="00E7588C"/>
    <w:rsid w:val="00E7797F"/>
    <w:rsid w:val="00E80EF2"/>
    <w:rsid w:val="00E850B6"/>
    <w:rsid w:val="00E8789F"/>
    <w:rsid w:val="00E97B71"/>
    <w:rsid w:val="00EB03D1"/>
    <w:rsid w:val="00EB454D"/>
    <w:rsid w:val="00EB786F"/>
    <w:rsid w:val="00EC23B8"/>
    <w:rsid w:val="00ED0D1B"/>
    <w:rsid w:val="00EE3522"/>
    <w:rsid w:val="00EF619B"/>
    <w:rsid w:val="00F00B55"/>
    <w:rsid w:val="00F02E75"/>
    <w:rsid w:val="00F058C2"/>
    <w:rsid w:val="00F10E56"/>
    <w:rsid w:val="00F12FCC"/>
    <w:rsid w:val="00F1380F"/>
    <w:rsid w:val="00F14F0E"/>
    <w:rsid w:val="00F15A3B"/>
    <w:rsid w:val="00F24C29"/>
    <w:rsid w:val="00F253CC"/>
    <w:rsid w:val="00F2633F"/>
    <w:rsid w:val="00F42B71"/>
    <w:rsid w:val="00F46F30"/>
    <w:rsid w:val="00F47A06"/>
    <w:rsid w:val="00F56BA5"/>
    <w:rsid w:val="00F621C3"/>
    <w:rsid w:val="00F644E6"/>
    <w:rsid w:val="00F7736C"/>
    <w:rsid w:val="00F80B71"/>
    <w:rsid w:val="00F9653B"/>
    <w:rsid w:val="00FA028B"/>
    <w:rsid w:val="00FB62CF"/>
    <w:rsid w:val="00FC3EB4"/>
    <w:rsid w:val="00FC6C58"/>
    <w:rsid w:val="00FE0EB8"/>
    <w:rsid w:val="00FE6B45"/>
    <w:rsid w:val="00FF2A5F"/>
    <w:rsid w:val="00FF5851"/>
    <w:rsid w:val="00FF6964"/>
    <w:rsid w:val="00FF6B1D"/>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E70F7"/>
    <w:rPr>
      <w:sz w:val="16"/>
      <w:szCs w:val="16"/>
    </w:rPr>
  </w:style>
  <w:style w:type="paragraph" w:styleId="CommentText">
    <w:name w:val="annotation text"/>
    <w:basedOn w:val="Normal"/>
    <w:link w:val="CommentTextChar"/>
    <w:uiPriority w:val="99"/>
    <w:semiHidden/>
    <w:unhideWhenUsed/>
    <w:rsid w:val="007E70F7"/>
    <w:rPr>
      <w:sz w:val="20"/>
      <w:szCs w:val="20"/>
    </w:rPr>
  </w:style>
  <w:style w:type="character" w:customStyle="1" w:styleId="CommentTextChar">
    <w:name w:val="Comment Text Char"/>
    <w:basedOn w:val="DefaultParagraphFont"/>
    <w:link w:val="CommentText"/>
    <w:uiPriority w:val="99"/>
    <w:semiHidden/>
    <w:rsid w:val="007E70F7"/>
    <w:rPr>
      <w:lang w:val="en-US" w:eastAsia="en-US"/>
    </w:rPr>
  </w:style>
  <w:style w:type="paragraph" w:styleId="CommentSubject">
    <w:name w:val="annotation subject"/>
    <w:basedOn w:val="CommentText"/>
    <w:next w:val="CommentText"/>
    <w:link w:val="CommentSubjectChar"/>
    <w:uiPriority w:val="99"/>
    <w:semiHidden/>
    <w:unhideWhenUsed/>
    <w:rsid w:val="007E70F7"/>
    <w:rPr>
      <w:b/>
      <w:bCs/>
    </w:rPr>
  </w:style>
  <w:style w:type="character" w:customStyle="1" w:styleId="CommentSubjectChar">
    <w:name w:val="Comment Subject Char"/>
    <w:basedOn w:val="CommentTextChar"/>
    <w:link w:val="CommentSubject"/>
    <w:uiPriority w:val="99"/>
    <w:semiHidden/>
    <w:rsid w:val="007E70F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60A8"/>
    <w:rsid w:val="000B4B3E"/>
    <w:rsid w:val="001B3C1F"/>
    <w:rsid w:val="00204CE9"/>
    <w:rsid w:val="002F1DDB"/>
    <w:rsid w:val="003675A0"/>
    <w:rsid w:val="003748EB"/>
    <w:rsid w:val="004108B1"/>
    <w:rsid w:val="005B16D1"/>
    <w:rsid w:val="005B757C"/>
    <w:rsid w:val="006A3012"/>
    <w:rsid w:val="00812CEF"/>
    <w:rsid w:val="00A67A18"/>
    <w:rsid w:val="00AB44F1"/>
    <w:rsid w:val="00AE54E1"/>
    <w:rsid w:val="00B56541"/>
    <w:rsid w:val="00B9552B"/>
    <w:rsid w:val="00C74229"/>
    <w:rsid w:val="00E715BD"/>
    <w:rsid w:val="00E823B6"/>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2052-C7BA-4796-B85B-24FAD0B6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3342</Words>
  <Characters>17884</Characters>
  <Application>Microsoft Office Word</Application>
  <DocSecurity>0</DocSecurity>
  <Lines>325</Lines>
  <Paragraphs>89</Paragraphs>
  <ScaleCrop>false</ScaleCrop>
  <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290/20</dc:title>
  <dc:creator/>
  <cp:lastModifiedBy/>
  <cp:revision>1</cp:revision>
  <dcterms:created xsi:type="dcterms:W3CDTF">2021-01-11T16:45:00Z</dcterms:created>
  <dcterms:modified xsi:type="dcterms:W3CDTF">2021-01-11T16:45:00Z</dcterms:modified>
</cp:coreProperties>
</file>