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C4" w:rsidRPr="007E19B7" w:rsidRDefault="00351D8D"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4510614"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gNpgIAAJ8FAAAOAAAAZHJzL2Uyb0RvYy54bWysVEtv2zAMvg/YfxB0X+2kadMYdYogXYcB&#10;QRu0HXpWZCk2JouapMTJfv0o+dGsK3YY5oNgih8/PkTy+uZQK7IX1lWgczo6SykRmkNR6W1Ovz3f&#10;fbqixHmmC6ZAi5wehaM3848frhuTiTGUoAphCZJolzUmp6X3JksSx0tRM3cGRmhUSrA18yjabVJY&#10;1iB7rZJxml4mDdjCWODCOby9bZV0HvmlFNw/SOmEJyqnGJuPp43nJpzJ/JplW8tMWfEuDPYPUdSs&#10;0uh0oLplnpGdrf6gqituwYH0ZxzqBKSsuIg5YDaj9E02TyUzIuaCxXFmKJP7f7T8fr+2pCpyOqNE&#10;sxqf6BGLxvRWCTIK5WmMyxD1ZNY2JOjMCvh3h4rkN00QXIc5SFsHLKZHDrHWx6HW4uAJx8vRJJ1N&#10;U3wSjrqr2XR6eR5fI2FZb26s818E1CT85NRiXLHGbL9yPgTAsh4SIwNVFXeVUlGw281SWbJn+PCX&#10;08Xn82VIBk3cKUzpANYQzFp1uImZtcnEtPxRiYBT+lFILBaGP46RxDYVgx/GudB+1KpKVojW/UWK&#10;X+89NHawiLFEwsAs0f/A3RH0yJak526j7PDBVMQuH4zTvwXWGg8W0TNoPxjXlQb7HoHCrDrPLb4v&#10;UluaUKUNFEdsJQvtjDnD7yp8txVzfs0sDhW+NS4K/4CHVNDkFLo/SkqwP9+7D3jsddRS0uCQ5tT9&#10;2DErKFFfNU7BbDSZhKmOwuRiOkbBnmo2pxq9q5eA7TDClWR4/A14r/pfaaF+wX2yCF5RxTRH3znl&#10;3vbC0rfLAzcSF4tFhOEkG+ZX+snwQB6qGvry+fDCrOma12Pf30M/0Cx708MtNlhqWOw8yCo2+Gtd&#10;u3rjFoiN022ssGZO5Yh63avzXwAAAP//AwBQSwMEFAAGAAgAAAAhACyUxePfAAAADAEAAA8AAABk&#10;cnMvZG93bnJldi54bWxMj8FOwzAQRO9I/IO1SFyq1qHIAdI4VVWVU091+QAn2SYR8TqKnTb8PdsT&#10;3GZ3RrNv8+3senHFMXSeNLysEhBIla87ajR8nT+X7yBCtFTb3hNq+MEA2+LxIbdZ7W90wquJjeAS&#10;CpnV0MY4ZFKGqkVnw8oPSOxd/Ohs5HFsZD3aG5e7Xq6TJJXOdsQXWjvgvsXq20xOA552e/o4Dovp&#10;qMqDUQtj2kOn9fPTvNuAiDjHvzDc8RkdCmYq/UR1EL2GZaoUR1modA3inlApb0oWr+otBVnk8v8T&#10;xS8AAAD//wMAUEsBAi0AFAAGAAgAAAAhALaDOJL+AAAA4QEAABMAAAAAAAAAAAAAAAAAAAAAAFtD&#10;b250ZW50X1R5cGVzXS54bWxQSwECLQAUAAYACAAAACEAOP0h/9YAAACUAQAACwAAAAAAAAAAAAAA&#10;AAAvAQAAX3JlbHMvLnJlbHNQSwECLQAUAAYACAAAACEA1XtYDaYCAACfBQAADgAAAAAAAAAAAAAA&#10;AAAuAgAAZHJzL2Uyb0RvYy54bWxQSwECLQAUAAYACAAAACEALJTF498AAAAMAQAADwAAAAAAAAAA&#10;AAAAAAAABQAAZHJzL2Rvd25yZXYueG1sUEsFBgAAAAAEAAQA8wAAAAwGAAAAAA==&#10;" fillcolor="#67ae3c"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1C4" w:rsidRDefault="00351D8D">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1061C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1061C4" w:rsidRDefault="00351D8D">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1061C4">
                        <w:t xml:space="preserve">                                               </w:t>
                      </w:r>
                    </w:p>
                  </w:txbxContent>
                </v:textbox>
              </v:shape>
            </w:pict>
          </mc:Fallback>
        </mc:AlternateContent>
      </w: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1061C4" w:rsidRPr="007E19B7" w:rsidRDefault="001061C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bookmarkStart w:id="0" w:name="_GoBack"/>
      <w:bookmarkEnd w:id="0"/>
    </w:p>
    <w:p w:rsidR="001061C4" w:rsidRPr="007E19B7" w:rsidRDefault="001061C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351D8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9F6A5E">
                              <w:rPr>
                                <w:rFonts w:ascii="Cambria" w:hAnsi="Cambria" w:cs="Arial"/>
                                <w:b/>
                                <w:bCs/>
                                <w:color w:val="0D0D0D"/>
                                <w:sz w:val="36"/>
                                <w:szCs w:val="40"/>
                              </w:rPr>
                              <w:t xml:space="preserve">REPORT No. </w:t>
                            </w:r>
                            <w:r w:rsidR="00690AA5">
                              <w:rPr>
                                <w:rFonts w:ascii="Cambria" w:hAnsi="Cambria" w:cs="Arial"/>
                                <w:b/>
                                <w:bCs/>
                                <w:color w:val="0D0D0D"/>
                                <w:sz w:val="36"/>
                                <w:szCs w:val="40"/>
                              </w:rPr>
                              <w:t>109</w:t>
                            </w:r>
                            <w:r w:rsidRPr="009F6A5E">
                              <w:rPr>
                                <w:rFonts w:ascii="Cambria" w:hAnsi="Cambria" w:cs="Arial"/>
                                <w:b/>
                                <w:bCs/>
                                <w:color w:val="0D0D0D"/>
                                <w:sz w:val="36"/>
                                <w:szCs w:val="40"/>
                              </w:rPr>
                              <w:t>/20</w:t>
                            </w:r>
                          </w:p>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9F6A5E">
                              <w:rPr>
                                <w:rFonts w:ascii="Cambria" w:hAnsi="Cambria" w:cs="Arial"/>
                                <w:b/>
                                <w:bCs/>
                                <w:color w:val="0D0D0D"/>
                                <w:sz w:val="36"/>
                                <w:szCs w:val="40"/>
                              </w:rPr>
                              <w:t>PETITION 1079-09</w:t>
                            </w:r>
                          </w:p>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F6A5E">
                              <w:rPr>
                                <w:rFonts w:ascii="Cambria" w:hAnsi="Cambria" w:cs="Arial"/>
                                <w:color w:val="0D0D0D"/>
                                <w:szCs w:val="22"/>
                              </w:rPr>
                              <w:t>REPORT ON ADMISSIBILITY</w:t>
                            </w:r>
                          </w:p>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1061C4" w:rsidRPr="00B50335" w:rsidRDefault="001061C4" w:rsidP="004B420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50335">
                              <w:rPr>
                                <w:rFonts w:ascii="Cambria" w:hAnsi="Cambria" w:cs="Arial"/>
                                <w:color w:val="0D0D0D"/>
                                <w:szCs w:val="22"/>
                                <w:lang w:val="es-ES_tradnl"/>
                              </w:rPr>
                              <w:t>ALEJANDRO ANTONIO TORRES TORO</w:t>
                            </w:r>
                          </w:p>
                          <w:p w:rsidR="001061C4" w:rsidRPr="00967314" w:rsidRDefault="001061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67314">
                              <w:rPr>
                                <w:rFonts w:ascii="Cambria" w:hAnsi="Cambria" w:cs="Arial"/>
                                <w:color w:val="0D0D0D"/>
                                <w:szCs w:val="22"/>
                                <w:lang w:val="es-ES"/>
                              </w:rPr>
                              <w:t>PERU</w:t>
                            </w:r>
                            <w:r w:rsidRPr="00967314">
                              <w:rPr>
                                <w:rFonts w:ascii="Cambria" w:hAnsi="Cambria" w:cs="Arial"/>
                                <w:color w:val="0D0D0D"/>
                                <w:szCs w:val="22"/>
                                <w:lang w:val="es-ES"/>
                              </w:rPr>
                              <w:tab/>
                            </w:r>
                          </w:p>
                          <w:p w:rsidR="001061C4" w:rsidRPr="00967314" w:rsidRDefault="001061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RX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BL3HRXjQIAAIMFAAAOAAAAAAAAAAAAAAAAAC4CAABkcnMvZTJvRG9jLnhtbFBLAQIt&#10;ABQABgAIAAAAIQCffO/d3wAAAAoBAAAPAAAAAAAAAAAAAAAAAOcEAABkcnMvZG93bnJldi54bWxQ&#10;SwUGAAAAAAQABADzAAAA8wUAAAAA&#10;" filled="f" stroked="f" strokeweight=".5pt">
                <v:path arrowok="t"/>
                <v:textbox>
                  <w:txbxContent>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9F6A5E">
                        <w:rPr>
                          <w:rFonts w:ascii="Cambria" w:hAnsi="Cambria" w:cs="Arial"/>
                          <w:b/>
                          <w:bCs/>
                          <w:color w:val="0D0D0D"/>
                          <w:sz w:val="36"/>
                          <w:szCs w:val="40"/>
                        </w:rPr>
                        <w:t xml:space="preserve">REPORT No. </w:t>
                      </w:r>
                      <w:r w:rsidR="00690AA5">
                        <w:rPr>
                          <w:rFonts w:ascii="Cambria" w:hAnsi="Cambria" w:cs="Arial"/>
                          <w:b/>
                          <w:bCs/>
                          <w:color w:val="0D0D0D"/>
                          <w:sz w:val="36"/>
                          <w:szCs w:val="40"/>
                        </w:rPr>
                        <w:t>109</w:t>
                      </w:r>
                      <w:r w:rsidRPr="009F6A5E">
                        <w:rPr>
                          <w:rFonts w:ascii="Cambria" w:hAnsi="Cambria" w:cs="Arial"/>
                          <w:b/>
                          <w:bCs/>
                          <w:color w:val="0D0D0D"/>
                          <w:sz w:val="36"/>
                          <w:szCs w:val="40"/>
                        </w:rPr>
                        <w:t>/20</w:t>
                      </w:r>
                    </w:p>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9F6A5E">
                        <w:rPr>
                          <w:rFonts w:ascii="Cambria" w:hAnsi="Cambria" w:cs="Arial"/>
                          <w:b/>
                          <w:bCs/>
                          <w:color w:val="0D0D0D"/>
                          <w:sz w:val="36"/>
                          <w:szCs w:val="40"/>
                        </w:rPr>
                        <w:t>PETITION 1079-09</w:t>
                      </w:r>
                    </w:p>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F6A5E">
                        <w:rPr>
                          <w:rFonts w:ascii="Cambria" w:hAnsi="Cambria" w:cs="Arial"/>
                          <w:color w:val="0D0D0D"/>
                          <w:szCs w:val="22"/>
                        </w:rPr>
                        <w:t>REPORT ON ADMISSIBILITY</w:t>
                      </w:r>
                    </w:p>
                    <w:p w:rsidR="001061C4" w:rsidRPr="009F6A5E" w:rsidRDefault="001061C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1061C4" w:rsidRPr="00B50335" w:rsidRDefault="001061C4" w:rsidP="004B420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50335">
                        <w:rPr>
                          <w:rFonts w:ascii="Cambria" w:hAnsi="Cambria" w:cs="Arial"/>
                          <w:color w:val="0D0D0D"/>
                          <w:szCs w:val="22"/>
                          <w:lang w:val="es-ES_tradnl"/>
                        </w:rPr>
                        <w:t>ALEJANDRO ANTONIO TORRES TORO</w:t>
                      </w:r>
                    </w:p>
                    <w:p w:rsidR="001061C4" w:rsidRPr="00967314" w:rsidRDefault="001061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67314">
                        <w:rPr>
                          <w:rFonts w:ascii="Cambria" w:hAnsi="Cambria" w:cs="Arial"/>
                          <w:color w:val="0D0D0D"/>
                          <w:szCs w:val="22"/>
                          <w:lang w:val="es-ES"/>
                        </w:rPr>
                        <w:t>PERU</w:t>
                      </w:r>
                      <w:r w:rsidRPr="00967314">
                        <w:rPr>
                          <w:rFonts w:ascii="Cambria" w:hAnsi="Cambria" w:cs="Arial"/>
                          <w:color w:val="0D0D0D"/>
                          <w:szCs w:val="22"/>
                          <w:lang w:val="es-ES"/>
                        </w:rPr>
                        <w:tab/>
                      </w:r>
                    </w:p>
                    <w:p w:rsidR="001061C4" w:rsidRPr="00967314" w:rsidRDefault="001061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ES"/>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1C4" w:rsidRPr="009F6A5E" w:rsidRDefault="00690AA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Pr>
                                <w:rFonts w:ascii="Calibri" w:hAnsi="Calibri"/>
                                <w:color w:val="FFFFFF"/>
                                <w:sz w:val="22"/>
                                <w:lang w:val="pt-BR"/>
                              </w:rPr>
                              <w:t>OEA/Ser.L/V/II.</w:t>
                            </w:r>
                          </w:p>
                          <w:p w:rsidR="001061C4" w:rsidRPr="009F6A5E" w:rsidRDefault="001061C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9F6A5E">
                              <w:rPr>
                                <w:rFonts w:ascii="Calibri" w:hAnsi="Calibri"/>
                                <w:color w:val="FFFFFF"/>
                                <w:sz w:val="22"/>
                                <w:lang w:val="pt-BR"/>
                              </w:rPr>
                              <w:t xml:space="preserve">Doc. </w:t>
                            </w:r>
                            <w:r w:rsidR="00690AA5">
                              <w:rPr>
                                <w:rFonts w:ascii="Calibri" w:hAnsi="Calibri"/>
                                <w:color w:val="FFFFFF"/>
                                <w:sz w:val="22"/>
                                <w:lang w:val="pt-BR"/>
                              </w:rPr>
                              <w:t>119</w:t>
                            </w:r>
                          </w:p>
                          <w:p w:rsidR="001061C4" w:rsidRPr="009F6A5E" w:rsidRDefault="001061C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9F6A5E">
                              <w:rPr>
                                <w:rFonts w:ascii="Calibri" w:hAnsi="Calibri"/>
                                <w:color w:val="FFFFFF"/>
                                <w:sz w:val="22"/>
                                <w:lang w:val="pt-BR"/>
                              </w:rPr>
                              <w:t xml:space="preserve"> </w:t>
                            </w:r>
                            <w:r w:rsidR="00690AA5">
                              <w:rPr>
                                <w:rFonts w:ascii="Calibri" w:hAnsi="Calibri"/>
                                <w:color w:val="FFFFFF"/>
                                <w:sz w:val="22"/>
                              </w:rPr>
                              <w:t>24 April</w:t>
                            </w:r>
                            <w:r w:rsidRPr="009F6A5E">
                              <w:rPr>
                                <w:rFonts w:ascii="Calibri" w:hAnsi="Calibri"/>
                                <w:color w:val="FFFFFF"/>
                                <w:sz w:val="22"/>
                              </w:rPr>
                              <w:t xml:space="preserve"> 2020</w:t>
                            </w:r>
                          </w:p>
                          <w:p w:rsidR="001061C4" w:rsidRPr="009F6A5E" w:rsidRDefault="001061C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9F6A5E">
                              <w:rPr>
                                <w:rFonts w:ascii="Calibri" w:hAnsi="Calibri"/>
                                <w:color w:val="FFFFFF"/>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1061C4" w:rsidRPr="009F6A5E" w:rsidRDefault="00690AA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Pr>
                          <w:rFonts w:ascii="Calibri" w:hAnsi="Calibri"/>
                          <w:color w:val="FFFFFF"/>
                          <w:sz w:val="22"/>
                          <w:lang w:val="pt-BR"/>
                        </w:rPr>
                        <w:t>OEA/Ser.L/V/II.</w:t>
                      </w:r>
                    </w:p>
                    <w:p w:rsidR="001061C4" w:rsidRPr="009F6A5E" w:rsidRDefault="001061C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9F6A5E">
                        <w:rPr>
                          <w:rFonts w:ascii="Calibri" w:hAnsi="Calibri"/>
                          <w:color w:val="FFFFFF"/>
                          <w:sz w:val="22"/>
                          <w:lang w:val="pt-BR"/>
                        </w:rPr>
                        <w:t xml:space="preserve">Doc. </w:t>
                      </w:r>
                      <w:r w:rsidR="00690AA5">
                        <w:rPr>
                          <w:rFonts w:ascii="Calibri" w:hAnsi="Calibri"/>
                          <w:color w:val="FFFFFF"/>
                          <w:sz w:val="22"/>
                          <w:lang w:val="pt-BR"/>
                        </w:rPr>
                        <w:t>119</w:t>
                      </w:r>
                    </w:p>
                    <w:p w:rsidR="001061C4" w:rsidRPr="009F6A5E" w:rsidRDefault="001061C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9F6A5E">
                        <w:rPr>
                          <w:rFonts w:ascii="Calibri" w:hAnsi="Calibri"/>
                          <w:color w:val="FFFFFF"/>
                          <w:sz w:val="22"/>
                          <w:lang w:val="pt-BR"/>
                        </w:rPr>
                        <w:t xml:space="preserve"> </w:t>
                      </w:r>
                      <w:r w:rsidR="00690AA5">
                        <w:rPr>
                          <w:rFonts w:ascii="Calibri" w:hAnsi="Calibri"/>
                          <w:color w:val="FFFFFF"/>
                          <w:sz w:val="22"/>
                        </w:rPr>
                        <w:t>24 April</w:t>
                      </w:r>
                      <w:r w:rsidRPr="009F6A5E">
                        <w:rPr>
                          <w:rFonts w:ascii="Calibri" w:hAnsi="Calibri"/>
                          <w:color w:val="FFFFFF"/>
                          <w:sz w:val="22"/>
                        </w:rPr>
                        <w:t xml:space="preserve"> 2020</w:t>
                      </w:r>
                    </w:p>
                    <w:p w:rsidR="001061C4" w:rsidRPr="009F6A5E" w:rsidRDefault="001061C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9F6A5E">
                        <w:rPr>
                          <w:rFonts w:ascii="Calibri" w:hAnsi="Calibri"/>
                          <w:color w:val="FFFFFF"/>
                          <w:sz w:val="22"/>
                        </w:rPr>
                        <w:t>Original: Spanish</w:t>
                      </w:r>
                    </w:p>
                  </w:txbxContent>
                </v:textbox>
              </v:shape>
            </w:pict>
          </mc:Fallback>
        </mc:AlternateContent>
      </w: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351D8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1206500</wp:posOffset>
                </wp:positionH>
                <wp:positionV relativeFrom="paragraph">
                  <wp:posOffset>67945</wp:posOffset>
                </wp:positionV>
                <wp:extent cx="4595495" cy="5962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96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1C4" w:rsidRPr="009F6A5E" w:rsidRDefault="001061C4"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9F6A5E">
                              <w:rPr>
                                <w:rFonts w:ascii="Cambria" w:hAnsi="Cambria" w:cs="Univers"/>
                                <w:color w:val="0D0D0D"/>
                                <w:sz w:val="18"/>
                                <w:szCs w:val="20"/>
                              </w:rPr>
                              <w:t xml:space="preserve">Approved electronically by the Commission on </w:t>
                            </w:r>
                            <w:r w:rsidR="00690AA5">
                              <w:rPr>
                                <w:rFonts w:ascii="Cambria" w:hAnsi="Cambria" w:cs="Univers"/>
                                <w:color w:val="0D0D0D"/>
                                <w:sz w:val="18"/>
                                <w:szCs w:val="20"/>
                              </w:rPr>
                              <w:t>April 24</w:t>
                            </w:r>
                            <w:r w:rsidRPr="009F6A5E">
                              <w:rPr>
                                <w:rFonts w:ascii="Cambria" w:hAnsi="Cambria" w:cs="Univers"/>
                                <w:color w:val="0D0D0D"/>
                                <w:sz w:val="18"/>
                                <w:szCs w:val="20"/>
                              </w:rPr>
                              <w:t>, 2020</w:t>
                            </w:r>
                            <w:r w:rsidR="00AE64C0">
                              <w:rPr>
                                <w:rFonts w:ascii="Cambria" w:hAnsi="Cambria" w:cs="Univers"/>
                                <w:color w:val="0D0D0D"/>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pt;margin-top:5.35pt;width:361.85pt;height:4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YMjgIAAIIFAAAOAAAAZHJzL2Uyb0RvYy54bWysVN9P2zAQfp+0/8Hy+0hbmrJGpKgDMU2q&#10;AA0mnl3HphGOz7PdJt1fv7OdtBXbC9NeEtv33e/v7vKqaxTZCetq0CUdn40oEZpDVeuXkv54uv30&#10;mRLnma6YAi1KuheOXi0+frhsTSEmsAFVCUvQiHZFa0q68d4UWeb4RjTMnYERGoUSbMM8Xu1LVlnW&#10;ovVGZZPRaJa1YCtjgQvn8PUmCeki2pdScH8vpROeqJJibD5+bfyuwzdbXLLixTKzqXkfBvuHKBpW&#10;a3R6MHXDPCNbW/9hqqm5BQfSn3FoMpCy5iLmgNmMR2+yedwwI2IuWBxnDmVy/88sv9s9WFJXJb2g&#10;RLMGW/QkOk++QEcuQnVa4woEPRqE+Q6fscsxU2dWwF8dQrITTFJwiA7V6KRtwh/zJKiIDdgfih68&#10;cHyc5vN8Os8p4SjL57PJLA9+s6O2sc5/FdCQcCipxabGCNhu5XyCDpDgTMNtrRS+s0Jp0pZ0dp6P&#10;osJBgsaVDgARKdKbCWmkyOPJ75VIRr4LiSWKCYSHSE5xrSzZMaQV41xoP+6DVhrRASUxiPco9vhj&#10;VO9RTnkMnkH7g3JTa7CpYWGmjmFXr0PIMuH7RrqUdyiB79Zd5Mb5wIQ1VHskgoU0SM7w2xqbsmLO&#10;PzCLk4Mtxm3g7/EjFWDxoT9RsgH762/vAY+ERiklLU5iSd3PLbOCEvVNI9Xn4+k0jG68TPOLCV7s&#10;qWR9KtHb5hqwK2PcO4bHY8B7NRylheYZl8YyeEUR0xx9l9QPx2uf9gMuHS6WywjCYTXMr/Sj4QP/&#10;A+WeumdmTc9Lj4y+g2FmWfGGngkb2qthufUg68jdUOdU1b7+OOiR/f1SCpvk9B5Rx9W5+A0AAP//&#10;AwBQSwMEFAAGAAgAAAAhABOmjFzeAAAACgEAAA8AAABkcnMvZG93bnJldi54bWxMT8tOwzAQvCPx&#10;D9YicaN2AfWRxqkqBBckhFoqod628RIHYjvYbhv+nu0JbjM7o9mZcjm4ThwppjZ4DeORAkG+Dqb1&#10;jYbt29PNDETK6A12wZOGH0qwrC4vSixMOPk1HTe5ERziU4EabM59IWWqLTlMo9CTZ+0jRIeZaWyk&#10;iXjicNfJW6Um0mHr+YPFnh4s1V+bg9Mwne2M/YzPw/b9ZfVtX3vZPaLU+vpqWC1AZBrynxnO9bk6&#10;VNxpHw7eJNExnyvekhmoKQg2zMd3DPbnw/0EZFXK/xOqXwAAAP//AwBQSwECLQAUAAYACAAAACEA&#10;toM4kv4AAADhAQAAEwAAAAAAAAAAAAAAAAAAAAAAW0NvbnRlbnRfVHlwZXNdLnhtbFBLAQItABQA&#10;BgAIAAAAIQA4/SH/1gAAAJQBAAALAAAAAAAAAAAAAAAAAC8BAABfcmVscy8ucmVsc1BLAQItABQA&#10;BgAIAAAAIQAHzRYMjgIAAIIFAAAOAAAAAAAAAAAAAAAAAC4CAABkcnMvZTJvRG9jLnhtbFBLAQIt&#10;ABQABgAIAAAAIQATpoxc3gAAAAoBAAAPAAAAAAAAAAAAAAAAAOgEAABkcnMvZG93bnJldi54bWxQ&#10;SwUGAAAAAAQABADzAAAA8wUAAAAA&#10;" filled="f" stroked="f" strokeweight=".5pt">
                <v:path arrowok="t"/>
                <v:textbox>
                  <w:txbxContent>
                    <w:p w:rsidR="001061C4" w:rsidRPr="009F6A5E" w:rsidRDefault="001061C4"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9F6A5E">
                        <w:rPr>
                          <w:rFonts w:ascii="Cambria" w:hAnsi="Cambria" w:cs="Univers"/>
                          <w:color w:val="0D0D0D"/>
                          <w:sz w:val="18"/>
                          <w:szCs w:val="20"/>
                        </w:rPr>
                        <w:t xml:space="preserve">Approved electronically by the Commission on </w:t>
                      </w:r>
                      <w:r w:rsidR="00690AA5">
                        <w:rPr>
                          <w:rFonts w:ascii="Cambria" w:hAnsi="Cambria" w:cs="Univers"/>
                          <w:color w:val="0D0D0D"/>
                          <w:sz w:val="18"/>
                          <w:szCs w:val="20"/>
                        </w:rPr>
                        <w:t>April 24</w:t>
                      </w:r>
                      <w:r w:rsidRPr="009F6A5E">
                        <w:rPr>
                          <w:rFonts w:ascii="Cambria" w:hAnsi="Cambria" w:cs="Univers"/>
                          <w:color w:val="0D0D0D"/>
                          <w:sz w:val="18"/>
                          <w:szCs w:val="20"/>
                        </w:rPr>
                        <w:t>, 2020</w:t>
                      </w:r>
                      <w:r w:rsidR="00AE64C0">
                        <w:rPr>
                          <w:rFonts w:ascii="Cambria" w:hAnsi="Cambria" w:cs="Univers"/>
                          <w:color w:val="0D0D0D"/>
                          <w:sz w:val="18"/>
                          <w:szCs w:val="20"/>
                        </w:rPr>
                        <w:t>.</w:t>
                      </w:r>
                    </w:p>
                  </w:txbxContent>
                </v:textbox>
              </v:shape>
            </w:pict>
          </mc:Fallback>
        </mc:AlternateContent>
      </w: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351D8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1C4" w:rsidRPr="009F6A5E" w:rsidRDefault="001061C4"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rPr>
                            </w:pPr>
                            <w:r w:rsidRPr="009F6A5E">
                              <w:rPr>
                                <w:rFonts w:ascii="Cambria" w:hAnsi="Cambria"/>
                                <w:b/>
                                <w:color w:val="595959"/>
                                <w:sz w:val="18"/>
                              </w:rPr>
                              <w:t xml:space="preserve">Cite as: </w:t>
                            </w:r>
                            <w:r w:rsidRPr="009F6A5E">
                              <w:rPr>
                                <w:rFonts w:ascii="Cambria" w:hAnsi="Cambria"/>
                                <w:color w:val="595959"/>
                                <w:sz w:val="18"/>
                              </w:rPr>
                              <w:t xml:space="preserve">IACHR, Report No. </w:t>
                            </w:r>
                            <w:r w:rsidR="00690AA5" w:rsidRPr="00690AA5">
                              <w:rPr>
                                <w:rFonts w:ascii="Cambria" w:hAnsi="Cambria"/>
                                <w:color w:val="595959"/>
                                <w:sz w:val="18"/>
                              </w:rPr>
                              <w:t>109</w:t>
                            </w:r>
                            <w:r w:rsidRPr="00690AA5">
                              <w:rPr>
                                <w:rFonts w:ascii="Cambria" w:hAnsi="Cambria"/>
                                <w:color w:val="595959"/>
                                <w:sz w:val="18"/>
                              </w:rPr>
                              <w:t>/20.</w:t>
                            </w:r>
                            <w:r w:rsidR="00690AA5" w:rsidRPr="00690AA5">
                              <w:rPr>
                                <w:rFonts w:ascii="Cambria" w:hAnsi="Cambria"/>
                                <w:color w:val="595959"/>
                                <w:sz w:val="18"/>
                              </w:rPr>
                              <w:t xml:space="preserve"> </w:t>
                            </w:r>
                            <w:r w:rsidR="00690AA5" w:rsidRPr="00486629">
                              <w:rPr>
                                <w:rFonts w:ascii="Cambria" w:hAnsi="Cambria"/>
                                <w:color w:val="595959"/>
                                <w:sz w:val="18"/>
                                <w:lang w:val="es-US"/>
                              </w:rPr>
                              <w:t>Petition 1079-09.</w:t>
                            </w:r>
                            <w:r w:rsidRPr="00486629">
                              <w:rPr>
                                <w:rFonts w:ascii="Cambria" w:hAnsi="Cambria"/>
                                <w:color w:val="595959"/>
                                <w:sz w:val="18"/>
                                <w:lang w:val="es-US"/>
                              </w:rPr>
                              <w:t xml:space="preserve"> Admissibility. </w:t>
                            </w:r>
                            <w:r w:rsidRPr="00967314">
                              <w:rPr>
                                <w:rFonts w:ascii="Cambria" w:hAnsi="Cambria"/>
                                <w:color w:val="595959"/>
                                <w:sz w:val="18"/>
                                <w:lang w:val="es-ES"/>
                              </w:rPr>
                              <w:t xml:space="preserve">Alejandro Antonio Torre Toro. </w:t>
                            </w:r>
                            <w:smartTag w:uri="urn:schemas-microsoft-com:office:smarttags" w:element="place">
                              <w:smartTag w:uri="urn:schemas-microsoft-com:office:smarttags" w:element="country-region">
                                <w:r w:rsidRPr="009F6A5E">
                                  <w:rPr>
                                    <w:rFonts w:ascii="Cambria" w:hAnsi="Cambria"/>
                                    <w:color w:val="595959"/>
                                    <w:sz w:val="18"/>
                                  </w:rPr>
                                  <w:t>Peru</w:t>
                                </w:r>
                              </w:smartTag>
                            </w:smartTag>
                            <w:r w:rsidRPr="009F6A5E">
                              <w:rPr>
                                <w:rFonts w:ascii="Cambria" w:hAnsi="Cambria"/>
                                <w:color w:val="595959"/>
                                <w:sz w:val="18"/>
                              </w:rPr>
                              <w:t xml:space="preserve">. </w:t>
                            </w:r>
                            <w:r w:rsidR="00690AA5">
                              <w:rPr>
                                <w:rFonts w:ascii="Cambria" w:hAnsi="Cambria"/>
                                <w:color w:val="595959"/>
                                <w:sz w:val="18"/>
                              </w:rPr>
                              <w:t>April 24, 2020</w:t>
                            </w:r>
                            <w:r w:rsidRPr="009F6A5E">
                              <w:rPr>
                                <w:rFonts w:ascii="Cambria" w:hAnsi="Cambria"/>
                                <w:color w:val="595959"/>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1061C4" w:rsidRPr="009F6A5E" w:rsidRDefault="001061C4"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rPr>
                      </w:pPr>
                      <w:r w:rsidRPr="009F6A5E">
                        <w:rPr>
                          <w:rFonts w:ascii="Cambria" w:hAnsi="Cambria"/>
                          <w:b/>
                          <w:color w:val="595959"/>
                          <w:sz w:val="18"/>
                        </w:rPr>
                        <w:t xml:space="preserve">Cite </w:t>
                      </w:r>
                      <w:proofErr w:type="gramStart"/>
                      <w:r w:rsidRPr="009F6A5E">
                        <w:rPr>
                          <w:rFonts w:ascii="Cambria" w:hAnsi="Cambria"/>
                          <w:b/>
                          <w:color w:val="595959"/>
                          <w:sz w:val="18"/>
                        </w:rPr>
                        <w:t>as:</w:t>
                      </w:r>
                      <w:proofErr w:type="gramEnd"/>
                      <w:r w:rsidRPr="009F6A5E">
                        <w:rPr>
                          <w:rFonts w:ascii="Cambria" w:hAnsi="Cambria"/>
                          <w:b/>
                          <w:color w:val="595959"/>
                          <w:sz w:val="18"/>
                        </w:rPr>
                        <w:t xml:space="preserve"> </w:t>
                      </w:r>
                      <w:r w:rsidRPr="009F6A5E">
                        <w:rPr>
                          <w:rFonts w:ascii="Cambria" w:hAnsi="Cambria"/>
                          <w:color w:val="595959"/>
                          <w:sz w:val="18"/>
                        </w:rPr>
                        <w:t xml:space="preserve">IACHR, Report No. </w:t>
                      </w:r>
                      <w:r w:rsidR="00690AA5" w:rsidRPr="00690AA5">
                        <w:rPr>
                          <w:rFonts w:ascii="Cambria" w:hAnsi="Cambria"/>
                          <w:color w:val="595959"/>
                          <w:sz w:val="18"/>
                        </w:rPr>
                        <w:t>109</w:t>
                      </w:r>
                      <w:r w:rsidRPr="00690AA5">
                        <w:rPr>
                          <w:rFonts w:ascii="Cambria" w:hAnsi="Cambria"/>
                          <w:color w:val="595959"/>
                          <w:sz w:val="18"/>
                        </w:rPr>
                        <w:t>/20.</w:t>
                      </w:r>
                      <w:r w:rsidR="00690AA5" w:rsidRPr="00690AA5">
                        <w:rPr>
                          <w:rFonts w:ascii="Cambria" w:hAnsi="Cambria"/>
                          <w:color w:val="595959"/>
                          <w:sz w:val="18"/>
                        </w:rPr>
                        <w:t xml:space="preserve"> Petition 1079-09.</w:t>
                      </w:r>
                      <w:r w:rsidRPr="00690AA5">
                        <w:rPr>
                          <w:rFonts w:ascii="Cambria" w:hAnsi="Cambria"/>
                          <w:color w:val="595959"/>
                          <w:sz w:val="18"/>
                        </w:rPr>
                        <w:t xml:space="preserve"> Admissibility. </w:t>
                      </w:r>
                      <w:r w:rsidRPr="00967314">
                        <w:rPr>
                          <w:rFonts w:ascii="Cambria" w:hAnsi="Cambria"/>
                          <w:color w:val="595959"/>
                          <w:sz w:val="18"/>
                          <w:lang w:val="es-ES"/>
                        </w:rPr>
                        <w:t xml:space="preserve">Alejandro Antonio Torre Toro. </w:t>
                      </w:r>
                      <w:smartTag w:uri="urn:schemas-microsoft-com:office:smarttags" w:element="place">
                        <w:smartTag w:uri="urn:schemas-microsoft-com:office:smarttags" w:element="country-region">
                          <w:r w:rsidRPr="009F6A5E">
                            <w:rPr>
                              <w:rFonts w:ascii="Cambria" w:hAnsi="Cambria"/>
                              <w:color w:val="595959"/>
                              <w:sz w:val="18"/>
                            </w:rPr>
                            <w:t>Peru</w:t>
                          </w:r>
                        </w:smartTag>
                      </w:smartTag>
                      <w:r w:rsidRPr="009F6A5E">
                        <w:rPr>
                          <w:rFonts w:ascii="Cambria" w:hAnsi="Cambria"/>
                          <w:color w:val="595959"/>
                          <w:sz w:val="18"/>
                        </w:rPr>
                        <w:t xml:space="preserve">. </w:t>
                      </w:r>
                      <w:r w:rsidR="00690AA5">
                        <w:rPr>
                          <w:rFonts w:ascii="Cambria" w:hAnsi="Cambria"/>
                          <w:color w:val="595959"/>
                          <w:sz w:val="18"/>
                        </w:rPr>
                        <w:t>April 24, 2020</w:t>
                      </w:r>
                      <w:r w:rsidRPr="009F6A5E">
                        <w:rPr>
                          <w:rFonts w:ascii="Cambria" w:hAnsi="Cambria"/>
                          <w:color w:val="595959"/>
                          <w:sz w:val="18"/>
                        </w:rPr>
                        <w:t>.</w:t>
                      </w:r>
                    </w:p>
                  </w:txbxContent>
                </v:textbox>
              </v:shape>
            </w:pict>
          </mc:Fallback>
        </mc:AlternateContent>
      </w: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1061C4"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061C4" w:rsidRPr="007E19B7" w:rsidRDefault="00351D8D"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1C4" w:rsidRPr="009F6A5E" w:rsidRDefault="001061C4"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9F6A5E">
                              <w:rPr>
                                <w:rFonts w:ascii="Calibri" w:hAnsi="Calibri"/>
                                <w:b/>
                                <w:color w:val="FFFFFF"/>
                                <w:lang w:val="pt-BR"/>
                              </w:rPr>
                              <w:t>www.</w:t>
                            </w:r>
                            <w:r w:rsidR="00690AA5">
                              <w:rPr>
                                <w:rFonts w:ascii="Calibri" w:hAnsi="Calibri"/>
                                <w:b/>
                                <w:color w:val="FFFFFF"/>
                                <w:lang w:val="pt-BR"/>
                              </w:rPr>
                              <w:t>iachr</w:t>
                            </w:r>
                            <w:r w:rsidRPr="009F6A5E">
                              <w:rPr>
                                <w:rFonts w:ascii="Calibri" w:hAnsi="Calibri"/>
                                <w:b/>
                                <w:color w:val="FFFFFF"/>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1061C4" w:rsidRPr="009F6A5E" w:rsidRDefault="001061C4"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9F6A5E">
                        <w:rPr>
                          <w:rFonts w:ascii="Calibri" w:hAnsi="Calibri"/>
                          <w:b/>
                          <w:color w:val="FFFFFF"/>
                          <w:lang w:val="pt-BR"/>
                        </w:rPr>
                        <w:t>www.</w:t>
                      </w:r>
                      <w:r w:rsidR="00690AA5">
                        <w:rPr>
                          <w:rFonts w:ascii="Calibri" w:hAnsi="Calibri"/>
                          <w:b/>
                          <w:color w:val="FFFFFF"/>
                          <w:lang w:val="pt-BR"/>
                        </w:rPr>
                        <w:t>iachr</w:t>
                      </w:r>
                      <w:r w:rsidRPr="009F6A5E">
                        <w:rPr>
                          <w:rFonts w:ascii="Calibri" w:hAnsi="Calibri"/>
                          <w:b/>
                          <w:color w:val="FFFFFF"/>
                          <w:lang w:val="pt-BR"/>
                        </w:rPr>
                        <w:t>.org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061C4" w:rsidRDefault="00AE64C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10D04270" wp14:editId="071E7E8E">
                                  <wp:extent cx="1519555" cy="387985"/>
                                  <wp:effectExtent l="0" t="0" r="4445" b="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fFhA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kN1euMqMHowYOYH2A6WIVNn7jX97JDSty1RO35tre5bThhEl4WbyeTqiOMCyLZ/&#10;pxm4IXuvI9DQ2C4AQjEQoANLT2dmQigUNvN0NS+Xc4wonBWr+RLmwQWpTreNdf4N1x0KkxpbYD6i&#10;k8O986PpySRGr6VgGyFlXNjd9lZadCCgkk38juhuaiZVMFY6XBsRxx0IEnyEsxBuZP1bmeVFepOX&#10;s81itZwVm2I+K5fpapZm5U25SIuyuNt8DwFmRdUKxri6F4qfFJgVf8fwsRdG7UQNor7Gi1fzdKRo&#10;Gr2bJpnG709JdsJDQ0rR1Xh1NiJVIPa1YpA2qTwRcpwnP4cfCYEanP6xKlEGgflRA37YDlFvi+A9&#10;SGSr2RPowmqgDciHxwQmrbZfMeqhMWvsvuyJ5RjJtwq0VWZFETo5Lor5MoeFnZ5spydEUYCqscdo&#10;nN76sfv3xopdC55GNSt9DXpsRJTKc1RHFUPzxZyOD0Xo7uk6Wj0/Z+sfAAAA//8DAFBLAwQUAAYA&#10;CAAAACEA9oTTZNkAAAALAQAADwAAAGRycy9kb3ducmV2LnhtbExPTUsDMRS8C/6H8ArebHatSl03&#10;W0TwKtjWntPNc7M0eVmStN321/sKBb3NMMN81IvRO3HAmPpACsppAQKpDaanTsF69XE/B5GyJqNd&#10;IFRwwgSL5vam1pUJR/rCwzJ3gkMoVVqBzXmopEytRa/TNAxIrP2E6HVmGjtpoj5yuHfyoSiepdc9&#10;cYPVA75bbHfLvVew6fx5810O0RrvHunzfFqtQ6/U3WR8ewWRccx/ZrjM5+nQ8KZt2JNJwjF/KWZs&#10;ZVDO+AM7nso5g+1Vkk0t/39ofgEAAP//AwBQSwECLQAUAAYACAAAACEAtoM4kv4AAADhAQAAEwAA&#10;AAAAAAAAAAAAAAAAAAAAW0NvbnRlbnRfVHlwZXNdLnhtbFBLAQItABQABgAIAAAAIQA4/SH/1gAA&#10;AJQBAAALAAAAAAAAAAAAAAAAAC8BAABfcmVscy8ucmVsc1BLAQItABQABgAIAAAAIQDm37fFhAIA&#10;ABYFAAAOAAAAAAAAAAAAAAAAAC4CAABkcnMvZTJvRG9jLnhtbFBLAQItABQABgAIAAAAIQD2hNNk&#10;2QAAAAsBAAAPAAAAAAAAAAAAAAAAAN4EAABkcnMvZG93bnJldi54bWxQSwUGAAAAAAQABADzAAAA&#10;5AUAAAAA&#10;" stroked="f" strokeweight=".5pt">
                <v:textbox>
                  <w:txbxContent>
                    <w:p w:rsidR="001061C4" w:rsidRDefault="00AE64C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10D04270" wp14:editId="071E7E8E">
                            <wp:extent cx="1519555" cy="387985"/>
                            <wp:effectExtent l="0" t="0" r="4445" b="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1061C4" w:rsidRPr="007E19B7" w:rsidRDefault="001061C4"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sectPr w:rsidR="001061C4" w:rsidRPr="007E19B7"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rtlGutter/>
          <w:docGrid w:linePitch="326"/>
        </w:sectPr>
      </w:pPr>
    </w:p>
    <w:p w:rsidR="001061C4" w:rsidRPr="007E19B7" w:rsidRDefault="001061C4" w:rsidP="00F621C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7E19B7">
        <w:rPr>
          <w:rFonts w:ascii="Cambria" w:hAnsi="Cambria"/>
          <w:b/>
          <w:bCs/>
          <w:sz w:val="20"/>
          <w:szCs w:val="20"/>
        </w:rPr>
        <w:lastRenderedPageBreak/>
        <w:t>I.</w:t>
      </w:r>
      <w:r w:rsidRPr="007E19B7">
        <w:rPr>
          <w:rFonts w:ascii="Cambria" w:hAnsi="Cambria"/>
          <w:b/>
          <w:bCs/>
          <w:sz w:val="20"/>
          <w:szCs w:val="20"/>
        </w:rPr>
        <w:tab/>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1061C4" w:rsidRPr="007E19B7" w:rsidTr="009F6A5E">
        <w:tc>
          <w:tcPr>
            <w:tcW w:w="3690" w:type="dxa"/>
            <w:tcBorders>
              <w:top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Petitioner:</w:t>
            </w:r>
          </w:p>
        </w:tc>
        <w:tc>
          <w:tcPr>
            <w:tcW w:w="5670" w:type="dxa"/>
            <w:tcBorders>
              <w:top w:val="single" w:sz="4" w:space="0" w:color="auto"/>
            </w:tcBorders>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19"/>
                <w:szCs w:val="19"/>
              </w:rPr>
              <w:t>Alejandro Antonio Torres Toro</w:t>
            </w:r>
          </w:p>
        </w:tc>
      </w:tr>
      <w:tr w:rsidR="001061C4" w:rsidRPr="007E19B7" w:rsidTr="009F6A5E">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Alleged victim:</w:t>
            </w:r>
          </w:p>
        </w:tc>
        <w:tc>
          <w:tcPr>
            <w:tcW w:w="5670" w:type="dxa"/>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19"/>
                <w:szCs w:val="19"/>
              </w:rPr>
              <w:t>Alejandro Antonio Torres Toro</w:t>
            </w:r>
          </w:p>
        </w:tc>
      </w:tr>
      <w:tr w:rsidR="001061C4" w:rsidRPr="007E19B7" w:rsidTr="009F6A5E">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State denounced:</w:t>
            </w:r>
          </w:p>
        </w:tc>
        <w:tc>
          <w:tcPr>
            <w:tcW w:w="5670" w:type="dxa"/>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place">
              <w:smartTag w:uri="urn:schemas-microsoft-com:office:smarttags" w:element="country-region">
                <w:r w:rsidRPr="009F6A5E">
                  <w:rPr>
                    <w:rFonts w:ascii="Cambria" w:hAnsi="Cambria"/>
                    <w:bCs/>
                    <w:sz w:val="20"/>
                    <w:szCs w:val="20"/>
                  </w:rPr>
                  <w:t>Peru</w:t>
                </w:r>
              </w:smartTag>
            </w:smartTag>
            <w:r w:rsidRPr="009F6A5E">
              <w:rPr>
                <w:rStyle w:val="FootnoteReference"/>
                <w:rFonts w:ascii="Cambria" w:hAnsi="Cambria"/>
                <w:bCs/>
                <w:sz w:val="19"/>
                <w:szCs w:val="19"/>
              </w:rPr>
              <w:footnoteReference w:id="2"/>
            </w:r>
          </w:p>
        </w:tc>
      </w:tr>
      <w:tr w:rsidR="001061C4" w:rsidRPr="007E19B7" w:rsidTr="009F6A5E">
        <w:tc>
          <w:tcPr>
            <w:tcW w:w="3690" w:type="dxa"/>
            <w:tcBorders>
              <w:bottom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Rights invoked:</w:t>
            </w:r>
          </w:p>
        </w:tc>
        <w:tc>
          <w:tcPr>
            <w:tcW w:w="5670" w:type="dxa"/>
            <w:tcBorders>
              <w:bottom w:val="single" w:sz="4" w:space="0" w:color="auto"/>
            </w:tcBorders>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Articles 8 (right to a fair trial) and 25 (right to judicial protection) of the American Convention on Human Rights,</w:t>
            </w:r>
            <w:r w:rsidRPr="009F6A5E">
              <w:rPr>
                <w:rStyle w:val="FootnoteReference"/>
                <w:rFonts w:ascii="Cambria" w:hAnsi="Cambria"/>
                <w:bCs/>
                <w:sz w:val="19"/>
                <w:szCs w:val="19"/>
              </w:rPr>
              <w:footnoteReference w:id="3"/>
            </w:r>
            <w:r w:rsidRPr="009F6A5E">
              <w:rPr>
                <w:rFonts w:ascii="Cambria" w:hAnsi="Cambria"/>
                <w:bCs/>
                <w:sz w:val="19"/>
                <w:szCs w:val="19"/>
              </w:rPr>
              <w:t xml:space="preserve"> in relation to Articles 1.1 (obligation to respect rights) and 2 (domestic legal effects) thereof; Article XVIII (right to a fair trial) of the American Declaration of the Rights and Duties of Man,</w:t>
            </w:r>
            <w:r w:rsidRPr="009F6A5E">
              <w:rPr>
                <w:rStyle w:val="FootnoteReference"/>
                <w:rFonts w:ascii="Cambria" w:hAnsi="Cambria"/>
                <w:sz w:val="19"/>
                <w:szCs w:val="19"/>
              </w:rPr>
              <w:footnoteReference w:id="4"/>
            </w:r>
            <w:r w:rsidRPr="009F6A5E">
              <w:rPr>
                <w:rFonts w:ascii="Cambria" w:hAnsi="Cambria"/>
                <w:bCs/>
                <w:sz w:val="19"/>
                <w:szCs w:val="19"/>
              </w:rPr>
              <w:t xml:space="preserve"> and other international treaties</w:t>
            </w:r>
            <w:r w:rsidRPr="009F6A5E">
              <w:rPr>
                <w:rStyle w:val="FootnoteReference"/>
                <w:rFonts w:ascii="Cambria" w:hAnsi="Cambria"/>
                <w:sz w:val="19"/>
                <w:szCs w:val="19"/>
              </w:rPr>
              <w:footnoteReference w:id="5"/>
            </w:r>
          </w:p>
        </w:tc>
      </w:tr>
    </w:tbl>
    <w:p w:rsidR="001061C4" w:rsidRPr="007E19B7" w:rsidRDefault="001061C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7E19B7">
        <w:rPr>
          <w:rFonts w:ascii="Cambria" w:hAnsi="Cambria"/>
          <w:b/>
          <w:bCs/>
          <w:sz w:val="20"/>
          <w:szCs w:val="20"/>
        </w:rPr>
        <w:t>II.</w:t>
      </w:r>
      <w:r w:rsidRPr="007E19B7">
        <w:rPr>
          <w:rFonts w:ascii="Cambria" w:hAnsi="Cambria"/>
          <w:b/>
          <w:bCs/>
          <w:sz w:val="20"/>
          <w:szCs w:val="20"/>
        </w:rPr>
        <w:tab/>
        <w:t>PROCEEDINGS BEFORE THE IACHR</w:t>
      </w:r>
      <w:r w:rsidRPr="007E19B7">
        <w:rPr>
          <w:rStyle w:val="FootnoteReference"/>
          <w:rFonts w:ascii="Cambria" w:hAnsi="Cambria"/>
          <w:b/>
          <w:sz w:val="20"/>
          <w:szCs w:val="20"/>
        </w:rPr>
        <w:footnoteReference w:id="6"/>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1061C4" w:rsidRPr="007E19B7" w:rsidTr="009F6A5E">
        <w:tc>
          <w:tcPr>
            <w:tcW w:w="3690" w:type="dxa"/>
            <w:tcBorders>
              <w:top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Filing of the petition:</w:t>
            </w:r>
          </w:p>
        </w:tc>
        <w:tc>
          <w:tcPr>
            <w:tcW w:w="5670" w:type="dxa"/>
            <w:tcBorders>
              <w:top w:val="single" w:sz="4" w:space="0" w:color="auto"/>
            </w:tcBorders>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August 28, 2009</w:t>
            </w:r>
          </w:p>
        </w:tc>
      </w:tr>
      <w:tr w:rsidR="001061C4" w:rsidRPr="007E19B7" w:rsidTr="009F6A5E">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color w:val="FFFFFF"/>
                <w:sz w:val="20"/>
                <w:szCs w:val="20"/>
              </w:rPr>
              <w:t>Notification of the petition to the State:</w:t>
            </w:r>
          </w:p>
        </w:tc>
        <w:tc>
          <w:tcPr>
            <w:tcW w:w="5670" w:type="dxa"/>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April 7, 2017</w:t>
            </w:r>
          </w:p>
        </w:tc>
      </w:tr>
      <w:tr w:rsidR="001061C4" w:rsidRPr="007E19B7" w:rsidTr="009F6A5E">
        <w:trPr>
          <w:trHeight w:val="264"/>
        </w:trPr>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color w:val="FFFFFF"/>
                <w:sz w:val="20"/>
                <w:szCs w:val="20"/>
              </w:rPr>
              <w:t>State’s first response:</w:t>
            </w:r>
          </w:p>
        </w:tc>
        <w:tc>
          <w:tcPr>
            <w:tcW w:w="5670" w:type="dxa"/>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July 7, 2017</w:t>
            </w:r>
          </w:p>
        </w:tc>
      </w:tr>
      <w:tr w:rsidR="001061C4" w:rsidRPr="007E19B7" w:rsidTr="009F6A5E">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Additional observations from the petitioner:</w:t>
            </w:r>
          </w:p>
        </w:tc>
        <w:tc>
          <w:tcPr>
            <w:tcW w:w="5670" w:type="dxa"/>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November 30, 2009; February 28, 2013; February 14 and December 28, 2017</w:t>
            </w:r>
          </w:p>
        </w:tc>
      </w:tr>
      <w:tr w:rsidR="001061C4" w:rsidRPr="007E19B7" w:rsidTr="009F6A5E">
        <w:tc>
          <w:tcPr>
            <w:tcW w:w="3690" w:type="dxa"/>
            <w:tcBorders>
              <w:bottom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Additional observations from the State:</w:t>
            </w:r>
          </w:p>
        </w:tc>
        <w:tc>
          <w:tcPr>
            <w:tcW w:w="5670" w:type="dxa"/>
            <w:tcBorders>
              <w:bottom w:val="single" w:sz="4" w:space="0" w:color="auto"/>
            </w:tcBorders>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June 19, 2018</w:t>
            </w:r>
          </w:p>
        </w:tc>
      </w:tr>
    </w:tbl>
    <w:p w:rsidR="001061C4" w:rsidRPr="007E19B7" w:rsidRDefault="001061C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7E19B7">
        <w:rPr>
          <w:rFonts w:ascii="Cambria" w:hAnsi="Cambria"/>
          <w:b/>
          <w:bCs/>
          <w:sz w:val="20"/>
          <w:szCs w:val="20"/>
        </w:rPr>
        <w:t xml:space="preserve">III. </w:t>
      </w:r>
      <w:r w:rsidRPr="007E19B7">
        <w:rPr>
          <w:rFonts w:ascii="Cambria" w:hAnsi="Cambria"/>
          <w:b/>
          <w:bCs/>
          <w:sz w:val="20"/>
          <w:szCs w:val="20"/>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49"/>
        <w:gridCol w:w="5593"/>
      </w:tblGrid>
      <w:tr w:rsidR="001061C4" w:rsidRPr="007E19B7" w:rsidTr="009F6A5E">
        <w:trPr>
          <w:cantSplit/>
        </w:trPr>
        <w:tc>
          <w:tcPr>
            <w:tcW w:w="3690" w:type="dxa"/>
            <w:tcBorders>
              <w:top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9F6A5E">
              <w:rPr>
                <w:rFonts w:ascii="Cambria" w:hAnsi="Cambria"/>
                <w:b/>
                <w:bCs/>
                <w:color w:val="FFFFFF"/>
                <w:sz w:val="20"/>
                <w:szCs w:val="20"/>
              </w:rPr>
              <w:t>Competence</w:t>
            </w:r>
            <w:r w:rsidRPr="009F6A5E">
              <w:rPr>
                <w:rFonts w:ascii="Cambria" w:hAnsi="Cambria"/>
                <w:b/>
                <w:bCs/>
                <w:i/>
                <w:color w:val="FFFFFF"/>
                <w:sz w:val="20"/>
                <w:szCs w:val="20"/>
              </w:rPr>
              <w:t xml:space="preserve"> Ratione personae:</w:t>
            </w:r>
          </w:p>
        </w:tc>
        <w:tc>
          <w:tcPr>
            <w:tcW w:w="5670" w:type="dxa"/>
            <w:tcBorders>
              <w:top w:val="single" w:sz="4" w:space="0" w:color="auto"/>
            </w:tcBorders>
            <w:vAlign w:val="center"/>
          </w:tcPr>
          <w:p w:rsidR="001061C4" w:rsidRPr="009F6A5E" w:rsidRDefault="001061C4" w:rsidP="00BC6AE2">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9F6A5E">
              <w:rPr>
                <w:rFonts w:ascii="Cambria" w:hAnsi="Cambria"/>
                <w:bCs/>
                <w:sz w:val="20"/>
                <w:szCs w:val="20"/>
              </w:rPr>
              <w:t>Yes</w:t>
            </w:r>
          </w:p>
        </w:tc>
      </w:tr>
      <w:tr w:rsidR="001061C4" w:rsidRPr="007E19B7" w:rsidTr="009F6A5E">
        <w:trPr>
          <w:cantSplit/>
        </w:trPr>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Competence</w:t>
            </w:r>
            <w:r w:rsidRPr="009F6A5E">
              <w:rPr>
                <w:rFonts w:ascii="Cambria" w:hAnsi="Cambria"/>
                <w:b/>
                <w:bCs/>
                <w:i/>
                <w:color w:val="FFFFFF"/>
                <w:sz w:val="20"/>
                <w:szCs w:val="20"/>
              </w:rPr>
              <w:t xml:space="preserve"> Ratione loci</w:t>
            </w:r>
            <w:r w:rsidRPr="009F6A5E">
              <w:rPr>
                <w:rFonts w:ascii="Cambria" w:hAnsi="Cambria"/>
                <w:b/>
                <w:bCs/>
                <w:color w:val="FFFFFF"/>
                <w:sz w:val="20"/>
                <w:szCs w:val="20"/>
              </w:rPr>
              <w:t>:</w:t>
            </w:r>
          </w:p>
        </w:tc>
        <w:tc>
          <w:tcPr>
            <w:tcW w:w="5670" w:type="dxa"/>
            <w:vAlign w:val="center"/>
          </w:tcPr>
          <w:p w:rsidR="001061C4" w:rsidRPr="009F6A5E" w:rsidRDefault="001061C4" w:rsidP="00BC6AE2">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9F6A5E">
              <w:rPr>
                <w:rFonts w:ascii="Cambria" w:hAnsi="Cambria"/>
                <w:bCs/>
                <w:sz w:val="20"/>
                <w:szCs w:val="20"/>
              </w:rPr>
              <w:t>Yes</w:t>
            </w:r>
          </w:p>
        </w:tc>
      </w:tr>
      <w:tr w:rsidR="001061C4" w:rsidRPr="007E19B7" w:rsidTr="009F6A5E">
        <w:trPr>
          <w:cantSplit/>
        </w:trPr>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Competence</w:t>
            </w:r>
            <w:r w:rsidRPr="009F6A5E">
              <w:rPr>
                <w:rFonts w:ascii="Cambria" w:hAnsi="Cambria"/>
                <w:b/>
                <w:bCs/>
                <w:i/>
                <w:color w:val="FFFFFF"/>
                <w:sz w:val="20"/>
                <w:szCs w:val="20"/>
              </w:rPr>
              <w:t xml:space="preserve"> Ratione temporis</w:t>
            </w:r>
            <w:r w:rsidRPr="009F6A5E">
              <w:rPr>
                <w:rFonts w:ascii="Cambria" w:hAnsi="Cambria"/>
                <w:b/>
                <w:bCs/>
                <w:color w:val="FFFFFF"/>
                <w:sz w:val="20"/>
                <w:szCs w:val="20"/>
              </w:rPr>
              <w:t>:</w:t>
            </w:r>
          </w:p>
        </w:tc>
        <w:tc>
          <w:tcPr>
            <w:tcW w:w="5670" w:type="dxa"/>
            <w:vAlign w:val="center"/>
          </w:tcPr>
          <w:p w:rsidR="001061C4" w:rsidRPr="009F6A5E" w:rsidRDefault="001061C4" w:rsidP="00BC6AE2">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9F6A5E">
              <w:rPr>
                <w:rFonts w:ascii="Cambria" w:hAnsi="Cambria"/>
                <w:bCs/>
                <w:sz w:val="20"/>
                <w:szCs w:val="20"/>
              </w:rPr>
              <w:t>Yes</w:t>
            </w:r>
          </w:p>
        </w:tc>
      </w:tr>
      <w:tr w:rsidR="001061C4" w:rsidRPr="007E19B7" w:rsidTr="009F6A5E">
        <w:trPr>
          <w:cantSplit/>
        </w:trPr>
        <w:tc>
          <w:tcPr>
            <w:tcW w:w="3690" w:type="dxa"/>
            <w:tcBorders>
              <w:bottom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Competence</w:t>
            </w:r>
            <w:r w:rsidRPr="009F6A5E">
              <w:rPr>
                <w:rFonts w:ascii="Cambria" w:hAnsi="Cambria"/>
                <w:b/>
                <w:bCs/>
                <w:i/>
                <w:color w:val="FFFFFF"/>
                <w:sz w:val="20"/>
                <w:szCs w:val="20"/>
              </w:rPr>
              <w:t xml:space="preserve"> Ratione materiae</w:t>
            </w:r>
            <w:r w:rsidRPr="009F6A5E">
              <w:rPr>
                <w:rFonts w:ascii="Cambria" w:hAnsi="Cambria"/>
                <w:b/>
                <w:bCs/>
                <w:color w:val="FFFFFF"/>
                <w:sz w:val="20"/>
                <w:szCs w:val="20"/>
              </w:rPr>
              <w:t>:</w:t>
            </w:r>
          </w:p>
        </w:tc>
        <w:tc>
          <w:tcPr>
            <w:tcW w:w="5670" w:type="dxa"/>
            <w:tcBorders>
              <w:bottom w:val="single" w:sz="4" w:space="0" w:color="auto"/>
            </w:tcBorders>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Yes, American Convention (instrument of ratification deposited on July 28, 1978)</w:t>
            </w:r>
          </w:p>
        </w:tc>
      </w:tr>
    </w:tbl>
    <w:p w:rsidR="001061C4" w:rsidRPr="007E19B7" w:rsidRDefault="001061C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7E19B7">
        <w:rPr>
          <w:rFonts w:ascii="Cambria" w:hAnsi="Cambria"/>
          <w:b/>
          <w:bCs/>
          <w:sz w:val="20"/>
          <w:szCs w:val="20"/>
        </w:rPr>
        <w:t xml:space="preserve">IV. </w:t>
      </w:r>
      <w:r w:rsidRPr="007E19B7">
        <w:rPr>
          <w:rFonts w:ascii="Cambria" w:hAnsi="Cambria"/>
          <w:b/>
          <w:bCs/>
          <w:sz w:val="20"/>
          <w:szCs w:val="20"/>
        </w:rPr>
        <w:tab/>
        <w:t xml:space="preserve">DUPLICATION OF PROCEDURES AND INTERNATIONAL </w:t>
      </w:r>
      <w:r w:rsidRPr="007E19B7">
        <w:rPr>
          <w:rFonts w:ascii="Cambria" w:hAnsi="Cambria"/>
          <w:b/>
          <w:bCs/>
          <w:i/>
          <w:sz w:val="20"/>
          <w:szCs w:val="20"/>
        </w:rPr>
        <w:t>RES JUDICATA</w:t>
      </w:r>
      <w:r w:rsidRPr="007E19B7">
        <w:rPr>
          <w:rFonts w:ascii="Cambria" w:hAnsi="Cambria"/>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50"/>
        <w:gridCol w:w="5592"/>
      </w:tblGrid>
      <w:tr w:rsidR="001061C4" w:rsidRPr="007E19B7" w:rsidTr="009F6A5E">
        <w:trPr>
          <w:cantSplit/>
        </w:trPr>
        <w:tc>
          <w:tcPr>
            <w:tcW w:w="3690" w:type="dxa"/>
            <w:tcBorders>
              <w:top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 xml:space="preserve">Duplication of procedures and International </w:t>
            </w:r>
            <w:r w:rsidRPr="009F6A5E">
              <w:rPr>
                <w:rFonts w:ascii="Cambria" w:hAnsi="Cambria"/>
                <w:b/>
                <w:bCs/>
                <w:i/>
                <w:color w:val="FFFFFF"/>
                <w:sz w:val="20"/>
                <w:szCs w:val="20"/>
              </w:rPr>
              <w:t>res judicata</w:t>
            </w:r>
            <w:r w:rsidRPr="009F6A5E">
              <w:rPr>
                <w:rFonts w:ascii="Cambria" w:hAnsi="Cambria"/>
                <w:b/>
                <w:bCs/>
                <w:color w:val="FFFFFF"/>
                <w:sz w:val="20"/>
                <w:szCs w:val="20"/>
              </w:rPr>
              <w:t>:</w:t>
            </w:r>
          </w:p>
        </w:tc>
        <w:tc>
          <w:tcPr>
            <w:tcW w:w="5670" w:type="dxa"/>
            <w:tcBorders>
              <w:top w:val="single" w:sz="4" w:space="0" w:color="auto"/>
            </w:tcBorders>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No</w:t>
            </w:r>
          </w:p>
        </w:tc>
      </w:tr>
      <w:tr w:rsidR="001061C4" w:rsidRPr="007E19B7" w:rsidTr="009F6A5E">
        <w:trPr>
          <w:cantSplit/>
        </w:trPr>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9F6A5E">
              <w:rPr>
                <w:rFonts w:ascii="Cambria" w:hAnsi="Cambria"/>
                <w:b/>
                <w:bCs/>
                <w:color w:val="FFFFFF"/>
                <w:sz w:val="20"/>
                <w:szCs w:val="20"/>
              </w:rPr>
              <w:t>Rights declared admissible</w:t>
            </w:r>
          </w:p>
        </w:tc>
        <w:tc>
          <w:tcPr>
            <w:tcW w:w="5670" w:type="dxa"/>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9F6A5E">
              <w:rPr>
                <w:rFonts w:ascii="Cambria" w:hAnsi="Cambria"/>
                <w:bCs/>
                <w:sz w:val="20"/>
                <w:szCs w:val="20"/>
              </w:rPr>
              <w:t xml:space="preserve">Articles 8 (right to a fair trial), 23 (right to participate in government), 25 (right to judicial protection), and </w:t>
            </w:r>
            <w:r w:rsidRPr="00FD3E66">
              <w:rPr>
                <w:rFonts w:ascii="Cambria" w:hAnsi="Cambria"/>
                <w:bCs/>
                <w:sz w:val="20"/>
                <w:szCs w:val="20"/>
              </w:rPr>
              <w:t>26 (economic social and cultural rights)</w:t>
            </w:r>
            <w:r w:rsidRPr="009F6A5E">
              <w:rPr>
                <w:rFonts w:ascii="Cambria" w:hAnsi="Cambria"/>
                <w:bCs/>
                <w:sz w:val="20"/>
                <w:szCs w:val="20"/>
              </w:rPr>
              <w:t xml:space="preserve"> of the American Convention, in relation to Articles 1.1 (obligation to respect rights) and 2 (domestic legal effects) thereof</w:t>
            </w:r>
          </w:p>
        </w:tc>
      </w:tr>
      <w:tr w:rsidR="001061C4" w:rsidRPr="007E19B7" w:rsidTr="009F6A5E">
        <w:trPr>
          <w:cantSplit/>
        </w:trPr>
        <w:tc>
          <w:tcPr>
            <w:tcW w:w="3690" w:type="dxa"/>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Exhaustion of domestic remedies or applicability of an exception to the rule:</w:t>
            </w:r>
          </w:p>
        </w:tc>
        <w:tc>
          <w:tcPr>
            <w:tcW w:w="5670" w:type="dxa"/>
            <w:vAlign w:val="center"/>
          </w:tcPr>
          <w:p w:rsidR="001061C4" w:rsidRPr="009F6A5E" w:rsidRDefault="001061C4" w:rsidP="00BC6AE2">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9F6A5E">
              <w:rPr>
                <w:rFonts w:ascii="Cambria" w:hAnsi="Cambria"/>
                <w:bCs/>
                <w:sz w:val="20"/>
                <w:szCs w:val="20"/>
              </w:rPr>
              <w:t>Yes, March 17, 2009</w:t>
            </w:r>
          </w:p>
          <w:p w:rsidR="001061C4" w:rsidRPr="009F6A5E" w:rsidRDefault="001061C4" w:rsidP="00BC6AE2">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
        </w:tc>
      </w:tr>
      <w:tr w:rsidR="001061C4" w:rsidRPr="007E19B7" w:rsidTr="009F6A5E">
        <w:trPr>
          <w:cantSplit/>
        </w:trPr>
        <w:tc>
          <w:tcPr>
            <w:tcW w:w="3690" w:type="dxa"/>
            <w:tcBorders>
              <w:bottom w:val="single" w:sz="4" w:space="0" w:color="auto"/>
            </w:tcBorders>
            <w:shd w:val="clear" w:color="auto" w:fill="67AE3C"/>
            <w:vAlign w:val="center"/>
          </w:tcPr>
          <w:p w:rsidR="001061C4" w:rsidRPr="009F6A5E" w:rsidRDefault="001061C4" w:rsidP="009F6A5E">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F6A5E">
              <w:rPr>
                <w:rFonts w:ascii="Cambria" w:hAnsi="Cambria"/>
                <w:b/>
                <w:bCs/>
                <w:color w:val="FFFFFF"/>
                <w:sz w:val="20"/>
                <w:szCs w:val="20"/>
              </w:rPr>
              <w:t>Timeliness of the petition:</w:t>
            </w:r>
          </w:p>
        </w:tc>
        <w:tc>
          <w:tcPr>
            <w:tcW w:w="5670" w:type="dxa"/>
            <w:tcBorders>
              <w:bottom w:val="single" w:sz="4" w:space="0" w:color="auto"/>
            </w:tcBorders>
            <w:vAlign w:val="center"/>
          </w:tcPr>
          <w:p w:rsidR="001061C4" w:rsidRPr="009F6A5E" w:rsidRDefault="001061C4" w:rsidP="00655B5B">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9F6A5E">
              <w:rPr>
                <w:rFonts w:ascii="Cambria" w:hAnsi="Cambria"/>
                <w:bCs/>
                <w:sz w:val="20"/>
                <w:szCs w:val="20"/>
              </w:rPr>
              <w:t>Yes, pursuant to Chapter VI</w:t>
            </w:r>
          </w:p>
        </w:tc>
      </w:tr>
    </w:tbl>
    <w:p w:rsidR="001061C4" w:rsidRPr="007E19B7" w:rsidRDefault="001061C4">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1061C4" w:rsidRPr="007E19B7" w:rsidRDefault="001061C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rPr>
      </w:pPr>
      <w:r w:rsidRPr="007E19B7">
        <w:rPr>
          <w:rFonts w:ascii="Cambria" w:hAnsi="Cambria"/>
          <w:b/>
          <w:sz w:val="20"/>
          <w:szCs w:val="20"/>
        </w:rPr>
        <w:lastRenderedPageBreak/>
        <w:t xml:space="preserve">V. </w:t>
      </w:r>
      <w:r w:rsidRPr="007E19B7">
        <w:rPr>
          <w:rFonts w:ascii="Cambria" w:hAnsi="Cambria"/>
          <w:b/>
          <w:sz w:val="20"/>
          <w:szCs w:val="20"/>
        </w:rPr>
        <w:tab/>
        <w:t xml:space="preserve">ALLEGED FACTS </w:t>
      </w: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 The petitioner denounces alleged violations of his human rights, claiming that he was removed unjustifiably from his position as a criminal judge, through improper proceedings, and without access to effective legal protection, due to a judicial decision he issued in the course of his duties.</w:t>
      </w: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He states that when he was a substitute judge of the Specialized Criminal Court of the </w:t>
      </w:r>
      <w:smartTag w:uri="urn:schemas-microsoft-com:office:smarttags" w:element="place">
        <w:smartTag w:uri="urn:schemas-microsoft-com:office:smarttags" w:element="PlaceName">
          <w:r w:rsidRPr="007E19B7">
            <w:rPr>
              <w:rFonts w:ascii="Cambria" w:hAnsi="Cambria"/>
              <w:sz w:val="20"/>
              <w:szCs w:val="20"/>
            </w:rPr>
            <w:t>Rioja</w:t>
          </w:r>
        </w:smartTag>
        <w:r w:rsidRPr="007E19B7">
          <w:rPr>
            <w:rFonts w:ascii="Cambria" w:hAnsi="Cambria"/>
            <w:sz w:val="20"/>
            <w:szCs w:val="20"/>
          </w:rPr>
          <w:t xml:space="preserve"> </w:t>
        </w:r>
        <w:smartTag w:uri="urn:schemas-microsoft-com:office:smarttags" w:element="PlaceType">
          <w:r w:rsidRPr="007E19B7">
            <w:rPr>
              <w:rFonts w:ascii="Cambria" w:hAnsi="Cambria"/>
              <w:sz w:val="20"/>
              <w:szCs w:val="20"/>
            </w:rPr>
            <w:t>Province</w:t>
          </w:r>
        </w:smartTag>
      </w:smartTag>
      <w:r w:rsidRPr="007E19B7">
        <w:rPr>
          <w:rFonts w:ascii="Cambria" w:hAnsi="Cambria"/>
          <w:sz w:val="20"/>
          <w:szCs w:val="20"/>
        </w:rPr>
        <w:t xml:space="preserve"> under the San Martín Superior Court, he heard a motion for pretrial release filed by a defendant charged with aggravated theft. At first, the petitioner temporarily denied the motion because the defendant had not submitted his identification or his criminal record. After those documents were presented, the petitioner considered it appropriate to grant his release on the same case record. The Office of the Public Prosecutor appealed that decision, arguing that the motion should have been filed again </w:t>
      </w:r>
      <w:r>
        <w:rPr>
          <w:rFonts w:ascii="Cambria" w:hAnsi="Cambria"/>
          <w:sz w:val="20"/>
          <w:szCs w:val="20"/>
        </w:rPr>
        <w:t>as a new case. On March 22, 2001</w:t>
      </w:r>
      <w:r w:rsidRPr="007E19B7">
        <w:rPr>
          <w:rFonts w:ascii="Cambria" w:hAnsi="Cambria"/>
          <w:sz w:val="20"/>
          <w:szCs w:val="20"/>
        </w:rPr>
        <w:t>, the Criminal Chamber of the San Martín Superior Court of Justice ruled on the appeal, deciding to revoke the defendant’s release and order that copies of the petitioner’s record of proceedings be sent to the District Judicial Oversight Body of the San Martín Superior Court of Justice (ODICMA).</w:t>
      </w: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The petitioner alleges that through a </w:t>
      </w:r>
      <w:r>
        <w:rPr>
          <w:rFonts w:ascii="Cambria" w:hAnsi="Cambria"/>
          <w:sz w:val="20"/>
          <w:szCs w:val="20"/>
        </w:rPr>
        <w:t xml:space="preserve">decision </w:t>
      </w:r>
      <w:r w:rsidRPr="007E19B7">
        <w:rPr>
          <w:rFonts w:ascii="Cambria" w:hAnsi="Cambria"/>
          <w:sz w:val="20"/>
          <w:szCs w:val="20"/>
        </w:rPr>
        <w:t>issued on May 11, 2001, he was sanctioned by ODICMA with a fine of 10% of his judicial salary. The finding concluded that the decision to grant pretrial release was improper and violated the Criminal Procedural Code. Consequently, the petitioner filed an appeal with the Office of Judicial Oversight (</w:t>
      </w:r>
      <w:r>
        <w:rPr>
          <w:rFonts w:ascii="Cambria" w:hAnsi="Cambria"/>
          <w:sz w:val="20"/>
          <w:szCs w:val="20"/>
        </w:rPr>
        <w:t>OCMA</w:t>
      </w:r>
      <w:r w:rsidRPr="007E19B7">
        <w:rPr>
          <w:rFonts w:ascii="Cambria" w:hAnsi="Cambria"/>
          <w:sz w:val="20"/>
          <w:szCs w:val="20"/>
        </w:rPr>
        <w:t>). On January 23, 2002, OCMA, distorting the nature of his motion, decided the appeal by suggesting that the Supreme Court of Justice temporarily suspend him and request that the National Judicial Council</w:t>
      </w:r>
      <w:r>
        <w:rPr>
          <w:rFonts w:ascii="Cambria" w:hAnsi="Cambria"/>
          <w:sz w:val="20"/>
          <w:szCs w:val="20"/>
        </w:rPr>
        <w:t xml:space="preserve"> (CNM</w:t>
      </w:r>
      <w:r w:rsidRPr="007E19B7">
        <w:rPr>
          <w:rFonts w:ascii="Cambria" w:hAnsi="Cambria"/>
          <w:sz w:val="20"/>
          <w:szCs w:val="20"/>
        </w:rPr>
        <w:t>) remove him from the bench. He alleges that OCMA violated Law 27,444 on Administrative Proceedings, Article 237(3), which states that, “When a sanctioned offender files a motion to appeal or challenge a finding, the decision on said motion shall not carry the imposition of more severe sanctions on such person.”</w:t>
      </w: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The petitioner states that the Supreme Court of Justice sent the information to the CNM, which initiated disciplinary administrative proceedings against him and, on September 16, 2002, decided to return the record of proceedings to the Supreme Court of Justice for it to rule on the appealed fine. On January 18, 2003, OCMA decided to </w:t>
      </w:r>
      <w:r>
        <w:rPr>
          <w:rFonts w:ascii="Cambria" w:hAnsi="Cambria"/>
          <w:sz w:val="20"/>
          <w:szCs w:val="20"/>
        </w:rPr>
        <w:t xml:space="preserve">set aside its decision of January 23, 2002, </w:t>
      </w:r>
      <w:r w:rsidRPr="007E19B7">
        <w:rPr>
          <w:rFonts w:ascii="Cambria" w:hAnsi="Cambria"/>
          <w:sz w:val="20"/>
          <w:szCs w:val="20"/>
        </w:rPr>
        <w:t>overturn the fine</w:t>
      </w:r>
      <w:r>
        <w:rPr>
          <w:rFonts w:ascii="Cambria" w:hAnsi="Cambria"/>
          <w:sz w:val="20"/>
          <w:szCs w:val="20"/>
        </w:rPr>
        <w:t xml:space="preserve">, and </w:t>
      </w:r>
      <w:r w:rsidRPr="007E19B7">
        <w:rPr>
          <w:rFonts w:ascii="Cambria" w:hAnsi="Cambria"/>
          <w:sz w:val="20"/>
          <w:szCs w:val="20"/>
        </w:rPr>
        <w:t>propose again that the Supreme Court of Justice suspend him provisionally and request that the CNM remove him from the bench. Accordingly, the Supreme Court of Justice once again sent a removal request to the CNM, where a second administrative proceeding was opened on the same set of facts as the prior proceedings. According to the petitioner, he informed the CNM that administrative proceedings were already underway and requested that the two be joined. On September 24, 2003, the CNM decided to remove the petitioner from his position due to conduct unbecoming. The petitioner filed a motion for reconsideration, which he states was denied on January 20, 2004, before the CNM had considered the new evidence he had submitted.</w:t>
      </w:r>
    </w:p>
    <w:p w:rsidR="001061C4" w:rsidRPr="00690AA5"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The petitioner states that he filed a motion for a writ of amparo, requesting that the decisions issued against him on January 23, 2002, and January 18, 2003, by OCMA, on June 25, 2002, and March 27, 2003, by the CNM, and on May 11, 2001, by ODICMA be overturned, as they violated his constitutional rights to work, due process, honor, and effective legal protection. On January 4, 2006, the 54</w:t>
      </w:r>
      <w:r w:rsidRPr="007E19B7">
        <w:rPr>
          <w:rFonts w:ascii="Cambria" w:hAnsi="Cambria"/>
          <w:sz w:val="20"/>
          <w:szCs w:val="20"/>
          <w:vertAlign w:val="superscript"/>
        </w:rPr>
        <w:t>th</w:t>
      </w:r>
      <w:r w:rsidRPr="007E19B7">
        <w:rPr>
          <w:rFonts w:ascii="Cambria" w:hAnsi="Cambria"/>
          <w:sz w:val="20"/>
          <w:szCs w:val="20"/>
        </w:rPr>
        <w:t xml:space="preserve"> Specialized Civil Court of Lima denied the motion on the grounds that a violation of the invoked rights had not been proven. According to the petitioner, this decision was made based on incomplete information, given that the CNM had not sent the full disciplinary case files. The petitioner filed an appeal against that decision, which was denied on June 4, 2007, by the Third Civil Chamber of the Lima Superior Court of Justice. He then filed a constitutional appeal, which was denied by the Second Chamber of the </w:t>
      </w:r>
      <w:smartTag w:uri="urn:schemas-microsoft-com:office:smarttags" w:element="address">
        <w:smartTag w:uri="urn:schemas-microsoft-com:office:smarttags" w:element="Street">
          <w:r w:rsidRPr="007E19B7">
            <w:rPr>
              <w:rFonts w:ascii="Cambria" w:hAnsi="Cambria"/>
              <w:sz w:val="20"/>
              <w:szCs w:val="20"/>
            </w:rPr>
            <w:t>Constitutional Court</w:t>
          </w:r>
        </w:smartTag>
      </w:smartTag>
      <w:r w:rsidRPr="007E19B7">
        <w:rPr>
          <w:rFonts w:ascii="Cambria" w:hAnsi="Cambria"/>
          <w:sz w:val="20"/>
          <w:szCs w:val="20"/>
        </w:rPr>
        <w:t xml:space="preserve"> on December 11, 2008, on the basis that the CNM’s findings were unchallengeable, since it had established a legal basis for its findings and given the petitioner a hearing. The petitioner believes that this decision was unfounded because the Court limited itself to confirming the CNM’s removal power without justifying why the arguments presented on the violation of the principles of </w:t>
      </w:r>
      <w:r w:rsidRPr="007E19B7">
        <w:rPr>
          <w:i/>
          <w:sz w:val="20"/>
          <w:szCs w:val="20"/>
        </w:rPr>
        <w:t xml:space="preserve">non bis in ídem </w:t>
      </w:r>
      <w:r w:rsidRPr="007E19B7">
        <w:rPr>
          <w:sz w:val="20"/>
          <w:szCs w:val="20"/>
        </w:rPr>
        <w:t>and</w:t>
      </w:r>
      <w:r w:rsidRPr="007E19B7">
        <w:rPr>
          <w:i/>
          <w:sz w:val="20"/>
          <w:szCs w:val="20"/>
        </w:rPr>
        <w:t xml:space="preserve"> no </w:t>
      </w:r>
      <w:proofErr w:type="spellStart"/>
      <w:r w:rsidRPr="007E19B7">
        <w:rPr>
          <w:i/>
          <w:sz w:val="20"/>
          <w:szCs w:val="20"/>
        </w:rPr>
        <w:t>reformatio</w:t>
      </w:r>
      <w:proofErr w:type="spellEnd"/>
      <w:r w:rsidRPr="007E19B7">
        <w:rPr>
          <w:i/>
          <w:sz w:val="20"/>
          <w:szCs w:val="20"/>
        </w:rPr>
        <w:t xml:space="preserve"> in </w:t>
      </w:r>
      <w:proofErr w:type="spellStart"/>
      <w:r w:rsidRPr="007E19B7">
        <w:rPr>
          <w:i/>
          <w:sz w:val="20"/>
          <w:szCs w:val="20"/>
        </w:rPr>
        <w:t>peius</w:t>
      </w:r>
      <w:proofErr w:type="spellEnd"/>
      <w:r w:rsidRPr="007E19B7">
        <w:rPr>
          <w:i/>
          <w:sz w:val="20"/>
          <w:szCs w:val="20"/>
        </w:rPr>
        <w:t xml:space="preserve"> </w:t>
      </w:r>
      <w:r w:rsidRPr="007E19B7">
        <w:rPr>
          <w:sz w:val="20"/>
          <w:szCs w:val="20"/>
        </w:rPr>
        <w:t>were without merit.</w:t>
      </w:r>
    </w:p>
    <w:p w:rsidR="00690AA5" w:rsidRPr="007E19B7" w:rsidRDefault="00690AA5" w:rsidP="00690AA5">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sz w:val="20"/>
          <w:szCs w:val="20"/>
        </w:rPr>
      </w:pP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sz w:val="20"/>
          <w:szCs w:val="20"/>
        </w:rPr>
        <w:lastRenderedPageBreak/>
        <w:t>The Office of the Attorney General decided to open an investigation against the petitioner for the alleged crimes of malfeasance and concealment, which the petitioner states was declared unfounded on April 3, 2006, on the grounds that the acts in question did not amount to a crime, but to serious conduct unbecoming without criminal intent.</w:t>
      </w: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sz w:val="20"/>
          <w:szCs w:val="20"/>
        </w:rPr>
        <w:t xml:space="preserve">The petitioner alleges that his human rights have been violated as a result of his removal over mere disagreement on the part of the authorities with a finding he issued regarding a procedural matter (i.e. if he could grant pretrial release on the same case record or if the defendant was required to refile his motion). He points out that his finding was consistent with the principle of procedural economy and the protection of </w:t>
      </w:r>
      <w:r>
        <w:rPr>
          <w:sz w:val="20"/>
          <w:szCs w:val="20"/>
        </w:rPr>
        <w:t xml:space="preserve">the </w:t>
      </w:r>
      <w:r w:rsidRPr="007E19B7">
        <w:rPr>
          <w:sz w:val="20"/>
          <w:szCs w:val="20"/>
        </w:rPr>
        <w:t xml:space="preserve">defendant’s rights. He also believes that his right against double jeopardy was violated, given that two disciplinary proceedings were opened against him for the same conduct, and, when he appealed a sanction, he received a more severe sanction than the one he had appealed, in violation of the law. Furthermore, he maintains that his right to effective legal protection was violated, since none of the courts that heard his motions decided on his claims regarding violations of </w:t>
      </w:r>
      <w:r w:rsidRPr="007E19B7">
        <w:rPr>
          <w:i/>
          <w:sz w:val="20"/>
          <w:szCs w:val="20"/>
        </w:rPr>
        <w:t xml:space="preserve">non bis in ídem </w:t>
      </w:r>
      <w:r w:rsidRPr="007E19B7">
        <w:rPr>
          <w:sz w:val="20"/>
          <w:szCs w:val="20"/>
        </w:rPr>
        <w:t>and</w:t>
      </w:r>
      <w:r w:rsidRPr="007E19B7">
        <w:rPr>
          <w:i/>
          <w:sz w:val="20"/>
          <w:szCs w:val="20"/>
        </w:rPr>
        <w:t xml:space="preserve"> no reformatio in peius</w:t>
      </w:r>
      <w:r w:rsidRPr="007E19B7">
        <w:rPr>
          <w:sz w:val="20"/>
          <w:szCs w:val="20"/>
        </w:rPr>
        <w:t>, or provided any rationale as to why they were unfounded. He also holds that his right to due process was violated, given that, despite his asking that the complete case files be requested, all of the courts that heard his motions issued findings based solely on incomp</w:t>
      </w:r>
      <w:r>
        <w:rPr>
          <w:sz w:val="20"/>
          <w:szCs w:val="20"/>
        </w:rPr>
        <w:t>lete copies sent by the CNM. He stresses that his</w:t>
      </w:r>
      <w:r w:rsidRPr="007E19B7">
        <w:rPr>
          <w:sz w:val="20"/>
          <w:szCs w:val="20"/>
        </w:rPr>
        <w:t xml:space="preserve"> improper removal has prevented him from applying to be an appeals court justice, serving as a university professor, and holding public office. Lastly, he maintains that domestic remedies were exhausted with the decision handed down by the Constitutional Court on his appeal, of which he received notification on March 17, 2009.</w:t>
      </w: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The State, for its part, holds that the alleged facts do not constitute human rights violations because: (i) the Inter</w:t>
      </w:r>
      <w:r w:rsidRPr="007E19B7">
        <w:rPr>
          <w:rFonts w:ascii="Cambria" w:hAnsi="Cambria"/>
          <w:sz w:val="20"/>
          <w:szCs w:val="20"/>
        </w:rPr>
        <w:noBreakHyphen/>
        <w:t xml:space="preserve">American Commission on Human Rights (IACHR) lacks competence </w:t>
      </w:r>
      <w:r w:rsidRPr="007E19B7">
        <w:rPr>
          <w:rFonts w:ascii="Cambria" w:hAnsi="Cambria"/>
          <w:i/>
          <w:sz w:val="20"/>
          <w:szCs w:val="20"/>
        </w:rPr>
        <w:t xml:space="preserve">materiae </w:t>
      </w:r>
      <w:r w:rsidRPr="007E19B7">
        <w:rPr>
          <w:rFonts w:ascii="Cambria" w:hAnsi="Cambria"/>
          <w:sz w:val="20"/>
          <w:szCs w:val="20"/>
        </w:rPr>
        <w:t xml:space="preserve">to hear cases involving violations of the right to work, as the American Convention neither provides for nor protects this right; (ii) there were not two sanctions proceedings against the petitioner for the same conduct; the finding of January 22, 2004, indicates that the records of the initial disciplinary proceedings were returned and a sanction was not imposed, thus, the proceedings are not underway as the petitioner incorrectly states; (iii) the petitioner has had the opportunity to present all remedies, memorandums, and exhibits that he wishes at judicial and administrative </w:t>
      </w:r>
      <w:r>
        <w:rPr>
          <w:rFonts w:ascii="Cambria" w:hAnsi="Cambria"/>
          <w:sz w:val="20"/>
          <w:szCs w:val="20"/>
        </w:rPr>
        <w:t>proceedings</w:t>
      </w:r>
      <w:r w:rsidRPr="007E19B7">
        <w:rPr>
          <w:rFonts w:ascii="Cambria" w:hAnsi="Cambria"/>
          <w:sz w:val="20"/>
          <w:szCs w:val="20"/>
        </w:rPr>
        <w:t xml:space="preserve">, as demonstrated by the hearing on August 19, 2003, and the petitioner’s statement in disciplinary proceedings; </w:t>
      </w:r>
      <w:r>
        <w:rPr>
          <w:rFonts w:ascii="Cambria" w:hAnsi="Cambria"/>
          <w:sz w:val="20"/>
          <w:szCs w:val="20"/>
        </w:rPr>
        <w:t xml:space="preserve">and </w:t>
      </w:r>
      <w:r w:rsidRPr="007E19B7">
        <w:rPr>
          <w:rFonts w:ascii="Cambria" w:hAnsi="Cambria"/>
          <w:sz w:val="20"/>
          <w:szCs w:val="20"/>
        </w:rPr>
        <w:t xml:space="preserve">(iv) the petitioner inappropriately seeks to have the Commission </w:t>
      </w:r>
      <w:r>
        <w:rPr>
          <w:rFonts w:ascii="Cambria" w:hAnsi="Cambria"/>
          <w:sz w:val="20"/>
          <w:szCs w:val="20"/>
        </w:rPr>
        <w:t>act as a fourth instance</w:t>
      </w:r>
      <w:r w:rsidRPr="007E19B7">
        <w:rPr>
          <w:rFonts w:ascii="Cambria" w:hAnsi="Cambria"/>
          <w:sz w:val="20"/>
          <w:szCs w:val="20"/>
        </w:rPr>
        <w:t xml:space="preserve"> </w:t>
      </w:r>
      <w:r>
        <w:rPr>
          <w:rFonts w:ascii="Cambria" w:hAnsi="Cambria"/>
          <w:sz w:val="20"/>
          <w:szCs w:val="20"/>
        </w:rPr>
        <w:t>of jurisdiction and</w:t>
      </w:r>
      <w:r w:rsidRPr="007E19B7">
        <w:rPr>
          <w:rFonts w:ascii="Cambria" w:hAnsi="Cambria"/>
          <w:sz w:val="20"/>
          <w:szCs w:val="20"/>
        </w:rPr>
        <w:t xml:space="preserve"> </w:t>
      </w:r>
      <w:r>
        <w:rPr>
          <w:rFonts w:ascii="Cambria" w:hAnsi="Cambria"/>
          <w:sz w:val="20"/>
          <w:szCs w:val="20"/>
        </w:rPr>
        <w:t>replace</w:t>
      </w:r>
      <w:r w:rsidRPr="007E19B7">
        <w:rPr>
          <w:rFonts w:ascii="Cambria" w:hAnsi="Cambria"/>
          <w:sz w:val="20"/>
          <w:szCs w:val="20"/>
        </w:rPr>
        <w:t xml:space="preserve"> </w:t>
      </w:r>
      <w:r>
        <w:rPr>
          <w:rFonts w:ascii="Cambria" w:hAnsi="Cambria"/>
          <w:sz w:val="20"/>
          <w:szCs w:val="20"/>
        </w:rPr>
        <w:t xml:space="preserve">the </w:t>
      </w:r>
      <w:r w:rsidRPr="007E19B7">
        <w:rPr>
          <w:rFonts w:ascii="Cambria" w:hAnsi="Cambria"/>
          <w:sz w:val="20"/>
          <w:szCs w:val="20"/>
        </w:rPr>
        <w:t>domestic courts’ evaluation</w:t>
      </w:r>
      <w:r>
        <w:rPr>
          <w:rFonts w:ascii="Cambria" w:hAnsi="Cambria"/>
          <w:sz w:val="20"/>
          <w:szCs w:val="20"/>
        </w:rPr>
        <w:t xml:space="preserve"> of the facts with its own</w:t>
      </w:r>
      <w:r w:rsidRPr="007E19B7">
        <w:rPr>
          <w:rFonts w:ascii="Cambria" w:hAnsi="Cambria"/>
          <w:sz w:val="20"/>
          <w:szCs w:val="20"/>
        </w:rPr>
        <w:t>.</w:t>
      </w:r>
    </w:p>
    <w:p w:rsidR="001061C4" w:rsidRPr="007E19B7" w:rsidRDefault="001061C4" w:rsidP="00D533C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The State also holds that neither the </w:t>
      </w:r>
      <w:r>
        <w:rPr>
          <w:rFonts w:ascii="Cambria" w:hAnsi="Cambria"/>
          <w:sz w:val="20"/>
          <w:szCs w:val="20"/>
        </w:rPr>
        <w:t>decisions of first and second instance</w:t>
      </w:r>
      <w:r w:rsidRPr="007E19B7">
        <w:rPr>
          <w:rFonts w:ascii="Cambria" w:hAnsi="Cambria"/>
          <w:sz w:val="20"/>
          <w:szCs w:val="20"/>
        </w:rPr>
        <w:t>, nor the Constitutional Court decisions, reflect that the petitioner mentioned in his memorandums that the CNM had provided blurry and incomplete copies of the administrative case files from disciplinary proceedings. The State considers that the petitioner cannot raise that argument if h</w:t>
      </w:r>
      <w:r>
        <w:rPr>
          <w:rFonts w:ascii="Cambria" w:hAnsi="Cambria"/>
          <w:sz w:val="20"/>
          <w:szCs w:val="20"/>
        </w:rPr>
        <w:t>e did not do so at the domestic stage</w:t>
      </w:r>
      <w:r w:rsidRPr="007E19B7">
        <w:rPr>
          <w:rFonts w:ascii="Cambria" w:hAnsi="Cambria"/>
          <w:sz w:val="20"/>
          <w:szCs w:val="20"/>
        </w:rPr>
        <w:t>. It also argues that the alleged victim has not exhausted domestic remedies, since he has not filed an administrative action against the abovementioned findings. He could have filed a new claim in administrative court. Also, as he has stated that the Office of the Public Prosecutor has a case against him, he could challenge his legal situation before that entity. Under that assumption, he has not exhausted all domestic remedies.</w:t>
      </w:r>
    </w:p>
    <w:p w:rsidR="001061C4" w:rsidRPr="007E19B7" w:rsidRDefault="001061C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sz w:val="20"/>
          <w:szCs w:val="20"/>
        </w:rPr>
      </w:pPr>
      <w:r w:rsidRPr="007E19B7">
        <w:rPr>
          <w:rFonts w:ascii="Cambria" w:hAnsi="Cambria" w:cs="Cambria"/>
          <w:b/>
          <w:bCs/>
          <w:color w:val="000000"/>
          <w:sz w:val="20"/>
          <w:szCs w:val="20"/>
          <w:u w:color="000000"/>
          <w:lang w:eastAsia="es-ES"/>
        </w:rPr>
        <w:t>VI.</w:t>
      </w:r>
      <w:r w:rsidRPr="007E19B7">
        <w:rPr>
          <w:rFonts w:ascii="Cambria" w:hAnsi="Cambria" w:cs="Cambria"/>
          <w:b/>
          <w:bCs/>
          <w:color w:val="000000"/>
          <w:sz w:val="20"/>
          <w:szCs w:val="20"/>
          <w:u w:color="000000"/>
          <w:lang w:eastAsia="es-ES"/>
        </w:rPr>
        <w:tab/>
      </w:r>
      <w:r w:rsidRPr="007E19B7">
        <w:rPr>
          <w:rFonts w:ascii="Cambria" w:hAnsi="Cambria"/>
          <w:b/>
          <w:bCs/>
          <w:sz w:val="20"/>
          <w:szCs w:val="20"/>
        </w:rPr>
        <w:t xml:space="preserve">ANALYSIS OF </w:t>
      </w:r>
      <w:r w:rsidRPr="007E19B7">
        <w:rPr>
          <w:rFonts w:ascii="Cambria" w:hAnsi="Cambria"/>
          <w:b/>
          <w:sz w:val="20"/>
          <w:szCs w:val="20"/>
        </w:rPr>
        <w:t>EXHAUSTION OF DOMESTIC REMEDIES AND TIMELINESS OF THE PETITION</w:t>
      </w:r>
      <w:r w:rsidRPr="007E19B7">
        <w:rPr>
          <w:rFonts w:ascii="Cambria" w:hAnsi="Cambria" w:cs="Cambria"/>
          <w:b/>
          <w:bCs/>
          <w:color w:val="000000"/>
          <w:sz w:val="20"/>
          <w:szCs w:val="20"/>
          <w:u w:color="000000"/>
          <w:lang w:eastAsia="es-ES"/>
        </w:rPr>
        <w:t xml:space="preserve"> </w:t>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The Commission notes the petitioner’s claim that domestic remedies were exhausted with the decision issued by the Constitutional Court on his</w:t>
      </w:r>
      <w:r>
        <w:rPr>
          <w:rFonts w:ascii="Cambria" w:hAnsi="Cambria"/>
          <w:sz w:val="20"/>
          <w:szCs w:val="20"/>
        </w:rPr>
        <w:t xml:space="preserve"> constitutional</w:t>
      </w:r>
      <w:r w:rsidRPr="007E19B7">
        <w:rPr>
          <w:rFonts w:ascii="Cambria" w:hAnsi="Cambria"/>
          <w:sz w:val="20"/>
          <w:szCs w:val="20"/>
        </w:rPr>
        <w:t xml:space="preserve"> appeal, of which he received notification on March 17, 2009. It also notes the State’s argument that domestic remedies have not been exhausted because the petitioner has not pursue</w:t>
      </w:r>
      <w:r>
        <w:rPr>
          <w:rFonts w:ascii="Cambria" w:hAnsi="Cambria"/>
          <w:sz w:val="20"/>
          <w:szCs w:val="20"/>
        </w:rPr>
        <w:t>d the contentious administrative jurisdictions</w:t>
      </w:r>
      <w:r w:rsidRPr="007E19B7">
        <w:rPr>
          <w:rFonts w:ascii="Cambria" w:hAnsi="Cambria"/>
          <w:sz w:val="20"/>
          <w:szCs w:val="20"/>
        </w:rPr>
        <w:t>, and</w:t>
      </w:r>
      <w:r>
        <w:rPr>
          <w:rFonts w:ascii="Cambria" w:hAnsi="Cambria"/>
          <w:sz w:val="20"/>
          <w:szCs w:val="20"/>
        </w:rPr>
        <w:t xml:space="preserve"> because</w:t>
      </w:r>
      <w:r w:rsidRPr="007E19B7">
        <w:rPr>
          <w:rFonts w:ascii="Cambria" w:hAnsi="Cambria"/>
          <w:sz w:val="20"/>
          <w:szCs w:val="20"/>
        </w:rPr>
        <w:t xml:space="preserve"> the Office of the Public Prosecutor’s case against him is still underway. </w:t>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The petitioner’s claims </w:t>
      </w:r>
      <w:r>
        <w:rPr>
          <w:rFonts w:ascii="Cambria" w:hAnsi="Cambria"/>
          <w:sz w:val="20"/>
          <w:szCs w:val="20"/>
        </w:rPr>
        <w:t>concern</w:t>
      </w:r>
      <w:r w:rsidRPr="007E19B7">
        <w:rPr>
          <w:rFonts w:ascii="Cambria" w:hAnsi="Cambria"/>
          <w:sz w:val="20"/>
          <w:szCs w:val="20"/>
        </w:rPr>
        <w:t xml:space="preserve"> possible violations of human and constitutional rights during the process that lead to his removal. The Commission considers that the Constitutional Court was the ideal </w:t>
      </w:r>
      <w:r>
        <w:rPr>
          <w:rFonts w:ascii="Cambria" w:hAnsi="Cambria"/>
          <w:sz w:val="20"/>
          <w:szCs w:val="20"/>
        </w:rPr>
        <w:t>venue</w:t>
      </w:r>
      <w:r w:rsidRPr="007E19B7">
        <w:rPr>
          <w:rFonts w:ascii="Cambria" w:hAnsi="Cambria"/>
          <w:sz w:val="20"/>
          <w:szCs w:val="20"/>
        </w:rPr>
        <w:t xml:space="preserve"> to resolve these claims domestically and, as such, its decision on the alleged victim’s constitutional appeal was the final one regarding his removal. The petitioner was notified of that decision on March 17, 2009, and the petition filed with the Commission was received on August 28, 2009. Accordingly, the Commission finds </w:t>
      </w:r>
      <w:r w:rsidRPr="007E19B7">
        <w:rPr>
          <w:rFonts w:ascii="Cambria" w:hAnsi="Cambria"/>
          <w:sz w:val="20"/>
          <w:szCs w:val="20"/>
        </w:rPr>
        <w:lastRenderedPageBreak/>
        <w:t>that the petition fulfills the requirement</w:t>
      </w:r>
      <w:r>
        <w:rPr>
          <w:rFonts w:ascii="Cambria" w:hAnsi="Cambria"/>
          <w:sz w:val="20"/>
          <w:szCs w:val="20"/>
        </w:rPr>
        <w:t>s provided for in Articles 46.1(a) and 46.1(b)</w:t>
      </w:r>
      <w:r w:rsidRPr="007E19B7">
        <w:rPr>
          <w:rFonts w:ascii="Cambria" w:hAnsi="Cambria"/>
          <w:sz w:val="20"/>
          <w:szCs w:val="20"/>
        </w:rPr>
        <w:t xml:space="preserve"> of the American Convention.</w:t>
      </w:r>
    </w:p>
    <w:p w:rsidR="001061C4" w:rsidRPr="007E19B7" w:rsidRDefault="001061C4" w:rsidP="00365F2E">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Regarding the claim that the petitioner failed to pursue the </w:t>
      </w:r>
      <w:r>
        <w:rPr>
          <w:rFonts w:ascii="Cambria" w:hAnsi="Cambria"/>
          <w:sz w:val="20"/>
          <w:szCs w:val="20"/>
        </w:rPr>
        <w:t>contentious administrative jurisdiction</w:t>
      </w:r>
      <w:r w:rsidRPr="007E19B7">
        <w:rPr>
          <w:rFonts w:ascii="Cambria" w:hAnsi="Cambria"/>
          <w:sz w:val="20"/>
          <w:szCs w:val="20"/>
        </w:rPr>
        <w:t xml:space="preserve">, the IACHR has previously established that the requirement to exhaust domestic remedies does not necessarily mean that alleged victims must exhaust every remedy available to them. If the alleged victim raised the issue through one of the options that was valid and appropriate according to domestic law, and the State had the opportunity to remedy the situation </w:t>
      </w:r>
      <w:r>
        <w:rPr>
          <w:rFonts w:ascii="Cambria" w:hAnsi="Cambria"/>
          <w:sz w:val="20"/>
          <w:szCs w:val="20"/>
        </w:rPr>
        <w:t>within</w:t>
      </w:r>
      <w:r w:rsidRPr="007E19B7">
        <w:rPr>
          <w:rFonts w:ascii="Cambria" w:hAnsi="Cambria"/>
          <w:sz w:val="20"/>
          <w:szCs w:val="20"/>
        </w:rPr>
        <w:t xml:space="preserve"> its jurisdiction, the purpose of the international </w:t>
      </w:r>
      <w:r>
        <w:rPr>
          <w:rFonts w:ascii="Cambria" w:hAnsi="Cambria"/>
          <w:sz w:val="20"/>
          <w:szCs w:val="20"/>
        </w:rPr>
        <w:t>rule</w:t>
      </w:r>
      <w:r w:rsidRPr="007E19B7">
        <w:rPr>
          <w:rFonts w:ascii="Cambria" w:hAnsi="Cambria"/>
          <w:sz w:val="20"/>
          <w:szCs w:val="20"/>
        </w:rPr>
        <w:t xml:space="preserve"> is fulfilled.</w:t>
      </w:r>
      <w:r w:rsidRPr="007E19B7">
        <w:rPr>
          <w:rStyle w:val="FootnoteReference"/>
          <w:sz w:val="20"/>
          <w:szCs w:val="20"/>
        </w:rPr>
        <w:footnoteReference w:id="7"/>
      </w:r>
      <w:r w:rsidRPr="007E19B7">
        <w:rPr>
          <w:rFonts w:ascii="Cambria" w:hAnsi="Cambria"/>
          <w:sz w:val="20"/>
          <w:szCs w:val="20"/>
        </w:rPr>
        <w:t xml:space="preserve"> </w:t>
      </w:r>
    </w:p>
    <w:p w:rsidR="001061C4" w:rsidRPr="007E19B7" w:rsidRDefault="001061C4" w:rsidP="00365F2E">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With respect to the claim that domestic remedies have not been exhausted in light of the criminal proceedings against the petitioner, the Commission considers that the petition solely </w:t>
      </w:r>
      <w:r>
        <w:rPr>
          <w:rFonts w:ascii="Cambria" w:hAnsi="Cambria"/>
          <w:sz w:val="20"/>
          <w:szCs w:val="20"/>
        </w:rPr>
        <w:t xml:space="preserve">alludes </w:t>
      </w:r>
      <w:r w:rsidRPr="007E19B7">
        <w:rPr>
          <w:rFonts w:ascii="Cambria" w:hAnsi="Cambria"/>
          <w:sz w:val="20"/>
          <w:szCs w:val="20"/>
        </w:rPr>
        <w:t>to alleged violations in administrative and constitutional proceedings, so it is not necessary to determine whether domestic remedies have been exhausted with regard to criminal proceedings.</w:t>
      </w:r>
    </w:p>
    <w:p w:rsidR="001061C4" w:rsidRPr="007E19B7" w:rsidRDefault="001061C4" w:rsidP="00365F2E">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The Commission notes that the parties have presented conflicting accounts as to whether the petitioner presented his arguments during domestic proceedings that the copies sent by the CNM were incomplete.</w:t>
      </w:r>
      <w:r>
        <w:rPr>
          <w:rFonts w:ascii="Cambria" w:hAnsi="Cambria"/>
          <w:sz w:val="20"/>
          <w:szCs w:val="20"/>
        </w:rPr>
        <w:t xml:space="preserve"> The Commission</w:t>
      </w:r>
      <w:r w:rsidRPr="007E19B7">
        <w:rPr>
          <w:rFonts w:ascii="Cambria" w:hAnsi="Cambria"/>
          <w:sz w:val="20"/>
          <w:szCs w:val="20"/>
        </w:rPr>
        <w:t xml:space="preserve"> will review that aspect of the dispute at the merits stage.</w:t>
      </w:r>
    </w:p>
    <w:p w:rsidR="001061C4" w:rsidRPr="007E19B7" w:rsidRDefault="001061C4" w:rsidP="00F621C3">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rPr>
      </w:pPr>
      <w:r w:rsidRPr="007E19B7">
        <w:rPr>
          <w:b/>
          <w:bCs/>
          <w:sz w:val="20"/>
          <w:szCs w:val="20"/>
        </w:rPr>
        <w:t>VII.</w:t>
      </w:r>
      <w:r w:rsidRPr="007E19B7">
        <w:rPr>
          <w:b/>
          <w:bCs/>
          <w:sz w:val="20"/>
          <w:szCs w:val="20"/>
        </w:rPr>
        <w:tab/>
        <w:t>ANALYSIS OF COLORABLE CLAIM</w:t>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The Commission notes that the instant petition includes allegations that the petitioner was sanctioned because of a disagreement with a decision he issued, infringing</w:t>
      </w:r>
      <w:r>
        <w:rPr>
          <w:rFonts w:ascii="Cambria" w:hAnsi="Cambria"/>
          <w:sz w:val="20"/>
          <w:szCs w:val="20"/>
        </w:rPr>
        <w:t xml:space="preserve"> upon his judicial independence;</w:t>
      </w:r>
      <w:r w:rsidRPr="007E19B7">
        <w:rPr>
          <w:rFonts w:ascii="Cambria" w:hAnsi="Cambria"/>
          <w:sz w:val="20"/>
          <w:szCs w:val="20"/>
        </w:rPr>
        <w:t xml:space="preserve"> that the administrative authorities, when deciding his appeal, imposed a more severe sanction than the one he was appealing, in violation of the law and their competencies</w:t>
      </w:r>
      <w:r>
        <w:rPr>
          <w:rFonts w:ascii="Cambria" w:hAnsi="Cambria"/>
          <w:sz w:val="20"/>
          <w:szCs w:val="20"/>
        </w:rPr>
        <w:t>;</w:t>
      </w:r>
      <w:r w:rsidRPr="007E19B7">
        <w:rPr>
          <w:rFonts w:ascii="Cambria" w:hAnsi="Cambria"/>
          <w:sz w:val="20"/>
          <w:szCs w:val="20"/>
        </w:rPr>
        <w:t xml:space="preserve"> and that the petitioner did not have access to </w:t>
      </w:r>
      <w:r>
        <w:rPr>
          <w:rFonts w:ascii="Cambria" w:hAnsi="Cambria"/>
          <w:sz w:val="20"/>
          <w:szCs w:val="20"/>
        </w:rPr>
        <w:t>a remedy</w:t>
      </w:r>
      <w:r w:rsidRPr="007E19B7">
        <w:rPr>
          <w:rFonts w:ascii="Cambria" w:hAnsi="Cambria"/>
          <w:sz w:val="20"/>
          <w:szCs w:val="20"/>
        </w:rPr>
        <w:t xml:space="preserve"> </w:t>
      </w:r>
      <w:r>
        <w:rPr>
          <w:rFonts w:ascii="Cambria" w:hAnsi="Cambria"/>
          <w:sz w:val="20"/>
          <w:szCs w:val="20"/>
        </w:rPr>
        <w:t>through which</w:t>
      </w:r>
      <w:r w:rsidRPr="007E19B7">
        <w:rPr>
          <w:rFonts w:ascii="Cambria" w:hAnsi="Cambria"/>
          <w:sz w:val="20"/>
          <w:szCs w:val="20"/>
        </w:rPr>
        <w:t xml:space="preserve"> judicial authorities</w:t>
      </w:r>
      <w:r>
        <w:rPr>
          <w:rFonts w:ascii="Cambria" w:hAnsi="Cambria"/>
          <w:sz w:val="20"/>
          <w:szCs w:val="20"/>
        </w:rPr>
        <w:t xml:space="preserve"> would</w:t>
      </w:r>
      <w:r w:rsidRPr="007E19B7">
        <w:rPr>
          <w:rFonts w:ascii="Cambria" w:hAnsi="Cambria"/>
          <w:sz w:val="20"/>
          <w:szCs w:val="20"/>
        </w:rPr>
        <w:t xml:space="preserve"> review a possible violation of his judicial independence and right to due process.</w:t>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Given the nature of the allegations, the Commission should note that it has already found that “under international law, the grounds for disciplinary investigation and sanctions imposed on a judge should never be a legal opinion or judgment he or she wrote in a decision”.</w:t>
      </w:r>
      <w:r w:rsidRPr="007E19B7">
        <w:rPr>
          <w:rStyle w:val="FootnoteReference"/>
          <w:rFonts w:ascii="Cambria" w:hAnsi="Cambria"/>
          <w:sz w:val="20"/>
          <w:szCs w:val="20"/>
        </w:rPr>
        <w:t xml:space="preserve"> </w:t>
      </w:r>
      <w:r w:rsidRPr="007E19B7">
        <w:rPr>
          <w:rStyle w:val="FootnoteReference"/>
          <w:rFonts w:ascii="Cambria" w:hAnsi="Cambria"/>
          <w:sz w:val="20"/>
          <w:szCs w:val="20"/>
        </w:rPr>
        <w:footnoteReference w:id="8"/>
      </w:r>
      <w:r w:rsidRPr="007E19B7">
        <w:rPr>
          <w:rFonts w:ascii="Cambria" w:hAnsi="Cambria"/>
          <w:sz w:val="20"/>
          <w:szCs w:val="20"/>
        </w:rPr>
        <w:t xml:space="preserve"> It has also expressed that “in their disciplinary systems, States must provide a possibility to have a decision reviewed by a higher body, which will examine the facts of the case and the law, in order to assure a suitable and effective judicial recourse against possible violations of rights that happened during the disciplinary process.”</w:t>
      </w:r>
      <w:r w:rsidRPr="007E19B7">
        <w:rPr>
          <w:rStyle w:val="FootnoteReference"/>
          <w:rFonts w:ascii="Cambria" w:hAnsi="Cambria"/>
          <w:sz w:val="20"/>
          <w:szCs w:val="20"/>
        </w:rPr>
        <w:footnoteReference w:id="9"/>
      </w:r>
      <w:r w:rsidRPr="007E19B7">
        <w:rPr>
          <w:rFonts w:ascii="Cambria" w:hAnsi="Cambria"/>
          <w:sz w:val="20"/>
          <w:szCs w:val="20"/>
        </w:rPr>
        <w:t xml:space="preserve"> Likewise, the Inter</w:t>
      </w:r>
      <w:r w:rsidRPr="007E19B7">
        <w:rPr>
          <w:rFonts w:ascii="Cambria" w:hAnsi="Cambria"/>
          <w:sz w:val="20"/>
          <w:szCs w:val="20"/>
        </w:rPr>
        <w:noBreakHyphen/>
        <w:t>American Court has determined that “when a judge’s tenure is affected in an arbitrary manner, the right to judicial independence enshrined in Article 8(1) of the American Convention is violated, in conjunction with the right to access and remain in public office, on general terms of equality, established in Article 23(1)(C) of the American Convention.”</w:t>
      </w:r>
      <w:r w:rsidRPr="007E19B7">
        <w:rPr>
          <w:rStyle w:val="FootnoteReference"/>
          <w:rFonts w:ascii="Cambria" w:hAnsi="Cambria"/>
          <w:sz w:val="20"/>
          <w:szCs w:val="20"/>
        </w:rPr>
        <w:footnoteReference w:id="10"/>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In light of these considerations, and </w:t>
      </w:r>
      <w:r>
        <w:rPr>
          <w:rFonts w:ascii="Cambria" w:hAnsi="Cambria"/>
          <w:sz w:val="20"/>
          <w:szCs w:val="20"/>
        </w:rPr>
        <w:t>after</w:t>
      </w:r>
      <w:r w:rsidRPr="007E19B7">
        <w:rPr>
          <w:rFonts w:ascii="Cambria" w:hAnsi="Cambria"/>
          <w:sz w:val="20"/>
          <w:szCs w:val="20"/>
        </w:rPr>
        <w:t xml:space="preserve"> examining the factual and legal elements presented by the parties, the </w:t>
      </w:r>
      <w:r>
        <w:rPr>
          <w:rFonts w:ascii="Cambria" w:hAnsi="Cambria"/>
          <w:sz w:val="20"/>
          <w:szCs w:val="20"/>
        </w:rPr>
        <w:t>Commission</w:t>
      </w:r>
      <w:r w:rsidRPr="007E19B7">
        <w:rPr>
          <w:rFonts w:ascii="Cambria" w:hAnsi="Cambria"/>
          <w:sz w:val="20"/>
          <w:szCs w:val="20"/>
        </w:rPr>
        <w:t xml:space="preserve"> finds that the petitioner’s allegations are not manifestly unfounded and require a study of the merits, given that, if the alleged facts were </w:t>
      </w:r>
      <w:r>
        <w:rPr>
          <w:rFonts w:ascii="Cambria" w:hAnsi="Cambria"/>
          <w:sz w:val="20"/>
          <w:szCs w:val="20"/>
        </w:rPr>
        <w:t>proven true</w:t>
      </w:r>
      <w:r w:rsidRPr="007E19B7">
        <w:rPr>
          <w:rFonts w:ascii="Cambria" w:hAnsi="Cambria"/>
          <w:sz w:val="20"/>
          <w:szCs w:val="20"/>
        </w:rPr>
        <w:t>, they could amount to violations of Articles 8 (</w:t>
      </w:r>
      <w:r>
        <w:rPr>
          <w:rFonts w:ascii="Cambria" w:hAnsi="Cambria"/>
          <w:sz w:val="20"/>
          <w:szCs w:val="20"/>
        </w:rPr>
        <w:t>right to a fair trial), 23 (right to participate in g</w:t>
      </w:r>
      <w:r w:rsidRPr="007E19B7">
        <w:rPr>
          <w:rFonts w:ascii="Cambria" w:hAnsi="Cambria"/>
          <w:sz w:val="20"/>
          <w:szCs w:val="20"/>
        </w:rPr>
        <w:t>overnment), 25 (</w:t>
      </w:r>
      <w:r>
        <w:rPr>
          <w:rFonts w:ascii="Cambria" w:hAnsi="Cambria"/>
          <w:sz w:val="20"/>
          <w:szCs w:val="20"/>
        </w:rPr>
        <w:t>right to judicial protection</w:t>
      </w:r>
      <w:r w:rsidRPr="007E19B7">
        <w:rPr>
          <w:rFonts w:ascii="Cambria" w:hAnsi="Cambria"/>
          <w:sz w:val="20"/>
          <w:szCs w:val="20"/>
        </w:rPr>
        <w:t>), and 26 (</w:t>
      </w:r>
      <w:r>
        <w:rPr>
          <w:rFonts w:ascii="Cambria" w:hAnsi="Cambria"/>
          <w:sz w:val="20"/>
          <w:szCs w:val="20"/>
        </w:rPr>
        <w:t>economic, social, and cultural rights</w:t>
      </w:r>
      <w:r w:rsidRPr="007E19B7">
        <w:rPr>
          <w:rFonts w:ascii="Cambria" w:hAnsi="Cambria"/>
          <w:sz w:val="20"/>
          <w:szCs w:val="20"/>
        </w:rPr>
        <w:t>) of the American Convention</w:t>
      </w:r>
      <w:r>
        <w:rPr>
          <w:rFonts w:ascii="Cambria" w:hAnsi="Cambria"/>
          <w:sz w:val="20"/>
          <w:szCs w:val="20"/>
        </w:rPr>
        <w:t>, in relation to Articles 1.1 (o</w:t>
      </w:r>
      <w:r w:rsidRPr="007E19B7">
        <w:rPr>
          <w:rFonts w:ascii="Cambria" w:hAnsi="Cambria"/>
          <w:sz w:val="20"/>
          <w:szCs w:val="20"/>
        </w:rPr>
        <w:t>b</w:t>
      </w:r>
      <w:r>
        <w:rPr>
          <w:rFonts w:ascii="Cambria" w:hAnsi="Cambria"/>
          <w:sz w:val="20"/>
          <w:szCs w:val="20"/>
        </w:rPr>
        <w:t>ligation to respect rights) and 2 (domestic legal e</w:t>
      </w:r>
      <w:r w:rsidRPr="007E19B7">
        <w:rPr>
          <w:rFonts w:ascii="Cambria" w:hAnsi="Cambria"/>
          <w:sz w:val="20"/>
          <w:szCs w:val="20"/>
        </w:rPr>
        <w:t>ffects)</w:t>
      </w:r>
      <w:r>
        <w:rPr>
          <w:rFonts w:ascii="Cambria" w:hAnsi="Cambria"/>
          <w:sz w:val="20"/>
          <w:szCs w:val="20"/>
        </w:rPr>
        <w:t xml:space="preserve"> thereof</w:t>
      </w:r>
      <w:r w:rsidRPr="007E19B7">
        <w:rPr>
          <w:rFonts w:ascii="Cambria" w:hAnsi="Cambria"/>
          <w:sz w:val="20"/>
          <w:szCs w:val="20"/>
        </w:rPr>
        <w:t>.</w:t>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szCs w:val="20"/>
        </w:rPr>
        <w:t>As for</w:t>
      </w:r>
      <w:r w:rsidRPr="007E19B7">
        <w:rPr>
          <w:rFonts w:ascii="Cambria" w:hAnsi="Cambria"/>
          <w:sz w:val="20"/>
          <w:szCs w:val="20"/>
        </w:rPr>
        <w:t xml:space="preserve"> the arguments on violations of the American Declaration</w:t>
      </w:r>
      <w:r>
        <w:rPr>
          <w:rFonts w:ascii="Cambria" w:hAnsi="Cambria"/>
          <w:sz w:val="20"/>
          <w:szCs w:val="20"/>
        </w:rPr>
        <w:t>, the Inter</w:t>
      </w:r>
      <w:r>
        <w:rPr>
          <w:rFonts w:ascii="Cambria" w:hAnsi="Cambria"/>
          <w:sz w:val="20"/>
          <w:szCs w:val="20"/>
        </w:rPr>
        <w:noBreakHyphen/>
        <w:t>American Commission</w:t>
      </w:r>
      <w:r w:rsidRPr="007E19B7">
        <w:rPr>
          <w:rFonts w:ascii="Cambria" w:hAnsi="Cambria"/>
          <w:sz w:val="20"/>
          <w:szCs w:val="20"/>
        </w:rPr>
        <w:t xml:space="preserve"> has previously established that, once the American Convention </w:t>
      </w:r>
      <w:r>
        <w:rPr>
          <w:rFonts w:ascii="Cambria" w:hAnsi="Cambria"/>
          <w:sz w:val="20"/>
          <w:szCs w:val="20"/>
        </w:rPr>
        <w:t>becomes effective</w:t>
      </w:r>
      <w:r w:rsidRPr="007E19B7">
        <w:rPr>
          <w:rFonts w:ascii="Cambria" w:hAnsi="Cambria"/>
          <w:sz w:val="20"/>
          <w:szCs w:val="20"/>
        </w:rPr>
        <w:t xml:space="preserve"> in relation to a State, </w:t>
      </w:r>
      <w:r>
        <w:rPr>
          <w:rFonts w:ascii="Cambria" w:hAnsi="Cambria"/>
          <w:sz w:val="20"/>
          <w:szCs w:val="20"/>
        </w:rPr>
        <w:t>it is this, and not the Declaration, that</w:t>
      </w:r>
      <w:r w:rsidRPr="007E19B7">
        <w:rPr>
          <w:rFonts w:ascii="Cambria" w:hAnsi="Cambria"/>
          <w:sz w:val="20"/>
          <w:szCs w:val="20"/>
        </w:rPr>
        <w:t xml:space="preserve"> becomes the primary source of </w:t>
      </w:r>
      <w:r>
        <w:rPr>
          <w:rFonts w:ascii="Cambria" w:hAnsi="Cambria"/>
          <w:sz w:val="20"/>
          <w:szCs w:val="20"/>
        </w:rPr>
        <w:t>law applicable by the Commission</w:t>
      </w:r>
      <w:r w:rsidRPr="007E19B7">
        <w:rPr>
          <w:rFonts w:ascii="Cambria" w:hAnsi="Cambria"/>
          <w:sz w:val="20"/>
          <w:szCs w:val="20"/>
        </w:rPr>
        <w:t xml:space="preserve">, </w:t>
      </w:r>
      <w:r w:rsidRPr="007E19B7">
        <w:rPr>
          <w:rFonts w:ascii="Cambria" w:hAnsi="Cambria"/>
          <w:sz w:val="20"/>
          <w:szCs w:val="20"/>
        </w:rPr>
        <w:lastRenderedPageBreak/>
        <w:t xml:space="preserve">provided that the petition </w:t>
      </w:r>
      <w:r>
        <w:rPr>
          <w:rFonts w:ascii="Cambria" w:hAnsi="Cambria"/>
          <w:sz w:val="20"/>
          <w:szCs w:val="20"/>
        </w:rPr>
        <w:t>concerns an</w:t>
      </w:r>
      <w:r w:rsidRPr="007E19B7">
        <w:rPr>
          <w:rFonts w:ascii="Cambria" w:hAnsi="Cambria"/>
          <w:sz w:val="20"/>
          <w:szCs w:val="20"/>
        </w:rPr>
        <w:t xml:space="preserve"> alleged violation of identical rights </w:t>
      </w:r>
      <w:r>
        <w:rPr>
          <w:rFonts w:ascii="Cambria" w:hAnsi="Cambria"/>
          <w:sz w:val="20"/>
          <w:szCs w:val="20"/>
        </w:rPr>
        <w:t>set forth in</w:t>
      </w:r>
      <w:r w:rsidRPr="007E19B7">
        <w:rPr>
          <w:rFonts w:ascii="Cambria" w:hAnsi="Cambria"/>
          <w:sz w:val="20"/>
          <w:szCs w:val="20"/>
        </w:rPr>
        <w:t xml:space="preserve"> both instruments and </w:t>
      </w:r>
      <w:r>
        <w:rPr>
          <w:rFonts w:ascii="Cambria" w:hAnsi="Cambria"/>
          <w:sz w:val="20"/>
          <w:szCs w:val="20"/>
        </w:rPr>
        <w:t>is not an ongoing violation</w:t>
      </w:r>
      <w:r w:rsidRPr="007E19B7">
        <w:rPr>
          <w:rFonts w:ascii="Cambria" w:hAnsi="Cambria"/>
          <w:sz w:val="20"/>
          <w:szCs w:val="20"/>
        </w:rPr>
        <w:t>. The alleged violations of Article XVIII (</w:t>
      </w:r>
      <w:r>
        <w:rPr>
          <w:rFonts w:ascii="Cambria" w:hAnsi="Cambria"/>
          <w:sz w:val="20"/>
          <w:szCs w:val="20"/>
        </w:rPr>
        <w:t>right to a fair trial</w:t>
      </w:r>
      <w:r w:rsidRPr="007E19B7">
        <w:rPr>
          <w:rFonts w:ascii="Cambria" w:hAnsi="Cambria"/>
          <w:sz w:val="20"/>
          <w:szCs w:val="20"/>
        </w:rPr>
        <w:t xml:space="preserve">) of the American Declaration do not fall outside of the scope of protection of Articles 8 and 25 of the American Convention, so the Commission will examine the </w:t>
      </w:r>
      <w:r>
        <w:rPr>
          <w:rFonts w:ascii="Cambria" w:hAnsi="Cambria"/>
          <w:sz w:val="20"/>
          <w:szCs w:val="20"/>
        </w:rPr>
        <w:t>pleadings</w:t>
      </w:r>
      <w:r w:rsidRPr="007E19B7">
        <w:rPr>
          <w:rFonts w:ascii="Cambria" w:hAnsi="Cambria"/>
          <w:sz w:val="20"/>
          <w:szCs w:val="20"/>
        </w:rPr>
        <w:t xml:space="preserve"> </w:t>
      </w:r>
      <w:r>
        <w:rPr>
          <w:rFonts w:ascii="Cambria" w:hAnsi="Cambria"/>
          <w:sz w:val="20"/>
          <w:szCs w:val="20"/>
        </w:rPr>
        <w:t>in light of</w:t>
      </w:r>
      <w:r w:rsidRPr="007E19B7">
        <w:rPr>
          <w:rFonts w:ascii="Cambria" w:hAnsi="Cambria"/>
          <w:sz w:val="20"/>
          <w:szCs w:val="20"/>
        </w:rPr>
        <w:t xml:space="preserve"> these articles.</w:t>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With respect to the alleged violations of the International Covenant on Civil and Political Rights, the Commission lacks competence to determine violations of this treaty, notwithstanding which it may take it into account as part of its interpretative exerci</w:t>
      </w:r>
      <w:r>
        <w:rPr>
          <w:rFonts w:ascii="Cambria" w:hAnsi="Cambria"/>
          <w:sz w:val="20"/>
          <w:szCs w:val="20"/>
        </w:rPr>
        <w:t>se of the American Convention at</w:t>
      </w:r>
      <w:r w:rsidRPr="007E19B7">
        <w:rPr>
          <w:rFonts w:ascii="Cambria" w:hAnsi="Cambria"/>
          <w:sz w:val="20"/>
          <w:szCs w:val="20"/>
        </w:rPr>
        <w:t xml:space="preserve"> the merits stage of the instant case, pursuant to Article 29 of the Convention.</w:t>
      </w:r>
    </w:p>
    <w:p w:rsidR="001061C4" w:rsidRPr="007E19B7" w:rsidRDefault="001061C4" w:rsidP="00F621C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7E19B7">
        <w:rPr>
          <w:rFonts w:ascii="Cambria" w:hAnsi="Cambria"/>
          <w:sz w:val="20"/>
          <w:szCs w:val="20"/>
        </w:rPr>
        <w:t xml:space="preserve">Lastly, regarding the State’s argument on the </w:t>
      </w:r>
      <w:r>
        <w:rPr>
          <w:rFonts w:ascii="Cambria" w:hAnsi="Cambria"/>
          <w:sz w:val="20"/>
          <w:szCs w:val="20"/>
        </w:rPr>
        <w:t>“fourth instance formula,”</w:t>
      </w:r>
      <w:r w:rsidRPr="007E19B7">
        <w:rPr>
          <w:rFonts w:ascii="Cambria" w:hAnsi="Cambria"/>
          <w:sz w:val="20"/>
          <w:szCs w:val="20"/>
        </w:rPr>
        <w:t xml:space="preserve"> the Commission notes that, in admitting this petition, it does not intent to </w:t>
      </w:r>
      <w:r>
        <w:rPr>
          <w:rFonts w:ascii="Cambria" w:hAnsi="Cambria"/>
          <w:sz w:val="20"/>
          <w:szCs w:val="20"/>
        </w:rPr>
        <w:t>replace</w:t>
      </w:r>
      <w:r w:rsidRPr="007E19B7">
        <w:rPr>
          <w:rFonts w:ascii="Cambria" w:hAnsi="Cambria"/>
          <w:sz w:val="20"/>
          <w:szCs w:val="20"/>
        </w:rPr>
        <w:t xml:space="preserve"> the competence of domestic judicial authorit</w:t>
      </w:r>
      <w:r>
        <w:rPr>
          <w:rFonts w:ascii="Cambria" w:hAnsi="Cambria"/>
          <w:sz w:val="20"/>
          <w:szCs w:val="20"/>
        </w:rPr>
        <w:t>ies. Instead, it will examine at</w:t>
      </w:r>
      <w:r w:rsidRPr="007E19B7">
        <w:rPr>
          <w:rFonts w:ascii="Cambria" w:hAnsi="Cambria"/>
          <w:sz w:val="20"/>
          <w:szCs w:val="20"/>
        </w:rPr>
        <w:t xml:space="preserve"> the merits stage of the instant petition whether domestic judicial proceedings respected the rights to due process and judicial protection and properly ensured access to justice for the alleged victim in accordance with the American Convention.</w:t>
      </w:r>
    </w:p>
    <w:p w:rsidR="001061C4" w:rsidRPr="007E19B7" w:rsidRDefault="001061C4" w:rsidP="00F621C3">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rPr>
      </w:pPr>
      <w:r w:rsidRPr="007E19B7">
        <w:rPr>
          <w:b/>
          <w:bCs/>
          <w:sz w:val="20"/>
          <w:szCs w:val="20"/>
        </w:rPr>
        <w:t xml:space="preserve">VIII. </w:t>
      </w:r>
      <w:r w:rsidRPr="007E19B7">
        <w:rPr>
          <w:b/>
          <w:bCs/>
          <w:sz w:val="20"/>
          <w:szCs w:val="20"/>
        </w:rPr>
        <w:tab/>
        <w:t>DECISION</w:t>
      </w:r>
    </w:p>
    <w:p w:rsidR="001061C4" w:rsidRPr="007E19B7" w:rsidRDefault="001061C4" w:rsidP="00F621C3">
      <w:pPr>
        <w:pStyle w:val="ListParagraph"/>
        <w:numPr>
          <w:ilvl w:val="0"/>
          <w:numId w:val="105"/>
        </w:numPr>
        <w:pBdr>
          <w:top w:val="none" w:sz="0" w:space="0" w:color="auto"/>
          <w:left w:val="none" w:sz="0" w:space="0" w:color="auto"/>
          <w:bottom w:val="none" w:sz="0" w:space="0" w:color="auto"/>
          <w:right w:val="none" w:sz="0" w:space="0" w:color="auto"/>
          <w:bar w:val="none" w:sz="0" w:color="auto"/>
        </w:pBdr>
        <w:ind w:left="0"/>
        <w:rPr>
          <w:rFonts w:cs="Times New Roman"/>
          <w:color w:val="auto"/>
          <w:sz w:val="20"/>
          <w:szCs w:val="20"/>
          <w:lang w:eastAsia="en-US"/>
        </w:rPr>
      </w:pPr>
      <w:r w:rsidRPr="007E19B7">
        <w:rPr>
          <w:sz w:val="20"/>
          <w:szCs w:val="20"/>
        </w:rPr>
        <w:t>To find the instant petition admissible</w:t>
      </w:r>
      <w:r w:rsidRPr="007E19B7">
        <w:rPr>
          <w:color w:val="FF0000"/>
          <w:sz w:val="20"/>
          <w:szCs w:val="20"/>
        </w:rPr>
        <w:t xml:space="preserve"> </w:t>
      </w:r>
      <w:r w:rsidRPr="007E19B7">
        <w:rPr>
          <w:sz w:val="20"/>
          <w:szCs w:val="20"/>
        </w:rPr>
        <w:t xml:space="preserve">in relation to Articles </w:t>
      </w:r>
      <w:r w:rsidRPr="007E19B7">
        <w:rPr>
          <w:rFonts w:cs="Times New Roman"/>
          <w:color w:val="auto"/>
          <w:sz w:val="20"/>
          <w:szCs w:val="20"/>
          <w:lang w:eastAsia="en-US"/>
        </w:rPr>
        <w:t>8, 23, 25, and 26 of the American Convention, in relation to Articles 1.1 and 2; and</w:t>
      </w:r>
    </w:p>
    <w:p w:rsidR="001061C4" w:rsidRPr="007E19B7" w:rsidRDefault="001061C4" w:rsidP="00F621C3">
      <w:pPr>
        <w:pStyle w:val="ListParagraph"/>
        <w:pBdr>
          <w:top w:val="none" w:sz="0" w:space="0" w:color="auto"/>
          <w:left w:val="none" w:sz="0" w:space="0" w:color="auto"/>
          <w:bottom w:val="none" w:sz="0" w:space="0" w:color="auto"/>
          <w:right w:val="none" w:sz="0" w:space="0" w:color="auto"/>
          <w:bar w:val="none" w:sz="0" w:color="auto"/>
        </w:pBdr>
        <w:rPr>
          <w:rFonts w:cs="Times New Roman"/>
          <w:color w:val="auto"/>
          <w:sz w:val="20"/>
          <w:szCs w:val="20"/>
          <w:lang w:eastAsia="en-US"/>
        </w:rPr>
      </w:pPr>
    </w:p>
    <w:p w:rsidR="00690AA5" w:rsidRPr="00690AA5" w:rsidRDefault="001061C4" w:rsidP="00652E3C">
      <w:pPr>
        <w:numPr>
          <w:ilvl w:val="0"/>
          <w:numId w:val="10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pacing w:val="-2"/>
          <w:sz w:val="20"/>
        </w:rPr>
      </w:pPr>
      <w:r w:rsidRPr="00690AA5">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rsidR="00690AA5" w:rsidRPr="00690AA5" w:rsidRDefault="00690AA5" w:rsidP="00690AA5">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pacing w:val="-2"/>
          <w:sz w:val="20"/>
        </w:rPr>
      </w:pPr>
      <w:r>
        <w:rPr>
          <w:rFonts w:ascii="Cambria" w:hAnsi="Cambria"/>
          <w:spacing w:val="-2"/>
          <w:sz w:val="20"/>
        </w:rPr>
        <w:tab/>
      </w:r>
      <w:r w:rsidRPr="00690AA5">
        <w:rPr>
          <w:rFonts w:ascii="Cambria" w:hAnsi="Cambria"/>
          <w:spacing w:val="-2"/>
          <w:sz w:val="20"/>
        </w:rPr>
        <w:t xml:space="preserve">Approved by the Inter-American Commission on Human Rights on the </w:t>
      </w:r>
      <w:r>
        <w:rPr>
          <w:rFonts w:ascii="Cambria" w:hAnsi="Cambria"/>
          <w:spacing w:val="-2"/>
          <w:sz w:val="20"/>
        </w:rPr>
        <w:t>24</w:t>
      </w:r>
      <w:r w:rsidRPr="00690AA5">
        <w:rPr>
          <w:rFonts w:ascii="Cambria" w:hAnsi="Cambria"/>
          <w:spacing w:val="-2"/>
          <w:sz w:val="20"/>
          <w:vertAlign w:val="superscript"/>
        </w:rPr>
        <w:t>th</w:t>
      </w:r>
      <w:r>
        <w:rPr>
          <w:rFonts w:ascii="Cambria" w:hAnsi="Cambria"/>
          <w:spacing w:val="-2"/>
          <w:sz w:val="20"/>
        </w:rPr>
        <w:t xml:space="preserve"> </w:t>
      </w:r>
      <w:r w:rsidRPr="00690AA5">
        <w:rPr>
          <w:rFonts w:ascii="Cambria" w:hAnsi="Cambria"/>
          <w:spacing w:val="-2"/>
          <w:sz w:val="20"/>
        </w:rPr>
        <w:t xml:space="preserve">day of the month of </w:t>
      </w:r>
      <w:r>
        <w:rPr>
          <w:rFonts w:ascii="Cambria" w:hAnsi="Cambria"/>
          <w:spacing w:val="-2"/>
          <w:sz w:val="20"/>
        </w:rPr>
        <w:t>April</w:t>
      </w:r>
      <w:r w:rsidRPr="00690AA5">
        <w:rPr>
          <w:rFonts w:ascii="Cambria" w:hAnsi="Cambria"/>
          <w:spacing w:val="-2"/>
          <w:sz w:val="20"/>
        </w:rPr>
        <w:t xml:space="preserve">, 2020. (Signed):  </w:t>
      </w:r>
      <w:r w:rsidRPr="00690AA5">
        <w:rPr>
          <w:rFonts w:asciiTheme="majorHAnsi" w:hAnsiTheme="majorHAnsi" w:cs="Arial"/>
          <w:noProof/>
          <w:spacing w:val="-2"/>
          <w:sz w:val="20"/>
          <w:szCs w:val="20"/>
        </w:rPr>
        <w:t xml:space="preserve">Joel Hernández, President; Antonia Urrejola, First Vice President; Flávia Piovesan, Second Vice President; Margarette May Macaulay, Esmeralda E. Arosemena Bernal de Troitiño, and Stuardo Ralón Orellana, </w:t>
      </w:r>
      <w:r w:rsidRPr="00690AA5">
        <w:rPr>
          <w:rFonts w:ascii="Cambria" w:hAnsi="Cambria"/>
          <w:spacing w:val="-2"/>
          <w:sz w:val="20"/>
        </w:rPr>
        <w:t>Commissioners.</w:t>
      </w:r>
    </w:p>
    <w:p w:rsidR="001061C4" w:rsidRPr="007E19B7" w:rsidRDefault="001061C4" w:rsidP="00F621C3">
      <w:pPr>
        <w:pStyle w:val="ListParagraph"/>
        <w:pBdr>
          <w:top w:val="none" w:sz="0" w:space="0" w:color="auto"/>
          <w:left w:val="none" w:sz="0" w:space="0" w:color="auto"/>
          <w:bottom w:val="none" w:sz="0" w:space="0" w:color="auto"/>
          <w:right w:val="none" w:sz="0" w:space="0" w:color="auto"/>
          <w:bar w:val="none" w:sz="0" w:color="auto"/>
        </w:pBdr>
        <w:suppressAutoHyphens/>
        <w:spacing w:before="240" w:after="240"/>
        <w:jc w:val="both"/>
        <w:rPr>
          <w:sz w:val="20"/>
          <w:szCs w:val="20"/>
        </w:rPr>
      </w:pPr>
    </w:p>
    <w:sectPr w:rsidR="001061C4" w:rsidRPr="007E19B7" w:rsidSect="00F621C3">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9E" w:rsidRDefault="0095029E"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5029E" w:rsidRDefault="0095029E"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29" w:rsidRDefault="00486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C4" w:rsidRPr="006311DA" w:rsidRDefault="001061C4">
    <w:pPr>
      <w:pStyle w:val="Footer"/>
      <w:pBdr>
        <w:top w:val="none" w:sz="0" w:space="0" w:color="auto"/>
        <w:left w:val="none" w:sz="0" w:space="0" w:color="auto"/>
        <w:bottom w:val="none" w:sz="0" w:space="0" w:color="auto"/>
        <w:right w:val="none" w:sz="0" w:space="0" w:color="auto"/>
        <w:bar w:val="none" w:sz="0" w:color="auto"/>
      </w:pBd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86629">
      <w:rPr>
        <w:noProof/>
        <w:sz w:val="16"/>
      </w:rPr>
      <w:t>1</w:t>
    </w:r>
    <w:r w:rsidRPr="006311DA">
      <w:rPr>
        <w:sz w:val="16"/>
      </w:rPr>
      <w:fldChar w:fldCharType="end"/>
    </w:r>
  </w:p>
  <w:p w:rsidR="001061C4" w:rsidRDefault="001061C4">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C4" w:rsidRDefault="001061C4">
    <w:pPr>
      <w:pStyle w:val="Footer"/>
      <w:pBdr>
        <w:top w:val="none" w:sz="0" w:space="0" w:color="auto"/>
        <w:left w:val="none" w:sz="0" w:space="0" w:color="auto"/>
        <w:bottom w:val="none" w:sz="0" w:space="0" w:color="auto"/>
        <w:right w:val="none" w:sz="0" w:space="0" w:color="auto"/>
        <w:bar w:val="none" w:sz="0" w:color="auto"/>
      </w:pBdr>
      <w:jc w:val="center"/>
    </w:pPr>
  </w:p>
  <w:p w:rsidR="001061C4" w:rsidRDefault="001061C4">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9E" w:rsidRPr="00036A8A" w:rsidRDefault="0095029E"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rsidR="0095029E" w:rsidRPr="00036A8A" w:rsidRDefault="0095029E"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rsidR="0095029E" w:rsidRPr="00036A8A" w:rsidRDefault="0095029E"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proofErr w:type="gramStart"/>
      <w:r>
        <w:rPr>
          <w:sz w:val="16"/>
          <w:szCs w:val="16"/>
        </w:rPr>
        <w:t>c</w:t>
      </w:r>
      <w:r w:rsidRPr="00036A8A">
        <w:rPr>
          <w:sz w:val="16"/>
          <w:szCs w:val="16"/>
        </w:rPr>
        <w:t>ontinuation</w:t>
      </w:r>
      <w:proofErr w:type="gramEnd"/>
      <w:r>
        <w:rPr>
          <w:sz w:val="16"/>
          <w:szCs w:val="16"/>
        </w:rPr>
        <w:t>]</w:t>
      </w:r>
    </w:p>
  </w:footnote>
  <w:footnote w:type="continuationNotice" w:id="1">
    <w:p w:rsidR="0095029E" w:rsidRPr="0093441A" w:rsidRDefault="0095029E"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proofErr w:type="gramStart"/>
      <w:r w:rsidRPr="0093441A">
        <w:rPr>
          <w:rFonts w:ascii="Cambria" w:hAnsi="Cambria"/>
          <w:sz w:val="16"/>
          <w:szCs w:val="16"/>
        </w:rPr>
        <w:t>contin</w:t>
      </w:r>
      <w:r>
        <w:rPr>
          <w:rFonts w:ascii="Cambria" w:hAnsi="Cambria"/>
          <w:sz w:val="16"/>
          <w:szCs w:val="16"/>
        </w:rPr>
        <w:t>ues</w:t>
      </w:r>
      <w:proofErr w:type="gramEnd"/>
      <w:r>
        <w:rPr>
          <w:rFonts w:ascii="Cambria" w:hAnsi="Cambria"/>
          <w:sz w:val="16"/>
          <w:szCs w:val="16"/>
        </w:rPr>
        <w:t xml:space="preserve"> </w:t>
      </w:r>
      <w:r w:rsidRPr="0093441A">
        <w:rPr>
          <w:rFonts w:ascii="Cambria" w:hAnsi="Cambria"/>
          <w:sz w:val="16"/>
          <w:szCs w:val="16"/>
        </w:rPr>
        <w:t>…</w:t>
      </w:r>
      <w:r>
        <w:rPr>
          <w:rFonts w:ascii="Cambria" w:hAnsi="Cambria"/>
          <w:sz w:val="16"/>
          <w:szCs w:val="16"/>
        </w:rPr>
        <w:t>]</w:t>
      </w:r>
    </w:p>
  </w:footnote>
  <w:footnote w:id="2">
    <w:p w:rsidR="001061C4" w:rsidRDefault="001061C4" w:rsidP="00BC6AE2">
      <w:pPr>
        <w:pStyle w:val="FootnoteText"/>
        <w:pBdr>
          <w:top w:val="none" w:sz="0" w:space="0" w:color="auto"/>
          <w:left w:val="none" w:sz="0" w:space="0" w:color="auto"/>
          <w:bottom w:val="none" w:sz="0" w:space="0" w:color="auto"/>
          <w:right w:val="none" w:sz="0" w:space="0" w:color="auto"/>
          <w:bar w:val="none" w:sz="0" w:color="auto"/>
        </w:pBdr>
        <w:jc w:val="both"/>
      </w:pPr>
      <w:r w:rsidRPr="00C2622B">
        <w:rPr>
          <w:rStyle w:val="FootnoteReference"/>
          <w:rFonts w:ascii="Cambria" w:hAnsi="Cambria"/>
          <w:sz w:val="16"/>
          <w:szCs w:val="16"/>
        </w:rPr>
        <w:footnoteRef/>
      </w:r>
      <w:r w:rsidRPr="00C2622B">
        <w:rPr>
          <w:rFonts w:ascii="Cambria" w:hAnsi="Cambria"/>
          <w:sz w:val="16"/>
          <w:szCs w:val="16"/>
        </w:rPr>
        <w:t xml:space="preserve"> In</w:t>
      </w:r>
      <w:r>
        <w:rPr>
          <w:rFonts w:ascii="Cambria" w:hAnsi="Cambria"/>
          <w:sz w:val="16"/>
          <w:szCs w:val="16"/>
        </w:rPr>
        <w:t xml:space="preserve"> accordance with Article 17.2.</w:t>
      </w:r>
      <w:proofErr w:type="spellStart"/>
      <w:r>
        <w:rPr>
          <w:rFonts w:ascii="Cambria" w:hAnsi="Cambria"/>
          <w:sz w:val="16"/>
          <w:szCs w:val="16"/>
        </w:rPr>
        <w:t>a</w:t>
      </w:r>
      <w:proofErr w:type="spellEnd"/>
      <w:r w:rsidRPr="00C2622B">
        <w:rPr>
          <w:rFonts w:ascii="Cambria" w:hAnsi="Cambria"/>
          <w:sz w:val="16"/>
          <w:szCs w:val="16"/>
        </w:rPr>
        <w:t xml:space="preserve"> of the Commission’s Rules of Procedure, </w:t>
      </w:r>
      <w:r w:rsidRPr="00C2622B">
        <w:rPr>
          <w:rFonts w:ascii="Cambria" w:hAnsi="Cambria"/>
          <w:color w:val="auto"/>
          <w:sz w:val="16"/>
          <w:szCs w:val="16"/>
        </w:rPr>
        <w:t xml:space="preserve">Commissioner </w:t>
      </w:r>
      <w:r w:rsidRPr="00C2622B">
        <w:rPr>
          <w:rFonts w:ascii="Cambria" w:hAnsi="Cambria"/>
          <w:sz w:val="16"/>
          <w:szCs w:val="16"/>
        </w:rPr>
        <w:t>Francisco José Eguiguren Praeli, of Peruvian nationality, did not participate in the discus</w:t>
      </w:r>
      <w:r>
        <w:rPr>
          <w:rFonts w:ascii="Cambria" w:hAnsi="Cambria"/>
          <w:sz w:val="16"/>
          <w:szCs w:val="16"/>
        </w:rPr>
        <w:t xml:space="preserve">sion or decision on this </w:t>
      </w:r>
      <w:r w:rsidRPr="00C2622B">
        <w:rPr>
          <w:rFonts w:ascii="Cambria" w:hAnsi="Cambria"/>
          <w:sz w:val="16"/>
          <w:szCs w:val="16"/>
        </w:rPr>
        <w:t>matter.</w:t>
      </w:r>
    </w:p>
  </w:footnote>
  <w:footnote w:id="3">
    <w:p w:rsidR="001061C4" w:rsidRDefault="001061C4" w:rsidP="00BC6AE2">
      <w:pPr>
        <w:pStyle w:val="FootnoteText"/>
        <w:pBdr>
          <w:top w:val="none" w:sz="0" w:space="0" w:color="auto"/>
          <w:left w:val="none" w:sz="0" w:space="0" w:color="auto"/>
          <w:bottom w:val="none" w:sz="0" w:space="0" w:color="auto"/>
          <w:right w:val="none" w:sz="0" w:space="0" w:color="auto"/>
          <w:bar w:val="none" w:sz="0" w:color="auto"/>
        </w:pBdr>
        <w:jc w:val="both"/>
      </w:pPr>
      <w:r w:rsidRPr="00C2622B">
        <w:rPr>
          <w:rStyle w:val="FootnoteReference"/>
          <w:rFonts w:ascii="Cambria" w:hAnsi="Cambria"/>
          <w:sz w:val="16"/>
          <w:szCs w:val="16"/>
        </w:rPr>
        <w:footnoteRef/>
      </w:r>
      <w:r w:rsidRPr="00C2622B">
        <w:rPr>
          <w:rFonts w:ascii="Cambria" w:hAnsi="Cambria"/>
          <w:sz w:val="16"/>
          <w:szCs w:val="16"/>
        </w:rPr>
        <w:t xml:space="preserve"> </w:t>
      </w:r>
      <w:r>
        <w:rPr>
          <w:rFonts w:ascii="Cambria" w:hAnsi="Cambria"/>
          <w:sz w:val="16"/>
          <w:szCs w:val="16"/>
        </w:rPr>
        <w:t>Hereinafter</w:t>
      </w:r>
      <w:r w:rsidRPr="00C2622B">
        <w:rPr>
          <w:rFonts w:ascii="Cambria" w:hAnsi="Cambria"/>
          <w:sz w:val="16"/>
          <w:szCs w:val="16"/>
        </w:rPr>
        <w:t xml:space="preserve"> </w:t>
      </w:r>
      <w:r>
        <w:rPr>
          <w:rFonts w:ascii="Cambria" w:hAnsi="Cambria"/>
          <w:sz w:val="16"/>
          <w:szCs w:val="16"/>
        </w:rPr>
        <w:t>“American Convention” or “</w:t>
      </w:r>
      <w:r w:rsidRPr="00C2622B">
        <w:rPr>
          <w:rFonts w:ascii="Cambria" w:hAnsi="Cambria"/>
          <w:sz w:val="16"/>
          <w:szCs w:val="16"/>
        </w:rPr>
        <w:t>Convention.”</w:t>
      </w:r>
    </w:p>
  </w:footnote>
  <w:footnote w:id="4">
    <w:p w:rsidR="001061C4" w:rsidRDefault="001061C4" w:rsidP="00BC6AE2">
      <w:pPr>
        <w:pStyle w:val="FootnoteText"/>
        <w:pBdr>
          <w:top w:val="none" w:sz="0" w:space="0" w:color="auto"/>
          <w:left w:val="none" w:sz="0" w:space="0" w:color="auto"/>
          <w:bottom w:val="none" w:sz="0" w:space="0" w:color="auto"/>
          <w:right w:val="none" w:sz="0" w:space="0" w:color="auto"/>
          <w:bar w:val="none" w:sz="0" w:color="auto"/>
        </w:pBdr>
        <w:jc w:val="both"/>
      </w:pPr>
      <w:r w:rsidRPr="00C2622B">
        <w:rPr>
          <w:rStyle w:val="FootnoteReference"/>
          <w:rFonts w:ascii="Cambria" w:hAnsi="Cambria"/>
          <w:sz w:val="16"/>
          <w:szCs w:val="16"/>
        </w:rPr>
        <w:footnoteRef/>
      </w:r>
      <w:r w:rsidRPr="00C2622B">
        <w:rPr>
          <w:rFonts w:ascii="Cambria" w:hAnsi="Cambria"/>
          <w:sz w:val="16"/>
          <w:szCs w:val="16"/>
        </w:rPr>
        <w:t xml:space="preserve"> </w:t>
      </w:r>
      <w:r>
        <w:rPr>
          <w:rFonts w:ascii="Cambria" w:hAnsi="Cambria"/>
          <w:sz w:val="16"/>
          <w:szCs w:val="16"/>
        </w:rPr>
        <w:t>Hereinafter “American Declaration” or “Declaration.”</w:t>
      </w:r>
      <w:r w:rsidRPr="00C2622B">
        <w:rPr>
          <w:rFonts w:ascii="Cambria" w:hAnsi="Cambria"/>
          <w:sz w:val="16"/>
          <w:szCs w:val="16"/>
        </w:rPr>
        <w:t xml:space="preserve"> </w:t>
      </w:r>
    </w:p>
  </w:footnote>
  <w:footnote w:id="5">
    <w:p w:rsidR="001061C4" w:rsidRPr="00C2622B" w:rsidRDefault="001061C4" w:rsidP="00BC6AE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bCs/>
          <w:sz w:val="16"/>
          <w:szCs w:val="16"/>
        </w:rPr>
      </w:pPr>
      <w:r w:rsidRPr="00C2622B">
        <w:rPr>
          <w:rStyle w:val="FootnoteReference"/>
          <w:rFonts w:ascii="Cambria" w:hAnsi="Cambria"/>
          <w:sz w:val="16"/>
          <w:szCs w:val="16"/>
        </w:rPr>
        <w:footnoteRef/>
      </w:r>
      <w:r w:rsidRPr="00C2622B">
        <w:rPr>
          <w:rFonts w:ascii="Cambria" w:hAnsi="Cambria"/>
          <w:sz w:val="16"/>
          <w:szCs w:val="16"/>
        </w:rPr>
        <w:t xml:space="preserve"> </w:t>
      </w:r>
      <w:r w:rsidRPr="00C2622B">
        <w:rPr>
          <w:rFonts w:ascii="Cambria" w:hAnsi="Cambria"/>
          <w:bCs/>
          <w:sz w:val="16"/>
          <w:szCs w:val="16"/>
        </w:rPr>
        <w:t xml:space="preserve">Articles 3 and 14 </w:t>
      </w:r>
      <w:r>
        <w:rPr>
          <w:rFonts w:ascii="Cambria" w:hAnsi="Cambria"/>
          <w:bCs/>
          <w:sz w:val="16"/>
          <w:szCs w:val="16"/>
        </w:rPr>
        <w:t xml:space="preserve">of the </w:t>
      </w:r>
      <w:r w:rsidRPr="00C2622B">
        <w:rPr>
          <w:rFonts w:ascii="Cambria" w:hAnsi="Cambria"/>
          <w:bCs/>
          <w:sz w:val="16"/>
          <w:szCs w:val="16"/>
        </w:rPr>
        <w:t>International Covenant on Civil and Political Rights</w:t>
      </w:r>
    </w:p>
    <w:p w:rsidR="001061C4" w:rsidRDefault="001061C4" w:rsidP="00BC6AE2">
      <w:pPr>
        <w:pStyle w:val="FootnoteText"/>
        <w:pBdr>
          <w:top w:val="none" w:sz="0" w:space="0" w:color="auto"/>
          <w:left w:val="none" w:sz="0" w:space="0" w:color="auto"/>
          <w:bottom w:val="none" w:sz="0" w:space="0" w:color="auto"/>
          <w:right w:val="none" w:sz="0" w:space="0" w:color="auto"/>
          <w:bar w:val="none" w:sz="0" w:color="auto"/>
        </w:pBdr>
        <w:jc w:val="both"/>
      </w:pPr>
      <w:r w:rsidRPr="00C2622B">
        <w:rPr>
          <w:rFonts w:ascii="Cambria" w:hAnsi="Cambria"/>
          <w:bCs/>
          <w:sz w:val="16"/>
          <w:szCs w:val="16"/>
        </w:rPr>
        <w:t xml:space="preserve">  Article 8 of the Universal Declaration of Human Rights </w:t>
      </w:r>
    </w:p>
  </w:footnote>
  <w:footnote w:id="6">
    <w:p w:rsidR="001061C4" w:rsidRDefault="001061C4" w:rsidP="008C7736">
      <w:pPr>
        <w:pStyle w:val="FootnoteText"/>
        <w:pBdr>
          <w:top w:val="none" w:sz="0" w:space="0" w:color="auto"/>
          <w:left w:val="none" w:sz="0" w:space="0" w:color="auto"/>
          <w:bottom w:val="none" w:sz="0" w:space="0" w:color="auto"/>
          <w:right w:val="none" w:sz="0" w:space="0" w:color="auto"/>
          <w:bar w:val="none" w:sz="0" w:color="auto"/>
        </w:pBdr>
        <w:jc w:val="both"/>
      </w:pPr>
      <w:r w:rsidRPr="00C2622B">
        <w:rPr>
          <w:rStyle w:val="FootnoteReference"/>
          <w:rFonts w:ascii="Cambria" w:hAnsi="Cambria"/>
          <w:sz w:val="16"/>
          <w:szCs w:val="16"/>
        </w:rPr>
        <w:footnoteRef/>
      </w:r>
      <w:r w:rsidRPr="00C2622B">
        <w:rPr>
          <w:rFonts w:ascii="Cambria" w:hAnsi="Cambria"/>
          <w:sz w:val="16"/>
          <w:szCs w:val="16"/>
        </w:rPr>
        <w:t xml:space="preserve"> The observations submitted by each party were duly transmitted to the opposing party.</w:t>
      </w:r>
    </w:p>
  </w:footnote>
  <w:footnote w:id="7">
    <w:p w:rsidR="001061C4" w:rsidRPr="00C2622B" w:rsidRDefault="001061C4" w:rsidP="00365F2E">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rFonts w:ascii="Cambria" w:hAnsi="Cambria"/>
          <w:sz w:val="16"/>
          <w:szCs w:val="16"/>
        </w:rPr>
      </w:pPr>
      <w:r w:rsidRPr="00C2622B">
        <w:rPr>
          <w:rStyle w:val="FootnoteReference"/>
          <w:rFonts w:ascii="Cambria" w:hAnsi="Cambria"/>
          <w:sz w:val="16"/>
          <w:szCs w:val="16"/>
        </w:rPr>
        <w:footnoteRef/>
      </w:r>
      <w:r w:rsidRPr="00C2622B">
        <w:rPr>
          <w:rFonts w:ascii="Cambria" w:hAnsi="Cambria"/>
          <w:sz w:val="16"/>
          <w:szCs w:val="16"/>
        </w:rPr>
        <w:t xml:space="preserve"> IACHR, Report No. 16/18, Petition 884-07. Admissibility. </w:t>
      </w:r>
      <w:r w:rsidRPr="00967314">
        <w:rPr>
          <w:rFonts w:ascii="Cambria" w:hAnsi="Cambria"/>
          <w:sz w:val="16"/>
          <w:szCs w:val="16"/>
          <w:lang w:val="es-ES"/>
        </w:rPr>
        <w:t xml:space="preserve">Victoria Piedad Palacios Tejada de Saavedra. </w:t>
      </w:r>
      <w:r w:rsidRPr="00C2622B">
        <w:rPr>
          <w:rFonts w:ascii="Cambria" w:hAnsi="Cambria"/>
          <w:sz w:val="16"/>
          <w:szCs w:val="16"/>
        </w:rPr>
        <w:t>Peru. February 24, 2018, para. 12.</w:t>
      </w:r>
    </w:p>
    <w:p w:rsidR="001061C4" w:rsidRPr="00C2622B" w:rsidRDefault="001061C4" w:rsidP="00365F2E">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rFonts w:ascii="Cambria" w:hAnsi="Cambria"/>
          <w:color w:val="auto"/>
          <w:sz w:val="16"/>
          <w:szCs w:val="16"/>
        </w:rPr>
      </w:pPr>
      <w:r w:rsidRPr="00C2622B">
        <w:rPr>
          <w:rFonts w:ascii="Cambria" w:hAnsi="Cambria"/>
          <w:color w:val="auto"/>
          <w:sz w:val="16"/>
          <w:szCs w:val="16"/>
          <w:vertAlign w:val="superscript"/>
        </w:rPr>
        <w:t>7</w:t>
      </w:r>
      <w:r w:rsidRPr="00C2622B">
        <w:rPr>
          <w:rFonts w:ascii="Cambria" w:hAnsi="Cambria"/>
          <w:color w:val="auto"/>
          <w:sz w:val="16"/>
          <w:szCs w:val="16"/>
        </w:rPr>
        <w:t xml:space="preserve"> IACHR. Guarantees for the Independence of Justice Operators. </w:t>
      </w:r>
      <w:r w:rsidRPr="00690AA5">
        <w:rPr>
          <w:rFonts w:ascii="Cambria" w:hAnsi="Cambria"/>
          <w:color w:val="auto"/>
          <w:sz w:val="16"/>
          <w:szCs w:val="16"/>
          <w:lang w:val="pt-BR"/>
        </w:rPr>
        <w:t xml:space="preserve">OAS/Ser.L/V/II.Doc. 44/13 para. </w:t>
      </w:r>
      <w:r w:rsidRPr="00C2622B">
        <w:rPr>
          <w:rFonts w:ascii="Cambria" w:hAnsi="Cambria"/>
          <w:color w:val="auto"/>
          <w:sz w:val="16"/>
          <w:szCs w:val="16"/>
        </w:rPr>
        <w:t>216.</w:t>
      </w:r>
    </w:p>
    <w:p w:rsidR="001061C4" w:rsidRDefault="001061C4" w:rsidP="00E601A9">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pPr>
      <w:r w:rsidRPr="00C2622B">
        <w:rPr>
          <w:rFonts w:ascii="Cambria" w:hAnsi="Cambria"/>
          <w:color w:val="auto"/>
          <w:sz w:val="16"/>
          <w:szCs w:val="16"/>
          <w:vertAlign w:val="superscript"/>
        </w:rPr>
        <w:t>8</w:t>
      </w:r>
      <w:r w:rsidRPr="00C2622B">
        <w:rPr>
          <w:rFonts w:ascii="Cambria" w:hAnsi="Cambria"/>
          <w:color w:val="auto"/>
          <w:sz w:val="16"/>
          <w:szCs w:val="16"/>
        </w:rPr>
        <w:t xml:space="preserve"> IACHR. Guarantees for the Independence of Justice Operators. OAS/</w:t>
      </w:r>
      <w:proofErr w:type="spellStart"/>
      <w:r w:rsidRPr="00C2622B">
        <w:rPr>
          <w:rFonts w:ascii="Cambria" w:hAnsi="Cambria"/>
          <w:color w:val="auto"/>
          <w:sz w:val="16"/>
          <w:szCs w:val="16"/>
        </w:rPr>
        <w:t>Ser.L</w:t>
      </w:r>
      <w:proofErr w:type="spellEnd"/>
      <w:r w:rsidRPr="00C2622B">
        <w:rPr>
          <w:rFonts w:ascii="Cambria" w:hAnsi="Cambria"/>
          <w:color w:val="auto"/>
          <w:sz w:val="16"/>
          <w:szCs w:val="16"/>
        </w:rPr>
        <w:t>/V/II.Doc. 44/13 para. 238.</w:t>
      </w:r>
    </w:p>
  </w:footnote>
  <w:footnote w:id="8">
    <w:p w:rsidR="001061C4" w:rsidRPr="00690AA5" w:rsidRDefault="001061C4" w:rsidP="00EC072D">
      <w:pPr>
        <w:pBdr>
          <w:top w:val="none" w:sz="0" w:space="0" w:color="auto"/>
          <w:left w:val="none" w:sz="0" w:space="0" w:color="auto"/>
          <w:bottom w:val="none" w:sz="0" w:space="0" w:color="auto"/>
          <w:right w:val="none" w:sz="0" w:space="0" w:color="auto"/>
          <w:bar w:val="none" w:sz="0" w:color="auto"/>
        </w:pBdr>
        <w:rPr>
          <w:sz w:val="2"/>
          <w:szCs w:val="2"/>
        </w:rPr>
      </w:pPr>
      <w:r w:rsidRPr="00C2622B">
        <w:tab/>
      </w:r>
    </w:p>
  </w:footnote>
  <w:footnote w:id="9">
    <w:p w:rsidR="001061C4" w:rsidRPr="00690AA5" w:rsidRDefault="001061C4" w:rsidP="00EC072D">
      <w:pPr>
        <w:pStyle w:val="FootnoteText"/>
        <w:pBdr>
          <w:top w:val="none" w:sz="0" w:space="0" w:color="auto"/>
          <w:left w:val="none" w:sz="0" w:space="0" w:color="auto"/>
          <w:bottom w:val="none" w:sz="0" w:space="0" w:color="auto"/>
          <w:right w:val="none" w:sz="0" w:space="0" w:color="auto"/>
          <w:bar w:val="none" w:sz="0" w:color="auto"/>
        </w:pBdr>
        <w:rPr>
          <w:sz w:val="2"/>
          <w:szCs w:val="2"/>
        </w:rPr>
      </w:pPr>
    </w:p>
  </w:footnote>
  <w:footnote w:id="10">
    <w:p w:rsidR="001061C4" w:rsidRDefault="001061C4" w:rsidP="00E601A9">
      <w:pPr>
        <w:pStyle w:val="FootnoteText"/>
        <w:pBdr>
          <w:top w:val="none" w:sz="0" w:space="0" w:color="auto"/>
          <w:left w:val="none" w:sz="0" w:space="0" w:color="auto"/>
          <w:bottom w:val="none" w:sz="0" w:space="0" w:color="auto"/>
          <w:right w:val="none" w:sz="0" w:space="0" w:color="auto"/>
          <w:bar w:val="none" w:sz="0" w:color="auto"/>
        </w:pBdr>
        <w:ind w:firstLine="720"/>
      </w:pPr>
      <w:r w:rsidRPr="00C2622B">
        <w:rPr>
          <w:rStyle w:val="FootnoteReference"/>
        </w:rPr>
        <w:footnoteRef/>
      </w:r>
      <w:r w:rsidRPr="00C2622B">
        <w:t xml:space="preserve"> </w:t>
      </w:r>
      <w:r w:rsidRPr="00C2622B">
        <w:rPr>
          <w:rFonts w:ascii="Cambria" w:hAnsi="Cambria"/>
          <w:sz w:val="16"/>
          <w:szCs w:val="16"/>
        </w:rPr>
        <w:t xml:space="preserve">I/A Court H.R. Case of the Supreme Court of Justice (Quintana </w:t>
      </w:r>
      <w:proofErr w:type="spellStart"/>
      <w:r w:rsidRPr="00C2622B">
        <w:rPr>
          <w:rFonts w:ascii="Cambria" w:hAnsi="Cambria"/>
          <w:sz w:val="16"/>
          <w:szCs w:val="16"/>
        </w:rPr>
        <w:t>Coello</w:t>
      </w:r>
      <w:proofErr w:type="spellEnd"/>
      <w:r w:rsidRPr="00C2622B">
        <w:rPr>
          <w:rFonts w:ascii="Cambria" w:hAnsi="Cambria"/>
          <w:sz w:val="16"/>
          <w:szCs w:val="16"/>
        </w:rPr>
        <w:t xml:space="preserve"> </w:t>
      </w:r>
      <w:r w:rsidRPr="00C2622B">
        <w:rPr>
          <w:rFonts w:ascii="Cambria" w:hAnsi="Cambria"/>
          <w:i/>
          <w:sz w:val="16"/>
          <w:szCs w:val="16"/>
        </w:rPr>
        <w:t>ET AL.</w:t>
      </w:r>
      <w:r w:rsidRPr="00C2622B">
        <w:rPr>
          <w:rFonts w:ascii="Cambria" w:hAnsi="Cambria"/>
          <w:sz w:val="16"/>
          <w:szCs w:val="16"/>
        </w:rPr>
        <w:t>) v. Ecuador. Preliminary Objection, Merits, Reparations and Costs. Judgment of August 23, 2013. para.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C4" w:rsidRDefault="001061C4" w:rsidP="00BC6AE2">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061C4" w:rsidRDefault="00106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C4" w:rsidRDefault="00351D8D" w:rsidP="002C1641">
    <w:pPr>
      <w:pStyle w:val="Header"/>
      <w:tabs>
        <w:tab w:val="clear" w:pos="4320"/>
        <w:tab w:val="clear" w:pos="8640"/>
      </w:tabs>
      <w:jc w:val="center"/>
      <w:rPr>
        <w:sz w:val="22"/>
        <w:szCs w:val="22"/>
      </w:rPr>
    </w:pPr>
    <w:r>
      <w:rPr>
        <w:noProof/>
        <w:sz w:val="22"/>
        <w:szCs w:val="22"/>
      </w:rPr>
      <w:drawing>
        <wp:inline distT="0" distB="0" distL="0" distR="0">
          <wp:extent cx="2190750" cy="123825"/>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23825"/>
                  </a:xfrm>
                  <a:prstGeom prst="rect">
                    <a:avLst/>
                  </a:prstGeom>
                  <a:noFill/>
                  <a:ln>
                    <a:noFill/>
                  </a:ln>
                </pic:spPr>
              </pic:pic>
            </a:graphicData>
          </a:graphic>
        </wp:inline>
      </w:drawing>
    </w:r>
  </w:p>
  <w:p w:rsidR="001061C4" w:rsidRPr="00EC7D62" w:rsidRDefault="0095029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29" w:rsidRDefault="00486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85168D8"/>
    <w:multiLevelType w:val="multilevel"/>
    <w:tmpl w:val="E6BC44CE"/>
    <w:lvl w:ilvl="0">
      <w:start w:val="1"/>
      <w:numFmt w:val="decimal"/>
      <w:lvlText w:val="%1."/>
      <w:lvlJc w:val="left"/>
      <w:pPr>
        <w:tabs>
          <w:tab w:val="num" w:pos="720"/>
        </w:tabs>
        <w:ind w:firstLine="720"/>
      </w:pPr>
      <w:rPr>
        <w:rFonts w:cs="Times New Roman" w:hint="default"/>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15:restartNumberingAfterBreak="0">
    <w:nsid w:val="68292EE2"/>
    <w:multiLevelType w:val="multilevel"/>
    <w:tmpl w:val="D4EA90BE"/>
    <w:lvl w:ilvl="0">
      <w:start w:val="1"/>
      <w:numFmt w:val="decimal"/>
      <w:lvlText w:val="%1."/>
      <w:lvlJc w:val="left"/>
      <w:pPr>
        <w:tabs>
          <w:tab w:val="num" w:pos="720"/>
        </w:tabs>
        <w:ind w:firstLine="720"/>
      </w:pPr>
      <w:rPr>
        <w:rFonts w:cs="Times New Roman" w:hint="default"/>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59"/>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8"/>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4"/>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7"/>
  </w:num>
  <w:num w:numId="21">
    <w:abstractNumId w:val="37"/>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0"/>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6"/>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5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39"/>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7"/>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4"/>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51"/>
  </w:num>
  <w:num w:numId="107">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EE9"/>
    <w:rsid w:val="000070D7"/>
    <w:rsid w:val="000111A8"/>
    <w:rsid w:val="00011E23"/>
    <w:rsid w:val="0001788C"/>
    <w:rsid w:val="00022CF5"/>
    <w:rsid w:val="00036A8A"/>
    <w:rsid w:val="00037B84"/>
    <w:rsid w:val="000403A7"/>
    <w:rsid w:val="00040C3A"/>
    <w:rsid w:val="000428C1"/>
    <w:rsid w:val="00043E99"/>
    <w:rsid w:val="00044B02"/>
    <w:rsid w:val="00052754"/>
    <w:rsid w:val="00052F98"/>
    <w:rsid w:val="000639C0"/>
    <w:rsid w:val="00065D34"/>
    <w:rsid w:val="00070F3A"/>
    <w:rsid w:val="000716C5"/>
    <w:rsid w:val="00075E23"/>
    <w:rsid w:val="00087643"/>
    <w:rsid w:val="00092F32"/>
    <w:rsid w:val="00093433"/>
    <w:rsid w:val="0009344A"/>
    <w:rsid w:val="0009662E"/>
    <w:rsid w:val="00097EF6"/>
    <w:rsid w:val="000A575F"/>
    <w:rsid w:val="000C4365"/>
    <w:rsid w:val="000C6BAD"/>
    <w:rsid w:val="000D10DB"/>
    <w:rsid w:val="000D1D4C"/>
    <w:rsid w:val="000D75CD"/>
    <w:rsid w:val="000E685E"/>
    <w:rsid w:val="000F6E81"/>
    <w:rsid w:val="001046F2"/>
    <w:rsid w:val="001061C4"/>
    <w:rsid w:val="00106229"/>
    <w:rsid w:val="00106C04"/>
    <w:rsid w:val="00106CD5"/>
    <w:rsid w:val="00120E1B"/>
    <w:rsid w:val="00124116"/>
    <w:rsid w:val="001246C9"/>
    <w:rsid w:val="00125E85"/>
    <w:rsid w:val="0013104F"/>
    <w:rsid w:val="0013491F"/>
    <w:rsid w:val="00134C57"/>
    <w:rsid w:val="00137EBA"/>
    <w:rsid w:val="00145EDC"/>
    <w:rsid w:val="00153084"/>
    <w:rsid w:val="001639E5"/>
    <w:rsid w:val="001672F3"/>
    <w:rsid w:val="00167A34"/>
    <w:rsid w:val="001714B4"/>
    <w:rsid w:val="00173518"/>
    <w:rsid w:val="00177EE6"/>
    <w:rsid w:val="0018037F"/>
    <w:rsid w:val="001852FD"/>
    <w:rsid w:val="00185B50"/>
    <w:rsid w:val="00195050"/>
    <w:rsid w:val="001A2AA6"/>
    <w:rsid w:val="001A5F27"/>
    <w:rsid w:val="001A65E4"/>
    <w:rsid w:val="001A7870"/>
    <w:rsid w:val="001B285E"/>
    <w:rsid w:val="001B3799"/>
    <w:rsid w:val="001C02D0"/>
    <w:rsid w:val="001C1B41"/>
    <w:rsid w:val="001E366B"/>
    <w:rsid w:val="001E598D"/>
    <w:rsid w:val="001F1902"/>
    <w:rsid w:val="00210E0E"/>
    <w:rsid w:val="00210F4B"/>
    <w:rsid w:val="002117D4"/>
    <w:rsid w:val="00230163"/>
    <w:rsid w:val="0023351C"/>
    <w:rsid w:val="00247403"/>
    <w:rsid w:val="00247542"/>
    <w:rsid w:val="00250DC7"/>
    <w:rsid w:val="0025299E"/>
    <w:rsid w:val="00253F37"/>
    <w:rsid w:val="002550AB"/>
    <w:rsid w:val="00257893"/>
    <w:rsid w:val="00266092"/>
    <w:rsid w:val="00266717"/>
    <w:rsid w:val="00266B61"/>
    <w:rsid w:val="0026712A"/>
    <w:rsid w:val="002704DB"/>
    <w:rsid w:val="00272A12"/>
    <w:rsid w:val="00272BD2"/>
    <w:rsid w:val="00274229"/>
    <w:rsid w:val="002760CE"/>
    <w:rsid w:val="0028789B"/>
    <w:rsid w:val="002A7ECD"/>
    <w:rsid w:val="002B72E8"/>
    <w:rsid w:val="002B7A85"/>
    <w:rsid w:val="002C1641"/>
    <w:rsid w:val="002C4890"/>
    <w:rsid w:val="002D47C0"/>
    <w:rsid w:val="002D7EA2"/>
    <w:rsid w:val="002E15DF"/>
    <w:rsid w:val="002E187C"/>
    <w:rsid w:val="002E3C5D"/>
    <w:rsid w:val="002E6E57"/>
    <w:rsid w:val="002F6C8C"/>
    <w:rsid w:val="00301075"/>
    <w:rsid w:val="00302733"/>
    <w:rsid w:val="0030451F"/>
    <w:rsid w:val="00305B0D"/>
    <w:rsid w:val="00311A4F"/>
    <w:rsid w:val="00314078"/>
    <w:rsid w:val="00321AFD"/>
    <w:rsid w:val="00322450"/>
    <w:rsid w:val="00323013"/>
    <w:rsid w:val="003246B5"/>
    <w:rsid w:val="00325063"/>
    <w:rsid w:val="00330E34"/>
    <w:rsid w:val="0033169F"/>
    <w:rsid w:val="003414AC"/>
    <w:rsid w:val="00351D8D"/>
    <w:rsid w:val="00353EB1"/>
    <w:rsid w:val="00354C55"/>
    <w:rsid w:val="00356185"/>
    <w:rsid w:val="00360380"/>
    <w:rsid w:val="00365F2E"/>
    <w:rsid w:val="003745BD"/>
    <w:rsid w:val="00376AB3"/>
    <w:rsid w:val="003771A3"/>
    <w:rsid w:val="0038306B"/>
    <w:rsid w:val="00386CF0"/>
    <w:rsid w:val="00390A97"/>
    <w:rsid w:val="00396D6A"/>
    <w:rsid w:val="003972B8"/>
    <w:rsid w:val="003A4348"/>
    <w:rsid w:val="003A47F3"/>
    <w:rsid w:val="003B0075"/>
    <w:rsid w:val="003C32BC"/>
    <w:rsid w:val="003C599B"/>
    <w:rsid w:val="003D3442"/>
    <w:rsid w:val="003E3003"/>
    <w:rsid w:val="003E3E03"/>
    <w:rsid w:val="003E7F03"/>
    <w:rsid w:val="003F1BBF"/>
    <w:rsid w:val="003F4134"/>
    <w:rsid w:val="00401375"/>
    <w:rsid w:val="0040358A"/>
    <w:rsid w:val="00415204"/>
    <w:rsid w:val="00415CAC"/>
    <w:rsid w:val="004162B1"/>
    <w:rsid w:val="004165C2"/>
    <w:rsid w:val="00417D22"/>
    <w:rsid w:val="004219E1"/>
    <w:rsid w:val="004323AF"/>
    <w:rsid w:val="00440B36"/>
    <w:rsid w:val="0044783A"/>
    <w:rsid w:val="00450A4A"/>
    <w:rsid w:val="004666FB"/>
    <w:rsid w:val="00466D0B"/>
    <w:rsid w:val="00467B7E"/>
    <w:rsid w:val="00481ED5"/>
    <w:rsid w:val="00483D18"/>
    <w:rsid w:val="00486629"/>
    <w:rsid w:val="0048777A"/>
    <w:rsid w:val="00490252"/>
    <w:rsid w:val="0049419D"/>
    <w:rsid w:val="00495799"/>
    <w:rsid w:val="00497712"/>
    <w:rsid w:val="004A109B"/>
    <w:rsid w:val="004B1894"/>
    <w:rsid w:val="004B2762"/>
    <w:rsid w:val="004B2D3F"/>
    <w:rsid w:val="004B3ABC"/>
    <w:rsid w:val="004B4206"/>
    <w:rsid w:val="004B625D"/>
    <w:rsid w:val="004B7EB6"/>
    <w:rsid w:val="004C09F2"/>
    <w:rsid w:val="004C41DE"/>
    <w:rsid w:val="004C4B62"/>
    <w:rsid w:val="004C5551"/>
    <w:rsid w:val="004D6025"/>
    <w:rsid w:val="004D72BC"/>
    <w:rsid w:val="004D79F5"/>
    <w:rsid w:val="004E2933"/>
    <w:rsid w:val="004F0222"/>
    <w:rsid w:val="004F6B67"/>
    <w:rsid w:val="00501399"/>
    <w:rsid w:val="00507BC4"/>
    <w:rsid w:val="005106BC"/>
    <w:rsid w:val="005128E4"/>
    <w:rsid w:val="00515878"/>
    <w:rsid w:val="00525560"/>
    <w:rsid w:val="005357A6"/>
    <w:rsid w:val="0053600E"/>
    <w:rsid w:val="0054287B"/>
    <w:rsid w:val="00544C49"/>
    <w:rsid w:val="00546A89"/>
    <w:rsid w:val="00552511"/>
    <w:rsid w:val="00570A36"/>
    <w:rsid w:val="0057402A"/>
    <w:rsid w:val="005771D0"/>
    <w:rsid w:val="0058411F"/>
    <w:rsid w:val="00590AB3"/>
    <w:rsid w:val="0059191A"/>
    <w:rsid w:val="005921FF"/>
    <w:rsid w:val="005926F8"/>
    <w:rsid w:val="00592718"/>
    <w:rsid w:val="005A6D0E"/>
    <w:rsid w:val="005B222D"/>
    <w:rsid w:val="005B48D4"/>
    <w:rsid w:val="005B52B0"/>
    <w:rsid w:val="005B6806"/>
    <w:rsid w:val="005C00F9"/>
    <w:rsid w:val="005C4225"/>
    <w:rsid w:val="005D5A4E"/>
    <w:rsid w:val="005D73C1"/>
    <w:rsid w:val="005E709A"/>
    <w:rsid w:val="005F0F33"/>
    <w:rsid w:val="00600DEB"/>
    <w:rsid w:val="00600F72"/>
    <w:rsid w:val="00602E3E"/>
    <w:rsid w:val="00613027"/>
    <w:rsid w:val="00624951"/>
    <w:rsid w:val="00626814"/>
    <w:rsid w:val="00627C9F"/>
    <w:rsid w:val="006311DA"/>
    <w:rsid w:val="006311E9"/>
    <w:rsid w:val="00631550"/>
    <w:rsid w:val="006318B2"/>
    <w:rsid w:val="00632354"/>
    <w:rsid w:val="00642810"/>
    <w:rsid w:val="00652333"/>
    <w:rsid w:val="00653EA6"/>
    <w:rsid w:val="00655B5B"/>
    <w:rsid w:val="00671CEC"/>
    <w:rsid w:val="00674B0E"/>
    <w:rsid w:val="0068009E"/>
    <w:rsid w:val="00686DD0"/>
    <w:rsid w:val="00690AA5"/>
    <w:rsid w:val="00697FCA"/>
    <w:rsid w:val="006A17D2"/>
    <w:rsid w:val="006A73E6"/>
    <w:rsid w:val="006B2D5C"/>
    <w:rsid w:val="006C4EB1"/>
    <w:rsid w:val="006C792F"/>
    <w:rsid w:val="006D4707"/>
    <w:rsid w:val="006D77A0"/>
    <w:rsid w:val="006E0166"/>
    <w:rsid w:val="006E24C7"/>
    <w:rsid w:val="006E3180"/>
    <w:rsid w:val="006E5DD2"/>
    <w:rsid w:val="006E6436"/>
    <w:rsid w:val="006E7B34"/>
    <w:rsid w:val="00701B24"/>
    <w:rsid w:val="0070352F"/>
    <w:rsid w:val="00706E5D"/>
    <w:rsid w:val="007135D6"/>
    <w:rsid w:val="00714913"/>
    <w:rsid w:val="0071495F"/>
    <w:rsid w:val="00721B43"/>
    <w:rsid w:val="00733926"/>
    <w:rsid w:val="0073798E"/>
    <w:rsid w:val="00745899"/>
    <w:rsid w:val="00753143"/>
    <w:rsid w:val="007607C4"/>
    <w:rsid w:val="00763F25"/>
    <w:rsid w:val="0076643F"/>
    <w:rsid w:val="00781653"/>
    <w:rsid w:val="00783C61"/>
    <w:rsid w:val="00787129"/>
    <w:rsid w:val="00787371"/>
    <w:rsid w:val="00797351"/>
    <w:rsid w:val="007A23F5"/>
    <w:rsid w:val="007A2558"/>
    <w:rsid w:val="007A2F70"/>
    <w:rsid w:val="007B5F9D"/>
    <w:rsid w:val="007C3334"/>
    <w:rsid w:val="007C386A"/>
    <w:rsid w:val="007C52BB"/>
    <w:rsid w:val="007C5469"/>
    <w:rsid w:val="007D2B98"/>
    <w:rsid w:val="007E16F3"/>
    <w:rsid w:val="007E19B7"/>
    <w:rsid w:val="008015C6"/>
    <w:rsid w:val="00801EC5"/>
    <w:rsid w:val="00802BCB"/>
    <w:rsid w:val="00803F1C"/>
    <w:rsid w:val="00804E60"/>
    <w:rsid w:val="0080538E"/>
    <w:rsid w:val="0080600E"/>
    <w:rsid w:val="00806BCC"/>
    <w:rsid w:val="00817612"/>
    <w:rsid w:val="00831A84"/>
    <w:rsid w:val="0083513B"/>
    <w:rsid w:val="00837C45"/>
    <w:rsid w:val="0084212A"/>
    <w:rsid w:val="00842A98"/>
    <w:rsid w:val="00853419"/>
    <w:rsid w:val="00854993"/>
    <w:rsid w:val="00863588"/>
    <w:rsid w:val="00882726"/>
    <w:rsid w:val="00886986"/>
    <w:rsid w:val="00892568"/>
    <w:rsid w:val="0089380F"/>
    <w:rsid w:val="00897E12"/>
    <w:rsid w:val="008A3C7D"/>
    <w:rsid w:val="008B3A77"/>
    <w:rsid w:val="008B6215"/>
    <w:rsid w:val="008C7736"/>
    <w:rsid w:val="008C7E31"/>
    <w:rsid w:val="008D38DE"/>
    <w:rsid w:val="008D43BA"/>
    <w:rsid w:val="008D689C"/>
    <w:rsid w:val="008E3759"/>
    <w:rsid w:val="008F1A97"/>
    <w:rsid w:val="009041DC"/>
    <w:rsid w:val="0090517D"/>
    <w:rsid w:val="009058ED"/>
    <w:rsid w:val="009104B4"/>
    <w:rsid w:val="00914B03"/>
    <w:rsid w:val="009228DA"/>
    <w:rsid w:val="00925FCD"/>
    <w:rsid w:val="00932D47"/>
    <w:rsid w:val="0093441A"/>
    <w:rsid w:val="00943BC9"/>
    <w:rsid w:val="0095029E"/>
    <w:rsid w:val="00954BF7"/>
    <w:rsid w:val="009612B4"/>
    <w:rsid w:val="00961FC6"/>
    <w:rsid w:val="00964098"/>
    <w:rsid w:val="0096706E"/>
    <w:rsid w:val="00967314"/>
    <w:rsid w:val="00981B1D"/>
    <w:rsid w:val="00981FBA"/>
    <w:rsid w:val="00991212"/>
    <w:rsid w:val="009A54DA"/>
    <w:rsid w:val="009A5F64"/>
    <w:rsid w:val="009A7F14"/>
    <w:rsid w:val="009B381B"/>
    <w:rsid w:val="009C10C6"/>
    <w:rsid w:val="009C2734"/>
    <w:rsid w:val="009D3AE2"/>
    <w:rsid w:val="009D7611"/>
    <w:rsid w:val="009E1BDB"/>
    <w:rsid w:val="009E53DE"/>
    <w:rsid w:val="009E566A"/>
    <w:rsid w:val="009F58AC"/>
    <w:rsid w:val="009F6A5E"/>
    <w:rsid w:val="00A12DBC"/>
    <w:rsid w:val="00A228F4"/>
    <w:rsid w:val="00A32D9B"/>
    <w:rsid w:val="00A43458"/>
    <w:rsid w:val="00A510D8"/>
    <w:rsid w:val="00A51B86"/>
    <w:rsid w:val="00A528D1"/>
    <w:rsid w:val="00A547DA"/>
    <w:rsid w:val="00A556DF"/>
    <w:rsid w:val="00A55EB4"/>
    <w:rsid w:val="00A604A5"/>
    <w:rsid w:val="00A65CC1"/>
    <w:rsid w:val="00A66BE5"/>
    <w:rsid w:val="00A67864"/>
    <w:rsid w:val="00A76A32"/>
    <w:rsid w:val="00A82C8E"/>
    <w:rsid w:val="00AA4375"/>
    <w:rsid w:val="00AC78F4"/>
    <w:rsid w:val="00AD20A0"/>
    <w:rsid w:val="00AD37C1"/>
    <w:rsid w:val="00AD4AC8"/>
    <w:rsid w:val="00AE44FA"/>
    <w:rsid w:val="00AE64C0"/>
    <w:rsid w:val="00AE66EC"/>
    <w:rsid w:val="00AE6D4A"/>
    <w:rsid w:val="00AE6F91"/>
    <w:rsid w:val="00AF5571"/>
    <w:rsid w:val="00B06BB7"/>
    <w:rsid w:val="00B140CB"/>
    <w:rsid w:val="00B167E9"/>
    <w:rsid w:val="00B179ED"/>
    <w:rsid w:val="00B314DB"/>
    <w:rsid w:val="00B31EBE"/>
    <w:rsid w:val="00B3718B"/>
    <w:rsid w:val="00B422C4"/>
    <w:rsid w:val="00B4248E"/>
    <w:rsid w:val="00B44B23"/>
    <w:rsid w:val="00B45F43"/>
    <w:rsid w:val="00B4632A"/>
    <w:rsid w:val="00B50335"/>
    <w:rsid w:val="00B5177B"/>
    <w:rsid w:val="00B81EAC"/>
    <w:rsid w:val="00B85469"/>
    <w:rsid w:val="00B87227"/>
    <w:rsid w:val="00B92E49"/>
    <w:rsid w:val="00BA276C"/>
    <w:rsid w:val="00BA478A"/>
    <w:rsid w:val="00BB06B4"/>
    <w:rsid w:val="00BB0CAB"/>
    <w:rsid w:val="00BB107B"/>
    <w:rsid w:val="00BB306F"/>
    <w:rsid w:val="00BB3F68"/>
    <w:rsid w:val="00BB4DF6"/>
    <w:rsid w:val="00BB517D"/>
    <w:rsid w:val="00BC06D7"/>
    <w:rsid w:val="00BC6AE2"/>
    <w:rsid w:val="00BD232B"/>
    <w:rsid w:val="00BD2E42"/>
    <w:rsid w:val="00BD4B89"/>
    <w:rsid w:val="00BD7DF9"/>
    <w:rsid w:val="00BF1D2F"/>
    <w:rsid w:val="00BF756E"/>
    <w:rsid w:val="00C107DD"/>
    <w:rsid w:val="00C12922"/>
    <w:rsid w:val="00C20386"/>
    <w:rsid w:val="00C21762"/>
    <w:rsid w:val="00C24543"/>
    <w:rsid w:val="00C25312"/>
    <w:rsid w:val="00C256A2"/>
    <w:rsid w:val="00C25A76"/>
    <w:rsid w:val="00C2622B"/>
    <w:rsid w:val="00C27452"/>
    <w:rsid w:val="00C3471C"/>
    <w:rsid w:val="00C3492D"/>
    <w:rsid w:val="00C354A5"/>
    <w:rsid w:val="00C35C7B"/>
    <w:rsid w:val="00C35E75"/>
    <w:rsid w:val="00C55560"/>
    <w:rsid w:val="00C55B80"/>
    <w:rsid w:val="00C609B9"/>
    <w:rsid w:val="00C61F79"/>
    <w:rsid w:val="00C66B72"/>
    <w:rsid w:val="00C72B9D"/>
    <w:rsid w:val="00C8088B"/>
    <w:rsid w:val="00C87407"/>
    <w:rsid w:val="00C9539F"/>
    <w:rsid w:val="00C9567A"/>
    <w:rsid w:val="00CA0CC8"/>
    <w:rsid w:val="00CA6577"/>
    <w:rsid w:val="00CA7D14"/>
    <w:rsid w:val="00CB2660"/>
    <w:rsid w:val="00CB4391"/>
    <w:rsid w:val="00CC2167"/>
    <w:rsid w:val="00CC2495"/>
    <w:rsid w:val="00CC5E90"/>
    <w:rsid w:val="00CD046C"/>
    <w:rsid w:val="00CD1DF3"/>
    <w:rsid w:val="00CD395E"/>
    <w:rsid w:val="00CE2015"/>
    <w:rsid w:val="00CE5199"/>
    <w:rsid w:val="00CE66D5"/>
    <w:rsid w:val="00CF09DD"/>
    <w:rsid w:val="00D02C7A"/>
    <w:rsid w:val="00D03658"/>
    <w:rsid w:val="00D06A31"/>
    <w:rsid w:val="00D23422"/>
    <w:rsid w:val="00D2556F"/>
    <w:rsid w:val="00D34786"/>
    <w:rsid w:val="00D359B9"/>
    <w:rsid w:val="00D37BD5"/>
    <w:rsid w:val="00D40A1E"/>
    <w:rsid w:val="00D427C3"/>
    <w:rsid w:val="00D44DE6"/>
    <w:rsid w:val="00D471FF"/>
    <w:rsid w:val="00D53077"/>
    <w:rsid w:val="00D533C0"/>
    <w:rsid w:val="00D556A6"/>
    <w:rsid w:val="00D56BDE"/>
    <w:rsid w:val="00D60B19"/>
    <w:rsid w:val="00D661E9"/>
    <w:rsid w:val="00D712D3"/>
    <w:rsid w:val="00D71422"/>
    <w:rsid w:val="00D7145E"/>
    <w:rsid w:val="00D72221"/>
    <w:rsid w:val="00D75084"/>
    <w:rsid w:val="00D7558D"/>
    <w:rsid w:val="00D76E8C"/>
    <w:rsid w:val="00D81B49"/>
    <w:rsid w:val="00D81D92"/>
    <w:rsid w:val="00D928F6"/>
    <w:rsid w:val="00D92BE1"/>
    <w:rsid w:val="00D93446"/>
    <w:rsid w:val="00D93C93"/>
    <w:rsid w:val="00D93F17"/>
    <w:rsid w:val="00D94022"/>
    <w:rsid w:val="00D954DA"/>
    <w:rsid w:val="00DA05D2"/>
    <w:rsid w:val="00DA7B5F"/>
    <w:rsid w:val="00DC268D"/>
    <w:rsid w:val="00DC6746"/>
    <w:rsid w:val="00DD0FE0"/>
    <w:rsid w:val="00DD32BC"/>
    <w:rsid w:val="00DD472B"/>
    <w:rsid w:val="00DE7F69"/>
    <w:rsid w:val="00DF078B"/>
    <w:rsid w:val="00DF119E"/>
    <w:rsid w:val="00DF350D"/>
    <w:rsid w:val="00E10C0A"/>
    <w:rsid w:val="00E21C1C"/>
    <w:rsid w:val="00E227C1"/>
    <w:rsid w:val="00E252C3"/>
    <w:rsid w:val="00E30B3F"/>
    <w:rsid w:val="00E341C2"/>
    <w:rsid w:val="00E36BE5"/>
    <w:rsid w:val="00E43157"/>
    <w:rsid w:val="00E47F3D"/>
    <w:rsid w:val="00E533FF"/>
    <w:rsid w:val="00E601A9"/>
    <w:rsid w:val="00E67741"/>
    <w:rsid w:val="00E709B3"/>
    <w:rsid w:val="00E7588C"/>
    <w:rsid w:val="00E7617E"/>
    <w:rsid w:val="00E779C2"/>
    <w:rsid w:val="00E850B6"/>
    <w:rsid w:val="00E86376"/>
    <w:rsid w:val="00E8789F"/>
    <w:rsid w:val="00E90934"/>
    <w:rsid w:val="00E93CBD"/>
    <w:rsid w:val="00E97B71"/>
    <w:rsid w:val="00EA07EC"/>
    <w:rsid w:val="00EB454D"/>
    <w:rsid w:val="00EB7E8A"/>
    <w:rsid w:val="00EC018B"/>
    <w:rsid w:val="00EC072D"/>
    <w:rsid w:val="00EC3343"/>
    <w:rsid w:val="00EC7D62"/>
    <w:rsid w:val="00ED064F"/>
    <w:rsid w:val="00ED0D1B"/>
    <w:rsid w:val="00ED1B5B"/>
    <w:rsid w:val="00EE3522"/>
    <w:rsid w:val="00EF0F23"/>
    <w:rsid w:val="00EF14FF"/>
    <w:rsid w:val="00EF619B"/>
    <w:rsid w:val="00F00B55"/>
    <w:rsid w:val="00F07CE7"/>
    <w:rsid w:val="00F12100"/>
    <w:rsid w:val="00F1380F"/>
    <w:rsid w:val="00F14F0E"/>
    <w:rsid w:val="00F15A3B"/>
    <w:rsid w:val="00F24C29"/>
    <w:rsid w:val="00F253CC"/>
    <w:rsid w:val="00F37224"/>
    <w:rsid w:val="00F42029"/>
    <w:rsid w:val="00F42B71"/>
    <w:rsid w:val="00F56BA5"/>
    <w:rsid w:val="00F57A9F"/>
    <w:rsid w:val="00F60EFD"/>
    <w:rsid w:val="00F621C3"/>
    <w:rsid w:val="00F644E6"/>
    <w:rsid w:val="00F70D43"/>
    <w:rsid w:val="00F84EA0"/>
    <w:rsid w:val="00F8731B"/>
    <w:rsid w:val="00F90F34"/>
    <w:rsid w:val="00F9653B"/>
    <w:rsid w:val="00FA19D6"/>
    <w:rsid w:val="00FA42F1"/>
    <w:rsid w:val="00FA4469"/>
    <w:rsid w:val="00FB0404"/>
    <w:rsid w:val="00FB62CF"/>
    <w:rsid w:val="00FC0882"/>
    <w:rsid w:val="00FC3EB4"/>
    <w:rsid w:val="00FC58BF"/>
    <w:rsid w:val="00FC6C58"/>
    <w:rsid w:val="00FD01BE"/>
    <w:rsid w:val="00FD1E21"/>
    <w:rsid w:val="00FD3E66"/>
    <w:rsid w:val="00FE6B45"/>
    <w:rsid w:val="00FE6D91"/>
    <w:rsid w:val="00FF5851"/>
    <w:rsid w:val="00FF71F3"/>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F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styleId="Hyperlink">
    <w:name w:val="Hyperlink"/>
    <w:basedOn w:val="DefaultParagraphFont"/>
    <w:uiPriority w:val="99"/>
    <w:rsid w:val="00AE44FA"/>
    <w:rPr>
      <w:rFonts w:cs="Times New Roman"/>
      <w:u w:val="single"/>
    </w:rPr>
  </w:style>
  <w:style w:type="paragraph" w:customStyle="1" w:styleId="Cabeceraypie">
    <w:name w:val="Cabecera y pie"/>
    <w:uiPriority w:val="99"/>
    <w:rsid w:val="00AE44F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AE44FA"/>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AE44F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AE44FA"/>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6464CD"/>
    <w:rPr>
      <w:sz w:val="24"/>
      <w:szCs w:val="24"/>
      <w:lang w:val="en-US" w:eastAsia="en-US"/>
    </w:rPr>
  </w:style>
  <w:style w:type="paragraph" w:styleId="ListParagraph">
    <w:name w:val="List Paragraph"/>
    <w:basedOn w:val="Normal"/>
    <w:uiPriority w:val="99"/>
    <w:qFormat/>
    <w:rsid w:val="00AE44FA"/>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2"/>
    <w:uiPriority w:val="99"/>
    <w:rsid w:val="00AE44FA"/>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6464CD"/>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semiHidden/>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f11,Footnote symbol,Footnote,4_G,16 Point,Superscript 6 Point,Texto nota al pie,Ref,de nota al pie"/>
    <w:basedOn w:val="DefaultParagraphFont"/>
    <w:link w:val="4GChar"/>
    <w:uiPriority w:val="99"/>
    <w:locked/>
    <w:rsid w:val="00036A8A"/>
    <w:rPr>
      <w:rFonts w:cs="Times New Roman"/>
      <w:vertAlign w:val="superscript"/>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036A8A"/>
    <w:rPr>
      <w:rFonts w:ascii="Calibri" w:eastAsia="Times New Roman"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hAnsi="Calibri"/>
      <w:color w:val="000000"/>
      <w:u w:color="000000"/>
      <w:lang w:val="en-US"/>
    </w:rPr>
  </w:style>
  <w:style w:type="table" w:styleId="TableGrid">
    <w:name w:val="Table Grid"/>
    <w:basedOn w:val="TableNormal"/>
    <w:uiPriority w:val="99"/>
    <w:rsid w:val="00F621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rFonts w:cs="Times New Roman"/>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BC6AE2"/>
    <w:pPr>
      <w:pBdr>
        <w:top w:val="none" w:sz="0" w:space="0" w:color="auto"/>
        <w:left w:val="none" w:sz="0" w:space="0" w:color="auto"/>
        <w:bottom w:val="none" w:sz="0" w:space="0" w:color="auto"/>
        <w:right w:val="none" w:sz="0" w:space="0" w:color="auto"/>
        <w:bar w:val="none" w:sz="0" w:color="auto"/>
      </w:pBdr>
      <w:jc w:val="both"/>
    </w:pPr>
    <w:rPr>
      <w:sz w:val="20"/>
      <w:szCs w:val="20"/>
      <w:vertAlign w:val="superscript"/>
      <w:lang w:val="es-PA" w:eastAsia="es-ES"/>
    </w:rPr>
  </w:style>
  <w:style w:type="numbering" w:customStyle="1" w:styleId="List16">
    <w:name w:val="List 16"/>
    <w:rsid w:val="006464CD"/>
    <w:pPr>
      <w:numPr>
        <w:numId w:val="53"/>
      </w:numPr>
    </w:pPr>
  </w:style>
  <w:style w:type="numbering" w:customStyle="1" w:styleId="List36">
    <w:name w:val="List 36"/>
    <w:rsid w:val="006464CD"/>
    <w:pPr>
      <w:numPr>
        <w:numId w:val="57"/>
      </w:numPr>
    </w:pPr>
  </w:style>
  <w:style w:type="numbering" w:customStyle="1" w:styleId="List25">
    <w:name w:val="List 25"/>
    <w:rsid w:val="006464CD"/>
    <w:pPr>
      <w:numPr>
        <w:numId w:val="58"/>
      </w:numPr>
    </w:pPr>
  </w:style>
  <w:style w:type="numbering" w:customStyle="1" w:styleId="List1">
    <w:name w:val="List 1"/>
    <w:rsid w:val="006464CD"/>
    <w:pPr>
      <w:numPr>
        <w:numId w:val="2"/>
      </w:numPr>
    </w:pPr>
  </w:style>
  <w:style w:type="numbering" w:customStyle="1" w:styleId="List11">
    <w:name w:val="List 11"/>
    <w:rsid w:val="006464CD"/>
    <w:pPr>
      <w:numPr>
        <w:numId w:val="20"/>
      </w:numPr>
    </w:pPr>
  </w:style>
  <w:style w:type="numbering" w:customStyle="1" w:styleId="List15">
    <w:name w:val="List 15"/>
    <w:rsid w:val="006464CD"/>
    <w:pPr>
      <w:numPr>
        <w:numId w:val="59"/>
      </w:numPr>
    </w:pPr>
  </w:style>
  <w:style w:type="numbering" w:customStyle="1" w:styleId="List14">
    <w:name w:val="List 14"/>
    <w:rsid w:val="006464CD"/>
    <w:pPr>
      <w:numPr>
        <w:numId w:val="60"/>
      </w:numPr>
    </w:pPr>
  </w:style>
  <w:style w:type="numbering" w:customStyle="1" w:styleId="List23">
    <w:name w:val="List 23"/>
    <w:rsid w:val="006464CD"/>
    <w:pPr>
      <w:numPr>
        <w:numId w:val="61"/>
      </w:numPr>
    </w:pPr>
  </w:style>
  <w:style w:type="numbering" w:customStyle="1" w:styleId="List19">
    <w:name w:val="List 19"/>
    <w:rsid w:val="006464CD"/>
    <w:pPr>
      <w:numPr>
        <w:numId w:val="62"/>
      </w:numPr>
    </w:pPr>
  </w:style>
  <w:style w:type="numbering" w:customStyle="1" w:styleId="List45">
    <w:name w:val="List 45"/>
    <w:rsid w:val="006464CD"/>
    <w:pPr>
      <w:numPr>
        <w:numId w:val="63"/>
      </w:numPr>
    </w:pPr>
  </w:style>
  <w:style w:type="numbering" w:customStyle="1" w:styleId="List40">
    <w:name w:val="List 40"/>
    <w:rsid w:val="006464CD"/>
    <w:pPr>
      <w:numPr>
        <w:numId w:val="64"/>
      </w:numPr>
    </w:pPr>
  </w:style>
  <w:style w:type="numbering" w:customStyle="1" w:styleId="List9">
    <w:name w:val="List 9"/>
    <w:rsid w:val="006464CD"/>
    <w:pPr>
      <w:numPr>
        <w:numId w:val="65"/>
      </w:numPr>
    </w:pPr>
  </w:style>
  <w:style w:type="numbering" w:customStyle="1" w:styleId="List43">
    <w:name w:val="List 43"/>
    <w:rsid w:val="006464CD"/>
    <w:pPr>
      <w:numPr>
        <w:numId w:val="66"/>
      </w:numPr>
    </w:pPr>
  </w:style>
  <w:style w:type="numbering" w:customStyle="1" w:styleId="List46">
    <w:name w:val="List 46"/>
    <w:rsid w:val="006464CD"/>
    <w:pPr>
      <w:numPr>
        <w:numId w:val="67"/>
      </w:numPr>
    </w:pPr>
  </w:style>
  <w:style w:type="numbering" w:customStyle="1" w:styleId="List35">
    <w:name w:val="List 35"/>
    <w:rsid w:val="006464CD"/>
    <w:pPr>
      <w:numPr>
        <w:numId w:val="35"/>
      </w:numPr>
    </w:pPr>
  </w:style>
  <w:style w:type="numbering" w:customStyle="1" w:styleId="List17">
    <w:name w:val="List 17"/>
    <w:rsid w:val="006464CD"/>
    <w:pPr>
      <w:numPr>
        <w:numId w:val="68"/>
      </w:numPr>
    </w:pPr>
  </w:style>
  <w:style w:type="numbering" w:customStyle="1" w:styleId="List33">
    <w:name w:val="List 33"/>
    <w:rsid w:val="006464CD"/>
    <w:pPr>
      <w:numPr>
        <w:numId w:val="69"/>
      </w:numPr>
    </w:pPr>
  </w:style>
  <w:style w:type="numbering" w:customStyle="1" w:styleId="List7">
    <w:name w:val="List 7"/>
    <w:rsid w:val="006464CD"/>
    <w:pPr>
      <w:numPr>
        <w:numId w:val="8"/>
      </w:numPr>
    </w:pPr>
  </w:style>
  <w:style w:type="numbering" w:customStyle="1" w:styleId="List18">
    <w:name w:val="List 18"/>
    <w:rsid w:val="006464CD"/>
    <w:pPr>
      <w:numPr>
        <w:numId w:val="70"/>
      </w:numPr>
    </w:pPr>
  </w:style>
  <w:style w:type="numbering" w:customStyle="1" w:styleId="List22">
    <w:name w:val="List 22"/>
    <w:rsid w:val="006464CD"/>
    <w:pPr>
      <w:numPr>
        <w:numId w:val="71"/>
      </w:numPr>
    </w:pPr>
  </w:style>
  <w:style w:type="numbering" w:customStyle="1" w:styleId="List47">
    <w:name w:val="List 47"/>
    <w:rsid w:val="006464CD"/>
    <w:pPr>
      <w:numPr>
        <w:numId w:val="72"/>
      </w:numPr>
    </w:pPr>
  </w:style>
  <w:style w:type="numbering" w:customStyle="1" w:styleId="List28">
    <w:name w:val="List 28"/>
    <w:rsid w:val="006464CD"/>
    <w:pPr>
      <w:numPr>
        <w:numId w:val="73"/>
      </w:numPr>
    </w:pPr>
  </w:style>
  <w:style w:type="numbering" w:customStyle="1" w:styleId="List10">
    <w:name w:val="List 10"/>
    <w:rsid w:val="006464CD"/>
    <w:pPr>
      <w:numPr>
        <w:numId w:val="11"/>
      </w:numPr>
    </w:pPr>
  </w:style>
  <w:style w:type="numbering" w:customStyle="1" w:styleId="List0">
    <w:name w:val="List 0"/>
    <w:rsid w:val="006464CD"/>
    <w:pPr>
      <w:numPr>
        <w:numId w:val="74"/>
      </w:numPr>
    </w:pPr>
  </w:style>
  <w:style w:type="numbering" w:customStyle="1" w:styleId="List30">
    <w:name w:val="List 30"/>
    <w:rsid w:val="006464CD"/>
    <w:pPr>
      <w:numPr>
        <w:numId w:val="75"/>
      </w:numPr>
    </w:pPr>
  </w:style>
  <w:style w:type="numbering" w:customStyle="1" w:styleId="List29">
    <w:name w:val="List 29"/>
    <w:rsid w:val="006464CD"/>
    <w:pPr>
      <w:numPr>
        <w:numId w:val="77"/>
      </w:numPr>
    </w:pPr>
  </w:style>
  <w:style w:type="numbering" w:customStyle="1" w:styleId="List38">
    <w:name w:val="List 38"/>
    <w:rsid w:val="006464CD"/>
    <w:pPr>
      <w:numPr>
        <w:numId w:val="78"/>
      </w:numPr>
    </w:pPr>
  </w:style>
  <w:style w:type="numbering" w:customStyle="1" w:styleId="List12">
    <w:name w:val="List 12"/>
    <w:rsid w:val="006464CD"/>
    <w:pPr>
      <w:numPr>
        <w:numId w:val="79"/>
      </w:numPr>
    </w:pPr>
  </w:style>
  <w:style w:type="numbering" w:customStyle="1" w:styleId="List50">
    <w:name w:val="List 50"/>
    <w:rsid w:val="006464CD"/>
    <w:pPr>
      <w:numPr>
        <w:numId w:val="80"/>
      </w:numPr>
    </w:pPr>
  </w:style>
  <w:style w:type="numbering" w:customStyle="1" w:styleId="List34">
    <w:name w:val="List 34"/>
    <w:rsid w:val="006464CD"/>
    <w:pPr>
      <w:numPr>
        <w:numId w:val="54"/>
      </w:numPr>
    </w:pPr>
  </w:style>
  <w:style w:type="numbering" w:customStyle="1" w:styleId="List42">
    <w:name w:val="List 42"/>
    <w:rsid w:val="006464CD"/>
    <w:pPr>
      <w:numPr>
        <w:numId w:val="55"/>
      </w:numPr>
    </w:pPr>
  </w:style>
  <w:style w:type="numbering" w:customStyle="1" w:styleId="List49">
    <w:name w:val="List 49"/>
    <w:rsid w:val="006464CD"/>
    <w:pPr>
      <w:numPr>
        <w:numId w:val="82"/>
      </w:numPr>
    </w:pPr>
  </w:style>
  <w:style w:type="numbering" w:customStyle="1" w:styleId="List44">
    <w:name w:val="List 44"/>
    <w:rsid w:val="006464CD"/>
    <w:pPr>
      <w:numPr>
        <w:numId w:val="83"/>
      </w:numPr>
    </w:pPr>
  </w:style>
  <w:style w:type="numbering" w:customStyle="1" w:styleId="List21">
    <w:name w:val="List 21"/>
    <w:rsid w:val="006464CD"/>
    <w:pPr>
      <w:numPr>
        <w:numId w:val="95"/>
      </w:numPr>
    </w:pPr>
  </w:style>
  <w:style w:type="numbering" w:customStyle="1" w:styleId="List52">
    <w:name w:val="List 52"/>
    <w:rsid w:val="006464CD"/>
    <w:pPr>
      <w:numPr>
        <w:numId w:val="52"/>
      </w:numPr>
    </w:pPr>
  </w:style>
  <w:style w:type="numbering" w:customStyle="1" w:styleId="List24">
    <w:name w:val="List 24"/>
    <w:rsid w:val="006464CD"/>
    <w:pPr>
      <w:numPr>
        <w:numId w:val="56"/>
      </w:numPr>
    </w:pPr>
  </w:style>
  <w:style w:type="numbering" w:customStyle="1" w:styleId="List51">
    <w:name w:val="List 51"/>
    <w:rsid w:val="006464CD"/>
    <w:pPr>
      <w:numPr>
        <w:numId w:val="98"/>
      </w:numPr>
    </w:pPr>
  </w:style>
  <w:style w:type="numbering" w:customStyle="1" w:styleId="List27">
    <w:name w:val="List 27"/>
    <w:rsid w:val="006464CD"/>
    <w:pPr>
      <w:numPr>
        <w:numId w:val="84"/>
      </w:numPr>
    </w:pPr>
  </w:style>
  <w:style w:type="numbering" w:customStyle="1" w:styleId="List8">
    <w:name w:val="List 8"/>
    <w:rsid w:val="006464CD"/>
    <w:pPr>
      <w:numPr>
        <w:numId w:val="9"/>
      </w:numPr>
    </w:pPr>
  </w:style>
  <w:style w:type="numbering" w:customStyle="1" w:styleId="List13">
    <w:name w:val="List 13"/>
    <w:rsid w:val="006464CD"/>
    <w:pPr>
      <w:numPr>
        <w:numId w:val="85"/>
      </w:numPr>
    </w:pPr>
  </w:style>
  <w:style w:type="numbering" w:customStyle="1" w:styleId="List20">
    <w:name w:val="List 20"/>
    <w:rsid w:val="006464CD"/>
    <w:pPr>
      <w:numPr>
        <w:numId w:val="86"/>
      </w:numPr>
    </w:pPr>
  </w:style>
  <w:style w:type="numbering" w:customStyle="1" w:styleId="List41">
    <w:name w:val="List 41"/>
    <w:rsid w:val="006464CD"/>
    <w:pPr>
      <w:numPr>
        <w:numId w:val="87"/>
      </w:numPr>
    </w:pPr>
  </w:style>
  <w:style w:type="numbering" w:customStyle="1" w:styleId="List31">
    <w:name w:val="List 31"/>
    <w:rsid w:val="006464CD"/>
    <w:pPr>
      <w:numPr>
        <w:numId w:val="88"/>
      </w:numPr>
    </w:pPr>
  </w:style>
  <w:style w:type="numbering" w:customStyle="1" w:styleId="List6">
    <w:name w:val="List 6"/>
    <w:rsid w:val="006464CD"/>
    <w:pPr>
      <w:numPr>
        <w:numId w:val="7"/>
      </w:numPr>
    </w:pPr>
  </w:style>
  <w:style w:type="numbering" w:customStyle="1" w:styleId="List39">
    <w:name w:val="List 39"/>
    <w:rsid w:val="006464CD"/>
    <w:pPr>
      <w:numPr>
        <w:numId w:val="89"/>
      </w:numPr>
    </w:pPr>
  </w:style>
  <w:style w:type="numbering" w:customStyle="1" w:styleId="List37">
    <w:name w:val="List 37"/>
    <w:rsid w:val="006464CD"/>
    <w:pPr>
      <w:numPr>
        <w:numId w:val="90"/>
      </w:numPr>
    </w:pPr>
  </w:style>
  <w:style w:type="numbering" w:customStyle="1" w:styleId="List32">
    <w:name w:val="List 32"/>
    <w:rsid w:val="006464CD"/>
    <w:pPr>
      <w:numPr>
        <w:numId w:val="91"/>
      </w:numPr>
    </w:pPr>
  </w:style>
  <w:style w:type="numbering" w:customStyle="1" w:styleId="List26">
    <w:name w:val="List 26"/>
    <w:rsid w:val="006464CD"/>
    <w:pPr>
      <w:numPr>
        <w:numId w:val="92"/>
      </w:numPr>
    </w:pPr>
  </w:style>
  <w:style w:type="numbering" w:customStyle="1" w:styleId="List48">
    <w:name w:val="List 48"/>
    <w:rsid w:val="006464CD"/>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10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109/20</dc:title>
  <dc:subject/>
  <dc:creator/>
  <cp:keywords/>
  <dc:description/>
  <cp:lastModifiedBy/>
  <cp:revision>1</cp:revision>
  <dcterms:created xsi:type="dcterms:W3CDTF">2020-06-25T19:14:00Z</dcterms:created>
  <dcterms:modified xsi:type="dcterms:W3CDTF">2020-06-25T19:14:00Z</dcterms:modified>
</cp:coreProperties>
</file>