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4BE1C82E"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29EB7000"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83321B">
                              <w:rPr>
                                <w:rFonts w:asciiTheme="majorHAnsi" w:hAnsiTheme="majorHAnsi" w:cs="Arial"/>
                                <w:b/>
                                <w:bCs/>
                                <w:color w:val="0D0D0D" w:themeColor="text1" w:themeTint="F2"/>
                                <w:sz w:val="36"/>
                                <w:szCs w:val="40"/>
                              </w:rPr>
                              <w:t>143</w:t>
                            </w:r>
                            <w:r w:rsidR="00322450" w:rsidRPr="004B7EB6">
                              <w:rPr>
                                <w:rFonts w:asciiTheme="majorHAnsi" w:hAnsiTheme="majorHAnsi" w:cs="Arial"/>
                                <w:b/>
                                <w:bCs/>
                                <w:color w:val="0D0D0D" w:themeColor="text1" w:themeTint="F2"/>
                                <w:sz w:val="36"/>
                                <w:szCs w:val="40"/>
                              </w:rPr>
                              <w:t>/</w:t>
                            </w:r>
                            <w:r w:rsidR="0083321B">
                              <w:rPr>
                                <w:rFonts w:asciiTheme="majorHAnsi" w:hAnsiTheme="majorHAnsi" w:cs="Arial"/>
                                <w:b/>
                                <w:bCs/>
                                <w:color w:val="0D0D0D" w:themeColor="text1" w:themeTint="F2"/>
                                <w:sz w:val="36"/>
                                <w:szCs w:val="40"/>
                              </w:rPr>
                              <w:t>20</w:t>
                            </w:r>
                          </w:p>
                          <w:p w14:paraId="081F51F3" w14:textId="5C812862"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1C6F8C">
                              <w:rPr>
                                <w:rFonts w:asciiTheme="majorHAnsi" w:hAnsiTheme="majorHAnsi" w:cs="Arial"/>
                                <w:b/>
                                <w:bCs/>
                                <w:color w:val="0D0D0D" w:themeColor="text1" w:themeTint="F2"/>
                                <w:sz w:val="36"/>
                                <w:szCs w:val="40"/>
                              </w:rPr>
                              <w:t>344</w:t>
                            </w:r>
                            <w:r w:rsidR="00F621C3">
                              <w:rPr>
                                <w:rFonts w:asciiTheme="majorHAnsi" w:hAnsiTheme="majorHAnsi" w:cs="Arial"/>
                                <w:b/>
                                <w:bCs/>
                                <w:color w:val="0D0D0D" w:themeColor="text1" w:themeTint="F2"/>
                                <w:sz w:val="36"/>
                                <w:szCs w:val="40"/>
                              </w:rPr>
                              <w:t>-</w:t>
                            </w:r>
                            <w:r w:rsidR="001C6F8C">
                              <w:rPr>
                                <w:rFonts w:asciiTheme="majorHAnsi" w:hAnsiTheme="majorHAnsi" w:cs="Arial"/>
                                <w:b/>
                                <w:bCs/>
                                <w:color w:val="0D0D0D" w:themeColor="text1" w:themeTint="F2"/>
                                <w:sz w:val="36"/>
                                <w:szCs w:val="40"/>
                              </w:rPr>
                              <w:t>07</w:t>
                            </w:r>
                          </w:p>
                          <w:p w14:paraId="34978E5A" w14:textId="25791FC7"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3A58D8">
                              <w:rPr>
                                <w:rFonts w:asciiTheme="majorHAnsi" w:hAnsiTheme="majorHAnsi" w:cs="Arial"/>
                                <w:color w:val="0D0D0D" w:themeColor="text1" w:themeTint="F2"/>
                                <w:szCs w:val="22"/>
                              </w:rPr>
                              <w:t>IN</w:t>
                            </w:r>
                            <w:r w:rsidRPr="001C6F8C">
                              <w:rPr>
                                <w:rFonts w:asciiTheme="majorHAnsi" w:hAnsiTheme="majorHAnsi" w:cs="Arial"/>
                                <w:szCs w:val="22"/>
                              </w:rPr>
                              <w:t>ADMISSIBILITY</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6284C8D8" w14:textId="77777777" w:rsidR="001C6F8C" w:rsidRDefault="001C6F8C"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1C6F8C">
                              <w:rPr>
                                <w:rFonts w:ascii="Cambria" w:hAnsi="Cambria" w:cs="Arial"/>
                                <w:color w:val="0D0D0D"/>
                                <w:szCs w:val="22"/>
                              </w:rPr>
                              <w:t>DAVID EDUARDO MILLA ESPINOZA</w:t>
                            </w:r>
                          </w:p>
                          <w:p w14:paraId="48EBC31A" w14:textId="52500E75" w:rsidR="00F42B71" w:rsidRPr="004B625D" w:rsidRDefault="001C6F8C"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PERU</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29EB7000"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83321B">
                        <w:rPr>
                          <w:rFonts w:asciiTheme="majorHAnsi" w:hAnsiTheme="majorHAnsi" w:cs="Arial"/>
                          <w:b/>
                          <w:bCs/>
                          <w:color w:val="0D0D0D" w:themeColor="text1" w:themeTint="F2"/>
                          <w:sz w:val="36"/>
                          <w:szCs w:val="40"/>
                        </w:rPr>
                        <w:t>143</w:t>
                      </w:r>
                      <w:r w:rsidR="00322450" w:rsidRPr="004B7EB6">
                        <w:rPr>
                          <w:rFonts w:asciiTheme="majorHAnsi" w:hAnsiTheme="majorHAnsi" w:cs="Arial"/>
                          <w:b/>
                          <w:bCs/>
                          <w:color w:val="0D0D0D" w:themeColor="text1" w:themeTint="F2"/>
                          <w:sz w:val="36"/>
                          <w:szCs w:val="40"/>
                        </w:rPr>
                        <w:t>/</w:t>
                      </w:r>
                      <w:r w:rsidR="0083321B">
                        <w:rPr>
                          <w:rFonts w:asciiTheme="majorHAnsi" w:hAnsiTheme="majorHAnsi" w:cs="Arial"/>
                          <w:b/>
                          <w:bCs/>
                          <w:color w:val="0D0D0D" w:themeColor="text1" w:themeTint="F2"/>
                          <w:sz w:val="36"/>
                          <w:szCs w:val="40"/>
                        </w:rPr>
                        <w:t>20</w:t>
                      </w:r>
                    </w:p>
                    <w:p w14:paraId="081F51F3" w14:textId="5C812862"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1C6F8C">
                        <w:rPr>
                          <w:rFonts w:asciiTheme="majorHAnsi" w:hAnsiTheme="majorHAnsi" w:cs="Arial"/>
                          <w:b/>
                          <w:bCs/>
                          <w:color w:val="0D0D0D" w:themeColor="text1" w:themeTint="F2"/>
                          <w:sz w:val="36"/>
                          <w:szCs w:val="40"/>
                        </w:rPr>
                        <w:t>344</w:t>
                      </w:r>
                      <w:r w:rsidR="00F621C3">
                        <w:rPr>
                          <w:rFonts w:asciiTheme="majorHAnsi" w:hAnsiTheme="majorHAnsi" w:cs="Arial"/>
                          <w:b/>
                          <w:bCs/>
                          <w:color w:val="0D0D0D" w:themeColor="text1" w:themeTint="F2"/>
                          <w:sz w:val="36"/>
                          <w:szCs w:val="40"/>
                        </w:rPr>
                        <w:t>-</w:t>
                      </w:r>
                      <w:r w:rsidR="001C6F8C">
                        <w:rPr>
                          <w:rFonts w:asciiTheme="majorHAnsi" w:hAnsiTheme="majorHAnsi" w:cs="Arial"/>
                          <w:b/>
                          <w:bCs/>
                          <w:color w:val="0D0D0D" w:themeColor="text1" w:themeTint="F2"/>
                          <w:sz w:val="36"/>
                          <w:szCs w:val="40"/>
                        </w:rPr>
                        <w:t>07</w:t>
                      </w:r>
                    </w:p>
                    <w:p w14:paraId="34978E5A" w14:textId="25791FC7"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3A58D8">
                        <w:rPr>
                          <w:rFonts w:asciiTheme="majorHAnsi" w:hAnsiTheme="majorHAnsi" w:cs="Arial"/>
                          <w:color w:val="0D0D0D" w:themeColor="text1" w:themeTint="F2"/>
                          <w:szCs w:val="22"/>
                        </w:rPr>
                        <w:t>IN</w:t>
                      </w:r>
                      <w:r w:rsidRPr="001C6F8C">
                        <w:rPr>
                          <w:rFonts w:asciiTheme="majorHAnsi" w:hAnsiTheme="majorHAnsi" w:cs="Arial"/>
                          <w:szCs w:val="22"/>
                        </w:rPr>
                        <w:t>ADMISSIBILITY</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6284C8D8" w14:textId="77777777" w:rsidR="001C6F8C" w:rsidRDefault="001C6F8C"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1C6F8C">
                        <w:rPr>
                          <w:rFonts w:ascii="Cambria" w:hAnsi="Cambria" w:cs="Arial"/>
                          <w:color w:val="0D0D0D"/>
                          <w:szCs w:val="22"/>
                        </w:rPr>
                        <w:t>DAVID EDUARDO MILLA ESPINOZA</w:t>
                      </w:r>
                    </w:p>
                    <w:p w14:paraId="48EBC31A" w14:textId="52500E75" w:rsidR="00F42B71" w:rsidRPr="004B625D" w:rsidRDefault="001C6F8C"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PERU</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314CEBFB"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19C7A8AC"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83321B">
                              <w:rPr>
                                <w:rFonts w:asciiTheme="minorHAnsi" w:hAnsiTheme="minorHAnsi"/>
                                <w:color w:val="FFFFFF" w:themeColor="background1"/>
                                <w:sz w:val="22"/>
                                <w:lang w:val="pt-BR"/>
                              </w:rPr>
                              <w:t xml:space="preserve"> 153</w:t>
                            </w:r>
                          </w:p>
                          <w:p w14:paraId="2769D779" w14:textId="26D8623E" w:rsidR="0083321B" w:rsidRDefault="00022CF5" w:rsidP="009E566A">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83321B">
                              <w:rPr>
                                <w:rFonts w:asciiTheme="minorHAnsi" w:hAnsiTheme="minorHAnsi"/>
                                <w:color w:val="FFFFFF" w:themeColor="background1"/>
                                <w:sz w:val="22"/>
                              </w:rPr>
                              <w:t>1 June 2020</w:t>
                            </w:r>
                          </w:p>
                          <w:p w14:paraId="0FC103BD" w14:textId="30E2842B"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83321B">
                              <w:rPr>
                                <w:rFonts w:asciiTheme="minorHAnsi" w:hAnsiTheme="minorHAnsi"/>
                                <w:color w:val="FFFFFF" w:themeColor="background1"/>
                                <w:sz w:val="22"/>
                              </w:rPr>
                              <w:t xml:space="preserve">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314CEBFB"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19C7A8AC"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83321B">
                        <w:rPr>
                          <w:rFonts w:asciiTheme="minorHAnsi" w:hAnsiTheme="minorHAnsi"/>
                          <w:color w:val="FFFFFF" w:themeColor="background1"/>
                          <w:sz w:val="22"/>
                          <w:lang w:val="pt-BR"/>
                        </w:rPr>
                        <w:t xml:space="preserve"> 153</w:t>
                      </w:r>
                    </w:p>
                    <w:p w14:paraId="2769D779" w14:textId="26D8623E" w:rsidR="0083321B" w:rsidRDefault="00022CF5" w:rsidP="009E566A">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83321B">
                        <w:rPr>
                          <w:rFonts w:asciiTheme="minorHAnsi" w:hAnsiTheme="minorHAnsi"/>
                          <w:color w:val="FFFFFF" w:themeColor="background1"/>
                          <w:sz w:val="22"/>
                        </w:rPr>
                        <w:t>1 June 2020</w:t>
                      </w:r>
                    </w:p>
                    <w:p w14:paraId="0FC103BD" w14:textId="30E2842B"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83321B">
                        <w:rPr>
                          <w:rFonts w:asciiTheme="minorHAnsi" w:hAnsiTheme="minorHAnsi"/>
                          <w:color w:val="FFFFFF" w:themeColor="background1"/>
                          <w:sz w:val="22"/>
                        </w:rPr>
                        <w:t xml:space="preserve"> 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755D5BA8"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83321B">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w:t>
                            </w:r>
                            <w:r w:rsidR="0083321B">
                              <w:rPr>
                                <w:rFonts w:asciiTheme="majorHAnsi" w:hAnsiTheme="majorHAnsi"/>
                                <w:color w:val="0D0D0D" w:themeColor="text1" w:themeTint="F2"/>
                                <w:sz w:val="18"/>
                                <w:szCs w:val="20"/>
                              </w:rPr>
                              <w:t>on June 1,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755D5BA8"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83321B">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w:t>
                      </w:r>
                      <w:r w:rsidR="0083321B">
                        <w:rPr>
                          <w:rFonts w:asciiTheme="majorHAnsi" w:hAnsiTheme="majorHAnsi"/>
                          <w:color w:val="0D0D0D" w:themeColor="text1" w:themeTint="F2"/>
                          <w:sz w:val="18"/>
                          <w:szCs w:val="20"/>
                        </w:rPr>
                        <w:t>on June 1, 2020.</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7DAEAE26"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83321B">
                              <w:rPr>
                                <w:rFonts w:asciiTheme="majorHAnsi" w:hAnsiTheme="majorHAnsi"/>
                                <w:color w:val="595959" w:themeColor="text1" w:themeTint="A6"/>
                                <w:sz w:val="18"/>
                              </w:rPr>
                              <w:t>143</w:t>
                            </w:r>
                            <w:r w:rsidR="00022CF5" w:rsidRPr="00B110AF">
                              <w:rPr>
                                <w:rFonts w:asciiTheme="majorHAnsi" w:hAnsiTheme="majorHAnsi"/>
                                <w:color w:val="595959" w:themeColor="text1" w:themeTint="A6"/>
                                <w:sz w:val="18"/>
                              </w:rPr>
                              <w:t>/</w:t>
                            </w:r>
                            <w:r w:rsidR="0083321B">
                              <w:rPr>
                                <w:rFonts w:asciiTheme="majorHAnsi" w:hAnsiTheme="majorHAnsi"/>
                                <w:color w:val="595959" w:themeColor="text1" w:themeTint="A6"/>
                                <w:sz w:val="18"/>
                              </w:rPr>
                              <w:t>20</w:t>
                            </w:r>
                            <w:r w:rsidRPr="00B110AF">
                              <w:rPr>
                                <w:rFonts w:asciiTheme="majorHAnsi" w:hAnsiTheme="majorHAnsi"/>
                                <w:color w:val="595959" w:themeColor="text1" w:themeTint="A6"/>
                                <w:sz w:val="18"/>
                              </w:rPr>
                              <w:t xml:space="preserve">, </w:t>
                            </w:r>
                            <w:r w:rsidR="00F42B71" w:rsidRPr="00B110AF">
                              <w:rPr>
                                <w:rFonts w:asciiTheme="majorHAnsi" w:hAnsiTheme="majorHAnsi"/>
                                <w:color w:val="595959" w:themeColor="text1" w:themeTint="A6"/>
                                <w:sz w:val="18"/>
                              </w:rPr>
                              <w:t xml:space="preserve">Petition </w:t>
                            </w:r>
                            <w:r w:rsidR="00380B39">
                              <w:rPr>
                                <w:rFonts w:asciiTheme="majorHAnsi" w:hAnsiTheme="majorHAnsi"/>
                                <w:color w:val="595959" w:themeColor="text1" w:themeTint="A6"/>
                                <w:sz w:val="18"/>
                              </w:rPr>
                              <w:t>344</w:t>
                            </w:r>
                            <w:r w:rsidR="00F621C3" w:rsidRPr="00B110AF">
                              <w:rPr>
                                <w:rFonts w:asciiTheme="majorHAnsi" w:hAnsiTheme="majorHAnsi"/>
                                <w:color w:val="595959" w:themeColor="text1" w:themeTint="A6"/>
                                <w:sz w:val="18"/>
                              </w:rPr>
                              <w:t>-</w:t>
                            </w:r>
                            <w:r w:rsidR="00380B39">
                              <w:rPr>
                                <w:rFonts w:asciiTheme="majorHAnsi" w:hAnsiTheme="majorHAnsi"/>
                                <w:color w:val="595959" w:themeColor="text1" w:themeTint="A6"/>
                                <w:sz w:val="18"/>
                              </w:rPr>
                              <w:t>07</w:t>
                            </w:r>
                            <w:r w:rsidRPr="00B110AF">
                              <w:rPr>
                                <w:rFonts w:asciiTheme="majorHAnsi" w:hAnsiTheme="majorHAnsi"/>
                                <w:color w:val="595959" w:themeColor="text1" w:themeTint="A6"/>
                                <w:sz w:val="18"/>
                              </w:rPr>
                              <w:t>.</w:t>
                            </w:r>
                            <w:r w:rsidR="009E566A" w:rsidRPr="00B110AF">
                              <w:rPr>
                                <w:rFonts w:asciiTheme="majorHAnsi" w:hAnsiTheme="majorHAnsi"/>
                                <w:color w:val="595959" w:themeColor="text1" w:themeTint="A6"/>
                                <w:sz w:val="18"/>
                              </w:rPr>
                              <w:t xml:space="preserve"> </w:t>
                            </w:r>
                            <w:r w:rsidR="003A58D8">
                              <w:rPr>
                                <w:rFonts w:asciiTheme="majorHAnsi" w:hAnsiTheme="majorHAnsi"/>
                                <w:color w:val="595959" w:themeColor="text1" w:themeTint="A6"/>
                                <w:sz w:val="18"/>
                                <w:lang w:val="pt-BR"/>
                              </w:rPr>
                              <w:t>Ina</w:t>
                            </w:r>
                            <w:r w:rsidR="00F42B71" w:rsidRPr="003A58D8">
                              <w:rPr>
                                <w:rFonts w:asciiTheme="majorHAnsi" w:hAnsiTheme="majorHAnsi"/>
                                <w:color w:val="595959" w:themeColor="text1" w:themeTint="A6"/>
                                <w:sz w:val="18"/>
                                <w:lang w:val="pt-BR"/>
                              </w:rPr>
                              <w:t>dmissibility</w:t>
                            </w:r>
                            <w:r w:rsidRPr="003A58D8">
                              <w:rPr>
                                <w:rFonts w:asciiTheme="majorHAnsi" w:hAnsiTheme="majorHAnsi"/>
                                <w:color w:val="595959" w:themeColor="text1" w:themeTint="A6"/>
                                <w:sz w:val="18"/>
                                <w:lang w:val="pt-BR"/>
                              </w:rPr>
                              <w:t xml:space="preserve">. </w:t>
                            </w:r>
                            <w:r w:rsidR="00380B39" w:rsidRPr="003A58D8">
                              <w:rPr>
                                <w:rFonts w:asciiTheme="majorHAnsi" w:hAnsiTheme="majorHAnsi"/>
                                <w:color w:val="595959" w:themeColor="text1" w:themeTint="A6"/>
                                <w:sz w:val="18"/>
                                <w:lang w:val="pt-BR"/>
                              </w:rPr>
                              <w:t>David Eduardo Milla Espinoza. Peru</w:t>
                            </w:r>
                            <w:r w:rsidR="00022CF5" w:rsidRPr="003A58D8">
                              <w:rPr>
                                <w:rFonts w:asciiTheme="majorHAnsi" w:hAnsiTheme="majorHAnsi"/>
                                <w:color w:val="595959" w:themeColor="text1" w:themeTint="A6"/>
                                <w:sz w:val="18"/>
                                <w:lang w:val="pt-BR"/>
                              </w:rPr>
                              <w:t xml:space="preserve">. </w:t>
                            </w:r>
                            <w:r w:rsidR="0083321B">
                              <w:rPr>
                                <w:rFonts w:asciiTheme="majorHAnsi" w:hAnsiTheme="majorHAnsi"/>
                                <w:color w:val="595959" w:themeColor="text1" w:themeTint="A6"/>
                                <w:sz w:val="18"/>
                              </w:rPr>
                              <w:t>June 1, 2020</w:t>
                            </w:r>
                            <w:r w:rsidR="00F621C3">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7DAEAE26"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w:t>
                      </w:r>
                      <w:proofErr w:type="gramStart"/>
                      <w:r w:rsidRPr="003C32BC">
                        <w:rPr>
                          <w:rFonts w:asciiTheme="majorHAnsi" w:hAnsiTheme="majorHAnsi"/>
                          <w:b/>
                          <w:color w:val="595959" w:themeColor="text1" w:themeTint="A6"/>
                          <w:sz w:val="18"/>
                        </w:rPr>
                        <w:t>as:</w:t>
                      </w:r>
                      <w:proofErr w:type="gramEnd"/>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83321B">
                        <w:rPr>
                          <w:rFonts w:asciiTheme="majorHAnsi" w:hAnsiTheme="majorHAnsi"/>
                          <w:color w:val="595959" w:themeColor="text1" w:themeTint="A6"/>
                          <w:sz w:val="18"/>
                        </w:rPr>
                        <w:t>143</w:t>
                      </w:r>
                      <w:r w:rsidR="00022CF5" w:rsidRPr="00B110AF">
                        <w:rPr>
                          <w:rFonts w:asciiTheme="majorHAnsi" w:hAnsiTheme="majorHAnsi"/>
                          <w:color w:val="595959" w:themeColor="text1" w:themeTint="A6"/>
                          <w:sz w:val="18"/>
                        </w:rPr>
                        <w:t>/</w:t>
                      </w:r>
                      <w:r w:rsidR="0083321B">
                        <w:rPr>
                          <w:rFonts w:asciiTheme="majorHAnsi" w:hAnsiTheme="majorHAnsi"/>
                          <w:color w:val="595959" w:themeColor="text1" w:themeTint="A6"/>
                          <w:sz w:val="18"/>
                        </w:rPr>
                        <w:t>20</w:t>
                      </w:r>
                      <w:r w:rsidRPr="00B110AF">
                        <w:rPr>
                          <w:rFonts w:asciiTheme="majorHAnsi" w:hAnsiTheme="majorHAnsi"/>
                          <w:color w:val="595959" w:themeColor="text1" w:themeTint="A6"/>
                          <w:sz w:val="18"/>
                        </w:rPr>
                        <w:t xml:space="preserve">, </w:t>
                      </w:r>
                      <w:r w:rsidR="00F42B71" w:rsidRPr="00B110AF">
                        <w:rPr>
                          <w:rFonts w:asciiTheme="majorHAnsi" w:hAnsiTheme="majorHAnsi"/>
                          <w:color w:val="595959" w:themeColor="text1" w:themeTint="A6"/>
                          <w:sz w:val="18"/>
                        </w:rPr>
                        <w:t xml:space="preserve">Petition </w:t>
                      </w:r>
                      <w:r w:rsidR="00380B39">
                        <w:rPr>
                          <w:rFonts w:asciiTheme="majorHAnsi" w:hAnsiTheme="majorHAnsi"/>
                          <w:color w:val="595959" w:themeColor="text1" w:themeTint="A6"/>
                          <w:sz w:val="18"/>
                        </w:rPr>
                        <w:t>344</w:t>
                      </w:r>
                      <w:r w:rsidR="00F621C3" w:rsidRPr="00B110AF">
                        <w:rPr>
                          <w:rFonts w:asciiTheme="majorHAnsi" w:hAnsiTheme="majorHAnsi"/>
                          <w:color w:val="595959" w:themeColor="text1" w:themeTint="A6"/>
                          <w:sz w:val="18"/>
                        </w:rPr>
                        <w:t>-</w:t>
                      </w:r>
                      <w:r w:rsidR="00380B39">
                        <w:rPr>
                          <w:rFonts w:asciiTheme="majorHAnsi" w:hAnsiTheme="majorHAnsi"/>
                          <w:color w:val="595959" w:themeColor="text1" w:themeTint="A6"/>
                          <w:sz w:val="18"/>
                        </w:rPr>
                        <w:t>07</w:t>
                      </w:r>
                      <w:r w:rsidRPr="00B110AF">
                        <w:rPr>
                          <w:rFonts w:asciiTheme="majorHAnsi" w:hAnsiTheme="majorHAnsi"/>
                          <w:color w:val="595959" w:themeColor="text1" w:themeTint="A6"/>
                          <w:sz w:val="18"/>
                        </w:rPr>
                        <w:t>.</w:t>
                      </w:r>
                      <w:r w:rsidR="009E566A" w:rsidRPr="00B110AF">
                        <w:rPr>
                          <w:rFonts w:asciiTheme="majorHAnsi" w:hAnsiTheme="majorHAnsi"/>
                          <w:color w:val="595959" w:themeColor="text1" w:themeTint="A6"/>
                          <w:sz w:val="18"/>
                        </w:rPr>
                        <w:t xml:space="preserve"> </w:t>
                      </w:r>
                      <w:r w:rsidR="003A58D8">
                        <w:rPr>
                          <w:rFonts w:asciiTheme="majorHAnsi" w:hAnsiTheme="majorHAnsi"/>
                          <w:color w:val="595959" w:themeColor="text1" w:themeTint="A6"/>
                          <w:sz w:val="18"/>
                          <w:lang w:val="pt-BR"/>
                        </w:rPr>
                        <w:t>Ina</w:t>
                      </w:r>
                      <w:r w:rsidR="00F42B71" w:rsidRPr="003A58D8">
                        <w:rPr>
                          <w:rFonts w:asciiTheme="majorHAnsi" w:hAnsiTheme="majorHAnsi"/>
                          <w:color w:val="595959" w:themeColor="text1" w:themeTint="A6"/>
                          <w:sz w:val="18"/>
                          <w:lang w:val="pt-BR"/>
                        </w:rPr>
                        <w:t>dmissibility</w:t>
                      </w:r>
                      <w:r w:rsidRPr="003A58D8">
                        <w:rPr>
                          <w:rFonts w:asciiTheme="majorHAnsi" w:hAnsiTheme="majorHAnsi"/>
                          <w:color w:val="595959" w:themeColor="text1" w:themeTint="A6"/>
                          <w:sz w:val="18"/>
                          <w:lang w:val="pt-BR"/>
                        </w:rPr>
                        <w:t xml:space="preserve">. </w:t>
                      </w:r>
                      <w:r w:rsidR="00380B39" w:rsidRPr="003A58D8">
                        <w:rPr>
                          <w:rFonts w:asciiTheme="majorHAnsi" w:hAnsiTheme="majorHAnsi"/>
                          <w:color w:val="595959" w:themeColor="text1" w:themeTint="A6"/>
                          <w:sz w:val="18"/>
                          <w:lang w:val="pt-BR"/>
                        </w:rPr>
                        <w:t>David Eduardo Milla Espinoza. Peru</w:t>
                      </w:r>
                      <w:r w:rsidR="00022CF5" w:rsidRPr="003A58D8">
                        <w:rPr>
                          <w:rFonts w:asciiTheme="majorHAnsi" w:hAnsiTheme="majorHAnsi"/>
                          <w:color w:val="595959" w:themeColor="text1" w:themeTint="A6"/>
                          <w:sz w:val="18"/>
                          <w:lang w:val="pt-BR"/>
                        </w:rPr>
                        <w:t xml:space="preserve">. </w:t>
                      </w:r>
                      <w:r w:rsidR="0083321B">
                        <w:rPr>
                          <w:rFonts w:asciiTheme="majorHAnsi" w:hAnsiTheme="majorHAnsi"/>
                          <w:color w:val="595959" w:themeColor="text1" w:themeTint="A6"/>
                          <w:sz w:val="18"/>
                        </w:rPr>
                        <w:t>June 1, 2020</w:t>
                      </w:r>
                      <w:r w:rsidR="00F621C3">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5E399E41" w:rsidR="003C32BC" w:rsidRDefault="00D55C88">
                            <w:r>
                              <w:rPr>
                                <w:noProof/>
                                <w:color w:val="FFFFFF" w:themeColor="background1"/>
                              </w:rPr>
                              <w:drawing>
                                <wp:inline distT="0" distB="0" distL="0" distR="0" wp14:anchorId="63791C79" wp14:editId="38462746">
                                  <wp:extent cx="1837690" cy="4692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9517FC" id="_x0000_t202" coordsize="21600,21600" o:spt="202" path="m,l,21600r21600,l21600,xe">
                <v:stroke joinstyle="miter"/>
                <v:path gradientshapeok="t" o:connecttype="rect"/>
              </v:shapetype>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5E399E41" w:rsidR="003C32BC" w:rsidRDefault="00D55C88">
                      <w:r>
                        <w:rPr>
                          <w:noProof/>
                          <w:color w:val="FFFFFF" w:themeColor="background1"/>
                        </w:rPr>
                        <w:drawing>
                          <wp:inline distT="0" distB="0" distL="0" distR="0" wp14:anchorId="63791C79" wp14:editId="38462746">
                            <wp:extent cx="1837690" cy="4692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C355B4">
      <w:pPr>
        <w:spacing w:after="12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621C3" w:rsidRPr="000B6B7A" w14:paraId="491E8196" w14:textId="77777777" w:rsidTr="00C355B4">
        <w:tc>
          <w:tcPr>
            <w:tcW w:w="2790" w:type="dxa"/>
            <w:tcBorders>
              <w:top w:val="single" w:sz="4" w:space="0" w:color="auto"/>
              <w:bottom w:val="single" w:sz="6" w:space="0" w:color="auto"/>
            </w:tcBorders>
            <w:shd w:val="clear" w:color="auto" w:fill="67AE3C"/>
            <w:vAlign w:val="center"/>
          </w:tcPr>
          <w:p w14:paraId="5524F917" w14:textId="24898A81" w:rsidR="00F621C3" w:rsidRPr="00C355B4" w:rsidRDefault="003771A3" w:rsidP="009163F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Petitioner</w:t>
            </w:r>
          </w:p>
        </w:tc>
        <w:tc>
          <w:tcPr>
            <w:tcW w:w="6570" w:type="dxa"/>
            <w:vAlign w:val="center"/>
          </w:tcPr>
          <w:p w14:paraId="0674C7B8" w14:textId="550EF492" w:rsidR="00F621C3" w:rsidRPr="00C355B4" w:rsidRDefault="00380B39" w:rsidP="009163FC">
            <w:pPr>
              <w:jc w:val="both"/>
              <w:rPr>
                <w:rFonts w:ascii="Cambria" w:hAnsi="Cambria"/>
                <w:bCs/>
                <w:sz w:val="19"/>
                <w:szCs w:val="19"/>
              </w:rPr>
            </w:pPr>
            <w:r>
              <w:rPr>
                <w:rFonts w:ascii="Cambria" w:hAnsi="Cambria"/>
                <w:bCs/>
                <w:sz w:val="19"/>
                <w:szCs w:val="19"/>
              </w:rPr>
              <w:t xml:space="preserve">Leonardo Humberto </w:t>
            </w:r>
            <w:proofErr w:type="spellStart"/>
            <w:r>
              <w:rPr>
                <w:rFonts w:ascii="Cambria" w:hAnsi="Cambria"/>
                <w:bCs/>
                <w:sz w:val="19"/>
                <w:szCs w:val="19"/>
              </w:rPr>
              <w:t>Peñaranda</w:t>
            </w:r>
            <w:proofErr w:type="spellEnd"/>
            <w:r>
              <w:rPr>
                <w:rFonts w:ascii="Cambria" w:hAnsi="Cambria"/>
                <w:bCs/>
                <w:sz w:val="19"/>
                <w:szCs w:val="19"/>
              </w:rPr>
              <w:t xml:space="preserve"> </w:t>
            </w:r>
            <w:proofErr w:type="spellStart"/>
            <w:r>
              <w:rPr>
                <w:rFonts w:ascii="Cambria" w:hAnsi="Cambria"/>
                <w:bCs/>
                <w:sz w:val="19"/>
                <w:szCs w:val="19"/>
              </w:rPr>
              <w:t>Sadova</w:t>
            </w:r>
            <w:proofErr w:type="spellEnd"/>
          </w:p>
        </w:tc>
      </w:tr>
      <w:tr w:rsidR="00F621C3" w:rsidRPr="000B6B7A" w14:paraId="0F4A57A0" w14:textId="77777777" w:rsidTr="00C355B4">
        <w:tc>
          <w:tcPr>
            <w:tcW w:w="2790" w:type="dxa"/>
            <w:tcBorders>
              <w:top w:val="single" w:sz="6" w:space="0" w:color="auto"/>
              <w:bottom w:val="single" w:sz="6" w:space="0" w:color="auto"/>
            </w:tcBorders>
            <w:shd w:val="clear" w:color="auto" w:fill="67AE3C"/>
            <w:vAlign w:val="center"/>
          </w:tcPr>
          <w:p w14:paraId="325E239F" w14:textId="315FD772" w:rsidR="00F621C3" w:rsidRPr="00C355B4" w:rsidRDefault="00C355B4" w:rsidP="009163F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Alleged victim</w:t>
            </w:r>
          </w:p>
        </w:tc>
        <w:tc>
          <w:tcPr>
            <w:tcW w:w="6570" w:type="dxa"/>
            <w:vAlign w:val="center"/>
          </w:tcPr>
          <w:p w14:paraId="60895337" w14:textId="27D2F794" w:rsidR="00F621C3" w:rsidRPr="00C355B4" w:rsidRDefault="00380B39" w:rsidP="009163FC">
            <w:pPr>
              <w:jc w:val="both"/>
              <w:rPr>
                <w:rFonts w:ascii="Cambria" w:hAnsi="Cambria"/>
                <w:bCs/>
                <w:sz w:val="19"/>
                <w:szCs w:val="19"/>
              </w:rPr>
            </w:pPr>
            <w:r>
              <w:rPr>
                <w:rFonts w:ascii="Cambria" w:hAnsi="Cambria"/>
                <w:bCs/>
                <w:sz w:val="19"/>
                <w:szCs w:val="19"/>
              </w:rPr>
              <w:t xml:space="preserve">David Eduardo </w:t>
            </w:r>
            <w:proofErr w:type="spellStart"/>
            <w:r>
              <w:rPr>
                <w:rFonts w:ascii="Cambria" w:hAnsi="Cambria"/>
                <w:bCs/>
                <w:sz w:val="19"/>
                <w:szCs w:val="19"/>
              </w:rPr>
              <w:t>Milla</w:t>
            </w:r>
            <w:proofErr w:type="spellEnd"/>
            <w:r>
              <w:rPr>
                <w:rFonts w:ascii="Cambria" w:hAnsi="Cambria"/>
                <w:bCs/>
                <w:sz w:val="19"/>
                <w:szCs w:val="19"/>
              </w:rPr>
              <w:t xml:space="preserve"> Espinoza</w:t>
            </w:r>
          </w:p>
        </w:tc>
      </w:tr>
      <w:tr w:rsidR="00F621C3" w:rsidRPr="000B6B7A" w14:paraId="067638D2" w14:textId="77777777" w:rsidTr="00C355B4">
        <w:tc>
          <w:tcPr>
            <w:tcW w:w="2790" w:type="dxa"/>
            <w:tcBorders>
              <w:top w:val="single" w:sz="6" w:space="0" w:color="auto"/>
              <w:bottom w:val="single" w:sz="6" w:space="0" w:color="auto"/>
            </w:tcBorders>
            <w:shd w:val="clear" w:color="auto" w:fill="67AE3C"/>
            <w:vAlign w:val="center"/>
          </w:tcPr>
          <w:p w14:paraId="32104528" w14:textId="69A38811" w:rsidR="00F621C3" w:rsidRPr="00C355B4" w:rsidRDefault="005816E5" w:rsidP="005816E5">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Respondent </w:t>
            </w:r>
            <w:r w:rsidR="00C355B4">
              <w:rPr>
                <w:rFonts w:ascii="Cambria" w:hAnsi="Cambria"/>
                <w:bCs/>
                <w:color w:val="FFFFFF" w:themeColor="background1"/>
                <w:sz w:val="19"/>
                <w:szCs w:val="19"/>
              </w:rPr>
              <w:t>State</w:t>
            </w:r>
          </w:p>
        </w:tc>
        <w:tc>
          <w:tcPr>
            <w:tcW w:w="6570" w:type="dxa"/>
            <w:vAlign w:val="center"/>
          </w:tcPr>
          <w:p w14:paraId="3539D391" w14:textId="6D4B15C4" w:rsidR="00F621C3" w:rsidRPr="00C355B4" w:rsidRDefault="00380B39" w:rsidP="009163FC">
            <w:pPr>
              <w:jc w:val="both"/>
              <w:rPr>
                <w:rFonts w:ascii="Cambria" w:hAnsi="Cambria"/>
                <w:bCs/>
                <w:sz w:val="19"/>
                <w:szCs w:val="19"/>
              </w:rPr>
            </w:pPr>
            <w:r w:rsidRPr="00666340">
              <w:rPr>
                <w:rFonts w:ascii="Cambria" w:hAnsi="Cambria"/>
                <w:bCs/>
                <w:sz w:val="19"/>
                <w:szCs w:val="19"/>
              </w:rPr>
              <w:t>Per</w:t>
            </w:r>
            <w:r>
              <w:rPr>
                <w:rFonts w:ascii="Cambria" w:hAnsi="Cambria"/>
                <w:bCs/>
                <w:sz w:val="19"/>
                <w:szCs w:val="19"/>
              </w:rPr>
              <w:t>u</w:t>
            </w:r>
            <w:r w:rsidRPr="00666340">
              <w:rPr>
                <w:rFonts w:ascii="Cambria" w:hAnsi="Cambria"/>
                <w:bCs/>
                <w:sz w:val="19"/>
                <w:szCs w:val="19"/>
                <w:vertAlign w:val="superscript"/>
              </w:rPr>
              <w:footnoteReference w:id="2"/>
            </w:r>
          </w:p>
        </w:tc>
      </w:tr>
      <w:tr w:rsidR="00E47F3D" w:rsidRPr="000B6B7A" w14:paraId="57F2C481" w14:textId="77777777" w:rsidTr="00C355B4">
        <w:tc>
          <w:tcPr>
            <w:tcW w:w="2790" w:type="dxa"/>
            <w:tcBorders>
              <w:top w:val="single" w:sz="6" w:space="0" w:color="auto"/>
              <w:bottom w:val="single" w:sz="6" w:space="0" w:color="auto"/>
            </w:tcBorders>
            <w:shd w:val="clear" w:color="auto" w:fill="67AE3C"/>
            <w:vAlign w:val="center"/>
          </w:tcPr>
          <w:p w14:paraId="62BEEF4B" w14:textId="5FB9688D" w:rsidR="00E47F3D" w:rsidRPr="00C355B4" w:rsidRDefault="00E47F3D" w:rsidP="00E7588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Rights </w:t>
            </w:r>
            <w:r w:rsidR="00C355B4">
              <w:rPr>
                <w:rFonts w:ascii="Cambria" w:hAnsi="Cambria"/>
                <w:bCs/>
                <w:color w:val="FFFFFF" w:themeColor="background1"/>
                <w:sz w:val="19"/>
                <w:szCs w:val="19"/>
              </w:rPr>
              <w:t>invoked</w:t>
            </w:r>
          </w:p>
        </w:tc>
        <w:tc>
          <w:tcPr>
            <w:tcW w:w="6570" w:type="dxa"/>
            <w:vAlign w:val="center"/>
          </w:tcPr>
          <w:p w14:paraId="51EEF9D2" w14:textId="4CC037E1" w:rsidR="00E47F3D" w:rsidRPr="00C355B4" w:rsidRDefault="00380B39" w:rsidP="009163FC">
            <w:pPr>
              <w:jc w:val="both"/>
              <w:rPr>
                <w:rFonts w:ascii="Cambria" w:hAnsi="Cambria"/>
                <w:bCs/>
                <w:sz w:val="19"/>
                <w:szCs w:val="19"/>
              </w:rPr>
            </w:pPr>
            <w:r w:rsidRPr="00666340">
              <w:rPr>
                <w:rFonts w:ascii="Cambria" w:hAnsi="Cambria"/>
                <w:bCs/>
                <w:sz w:val="19"/>
                <w:szCs w:val="19"/>
              </w:rPr>
              <w:t xml:space="preserve">Articles </w:t>
            </w:r>
            <w:r>
              <w:rPr>
                <w:rFonts w:ascii="Cambria" w:hAnsi="Cambria"/>
                <w:bCs/>
                <w:sz w:val="19"/>
                <w:szCs w:val="19"/>
              </w:rPr>
              <w:t xml:space="preserve">7 (personal liberty) and 8 (judicial guarantee) </w:t>
            </w:r>
            <w:r w:rsidRPr="00666340">
              <w:rPr>
                <w:rFonts w:ascii="Cambria" w:hAnsi="Cambria"/>
                <w:bCs/>
                <w:sz w:val="19"/>
                <w:szCs w:val="19"/>
              </w:rPr>
              <w:t>of the American Convention on Human Rights</w:t>
            </w:r>
            <w:r w:rsidRPr="00666340">
              <w:rPr>
                <w:rFonts w:ascii="Cambria" w:hAnsi="Cambria"/>
                <w:bCs/>
                <w:sz w:val="19"/>
                <w:szCs w:val="19"/>
                <w:vertAlign w:val="superscript"/>
              </w:rPr>
              <w:footnoteReference w:id="3"/>
            </w:r>
            <w:r w:rsidRPr="00666340">
              <w:rPr>
                <w:rFonts w:ascii="Cambria" w:hAnsi="Cambria"/>
                <w:sz w:val="20"/>
                <w:szCs w:val="20"/>
              </w:rPr>
              <w:t xml:space="preserve"> </w:t>
            </w:r>
            <w:r>
              <w:rPr>
                <w:rFonts w:ascii="Cambria" w:hAnsi="Cambria"/>
                <w:sz w:val="20"/>
                <w:szCs w:val="20"/>
              </w:rPr>
              <w:t>in relation to article 1.1 (obligation to respect rights) and other international treaties</w:t>
            </w:r>
            <w:r>
              <w:rPr>
                <w:rStyle w:val="FootnoteReference"/>
                <w:rFonts w:ascii="Cambria" w:hAnsi="Cambria"/>
                <w:sz w:val="20"/>
                <w:szCs w:val="20"/>
              </w:rPr>
              <w:footnoteReference w:id="4"/>
            </w:r>
            <w:r w:rsidRPr="00666340">
              <w:rPr>
                <w:rFonts w:ascii="Cambria" w:hAnsi="Cambria"/>
                <w:bCs/>
                <w:sz w:val="19"/>
                <w:szCs w:val="19"/>
              </w:rPr>
              <w:t xml:space="preserve">  </w:t>
            </w:r>
          </w:p>
        </w:tc>
      </w:tr>
    </w:tbl>
    <w:p w14:paraId="006E8D49" w14:textId="1C646C41" w:rsidR="00F621C3" w:rsidRPr="000B6B7A" w:rsidRDefault="00F621C3" w:rsidP="00C355B4">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80B39" w:rsidRPr="000B6B7A" w14:paraId="1CAEC3AF" w14:textId="77777777" w:rsidTr="00380B39">
        <w:tc>
          <w:tcPr>
            <w:tcW w:w="2790" w:type="dxa"/>
            <w:tcBorders>
              <w:top w:val="single" w:sz="6" w:space="0" w:color="auto"/>
              <w:bottom w:val="single" w:sz="6" w:space="0" w:color="auto"/>
            </w:tcBorders>
            <w:shd w:val="clear" w:color="auto" w:fill="67AE3C"/>
            <w:vAlign w:val="center"/>
          </w:tcPr>
          <w:p w14:paraId="2C2ED774" w14:textId="03B558C0" w:rsidR="00380B39" w:rsidRPr="00C355B4" w:rsidRDefault="00380B39" w:rsidP="00B06BB7">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Filing of the petition</w:t>
            </w:r>
          </w:p>
        </w:tc>
        <w:tc>
          <w:tcPr>
            <w:tcW w:w="6570" w:type="dxa"/>
            <w:vAlign w:val="center"/>
          </w:tcPr>
          <w:p w14:paraId="3E323A0F" w14:textId="751017B3" w:rsidR="00380B39" w:rsidRPr="00C355B4" w:rsidRDefault="00380B39" w:rsidP="009163FC">
            <w:pPr>
              <w:jc w:val="both"/>
              <w:rPr>
                <w:rFonts w:ascii="Cambria" w:hAnsi="Cambria"/>
                <w:bCs/>
                <w:sz w:val="19"/>
                <w:szCs w:val="19"/>
              </w:rPr>
            </w:pPr>
            <w:r>
              <w:rPr>
                <w:rFonts w:ascii="Cambria" w:hAnsi="Cambria"/>
                <w:bCs/>
                <w:sz w:val="19"/>
                <w:szCs w:val="19"/>
              </w:rPr>
              <w:t>April 3, 2007</w:t>
            </w:r>
          </w:p>
        </w:tc>
      </w:tr>
      <w:tr w:rsidR="00380B39" w:rsidRPr="000B6B7A" w14:paraId="7EAB2BD7" w14:textId="77777777" w:rsidTr="00380B39">
        <w:tc>
          <w:tcPr>
            <w:tcW w:w="2790" w:type="dxa"/>
            <w:tcBorders>
              <w:top w:val="single" w:sz="6" w:space="0" w:color="auto"/>
              <w:bottom w:val="single" w:sz="6" w:space="0" w:color="auto"/>
            </w:tcBorders>
            <w:shd w:val="clear" w:color="auto" w:fill="67AE3C"/>
            <w:vAlign w:val="center"/>
          </w:tcPr>
          <w:p w14:paraId="79E6B4A9" w14:textId="4819E596" w:rsidR="00380B39" w:rsidRPr="00C355B4" w:rsidRDefault="00380B39" w:rsidP="00C355B4">
            <w:pPr>
              <w:jc w:val="center"/>
              <w:rPr>
                <w:rFonts w:ascii="Cambria" w:hAnsi="Cambria"/>
                <w:bCs/>
                <w:color w:val="FFFFFF" w:themeColor="background1"/>
                <w:sz w:val="19"/>
                <w:szCs w:val="19"/>
              </w:rPr>
            </w:pPr>
            <w:r w:rsidRPr="00C355B4">
              <w:rPr>
                <w:rFonts w:ascii="Cambria" w:hAnsi="Cambria"/>
                <w:color w:val="FFFFFF" w:themeColor="background1"/>
                <w:sz w:val="19"/>
                <w:szCs w:val="19"/>
              </w:rPr>
              <w:t>Notification of the petition</w:t>
            </w:r>
          </w:p>
        </w:tc>
        <w:tc>
          <w:tcPr>
            <w:tcW w:w="6570" w:type="dxa"/>
            <w:vAlign w:val="center"/>
          </w:tcPr>
          <w:p w14:paraId="5BE7DA6F" w14:textId="056A1C7A" w:rsidR="00380B39" w:rsidRPr="00C355B4" w:rsidRDefault="00380B39" w:rsidP="009163FC">
            <w:pPr>
              <w:jc w:val="both"/>
              <w:rPr>
                <w:rFonts w:ascii="Cambria" w:hAnsi="Cambria"/>
                <w:bCs/>
                <w:sz w:val="19"/>
                <w:szCs w:val="19"/>
              </w:rPr>
            </w:pPr>
            <w:r>
              <w:rPr>
                <w:rFonts w:ascii="Cambria" w:hAnsi="Cambria"/>
                <w:bCs/>
                <w:sz w:val="19"/>
                <w:szCs w:val="19"/>
              </w:rPr>
              <w:t>April 30, 2010</w:t>
            </w:r>
            <w:r w:rsidRPr="00666340">
              <w:rPr>
                <w:rFonts w:ascii="Cambria" w:hAnsi="Cambria"/>
                <w:bCs/>
                <w:sz w:val="19"/>
                <w:szCs w:val="19"/>
              </w:rPr>
              <w:t xml:space="preserve"> </w:t>
            </w:r>
          </w:p>
        </w:tc>
      </w:tr>
      <w:tr w:rsidR="00380B39" w:rsidRPr="000B6B7A" w14:paraId="56560AE1" w14:textId="77777777" w:rsidTr="00380B39">
        <w:trPr>
          <w:trHeight w:val="264"/>
        </w:trPr>
        <w:tc>
          <w:tcPr>
            <w:tcW w:w="2790" w:type="dxa"/>
            <w:tcBorders>
              <w:top w:val="single" w:sz="6" w:space="0" w:color="auto"/>
              <w:bottom w:val="single" w:sz="6" w:space="0" w:color="auto"/>
            </w:tcBorders>
            <w:shd w:val="clear" w:color="auto" w:fill="67AE3C"/>
            <w:vAlign w:val="center"/>
          </w:tcPr>
          <w:p w14:paraId="07BDDCA2" w14:textId="5C33D8F7" w:rsidR="00380B39" w:rsidRPr="00C355B4" w:rsidRDefault="00380B39" w:rsidP="009163FC">
            <w:pPr>
              <w:jc w:val="center"/>
              <w:rPr>
                <w:rFonts w:ascii="Cambria" w:hAnsi="Cambria"/>
                <w:bCs/>
                <w:color w:val="FFFFFF" w:themeColor="background1"/>
                <w:sz w:val="19"/>
                <w:szCs w:val="19"/>
              </w:rPr>
            </w:pPr>
            <w:r w:rsidRPr="00C355B4">
              <w:rPr>
                <w:rFonts w:ascii="Cambria" w:hAnsi="Cambria"/>
                <w:color w:val="FFFFFF" w:themeColor="background1"/>
                <w:sz w:val="19"/>
                <w:szCs w:val="19"/>
              </w:rPr>
              <w:t>State’s first response</w:t>
            </w:r>
          </w:p>
        </w:tc>
        <w:tc>
          <w:tcPr>
            <w:tcW w:w="6570" w:type="dxa"/>
            <w:vAlign w:val="center"/>
          </w:tcPr>
          <w:p w14:paraId="540A2671" w14:textId="52D31DE8" w:rsidR="00380B39" w:rsidRPr="00C355B4" w:rsidRDefault="00380B39" w:rsidP="009163FC">
            <w:pPr>
              <w:jc w:val="both"/>
              <w:rPr>
                <w:rFonts w:ascii="Cambria" w:hAnsi="Cambria"/>
                <w:bCs/>
                <w:sz w:val="19"/>
                <w:szCs w:val="19"/>
              </w:rPr>
            </w:pPr>
            <w:r>
              <w:rPr>
                <w:rFonts w:ascii="Cambria" w:hAnsi="Cambria"/>
                <w:bCs/>
                <w:sz w:val="19"/>
                <w:szCs w:val="19"/>
              </w:rPr>
              <w:t xml:space="preserve">August 10, 2010 </w:t>
            </w:r>
          </w:p>
        </w:tc>
      </w:tr>
      <w:tr w:rsidR="00380B39" w:rsidRPr="000B6B7A" w14:paraId="7A8A8A3C" w14:textId="77777777" w:rsidTr="00380B39">
        <w:tc>
          <w:tcPr>
            <w:tcW w:w="2790" w:type="dxa"/>
            <w:tcBorders>
              <w:top w:val="single" w:sz="6" w:space="0" w:color="auto"/>
              <w:bottom w:val="single" w:sz="6" w:space="0" w:color="auto"/>
            </w:tcBorders>
            <w:shd w:val="clear" w:color="auto" w:fill="67AE3C"/>
            <w:vAlign w:val="center"/>
          </w:tcPr>
          <w:p w14:paraId="3DEC3A52" w14:textId="4C1764EE" w:rsidR="00380B39" w:rsidRPr="00C355B4" w:rsidRDefault="00380B39" w:rsidP="0023351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Additional observations from the petitioner</w:t>
            </w:r>
          </w:p>
        </w:tc>
        <w:tc>
          <w:tcPr>
            <w:tcW w:w="6570" w:type="dxa"/>
            <w:vAlign w:val="center"/>
          </w:tcPr>
          <w:p w14:paraId="34EA382C" w14:textId="082F1FDB" w:rsidR="00380B39" w:rsidRPr="00C355B4" w:rsidRDefault="00380B39" w:rsidP="009163FC">
            <w:pPr>
              <w:jc w:val="both"/>
              <w:rPr>
                <w:rFonts w:ascii="Cambria" w:hAnsi="Cambria"/>
                <w:bCs/>
                <w:sz w:val="19"/>
                <w:szCs w:val="19"/>
              </w:rPr>
            </w:pPr>
            <w:r>
              <w:rPr>
                <w:rFonts w:ascii="Cambria" w:hAnsi="Cambria"/>
                <w:bCs/>
                <w:sz w:val="19"/>
                <w:szCs w:val="19"/>
              </w:rPr>
              <w:t>December 20, 2010 and May 23, 2016</w:t>
            </w:r>
            <w:r w:rsidRPr="00237A60">
              <w:rPr>
                <w:rFonts w:ascii="Cambria" w:hAnsi="Cambria"/>
                <w:bCs/>
                <w:sz w:val="19"/>
                <w:szCs w:val="19"/>
              </w:rPr>
              <w:t xml:space="preserve"> </w:t>
            </w:r>
          </w:p>
        </w:tc>
      </w:tr>
      <w:tr w:rsidR="00380B39" w:rsidRPr="000B6B7A" w14:paraId="3D79AA57" w14:textId="77777777" w:rsidTr="00380B39">
        <w:tc>
          <w:tcPr>
            <w:tcW w:w="2790" w:type="dxa"/>
            <w:tcBorders>
              <w:top w:val="single" w:sz="6" w:space="0" w:color="auto"/>
              <w:bottom w:val="single" w:sz="6" w:space="0" w:color="auto"/>
            </w:tcBorders>
            <w:shd w:val="clear" w:color="auto" w:fill="67AE3C"/>
            <w:vAlign w:val="center"/>
          </w:tcPr>
          <w:p w14:paraId="2FE60FBE" w14:textId="4EA45218" w:rsidR="00380B39" w:rsidRPr="00C355B4" w:rsidRDefault="00380B39" w:rsidP="00653EA6">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Additional observations from the State</w:t>
            </w:r>
          </w:p>
        </w:tc>
        <w:tc>
          <w:tcPr>
            <w:tcW w:w="6570" w:type="dxa"/>
            <w:vAlign w:val="center"/>
          </w:tcPr>
          <w:p w14:paraId="1390F1B5" w14:textId="12E5CE7B" w:rsidR="00380B39" w:rsidRPr="00C355B4" w:rsidRDefault="00380B39" w:rsidP="009163FC">
            <w:pPr>
              <w:jc w:val="both"/>
              <w:rPr>
                <w:rFonts w:ascii="Cambria" w:hAnsi="Cambria"/>
                <w:bCs/>
                <w:sz w:val="19"/>
                <w:szCs w:val="19"/>
              </w:rPr>
            </w:pPr>
            <w:r>
              <w:rPr>
                <w:rFonts w:ascii="Cambria" w:hAnsi="Cambria"/>
                <w:bCs/>
                <w:sz w:val="19"/>
                <w:szCs w:val="19"/>
              </w:rPr>
              <w:t xml:space="preserve">May 24, 2011 </w:t>
            </w:r>
          </w:p>
        </w:tc>
      </w:tr>
      <w:tr w:rsidR="00380B39" w:rsidRPr="000B6B7A" w14:paraId="718737D9" w14:textId="77777777" w:rsidTr="00380B39">
        <w:tc>
          <w:tcPr>
            <w:tcW w:w="2790" w:type="dxa"/>
            <w:tcBorders>
              <w:top w:val="single" w:sz="6" w:space="0" w:color="auto"/>
              <w:bottom w:val="single" w:sz="6" w:space="0" w:color="auto"/>
            </w:tcBorders>
            <w:shd w:val="clear" w:color="auto" w:fill="67AE3C"/>
            <w:vAlign w:val="center"/>
          </w:tcPr>
          <w:p w14:paraId="2F925819" w14:textId="1CDB5F8A" w:rsidR="00380B39" w:rsidRPr="00C355B4" w:rsidRDefault="00380B39" w:rsidP="00D75084">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Notification of the possible archiving of the petition</w:t>
            </w:r>
          </w:p>
        </w:tc>
        <w:tc>
          <w:tcPr>
            <w:tcW w:w="6570" w:type="dxa"/>
            <w:vAlign w:val="center"/>
          </w:tcPr>
          <w:p w14:paraId="0F7CCA67" w14:textId="152F07D3" w:rsidR="00380B39" w:rsidRPr="00C355B4" w:rsidRDefault="00380B39" w:rsidP="009163FC">
            <w:pPr>
              <w:jc w:val="both"/>
              <w:rPr>
                <w:rFonts w:ascii="Cambria" w:hAnsi="Cambria"/>
                <w:bCs/>
                <w:sz w:val="19"/>
                <w:szCs w:val="19"/>
              </w:rPr>
            </w:pPr>
            <w:r>
              <w:rPr>
                <w:rFonts w:ascii="Cambria" w:hAnsi="Cambria"/>
                <w:bCs/>
                <w:sz w:val="19"/>
                <w:szCs w:val="19"/>
              </w:rPr>
              <w:t>May 9, 2016</w:t>
            </w:r>
          </w:p>
        </w:tc>
      </w:tr>
      <w:tr w:rsidR="00380B39" w:rsidRPr="000B6B7A" w14:paraId="09808A81" w14:textId="77777777" w:rsidTr="00380B39">
        <w:tc>
          <w:tcPr>
            <w:tcW w:w="2790" w:type="dxa"/>
            <w:tcBorders>
              <w:top w:val="single" w:sz="6" w:space="0" w:color="auto"/>
              <w:bottom w:val="single" w:sz="6" w:space="0" w:color="auto"/>
            </w:tcBorders>
            <w:shd w:val="clear" w:color="auto" w:fill="67AE3C"/>
            <w:vAlign w:val="center"/>
          </w:tcPr>
          <w:p w14:paraId="49BCEA0B" w14:textId="6065F074" w:rsidR="00380B39" w:rsidRPr="00C355B4" w:rsidRDefault="00380B39" w:rsidP="00B06BB7">
            <w:pPr>
              <w:jc w:val="center"/>
              <w:rPr>
                <w:rFonts w:ascii="Cambria" w:hAnsi="Cambria"/>
                <w:bCs/>
                <w:color w:val="FFFFFF" w:themeColor="background1"/>
                <w:sz w:val="19"/>
                <w:szCs w:val="19"/>
              </w:rPr>
            </w:pPr>
            <w:r>
              <w:rPr>
                <w:rFonts w:ascii="Cambria" w:hAnsi="Cambria"/>
                <w:bCs/>
                <w:color w:val="FFFFFF" w:themeColor="background1"/>
                <w:sz w:val="19"/>
                <w:szCs w:val="19"/>
              </w:rPr>
              <w:t>Response</w:t>
            </w:r>
            <w:r w:rsidRPr="00C355B4">
              <w:rPr>
                <w:rFonts w:ascii="Cambria" w:hAnsi="Cambria"/>
                <w:bCs/>
                <w:color w:val="FFFFFF" w:themeColor="background1"/>
                <w:sz w:val="19"/>
                <w:szCs w:val="19"/>
              </w:rPr>
              <w:t xml:space="preserve"> to the notification regarding the possible archiving of the petition</w:t>
            </w:r>
          </w:p>
        </w:tc>
        <w:tc>
          <w:tcPr>
            <w:tcW w:w="6570" w:type="dxa"/>
            <w:vAlign w:val="center"/>
          </w:tcPr>
          <w:p w14:paraId="21EC12BA" w14:textId="484BD389" w:rsidR="00380B39" w:rsidRPr="00C355B4" w:rsidRDefault="00380B39" w:rsidP="009163FC">
            <w:pPr>
              <w:jc w:val="both"/>
              <w:rPr>
                <w:rFonts w:ascii="Cambria" w:hAnsi="Cambria"/>
                <w:bCs/>
                <w:sz w:val="19"/>
                <w:szCs w:val="19"/>
              </w:rPr>
            </w:pPr>
            <w:r>
              <w:rPr>
                <w:rFonts w:ascii="Cambria" w:hAnsi="Cambria"/>
                <w:bCs/>
                <w:sz w:val="19"/>
                <w:szCs w:val="19"/>
              </w:rPr>
              <w:t>May 23, 2016</w:t>
            </w:r>
          </w:p>
        </w:tc>
      </w:tr>
    </w:tbl>
    <w:p w14:paraId="7F88B361" w14:textId="77777777" w:rsidR="00F621C3" w:rsidRPr="000B6B7A" w:rsidRDefault="00F621C3" w:rsidP="00C355B4">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80B39" w:rsidRPr="000B6B7A" w14:paraId="2F81CC8B" w14:textId="77777777" w:rsidTr="00380B39">
        <w:trPr>
          <w:cantSplit/>
        </w:trPr>
        <w:tc>
          <w:tcPr>
            <w:tcW w:w="2790" w:type="dxa"/>
            <w:tcBorders>
              <w:top w:val="single" w:sz="4" w:space="0" w:color="auto"/>
              <w:bottom w:val="single" w:sz="6" w:space="0" w:color="auto"/>
            </w:tcBorders>
            <w:shd w:val="clear" w:color="auto" w:fill="67AE3C"/>
            <w:vAlign w:val="center"/>
          </w:tcPr>
          <w:p w14:paraId="3A568008" w14:textId="4F1CFB62" w:rsidR="00380B39" w:rsidRPr="00C355B4" w:rsidRDefault="00380B39" w:rsidP="009163FC">
            <w:pPr>
              <w:jc w:val="center"/>
              <w:rPr>
                <w:rFonts w:ascii="Cambria" w:hAnsi="Cambria"/>
                <w:bCs/>
                <w:i/>
                <w:color w:val="FFFFFF" w:themeColor="background1"/>
                <w:sz w:val="19"/>
                <w:szCs w:val="19"/>
              </w:rPr>
            </w:pPr>
            <w:r w:rsidRPr="00C355B4">
              <w:rPr>
                <w:rFonts w:ascii="Cambria" w:hAnsi="Cambria"/>
                <w:bCs/>
                <w:i/>
                <w:color w:val="FFFFFF" w:themeColor="background1"/>
                <w:sz w:val="19"/>
                <w:szCs w:val="19"/>
              </w:rPr>
              <w:t>Ratione personae:</w:t>
            </w:r>
          </w:p>
        </w:tc>
        <w:tc>
          <w:tcPr>
            <w:tcW w:w="6570" w:type="dxa"/>
            <w:vAlign w:val="center"/>
          </w:tcPr>
          <w:p w14:paraId="10BD968E" w14:textId="0611B5CB" w:rsidR="00380B39" w:rsidRPr="00C355B4" w:rsidRDefault="00380B39" w:rsidP="009163FC">
            <w:pPr>
              <w:rPr>
                <w:rFonts w:asciiTheme="majorHAnsi" w:hAnsiTheme="majorHAnsi"/>
                <w:bCs/>
                <w:sz w:val="19"/>
                <w:szCs w:val="19"/>
              </w:rPr>
            </w:pPr>
            <w:r>
              <w:rPr>
                <w:rFonts w:ascii="Cambria" w:hAnsi="Cambria"/>
                <w:bCs/>
                <w:sz w:val="19"/>
                <w:szCs w:val="19"/>
              </w:rPr>
              <w:t>Yes</w:t>
            </w:r>
          </w:p>
        </w:tc>
      </w:tr>
      <w:tr w:rsidR="00380B39" w:rsidRPr="000B6B7A" w14:paraId="5FE56D1B" w14:textId="77777777" w:rsidTr="00380B39">
        <w:trPr>
          <w:cantSplit/>
        </w:trPr>
        <w:tc>
          <w:tcPr>
            <w:tcW w:w="2790" w:type="dxa"/>
            <w:tcBorders>
              <w:top w:val="single" w:sz="6" w:space="0" w:color="auto"/>
              <w:bottom w:val="single" w:sz="6" w:space="0" w:color="auto"/>
            </w:tcBorders>
            <w:shd w:val="clear" w:color="auto" w:fill="67AE3C"/>
            <w:vAlign w:val="center"/>
          </w:tcPr>
          <w:p w14:paraId="2190B967" w14:textId="0E15553A" w:rsidR="00380B39" w:rsidRPr="00C355B4" w:rsidRDefault="00380B39" w:rsidP="00C355B4">
            <w:pPr>
              <w:jc w:val="center"/>
              <w:rPr>
                <w:rFonts w:ascii="Cambria" w:hAnsi="Cambria"/>
                <w:bCs/>
                <w:color w:val="FFFFFF" w:themeColor="background1"/>
                <w:sz w:val="19"/>
                <w:szCs w:val="19"/>
              </w:rPr>
            </w:pPr>
            <w:r w:rsidRPr="00C355B4">
              <w:rPr>
                <w:rFonts w:ascii="Cambria" w:hAnsi="Cambria"/>
                <w:bCs/>
                <w:i/>
                <w:color w:val="FFFFFF" w:themeColor="background1"/>
                <w:sz w:val="19"/>
                <w:szCs w:val="19"/>
              </w:rPr>
              <w:t>Ratione loci</w:t>
            </w:r>
            <w:r w:rsidRPr="00C355B4">
              <w:rPr>
                <w:rFonts w:ascii="Cambria" w:hAnsi="Cambria"/>
                <w:bCs/>
                <w:color w:val="FFFFFF" w:themeColor="background1"/>
                <w:sz w:val="19"/>
                <w:szCs w:val="19"/>
              </w:rPr>
              <w:t>:</w:t>
            </w:r>
          </w:p>
        </w:tc>
        <w:tc>
          <w:tcPr>
            <w:tcW w:w="6570" w:type="dxa"/>
            <w:vAlign w:val="center"/>
          </w:tcPr>
          <w:p w14:paraId="092B0203" w14:textId="7077CDA3" w:rsidR="00380B39" w:rsidRPr="00C355B4" w:rsidRDefault="00380B39" w:rsidP="009163FC">
            <w:pPr>
              <w:rPr>
                <w:rFonts w:asciiTheme="majorHAnsi" w:hAnsiTheme="majorHAnsi"/>
                <w:bCs/>
                <w:sz w:val="19"/>
                <w:szCs w:val="19"/>
              </w:rPr>
            </w:pPr>
            <w:r>
              <w:rPr>
                <w:rFonts w:ascii="Cambria" w:hAnsi="Cambria"/>
                <w:bCs/>
                <w:sz w:val="19"/>
                <w:szCs w:val="19"/>
              </w:rPr>
              <w:t>Yes</w:t>
            </w:r>
          </w:p>
        </w:tc>
      </w:tr>
      <w:tr w:rsidR="00380B39" w:rsidRPr="000B6B7A" w14:paraId="372B5DD8" w14:textId="77777777" w:rsidTr="00380B39">
        <w:trPr>
          <w:cantSplit/>
        </w:trPr>
        <w:tc>
          <w:tcPr>
            <w:tcW w:w="2790" w:type="dxa"/>
            <w:tcBorders>
              <w:top w:val="single" w:sz="6" w:space="0" w:color="auto"/>
              <w:bottom w:val="single" w:sz="6" w:space="0" w:color="auto"/>
            </w:tcBorders>
            <w:shd w:val="clear" w:color="auto" w:fill="67AE3C"/>
            <w:vAlign w:val="center"/>
          </w:tcPr>
          <w:p w14:paraId="7F979173" w14:textId="63734385" w:rsidR="00380B39" w:rsidRPr="00C355B4" w:rsidRDefault="00380B39" w:rsidP="009163FC">
            <w:pPr>
              <w:jc w:val="center"/>
              <w:rPr>
                <w:rFonts w:ascii="Cambria" w:hAnsi="Cambria"/>
                <w:bCs/>
                <w:color w:val="FFFFFF" w:themeColor="background1"/>
                <w:sz w:val="19"/>
                <w:szCs w:val="19"/>
              </w:rPr>
            </w:pPr>
            <w:r w:rsidRPr="00C355B4">
              <w:rPr>
                <w:rFonts w:ascii="Cambria" w:hAnsi="Cambria"/>
                <w:bCs/>
                <w:i/>
                <w:color w:val="FFFFFF" w:themeColor="background1"/>
                <w:sz w:val="19"/>
                <w:szCs w:val="19"/>
              </w:rPr>
              <w:t>Ratione temporis</w:t>
            </w:r>
            <w:r w:rsidRPr="00C355B4">
              <w:rPr>
                <w:rFonts w:ascii="Cambria" w:hAnsi="Cambria"/>
                <w:bCs/>
                <w:color w:val="FFFFFF" w:themeColor="background1"/>
                <w:sz w:val="19"/>
                <w:szCs w:val="19"/>
              </w:rPr>
              <w:t>:</w:t>
            </w:r>
          </w:p>
        </w:tc>
        <w:tc>
          <w:tcPr>
            <w:tcW w:w="6570" w:type="dxa"/>
            <w:vAlign w:val="center"/>
          </w:tcPr>
          <w:p w14:paraId="55727956" w14:textId="3F18DC74" w:rsidR="00380B39" w:rsidRPr="00C355B4" w:rsidRDefault="00380B39" w:rsidP="009163FC">
            <w:pPr>
              <w:rPr>
                <w:rFonts w:asciiTheme="majorHAnsi" w:hAnsiTheme="majorHAnsi"/>
                <w:bCs/>
                <w:sz w:val="19"/>
                <w:szCs w:val="19"/>
              </w:rPr>
            </w:pPr>
            <w:r>
              <w:rPr>
                <w:bCs/>
                <w:sz w:val="19"/>
                <w:szCs w:val="19"/>
              </w:rPr>
              <w:t>Yes</w:t>
            </w:r>
          </w:p>
        </w:tc>
      </w:tr>
      <w:tr w:rsidR="00380B39" w:rsidRPr="000B6B7A" w14:paraId="6648704B" w14:textId="77777777" w:rsidTr="00380B39">
        <w:trPr>
          <w:cantSplit/>
        </w:trPr>
        <w:tc>
          <w:tcPr>
            <w:tcW w:w="2790" w:type="dxa"/>
            <w:tcBorders>
              <w:top w:val="single" w:sz="6" w:space="0" w:color="auto"/>
              <w:bottom w:val="single" w:sz="6" w:space="0" w:color="auto"/>
            </w:tcBorders>
            <w:shd w:val="clear" w:color="auto" w:fill="67AE3C"/>
            <w:vAlign w:val="center"/>
          </w:tcPr>
          <w:p w14:paraId="15BBE7AF" w14:textId="57F24106" w:rsidR="00380B39" w:rsidRPr="00C355B4" w:rsidRDefault="00380B39" w:rsidP="009163FC">
            <w:pPr>
              <w:jc w:val="center"/>
              <w:rPr>
                <w:rFonts w:ascii="Cambria" w:hAnsi="Cambria"/>
                <w:bCs/>
                <w:color w:val="FFFFFF" w:themeColor="background1"/>
                <w:sz w:val="19"/>
                <w:szCs w:val="19"/>
              </w:rPr>
            </w:pPr>
            <w:r w:rsidRPr="00C355B4">
              <w:rPr>
                <w:rFonts w:ascii="Cambria" w:hAnsi="Cambria"/>
                <w:bCs/>
                <w:i/>
                <w:color w:val="FFFFFF" w:themeColor="background1"/>
                <w:sz w:val="19"/>
                <w:szCs w:val="19"/>
              </w:rPr>
              <w:t>Ratione materiae</w:t>
            </w:r>
            <w:r w:rsidRPr="00C355B4">
              <w:rPr>
                <w:rFonts w:ascii="Cambria" w:hAnsi="Cambria"/>
                <w:bCs/>
                <w:color w:val="FFFFFF" w:themeColor="background1"/>
                <w:sz w:val="19"/>
                <w:szCs w:val="19"/>
              </w:rPr>
              <w:t>:</w:t>
            </w:r>
          </w:p>
        </w:tc>
        <w:tc>
          <w:tcPr>
            <w:tcW w:w="6570" w:type="dxa"/>
            <w:vAlign w:val="center"/>
          </w:tcPr>
          <w:p w14:paraId="27CFF43E" w14:textId="37CE19E5" w:rsidR="00380B39" w:rsidRPr="00C355B4" w:rsidRDefault="00380B39" w:rsidP="009163FC">
            <w:pPr>
              <w:jc w:val="both"/>
              <w:rPr>
                <w:rFonts w:asciiTheme="majorHAnsi" w:hAnsiTheme="majorHAnsi"/>
                <w:bCs/>
                <w:sz w:val="19"/>
                <w:szCs w:val="19"/>
              </w:rPr>
            </w:pPr>
            <w:r w:rsidRPr="00666340">
              <w:rPr>
                <w:rFonts w:ascii="Cambria" w:hAnsi="Cambria"/>
                <w:bCs/>
                <w:sz w:val="19"/>
                <w:szCs w:val="19"/>
              </w:rPr>
              <w:t>Yes, American Convention (deposit of instrument on July 28, 197</w:t>
            </w:r>
            <w:r>
              <w:rPr>
                <w:rFonts w:ascii="Cambria" w:hAnsi="Cambria"/>
                <w:bCs/>
                <w:sz w:val="19"/>
                <w:szCs w:val="19"/>
              </w:rPr>
              <w:t>8</w:t>
            </w:r>
            <w:r w:rsidRPr="00666340">
              <w:rPr>
                <w:rFonts w:ascii="Cambria" w:hAnsi="Cambria"/>
                <w:bCs/>
                <w:sz w:val="19"/>
                <w:szCs w:val="19"/>
              </w:rPr>
              <w:t xml:space="preserve">) </w:t>
            </w:r>
          </w:p>
        </w:tc>
      </w:tr>
    </w:tbl>
    <w:p w14:paraId="0408D4CD" w14:textId="54A61356" w:rsidR="00F621C3" w:rsidRPr="000B6B7A" w:rsidRDefault="00F621C3" w:rsidP="00C355B4">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80B39" w:rsidRPr="000B6B7A" w14:paraId="4091A423" w14:textId="77777777" w:rsidTr="00380B39">
        <w:trPr>
          <w:cantSplit/>
        </w:trPr>
        <w:tc>
          <w:tcPr>
            <w:tcW w:w="2790" w:type="dxa"/>
            <w:tcBorders>
              <w:top w:val="single" w:sz="4" w:space="0" w:color="auto"/>
              <w:bottom w:val="single" w:sz="6" w:space="0" w:color="auto"/>
            </w:tcBorders>
            <w:shd w:val="clear" w:color="auto" w:fill="67AE3C"/>
            <w:vAlign w:val="center"/>
          </w:tcPr>
          <w:p w14:paraId="61D870FF" w14:textId="493C94FE" w:rsidR="00380B39" w:rsidRPr="00C355B4" w:rsidRDefault="00380B39" w:rsidP="008546E5">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Duplication of procedures and </w:t>
            </w:r>
            <w:r>
              <w:rPr>
                <w:rFonts w:ascii="Cambria" w:hAnsi="Cambria"/>
                <w:bCs/>
                <w:color w:val="FFFFFF" w:themeColor="background1"/>
                <w:sz w:val="19"/>
                <w:szCs w:val="19"/>
              </w:rPr>
              <w:t>i</w:t>
            </w:r>
            <w:r w:rsidRPr="00C355B4">
              <w:rPr>
                <w:rFonts w:ascii="Cambria" w:hAnsi="Cambria"/>
                <w:bCs/>
                <w:color w:val="FFFFFF" w:themeColor="background1"/>
                <w:sz w:val="19"/>
                <w:szCs w:val="19"/>
              </w:rPr>
              <w:t xml:space="preserve">nternational </w:t>
            </w:r>
            <w:r w:rsidRPr="00C355B4">
              <w:rPr>
                <w:rFonts w:ascii="Cambria" w:hAnsi="Cambria"/>
                <w:bCs/>
                <w:i/>
                <w:color w:val="FFFFFF" w:themeColor="background1"/>
                <w:sz w:val="19"/>
                <w:szCs w:val="19"/>
              </w:rPr>
              <w:t>res judicata</w:t>
            </w:r>
          </w:p>
        </w:tc>
        <w:tc>
          <w:tcPr>
            <w:tcW w:w="6570" w:type="dxa"/>
            <w:vAlign w:val="center"/>
          </w:tcPr>
          <w:p w14:paraId="36134770" w14:textId="335402A8" w:rsidR="00380B39" w:rsidRDefault="00380B39" w:rsidP="009163FC">
            <w:pPr>
              <w:jc w:val="both"/>
              <w:rPr>
                <w:rFonts w:ascii="Cambria" w:hAnsi="Cambria"/>
                <w:bCs/>
                <w:sz w:val="19"/>
                <w:szCs w:val="19"/>
              </w:rPr>
            </w:pPr>
            <w:r w:rsidRPr="00666340">
              <w:rPr>
                <w:rFonts w:ascii="Cambria" w:hAnsi="Cambria"/>
                <w:bCs/>
                <w:sz w:val="19"/>
                <w:szCs w:val="19"/>
              </w:rPr>
              <w:t>No</w:t>
            </w:r>
          </w:p>
        </w:tc>
      </w:tr>
      <w:tr w:rsidR="00380B39" w:rsidRPr="000B6B7A" w14:paraId="24B3B5A9" w14:textId="77777777" w:rsidTr="00380B39">
        <w:trPr>
          <w:cantSplit/>
        </w:trPr>
        <w:tc>
          <w:tcPr>
            <w:tcW w:w="2790" w:type="dxa"/>
            <w:tcBorders>
              <w:top w:val="single" w:sz="6" w:space="0" w:color="auto"/>
              <w:bottom w:val="single" w:sz="6" w:space="0" w:color="auto"/>
            </w:tcBorders>
            <w:shd w:val="clear" w:color="auto" w:fill="67AE3C"/>
            <w:vAlign w:val="center"/>
          </w:tcPr>
          <w:p w14:paraId="2E52A630" w14:textId="77777777" w:rsidR="00380B39" w:rsidRPr="00C355B4" w:rsidRDefault="00380B39" w:rsidP="009163FC">
            <w:pPr>
              <w:jc w:val="center"/>
              <w:rPr>
                <w:rFonts w:ascii="Cambria" w:hAnsi="Cambria"/>
                <w:bCs/>
                <w:i/>
                <w:color w:val="FFFFFF" w:themeColor="background1"/>
                <w:sz w:val="19"/>
                <w:szCs w:val="19"/>
              </w:rPr>
            </w:pPr>
            <w:r w:rsidRPr="00C355B4">
              <w:rPr>
                <w:rFonts w:ascii="Cambria" w:hAnsi="Cambria"/>
                <w:bCs/>
                <w:color w:val="FFFFFF" w:themeColor="background1"/>
                <w:sz w:val="19"/>
                <w:szCs w:val="19"/>
              </w:rPr>
              <w:t>Rights declared admissible</w:t>
            </w:r>
          </w:p>
        </w:tc>
        <w:tc>
          <w:tcPr>
            <w:tcW w:w="6570" w:type="dxa"/>
            <w:vAlign w:val="center"/>
          </w:tcPr>
          <w:p w14:paraId="031755E2" w14:textId="5B51B73F" w:rsidR="00380B39" w:rsidRDefault="003A58D8" w:rsidP="009163FC">
            <w:pPr>
              <w:jc w:val="both"/>
              <w:rPr>
                <w:rFonts w:ascii="Cambria" w:hAnsi="Cambria"/>
                <w:bCs/>
                <w:sz w:val="19"/>
                <w:szCs w:val="19"/>
              </w:rPr>
            </w:pPr>
            <w:r>
              <w:rPr>
                <w:rFonts w:ascii="Cambria" w:hAnsi="Cambria"/>
                <w:bCs/>
                <w:sz w:val="19"/>
                <w:szCs w:val="19"/>
              </w:rPr>
              <w:t>None</w:t>
            </w:r>
          </w:p>
        </w:tc>
      </w:tr>
      <w:tr w:rsidR="00380B39" w:rsidRPr="000B6B7A" w14:paraId="4DFB74FC" w14:textId="77777777" w:rsidTr="00380B39">
        <w:trPr>
          <w:cantSplit/>
        </w:trPr>
        <w:tc>
          <w:tcPr>
            <w:tcW w:w="2790" w:type="dxa"/>
            <w:tcBorders>
              <w:top w:val="single" w:sz="6" w:space="0" w:color="auto"/>
              <w:bottom w:val="single" w:sz="6" w:space="0" w:color="auto"/>
            </w:tcBorders>
            <w:shd w:val="clear" w:color="auto" w:fill="67AE3C"/>
            <w:vAlign w:val="center"/>
          </w:tcPr>
          <w:p w14:paraId="1D4CE924" w14:textId="18B37E2E" w:rsidR="00380B39" w:rsidRPr="00C355B4" w:rsidRDefault="00380B39" w:rsidP="008546E5">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Exhaustion </w:t>
            </w:r>
            <w:r>
              <w:rPr>
                <w:rFonts w:ascii="Cambria" w:hAnsi="Cambria"/>
                <w:bCs/>
                <w:color w:val="FFFFFF" w:themeColor="background1"/>
                <w:sz w:val="19"/>
                <w:szCs w:val="19"/>
              </w:rPr>
              <w:t>or exception to the exhaustion of remedies</w:t>
            </w:r>
            <w:r w:rsidRPr="00C355B4">
              <w:rPr>
                <w:rFonts w:ascii="Cambria" w:hAnsi="Cambria"/>
                <w:bCs/>
                <w:color w:val="FFFFFF" w:themeColor="background1"/>
                <w:sz w:val="19"/>
                <w:szCs w:val="19"/>
              </w:rPr>
              <w:t xml:space="preserve"> </w:t>
            </w:r>
          </w:p>
        </w:tc>
        <w:tc>
          <w:tcPr>
            <w:tcW w:w="6570" w:type="dxa"/>
            <w:vAlign w:val="center"/>
          </w:tcPr>
          <w:p w14:paraId="790AADE4" w14:textId="6BFECBF1" w:rsidR="00380B39" w:rsidRDefault="00380B39" w:rsidP="009163FC">
            <w:pPr>
              <w:rPr>
                <w:bCs/>
                <w:sz w:val="19"/>
                <w:szCs w:val="19"/>
              </w:rPr>
            </w:pPr>
            <w:r w:rsidRPr="00237A60">
              <w:rPr>
                <w:rFonts w:ascii="Cambria" w:hAnsi="Cambria"/>
                <w:bCs/>
                <w:sz w:val="19"/>
                <w:szCs w:val="19"/>
              </w:rPr>
              <w:t xml:space="preserve">Yes, </w:t>
            </w:r>
            <w:r>
              <w:rPr>
                <w:rFonts w:ascii="Cambria" w:hAnsi="Cambria"/>
                <w:bCs/>
                <w:sz w:val="19"/>
                <w:szCs w:val="19"/>
              </w:rPr>
              <w:t>on January 15, 2007</w:t>
            </w:r>
            <w:r w:rsidRPr="00237A60">
              <w:rPr>
                <w:rFonts w:ascii="Cambria" w:hAnsi="Cambria"/>
                <w:bCs/>
                <w:sz w:val="19"/>
                <w:szCs w:val="19"/>
              </w:rPr>
              <w:t xml:space="preserve"> </w:t>
            </w:r>
          </w:p>
        </w:tc>
      </w:tr>
      <w:tr w:rsidR="00380B39" w:rsidRPr="000B6B7A" w14:paraId="6D900199" w14:textId="77777777" w:rsidTr="00380B39">
        <w:trPr>
          <w:cantSplit/>
        </w:trPr>
        <w:tc>
          <w:tcPr>
            <w:tcW w:w="2790" w:type="dxa"/>
            <w:tcBorders>
              <w:top w:val="single" w:sz="6" w:space="0" w:color="auto"/>
              <w:bottom w:val="single" w:sz="6" w:space="0" w:color="auto"/>
            </w:tcBorders>
            <w:shd w:val="clear" w:color="auto" w:fill="67AE3C"/>
            <w:vAlign w:val="center"/>
          </w:tcPr>
          <w:p w14:paraId="42C3BC97" w14:textId="2F62D441" w:rsidR="00380B39" w:rsidRPr="00C355B4" w:rsidRDefault="00380B39" w:rsidP="009163FC">
            <w:pPr>
              <w:jc w:val="center"/>
              <w:rPr>
                <w:rFonts w:ascii="Cambria" w:hAnsi="Cambria"/>
                <w:bCs/>
                <w:color w:val="FFFFFF" w:themeColor="background1"/>
                <w:sz w:val="19"/>
                <w:szCs w:val="19"/>
              </w:rPr>
            </w:pPr>
            <w:r>
              <w:rPr>
                <w:rFonts w:ascii="Cambria" w:hAnsi="Cambria"/>
                <w:bCs/>
                <w:color w:val="FFFFFF" w:themeColor="background1"/>
                <w:sz w:val="19"/>
                <w:szCs w:val="19"/>
              </w:rPr>
              <w:t>Timeliness of the petition</w:t>
            </w:r>
          </w:p>
        </w:tc>
        <w:tc>
          <w:tcPr>
            <w:tcW w:w="6570" w:type="dxa"/>
            <w:vAlign w:val="center"/>
          </w:tcPr>
          <w:p w14:paraId="77FE4C0C" w14:textId="28E2CFDE" w:rsidR="00380B39" w:rsidRPr="00666340" w:rsidRDefault="00380B39" w:rsidP="009163FC">
            <w:pPr>
              <w:rPr>
                <w:rFonts w:ascii="Cambria" w:hAnsi="Cambria"/>
                <w:bCs/>
                <w:sz w:val="19"/>
                <w:szCs w:val="19"/>
              </w:rPr>
            </w:pPr>
            <w:r w:rsidRPr="00237A60">
              <w:rPr>
                <w:rFonts w:ascii="Cambria" w:hAnsi="Cambria"/>
                <w:bCs/>
                <w:sz w:val="20"/>
                <w:szCs w:val="20"/>
              </w:rPr>
              <w:t xml:space="preserve">Yes, </w:t>
            </w:r>
            <w:r>
              <w:rPr>
                <w:rFonts w:ascii="Cambria" w:hAnsi="Cambria"/>
                <w:bCs/>
                <w:sz w:val="19"/>
                <w:szCs w:val="19"/>
              </w:rPr>
              <w:t>on April 3, 2007</w:t>
            </w:r>
          </w:p>
        </w:tc>
      </w:tr>
    </w:tbl>
    <w:p w14:paraId="629E2DE8" w14:textId="7D56CF7F" w:rsidR="00F621C3" w:rsidRPr="000B6B7A" w:rsidRDefault="00F621C3" w:rsidP="00C355B4">
      <w:pPr>
        <w:spacing w:before="120" w:after="12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3D6EE0">
        <w:rPr>
          <w:rFonts w:asciiTheme="majorHAnsi" w:hAnsiTheme="majorHAnsi"/>
          <w:b/>
          <w:sz w:val="20"/>
          <w:szCs w:val="20"/>
        </w:rPr>
        <w:t xml:space="preserve">SUMMARY OF </w:t>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14:paraId="22862BD0" w14:textId="3919BB0C" w:rsidR="00380B39" w:rsidRPr="00380B39" w:rsidRDefault="00380B39" w:rsidP="00380B3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380B39">
        <w:rPr>
          <w:rFonts w:ascii="Cambria" w:hAnsi="Cambria"/>
          <w:sz w:val="20"/>
          <w:szCs w:val="20"/>
        </w:rPr>
        <w:t xml:space="preserve">The petitioner alleges that the State did not respect the right to due process of Mr. David Eduardo </w:t>
      </w:r>
      <w:proofErr w:type="spellStart"/>
      <w:r w:rsidRPr="00380B39">
        <w:rPr>
          <w:rFonts w:ascii="Cambria" w:hAnsi="Cambria"/>
          <w:sz w:val="20"/>
          <w:szCs w:val="20"/>
        </w:rPr>
        <w:t>Milla</w:t>
      </w:r>
      <w:proofErr w:type="spellEnd"/>
      <w:r w:rsidRPr="00380B39">
        <w:rPr>
          <w:rFonts w:ascii="Cambria" w:hAnsi="Cambria"/>
          <w:sz w:val="20"/>
          <w:szCs w:val="20"/>
        </w:rPr>
        <w:t xml:space="preserve"> Espinoza (hereinafter, “the alleged victim” or “Mr. </w:t>
      </w:r>
      <w:proofErr w:type="spellStart"/>
      <w:r w:rsidRPr="00380B39">
        <w:rPr>
          <w:rFonts w:ascii="Cambria" w:hAnsi="Cambria"/>
          <w:sz w:val="20"/>
          <w:szCs w:val="20"/>
        </w:rPr>
        <w:t>Milla</w:t>
      </w:r>
      <w:proofErr w:type="spellEnd"/>
      <w:r w:rsidRPr="00380B39">
        <w:rPr>
          <w:rFonts w:ascii="Cambria" w:hAnsi="Cambria"/>
          <w:sz w:val="20"/>
          <w:szCs w:val="20"/>
        </w:rPr>
        <w:t xml:space="preserve"> Espinoza”), a f</w:t>
      </w:r>
      <w:r w:rsidR="00E2665F">
        <w:rPr>
          <w:rFonts w:ascii="Cambria" w:hAnsi="Cambria"/>
          <w:sz w:val="20"/>
          <w:szCs w:val="20"/>
        </w:rPr>
        <w:t>ormer police officer, during a</w:t>
      </w:r>
      <w:r w:rsidRPr="00380B39">
        <w:rPr>
          <w:rFonts w:ascii="Cambria" w:hAnsi="Cambria"/>
          <w:sz w:val="20"/>
          <w:szCs w:val="20"/>
        </w:rPr>
        <w:t xml:space="preserve"> process </w:t>
      </w:r>
      <w:r w:rsidR="00F541FE">
        <w:rPr>
          <w:rFonts w:ascii="Cambria" w:hAnsi="Cambria"/>
          <w:sz w:val="20"/>
          <w:szCs w:val="20"/>
        </w:rPr>
        <w:t>aimed at</w:t>
      </w:r>
      <w:r w:rsidRPr="00380B39">
        <w:rPr>
          <w:rFonts w:ascii="Cambria" w:hAnsi="Cambria"/>
          <w:sz w:val="20"/>
          <w:szCs w:val="20"/>
        </w:rPr>
        <w:t xml:space="preserve"> reach</w:t>
      </w:r>
      <w:r w:rsidR="00F541FE">
        <w:rPr>
          <w:rFonts w:ascii="Cambria" w:hAnsi="Cambria"/>
          <w:sz w:val="20"/>
          <w:szCs w:val="20"/>
        </w:rPr>
        <w:t>ing</w:t>
      </w:r>
      <w:r w:rsidRPr="00380B39">
        <w:rPr>
          <w:rFonts w:ascii="Cambria" w:hAnsi="Cambria"/>
          <w:sz w:val="20"/>
          <w:szCs w:val="20"/>
        </w:rPr>
        <w:t xml:space="preserve"> an agreement of collaboration under Legislative Decree No. 824 (known as the Repentance Law) to obtain the benefit of exemption from punishment. This process was carried out in parallel to a criminal process in which he was sentenced to 20 years in prison. The petitioner alleges that there were irregularities in the process, which had a direct impact on the duration of the prison sentence that the alleged victim had to serve, and therefore, on the enjoyment of his right to personal liberty. He also alleges that there was an infringement to the </w:t>
      </w:r>
      <w:r w:rsidRPr="001E49E6">
        <w:rPr>
          <w:rFonts w:ascii="Cambria" w:hAnsi="Cambria"/>
          <w:i/>
          <w:sz w:val="20"/>
          <w:szCs w:val="20"/>
        </w:rPr>
        <w:t xml:space="preserve">non </w:t>
      </w:r>
      <w:proofErr w:type="spellStart"/>
      <w:r w:rsidRPr="001E49E6">
        <w:rPr>
          <w:rFonts w:ascii="Cambria" w:hAnsi="Cambria"/>
          <w:i/>
          <w:sz w:val="20"/>
          <w:szCs w:val="20"/>
        </w:rPr>
        <w:t>bis</w:t>
      </w:r>
      <w:proofErr w:type="spellEnd"/>
      <w:r w:rsidRPr="001E49E6">
        <w:rPr>
          <w:rFonts w:ascii="Cambria" w:hAnsi="Cambria"/>
          <w:i/>
          <w:sz w:val="20"/>
          <w:szCs w:val="20"/>
        </w:rPr>
        <w:t xml:space="preserve"> in idem</w:t>
      </w:r>
      <w:r w:rsidRPr="00380B39">
        <w:rPr>
          <w:rFonts w:ascii="Cambria" w:hAnsi="Cambria"/>
          <w:sz w:val="20"/>
          <w:szCs w:val="20"/>
        </w:rPr>
        <w:t xml:space="preserve"> principle and to the right to equality before the law, since others who were prosecuted for illicit drug trafficking were granted the benefit of the exemption from punishment, as well as </w:t>
      </w:r>
      <w:r w:rsidR="001E49E6">
        <w:rPr>
          <w:rFonts w:ascii="Cambria" w:hAnsi="Cambria"/>
          <w:sz w:val="20"/>
          <w:szCs w:val="20"/>
        </w:rPr>
        <w:t xml:space="preserve">to </w:t>
      </w:r>
      <w:r w:rsidRPr="00380B39">
        <w:rPr>
          <w:rFonts w:ascii="Cambria" w:hAnsi="Cambria"/>
          <w:sz w:val="20"/>
          <w:szCs w:val="20"/>
        </w:rPr>
        <w:t xml:space="preserve">the right to defense and the principle of </w:t>
      </w:r>
      <w:r w:rsidRPr="001E49E6">
        <w:rPr>
          <w:rFonts w:ascii="Cambria" w:hAnsi="Cambria"/>
          <w:i/>
          <w:sz w:val="20"/>
          <w:szCs w:val="20"/>
        </w:rPr>
        <w:t>res judicata</w:t>
      </w:r>
      <w:r w:rsidRPr="00380B39">
        <w:rPr>
          <w:rFonts w:ascii="Cambria" w:hAnsi="Cambria"/>
          <w:sz w:val="20"/>
          <w:szCs w:val="20"/>
        </w:rPr>
        <w:t>.</w:t>
      </w:r>
    </w:p>
    <w:p w14:paraId="104B82B0" w14:textId="77777777" w:rsidR="00380B39" w:rsidRPr="00380B39" w:rsidRDefault="00380B39" w:rsidP="00380B3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380B39">
        <w:rPr>
          <w:rFonts w:ascii="Cambria" w:hAnsi="Cambria"/>
          <w:sz w:val="20"/>
          <w:szCs w:val="20"/>
        </w:rPr>
        <w:lastRenderedPageBreak/>
        <w:t xml:space="preserve">The petitioner indicates that Mr. </w:t>
      </w:r>
      <w:proofErr w:type="spellStart"/>
      <w:r w:rsidRPr="00380B39">
        <w:rPr>
          <w:rFonts w:ascii="Cambria" w:hAnsi="Cambria"/>
          <w:sz w:val="20"/>
          <w:szCs w:val="20"/>
        </w:rPr>
        <w:t>Milla</w:t>
      </w:r>
      <w:proofErr w:type="spellEnd"/>
      <w:r w:rsidRPr="00380B39">
        <w:rPr>
          <w:rFonts w:ascii="Cambria" w:hAnsi="Cambria"/>
          <w:sz w:val="20"/>
          <w:szCs w:val="20"/>
        </w:rPr>
        <w:t xml:space="preserve"> Espinoza was arrested on April 15, 1999 by the Police of the Drug Enforcement Directorate of Peru (hereinafter “DIRANDRO”) in an investigation of illicit drug trafficking. By an order dated April 29, 1999, the Court Specialized in Crimes of Illicit Drug Trafficking (TID) opened a criminal proceeding against Mr. </w:t>
      </w:r>
      <w:proofErr w:type="spellStart"/>
      <w:r w:rsidRPr="00380B39">
        <w:rPr>
          <w:rFonts w:ascii="Cambria" w:hAnsi="Cambria"/>
          <w:sz w:val="20"/>
          <w:szCs w:val="20"/>
        </w:rPr>
        <w:t>Milla</w:t>
      </w:r>
      <w:proofErr w:type="spellEnd"/>
      <w:r w:rsidRPr="00380B39">
        <w:rPr>
          <w:rFonts w:ascii="Cambria" w:hAnsi="Cambria"/>
          <w:sz w:val="20"/>
          <w:szCs w:val="20"/>
        </w:rPr>
        <w:t xml:space="preserve"> Espinoza; on April 26, 2001, the trial stage began; and on October 17, 2001, the First Prison Criminal Chamber of the Superior Court of Justice of Callao sentenced him to twenty years in prison. Against this conviction, Mr. </w:t>
      </w:r>
      <w:proofErr w:type="spellStart"/>
      <w:r w:rsidRPr="00380B39">
        <w:rPr>
          <w:rFonts w:ascii="Cambria" w:hAnsi="Cambria"/>
          <w:sz w:val="20"/>
          <w:szCs w:val="20"/>
        </w:rPr>
        <w:t>Milla</w:t>
      </w:r>
      <w:proofErr w:type="spellEnd"/>
      <w:r w:rsidRPr="00380B39">
        <w:rPr>
          <w:rFonts w:ascii="Cambria" w:hAnsi="Cambria"/>
          <w:sz w:val="20"/>
          <w:szCs w:val="20"/>
        </w:rPr>
        <w:t xml:space="preserve"> Espinoza filed an appeal for annulment, since he had resorted to the Law of Repentance and because there was an exemption from punishment procedure pending resolution. On May 24, 2002, the Permanent Criminal Chamber of the Supreme Court of Justice rejected the appeal for annulment, on the basis that no grounds for invalidity were established with respect to the sentence imposed on the appellant.</w:t>
      </w:r>
    </w:p>
    <w:p w14:paraId="4DAB89F2" w14:textId="59C399CF" w:rsidR="00380B39" w:rsidRPr="00380B39" w:rsidRDefault="00380B39" w:rsidP="00380B3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380B39">
        <w:rPr>
          <w:rFonts w:ascii="Cambria" w:hAnsi="Cambria"/>
          <w:sz w:val="20"/>
          <w:szCs w:val="20"/>
        </w:rPr>
        <w:t xml:space="preserve">On April 16, 1999, in parallel to the criminal proceeding, the alleged victim requested the benefit of exemption from punishment under the Law of Repentance, in exchange for providing timely and truthful information to identify and detain leaders or heads of drug trafficking organizations at national and international level. The petitioner states that Mr. </w:t>
      </w:r>
      <w:proofErr w:type="spellStart"/>
      <w:r w:rsidRPr="00380B39">
        <w:rPr>
          <w:rFonts w:ascii="Cambria" w:hAnsi="Cambria"/>
          <w:sz w:val="20"/>
          <w:szCs w:val="20"/>
        </w:rPr>
        <w:t>Milla</w:t>
      </w:r>
      <w:proofErr w:type="spellEnd"/>
      <w:r w:rsidRPr="00380B39">
        <w:rPr>
          <w:rFonts w:ascii="Cambria" w:hAnsi="Cambria"/>
          <w:sz w:val="20"/>
          <w:szCs w:val="20"/>
        </w:rPr>
        <w:t xml:space="preserve"> Espinoza's statements allowed the State to dismantle the “Varna” organization, dedicated to drug trafficking, as well as the confiscation of six hundred and eighty kilos of hydrochloride cocaine. Based on the information provided by Mr. </w:t>
      </w:r>
      <w:proofErr w:type="spellStart"/>
      <w:r w:rsidRPr="00380B39">
        <w:rPr>
          <w:rFonts w:ascii="Cambria" w:hAnsi="Cambria"/>
          <w:sz w:val="20"/>
          <w:szCs w:val="20"/>
        </w:rPr>
        <w:t>Milla</w:t>
      </w:r>
      <w:proofErr w:type="spellEnd"/>
      <w:r w:rsidRPr="00380B39">
        <w:rPr>
          <w:rFonts w:ascii="Cambria" w:hAnsi="Cambria"/>
          <w:sz w:val="20"/>
          <w:szCs w:val="20"/>
        </w:rPr>
        <w:t xml:space="preserve"> Espinoza, the judicial police prepared a file of repentance and assigned a key number to him, which began the process to exempt him from punishment. On July 17, 2000, the Specialized Prosecutor's Office declared the benefit of exemption from punishment appropriate and sent the file to the Special Criminal Chamber for TID crimes for ratification. However, on September 5, 2000, said Chamber denied the benefit, on the grounds that the person captured with the help of the information provided by the alleged victim did not have the status of leader of the criminal organization, so the legal requirements for granting the exemption were not met. Against this resolution, Mr. </w:t>
      </w:r>
      <w:proofErr w:type="spellStart"/>
      <w:r w:rsidRPr="00380B39">
        <w:rPr>
          <w:rFonts w:ascii="Cambria" w:hAnsi="Cambria"/>
          <w:sz w:val="20"/>
          <w:szCs w:val="20"/>
        </w:rPr>
        <w:t>Milla</w:t>
      </w:r>
      <w:proofErr w:type="spellEnd"/>
      <w:r w:rsidRPr="00380B39">
        <w:rPr>
          <w:rFonts w:ascii="Cambria" w:hAnsi="Cambria"/>
          <w:sz w:val="20"/>
          <w:szCs w:val="20"/>
        </w:rPr>
        <w:t xml:space="preserve"> Espinoza filed an appeal for annulment on September 22, 2000, which was denied on September 26, 2000 by the First Criminal Chamber of the Superior Court of Justice of Callao. Consequently, he filed a complaint on October 9, 2000, which was resolved favorably by the Supreme Court on April 25, 2001</w:t>
      </w:r>
      <w:r>
        <w:rPr>
          <w:rStyle w:val="FootnoteReference"/>
          <w:sz w:val="20"/>
          <w:szCs w:val="20"/>
        </w:rPr>
        <w:footnoteReference w:id="6"/>
      </w:r>
      <w:r>
        <w:rPr>
          <w:rFonts w:ascii="Cambria" w:hAnsi="Cambria"/>
          <w:sz w:val="20"/>
          <w:szCs w:val="20"/>
        </w:rPr>
        <w:t>.  On June 7, 2001</w:t>
      </w:r>
      <w:r>
        <w:rPr>
          <w:rStyle w:val="FootnoteReference"/>
          <w:sz w:val="20"/>
          <w:szCs w:val="20"/>
        </w:rPr>
        <w:footnoteReference w:id="7"/>
      </w:r>
      <w:r>
        <w:rPr>
          <w:rFonts w:ascii="Cambria" w:hAnsi="Cambria"/>
          <w:sz w:val="20"/>
          <w:szCs w:val="20"/>
        </w:rPr>
        <w:t xml:space="preserve">, </w:t>
      </w:r>
      <w:r w:rsidRPr="00380B39">
        <w:rPr>
          <w:rFonts w:ascii="Cambria" w:hAnsi="Cambria"/>
          <w:sz w:val="20"/>
          <w:szCs w:val="20"/>
        </w:rPr>
        <w:t>the exemption from punishment notebook was elevated to the supreme instance.</w:t>
      </w:r>
    </w:p>
    <w:p w14:paraId="1EE063BE" w14:textId="53982C02" w:rsidR="00380B39" w:rsidRPr="00380B39" w:rsidRDefault="00380B39" w:rsidP="00380B3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380B39">
        <w:rPr>
          <w:rFonts w:ascii="Cambria" w:hAnsi="Cambria"/>
          <w:sz w:val="20"/>
          <w:szCs w:val="20"/>
        </w:rPr>
        <w:t xml:space="preserve">On January 5, 2004, the Permanent Criminal Chamber of the Supreme Court declared the annulment of the order </w:t>
      </w:r>
      <w:r w:rsidR="00A21F58">
        <w:rPr>
          <w:rFonts w:ascii="Cambria" w:hAnsi="Cambria"/>
          <w:sz w:val="20"/>
          <w:szCs w:val="20"/>
        </w:rPr>
        <w:t xml:space="preserve">declaring inadmissible </w:t>
      </w:r>
      <w:r w:rsidRPr="00380B39">
        <w:rPr>
          <w:rFonts w:ascii="Cambria" w:hAnsi="Cambria"/>
          <w:sz w:val="20"/>
          <w:szCs w:val="20"/>
        </w:rPr>
        <w:t>the benefit of exemption from punishment;</w:t>
      </w:r>
      <w:r w:rsidR="00860292">
        <w:rPr>
          <w:rFonts w:ascii="Cambria" w:hAnsi="Cambria"/>
          <w:sz w:val="20"/>
          <w:szCs w:val="20"/>
        </w:rPr>
        <w:t xml:space="preserve"> granted said benefit; and</w:t>
      </w:r>
      <w:r w:rsidRPr="00380B39">
        <w:rPr>
          <w:rFonts w:ascii="Cambria" w:hAnsi="Cambria"/>
          <w:sz w:val="20"/>
          <w:szCs w:val="20"/>
        </w:rPr>
        <w:t xml:space="preserve"> </w:t>
      </w:r>
      <w:r w:rsidR="00860292">
        <w:rPr>
          <w:rFonts w:ascii="Cambria" w:hAnsi="Cambria"/>
          <w:sz w:val="20"/>
          <w:szCs w:val="20"/>
        </w:rPr>
        <w:t xml:space="preserve">ordered the immediate release of </w:t>
      </w:r>
      <w:r w:rsidRPr="00380B39">
        <w:rPr>
          <w:rFonts w:ascii="Cambria" w:hAnsi="Cambria"/>
          <w:sz w:val="20"/>
          <w:szCs w:val="20"/>
        </w:rPr>
        <w:t>the alleged victim</w:t>
      </w:r>
      <w:r w:rsidRPr="002B0BD2">
        <w:rPr>
          <w:rStyle w:val="FootnoteReference"/>
          <w:rFonts w:ascii="Calibri" w:eastAsia="Calibri" w:hAnsi="Calibri"/>
          <w:sz w:val="20"/>
          <w:szCs w:val="20"/>
          <w:bdr w:val="none" w:sz="0" w:space="0" w:color="auto"/>
        </w:rPr>
        <w:footnoteReference w:id="8"/>
      </w:r>
      <w:r w:rsidRPr="00380B39">
        <w:rPr>
          <w:rFonts w:ascii="Cambria" w:hAnsi="Cambria"/>
          <w:sz w:val="20"/>
          <w:szCs w:val="20"/>
        </w:rPr>
        <w:t>. However, the National Penitentiary Institute requested the cou</w:t>
      </w:r>
      <w:r>
        <w:rPr>
          <w:rFonts w:ascii="Cambria" w:hAnsi="Cambria"/>
          <w:sz w:val="20"/>
          <w:szCs w:val="20"/>
        </w:rPr>
        <w:t>rt, in several urgent writings</w:t>
      </w:r>
      <w:r w:rsidRPr="002B0BD2">
        <w:rPr>
          <w:rStyle w:val="FootnoteReference"/>
          <w:rFonts w:ascii="Calibri" w:eastAsia="Calibri" w:hAnsi="Calibri"/>
          <w:sz w:val="20"/>
          <w:szCs w:val="20"/>
          <w:bdr w:val="none" w:sz="0" w:space="0" w:color="auto"/>
        </w:rPr>
        <w:footnoteReference w:id="9"/>
      </w:r>
      <w:r>
        <w:rPr>
          <w:rFonts w:ascii="Cambria" w:hAnsi="Cambria"/>
          <w:sz w:val="20"/>
          <w:szCs w:val="20"/>
        </w:rPr>
        <w:t>,</w:t>
      </w:r>
      <w:r w:rsidRPr="00380B39">
        <w:rPr>
          <w:rFonts w:ascii="Cambria" w:hAnsi="Cambria"/>
          <w:sz w:val="20"/>
          <w:szCs w:val="20"/>
        </w:rPr>
        <w:t xml:space="preserve"> to clarify the mandate of </w:t>
      </w:r>
      <w:r w:rsidR="00B807D8">
        <w:rPr>
          <w:rFonts w:ascii="Cambria" w:hAnsi="Cambria"/>
          <w:sz w:val="20"/>
          <w:szCs w:val="20"/>
        </w:rPr>
        <w:t>liberty</w:t>
      </w:r>
      <w:r w:rsidR="008B24C3">
        <w:rPr>
          <w:rStyle w:val="FootnoteReference"/>
          <w:rFonts w:ascii="Cambria" w:hAnsi="Cambria"/>
          <w:sz w:val="20"/>
          <w:szCs w:val="20"/>
        </w:rPr>
        <w:footnoteReference w:id="10"/>
      </w:r>
      <w:r w:rsidRPr="00380B39">
        <w:rPr>
          <w:rFonts w:ascii="Cambria" w:hAnsi="Cambria"/>
          <w:sz w:val="20"/>
          <w:szCs w:val="20"/>
        </w:rPr>
        <w:t>, since the alleged victim had a conviction</w:t>
      </w:r>
      <w:r w:rsidR="004201BC">
        <w:rPr>
          <w:rFonts w:ascii="Cambria" w:hAnsi="Cambria"/>
          <w:sz w:val="20"/>
          <w:szCs w:val="20"/>
        </w:rPr>
        <w:t xml:space="preserve"> sentence</w:t>
      </w:r>
      <w:r w:rsidRPr="00380B39">
        <w:rPr>
          <w:rFonts w:ascii="Cambria" w:hAnsi="Cambria"/>
          <w:sz w:val="20"/>
          <w:szCs w:val="20"/>
        </w:rPr>
        <w:t xml:space="preserve">. On January 16 of that year, the same Permanent Criminal Chamber of the Supreme Court issued a resolution by which </w:t>
      </w:r>
      <w:r w:rsidR="004201BC">
        <w:rPr>
          <w:rFonts w:ascii="Cambria" w:hAnsi="Cambria"/>
          <w:sz w:val="20"/>
          <w:szCs w:val="20"/>
        </w:rPr>
        <w:t xml:space="preserve">it </w:t>
      </w:r>
      <w:r w:rsidRPr="00380B39">
        <w:rPr>
          <w:rFonts w:ascii="Cambria" w:hAnsi="Cambria"/>
          <w:sz w:val="20"/>
          <w:szCs w:val="20"/>
        </w:rPr>
        <w:t xml:space="preserve">suspended for a short time the effects of its resolution </w:t>
      </w:r>
      <w:r w:rsidR="004201BC">
        <w:rPr>
          <w:rFonts w:ascii="Cambria" w:hAnsi="Cambria"/>
          <w:sz w:val="20"/>
          <w:szCs w:val="20"/>
        </w:rPr>
        <w:t>–</w:t>
      </w:r>
      <w:r w:rsidRPr="00380B39">
        <w:rPr>
          <w:rFonts w:ascii="Cambria" w:hAnsi="Cambria"/>
          <w:sz w:val="20"/>
          <w:szCs w:val="20"/>
        </w:rPr>
        <w:t xml:space="preserve"> </w:t>
      </w:r>
      <w:r w:rsidR="004201BC">
        <w:rPr>
          <w:rFonts w:ascii="Cambria" w:hAnsi="Cambria"/>
          <w:sz w:val="20"/>
          <w:szCs w:val="20"/>
        </w:rPr>
        <w:t xml:space="preserve">which, </w:t>
      </w:r>
      <w:r w:rsidRPr="00380B39">
        <w:rPr>
          <w:rFonts w:ascii="Cambria" w:hAnsi="Cambria"/>
          <w:sz w:val="20"/>
          <w:szCs w:val="20"/>
        </w:rPr>
        <w:t>according to the petitioner</w:t>
      </w:r>
      <w:r w:rsidR="004201BC">
        <w:rPr>
          <w:rFonts w:ascii="Cambria" w:hAnsi="Cambria"/>
          <w:sz w:val="20"/>
          <w:szCs w:val="20"/>
        </w:rPr>
        <w:t xml:space="preserve">, is </w:t>
      </w:r>
      <w:r w:rsidRPr="00380B39">
        <w:rPr>
          <w:rFonts w:ascii="Cambria" w:hAnsi="Cambria"/>
          <w:sz w:val="20"/>
          <w:szCs w:val="20"/>
        </w:rPr>
        <w:t>not contemplated in the Criminal Procedure Code</w:t>
      </w:r>
      <w:r w:rsidR="004201BC">
        <w:rPr>
          <w:rFonts w:ascii="Cambria" w:hAnsi="Cambria"/>
          <w:sz w:val="20"/>
          <w:szCs w:val="20"/>
        </w:rPr>
        <w:t xml:space="preserve"> –</w:t>
      </w:r>
      <w:r w:rsidRPr="00380B39">
        <w:rPr>
          <w:rFonts w:ascii="Cambria" w:hAnsi="Cambria"/>
          <w:sz w:val="20"/>
          <w:szCs w:val="20"/>
        </w:rPr>
        <w:t xml:space="preserve"> arguing that it did not know about the conviction against the alleged victim at the time of granting the exemption from punishment. Therefore, the decision of January 5 contravened the prohibition of reemerging dead processes with an already firm and enforceable resolution. </w:t>
      </w:r>
      <w:r w:rsidR="00A364A3">
        <w:rPr>
          <w:rFonts w:ascii="Cambria" w:hAnsi="Cambria"/>
          <w:sz w:val="20"/>
          <w:szCs w:val="20"/>
        </w:rPr>
        <w:t xml:space="preserve">The petitioner contends that </w:t>
      </w:r>
      <w:r w:rsidRPr="00380B39">
        <w:rPr>
          <w:rFonts w:ascii="Cambria" w:hAnsi="Cambria"/>
          <w:sz w:val="20"/>
          <w:szCs w:val="20"/>
        </w:rPr>
        <w:t xml:space="preserve">on January 21, 2004, the Supreme Court notified the First Criminal Chamber of the Superior Court of Justice of Callao of the preparation of a second decision, which declared the </w:t>
      </w:r>
      <w:r w:rsidR="00B807D8">
        <w:rPr>
          <w:rFonts w:ascii="Cambria" w:hAnsi="Cambria"/>
          <w:sz w:val="20"/>
          <w:szCs w:val="20"/>
        </w:rPr>
        <w:t>resolution</w:t>
      </w:r>
      <w:r w:rsidRPr="00380B39">
        <w:rPr>
          <w:rFonts w:ascii="Cambria" w:hAnsi="Cambria"/>
          <w:sz w:val="20"/>
          <w:szCs w:val="20"/>
        </w:rPr>
        <w:t xml:space="preserve"> of January 5, 2004 null and void</w:t>
      </w:r>
      <w:r w:rsidR="00B807D8">
        <w:rPr>
          <w:rFonts w:ascii="Cambria" w:hAnsi="Cambria"/>
          <w:sz w:val="20"/>
          <w:szCs w:val="20"/>
        </w:rPr>
        <w:t>,</w:t>
      </w:r>
      <w:r w:rsidRPr="00380B39">
        <w:rPr>
          <w:rFonts w:ascii="Cambria" w:hAnsi="Cambria"/>
          <w:sz w:val="20"/>
          <w:szCs w:val="20"/>
        </w:rPr>
        <w:t xml:space="preserve"> leaving the mandate of liberty without effect, although, according to the petitioner, it would have already acquired the constitutional authority of </w:t>
      </w:r>
      <w:r w:rsidRPr="00B807D8">
        <w:rPr>
          <w:rFonts w:ascii="Cambria" w:hAnsi="Cambria"/>
          <w:i/>
          <w:sz w:val="20"/>
          <w:szCs w:val="20"/>
        </w:rPr>
        <w:t>res judicata</w:t>
      </w:r>
      <w:r w:rsidRPr="00380B39">
        <w:rPr>
          <w:rFonts w:ascii="Cambria" w:hAnsi="Cambria"/>
          <w:sz w:val="20"/>
          <w:szCs w:val="20"/>
        </w:rPr>
        <w:t xml:space="preserve">. He also alleges that the decision of January 16, 2004 was contrary to the Criminal Procedure Code, since it violated res judicata - while there was no appeal to challenge this decision pending - and violated the rights of the alleged victim. The petitioner argues that there is no provision that states that in the event that the beneficiary is sentenced before the resolution of </w:t>
      </w:r>
      <w:r w:rsidR="00A65787">
        <w:rPr>
          <w:rFonts w:ascii="Cambria" w:hAnsi="Cambria"/>
          <w:sz w:val="20"/>
          <w:szCs w:val="20"/>
        </w:rPr>
        <w:t xml:space="preserve">a </w:t>
      </w:r>
      <w:r w:rsidRPr="00380B39">
        <w:rPr>
          <w:rFonts w:ascii="Cambria" w:hAnsi="Cambria"/>
          <w:sz w:val="20"/>
          <w:szCs w:val="20"/>
        </w:rPr>
        <w:t xml:space="preserve">request for exemption, the court must suspend the procedure, and that </w:t>
      </w:r>
      <w:r w:rsidRPr="00380B39">
        <w:rPr>
          <w:rFonts w:ascii="Cambria" w:hAnsi="Cambria"/>
          <w:sz w:val="20"/>
          <w:szCs w:val="20"/>
        </w:rPr>
        <w:lastRenderedPageBreak/>
        <w:t>this does not allow to rule on the inadmissibility of the exemption benefit. In addition, he maintains that there was a copy of the judgment in the exemption file</w:t>
      </w:r>
      <w:r w:rsidR="008B24C3">
        <w:rPr>
          <w:rStyle w:val="FootnoteReference"/>
          <w:rFonts w:ascii="Cambria" w:hAnsi="Cambria"/>
          <w:sz w:val="20"/>
          <w:szCs w:val="20"/>
        </w:rPr>
        <w:footnoteReference w:id="11"/>
      </w:r>
      <w:r w:rsidRPr="00380B39">
        <w:rPr>
          <w:rFonts w:ascii="Cambria" w:hAnsi="Cambria"/>
          <w:sz w:val="20"/>
          <w:szCs w:val="20"/>
        </w:rPr>
        <w:t xml:space="preserve">. He also alleges that the delay in the exemption process cannot be attributed to the alleged victim, and notes that the law provides for a term of three months to resolve such request, which was not followed. Finally, he alleges that some of the members subscribed </w:t>
      </w:r>
      <w:r w:rsidR="00A65787">
        <w:rPr>
          <w:rFonts w:ascii="Cambria" w:hAnsi="Cambria"/>
          <w:sz w:val="20"/>
          <w:szCs w:val="20"/>
        </w:rPr>
        <w:t xml:space="preserve">to </w:t>
      </w:r>
      <w:r w:rsidRPr="00380B39">
        <w:rPr>
          <w:rFonts w:ascii="Cambria" w:hAnsi="Cambria"/>
          <w:sz w:val="20"/>
          <w:szCs w:val="20"/>
        </w:rPr>
        <w:t>the resolution without having intervened in the hearing of the case</w:t>
      </w:r>
      <w:r w:rsidR="008B24C3">
        <w:rPr>
          <w:rStyle w:val="FootnoteReference"/>
          <w:rFonts w:ascii="Cambria" w:hAnsi="Cambria"/>
          <w:sz w:val="20"/>
          <w:szCs w:val="20"/>
        </w:rPr>
        <w:footnoteReference w:id="12"/>
      </w:r>
      <w:r w:rsidRPr="00380B39">
        <w:rPr>
          <w:rFonts w:ascii="Cambria" w:hAnsi="Cambria"/>
          <w:sz w:val="20"/>
          <w:szCs w:val="20"/>
        </w:rPr>
        <w:t>, in violation of the right to defense of the alleged victim.</w:t>
      </w:r>
    </w:p>
    <w:p w14:paraId="5BD300CC" w14:textId="4C58ED9B" w:rsidR="00380B39" w:rsidRPr="00380B39" w:rsidRDefault="00380B39" w:rsidP="00A364A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380B39">
        <w:rPr>
          <w:rFonts w:ascii="Cambria" w:hAnsi="Cambria"/>
          <w:sz w:val="20"/>
          <w:szCs w:val="20"/>
        </w:rPr>
        <w:t xml:space="preserve">As a result of this second </w:t>
      </w:r>
      <w:r w:rsidR="00A1332F">
        <w:rPr>
          <w:rFonts w:ascii="Cambria" w:hAnsi="Cambria"/>
          <w:sz w:val="20"/>
          <w:szCs w:val="20"/>
        </w:rPr>
        <w:t>resolution</w:t>
      </w:r>
      <w:r w:rsidRPr="00380B39">
        <w:rPr>
          <w:rFonts w:ascii="Cambria" w:hAnsi="Cambria"/>
          <w:sz w:val="20"/>
          <w:szCs w:val="20"/>
        </w:rPr>
        <w:t xml:space="preserve">, on January 16, 2004, the alleged victim filed a habeas corpus action against the members of the Permanent Criminal Chamber of the Supreme Court, without receiving an answer. On March 23, 2004, he presented a new habeas corpus because of the double judgement and the effect they had on his right to freedom, which was denied on July 13, 2004 by the judge of the Sixteenth Criminal Court of Lima, which found no irregularities in the procedure. Mr. </w:t>
      </w:r>
      <w:proofErr w:type="spellStart"/>
      <w:r w:rsidRPr="00380B39">
        <w:rPr>
          <w:rFonts w:ascii="Cambria" w:hAnsi="Cambria"/>
          <w:sz w:val="20"/>
          <w:szCs w:val="20"/>
        </w:rPr>
        <w:t>Milla</w:t>
      </w:r>
      <w:proofErr w:type="spellEnd"/>
      <w:r w:rsidRPr="00380B39">
        <w:rPr>
          <w:rFonts w:ascii="Cambria" w:hAnsi="Cambria"/>
          <w:sz w:val="20"/>
          <w:szCs w:val="20"/>
        </w:rPr>
        <w:t xml:space="preserve"> Espinoza appealed this decision to the Superior Court of Justice of Lima, which on November 9, 2004 confirmed the resolution appealed in support of the decision of the Permanent Criminal Chamber of the Supreme Court issued on January 16. Against this last judgement, Mr. </w:t>
      </w:r>
      <w:proofErr w:type="spellStart"/>
      <w:r w:rsidRPr="00380B39">
        <w:rPr>
          <w:rFonts w:ascii="Cambria" w:hAnsi="Cambria"/>
          <w:sz w:val="20"/>
          <w:szCs w:val="20"/>
        </w:rPr>
        <w:t>Milla</w:t>
      </w:r>
      <w:proofErr w:type="spellEnd"/>
      <w:r w:rsidRPr="00380B39">
        <w:rPr>
          <w:rFonts w:ascii="Cambria" w:hAnsi="Cambria"/>
          <w:sz w:val="20"/>
          <w:szCs w:val="20"/>
        </w:rPr>
        <w:t xml:space="preserve"> Espinoza filed a constitutional grievance action before the Constitutional Court, that was declared inadmissible</w:t>
      </w:r>
      <w:r w:rsidR="00A364A3">
        <w:t xml:space="preserve"> </w:t>
      </w:r>
      <w:r w:rsidR="00A364A3">
        <w:rPr>
          <w:rFonts w:ascii="Cambria" w:hAnsi="Cambria"/>
          <w:sz w:val="20"/>
          <w:szCs w:val="20"/>
        </w:rPr>
        <w:t>for considering</w:t>
      </w:r>
      <w:r w:rsidR="00A364A3" w:rsidRPr="00380B39">
        <w:rPr>
          <w:rFonts w:ascii="Cambria" w:hAnsi="Cambria"/>
          <w:sz w:val="20"/>
          <w:szCs w:val="20"/>
        </w:rPr>
        <w:t xml:space="preserve"> that habeas corpus is intended as a means to protect constitutional rights and not </w:t>
      </w:r>
      <w:r w:rsidR="00A364A3">
        <w:rPr>
          <w:rFonts w:ascii="Cambria" w:hAnsi="Cambria"/>
          <w:sz w:val="20"/>
          <w:szCs w:val="20"/>
        </w:rPr>
        <w:t>judicial</w:t>
      </w:r>
      <w:r w:rsidR="00A364A3" w:rsidRPr="00380B39">
        <w:rPr>
          <w:rFonts w:ascii="Cambria" w:hAnsi="Cambria"/>
          <w:sz w:val="20"/>
          <w:szCs w:val="20"/>
        </w:rPr>
        <w:t xml:space="preserve"> benefits such as the exemption from penalty</w:t>
      </w:r>
      <w:r w:rsidR="00A364A3" w:rsidRPr="00A364A3">
        <w:rPr>
          <w:rFonts w:ascii="Cambria" w:hAnsi="Cambria"/>
          <w:sz w:val="20"/>
          <w:szCs w:val="20"/>
        </w:rPr>
        <w:t>; the decision was adopted on May 16, 2005 and notified on November 27, 2006</w:t>
      </w:r>
      <w:r w:rsidR="00A364A3">
        <w:rPr>
          <w:rFonts w:ascii="Cambria" w:hAnsi="Cambria"/>
          <w:sz w:val="20"/>
          <w:szCs w:val="20"/>
        </w:rPr>
        <w:t>.</w:t>
      </w:r>
      <w:r w:rsidRPr="00380B39">
        <w:rPr>
          <w:rFonts w:ascii="Cambria" w:hAnsi="Cambria"/>
          <w:sz w:val="20"/>
          <w:szCs w:val="20"/>
        </w:rPr>
        <w:t xml:space="preserve"> Subsequently, on November 30, 2006, he requested an explanatory resolution, </w:t>
      </w:r>
      <w:r w:rsidR="0076114D">
        <w:rPr>
          <w:rFonts w:ascii="Cambria" w:hAnsi="Cambria"/>
          <w:sz w:val="20"/>
          <w:szCs w:val="20"/>
        </w:rPr>
        <w:t xml:space="preserve">to </w:t>
      </w:r>
      <w:r w:rsidRPr="00380B39">
        <w:rPr>
          <w:rFonts w:ascii="Cambria" w:hAnsi="Cambria"/>
          <w:sz w:val="20"/>
          <w:szCs w:val="20"/>
        </w:rPr>
        <w:t xml:space="preserve">which to date the Constitutional Court would not have responded. The petitioner indicates that on January 15, 2007, the Constitutional Court terminated the habeas corpus process and forwarded the file to the </w:t>
      </w:r>
      <w:r w:rsidR="0076114D" w:rsidRPr="0076114D">
        <w:rPr>
          <w:rFonts w:ascii="Cambria" w:hAnsi="Cambria"/>
          <w:sz w:val="20"/>
          <w:szCs w:val="20"/>
        </w:rPr>
        <w:t xml:space="preserve">Second Specialized Criminal Chamber of the High Court of Justice of Lima </w:t>
      </w:r>
      <w:r w:rsidRPr="00380B39">
        <w:rPr>
          <w:rFonts w:ascii="Cambria" w:hAnsi="Cambria"/>
          <w:sz w:val="20"/>
          <w:szCs w:val="20"/>
        </w:rPr>
        <w:t xml:space="preserve">for its definitive archive. The petitioner alleges that beyond the benefit of the exemption from punishment, his fundamental rights to freedom and due process were violated. </w:t>
      </w:r>
      <w:r w:rsidR="0076114D">
        <w:rPr>
          <w:rFonts w:ascii="Cambria" w:hAnsi="Cambria"/>
          <w:sz w:val="20"/>
          <w:szCs w:val="20"/>
        </w:rPr>
        <w:t>T</w:t>
      </w:r>
      <w:r w:rsidRPr="00380B39">
        <w:rPr>
          <w:rFonts w:ascii="Cambria" w:hAnsi="Cambria"/>
          <w:sz w:val="20"/>
          <w:szCs w:val="20"/>
        </w:rPr>
        <w:t xml:space="preserve">he members omitted pronouncement on the procedural irregularity denounced by the alleged victim. Finally, the petitioner indicates that Mr. </w:t>
      </w:r>
      <w:proofErr w:type="spellStart"/>
      <w:r w:rsidRPr="00380B39">
        <w:rPr>
          <w:rFonts w:ascii="Cambria" w:hAnsi="Cambria"/>
          <w:sz w:val="20"/>
          <w:szCs w:val="20"/>
        </w:rPr>
        <w:t>Milla</w:t>
      </w:r>
      <w:proofErr w:type="spellEnd"/>
      <w:r w:rsidRPr="00380B39">
        <w:rPr>
          <w:rFonts w:ascii="Cambria" w:hAnsi="Cambria"/>
          <w:sz w:val="20"/>
          <w:szCs w:val="20"/>
        </w:rPr>
        <w:t xml:space="preserve"> Espinoza has been free since July 2014 for after having complied with his sentence.</w:t>
      </w:r>
    </w:p>
    <w:p w14:paraId="4DD7202E" w14:textId="34E189F0" w:rsidR="00380B39" w:rsidRPr="00380B39" w:rsidRDefault="00380B39" w:rsidP="00380B3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380B39">
        <w:rPr>
          <w:rFonts w:ascii="Cambria" w:hAnsi="Cambria"/>
          <w:sz w:val="20"/>
          <w:szCs w:val="20"/>
        </w:rPr>
        <w:t xml:space="preserve">For its part, the State argues that the petition is inadmissible, because it does not state facts that amount to violations of the rights enshrined in the American Convention. It considers that </w:t>
      </w:r>
      <w:r w:rsidRPr="00E93A19">
        <w:rPr>
          <w:rFonts w:ascii="Cambria" w:hAnsi="Cambria"/>
          <w:i/>
          <w:sz w:val="20"/>
          <w:szCs w:val="20"/>
        </w:rPr>
        <w:t>prima facie</w:t>
      </w:r>
      <w:r w:rsidRPr="00380B39">
        <w:rPr>
          <w:rFonts w:ascii="Cambria" w:hAnsi="Cambria"/>
          <w:sz w:val="20"/>
          <w:szCs w:val="20"/>
        </w:rPr>
        <w:t xml:space="preserve"> there is no evidence that the guarantees of due process of the petitioner have been violated, nor his rights to equality and personal liberty. Peru considers that the petitioner is not satisfied with the outcome of the decisions taken by domestic tribunals and intends for the Commission to act as a four</w:t>
      </w:r>
      <w:r w:rsidR="008E0BCB">
        <w:rPr>
          <w:rFonts w:ascii="Cambria" w:hAnsi="Cambria"/>
          <w:sz w:val="20"/>
          <w:szCs w:val="20"/>
        </w:rPr>
        <w:t>th instance; and notes that this body</w:t>
      </w:r>
      <w:r w:rsidRPr="00380B39">
        <w:rPr>
          <w:rFonts w:ascii="Cambria" w:hAnsi="Cambria"/>
          <w:sz w:val="20"/>
          <w:szCs w:val="20"/>
        </w:rPr>
        <w:t xml:space="preserve"> cannot rule on aspects that the national magistrates have resolved within the framework of their competence and with due regard to due process.</w:t>
      </w:r>
    </w:p>
    <w:p w14:paraId="2E9D0952" w14:textId="7C80A641" w:rsidR="00380B39" w:rsidRPr="00380B39" w:rsidRDefault="00380B39" w:rsidP="00380B3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380B39">
        <w:rPr>
          <w:rFonts w:ascii="Cambria" w:hAnsi="Cambria"/>
          <w:sz w:val="20"/>
          <w:szCs w:val="20"/>
        </w:rPr>
        <w:t xml:space="preserve">The State alleges that due process guarantees, </w:t>
      </w:r>
      <w:r w:rsidR="0069181F">
        <w:rPr>
          <w:rFonts w:ascii="Cambria" w:hAnsi="Cambria"/>
          <w:sz w:val="20"/>
          <w:szCs w:val="20"/>
        </w:rPr>
        <w:t>as well as</w:t>
      </w:r>
      <w:r w:rsidRPr="00380B39">
        <w:rPr>
          <w:rFonts w:ascii="Cambria" w:hAnsi="Cambria"/>
          <w:sz w:val="20"/>
          <w:szCs w:val="20"/>
        </w:rPr>
        <w:t xml:space="preserve"> the norms established in the national legislation</w:t>
      </w:r>
      <w:r w:rsidR="0069181F">
        <w:rPr>
          <w:rFonts w:ascii="Cambria" w:hAnsi="Cambria"/>
          <w:sz w:val="20"/>
          <w:szCs w:val="20"/>
        </w:rPr>
        <w:t>,</w:t>
      </w:r>
      <w:r w:rsidRPr="00380B39">
        <w:rPr>
          <w:rFonts w:ascii="Cambria" w:hAnsi="Cambria"/>
          <w:sz w:val="20"/>
          <w:szCs w:val="20"/>
        </w:rPr>
        <w:t xml:space="preserve"> were respected both in the criminal process and in the exemption of penalty</w:t>
      </w:r>
      <w:r w:rsidR="0069181F">
        <w:rPr>
          <w:rFonts w:ascii="Cambria" w:hAnsi="Cambria"/>
          <w:sz w:val="20"/>
          <w:szCs w:val="20"/>
        </w:rPr>
        <w:t xml:space="preserve"> process</w:t>
      </w:r>
      <w:r w:rsidRPr="00380B39">
        <w:rPr>
          <w:rFonts w:ascii="Cambria" w:hAnsi="Cambria"/>
          <w:sz w:val="20"/>
          <w:szCs w:val="20"/>
        </w:rPr>
        <w:t xml:space="preserve">. It also maintains that the alleged victim was advised by a freely chosen lawyer and that he had the opportunity to question all the procedural acts alleged by means of the corresponding remedies, both in the </w:t>
      </w:r>
      <w:r w:rsidR="00597ACC" w:rsidRPr="00380B39">
        <w:rPr>
          <w:rFonts w:ascii="Cambria" w:hAnsi="Cambria"/>
          <w:sz w:val="20"/>
          <w:szCs w:val="20"/>
        </w:rPr>
        <w:t>exemption of penalty</w:t>
      </w:r>
      <w:r w:rsidR="00597ACC">
        <w:rPr>
          <w:rFonts w:ascii="Cambria" w:hAnsi="Cambria"/>
          <w:sz w:val="20"/>
          <w:szCs w:val="20"/>
        </w:rPr>
        <w:t xml:space="preserve"> process</w:t>
      </w:r>
      <w:r w:rsidRPr="00380B39">
        <w:rPr>
          <w:rFonts w:ascii="Cambria" w:hAnsi="Cambria"/>
          <w:sz w:val="20"/>
          <w:szCs w:val="20"/>
        </w:rPr>
        <w:t xml:space="preserve"> and in the main criminal process, including the sentence that </w:t>
      </w:r>
      <w:r w:rsidR="00597ACC">
        <w:rPr>
          <w:rFonts w:ascii="Cambria" w:hAnsi="Cambria"/>
          <w:sz w:val="20"/>
          <w:szCs w:val="20"/>
        </w:rPr>
        <w:t>condemned</w:t>
      </w:r>
      <w:r w:rsidRPr="00380B39">
        <w:rPr>
          <w:rFonts w:ascii="Cambria" w:hAnsi="Cambria"/>
          <w:sz w:val="20"/>
          <w:szCs w:val="20"/>
        </w:rPr>
        <w:t xml:space="preserve"> him to 20 years of imprisonment and that, in fact, Mr. </w:t>
      </w:r>
      <w:proofErr w:type="spellStart"/>
      <w:r w:rsidRPr="00380B39">
        <w:rPr>
          <w:rFonts w:ascii="Cambria" w:hAnsi="Cambria"/>
          <w:sz w:val="20"/>
          <w:szCs w:val="20"/>
        </w:rPr>
        <w:t>Milla</w:t>
      </w:r>
      <w:proofErr w:type="spellEnd"/>
      <w:r w:rsidRPr="00380B39">
        <w:rPr>
          <w:rFonts w:ascii="Cambria" w:hAnsi="Cambria"/>
          <w:sz w:val="20"/>
          <w:szCs w:val="20"/>
        </w:rPr>
        <w:t xml:space="preserve"> Espinoza had an active procedural participation. Additionally, his sentence was confirmed by the Criminal Chamber of the Supreme Court by Supreme Execution dated May 24, 2002, when it reached the status of res judicata. On the other hand, the State argues that criminal proceedings are resolved on a case-by-case basis and cannot be analyzed through analogies, and therefore considers that Mr. </w:t>
      </w:r>
      <w:proofErr w:type="spellStart"/>
      <w:r w:rsidRPr="00380B39">
        <w:rPr>
          <w:rFonts w:ascii="Cambria" w:hAnsi="Cambria"/>
          <w:sz w:val="20"/>
          <w:szCs w:val="20"/>
        </w:rPr>
        <w:t>Milla</w:t>
      </w:r>
      <w:proofErr w:type="spellEnd"/>
      <w:r w:rsidRPr="00380B39">
        <w:rPr>
          <w:rFonts w:ascii="Cambria" w:hAnsi="Cambria"/>
          <w:sz w:val="20"/>
          <w:szCs w:val="20"/>
        </w:rPr>
        <w:t xml:space="preserve"> Espinoza cannot claim that he has been the victim of discriminatory treatment only by the fact that the decisions taken at domestic level does not </w:t>
      </w:r>
      <w:r w:rsidR="00597ACC" w:rsidRPr="00380B39">
        <w:rPr>
          <w:rFonts w:ascii="Cambria" w:hAnsi="Cambria"/>
          <w:sz w:val="20"/>
          <w:szCs w:val="20"/>
        </w:rPr>
        <w:t>favor</w:t>
      </w:r>
      <w:r w:rsidRPr="00380B39">
        <w:rPr>
          <w:rFonts w:ascii="Cambria" w:hAnsi="Cambria"/>
          <w:sz w:val="20"/>
          <w:szCs w:val="20"/>
        </w:rPr>
        <w:t xml:space="preserve"> him.</w:t>
      </w:r>
    </w:p>
    <w:p w14:paraId="47F5CE2C" w14:textId="626F56C8" w:rsidR="003D6EE0" w:rsidRPr="006318B2" w:rsidRDefault="00380B39" w:rsidP="008C55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380B39">
        <w:rPr>
          <w:rFonts w:ascii="Cambria" w:hAnsi="Cambria"/>
          <w:sz w:val="20"/>
          <w:szCs w:val="20"/>
        </w:rPr>
        <w:t>The State also affirms that, although the First Permanent Criminal Chamber of the Supreme Court granted the</w:t>
      </w:r>
      <w:r w:rsidR="00771382">
        <w:rPr>
          <w:rFonts w:ascii="Cambria" w:hAnsi="Cambria"/>
          <w:sz w:val="20"/>
          <w:szCs w:val="20"/>
        </w:rPr>
        <w:t xml:space="preserve"> </w:t>
      </w:r>
      <w:r w:rsidR="00771382" w:rsidRPr="00380B39">
        <w:rPr>
          <w:rFonts w:ascii="Cambria" w:hAnsi="Cambria"/>
          <w:sz w:val="20"/>
          <w:szCs w:val="20"/>
        </w:rPr>
        <w:t>benefit of exemption from punishment</w:t>
      </w:r>
      <w:r w:rsidR="00771382">
        <w:rPr>
          <w:rFonts w:ascii="Cambria" w:hAnsi="Cambria"/>
          <w:sz w:val="20"/>
          <w:szCs w:val="20"/>
        </w:rPr>
        <w:t xml:space="preserve"> to the alleged victim on January 5, 2004, said benefit had been erroneously granted due </w:t>
      </w:r>
      <w:r w:rsidR="00771382" w:rsidRPr="00380B39">
        <w:rPr>
          <w:rFonts w:ascii="Cambria" w:hAnsi="Cambria"/>
          <w:sz w:val="20"/>
          <w:szCs w:val="20"/>
        </w:rPr>
        <w:t>to</w:t>
      </w:r>
      <w:r w:rsidRPr="00380B39">
        <w:rPr>
          <w:rFonts w:ascii="Cambria" w:hAnsi="Cambria"/>
          <w:sz w:val="20"/>
          <w:szCs w:val="20"/>
        </w:rPr>
        <w:t xml:space="preserve"> the impossibility to identify the alleged victim, since it was identified by a key number, which caused problems in its identification and consequently in the determination of his sentence. The State considers that the Supreme Court acted in accordance with the law by issuing the second </w:t>
      </w:r>
      <w:r w:rsidR="00771382">
        <w:rPr>
          <w:rFonts w:ascii="Cambria" w:hAnsi="Cambria"/>
          <w:sz w:val="20"/>
          <w:szCs w:val="20"/>
        </w:rPr>
        <w:t>resolution</w:t>
      </w:r>
      <w:r w:rsidRPr="00380B39">
        <w:rPr>
          <w:rFonts w:ascii="Cambria" w:hAnsi="Cambria"/>
          <w:sz w:val="20"/>
          <w:szCs w:val="20"/>
        </w:rPr>
        <w:t xml:space="preserve"> of January 16, 2004, which annulled the resolution of January 5, 2004. It also maintains that there was a legal basis for the annulment of said resolution, given that it contravened the main </w:t>
      </w:r>
      <w:r w:rsidR="00181463" w:rsidRPr="00380B39">
        <w:rPr>
          <w:rFonts w:ascii="Cambria" w:hAnsi="Cambria"/>
          <w:sz w:val="20"/>
          <w:szCs w:val="20"/>
        </w:rPr>
        <w:t>ruling</w:t>
      </w:r>
      <w:r w:rsidRPr="00380B39">
        <w:rPr>
          <w:rFonts w:ascii="Cambria" w:hAnsi="Cambria"/>
          <w:sz w:val="20"/>
          <w:szCs w:val="20"/>
        </w:rPr>
        <w:t xml:space="preserve"> that had already acquired the status of res judicata. In addition, the State argues that there has been no exhaustion of suitable </w:t>
      </w:r>
      <w:r w:rsidRPr="00380B39">
        <w:rPr>
          <w:rFonts w:ascii="Cambria" w:hAnsi="Cambria"/>
          <w:sz w:val="20"/>
          <w:szCs w:val="20"/>
        </w:rPr>
        <w:lastRenderedPageBreak/>
        <w:t>and effective domestic remedies, since the aforementioned annulment does not prevent the alleged victim from requesting the remission of punishment or pardon, provided for in the Law of Repentance; and that being the ideal way to obtain freedom</w:t>
      </w:r>
      <w:r w:rsidR="008C55E8">
        <w:rPr>
          <w:rFonts w:ascii="Cambria" w:hAnsi="Cambria"/>
          <w:sz w:val="20"/>
          <w:szCs w:val="20"/>
        </w:rPr>
        <w:t xml:space="preserve">. It argues </w:t>
      </w:r>
      <w:r w:rsidR="008C55E8" w:rsidRPr="008C55E8">
        <w:rPr>
          <w:rFonts w:ascii="Cambria" w:hAnsi="Cambria"/>
          <w:sz w:val="20"/>
          <w:szCs w:val="20"/>
        </w:rPr>
        <w:t>that the alleged victim did not exhaust these domestic remedies, that they were suitable and effective, and that consequently the present petition is inadmissible</w:t>
      </w:r>
      <w:r w:rsidRPr="00380B39">
        <w:rPr>
          <w:rFonts w:ascii="Cambria" w:hAnsi="Cambria"/>
          <w:sz w:val="20"/>
          <w:szCs w:val="20"/>
        </w:rPr>
        <w:t xml:space="preserve">. Finally, it indicates that constitutional processes such as habeas corpus have as their object of protection the content of constitutionally protected fundamental rights, but not </w:t>
      </w:r>
      <w:r w:rsidR="00226E95">
        <w:rPr>
          <w:rFonts w:ascii="Cambria" w:hAnsi="Cambria"/>
          <w:sz w:val="20"/>
          <w:szCs w:val="20"/>
        </w:rPr>
        <w:t>judicial</w:t>
      </w:r>
      <w:r w:rsidRPr="00380B39">
        <w:rPr>
          <w:rFonts w:ascii="Cambria" w:hAnsi="Cambria"/>
          <w:sz w:val="20"/>
          <w:szCs w:val="20"/>
        </w:rPr>
        <w:t xml:space="preserve"> benefits such as the exemption from punishment.</w:t>
      </w:r>
    </w:p>
    <w:p w14:paraId="55505107" w14:textId="0663319A" w:rsidR="00F621C3" w:rsidRPr="000B6B7A" w:rsidRDefault="00F621C3" w:rsidP="00C355B4">
      <w:pPr>
        <w:spacing w:before="120" w:after="12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21699A04" w14:textId="4296F92C" w:rsidR="00095072" w:rsidRPr="00095072" w:rsidRDefault="00095072" w:rsidP="0009507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095072">
        <w:rPr>
          <w:rFonts w:ascii="Cambria" w:hAnsi="Cambria"/>
          <w:sz w:val="20"/>
          <w:szCs w:val="20"/>
        </w:rPr>
        <w:t xml:space="preserve">On January 16, 2004, the petitioner filed habeas corpus actions against the second </w:t>
      </w:r>
      <w:r w:rsidR="0011641E">
        <w:rPr>
          <w:rFonts w:ascii="Cambria" w:hAnsi="Cambria"/>
          <w:sz w:val="20"/>
          <w:szCs w:val="20"/>
        </w:rPr>
        <w:t>resolution</w:t>
      </w:r>
      <w:r w:rsidRPr="00095072">
        <w:rPr>
          <w:rFonts w:ascii="Cambria" w:hAnsi="Cambria"/>
          <w:sz w:val="20"/>
          <w:szCs w:val="20"/>
        </w:rPr>
        <w:t xml:space="preserve"> of that same date, which left without effect the </w:t>
      </w:r>
      <w:r w:rsidR="0011641E">
        <w:rPr>
          <w:rFonts w:ascii="Cambria" w:hAnsi="Cambria"/>
          <w:sz w:val="20"/>
          <w:szCs w:val="20"/>
        </w:rPr>
        <w:t>mandate of liberty</w:t>
      </w:r>
      <w:r w:rsidRPr="00095072">
        <w:rPr>
          <w:rFonts w:ascii="Cambria" w:hAnsi="Cambria"/>
          <w:sz w:val="20"/>
          <w:szCs w:val="20"/>
        </w:rPr>
        <w:t xml:space="preserve"> of January 5, 2004; and resubmitted another habeas corpus on March 23 of the same year. On July 13, 2004, </w:t>
      </w:r>
      <w:r w:rsidR="00560E0F">
        <w:rPr>
          <w:rFonts w:ascii="Cambria" w:hAnsi="Cambria"/>
          <w:sz w:val="20"/>
          <w:szCs w:val="20"/>
        </w:rPr>
        <w:t>this remedy</w:t>
      </w:r>
      <w:r w:rsidRPr="00095072">
        <w:rPr>
          <w:rFonts w:ascii="Cambria" w:hAnsi="Cambria"/>
          <w:sz w:val="20"/>
          <w:szCs w:val="20"/>
        </w:rPr>
        <w:t xml:space="preserve"> was denied by the judge of the Sixteenth Criminal Court of Lima, as it found no irregularities in the process. Mr. </w:t>
      </w:r>
      <w:proofErr w:type="spellStart"/>
      <w:r w:rsidRPr="00095072">
        <w:rPr>
          <w:rFonts w:ascii="Cambria" w:hAnsi="Cambria"/>
          <w:sz w:val="20"/>
          <w:szCs w:val="20"/>
        </w:rPr>
        <w:t>Milla</w:t>
      </w:r>
      <w:proofErr w:type="spellEnd"/>
      <w:r w:rsidRPr="00095072">
        <w:rPr>
          <w:rFonts w:ascii="Cambria" w:hAnsi="Cambria"/>
          <w:sz w:val="20"/>
          <w:szCs w:val="20"/>
        </w:rPr>
        <w:t xml:space="preserve"> Espinoza appealed this decision to the Superior Court of Justice of Lima, which confirmed the decision appealed on November 9, 2004. Against this last decision, the alleged victim filed a constitutional grievance appeal before the Constitutional Court, which declared it inadmissible by decision of May 16, 2005, notified on November 27, 2006. On November 30, 2006, the alleged victim requested an explanatory resolution to which the Constitutional Court would not have responded to date. With a resolution of January 15, 2007, the Constitutional Court terminated the habeas corpus process initiated by Mr. </w:t>
      </w:r>
      <w:proofErr w:type="spellStart"/>
      <w:r w:rsidRPr="00095072">
        <w:rPr>
          <w:rFonts w:ascii="Cambria" w:hAnsi="Cambria"/>
          <w:sz w:val="20"/>
          <w:szCs w:val="20"/>
        </w:rPr>
        <w:t>Milla</w:t>
      </w:r>
      <w:proofErr w:type="spellEnd"/>
      <w:r w:rsidRPr="00095072">
        <w:rPr>
          <w:rFonts w:ascii="Cambria" w:hAnsi="Cambria"/>
          <w:sz w:val="20"/>
          <w:szCs w:val="20"/>
        </w:rPr>
        <w:t xml:space="preserve"> Espinoza. The State does not dispute that the aforementioned judicial proceedings have concluded with the decisions noted, but considers that there are still adequate remedies to be exhausted, and that the alleged victim had his right to the benefit of the remission of punishment or a pardon under the Law of Repentance.</w:t>
      </w:r>
    </w:p>
    <w:p w14:paraId="6B465BA0" w14:textId="15C6BEB6" w:rsidR="00095072" w:rsidRPr="00DE4F40" w:rsidRDefault="008C55E8" w:rsidP="00DE4F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Pr>
          <w:rFonts w:ascii="Cambria" w:hAnsi="Cambria"/>
          <w:sz w:val="20"/>
          <w:szCs w:val="20"/>
        </w:rPr>
        <w:t>T</w:t>
      </w:r>
      <w:r w:rsidR="00095072" w:rsidRPr="00095072">
        <w:rPr>
          <w:rFonts w:ascii="Cambria" w:hAnsi="Cambria"/>
          <w:sz w:val="20"/>
          <w:szCs w:val="20"/>
        </w:rPr>
        <w:t>he Commission reiterates that the exhaustion of domestic remedies does not imply that the alleged victim must exhaust all possible or possibly appropriate judicial remedies, but that if he did so by any of the procedurally appropriate means, said requirement is met</w:t>
      </w:r>
      <w:r>
        <w:rPr>
          <w:rStyle w:val="FootnoteReference"/>
          <w:rFonts w:ascii="Cambria" w:hAnsi="Cambria"/>
          <w:sz w:val="20"/>
          <w:szCs w:val="20"/>
        </w:rPr>
        <w:footnoteReference w:id="13"/>
      </w:r>
      <w:r w:rsidR="00095072" w:rsidRPr="00095072">
        <w:rPr>
          <w:rFonts w:ascii="Cambria" w:hAnsi="Cambria"/>
          <w:sz w:val="20"/>
          <w:szCs w:val="20"/>
        </w:rPr>
        <w:t>. On the other hand, the Commission observes that the figure of the pardon is of an administrative and discretionary nature in charge of the Executive Power and that, therefore, its exhaustion is not in principle enforceable. In a case like this, the Commission does not observe elements that indicate that such mechanism was suitable for solving the situation raised by the petitioner.</w:t>
      </w:r>
      <w:r w:rsidR="00DE4F40">
        <w:rPr>
          <w:rFonts w:ascii="Cambria" w:hAnsi="Cambria"/>
          <w:sz w:val="20"/>
          <w:szCs w:val="20"/>
        </w:rPr>
        <w:t xml:space="preserve"> </w:t>
      </w:r>
      <w:r w:rsidR="00DE4F40" w:rsidRPr="00DE4F40">
        <w:rPr>
          <w:rFonts w:ascii="Cambria" w:hAnsi="Cambria"/>
          <w:sz w:val="20"/>
          <w:szCs w:val="20"/>
        </w:rPr>
        <w:t>Likewise, the Commission observes that the petitioner filed two habeas corpus remedies, which culminated in the decisions of the Constitutional Court of May 16, 2006 and January 15, 2007</w:t>
      </w:r>
      <w:r w:rsidR="00DE4F40">
        <w:rPr>
          <w:rFonts w:ascii="Cambria" w:hAnsi="Cambria"/>
          <w:sz w:val="20"/>
          <w:szCs w:val="20"/>
        </w:rPr>
        <w:t>.</w:t>
      </w:r>
      <w:r w:rsidR="00095072" w:rsidRPr="00DE4F40">
        <w:rPr>
          <w:rFonts w:ascii="Cambria" w:hAnsi="Cambria"/>
          <w:sz w:val="20"/>
          <w:szCs w:val="20"/>
        </w:rPr>
        <w:t xml:space="preserve"> In view of the above considerations, the Commission concludes that the present petition complies with the requirement of exhaustion of domestic remedies established in Article 46.1.</w:t>
      </w:r>
      <w:proofErr w:type="spellStart"/>
      <w:r w:rsidR="00095072" w:rsidRPr="00DE4F40">
        <w:rPr>
          <w:rFonts w:ascii="Cambria" w:hAnsi="Cambria"/>
          <w:sz w:val="20"/>
          <w:szCs w:val="20"/>
        </w:rPr>
        <w:t>a</w:t>
      </w:r>
      <w:proofErr w:type="spellEnd"/>
      <w:r w:rsidR="00095072" w:rsidRPr="00DE4F40">
        <w:rPr>
          <w:rFonts w:ascii="Cambria" w:hAnsi="Cambria"/>
          <w:sz w:val="20"/>
          <w:szCs w:val="20"/>
        </w:rPr>
        <w:t xml:space="preserve"> of the American Convention.</w:t>
      </w:r>
    </w:p>
    <w:p w14:paraId="2BDBAE9F" w14:textId="0535F09B" w:rsidR="00263BF5" w:rsidRPr="000B6B7A" w:rsidRDefault="00095072" w:rsidP="0009507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095072">
        <w:rPr>
          <w:rFonts w:ascii="Cambria" w:hAnsi="Cambria"/>
          <w:sz w:val="20"/>
          <w:szCs w:val="20"/>
        </w:rPr>
        <w:t>Regarding the deadline for submission, the Commission observes that the petition was received on April 3, 2007, and that the domestic judicial remedies were definitively exhausted with the aforementioned judgment of the Constitutional Court of January 15, 2007. Therefore, it concludes that the petition complies with the requirement established in Article 46.1.b of the American Convention.</w:t>
      </w:r>
    </w:p>
    <w:p w14:paraId="378478A0" w14:textId="26729B2B" w:rsidR="00F621C3" w:rsidRPr="000B6B7A" w:rsidRDefault="00F621C3" w:rsidP="00C355B4">
      <w:pPr>
        <w:pStyle w:val="ListParagraph"/>
        <w:spacing w:before="120" w:after="12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t>COLORABLE CLAIM</w:t>
      </w:r>
    </w:p>
    <w:p w14:paraId="0988FE9E" w14:textId="2AF42B4E" w:rsidR="003A58D8" w:rsidRPr="003A58D8" w:rsidRDefault="003A58D8" w:rsidP="003A58D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3A58D8">
        <w:rPr>
          <w:rFonts w:ascii="Cambria" w:hAnsi="Cambria"/>
          <w:sz w:val="20"/>
          <w:szCs w:val="20"/>
        </w:rPr>
        <w:t>The Commission notes that the present claim is essentially based on the alleged violation</w:t>
      </w:r>
      <w:r w:rsidR="00AC21D5">
        <w:rPr>
          <w:rFonts w:ascii="Cambria" w:hAnsi="Cambria"/>
          <w:sz w:val="20"/>
          <w:szCs w:val="20"/>
        </w:rPr>
        <w:t xml:space="preserve"> by </w:t>
      </w:r>
      <w:r w:rsidRPr="003A58D8">
        <w:rPr>
          <w:rFonts w:ascii="Cambria" w:hAnsi="Cambria"/>
          <w:sz w:val="20"/>
          <w:szCs w:val="20"/>
        </w:rPr>
        <w:t>the State</w:t>
      </w:r>
      <w:r w:rsidR="00AC21D5">
        <w:rPr>
          <w:rFonts w:ascii="Cambria" w:hAnsi="Cambria"/>
          <w:sz w:val="20"/>
          <w:szCs w:val="20"/>
        </w:rPr>
        <w:t xml:space="preserve"> to the</w:t>
      </w:r>
      <w:r w:rsidRPr="003A58D8">
        <w:rPr>
          <w:rFonts w:ascii="Cambria" w:hAnsi="Cambria"/>
          <w:sz w:val="20"/>
          <w:szCs w:val="20"/>
        </w:rPr>
        <w:t xml:space="preserve"> due process and judicial guarantees of the petitioner in the context of the penalty exemption process, a benefit that was </w:t>
      </w:r>
      <w:r w:rsidR="00AC21D5">
        <w:rPr>
          <w:rFonts w:ascii="Cambria" w:hAnsi="Cambria"/>
          <w:sz w:val="20"/>
          <w:szCs w:val="20"/>
        </w:rPr>
        <w:t>not granted</w:t>
      </w:r>
      <w:r w:rsidRPr="003A58D8">
        <w:rPr>
          <w:rFonts w:ascii="Cambria" w:hAnsi="Cambria"/>
          <w:sz w:val="20"/>
          <w:szCs w:val="20"/>
        </w:rPr>
        <w:t xml:space="preserve"> to the alleged victim. The Commission observes that the petitioners' claims were analyzed and resolved internally on several occasions. The Commission recalls that it is not competent to review judgments issued by national courts that act in the sphere of </w:t>
      </w:r>
      <w:r w:rsidR="0066641B">
        <w:rPr>
          <w:rFonts w:ascii="Cambria" w:hAnsi="Cambria"/>
          <w:sz w:val="20"/>
          <w:szCs w:val="20"/>
        </w:rPr>
        <w:t>their</w:t>
      </w:r>
      <w:r w:rsidRPr="003A58D8">
        <w:rPr>
          <w:rFonts w:ascii="Cambria" w:hAnsi="Cambria"/>
          <w:sz w:val="20"/>
          <w:szCs w:val="20"/>
        </w:rPr>
        <w:t xml:space="preserve"> jurisdiction and apply due process and judicial guarantees</w:t>
      </w:r>
      <w:r w:rsidR="008B24C3" w:rsidRPr="00885BCF">
        <w:rPr>
          <w:rStyle w:val="FootnoteReference"/>
          <w:rFonts w:ascii="Cambria" w:hAnsi="Cambria"/>
          <w:sz w:val="20"/>
          <w:szCs w:val="20"/>
          <w:lang w:val="es-ES"/>
        </w:rPr>
        <w:footnoteReference w:id="14"/>
      </w:r>
      <w:r w:rsidRPr="003A58D8">
        <w:rPr>
          <w:rFonts w:ascii="Cambria" w:hAnsi="Cambria"/>
          <w:sz w:val="20"/>
          <w:szCs w:val="20"/>
        </w:rPr>
        <w:t>. Likewise, the petitioners have not presented elements of fact or law that indicate that the proceedings before or the decision of the domestic judicial authorities suffer from any vice that implies violation of the American Convention.</w:t>
      </w:r>
    </w:p>
    <w:p w14:paraId="70146B96" w14:textId="6DD2E9B7" w:rsidR="00F621C3" w:rsidRPr="000B6B7A" w:rsidRDefault="003A58D8" w:rsidP="003A58D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3A58D8">
        <w:rPr>
          <w:rFonts w:ascii="Cambria" w:hAnsi="Cambria"/>
          <w:sz w:val="20"/>
          <w:szCs w:val="20"/>
        </w:rPr>
        <w:t xml:space="preserve">That is why, based on the aforementioned considerations, this Commission concludes that the petition does not comply with the requirement established in Article 47.b of the American Convention, since there are no </w:t>
      </w:r>
      <w:r w:rsidRPr="0066641B">
        <w:rPr>
          <w:rFonts w:ascii="Cambria" w:hAnsi="Cambria"/>
          <w:i/>
          <w:sz w:val="20"/>
          <w:szCs w:val="20"/>
        </w:rPr>
        <w:t>prima facie</w:t>
      </w:r>
      <w:r w:rsidRPr="003A58D8">
        <w:rPr>
          <w:rFonts w:ascii="Cambria" w:hAnsi="Cambria"/>
          <w:sz w:val="20"/>
          <w:szCs w:val="20"/>
        </w:rPr>
        <w:t xml:space="preserve"> facts that could characterize violations to the rights invoked by the petitioner</w:t>
      </w:r>
      <w:r w:rsidR="0083321B">
        <w:rPr>
          <w:rFonts w:ascii="Cambria" w:hAnsi="Cambria"/>
          <w:sz w:val="20"/>
          <w:szCs w:val="20"/>
        </w:rPr>
        <w:t>.</w:t>
      </w:r>
    </w:p>
    <w:p w14:paraId="5A70550C" w14:textId="5A86811E" w:rsidR="00F621C3" w:rsidRPr="000B6B7A" w:rsidRDefault="0083321B" w:rsidP="0083321B">
      <w:pPr>
        <w:rPr>
          <w:rFonts w:asciiTheme="majorHAnsi" w:hAnsiTheme="majorHAnsi"/>
          <w:b/>
          <w:bCs/>
          <w:sz w:val="20"/>
          <w:szCs w:val="20"/>
        </w:rPr>
      </w:pPr>
      <w:r>
        <w:rPr>
          <w:rFonts w:asciiTheme="majorHAnsi" w:hAnsiTheme="majorHAnsi"/>
          <w:b/>
          <w:bCs/>
          <w:sz w:val="20"/>
          <w:szCs w:val="20"/>
        </w:rPr>
        <w:br w:type="page"/>
      </w:r>
      <w:r>
        <w:rPr>
          <w:rFonts w:asciiTheme="majorHAnsi" w:hAnsiTheme="majorHAnsi"/>
          <w:b/>
          <w:bCs/>
          <w:sz w:val="20"/>
          <w:szCs w:val="20"/>
        </w:rPr>
        <w:lastRenderedPageBreak/>
        <w:tab/>
      </w:r>
      <w:r w:rsidR="00F621C3" w:rsidRPr="000B6B7A">
        <w:rPr>
          <w:rFonts w:asciiTheme="majorHAnsi" w:hAnsiTheme="majorHAnsi"/>
          <w:b/>
          <w:bCs/>
          <w:sz w:val="20"/>
          <w:szCs w:val="20"/>
        </w:rPr>
        <w:t xml:space="preserve">VIII. </w:t>
      </w:r>
      <w:r w:rsidR="00F621C3" w:rsidRPr="000B6B7A">
        <w:rPr>
          <w:rFonts w:asciiTheme="majorHAnsi" w:hAnsiTheme="majorHAnsi"/>
          <w:b/>
          <w:bCs/>
          <w:sz w:val="20"/>
          <w:szCs w:val="20"/>
        </w:rPr>
        <w:tab/>
        <w:t>DECISION</w:t>
      </w:r>
    </w:p>
    <w:p w14:paraId="4C547C0C" w14:textId="6C3FE6B5" w:rsidR="00095072" w:rsidRPr="00095072" w:rsidRDefault="00095072" w:rsidP="0009507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rPr>
      </w:pPr>
      <w:r w:rsidRPr="00095072">
        <w:rPr>
          <w:rFonts w:asciiTheme="majorHAnsi" w:hAnsiTheme="majorHAnsi"/>
          <w:sz w:val="20"/>
          <w:szCs w:val="20"/>
        </w:rPr>
        <w:t xml:space="preserve">To find the instant petition </w:t>
      </w:r>
      <w:r w:rsidR="003A58D8">
        <w:rPr>
          <w:rFonts w:asciiTheme="majorHAnsi" w:hAnsiTheme="majorHAnsi"/>
          <w:sz w:val="20"/>
          <w:szCs w:val="20"/>
        </w:rPr>
        <w:t>in</w:t>
      </w:r>
      <w:r w:rsidRPr="00095072">
        <w:rPr>
          <w:rFonts w:asciiTheme="majorHAnsi" w:hAnsiTheme="majorHAnsi"/>
          <w:sz w:val="20"/>
          <w:szCs w:val="20"/>
        </w:rPr>
        <w:t>admissible;</w:t>
      </w:r>
    </w:p>
    <w:p w14:paraId="22CC8DDA" w14:textId="74FCC5AF" w:rsidR="00F621C3" w:rsidRPr="0083321B" w:rsidRDefault="00095072" w:rsidP="0009507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095072">
        <w:rPr>
          <w:rFonts w:asciiTheme="majorHAnsi" w:hAnsiTheme="majorHAnsi"/>
          <w:sz w:val="20"/>
          <w:szCs w:val="20"/>
        </w:rPr>
        <w:t>To notify the parties of the decision; and to publish this decision and to include it in its Annual Report to the General Assembly of the Organization of American States.</w:t>
      </w:r>
    </w:p>
    <w:p w14:paraId="0518F212" w14:textId="30B89CDA" w:rsidR="0083321B" w:rsidRDefault="0083321B" w:rsidP="0083321B">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1</w:t>
      </w:r>
      <w:r w:rsidRPr="0083321B">
        <w:rPr>
          <w:rFonts w:ascii="Cambria" w:hAnsi="Cambria"/>
          <w:spacing w:val="-2"/>
          <w:sz w:val="20"/>
          <w:vertAlign w:val="superscript"/>
        </w:rPr>
        <w:t>st</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June,</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ernández, President; Antonia Ur</w:t>
      </w:r>
      <w:r w:rsidRPr="007F3C48">
        <w:rPr>
          <w:rFonts w:asciiTheme="majorHAnsi" w:hAnsiTheme="majorHAnsi" w:cs="Arial"/>
          <w:noProof/>
          <w:spacing w:val="-2"/>
          <w:sz w:val="20"/>
          <w:szCs w:val="20"/>
        </w:rPr>
        <w:t xml:space="preserve">rejola, First Vice President; Flávia Piovesan, Second Vice President; </w:t>
      </w:r>
      <w:r w:rsidRPr="00DD57A5">
        <w:rPr>
          <w:rFonts w:asciiTheme="majorHAnsi" w:hAnsiTheme="majorHAnsi" w:cs="Arial"/>
          <w:noProof/>
          <w:spacing w:val="-2"/>
          <w:sz w:val="20"/>
          <w:szCs w:val="20"/>
        </w:rPr>
        <w:t xml:space="preserve">Margarette May Macaulay, </w:t>
      </w:r>
      <w:r>
        <w:rPr>
          <w:rFonts w:asciiTheme="majorHAnsi" w:hAnsiTheme="majorHAnsi" w:cs="Arial"/>
          <w:noProof/>
          <w:spacing w:val="-2"/>
          <w:sz w:val="20"/>
          <w:szCs w:val="20"/>
        </w:rPr>
        <w:t xml:space="preserve">and </w:t>
      </w:r>
      <w:r w:rsidRPr="00DD57A5">
        <w:rPr>
          <w:rFonts w:asciiTheme="majorHAnsi" w:hAnsiTheme="majorHAnsi" w:cs="Arial"/>
          <w:noProof/>
          <w:spacing w:val="-2"/>
          <w:sz w:val="20"/>
          <w:szCs w:val="20"/>
        </w:rPr>
        <w:t>Esmeralda E. Arosemena Bernal de Troitiño,</w:t>
      </w:r>
      <w:r w:rsidRPr="007F3C48">
        <w:rPr>
          <w:rFonts w:asciiTheme="majorHAnsi" w:hAnsiTheme="majorHAnsi" w:cs="Arial"/>
          <w:noProof/>
          <w:spacing w:val="-2"/>
          <w:sz w:val="20"/>
          <w:szCs w:val="20"/>
        </w:rPr>
        <w:t xml:space="preserve"> </w:t>
      </w:r>
      <w:r w:rsidRPr="00365F2F">
        <w:rPr>
          <w:rFonts w:ascii="Cambria" w:hAnsi="Cambria"/>
          <w:spacing w:val="-2"/>
          <w:sz w:val="20"/>
        </w:rPr>
        <w:t>Commissioners.</w:t>
      </w:r>
    </w:p>
    <w:p w14:paraId="2038AED5" w14:textId="77777777" w:rsidR="0083321B" w:rsidRPr="001F1902" w:rsidRDefault="0083321B" w:rsidP="0083321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20"/>
        <w:jc w:val="both"/>
        <w:rPr>
          <w:rFonts w:ascii="Cambria" w:hAnsi="Cambria"/>
          <w:sz w:val="20"/>
          <w:szCs w:val="20"/>
        </w:rPr>
      </w:pPr>
    </w:p>
    <w:p w14:paraId="1C6AA622" w14:textId="77777777" w:rsidR="00F621C3" w:rsidRPr="000B6B7A"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0B6B7A" w:rsidRDefault="00F621C3" w:rsidP="00F621C3">
      <w:pPr>
        <w:rPr>
          <w:rFonts w:ascii="Cambria" w:hAnsi="Cambria" w:cs="Calibri"/>
          <w:sz w:val="20"/>
          <w:szCs w:val="20"/>
        </w:rPr>
      </w:pP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1D9CD" w14:textId="77777777" w:rsidR="00331165" w:rsidRDefault="00331165" w:rsidP="00036A8A">
      <w:r>
        <w:separator/>
      </w:r>
    </w:p>
  </w:endnote>
  <w:endnote w:type="continuationSeparator" w:id="0">
    <w:p w14:paraId="56B4D20C" w14:textId="77777777" w:rsidR="00331165" w:rsidRDefault="00331165"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0E8FA" w14:textId="77777777" w:rsidR="00AA690C" w:rsidRDefault="00AA69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117B1F29"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1B5C21">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4F3AE" w14:textId="77777777" w:rsidR="00331165" w:rsidRPr="00036A8A" w:rsidRDefault="00331165"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4B4AE7D" w14:textId="77777777" w:rsidR="00331165" w:rsidRPr="00036A8A" w:rsidRDefault="00331165" w:rsidP="00036A8A">
      <w:pPr>
        <w:rPr>
          <w:rFonts w:asciiTheme="majorHAnsi" w:hAnsiTheme="majorHAnsi"/>
          <w:sz w:val="16"/>
          <w:szCs w:val="16"/>
        </w:rPr>
      </w:pPr>
      <w:r w:rsidRPr="00036A8A">
        <w:rPr>
          <w:rFonts w:asciiTheme="majorHAnsi" w:hAnsiTheme="majorHAnsi"/>
          <w:sz w:val="16"/>
          <w:szCs w:val="16"/>
        </w:rPr>
        <w:separator/>
      </w:r>
    </w:p>
    <w:p w14:paraId="6296D357" w14:textId="77777777" w:rsidR="00331165" w:rsidRPr="00036A8A" w:rsidRDefault="00331165"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7CBD0E50" w14:textId="77777777" w:rsidR="00331165" w:rsidRPr="0093441A" w:rsidRDefault="00331165"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748EFD68" w14:textId="5B7E1F3E" w:rsidR="00380B39" w:rsidRPr="008B24C3" w:rsidRDefault="0083321B" w:rsidP="008B24C3">
      <w:pPr>
        <w:pStyle w:val="FootnoteText"/>
        <w:jc w:val="both"/>
        <w:rPr>
          <w:rFonts w:asciiTheme="majorHAnsi" w:hAnsiTheme="majorHAnsi"/>
          <w:sz w:val="16"/>
          <w:szCs w:val="16"/>
        </w:rPr>
      </w:pPr>
      <w:r>
        <w:rPr>
          <w:rFonts w:asciiTheme="majorHAnsi" w:hAnsiTheme="majorHAnsi"/>
          <w:sz w:val="16"/>
          <w:szCs w:val="16"/>
        </w:rPr>
        <w:tab/>
      </w:r>
      <w:r w:rsidR="00380B39" w:rsidRPr="008B24C3">
        <w:rPr>
          <w:rStyle w:val="FootnoteReference"/>
          <w:rFonts w:asciiTheme="majorHAnsi" w:hAnsiTheme="majorHAnsi"/>
          <w:sz w:val="16"/>
          <w:szCs w:val="16"/>
        </w:rPr>
        <w:footnoteRef/>
      </w:r>
      <w:r w:rsidR="00380B39" w:rsidRPr="008B24C3">
        <w:rPr>
          <w:rFonts w:asciiTheme="majorHAnsi" w:hAnsiTheme="majorHAnsi"/>
          <w:sz w:val="16"/>
          <w:szCs w:val="16"/>
        </w:rPr>
        <w:t xml:space="preserve"> Based on article 17.2.</w:t>
      </w:r>
      <w:proofErr w:type="spellStart"/>
      <w:r w:rsidR="00380B39" w:rsidRPr="008B24C3">
        <w:rPr>
          <w:rFonts w:asciiTheme="majorHAnsi" w:hAnsiTheme="majorHAnsi"/>
          <w:sz w:val="16"/>
          <w:szCs w:val="16"/>
        </w:rPr>
        <w:t>a</w:t>
      </w:r>
      <w:proofErr w:type="spellEnd"/>
      <w:r w:rsidR="00380B39" w:rsidRPr="008B24C3">
        <w:rPr>
          <w:rFonts w:asciiTheme="majorHAnsi" w:hAnsiTheme="majorHAnsi"/>
          <w:sz w:val="16"/>
          <w:szCs w:val="16"/>
        </w:rPr>
        <w:t xml:space="preserve"> of the Rules of procedure of the Commission, Commissioner </w:t>
      </w:r>
      <w:r w:rsidR="00380B39" w:rsidRPr="008B24C3">
        <w:rPr>
          <w:rFonts w:asciiTheme="majorHAnsi" w:hAnsiTheme="majorHAnsi"/>
          <w:color w:val="auto"/>
          <w:sz w:val="16"/>
          <w:szCs w:val="16"/>
        </w:rPr>
        <w:t>Francisco José Eguiguren Praeli</w:t>
      </w:r>
      <w:r w:rsidR="00380B39" w:rsidRPr="008B24C3">
        <w:rPr>
          <w:rFonts w:asciiTheme="majorHAnsi" w:hAnsiTheme="majorHAnsi"/>
          <w:sz w:val="16"/>
          <w:szCs w:val="16"/>
        </w:rPr>
        <w:t>, a Peruvian national, did not participate in the debate or decision of this matter.</w:t>
      </w:r>
    </w:p>
  </w:footnote>
  <w:footnote w:id="3">
    <w:p w14:paraId="32B68890" w14:textId="308D79E8" w:rsidR="00380B39" w:rsidRPr="008B24C3" w:rsidRDefault="0083321B" w:rsidP="008B24C3">
      <w:pPr>
        <w:pStyle w:val="FootnoteText"/>
        <w:jc w:val="both"/>
        <w:rPr>
          <w:rFonts w:asciiTheme="majorHAnsi" w:hAnsiTheme="majorHAnsi"/>
          <w:sz w:val="16"/>
          <w:szCs w:val="16"/>
        </w:rPr>
      </w:pPr>
      <w:r>
        <w:rPr>
          <w:rFonts w:asciiTheme="majorHAnsi" w:hAnsiTheme="majorHAnsi"/>
          <w:sz w:val="16"/>
          <w:szCs w:val="16"/>
        </w:rPr>
        <w:tab/>
      </w:r>
      <w:r w:rsidR="00380B39" w:rsidRPr="008B24C3">
        <w:rPr>
          <w:rStyle w:val="FootnoteReference"/>
          <w:rFonts w:asciiTheme="majorHAnsi" w:hAnsiTheme="majorHAnsi"/>
          <w:sz w:val="16"/>
          <w:szCs w:val="16"/>
        </w:rPr>
        <w:footnoteRef/>
      </w:r>
      <w:r w:rsidR="00380B39" w:rsidRPr="008B24C3">
        <w:rPr>
          <w:rFonts w:asciiTheme="majorHAnsi" w:hAnsiTheme="majorHAnsi"/>
          <w:sz w:val="16"/>
          <w:szCs w:val="16"/>
        </w:rPr>
        <w:t xml:space="preserve"> Hereinafter “America Convention” or “Convention”.</w:t>
      </w:r>
    </w:p>
  </w:footnote>
  <w:footnote w:id="4">
    <w:p w14:paraId="1FA1D601" w14:textId="707DF090" w:rsidR="00380B39" w:rsidRPr="008B24C3" w:rsidRDefault="0083321B" w:rsidP="008B24C3">
      <w:pPr>
        <w:pStyle w:val="FootnoteText"/>
        <w:jc w:val="both"/>
        <w:rPr>
          <w:rFonts w:asciiTheme="majorHAnsi" w:hAnsiTheme="majorHAnsi"/>
          <w:sz w:val="16"/>
          <w:szCs w:val="16"/>
        </w:rPr>
      </w:pPr>
      <w:r>
        <w:rPr>
          <w:rFonts w:asciiTheme="majorHAnsi" w:hAnsiTheme="majorHAnsi"/>
          <w:sz w:val="16"/>
          <w:szCs w:val="16"/>
        </w:rPr>
        <w:tab/>
      </w:r>
      <w:r w:rsidR="00380B39" w:rsidRPr="008B24C3">
        <w:rPr>
          <w:rStyle w:val="FootnoteReference"/>
          <w:rFonts w:asciiTheme="majorHAnsi" w:hAnsiTheme="majorHAnsi"/>
          <w:sz w:val="16"/>
          <w:szCs w:val="16"/>
        </w:rPr>
        <w:footnoteRef/>
      </w:r>
      <w:r w:rsidR="00380B39" w:rsidRPr="008B24C3">
        <w:rPr>
          <w:rFonts w:asciiTheme="majorHAnsi" w:hAnsiTheme="majorHAnsi"/>
          <w:sz w:val="16"/>
          <w:szCs w:val="16"/>
        </w:rPr>
        <w:t xml:space="preserve"> Articles 5 and 9 of the International Covenant on Civil and Political Rights; and articles 2, 7, 8, 9 and 10 of the Universal Declaration on Human Rights.</w:t>
      </w:r>
    </w:p>
  </w:footnote>
  <w:footnote w:id="5">
    <w:p w14:paraId="6F51BDAF" w14:textId="043893AE" w:rsidR="00653EA6" w:rsidRPr="008B24C3" w:rsidRDefault="0083321B" w:rsidP="008B24C3">
      <w:pPr>
        <w:pStyle w:val="FootnoteText"/>
        <w:jc w:val="both"/>
        <w:rPr>
          <w:rFonts w:asciiTheme="majorHAnsi" w:hAnsiTheme="majorHAnsi"/>
          <w:sz w:val="16"/>
          <w:szCs w:val="16"/>
        </w:rPr>
      </w:pPr>
      <w:r>
        <w:rPr>
          <w:rFonts w:asciiTheme="majorHAnsi" w:hAnsiTheme="majorHAnsi"/>
          <w:sz w:val="16"/>
          <w:szCs w:val="16"/>
        </w:rPr>
        <w:tab/>
      </w:r>
      <w:r w:rsidR="00653EA6" w:rsidRPr="008B24C3">
        <w:rPr>
          <w:rStyle w:val="FootnoteReference"/>
          <w:rFonts w:asciiTheme="majorHAnsi" w:hAnsiTheme="majorHAnsi"/>
          <w:sz w:val="16"/>
          <w:szCs w:val="16"/>
        </w:rPr>
        <w:footnoteRef/>
      </w:r>
      <w:r w:rsidR="00653EA6" w:rsidRPr="008B24C3">
        <w:rPr>
          <w:rFonts w:asciiTheme="majorHAnsi" w:hAnsiTheme="majorHAnsi"/>
          <w:sz w:val="16"/>
          <w:szCs w:val="16"/>
        </w:rPr>
        <w:t xml:space="preserve"> The observations </w:t>
      </w:r>
      <w:r w:rsidR="00321AFD" w:rsidRPr="008B24C3">
        <w:rPr>
          <w:rFonts w:asciiTheme="majorHAnsi" w:hAnsiTheme="majorHAnsi"/>
          <w:sz w:val="16"/>
          <w:szCs w:val="16"/>
        </w:rPr>
        <w:t>submitted</w:t>
      </w:r>
      <w:r w:rsidR="00653EA6" w:rsidRPr="008B24C3">
        <w:rPr>
          <w:rFonts w:asciiTheme="majorHAnsi" w:hAnsiTheme="majorHAnsi"/>
          <w:sz w:val="16"/>
          <w:szCs w:val="16"/>
        </w:rPr>
        <w:t xml:space="preserve"> by each party were duly transmitted to the opposing party.</w:t>
      </w:r>
    </w:p>
  </w:footnote>
  <w:footnote w:id="6">
    <w:p w14:paraId="724002EA" w14:textId="04CD1585" w:rsidR="00380B39" w:rsidRPr="008B24C3" w:rsidRDefault="0083321B" w:rsidP="008B24C3">
      <w:pPr>
        <w:pStyle w:val="FootnoteText"/>
        <w:jc w:val="both"/>
        <w:rPr>
          <w:rFonts w:asciiTheme="majorHAnsi" w:hAnsiTheme="majorHAnsi"/>
          <w:sz w:val="16"/>
          <w:szCs w:val="16"/>
        </w:rPr>
      </w:pPr>
      <w:r>
        <w:rPr>
          <w:rFonts w:asciiTheme="majorHAnsi" w:hAnsiTheme="majorHAnsi"/>
          <w:sz w:val="16"/>
          <w:szCs w:val="16"/>
        </w:rPr>
        <w:tab/>
      </w:r>
      <w:r w:rsidR="00380B39" w:rsidRPr="008B24C3">
        <w:rPr>
          <w:rStyle w:val="FootnoteReference"/>
          <w:rFonts w:asciiTheme="majorHAnsi" w:hAnsiTheme="majorHAnsi"/>
          <w:sz w:val="16"/>
          <w:szCs w:val="16"/>
        </w:rPr>
        <w:footnoteRef/>
      </w:r>
      <w:r w:rsidR="00380B39" w:rsidRPr="008B24C3">
        <w:rPr>
          <w:rFonts w:asciiTheme="majorHAnsi" w:hAnsiTheme="majorHAnsi"/>
          <w:sz w:val="16"/>
          <w:szCs w:val="16"/>
        </w:rPr>
        <w:t xml:space="preserve"> This instance indicated that despite the</w:t>
      </w:r>
      <w:r w:rsidR="004A7D90" w:rsidRPr="008B24C3">
        <w:rPr>
          <w:rFonts w:asciiTheme="majorHAnsi" w:hAnsiTheme="majorHAnsi"/>
          <w:sz w:val="16"/>
          <w:szCs w:val="16"/>
        </w:rPr>
        <w:t xml:space="preserve"> fact that the</w:t>
      </w:r>
      <w:r w:rsidR="00380B39" w:rsidRPr="008B24C3">
        <w:rPr>
          <w:rFonts w:asciiTheme="majorHAnsi" w:hAnsiTheme="majorHAnsi"/>
          <w:sz w:val="16"/>
          <w:szCs w:val="16"/>
        </w:rPr>
        <w:t xml:space="preserve"> annulment appeal was not established in Decree N</w:t>
      </w:r>
      <w:r w:rsidR="00380B39" w:rsidRPr="008B24C3">
        <w:rPr>
          <w:rFonts w:asciiTheme="majorHAnsi" w:hAnsiTheme="majorHAnsi"/>
          <w:sz w:val="16"/>
          <w:szCs w:val="16"/>
        </w:rPr>
        <w:sym w:font="Symbol" w:char="F0B0"/>
      </w:r>
      <w:r w:rsidR="00380B39" w:rsidRPr="008B24C3">
        <w:rPr>
          <w:rFonts w:asciiTheme="majorHAnsi" w:hAnsiTheme="majorHAnsi"/>
          <w:sz w:val="16"/>
          <w:szCs w:val="16"/>
        </w:rPr>
        <w:t>824 as a mean to appeal unfavorable decisions</w:t>
      </w:r>
      <w:r w:rsidR="004A7D90" w:rsidRPr="008B24C3">
        <w:rPr>
          <w:rFonts w:asciiTheme="majorHAnsi" w:hAnsiTheme="majorHAnsi"/>
          <w:sz w:val="16"/>
          <w:szCs w:val="16"/>
        </w:rPr>
        <w:t>, it</w:t>
      </w:r>
      <w:r w:rsidR="00380B39" w:rsidRPr="008B24C3">
        <w:rPr>
          <w:rFonts w:asciiTheme="majorHAnsi" w:hAnsiTheme="majorHAnsi"/>
          <w:sz w:val="16"/>
          <w:szCs w:val="16"/>
        </w:rPr>
        <w:t xml:space="preserve"> did not prevent from </w:t>
      </w:r>
      <w:r w:rsidR="004A7D90" w:rsidRPr="008B24C3">
        <w:rPr>
          <w:rFonts w:asciiTheme="majorHAnsi" w:hAnsiTheme="majorHAnsi"/>
          <w:sz w:val="16"/>
          <w:szCs w:val="16"/>
        </w:rPr>
        <w:t>initiating the</w:t>
      </w:r>
      <w:r w:rsidR="00380B39" w:rsidRPr="008B24C3">
        <w:rPr>
          <w:rFonts w:asciiTheme="majorHAnsi" w:hAnsiTheme="majorHAnsi"/>
          <w:sz w:val="16"/>
          <w:szCs w:val="16"/>
        </w:rPr>
        <w:t xml:space="preserve"> process.</w:t>
      </w:r>
    </w:p>
  </w:footnote>
  <w:footnote w:id="7">
    <w:p w14:paraId="2CA06DD2" w14:textId="1659E789" w:rsidR="00380B39" w:rsidRPr="008B24C3" w:rsidRDefault="0083321B" w:rsidP="008B24C3">
      <w:pPr>
        <w:pStyle w:val="FootnoteText"/>
        <w:jc w:val="both"/>
        <w:rPr>
          <w:rFonts w:asciiTheme="majorHAnsi" w:hAnsiTheme="majorHAnsi"/>
          <w:sz w:val="16"/>
          <w:szCs w:val="16"/>
        </w:rPr>
      </w:pPr>
      <w:r>
        <w:rPr>
          <w:rFonts w:asciiTheme="majorHAnsi" w:hAnsiTheme="majorHAnsi"/>
          <w:sz w:val="16"/>
          <w:szCs w:val="16"/>
        </w:rPr>
        <w:tab/>
      </w:r>
      <w:r w:rsidR="00380B39" w:rsidRPr="008B24C3">
        <w:rPr>
          <w:rStyle w:val="FootnoteReference"/>
          <w:rFonts w:asciiTheme="majorHAnsi" w:hAnsiTheme="majorHAnsi"/>
          <w:sz w:val="16"/>
          <w:szCs w:val="16"/>
        </w:rPr>
        <w:footnoteRef/>
      </w:r>
      <w:r w:rsidR="00380B39" w:rsidRPr="008B24C3">
        <w:rPr>
          <w:rFonts w:asciiTheme="majorHAnsi" w:hAnsiTheme="majorHAnsi"/>
          <w:sz w:val="16"/>
          <w:szCs w:val="16"/>
        </w:rPr>
        <w:t xml:space="preserve"> The petitioner explains that after</w:t>
      </w:r>
      <w:r w:rsidR="004A7D90" w:rsidRPr="008B24C3">
        <w:rPr>
          <w:rFonts w:asciiTheme="majorHAnsi" w:hAnsiTheme="majorHAnsi"/>
          <w:sz w:val="16"/>
          <w:szCs w:val="16"/>
        </w:rPr>
        <w:t xml:space="preserve"> the </w:t>
      </w:r>
      <w:r w:rsidR="00380B39" w:rsidRPr="008B24C3">
        <w:rPr>
          <w:rFonts w:asciiTheme="majorHAnsi" w:hAnsiTheme="majorHAnsi"/>
          <w:sz w:val="16"/>
          <w:szCs w:val="16"/>
        </w:rPr>
        <w:t>Fujimori government</w:t>
      </w:r>
      <w:r w:rsidR="004A7D90" w:rsidRPr="008B24C3">
        <w:rPr>
          <w:rFonts w:asciiTheme="majorHAnsi" w:hAnsiTheme="majorHAnsi"/>
          <w:sz w:val="16"/>
          <w:szCs w:val="16"/>
        </w:rPr>
        <w:t xml:space="preserve"> left office,</w:t>
      </w:r>
      <w:r w:rsidR="00380B39" w:rsidRPr="008B24C3">
        <w:rPr>
          <w:rFonts w:asciiTheme="majorHAnsi" w:hAnsiTheme="majorHAnsi"/>
          <w:sz w:val="16"/>
          <w:szCs w:val="16"/>
        </w:rPr>
        <w:t xml:space="preserve"> there was a reorganization of the Judicial Power that resulted in the elimination of specialized </w:t>
      </w:r>
      <w:r w:rsidR="00A21F58" w:rsidRPr="008B24C3">
        <w:rPr>
          <w:rFonts w:asciiTheme="majorHAnsi" w:hAnsiTheme="majorHAnsi"/>
          <w:sz w:val="16"/>
          <w:szCs w:val="16"/>
        </w:rPr>
        <w:t>tribunals;</w:t>
      </w:r>
      <w:r w:rsidR="00380B39" w:rsidRPr="008B24C3">
        <w:rPr>
          <w:rFonts w:asciiTheme="majorHAnsi" w:hAnsiTheme="majorHAnsi"/>
          <w:sz w:val="16"/>
          <w:szCs w:val="16"/>
        </w:rPr>
        <w:t xml:space="preserve"> hence proceedings were resent to the first tribunal that entertained them. Therefore, the case of Mr. </w:t>
      </w:r>
      <w:proofErr w:type="spellStart"/>
      <w:r w:rsidR="00380B39" w:rsidRPr="008B24C3">
        <w:rPr>
          <w:rFonts w:asciiTheme="majorHAnsi" w:hAnsiTheme="majorHAnsi"/>
          <w:sz w:val="16"/>
          <w:szCs w:val="16"/>
        </w:rPr>
        <w:t>Milla</w:t>
      </w:r>
      <w:proofErr w:type="spellEnd"/>
      <w:r w:rsidR="00380B39" w:rsidRPr="008B24C3">
        <w:rPr>
          <w:rFonts w:asciiTheme="majorHAnsi" w:hAnsiTheme="majorHAnsi"/>
          <w:sz w:val="16"/>
          <w:szCs w:val="16"/>
        </w:rPr>
        <w:t xml:space="preserve"> Espinoza was sent to the First Criminal Chamber of Prisons of the Superior Justice Court of Callao as the Superior Specialized Chamber in TID was deactivated.</w:t>
      </w:r>
    </w:p>
  </w:footnote>
  <w:footnote w:id="8">
    <w:p w14:paraId="622ED837" w14:textId="5B6F4992" w:rsidR="00380B39" w:rsidRPr="008B24C3" w:rsidRDefault="0083321B" w:rsidP="008B24C3">
      <w:pPr>
        <w:pStyle w:val="FootnoteText"/>
        <w:jc w:val="both"/>
        <w:rPr>
          <w:rFonts w:asciiTheme="majorHAnsi" w:hAnsiTheme="majorHAnsi"/>
          <w:sz w:val="16"/>
          <w:szCs w:val="16"/>
        </w:rPr>
      </w:pPr>
      <w:r>
        <w:rPr>
          <w:rFonts w:asciiTheme="majorHAnsi" w:hAnsiTheme="majorHAnsi"/>
          <w:sz w:val="16"/>
          <w:szCs w:val="16"/>
        </w:rPr>
        <w:tab/>
      </w:r>
      <w:r w:rsidR="00380B39" w:rsidRPr="008B24C3">
        <w:rPr>
          <w:rStyle w:val="FootnoteReference"/>
          <w:rFonts w:asciiTheme="majorHAnsi" w:hAnsiTheme="majorHAnsi"/>
          <w:sz w:val="16"/>
          <w:szCs w:val="16"/>
        </w:rPr>
        <w:footnoteRef/>
      </w:r>
      <w:r w:rsidR="00380B39" w:rsidRPr="008B24C3">
        <w:rPr>
          <w:rFonts w:asciiTheme="majorHAnsi" w:hAnsiTheme="majorHAnsi"/>
          <w:sz w:val="16"/>
          <w:szCs w:val="16"/>
        </w:rPr>
        <w:t xml:space="preserve"> He affirms that said resolution was notified to the director of the prison establishment establishing his release date on February 15, 2004. </w:t>
      </w:r>
    </w:p>
  </w:footnote>
  <w:footnote w:id="9">
    <w:p w14:paraId="6FAA8D73" w14:textId="3B842573" w:rsidR="00380B39" w:rsidRPr="008B24C3" w:rsidRDefault="0083321B" w:rsidP="008B24C3">
      <w:pPr>
        <w:pStyle w:val="FootnoteText"/>
        <w:jc w:val="both"/>
        <w:rPr>
          <w:rFonts w:asciiTheme="majorHAnsi" w:hAnsiTheme="majorHAnsi"/>
          <w:sz w:val="16"/>
          <w:szCs w:val="16"/>
        </w:rPr>
      </w:pPr>
      <w:r>
        <w:rPr>
          <w:rFonts w:asciiTheme="majorHAnsi" w:hAnsiTheme="majorHAnsi"/>
          <w:sz w:val="16"/>
          <w:szCs w:val="16"/>
        </w:rPr>
        <w:tab/>
      </w:r>
      <w:r w:rsidR="00380B39" w:rsidRPr="008B24C3">
        <w:rPr>
          <w:rStyle w:val="FootnoteReference"/>
          <w:rFonts w:asciiTheme="majorHAnsi" w:hAnsiTheme="majorHAnsi"/>
          <w:sz w:val="16"/>
          <w:szCs w:val="16"/>
        </w:rPr>
        <w:footnoteRef/>
      </w:r>
      <w:r w:rsidR="00380B39" w:rsidRPr="008B24C3">
        <w:rPr>
          <w:rFonts w:asciiTheme="majorHAnsi" w:hAnsiTheme="majorHAnsi"/>
          <w:sz w:val="16"/>
          <w:szCs w:val="16"/>
        </w:rPr>
        <w:t xml:space="preserve"> On January 12, 13 and 14, 2004.</w:t>
      </w:r>
    </w:p>
  </w:footnote>
  <w:footnote w:id="10">
    <w:p w14:paraId="49AB4408" w14:textId="171684EB" w:rsidR="008B24C3" w:rsidRPr="008B24C3" w:rsidRDefault="0083321B" w:rsidP="008B24C3">
      <w:pPr>
        <w:pStyle w:val="FootnoteText"/>
        <w:jc w:val="both"/>
        <w:rPr>
          <w:rFonts w:asciiTheme="majorHAnsi" w:hAnsiTheme="majorHAnsi"/>
          <w:sz w:val="16"/>
          <w:szCs w:val="16"/>
        </w:rPr>
      </w:pPr>
      <w:r>
        <w:rPr>
          <w:rFonts w:asciiTheme="majorHAnsi" w:hAnsiTheme="majorHAnsi"/>
          <w:sz w:val="16"/>
          <w:szCs w:val="16"/>
        </w:rPr>
        <w:tab/>
      </w:r>
      <w:r w:rsidR="008B24C3" w:rsidRPr="008B24C3">
        <w:rPr>
          <w:rStyle w:val="FootnoteReference"/>
          <w:rFonts w:asciiTheme="majorHAnsi" w:hAnsiTheme="majorHAnsi"/>
          <w:sz w:val="16"/>
          <w:szCs w:val="16"/>
        </w:rPr>
        <w:footnoteRef/>
      </w:r>
      <w:r w:rsidR="008B24C3" w:rsidRPr="008B24C3">
        <w:rPr>
          <w:rFonts w:asciiTheme="majorHAnsi" w:hAnsiTheme="majorHAnsi"/>
          <w:sz w:val="16"/>
          <w:szCs w:val="16"/>
        </w:rPr>
        <w:t xml:space="preserve"> </w:t>
      </w:r>
      <w:r w:rsidR="008B24C3">
        <w:rPr>
          <w:rFonts w:asciiTheme="majorHAnsi" w:hAnsiTheme="majorHAnsi"/>
          <w:sz w:val="16"/>
          <w:szCs w:val="16"/>
        </w:rPr>
        <w:t>With</w:t>
      </w:r>
      <w:r w:rsidR="008B24C3" w:rsidRPr="008B24C3">
        <w:rPr>
          <w:rFonts w:asciiTheme="majorHAnsi" w:hAnsiTheme="majorHAnsi"/>
          <w:sz w:val="16"/>
          <w:szCs w:val="16"/>
        </w:rPr>
        <w:t xml:space="preserve"> the ruling of the Permanent Criminal Chamber of the Supreme Court issued</w:t>
      </w:r>
      <w:r w:rsidR="008B24C3">
        <w:rPr>
          <w:rFonts w:asciiTheme="majorHAnsi" w:hAnsiTheme="majorHAnsi"/>
          <w:sz w:val="16"/>
          <w:szCs w:val="16"/>
        </w:rPr>
        <w:t xml:space="preserve"> on January 5, 2004, establishing</w:t>
      </w:r>
      <w:r w:rsidR="008B24C3" w:rsidRPr="008B24C3">
        <w:rPr>
          <w:rFonts w:asciiTheme="majorHAnsi" w:hAnsiTheme="majorHAnsi"/>
          <w:sz w:val="16"/>
          <w:szCs w:val="16"/>
        </w:rPr>
        <w:t xml:space="preserve"> that “freedom is ordered as long as there is no arrest warrant or mandate emanating from competent authorities”.</w:t>
      </w:r>
    </w:p>
  </w:footnote>
  <w:footnote w:id="11">
    <w:p w14:paraId="38904B01" w14:textId="068565F8" w:rsidR="008B24C3" w:rsidRPr="008B24C3" w:rsidRDefault="0083321B" w:rsidP="008B24C3">
      <w:pPr>
        <w:pStyle w:val="FootnoteText"/>
        <w:jc w:val="both"/>
        <w:rPr>
          <w:rFonts w:asciiTheme="majorHAnsi" w:hAnsiTheme="majorHAnsi"/>
          <w:sz w:val="16"/>
          <w:szCs w:val="16"/>
        </w:rPr>
      </w:pPr>
      <w:r>
        <w:rPr>
          <w:rFonts w:asciiTheme="majorHAnsi" w:hAnsiTheme="majorHAnsi"/>
          <w:sz w:val="16"/>
          <w:szCs w:val="16"/>
        </w:rPr>
        <w:tab/>
      </w:r>
      <w:r w:rsidR="008B24C3" w:rsidRPr="008B24C3">
        <w:rPr>
          <w:rStyle w:val="FootnoteReference"/>
          <w:rFonts w:asciiTheme="majorHAnsi" w:hAnsiTheme="majorHAnsi"/>
          <w:sz w:val="16"/>
          <w:szCs w:val="16"/>
        </w:rPr>
        <w:footnoteRef/>
      </w:r>
      <w:r w:rsidR="008B24C3" w:rsidRPr="008B24C3">
        <w:rPr>
          <w:rFonts w:asciiTheme="majorHAnsi" w:hAnsiTheme="majorHAnsi"/>
          <w:sz w:val="16"/>
          <w:szCs w:val="16"/>
        </w:rPr>
        <w:t xml:space="preserve"> </w:t>
      </w:r>
      <w:r w:rsidR="008B24C3">
        <w:rPr>
          <w:rFonts w:asciiTheme="majorHAnsi" w:hAnsiTheme="majorHAnsi"/>
          <w:sz w:val="16"/>
          <w:szCs w:val="16"/>
        </w:rPr>
        <w:t>The petitioner</w:t>
      </w:r>
      <w:r w:rsidR="008B24C3" w:rsidRPr="008B24C3">
        <w:rPr>
          <w:rFonts w:asciiTheme="majorHAnsi" w:hAnsiTheme="majorHAnsi"/>
          <w:sz w:val="16"/>
          <w:szCs w:val="16"/>
        </w:rPr>
        <w:t xml:space="preserve"> indicates that on September 19, 2003, the Superior Court of Justice of Callao sent copies of the sentence, which were attached to the penalty exemption notebook.</w:t>
      </w:r>
    </w:p>
  </w:footnote>
  <w:footnote w:id="12">
    <w:p w14:paraId="5332968B" w14:textId="12C815C2" w:rsidR="008B24C3" w:rsidRPr="008B24C3" w:rsidRDefault="0083321B" w:rsidP="008B24C3">
      <w:pPr>
        <w:pStyle w:val="FootnoteText"/>
        <w:jc w:val="both"/>
        <w:rPr>
          <w:rFonts w:asciiTheme="majorHAnsi" w:hAnsiTheme="majorHAnsi"/>
          <w:sz w:val="16"/>
          <w:szCs w:val="16"/>
        </w:rPr>
      </w:pPr>
      <w:r>
        <w:rPr>
          <w:rFonts w:asciiTheme="majorHAnsi" w:hAnsiTheme="majorHAnsi"/>
          <w:sz w:val="16"/>
          <w:szCs w:val="16"/>
        </w:rPr>
        <w:tab/>
      </w:r>
      <w:r w:rsidR="008B24C3" w:rsidRPr="008B24C3">
        <w:rPr>
          <w:rStyle w:val="FootnoteReference"/>
          <w:rFonts w:asciiTheme="majorHAnsi" w:hAnsiTheme="majorHAnsi"/>
          <w:sz w:val="16"/>
          <w:szCs w:val="16"/>
        </w:rPr>
        <w:footnoteRef/>
      </w:r>
      <w:r w:rsidR="008B24C3" w:rsidRPr="008B24C3">
        <w:rPr>
          <w:rFonts w:asciiTheme="majorHAnsi" w:hAnsiTheme="majorHAnsi"/>
          <w:sz w:val="16"/>
          <w:szCs w:val="16"/>
        </w:rPr>
        <w:t xml:space="preserve"> </w:t>
      </w:r>
      <w:r w:rsidR="008B24C3">
        <w:rPr>
          <w:rFonts w:asciiTheme="majorHAnsi" w:hAnsiTheme="majorHAnsi"/>
          <w:sz w:val="16"/>
          <w:szCs w:val="16"/>
        </w:rPr>
        <w:t>The petitioner</w:t>
      </w:r>
      <w:r w:rsidR="008B24C3" w:rsidRPr="008B24C3">
        <w:rPr>
          <w:rFonts w:asciiTheme="majorHAnsi" w:hAnsiTheme="majorHAnsi"/>
          <w:sz w:val="16"/>
          <w:szCs w:val="16"/>
        </w:rPr>
        <w:t xml:space="preserve"> alleges that Drs. </w:t>
      </w:r>
      <w:proofErr w:type="spellStart"/>
      <w:r w:rsidR="008B24C3" w:rsidRPr="008B24C3">
        <w:rPr>
          <w:rFonts w:asciiTheme="majorHAnsi" w:hAnsiTheme="majorHAnsi"/>
          <w:sz w:val="16"/>
          <w:szCs w:val="16"/>
        </w:rPr>
        <w:t>Pajares</w:t>
      </w:r>
      <w:proofErr w:type="spellEnd"/>
      <w:r w:rsidR="008B24C3" w:rsidRPr="008B24C3">
        <w:rPr>
          <w:rFonts w:asciiTheme="majorHAnsi" w:hAnsiTheme="majorHAnsi"/>
          <w:sz w:val="16"/>
          <w:szCs w:val="16"/>
        </w:rPr>
        <w:t xml:space="preserve"> and Molina Ordonez did not participate in the procedure, although they signed the Execution Office on January 16, 2004.</w:t>
      </w:r>
    </w:p>
  </w:footnote>
  <w:footnote w:id="13">
    <w:p w14:paraId="19BB3DF0" w14:textId="2813A48B" w:rsidR="008C55E8" w:rsidRPr="008C55E8" w:rsidRDefault="0083321B">
      <w:pPr>
        <w:pStyle w:val="FootnoteText"/>
        <w:rPr>
          <w:rFonts w:asciiTheme="majorHAnsi" w:hAnsiTheme="majorHAnsi"/>
          <w:sz w:val="16"/>
          <w:szCs w:val="16"/>
        </w:rPr>
      </w:pPr>
      <w:r w:rsidRPr="00AA690C">
        <w:rPr>
          <w:rFonts w:asciiTheme="majorHAnsi" w:hAnsiTheme="majorHAnsi"/>
          <w:sz w:val="16"/>
          <w:szCs w:val="16"/>
        </w:rPr>
        <w:tab/>
      </w:r>
      <w:r w:rsidR="008C55E8" w:rsidRPr="008C55E8">
        <w:rPr>
          <w:rStyle w:val="FootnoteReference"/>
          <w:rFonts w:asciiTheme="majorHAnsi" w:hAnsiTheme="majorHAnsi"/>
          <w:sz w:val="16"/>
          <w:szCs w:val="16"/>
        </w:rPr>
        <w:footnoteRef/>
      </w:r>
      <w:r w:rsidR="008C55E8" w:rsidRPr="008C55E8">
        <w:rPr>
          <w:rFonts w:asciiTheme="majorHAnsi" w:hAnsiTheme="majorHAnsi"/>
          <w:sz w:val="16"/>
          <w:szCs w:val="16"/>
          <w:lang w:val="es-MX"/>
        </w:rPr>
        <w:t xml:space="preserve"> CIDH, </w:t>
      </w:r>
      <w:proofErr w:type="spellStart"/>
      <w:r w:rsidR="008C55E8">
        <w:rPr>
          <w:rFonts w:asciiTheme="majorHAnsi" w:hAnsiTheme="majorHAnsi"/>
          <w:sz w:val="16"/>
          <w:szCs w:val="16"/>
          <w:lang w:val="es-MX"/>
        </w:rPr>
        <w:t>Report</w:t>
      </w:r>
      <w:proofErr w:type="spellEnd"/>
      <w:r w:rsidR="008C55E8" w:rsidRPr="008C55E8">
        <w:rPr>
          <w:rFonts w:asciiTheme="majorHAnsi" w:hAnsiTheme="majorHAnsi"/>
          <w:sz w:val="16"/>
          <w:szCs w:val="16"/>
          <w:lang w:val="es-MX"/>
        </w:rPr>
        <w:t xml:space="preserve"> No. 16/18, Petición 884-07. </w:t>
      </w:r>
      <w:proofErr w:type="spellStart"/>
      <w:r w:rsidR="008C55E8">
        <w:rPr>
          <w:rFonts w:asciiTheme="majorHAnsi" w:hAnsiTheme="majorHAnsi"/>
          <w:sz w:val="16"/>
          <w:szCs w:val="16"/>
          <w:lang w:val="es-MX"/>
        </w:rPr>
        <w:t>Admisibility</w:t>
      </w:r>
      <w:proofErr w:type="spellEnd"/>
      <w:r w:rsidR="008C55E8" w:rsidRPr="008C55E8">
        <w:rPr>
          <w:rFonts w:asciiTheme="majorHAnsi" w:hAnsiTheme="majorHAnsi"/>
          <w:sz w:val="16"/>
          <w:szCs w:val="16"/>
          <w:lang w:val="es-MX"/>
        </w:rPr>
        <w:t xml:space="preserve">. Victoria Piedad Palacios Tejada de Saavedra. </w:t>
      </w:r>
      <w:r w:rsidR="008C55E8">
        <w:rPr>
          <w:rFonts w:asciiTheme="majorHAnsi" w:hAnsiTheme="majorHAnsi"/>
          <w:sz w:val="16"/>
          <w:szCs w:val="16"/>
        </w:rPr>
        <w:t>Peru</w:t>
      </w:r>
      <w:r w:rsidR="008C55E8" w:rsidRPr="008C55E8">
        <w:rPr>
          <w:rFonts w:asciiTheme="majorHAnsi" w:hAnsiTheme="majorHAnsi"/>
          <w:sz w:val="16"/>
          <w:szCs w:val="16"/>
        </w:rPr>
        <w:t xml:space="preserve">. </w:t>
      </w:r>
      <w:r w:rsidR="008C55E8">
        <w:rPr>
          <w:rFonts w:asciiTheme="majorHAnsi" w:hAnsiTheme="majorHAnsi"/>
          <w:sz w:val="16"/>
          <w:szCs w:val="16"/>
        </w:rPr>
        <w:t>February 24</w:t>
      </w:r>
      <w:r w:rsidR="008C55E8" w:rsidRPr="008C55E8">
        <w:rPr>
          <w:rFonts w:asciiTheme="majorHAnsi" w:hAnsiTheme="majorHAnsi"/>
          <w:sz w:val="16"/>
          <w:szCs w:val="16"/>
          <w:vertAlign w:val="superscript"/>
        </w:rPr>
        <w:t>th</w:t>
      </w:r>
      <w:r w:rsidR="008C55E8">
        <w:rPr>
          <w:rFonts w:asciiTheme="majorHAnsi" w:hAnsiTheme="majorHAnsi"/>
          <w:sz w:val="16"/>
          <w:szCs w:val="16"/>
        </w:rPr>
        <w:t xml:space="preserve">, </w:t>
      </w:r>
      <w:r w:rsidR="008C55E8" w:rsidRPr="008C55E8">
        <w:rPr>
          <w:rFonts w:asciiTheme="majorHAnsi" w:hAnsiTheme="majorHAnsi"/>
          <w:sz w:val="16"/>
          <w:szCs w:val="16"/>
        </w:rPr>
        <w:t xml:space="preserve">2018, </w:t>
      </w:r>
      <w:r w:rsidR="008C55E8">
        <w:rPr>
          <w:rFonts w:asciiTheme="majorHAnsi" w:hAnsiTheme="majorHAnsi"/>
          <w:sz w:val="16"/>
          <w:szCs w:val="16"/>
        </w:rPr>
        <w:t>par</w:t>
      </w:r>
      <w:proofErr w:type="gramStart"/>
      <w:r w:rsidR="008C55E8">
        <w:rPr>
          <w:rFonts w:asciiTheme="majorHAnsi" w:hAnsiTheme="majorHAnsi"/>
          <w:sz w:val="16"/>
          <w:szCs w:val="16"/>
        </w:rPr>
        <w:t>.</w:t>
      </w:r>
      <w:r w:rsidR="008C55E8" w:rsidRPr="008C55E8">
        <w:rPr>
          <w:rFonts w:asciiTheme="majorHAnsi" w:hAnsiTheme="majorHAnsi"/>
          <w:sz w:val="16"/>
          <w:szCs w:val="16"/>
        </w:rPr>
        <w:t>.</w:t>
      </w:r>
      <w:proofErr w:type="gramEnd"/>
      <w:r w:rsidR="008C55E8" w:rsidRPr="008C55E8">
        <w:rPr>
          <w:rFonts w:asciiTheme="majorHAnsi" w:hAnsiTheme="majorHAnsi"/>
          <w:sz w:val="16"/>
          <w:szCs w:val="16"/>
        </w:rPr>
        <w:t xml:space="preserve"> 12.</w:t>
      </w:r>
    </w:p>
  </w:footnote>
  <w:footnote w:id="14">
    <w:p w14:paraId="649700EB" w14:textId="053423EF" w:rsidR="008B24C3" w:rsidRPr="0083321B" w:rsidRDefault="0083321B" w:rsidP="008B24C3">
      <w:pPr>
        <w:pStyle w:val="FootnoteText"/>
        <w:jc w:val="both"/>
        <w:rPr>
          <w:rFonts w:asciiTheme="majorHAnsi" w:hAnsiTheme="majorHAnsi"/>
          <w:sz w:val="16"/>
          <w:szCs w:val="16"/>
        </w:rPr>
      </w:pPr>
      <w:r>
        <w:rPr>
          <w:rFonts w:asciiTheme="majorHAnsi" w:hAnsiTheme="majorHAnsi"/>
          <w:sz w:val="16"/>
          <w:szCs w:val="16"/>
        </w:rPr>
        <w:tab/>
      </w:r>
      <w:r w:rsidR="008B24C3" w:rsidRPr="008B24C3">
        <w:rPr>
          <w:rStyle w:val="FootnoteReference"/>
          <w:rFonts w:asciiTheme="majorHAnsi" w:hAnsiTheme="majorHAnsi"/>
          <w:sz w:val="16"/>
          <w:szCs w:val="16"/>
        </w:rPr>
        <w:footnoteRef/>
      </w:r>
      <w:r w:rsidR="008B24C3" w:rsidRPr="008B24C3">
        <w:rPr>
          <w:rFonts w:asciiTheme="majorHAnsi" w:hAnsiTheme="majorHAnsi"/>
          <w:sz w:val="16"/>
          <w:szCs w:val="16"/>
        </w:rPr>
        <w:t xml:space="preserve"> See CIDH, Report No. 33/19. Petition 870-11. </w:t>
      </w:r>
      <w:proofErr w:type="spellStart"/>
      <w:r w:rsidR="008B24C3" w:rsidRPr="0083321B">
        <w:rPr>
          <w:rFonts w:asciiTheme="majorHAnsi" w:hAnsiTheme="majorHAnsi"/>
          <w:sz w:val="16"/>
          <w:szCs w:val="16"/>
        </w:rPr>
        <w:t>Inadmisibility</w:t>
      </w:r>
      <w:proofErr w:type="spellEnd"/>
      <w:r w:rsidR="008B24C3" w:rsidRPr="0083321B">
        <w:rPr>
          <w:rFonts w:asciiTheme="majorHAnsi" w:hAnsiTheme="majorHAnsi"/>
          <w:sz w:val="16"/>
          <w:szCs w:val="16"/>
        </w:rPr>
        <w:t xml:space="preserve">. Ana María </w:t>
      </w:r>
      <w:proofErr w:type="spellStart"/>
      <w:r w:rsidR="008B24C3" w:rsidRPr="0083321B">
        <w:rPr>
          <w:rFonts w:asciiTheme="majorHAnsi" w:hAnsiTheme="majorHAnsi"/>
          <w:sz w:val="16"/>
          <w:szCs w:val="16"/>
        </w:rPr>
        <w:t>Rantighieri</w:t>
      </w:r>
      <w:proofErr w:type="spellEnd"/>
      <w:r w:rsidR="008B24C3" w:rsidRPr="0083321B">
        <w:rPr>
          <w:rFonts w:asciiTheme="majorHAnsi" w:hAnsiTheme="majorHAnsi"/>
          <w:sz w:val="16"/>
          <w:szCs w:val="16"/>
        </w:rPr>
        <w:t>. Uruguay. March 31st,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331165"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D847F" w14:textId="77777777" w:rsidR="00AA690C" w:rsidRDefault="00AA69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2CF5"/>
    <w:rsid w:val="00036A8A"/>
    <w:rsid w:val="00040C3A"/>
    <w:rsid w:val="000639C0"/>
    <w:rsid w:val="00070F3A"/>
    <w:rsid w:val="000716C5"/>
    <w:rsid w:val="00075E23"/>
    <w:rsid w:val="00092F32"/>
    <w:rsid w:val="0009344A"/>
    <w:rsid w:val="00095072"/>
    <w:rsid w:val="000A575F"/>
    <w:rsid w:val="000C4365"/>
    <w:rsid w:val="000D10DB"/>
    <w:rsid w:val="000F04FF"/>
    <w:rsid w:val="00114A40"/>
    <w:rsid w:val="0011641E"/>
    <w:rsid w:val="00124116"/>
    <w:rsid w:val="0013104F"/>
    <w:rsid w:val="00137EBA"/>
    <w:rsid w:val="00145EDC"/>
    <w:rsid w:val="00153084"/>
    <w:rsid w:val="00167A34"/>
    <w:rsid w:val="001714B4"/>
    <w:rsid w:val="0018037F"/>
    <w:rsid w:val="00181463"/>
    <w:rsid w:val="001A5F27"/>
    <w:rsid w:val="001A65E4"/>
    <w:rsid w:val="001A7870"/>
    <w:rsid w:val="001B5C21"/>
    <w:rsid w:val="001C1B41"/>
    <w:rsid w:val="001C6F8C"/>
    <w:rsid w:val="001E366B"/>
    <w:rsid w:val="001E49E6"/>
    <w:rsid w:val="001F1902"/>
    <w:rsid w:val="00204A8A"/>
    <w:rsid w:val="00210E0E"/>
    <w:rsid w:val="00210F4B"/>
    <w:rsid w:val="00226E95"/>
    <w:rsid w:val="00230163"/>
    <w:rsid w:val="0023351C"/>
    <w:rsid w:val="002427D8"/>
    <w:rsid w:val="00247403"/>
    <w:rsid w:val="00247542"/>
    <w:rsid w:val="00257893"/>
    <w:rsid w:val="00257D55"/>
    <w:rsid w:val="00263BF5"/>
    <w:rsid w:val="00265ECB"/>
    <w:rsid w:val="00266092"/>
    <w:rsid w:val="00266B61"/>
    <w:rsid w:val="0026712A"/>
    <w:rsid w:val="00270224"/>
    <w:rsid w:val="002704DB"/>
    <w:rsid w:val="002760CE"/>
    <w:rsid w:val="002B7A85"/>
    <w:rsid w:val="002C1641"/>
    <w:rsid w:val="002D0821"/>
    <w:rsid w:val="002D7EA2"/>
    <w:rsid w:val="002E15DF"/>
    <w:rsid w:val="002E187C"/>
    <w:rsid w:val="002E6E57"/>
    <w:rsid w:val="00301075"/>
    <w:rsid w:val="00302733"/>
    <w:rsid w:val="00311A4F"/>
    <w:rsid w:val="00314078"/>
    <w:rsid w:val="00321AFD"/>
    <w:rsid w:val="00322450"/>
    <w:rsid w:val="003246B5"/>
    <w:rsid w:val="00331165"/>
    <w:rsid w:val="0033169F"/>
    <w:rsid w:val="003414AC"/>
    <w:rsid w:val="00356185"/>
    <w:rsid w:val="00360380"/>
    <w:rsid w:val="003771A3"/>
    <w:rsid w:val="00380B39"/>
    <w:rsid w:val="00386CF0"/>
    <w:rsid w:val="003A4348"/>
    <w:rsid w:val="003A58D8"/>
    <w:rsid w:val="003C070A"/>
    <w:rsid w:val="003C32BC"/>
    <w:rsid w:val="003D4403"/>
    <w:rsid w:val="003D6EE0"/>
    <w:rsid w:val="003E3E03"/>
    <w:rsid w:val="003F1BBF"/>
    <w:rsid w:val="004162B1"/>
    <w:rsid w:val="004165C2"/>
    <w:rsid w:val="004201BC"/>
    <w:rsid w:val="004264F2"/>
    <w:rsid w:val="00450A4A"/>
    <w:rsid w:val="004666FB"/>
    <w:rsid w:val="00466D0B"/>
    <w:rsid w:val="00467B7E"/>
    <w:rsid w:val="0049419D"/>
    <w:rsid w:val="004A7D90"/>
    <w:rsid w:val="004B2762"/>
    <w:rsid w:val="004B7EB6"/>
    <w:rsid w:val="004C41DE"/>
    <w:rsid w:val="004C4B62"/>
    <w:rsid w:val="004D0965"/>
    <w:rsid w:val="004D6025"/>
    <w:rsid w:val="004D72BC"/>
    <w:rsid w:val="004F0B0B"/>
    <w:rsid w:val="004F6B67"/>
    <w:rsid w:val="00501399"/>
    <w:rsid w:val="00507BC4"/>
    <w:rsid w:val="005128E4"/>
    <w:rsid w:val="0052499C"/>
    <w:rsid w:val="00525560"/>
    <w:rsid w:val="005357A6"/>
    <w:rsid w:val="00544C49"/>
    <w:rsid w:val="00560E0F"/>
    <w:rsid w:val="0057402A"/>
    <w:rsid w:val="005771D0"/>
    <w:rsid w:val="005816E5"/>
    <w:rsid w:val="0059191A"/>
    <w:rsid w:val="005921FF"/>
    <w:rsid w:val="00592718"/>
    <w:rsid w:val="00597ACC"/>
    <w:rsid w:val="005A6D0E"/>
    <w:rsid w:val="005B222D"/>
    <w:rsid w:val="005B52B0"/>
    <w:rsid w:val="005B6806"/>
    <w:rsid w:val="005C00F9"/>
    <w:rsid w:val="005C4225"/>
    <w:rsid w:val="005E57AD"/>
    <w:rsid w:val="005F0F33"/>
    <w:rsid w:val="005F1388"/>
    <w:rsid w:val="00600DEB"/>
    <w:rsid w:val="00613027"/>
    <w:rsid w:val="00627C9F"/>
    <w:rsid w:val="006311DA"/>
    <w:rsid w:val="006311E9"/>
    <w:rsid w:val="006318B2"/>
    <w:rsid w:val="00632354"/>
    <w:rsid w:val="00642810"/>
    <w:rsid w:val="00652333"/>
    <w:rsid w:val="00653EA6"/>
    <w:rsid w:val="0066641B"/>
    <w:rsid w:val="0068009E"/>
    <w:rsid w:val="0069181F"/>
    <w:rsid w:val="006A17D2"/>
    <w:rsid w:val="006A73E6"/>
    <w:rsid w:val="006B2D5C"/>
    <w:rsid w:val="006C4EB1"/>
    <w:rsid w:val="006D4707"/>
    <w:rsid w:val="006E0166"/>
    <w:rsid w:val="006E7B34"/>
    <w:rsid w:val="00701B24"/>
    <w:rsid w:val="00706858"/>
    <w:rsid w:val="0071495F"/>
    <w:rsid w:val="0073798E"/>
    <w:rsid w:val="00745899"/>
    <w:rsid w:val="007607C4"/>
    <w:rsid w:val="0076114D"/>
    <w:rsid w:val="0076643F"/>
    <w:rsid w:val="00771382"/>
    <w:rsid w:val="00781653"/>
    <w:rsid w:val="007A2F70"/>
    <w:rsid w:val="007C3334"/>
    <w:rsid w:val="007C52BB"/>
    <w:rsid w:val="007D2B98"/>
    <w:rsid w:val="007F7980"/>
    <w:rsid w:val="00803F1C"/>
    <w:rsid w:val="0080600E"/>
    <w:rsid w:val="00817612"/>
    <w:rsid w:val="0083321B"/>
    <w:rsid w:val="00837C45"/>
    <w:rsid w:val="00853419"/>
    <w:rsid w:val="008546E5"/>
    <w:rsid w:val="00860292"/>
    <w:rsid w:val="008717DA"/>
    <w:rsid w:val="00897E12"/>
    <w:rsid w:val="008B24C3"/>
    <w:rsid w:val="008C55E8"/>
    <w:rsid w:val="008D43BA"/>
    <w:rsid w:val="008E0BCB"/>
    <w:rsid w:val="008E3759"/>
    <w:rsid w:val="008E40F5"/>
    <w:rsid w:val="009041DC"/>
    <w:rsid w:val="009104B4"/>
    <w:rsid w:val="009228DA"/>
    <w:rsid w:val="00925FCD"/>
    <w:rsid w:val="0093441A"/>
    <w:rsid w:val="00954BF7"/>
    <w:rsid w:val="0096706E"/>
    <w:rsid w:val="00981FBA"/>
    <w:rsid w:val="0098783D"/>
    <w:rsid w:val="009B381B"/>
    <w:rsid w:val="009D7611"/>
    <w:rsid w:val="009E53DE"/>
    <w:rsid w:val="009E566A"/>
    <w:rsid w:val="00A12DBC"/>
    <w:rsid w:val="00A1332F"/>
    <w:rsid w:val="00A21F58"/>
    <w:rsid w:val="00A364A3"/>
    <w:rsid w:val="00A43458"/>
    <w:rsid w:val="00A528D1"/>
    <w:rsid w:val="00A65787"/>
    <w:rsid w:val="00A66BE5"/>
    <w:rsid w:val="00AA690C"/>
    <w:rsid w:val="00AC21D5"/>
    <w:rsid w:val="00AD37C1"/>
    <w:rsid w:val="00AE66EC"/>
    <w:rsid w:val="00AE6F91"/>
    <w:rsid w:val="00AF5571"/>
    <w:rsid w:val="00B06BB7"/>
    <w:rsid w:val="00B110AF"/>
    <w:rsid w:val="00B167E9"/>
    <w:rsid w:val="00B179ED"/>
    <w:rsid w:val="00B314DB"/>
    <w:rsid w:val="00B31EBE"/>
    <w:rsid w:val="00B3718B"/>
    <w:rsid w:val="00B44B23"/>
    <w:rsid w:val="00B4632A"/>
    <w:rsid w:val="00B70DA9"/>
    <w:rsid w:val="00B807D8"/>
    <w:rsid w:val="00B92E49"/>
    <w:rsid w:val="00BA276C"/>
    <w:rsid w:val="00BB306F"/>
    <w:rsid w:val="00BD232B"/>
    <w:rsid w:val="00BD2E42"/>
    <w:rsid w:val="00BD4B89"/>
    <w:rsid w:val="00BD530D"/>
    <w:rsid w:val="00C21762"/>
    <w:rsid w:val="00C24543"/>
    <w:rsid w:val="00C256A2"/>
    <w:rsid w:val="00C3492D"/>
    <w:rsid w:val="00C355B4"/>
    <w:rsid w:val="00C40789"/>
    <w:rsid w:val="00C55560"/>
    <w:rsid w:val="00C66B72"/>
    <w:rsid w:val="00C9567A"/>
    <w:rsid w:val="00CA6577"/>
    <w:rsid w:val="00CB2660"/>
    <w:rsid w:val="00CC5E90"/>
    <w:rsid w:val="00CD046C"/>
    <w:rsid w:val="00CE5199"/>
    <w:rsid w:val="00CE66D5"/>
    <w:rsid w:val="00CE6DB1"/>
    <w:rsid w:val="00D34786"/>
    <w:rsid w:val="00D40A1E"/>
    <w:rsid w:val="00D533C0"/>
    <w:rsid w:val="00D55C88"/>
    <w:rsid w:val="00D712D3"/>
    <w:rsid w:val="00D71422"/>
    <w:rsid w:val="00D7145E"/>
    <w:rsid w:val="00D75084"/>
    <w:rsid w:val="00D7558D"/>
    <w:rsid w:val="00D81D92"/>
    <w:rsid w:val="00D93446"/>
    <w:rsid w:val="00DA7B5F"/>
    <w:rsid w:val="00DD7F71"/>
    <w:rsid w:val="00DE4F40"/>
    <w:rsid w:val="00DF078B"/>
    <w:rsid w:val="00DF350D"/>
    <w:rsid w:val="00E227C1"/>
    <w:rsid w:val="00E2665F"/>
    <w:rsid w:val="00E43157"/>
    <w:rsid w:val="00E47F3D"/>
    <w:rsid w:val="00E533FF"/>
    <w:rsid w:val="00E709B3"/>
    <w:rsid w:val="00E7588C"/>
    <w:rsid w:val="00E7797F"/>
    <w:rsid w:val="00E850B6"/>
    <w:rsid w:val="00E8789F"/>
    <w:rsid w:val="00E93A19"/>
    <w:rsid w:val="00E97B71"/>
    <w:rsid w:val="00EB266C"/>
    <w:rsid w:val="00EB454D"/>
    <w:rsid w:val="00ED0D1B"/>
    <w:rsid w:val="00EE3522"/>
    <w:rsid w:val="00EF619B"/>
    <w:rsid w:val="00F00B55"/>
    <w:rsid w:val="00F1380F"/>
    <w:rsid w:val="00F14F0E"/>
    <w:rsid w:val="00F15A3B"/>
    <w:rsid w:val="00F24C29"/>
    <w:rsid w:val="00F253CC"/>
    <w:rsid w:val="00F42B71"/>
    <w:rsid w:val="00F541FE"/>
    <w:rsid w:val="00F56BA5"/>
    <w:rsid w:val="00F621C3"/>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2755</Words>
  <Characters>14547</Characters>
  <Application>Microsoft Office Word</Application>
  <DocSecurity>0</DocSecurity>
  <Lines>269</Lines>
  <Paragraphs>73</Paragraphs>
  <ScaleCrop>false</ScaleCrop>
  <HeadingPairs>
    <vt:vector size="2" baseType="variant">
      <vt:variant>
        <vt:lpstr>Title</vt:lpstr>
      </vt:variant>
      <vt:variant>
        <vt:i4>1</vt:i4>
      </vt:variant>
    </vt:vector>
  </HeadingPairs>
  <TitlesOfParts>
    <vt:vector size="1" baseType="lpstr">
      <vt:lpstr>Report No. 108/20</vt:lpstr>
    </vt:vector>
  </TitlesOfParts>
  <Company/>
  <LinksUpToDate>false</LinksUpToDate>
  <CharactersWithSpaces>17229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143/20</dc:title>
  <dc:creator/>
  <cp:lastModifiedBy/>
  <cp:revision>1</cp:revision>
  <dcterms:created xsi:type="dcterms:W3CDTF">2020-07-13T18:48:00Z</dcterms:created>
  <dcterms:modified xsi:type="dcterms:W3CDTF">2020-07-13T18:49:00Z</dcterms:modified>
</cp:coreProperties>
</file>