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05E8" w:rsidRPr="003D4DF8" w:rsidRDefault="00FC3020" w:rsidP="000673D0">
      <w:pPr>
        <w:pBdr>
          <w:top w:val="none" w:sz="0" w:space="0" w:color="auto"/>
          <w:left w:val="none" w:sz="0" w:space="0" w:color="auto"/>
          <w:bottom w:val="none" w:sz="0" w:space="0" w:color="auto"/>
          <w:right w:val="none" w:sz="0" w:space="0" w:color="auto"/>
          <w:bar w:val="none" w:sz="0" w:color="auto"/>
        </w:pBdr>
        <w:jc w:val="both"/>
        <w:rPr>
          <w:rFonts w:ascii="Cambria" w:hAnsi="Cambria" w:cs="Univers"/>
          <w:b/>
          <w:bCs/>
          <w:sz w:val="22"/>
          <w:szCs w:val="22"/>
        </w:rPr>
      </w:pPr>
      <w:r>
        <w:rPr>
          <w:noProof/>
        </w:rPr>
        <mc:AlternateContent>
          <mc:Choice Requires="wps">
            <w:drawing>
              <wp:anchor distT="0" distB="0" distL="114300" distR="114300" simplePos="0" relativeHeight="251663360" behindDoc="1" locked="0" layoutInCell="1" allowOverlap="1" wp14:anchorId="133D9467" wp14:editId="3C72FEB9">
                <wp:simplePos x="0" y="0"/>
                <wp:positionH relativeFrom="margin">
                  <wp:posOffset>-276225</wp:posOffset>
                </wp:positionH>
                <wp:positionV relativeFrom="margin">
                  <wp:posOffset>-428625</wp:posOffset>
                </wp:positionV>
                <wp:extent cx="1409700" cy="8977630"/>
                <wp:effectExtent l="0" t="0" r="0" b="0"/>
                <wp:wrapNone/>
                <wp:docPr id="1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0AC247F" id="Rectangle 1" o:spid="_x0000_s1026" style="position:absolute;margin-left:-21.75pt;margin-top:-33.75pt;width:111pt;height:706.9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" fillcolor="#67ae3c" stroked="f" strokeweight="2pt">
                <v:path arrowok="t"/>
                <w10:wrap anchorx="margin" anchory="margin"/>
              </v:rect>
            </w:pict>
          </mc:Fallback>
        </mc:AlternateContent>
      </w:r>
      <w:r w:rsidR="00223AAB">
        <w:rPr>
          <w:noProof/>
        </w:rPr>
        <mc:AlternateContent>
          <mc:Choice Requires="wps">
            <w:drawing>
              <wp:anchor distT="0" distB="0" distL="114300" distR="114300" simplePos="0" relativeHeight="251658240" behindDoc="0" locked="0" layoutInCell="1" allowOverlap="1">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405E8" w:rsidRDefault="008B6E85" w:rsidP="000673D0">
                            <w:pPr>
                              <w:pBdr>
                                <w:top w:val="none" w:sz="0" w:space="0" w:color="auto"/>
                                <w:left w:val="none" w:sz="0" w:space="0" w:color="auto"/>
                                <w:bottom w:val="none" w:sz="0" w:space="0" w:color="auto"/>
                                <w:right w:val="none" w:sz="0" w:space="0" w:color="auto"/>
                                <w:bar w:val="none" w:sz="0" w:color="auto"/>
                              </w:pBdr>
                            </w:pPr>
                            <w:r>
                              <w:rPr>
                                <w:noProof/>
                              </w:rPr>
                              <w:drawing>
                                <wp:inline distT="0" distB="0" distL="0" distR="0" wp14:anchorId="7C2E5DC4" wp14:editId="19D01A9F">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rsidR="001405E8">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" filled="f" stroked="f" strokeweight=".5pt">
                <v:path arrowok="t"/>
                <v:textbox>
                  <w:txbxContent>
                    <w:p w:rsidR="001405E8" w:rsidRDefault="008B6E85" w:rsidP="000673D0">
                      <w:pPr>
                        <w:pBdr>
                          <w:top w:val="none" w:sz="0" w:space="0" w:color="auto"/>
                          <w:left w:val="none" w:sz="0" w:space="0" w:color="auto"/>
                          <w:bottom w:val="none" w:sz="0" w:space="0" w:color="auto"/>
                          <w:right w:val="none" w:sz="0" w:space="0" w:color="auto"/>
                          <w:bar w:val="none" w:sz="0" w:color="auto"/>
                        </w:pBdr>
                      </w:pPr>
                      <w:r>
                        <w:rPr>
                          <w:noProof/>
                        </w:rPr>
                        <w:drawing>
                          <wp:inline distT="0" distB="0" distL="0" distR="0" wp14:anchorId="7C2E5DC4" wp14:editId="19D01A9F">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rsidR="001405E8">
                        <w:tab/>
                        <w:t xml:space="preserve">                              </w:t>
                      </w:r>
                    </w:p>
                  </w:txbxContent>
                </v:textbox>
              </v:shape>
            </w:pict>
          </mc:Fallback>
        </mc:AlternateContent>
      </w:r>
      <w:r w:rsidR="001405E8" w:rsidRPr="003D4DF8">
        <w:rPr>
          <w:rFonts w:ascii="Cambria" w:hAnsi="Cambria" w:cs="Univers"/>
          <w:b/>
          <w:bCs/>
          <w:sz w:val="22"/>
          <w:szCs w:val="22"/>
        </w:rPr>
        <w:t xml:space="preserve"> </w:t>
      </w:r>
    </w:p>
    <w:p w:rsidR="001405E8" w:rsidRPr="003D4DF8" w:rsidRDefault="001405E8" w:rsidP="000673D0">
      <w:pPr>
        <w:pBdr>
          <w:top w:val="none" w:sz="0" w:space="0" w:color="auto"/>
          <w:left w:val="none" w:sz="0" w:space="0" w:color="auto"/>
          <w:bottom w:val="none" w:sz="0" w:space="0" w:color="auto"/>
          <w:right w:val="none" w:sz="0" w:space="0" w:color="auto"/>
          <w:bar w:val="none" w:sz="0" w:color="auto"/>
        </w:pBdr>
        <w:tabs>
          <w:tab w:val="center" w:pos="5400"/>
        </w:tabs>
        <w:suppressAutoHyphens/>
        <w:jc w:val="both"/>
        <w:rPr>
          <w:rFonts w:ascii="Cambria" w:hAnsi="Cambria"/>
          <w:sz w:val="22"/>
          <w:szCs w:val="22"/>
        </w:rPr>
      </w:pPr>
    </w:p>
    <w:p w:rsidR="001405E8" w:rsidRPr="003D4DF8" w:rsidRDefault="001405E8" w:rsidP="000673D0">
      <w:pPr>
        <w:pBdr>
          <w:top w:val="none" w:sz="0" w:space="0" w:color="auto"/>
          <w:left w:val="none" w:sz="0" w:space="0" w:color="auto"/>
          <w:bottom w:val="none" w:sz="0" w:space="0" w:color="auto"/>
          <w:right w:val="none" w:sz="0" w:space="0" w:color="auto"/>
          <w:bar w:val="none" w:sz="0" w:color="auto"/>
        </w:pBdr>
        <w:tabs>
          <w:tab w:val="center" w:pos="5400"/>
        </w:tabs>
        <w:suppressAutoHyphens/>
        <w:jc w:val="both"/>
        <w:rPr>
          <w:rFonts w:ascii="Cambria" w:hAnsi="Cambria"/>
          <w:sz w:val="22"/>
          <w:szCs w:val="22"/>
        </w:rPr>
      </w:pPr>
    </w:p>
    <w:p w:rsidR="001405E8" w:rsidRPr="003D4DF8" w:rsidRDefault="001405E8" w:rsidP="000673D0">
      <w:pPr>
        <w:pBdr>
          <w:top w:val="none" w:sz="0" w:space="0" w:color="auto"/>
          <w:left w:val="none" w:sz="0" w:space="0" w:color="auto"/>
          <w:bottom w:val="none" w:sz="0" w:space="0" w:color="auto"/>
          <w:right w:val="none" w:sz="0" w:space="0" w:color="auto"/>
          <w:bar w:val="none" w:sz="0" w:color="auto"/>
        </w:pBdr>
        <w:tabs>
          <w:tab w:val="center" w:pos="5400"/>
        </w:tabs>
        <w:suppressAutoHyphens/>
        <w:rPr>
          <w:rFonts w:ascii="Cambria" w:hAnsi="Cambria"/>
          <w:sz w:val="22"/>
          <w:szCs w:val="22"/>
        </w:rPr>
      </w:pPr>
    </w:p>
    <w:p w:rsidR="001405E8" w:rsidRPr="003D4DF8" w:rsidRDefault="001405E8" w:rsidP="000673D0">
      <w:pPr>
        <w:pBdr>
          <w:top w:val="none" w:sz="0" w:space="0" w:color="auto"/>
          <w:left w:val="none" w:sz="0" w:space="0" w:color="auto"/>
          <w:bottom w:val="none" w:sz="0" w:space="0" w:color="auto"/>
          <w:right w:val="none" w:sz="0" w:space="0" w:color="auto"/>
          <w:bar w:val="none" w:sz="0" w:color="auto"/>
        </w:pBdr>
        <w:tabs>
          <w:tab w:val="center" w:pos="5400"/>
        </w:tabs>
        <w:suppressAutoHyphens/>
        <w:rPr>
          <w:rFonts w:ascii="Cambria" w:hAnsi="Cambria"/>
          <w:sz w:val="22"/>
          <w:szCs w:val="22"/>
        </w:rPr>
      </w:pPr>
    </w:p>
    <w:p w:rsidR="001405E8" w:rsidRPr="003D4DF8" w:rsidRDefault="001405E8" w:rsidP="000673D0">
      <w:pPr>
        <w:pBdr>
          <w:top w:val="none" w:sz="0" w:space="0" w:color="auto"/>
          <w:left w:val="none" w:sz="0" w:space="0" w:color="auto"/>
          <w:bottom w:val="none" w:sz="0" w:space="0" w:color="auto"/>
          <w:right w:val="none" w:sz="0" w:space="0" w:color="auto"/>
          <w:bar w:val="none" w:sz="0" w:color="auto"/>
        </w:pBdr>
        <w:tabs>
          <w:tab w:val="center" w:pos="5400"/>
        </w:tabs>
        <w:suppressAutoHyphens/>
        <w:rPr>
          <w:rFonts w:ascii="Cambria" w:hAnsi="Cambria"/>
          <w:sz w:val="22"/>
          <w:szCs w:val="22"/>
        </w:rPr>
      </w:pPr>
      <w:bookmarkStart w:id="0" w:name="_GoBack"/>
      <w:bookmarkEnd w:id="0"/>
    </w:p>
    <w:p w:rsidR="001405E8" w:rsidRPr="003D4DF8" w:rsidRDefault="001405E8" w:rsidP="000673D0">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rPr>
      </w:pPr>
    </w:p>
    <w:p w:rsidR="001405E8" w:rsidRPr="003D4DF8" w:rsidRDefault="001405E8" w:rsidP="000673D0">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rPr>
      </w:pPr>
    </w:p>
    <w:p w:rsidR="001405E8" w:rsidRPr="003D4DF8" w:rsidRDefault="001405E8" w:rsidP="000673D0">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rPr>
      </w:pPr>
    </w:p>
    <w:p w:rsidR="001405E8" w:rsidRPr="003D4DF8" w:rsidRDefault="001405E8" w:rsidP="000673D0">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rPr>
      </w:pPr>
    </w:p>
    <w:p w:rsidR="001405E8" w:rsidRPr="003D4DF8" w:rsidRDefault="001405E8" w:rsidP="000673D0">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rPr>
      </w:pPr>
    </w:p>
    <w:p w:rsidR="001405E8" w:rsidRPr="003D4DF8" w:rsidRDefault="001405E8" w:rsidP="000673D0">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rPr>
      </w:pPr>
    </w:p>
    <w:p w:rsidR="001405E8" w:rsidRPr="003D4DF8" w:rsidRDefault="001405E8" w:rsidP="000673D0">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rPr>
      </w:pPr>
    </w:p>
    <w:p w:rsidR="001405E8" w:rsidRPr="003D4DF8" w:rsidRDefault="00FC3020" w:rsidP="000673D0">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rPr>
      </w:pPr>
      <w:r>
        <w:rPr>
          <w:noProof/>
        </w:rPr>
        <mc:AlternateContent>
          <mc:Choice Requires="wps">
            <w:drawing>
              <wp:anchor distT="0" distB="0" distL="114300" distR="114300" simplePos="0" relativeHeight="251657216" behindDoc="0" locked="0" layoutInCell="1" allowOverlap="1">
                <wp:simplePos x="0" y="0"/>
                <wp:positionH relativeFrom="column">
                  <wp:posOffset>-257175</wp:posOffset>
                </wp:positionH>
                <wp:positionV relativeFrom="paragraph">
                  <wp:posOffset>135890</wp:posOffset>
                </wp:positionV>
                <wp:extent cx="1390650" cy="137731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405E8" w:rsidRPr="00046890" w:rsidRDefault="001405E8" w:rsidP="000673D0">
                            <w:pPr>
                              <w:pBdr>
                                <w:top w:val="none" w:sz="0" w:space="0" w:color="auto"/>
                                <w:left w:val="none" w:sz="0" w:space="0" w:color="auto"/>
                                <w:bottom w:val="none" w:sz="0" w:space="0" w:color="auto"/>
                                <w:right w:val="none" w:sz="0" w:space="0" w:color="auto"/>
                                <w:bar w:val="none" w:sz="0" w:color="auto"/>
                              </w:pBdr>
                              <w:spacing w:line="276" w:lineRule="auto"/>
                              <w:jc w:val="right"/>
                              <w:rPr>
                                <w:rFonts w:ascii="Calibri" w:hAnsi="Calibri"/>
                                <w:color w:val="FFFFFF"/>
                                <w:sz w:val="22"/>
                                <w:lang w:val="pt-BR"/>
                              </w:rPr>
                            </w:pPr>
                            <w:r w:rsidRPr="00046890">
                              <w:rPr>
                                <w:rFonts w:ascii="Calibri" w:hAnsi="Calibri"/>
                                <w:color w:val="FFFFFF"/>
                                <w:sz w:val="22"/>
                                <w:lang w:val="pt-BR"/>
                              </w:rPr>
                              <w:t>OEA/Ser.L/V/II.</w:t>
                            </w:r>
                          </w:p>
                          <w:p w:rsidR="001405E8" w:rsidRPr="00046890" w:rsidRDefault="008B6E85" w:rsidP="000673D0">
                            <w:pPr>
                              <w:pBdr>
                                <w:top w:val="none" w:sz="0" w:space="0" w:color="auto"/>
                                <w:left w:val="none" w:sz="0" w:space="0" w:color="auto"/>
                                <w:bottom w:val="none" w:sz="0" w:space="0" w:color="auto"/>
                                <w:right w:val="none" w:sz="0" w:space="0" w:color="auto"/>
                                <w:bar w:val="none" w:sz="0" w:color="auto"/>
                              </w:pBdr>
                              <w:spacing w:line="276" w:lineRule="auto"/>
                              <w:jc w:val="right"/>
                              <w:rPr>
                                <w:rFonts w:ascii="Calibri" w:hAnsi="Calibri"/>
                                <w:color w:val="FFFFFF"/>
                                <w:sz w:val="22"/>
                                <w:lang w:val="pt-BR"/>
                              </w:rPr>
                            </w:pPr>
                            <w:r>
                              <w:rPr>
                                <w:rFonts w:ascii="Calibri" w:hAnsi="Calibri"/>
                                <w:color w:val="FFFFFF"/>
                                <w:sz w:val="22"/>
                                <w:lang w:val="pt-BR"/>
                              </w:rPr>
                              <w:t xml:space="preserve">Doc. </w:t>
                            </w:r>
                            <w:r w:rsidR="009122CE">
                              <w:rPr>
                                <w:rFonts w:ascii="Calibri" w:hAnsi="Calibri"/>
                                <w:color w:val="FFFFFF"/>
                                <w:sz w:val="22"/>
                                <w:lang w:val="pt-BR"/>
                              </w:rPr>
                              <w:t>118</w:t>
                            </w:r>
                          </w:p>
                          <w:p w:rsidR="001405E8" w:rsidRPr="00CD317D" w:rsidRDefault="00C87B9D" w:rsidP="000673D0">
                            <w:pPr>
                              <w:pBdr>
                                <w:top w:val="none" w:sz="0" w:space="0" w:color="auto"/>
                                <w:left w:val="none" w:sz="0" w:space="0" w:color="auto"/>
                                <w:bottom w:val="none" w:sz="0" w:space="0" w:color="auto"/>
                                <w:right w:val="none" w:sz="0" w:space="0" w:color="auto"/>
                                <w:bar w:val="none" w:sz="0" w:color="auto"/>
                              </w:pBdr>
                              <w:spacing w:line="276" w:lineRule="auto"/>
                              <w:jc w:val="right"/>
                              <w:rPr>
                                <w:rFonts w:ascii="Calibri" w:hAnsi="Calibri"/>
                                <w:color w:val="FFFFFF"/>
                                <w:sz w:val="22"/>
                              </w:rPr>
                            </w:pPr>
                            <w:r>
                              <w:rPr>
                                <w:rFonts w:ascii="Calibri" w:hAnsi="Calibri"/>
                                <w:color w:val="FFFFFF"/>
                                <w:sz w:val="22"/>
                              </w:rPr>
                              <w:t>24</w:t>
                            </w:r>
                            <w:r w:rsidR="008B6E85">
                              <w:rPr>
                                <w:rFonts w:ascii="Calibri" w:hAnsi="Calibri"/>
                                <w:color w:val="FFFFFF"/>
                                <w:sz w:val="22"/>
                              </w:rPr>
                              <w:t xml:space="preserve"> </w:t>
                            </w:r>
                            <w:r>
                              <w:rPr>
                                <w:rFonts w:ascii="Calibri" w:hAnsi="Calibri"/>
                                <w:color w:val="FFFFFF"/>
                                <w:sz w:val="22"/>
                              </w:rPr>
                              <w:t>April</w:t>
                            </w:r>
                            <w:r w:rsidR="001405E8" w:rsidRPr="00CD317D">
                              <w:rPr>
                                <w:rFonts w:ascii="Calibri" w:hAnsi="Calibri"/>
                                <w:color w:val="FFFFFF"/>
                                <w:sz w:val="22"/>
                              </w:rPr>
                              <w:t xml:space="preserve"> 2020</w:t>
                            </w:r>
                          </w:p>
                          <w:p w:rsidR="001405E8" w:rsidRPr="00137CA8" w:rsidRDefault="001405E8" w:rsidP="000673D0">
                            <w:pPr>
                              <w:pBdr>
                                <w:top w:val="none" w:sz="0" w:space="0" w:color="auto"/>
                                <w:left w:val="none" w:sz="0" w:space="0" w:color="auto"/>
                                <w:bottom w:val="none" w:sz="0" w:space="0" w:color="auto"/>
                                <w:right w:val="none" w:sz="0" w:space="0" w:color="auto"/>
                                <w:bar w:val="none" w:sz="0" w:color="auto"/>
                              </w:pBdr>
                              <w:spacing w:line="276" w:lineRule="auto"/>
                              <w:jc w:val="right"/>
                              <w:rPr>
                                <w:rFonts w:ascii="Calibri" w:hAnsi="Calibri"/>
                                <w:color w:val="FFFFFF"/>
                                <w:sz w:val="22"/>
                              </w:rPr>
                            </w:pPr>
                            <w:r w:rsidRPr="00137CA8">
                              <w:rPr>
                                <w:rFonts w:ascii="Calibri" w:hAnsi="Calibri"/>
                                <w:color w:val="FFFFFF"/>
                                <w:sz w:val="22"/>
                              </w:rPr>
                              <w:t>Original: 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left:0;text-align:left;margin-left:-20.25pt;margin-top:10.7pt;width:109.5pt;height:108.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" filled="f" stroked="f" strokeweight=".5pt">
                <v:path arrowok="t"/>
                <v:textbox>
                  <w:txbxContent>
                    <w:p w:rsidR="001405E8" w:rsidRPr="00046890" w:rsidRDefault="001405E8" w:rsidP="000673D0">
                      <w:pPr>
                        <w:pBdr>
                          <w:top w:val="none" w:sz="0" w:space="0" w:color="auto"/>
                          <w:left w:val="none" w:sz="0" w:space="0" w:color="auto"/>
                          <w:bottom w:val="none" w:sz="0" w:space="0" w:color="auto"/>
                          <w:right w:val="none" w:sz="0" w:space="0" w:color="auto"/>
                          <w:bar w:val="none" w:sz="0" w:color="auto"/>
                        </w:pBdr>
                        <w:spacing w:line="276" w:lineRule="auto"/>
                        <w:jc w:val="right"/>
                        <w:rPr>
                          <w:rFonts w:ascii="Calibri" w:hAnsi="Calibri"/>
                          <w:color w:val="FFFFFF"/>
                          <w:sz w:val="22"/>
                          <w:lang w:val="pt-BR"/>
                        </w:rPr>
                      </w:pPr>
                      <w:r w:rsidRPr="00046890">
                        <w:rPr>
                          <w:rFonts w:ascii="Calibri" w:hAnsi="Calibri"/>
                          <w:color w:val="FFFFFF"/>
                          <w:sz w:val="22"/>
                          <w:lang w:val="pt-BR"/>
                        </w:rPr>
                        <w:t>OEA/Ser.L/V/II.</w:t>
                      </w:r>
                    </w:p>
                    <w:p w:rsidR="001405E8" w:rsidRPr="00046890" w:rsidRDefault="008B6E85" w:rsidP="000673D0">
                      <w:pPr>
                        <w:pBdr>
                          <w:top w:val="none" w:sz="0" w:space="0" w:color="auto"/>
                          <w:left w:val="none" w:sz="0" w:space="0" w:color="auto"/>
                          <w:bottom w:val="none" w:sz="0" w:space="0" w:color="auto"/>
                          <w:right w:val="none" w:sz="0" w:space="0" w:color="auto"/>
                          <w:bar w:val="none" w:sz="0" w:color="auto"/>
                        </w:pBdr>
                        <w:spacing w:line="276" w:lineRule="auto"/>
                        <w:jc w:val="right"/>
                        <w:rPr>
                          <w:rFonts w:ascii="Calibri" w:hAnsi="Calibri"/>
                          <w:color w:val="FFFFFF"/>
                          <w:sz w:val="22"/>
                          <w:lang w:val="pt-BR"/>
                        </w:rPr>
                      </w:pPr>
                      <w:r>
                        <w:rPr>
                          <w:rFonts w:ascii="Calibri" w:hAnsi="Calibri"/>
                          <w:color w:val="FFFFFF"/>
                          <w:sz w:val="22"/>
                          <w:lang w:val="pt-BR"/>
                        </w:rPr>
                        <w:t xml:space="preserve">Doc. </w:t>
                      </w:r>
                      <w:r w:rsidR="009122CE">
                        <w:rPr>
                          <w:rFonts w:ascii="Calibri" w:hAnsi="Calibri"/>
                          <w:color w:val="FFFFFF"/>
                          <w:sz w:val="22"/>
                          <w:lang w:val="pt-BR"/>
                        </w:rPr>
                        <w:t>118</w:t>
                      </w:r>
                    </w:p>
                    <w:p w:rsidR="001405E8" w:rsidRPr="00CD317D" w:rsidRDefault="00C87B9D" w:rsidP="000673D0">
                      <w:pPr>
                        <w:pBdr>
                          <w:top w:val="none" w:sz="0" w:space="0" w:color="auto"/>
                          <w:left w:val="none" w:sz="0" w:space="0" w:color="auto"/>
                          <w:bottom w:val="none" w:sz="0" w:space="0" w:color="auto"/>
                          <w:right w:val="none" w:sz="0" w:space="0" w:color="auto"/>
                          <w:bar w:val="none" w:sz="0" w:color="auto"/>
                        </w:pBdr>
                        <w:spacing w:line="276" w:lineRule="auto"/>
                        <w:jc w:val="right"/>
                        <w:rPr>
                          <w:rFonts w:ascii="Calibri" w:hAnsi="Calibri"/>
                          <w:color w:val="FFFFFF"/>
                          <w:sz w:val="22"/>
                        </w:rPr>
                      </w:pPr>
                      <w:r>
                        <w:rPr>
                          <w:rFonts w:ascii="Calibri" w:hAnsi="Calibri"/>
                          <w:color w:val="FFFFFF"/>
                          <w:sz w:val="22"/>
                        </w:rPr>
                        <w:t>24</w:t>
                      </w:r>
                      <w:r w:rsidR="008B6E85">
                        <w:rPr>
                          <w:rFonts w:ascii="Calibri" w:hAnsi="Calibri"/>
                          <w:color w:val="FFFFFF"/>
                          <w:sz w:val="22"/>
                        </w:rPr>
                        <w:t xml:space="preserve"> </w:t>
                      </w:r>
                      <w:r>
                        <w:rPr>
                          <w:rFonts w:ascii="Calibri" w:hAnsi="Calibri"/>
                          <w:color w:val="FFFFFF"/>
                          <w:sz w:val="22"/>
                        </w:rPr>
                        <w:t>April</w:t>
                      </w:r>
                      <w:r w:rsidR="001405E8" w:rsidRPr="00CD317D">
                        <w:rPr>
                          <w:rFonts w:ascii="Calibri" w:hAnsi="Calibri"/>
                          <w:color w:val="FFFFFF"/>
                          <w:sz w:val="22"/>
                        </w:rPr>
                        <w:t xml:space="preserve"> 2020</w:t>
                      </w:r>
                    </w:p>
                    <w:p w:rsidR="001405E8" w:rsidRPr="00137CA8" w:rsidRDefault="001405E8" w:rsidP="000673D0">
                      <w:pPr>
                        <w:pBdr>
                          <w:top w:val="none" w:sz="0" w:space="0" w:color="auto"/>
                          <w:left w:val="none" w:sz="0" w:space="0" w:color="auto"/>
                          <w:bottom w:val="none" w:sz="0" w:space="0" w:color="auto"/>
                          <w:right w:val="none" w:sz="0" w:space="0" w:color="auto"/>
                          <w:bar w:val="none" w:sz="0" w:color="auto"/>
                        </w:pBdr>
                        <w:spacing w:line="276" w:lineRule="auto"/>
                        <w:jc w:val="right"/>
                        <w:rPr>
                          <w:rFonts w:ascii="Calibri" w:hAnsi="Calibri"/>
                          <w:color w:val="FFFFFF"/>
                          <w:sz w:val="22"/>
                        </w:rPr>
                      </w:pPr>
                      <w:r w:rsidRPr="00137CA8">
                        <w:rPr>
                          <w:rFonts w:ascii="Calibri" w:hAnsi="Calibri"/>
                          <w:color w:val="FFFFFF"/>
                          <w:sz w:val="22"/>
                        </w:rPr>
                        <w:t>Original: Spanish</w:t>
                      </w:r>
                    </w:p>
                  </w:txbxContent>
                </v:textbox>
              </v:shape>
            </w:pict>
          </mc:Fallback>
        </mc:AlternateContent>
      </w:r>
      <w:r w:rsidR="00223AAB">
        <w:rPr>
          <w:noProof/>
        </w:rPr>
        <mc:AlternateContent>
          <mc:Choice Requires="wps">
            <w:drawing>
              <wp:anchor distT="0" distB="0" distL="114300" distR="114300" simplePos="0" relativeHeight="251655168" behindDoc="0" locked="0" layoutInCell="1" allowOverlap="1">
                <wp:simplePos x="0" y="0"/>
                <wp:positionH relativeFrom="column">
                  <wp:posOffset>1352550</wp:posOffset>
                </wp:positionH>
                <wp:positionV relativeFrom="paragraph">
                  <wp:posOffset>107315</wp:posOffset>
                </wp:positionV>
                <wp:extent cx="4441190" cy="2181225"/>
                <wp:effectExtent l="0" t="0" r="0" b="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405E8" w:rsidRPr="00CD317D" w:rsidRDefault="001405E8" w:rsidP="000673D0">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b/>
                                <w:bCs/>
                                <w:color w:val="0D0D0D"/>
                                <w:sz w:val="36"/>
                                <w:szCs w:val="22"/>
                              </w:rPr>
                            </w:pPr>
                            <w:r w:rsidRPr="00CD317D">
                              <w:rPr>
                                <w:rFonts w:ascii="Cambria" w:hAnsi="Cambria" w:cs="Arial"/>
                                <w:b/>
                                <w:bCs/>
                                <w:color w:val="0D0D0D"/>
                                <w:sz w:val="36"/>
                                <w:szCs w:val="22"/>
                              </w:rPr>
                              <w:t xml:space="preserve">REPORT </w:t>
                            </w:r>
                            <w:r w:rsidRPr="00CD317D">
                              <w:rPr>
                                <w:rFonts w:ascii="Cambria" w:hAnsi="Cambria" w:cs="Arial"/>
                                <w:b/>
                                <w:bCs/>
                                <w:color w:val="0D0D0D"/>
                                <w:sz w:val="36"/>
                                <w:szCs w:val="40"/>
                              </w:rPr>
                              <w:t>No.</w:t>
                            </w:r>
                            <w:r w:rsidR="008B6E85">
                              <w:rPr>
                                <w:rFonts w:ascii="Cambria" w:hAnsi="Cambria" w:cs="Arial"/>
                                <w:b/>
                                <w:bCs/>
                                <w:color w:val="0D0D0D"/>
                                <w:sz w:val="36"/>
                                <w:szCs w:val="22"/>
                              </w:rPr>
                              <w:t xml:space="preserve"> </w:t>
                            </w:r>
                            <w:r w:rsidR="00C87B9D">
                              <w:rPr>
                                <w:rFonts w:ascii="Cambria" w:hAnsi="Cambria" w:cs="Arial"/>
                                <w:b/>
                                <w:bCs/>
                                <w:color w:val="0D0D0D"/>
                                <w:sz w:val="36"/>
                                <w:szCs w:val="22"/>
                              </w:rPr>
                              <w:t>108</w:t>
                            </w:r>
                            <w:r w:rsidRPr="00CD317D">
                              <w:rPr>
                                <w:rFonts w:ascii="Cambria" w:hAnsi="Cambria" w:cs="Arial"/>
                                <w:b/>
                                <w:bCs/>
                                <w:color w:val="0D0D0D"/>
                                <w:sz w:val="36"/>
                                <w:szCs w:val="22"/>
                              </w:rPr>
                              <w:t>/20</w:t>
                            </w:r>
                          </w:p>
                          <w:p w:rsidR="001405E8" w:rsidRPr="00CD317D" w:rsidRDefault="001405E8" w:rsidP="000673D0">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b/>
                                <w:color w:val="0D0D0D"/>
                                <w:sz w:val="36"/>
                                <w:szCs w:val="22"/>
                              </w:rPr>
                            </w:pPr>
                            <w:r w:rsidRPr="00CD317D">
                              <w:rPr>
                                <w:rFonts w:ascii="Cambria" w:hAnsi="Cambria" w:cs="Arial"/>
                                <w:b/>
                                <w:color w:val="0D0D0D"/>
                                <w:sz w:val="36"/>
                                <w:szCs w:val="22"/>
                              </w:rPr>
                              <w:t xml:space="preserve">PETITION 40-08 </w:t>
                            </w:r>
                          </w:p>
                          <w:p w:rsidR="001405E8" w:rsidRPr="00CD317D" w:rsidRDefault="001405E8" w:rsidP="000673D0">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sidRPr="00CD317D">
                              <w:rPr>
                                <w:rFonts w:ascii="Cambria" w:hAnsi="Cambria" w:cs="Arial"/>
                                <w:color w:val="0D0D0D"/>
                                <w:szCs w:val="22"/>
                              </w:rPr>
                              <w:t>REPORT ON INADMISSIBILITY</w:t>
                            </w:r>
                          </w:p>
                          <w:p w:rsidR="001405E8" w:rsidRPr="00CD317D" w:rsidRDefault="001405E8" w:rsidP="000673D0">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bookmarkStart w:id="1" w:name="_ftnref1"/>
                          </w:p>
                          <w:p w:rsidR="001405E8" w:rsidRPr="00046890" w:rsidRDefault="001405E8" w:rsidP="000673D0">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r w:rsidRPr="00046890">
                              <w:rPr>
                                <w:rFonts w:ascii="Cambria" w:hAnsi="Cambria" w:cs="Arial"/>
                                <w:color w:val="0D0D0D"/>
                                <w:szCs w:val="22"/>
                                <w:lang w:val="es-ES_tradnl"/>
                              </w:rPr>
                              <w:t>JORGE EDUARDO PÉREZ GÓMEZ</w:t>
                            </w:r>
                          </w:p>
                          <w:bookmarkEnd w:id="1"/>
                          <w:p w:rsidR="001405E8" w:rsidRPr="00046890" w:rsidRDefault="001405E8" w:rsidP="000673D0">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
                              </w:rPr>
                            </w:pPr>
                            <w:r w:rsidRPr="00046890">
                              <w:rPr>
                                <w:rFonts w:ascii="Cambria" w:hAnsi="Cambria" w:cs="Arial"/>
                                <w:color w:val="0D0D0D"/>
                                <w:szCs w:val="22"/>
                                <w:lang w:val="es-ES_tradnl"/>
                              </w:rPr>
                              <w:t>PER</w:t>
                            </w:r>
                            <w:r>
                              <w:rPr>
                                <w:rFonts w:ascii="Cambria" w:hAnsi="Cambria" w:cs="Arial"/>
                                <w:color w:val="0D0D0D"/>
                                <w:szCs w:val="22"/>
                                <w:lang w:val="es-ES_tradnl"/>
                              </w:rPr>
                              <w:t>U</w:t>
                            </w:r>
                          </w:p>
                          <w:p w:rsidR="001405E8" w:rsidRPr="00046890" w:rsidRDefault="001405E8" w:rsidP="000673D0">
                            <w:pPr>
                              <w:pBdr>
                                <w:top w:val="none" w:sz="0" w:space="0" w:color="auto"/>
                                <w:left w:val="none" w:sz="0" w:space="0" w:color="auto"/>
                                <w:bottom w:val="none" w:sz="0" w:space="0" w:color="auto"/>
                                <w:right w:val="none" w:sz="0" w:space="0" w:color="auto"/>
                                <w:bar w:val="none" w:sz="0" w:color="auto"/>
                              </w:pBdr>
                              <w:rPr>
                                <w:color w:val="0D0D0D"/>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left:0;text-align:left;margin-left:106.5pt;margin-top:8.45pt;width:349.7pt;height:171.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" filled="f" stroked="f" strokeweight=".5pt">
                <v:path arrowok="t"/>
                <v:textbox>
                  <w:txbxContent>
                    <w:p w:rsidR="001405E8" w:rsidRPr="00CD317D" w:rsidRDefault="001405E8" w:rsidP="000673D0">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b/>
                          <w:bCs/>
                          <w:color w:val="0D0D0D"/>
                          <w:sz w:val="36"/>
                          <w:szCs w:val="22"/>
                        </w:rPr>
                      </w:pPr>
                      <w:r w:rsidRPr="00CD317D">
                        <w:rPr>
                          <w:rFonts w:ascii="Cambria" w:hAnsi="Cambria" w:cs="Arial"/>
                          <w:b/>
                          <w:bCs/>
                          <w:color w:val="0D0D0D"/>
                          <w:sz w:val="36"/>
                          <w:szCs w:val="22"/>
                        </w:rPr>
                        <w:t xml:space="preserve">REPORT </w:t>
                      </w:r>
                      <w:r w:rsidRPr="00CD317D">
                        <w:rPr>
                          <w:rFonts w:ascii="Cambria" w:hAnsi="Cambria" w:cs="Arial"/>
                          <w:b/>
                          <w:bCs/>
                          <w:color w:val="0D0D0D"/>
                          <w:sz w:val="36"/>
                          <w:szCs w:val="40"/>
                        </w:rPr>
                        <w:t>No.</w:t>
                      </w:r>
                      <w:r w:rsidR="008B6E85">
                        <w:rPr>
                          <w:rFonts w:ascii="Cambria" w:hAnsi="Cambria" w:cs="Arial"/>
                          <w:b/>
                          <w:bCs/>
                          <w:color w:val="0D0D0D"/>
                          <w:sz w:val="36"/>
                          <w:szCs w:val="22"/>
                        </w:rPr>
                        <w:t xml:space="preserve"> </w:t>
                      </w:r>
                      <w:r w:rsidR="00C87B9D">
                        <w:rPr>
                          <w:rFonts w:ascii="Cambria" w:hAnsi="Cambria" w:cs="Arial"/>
                          <w:b/>
                          <w:bCs/>
                          <w:color w:val="0D0D0D"/>
                          <w:sz w:val="36"/>
                          <w:szCs w:val="22"/>
                        </w:rPr>
                        <w:t>108</w:t>
                      </w:r>
                      <w:r w:rsidRPr="00CD317D">
                        <w:rPr>
                          <w:rFonts w:ascii="Cambria" w:hAnsi="Cambria" w:cs="Arial"/>
                          <w:b/>
                          <w:bCs/>
                          <w:color w:val="0D0D0D"/>
                          <w:sz w:val="36"/>
                          <w:szCs w:val="22"/>
                        </w:rPr>
                        <w:t>/20</w:t>
                      </w:r>
                    </w:p>
                    <w:p w:rsidR="001405E8" w:rsidRPr="00CD317D" w:rsidRDefault="001405E8" w:rsidP="000673D0">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b/>
                          <w:color w:val="0D0D0D"/>
                          <w:sz w:val="36"/>
                          <w:szCs w:val="22"/>
                        </w:rPr>
                      </w:pPr>
                      <w:r w:rsidRPr="00CD317D">
                        <w:rPr>
                          <w:rFonts w:ascii="Cambria" w:hAnsi="Cambria" w:cs="Arial"/>
                          <w:b/>
                          <w:color w:val="0D0D0D"/>
                          <w:sz w:val="36"/>
                          <w:szCs w:val="22"/>
                        </w:rPr>
                        <w:t xml:space="preserve">PETITION 40-08 </w:t>
                      </w:r>
                    </w:p>
                    <w:p w:rsidR="001405E8" w:rsidRPr="00CD317D" w:rsidRDefault="001405E8" w:rsidP="000673D0">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sidRPr="00CD317D">
                        <w:rPr>
                          <w:rFonts w:ascii="Cambria" w:hAnsi="Cambria" w:cs="Arial"/>
                          <w:color w:val="0D0D0D"/>
                          <w:szCs w:val="22"/>
                        </w:rPr>
                        <w:t>REPORT ON INADMISSIBILITY</w:t>
                      </w:r>
                    </w:p>
                    <w:p w:rsidR="001405E8" w:rsidRPr="00CD317D" w:rsidRDefault="001405E8" w:rsidP="000673D0">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bookmarkStart w:id="2" w:name="_ftnref1"/>
                    </w:p>
                    <w:p w:rsidR="001405E8" w:rsidRPr="00046890" w:rsidRDefault="001405E8" w:rsidP="000673D0">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r w:rsidRPr="00046890">
                        <w:rPr>
                          <w:rFonts w:ascii="Cambria" w:hAnsi="Cambria" w:cs="Arial"/>
                          <w:color w:val="0D0D0D"/>
                          <w:szCs w:val="22"/>
                          <w:lang w:val="es-ES_tradnl"/>
                        </w:rPr>
                        <w:t>JORGE EDUARDO PÉREZ GÓMEZ</w:t>
                      </w:r>
                    </w:p>
                    <w:bookmarkEnd w:id="2"/>
                    <w:p w:rsidR="001405E8" w:rsidRPr="00046890" w:rsidRDefault="001405E8" w:rsidP="000673D0">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
                        </w:rPr>
                      </w:pPr>
                      <w:r w:rsidRPr="00046890">
                        <w:rPr>
                          <w:rFonts w:ascii="Cambria" w:hAnsi="Cambria" w:cs="Arial"/>
                          <w:color w:val="0D0D0D"/>
                          <w:szCs w:val="22"/>
                          <w:lang w:val="es-ES_tradnl"/>
                        </w:rPr>
                        <w:t>PER</w:t>
                      </w:r>
                      <w:r>
                        <w:rPr>
                          <w:rFonts w:ascii="Cambria" w:hAnsi="Cambria" w:cs="Arial"/>
                          <w:color w:val="0D0D0D"/>
                          <w:szCs w:val="22"/>
                          <w:lang w:val="es-ES_tradnl"/>
                        </w:rPr>
                        <w:t>U</w:t>
                      </w:r>
                    </w:p>
                    <w:p w:rsidR="001405E8" w:rsidRPr="00046890" w:rsidRDefault="001405E8" w:rsidP="000673D0">
                      <w:pPr>
                        <w:pBdr>
                          <w:top w:val="none" w:sz="0" w:space="0" w:color="auto"/>
                          <w:left w:val="none" w:sz="0" w:space="0" w:color="auto"/>
                          <w:bottom w:val="none" w:sz="0" w:space="0" w:color="auto"/>
                          <w:right w:val="none" w:sz="0" w:space="0" w:color="auto"/>
                          <w:bar w:val="none" w:sz="0" w:color="auto"/>
                        </w:pBdr>
                        <w:rPr>
                          <w:color w:val="0D0D0D"/>
                          <w:lang w:val="es-ES_tradnl"/>
                        </w:rPr>
                      </w:pPr>
                    </w:p>
                  </w:txbxContent>
                </v:textbox>
              </v:shape>
            </w:pict>
          </mc:Fallback>
        </mc:AlternateContent>
      </w:r>
    </w:p>
    <w:p w:rsidR="001405E8" w:rsidRPr="003D4DF8" w:rsidRDefault="001405E8" w:rsidP="000673D0">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rPr>
      </w:pPr>
    </w:p>
    <w:p w:rsidR="001405E8" w:rsidRPr="003D4DF8" w:rsidRDefault="001405E8" w:rsidP="000673D0">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rPr>
      </w:pPr>
    </w:p>
    <w:p w:rsidR="001405E8" w:rsidRPr="003D4DF8" w:rsidRDefault="001405E8" w:rsidP="000673D0">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cs="Arial"/>
          <w:sz w:val="22"/>
          <w:szCs w:val="22"/>
        </w:rPr>
      </w:pPr>
    </w:p>
    <w:p w:rsidR="001405E8" w:rsidRPr="003D4DF8" w:rsidRDefault="001405E8" w:rsidP="000673D0">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rPr>
      </w:pPr>
    </w:p>
    <w:p w:rsidR="001405E8" w:rsidRPr="003D4DF8" w:rsidRDefault="001405E8" w:rsidP="000673D0">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rPr>
      </w:pPr>
    </w:p>
    <w:p w:rsidR="001405E8" w:rsidRPr="003D4DF8" w:rsidRDefault="001405E8" w:rsidP="000673D0">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rPr>
      </w:pPr>
    </w:p>
    <w:p w:rsidR="001405E8" w:rsidRPr="003D4DF8" w:rsidRDefault="001405E8" w:rsidP="000673D0">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rPr>
      </w:pPr>
    </w:p>
    <w:p w:rsidR="001405E8" w:rsidRPr="003D4DF8" w:rsidRDefault="001405E8" w:rsidP="000673D0">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rPr>
      </w:pPr>
    </w:p>
    <w:p w:rsidR="001405E8" w:rsidRPr="003D4DF8" w:rsidRDefault="001405E8" w:rsidP="000673D0">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rPr>
      </w:pPr>
    </w:p>
    <w:p w:rsidR="001405E8" w:rsidRPr="003D4DF8" w:rsidRDefault="001405E8" w:rsidP="000673D0">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rPr>
      </w:pPr>
    </w:p>
    <w:p w:rsidR="001405E8" w:rsidRPr="003D4DF8" w:rsidRDefault="001405E8" w:rsidP="000673D0">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rPr>
      </w:pPr>
    </w:p>
    <w:p w:rsidR="001405E8" w:rsidRPr="003D4DF8" w:rsidRDefault="001405E8" w:rsidP="000673D0">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rPr>
      </w:pPr>
    </w:p>
    <w:p w:rsidR="001405E8" w:rsidRPr="003D4DF8" w:rsidRDefault="001405E8" w:rsidP="000673D0">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rPr>
      </w:pPr>
    </w:p>
    <w:p w:rsidR="001405E8" w:rsidRPr="003D4DF8" w:rsidRDefault="001405E8" w:rsidP="000673D0">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rPr>
      </w:pPr>
    </w:p>
    <w:p w:rsidR="001405E8" w:rsidRPr="003D4DF8" w:rsidRDefault="001405E8" w:rsidP="000673D0">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rPr>
      </w:pPr>
    </w:p>
    <w:p w:rsidR="001405E8" w:rsidRPr="003D4DF8" w:rsidRDefault="001405E8" w:rsidP="000673D0">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rPr>
      </w:pPr>
    </w:p>
    <w:p w:rsidR="001405E8" w:rsidRPr="003D4DF8" w:rsidRDefault="001405E8" w:rsidP="000673D0">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rPr>
      </w:pPr>
    </w:p>
    <w:p w:rsidR="001405E8" w:rsidRPr="003D4DF8" w:rsidRDefault="001405E8" w:rsidP="000673D0">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rPr>
      </w:pPr>
    </w:p>
    <w:p w:rsidR="001405E8" w:rsidRPr="003D4DF8" w:rsidRDefault="001405E8" w:rsidP="000673D0">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rPr>
      </w:pPr>
    </w:p>
    <w:p w:rsidR="001405E8" w:rsidRPr="003D4DF8" w:rsidRDefault="001405E8" w:rsidP="000673D0">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rPr>
      </w:pPr>
    </w:p>
    <w:p w:rsidR="001405E8" w:rsidRPr="003D4DF8" w:rsidRDefault="001405E8" w:rsidP="000673D0">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rPr>
      </w:pPr>
    </w:p>
    <w:p w:rsidR="001405E8" w:rsidRPr="003D4DF8" w:rsidRDefault="001405E8" w:rsidP="000673D0">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rPr>
      </w:pPr>
    </w:p>
    <w:p w:rsidR="001405E8" w:rsidRPr="003D4DF8" w:rsidRDefault="001405E8" w:rsidP="000673D0">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rPr>
      </w:pPr>
    </w:p>
    <w:p w:rsidR="001405E8" w:rsidRPr="003D4DF8" w:rsidRDefault="001405E8" w:rsidP="000673D0">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rPr>
      </w:pPr>
    </w:p>
    <w:p w:rsidR="001405E8" w:rsidRPr="003D4DF8" w:rsidRDefault="001405E8" w:rsidP="000673D0">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rPr>
      </w:pPr>
    </w:p>
    <w:p w:rsidR="001405E8" w:rsidRPr="003D4DF8" w:rsidRDefault="001405E8" w:rsidP="000673D0">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rPr>
      </w:pPr>
    </w:p>
    <w:p w:rsidR="001405E8" w:rsidRPr="003D4DF8" w:rsidRDefault="001405E8" w:rsidP="000673D0">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rPr>
      </w:pPr>
    </w:p>
    <w:p w:rsidR="001405E8" w:rsidRPr="003D4DF8" w:rsidRDefault="001405E8" w:rsidP="000673D0">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rPr>
      </w:pPr>
    </w:p>
    <w:p w:rsidR="001405E8" w:rsidRPr="003D4DF8" w:rsidRDefault="00223AAB" w:rsidP="000673D0">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rPr>
      </w:pPr>
      <w:r>
        <w:rPr>
          <w:noProof/>
        </w:rPr>
        <mc:AlternateContent>
          <mc:Choice Requires="wps">
            <w:drawing>
              <wp:anchor distT="0" distB="0" distL="114300" distR="114300" simplePos="0" relativeHeight="251656192" behindDoc="0" locked="0" layoutInCell="1" allowOverlap="1">
                <wp:simplePos x="0" y="0"/>
                <wp:positionH relativeFrom="column">
                  <wp:posOffset>1341755</wp:posOffset>
                </wp:positionH>
                <wp:positionV relativeFrom="paragraph">
                  <wp:posOffset>22860</wp:posOffset>
                </wp:positionV>
                <wp:extent cx="4933950" cy="664845"/>
                <wp:effectExtent l="0" t="0" r="0" b="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405E8" w:rsidRPr="00CD317D" w:rsidRDefault="001405E8" w:rsidP="000673D0">
                            <w:pPr>
                              <w:pBdr>
                                <w:top w:val="none" w:sz="0" w:space="0" w:color="auto"/>
                                <w:left w:val="none" w:sz="0" w:space="0" w:color="auto"/>
                                <w:bottom w:val="none" w:sz="0" w:space="0" w:color="auto"/>
                                <w:right w:val="none" w:sz="0" w:space="0" w:color="auto"/>
                                <w:bar w:val="none" w:sz="0" w:color="auto"/>
                              </w:pBdr>
                              <w:tabs>
                                <w:tab w:val="center" w:pos="5400"/>
                              </w:tabs>
                              <w:suppressAutoHyphens/>
                              <w:spacing w:before="60"/>
                              <w:rPr>
                                <w:rFonts w:ascii="Cambria" w:hAnsi="Cambria"/>
                                <w:color w:val="0D0D0D"/>
                                <w:sz w:val="18"/>
                                <w:szCs w:val="22"/>
                              </w:rPr>
                            </w:pPr>
                            <w:r w:rsidRPr="00291A22">
                              <w:rPr>
                                <w:rFonts w:ascii="Cambria" w:hAnsi="Cambria"/>
                                <w:color w:val="0D0D0D"/>
                                <w:sz w:val="18"/>
                                <w:szCs w:val="22"/>
                              </w:rPr>
                              <w:t xml:space="preserve">Approved electronically by the Commission on </w:t>
                            </w:r>
                            <w:r w:rsidR="00C87B9D">
                              <w:rPr>
                                <w:rFonts w:ascii="Cambria" w:hAnsi="Cambria"/>
                                <w:color w:val="0D0D0D"/>
                                <w:sz w:val="18"/>
                                <w:szCs w:val="22"/>
                              </w:rPr>
                              <w:t>April 24</w:t>
                            </w:r>
                            <w:r w:rsidRPr="00291A22">
                              <w:rPr>
                                <w:rFonts w:ascii="Cambria" w:hAnsi="Cambria"/>
                                <w:color w:val="0D0D0D"/>
                                <w:sz w:val="18"/>
                                <w:szCs w:val="22"/>
                              </w:rPr>
                              <w:t>, 2020</w:t>
                            </w:r>
                            <w:r w:rsidR="00C87B9D">
                              <w:rPr>
                                <w:rFonts w:ascii="Cambria" w:hAnsi="Cambria"/>
                                <w:color w:val="0D0D0D"/>
                                <w:sz w:val="18"/>
                                <w:szCs w:val="22"/>
                              </w:rPr>
                              <w:t>.</w:t>
                            </w:r>
                          </w:p>
                          <w:p w:rsidR="001405E8" w:rsidRPr="00CD317D" w:rsidRDefault="001405E8" w:rsidP="000673D0">
                            <w:pPr>
                              <w:pBdr>
                                <w:top w:val="none" w:sz="0" w:space="0" w:color="auto"/>
                                <w:left w:val="none" w:sz="0" w:space="0" w:color="auto"/>
                                <w:bottom w:val="none" w:sz="0" w:space="0" w:color="auto"/>
                                <w:right w:val="none" w:sz="0" w:space="0" w:color="auto"/>
                                <w:bar w:val="none" w:sz="0" w:color="auto"/>
                              </w:pBdr>
                              <w:tabs>
                                <w:tab w:val="center" w:pos="5400"/>
                              </w:tabs>
                              <w:suppressAutoHyphens/>
                              <w:spacing w:before="60"/>
                              <w:rPr>
                                <w:rFonts w:ascii="Calibri" w:hAnsi="Calibri" w:cs="Univers"/>
                                <w:color w:val="0D0D0D"/>
                                <w:sz w:val="20"/>
                                <w:szCs w:val="20"/>
                              </w:rPr>
                            </w:pPr>
                          </w:p>
                          <w:p w:rsidR="001405E8" w:rsidRPr="00CD317D" w:rsidRDefault="001405E8" w:rsidP="000673D0">
                            <w:pPr>
                              <w:pBdr>
                                <w:top w:val="none" w:sz="0" w:space="0" w:color="auto"/>
                                <w:left w:val="none" w:sz="0" w:space="0" w:color="auto"/>
                                <w:bottom w:val="none" w:sz="0" w:space="0" w:color="auto"/>
                                <w:right w:val="none" w:sz="0" w:space="0" w:color="auto"/>
                                <w:bar w:val="none" w:sz="0" w:color="auto"/>
                              </w:pBdr>
                              <w:tabs>
                                <w:tab w:val="center" w:pos="5400"/>
                              </w:tabs>
                              <w:suppressAutoHyphens/>
                              <w:spacing w:before="60"/>
                              <w:rPr>
                                <w:rFonts w:ascii="Calibri" w:hAnsi="Calibri"/>
                                <w:color w:val="FFFFFF"/>
                                <w:spacing w:val="-2"/>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left:0;text-align:left;margin-left:105.65pt;margin-top:1.8pt;width:388.5pt;height:52.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" filled="f" stroked="f" strokeweight=".5pt">
                <v:path arrowok="t"/>
                <v:textbox>
                  <w:txbxContent>
                    <w:p w:rsidR="001405E8" w:rsidRPr="00CD317D" w:rsidRDefault="001405E8" w:rsidP="000673D0">
                      <w:pPr>
                        <w:pBdr>
                          <w:top w:val="none" w:sz="0" w:space="0" w:color="auto"/>
                          <w:left w:val="none" w:sz="0" w:space="0" w:color="auto"/>
                          <w:bottom w:val="none" w:sz="0" w:space="0" w:color="auto"/>
                          <w:right w:val="none" w:sz="0" w:space="0" w:color="auto"/>
                          <w:bar w:val="none" w:sz="0" w:color="auto"/>
                        </w:pBdr>
                        <w:tabs>
                          <w:tab w:val="center" w:pos="5400"/>
                        </w:tabs>
                        <w:suppressAutoHyphens/>
                        <w:spacing w:before="60"/>
                        <w:rPr>
                          <w:rFonts w:ascii="Cambria" w:hAnsi="Cambria"/>
                          <w:color w:val="0D0D0D"/>
                          <w:sz w:val="18"/>
                          <w:szCs w:val="22"/>
                        </w:rPr>
                      </w:pPr>
                      <w:r w:rsidRPr="00291A22">
                        <w:rPr>
                          <w:rFonts w:ascii="Cambria" w:hAnsi="Cambria"/>
                          <w:color w:val="0D0D0D"/>
                          <w:sz w:val="18"/>
                          <w:szCs w:val="22"/>
                        </w:rPr>
                        <w:t xml:space="preserve">Approved electronically by the Commission on </w:t>
                      </w:r>
                      <w:r w:rsidR="00C87B9D">
                        <w:rPr>
                          <w:rFonts w:ascii="Cambria" w:hAnsi="Cambria"/>
                          <w:color w:val="0D0D0D"/>
                          <w:sz w:val="18"/>
                          <w:szCs w:val="22"/>
                        </w:rPr>
                        <w:t>April 24</w:t>
                      </w:r>
                      <w:r w:rsidRPr="00291A22">
                        <w:rPr>
                          <w:rFonts w:ascii="Cambria" w:hAnsi="Cambria"/>
                          <w:color w:val="0D0D0D"/>
                          <w:sz w:val="18"/>
                          <w:szCs w:val="22"/>
                        </w:rPr>
                        <w:t>, 2020</w:t>
                      </w:r>
                      <w:r w:rsidR="00C87B9D">
                        <w:rPr>
                          <w:rFonts w:ascii="Cambria" w:hAnsi="Cambria"/>
                          <w:color w:val="0D0D0D"/>
                          <w:sz w:val="18"/>
                          <w:szCs w:val="22"/>
                        </w:rPr>
                        <w:t>.</w:t>
                      </w:r>
                    </w:p>
                    <w:p w:rsidR="001405E8" w:rsidRPr="00CD317D" w:rsidRDefault="001405E8" w:rsidP="000673D0">
                      <w:pPr>
                        <w:pBdr>
                          <w:top w:val="none" w:sz="0" w:space="0" w:color="auto"/>
                          <w:left w:val="none" w:sz="0" w:space="0" w:color="auto"/>
                          <w:bottom w:val="none" w:sz="0" w:space="0" w:color="auto"/>
                          <w:right w:val="none" w:sz="0" w:space="0" w:color="auto"/>
                          <w:bar w:val="none" w:sz="0" w:color="auto"/>
                        </w:pBdr>
                        <w:tabs>
                          <w:tab w:val="center" w:pos="5400"/>
                        </w:tabs>
                        <w:suppressAutoHyphens/>
                        <w:spacing w:before="60"/>
                        <w:rPr>
                          <w:rFonts w:ascii="Calibri" w:hAnsi="Calibri" w:cs="Univers"/>
                          <w:color w:val="0D0D0D"/>
                          <w:sz w:val="20"/>
                          <w:szCs w:val="20"/>
                        </w:rPr>
                      </w:pPr>
                    </w:p>
                    <w:p w:rsidR="001405E8" w:rsidRPr="00CD317D" w:rsidRDefault="001405E8" w:rsidP="000673D0">
                      <w:pPr>
                        <w:pBdr>
                          <w:top w:val="none" w:sz="0" w:space="0" w:color="auto"/>
                          <w:left w:val="none" w:sz="0" w:space="0" w:color="auto"/>
                          <w:bottom w:val="none" w:sz="0" w:space="0" w:color="auto"/>
                          <w:right w:val="none" w:sz="0" w:space="0" w:color="auto"/>
                          <w:bar w:val="none" w:sz="0" w:color="auto"/>
                        </w:pBdr>
                        <w:tabs>
                          <w:tab w:val="center" w:pos="5400"/>
                        </w:tabs>
                        <w:suppressAutoHyphens/>
                        <w:spacing w:before="60"/>
                        <w:rPr>
                          <w:rFonts w:ascii="Calibri" w:hAnsi="Calibri"/>
                          <w:color w:val="FFFFFF"/>
                          <w:spacing w:val="-2"/>
                          <w:sz w:val="16"/>
                        </w:rPr>
                      </w:pPr>
                    </w:p>
                  </w:txbxContent>
                </v:textbox>
              </v:shape>
            </w:pict>
          </mc:Fallback>
        </mc:AlternateContent>
      </w:r>
    </w:p>
    <w:p w:rsidR="001405E8" w:rsidRPr="003D4DF8" w:rsidRDefault="001405E8" w:rsidP="000673D0">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rPr>
      </w:pPr>
    </w:p>
    <w:p w:rsidR="001405E8" w:rsidRPr="003D4DF8" w:rsidRDefault="001405E8" w:rsidP="000673D0">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rPr>
      </w:pPr>
    </w:p>
    <w:p w:rsidR="001405E8" w:rsidRPr="003D4DF8" w:rsidRDefault="001405E8" w:rsidP="000673D0">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rPr>
      </w:pPr>
    </w:p>
    <w:p w:rsidR="001405E8" w:rsidRPr="003D4DF8" w:rsidRDefault="001405E8" w:rsidP="000673D0">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rPr>
      </w:pPr>
    </w:p>
    <w:p w:rsidR="001405E8" w:rsidRPr="003D4DF8" w:rsidRDefault="00223AAB" w:rsidP="000673D0">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rPr>
      </w:pPr>
      <w:r>
        <w:rPr>
          <w:noProof/>
        </w:rPr>
        <mc:AlternateContent>
          <mc:Choice Requires="wps">
            <w:drawing>
              <wp:anchor distT="0" distB="0" distL="114300" distR="114300" simplePos="0" relativeHeight="251659264" behindDoc="0" locked="0" layoutInCell="1" allowOverlap="1">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405E8" w:rsidRPr="00137CA8" w:rsidRDefault="001405E8" w:rsidP="000673D0">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olor w:val="595959"/>
                                <w:sz w:val="18"/>
                                <w:szCs w:val="18"/>
                              </w:rPr>
                            </w:pPr>
                            <w:r w:rsidRPr="00137CA8">
                              <w:rPr>
                                <w:rFonts w:ascii="Cambria" w:hAnsi="Cambria"/>
                                <w:b/>
                                <w:color w:val="595959"/>
                                <w:sz w:val="18"/>
                                <w:szCs w:val="18"/>
                              </w:rPr>
                              <w:t>Cite as:</w:t>
                            </w:r>
                            <w:r w:rsidRPr="00137CA8">
                              <w:rPr>
                                <w:rFonts w:ascii="Cambria" w:hAnsi="Cambria"/>
                                <w:color w:val="595959"/>
                                <w:sz w:val="18"/>
                                <w:szCs w:val="18"/>
                              </w:rPr>
                              <w:t xml:space="preserve"> IACHR, Report No. </w:t>
                            </w:r>
                            <w:r w:rsidR="008B6E85">
                              <w:rPr>
                                <w:rFonts w:ascii="Cambria" w:hAnsi="Cambria"/>
                                <w:color w:val="595959"/>
                                <w:sz w:val="18"/>
                                <w:szCs w:val="18"/>
                              </w:rPr>
                              <w:t>77</w:t>
                            </w:r>
                            <w:r w:rsidRPr="00137CA8">
                              <w:rPr>
                                <w:rFonts w:ascii="Cambria" w:hAnsi="Cambria"/>
                                <w:color w:val="595959"/>
                                <w:sz w:val="18"/>
                                <w:szCs w:val="18"/>
                              </w:rPr>
                              <w:t xml:space="preserve">/20. Petition 40-08. </w:t>
                            </w:r>
                            <w:r w:rsidRPr="008B6E85">
                              <w:rPr>
                                <w:rFonts w:ascii="Cambria" w:hAnsi="Cambria"/>
                                <w:color w:val="595959"/>
                                <w:sz w:val="18"/>
                                <w:szCs w:val="18"/>
                                <w:lang w:val="pt-BR"/>
                              </w:rPr>
                              <w:t xml:space="preserve">Inadmissibility. Jorge Eduardo Pérez Gómez. </w:t>
                            </w:r>
                            <w:r w:rsidRPr="00137CA8">
                              <w:rPr>
                                <w:rFonts w:ascii="Cambria" w:hAnsi="Cambria"/>
                                <w:color w:val="595959"/>
                                <w:sz w:val="18"/>
                                <w:szCs w:val="18"/>
                              </w:rPr>
                              <w:t xml:space="preserve">Peru. </w:t>
                            </w:r>
                            <w:r w:rsidR="00C87B9D">
                              <w:rPr>
                                <w:rFonts w:ascii="Cambria" w:hAnsi="Cambria"/>
                                <w:color w:val="595959"/>
                                <w:sz w:val="18"/>
                                <w:szCs w:val="18"/>
                              </w:rPr>
                              <w:t>April 24</w:t>
                            </w:r>
                            <w:r w:rsidR="008B6E85">
                              <w:rPr>
                                <w:rFonts w:ascii="Cambria" w:hAnsi="Cambria"/>
                                <w:color w:val="595959"/>
                                <w:sz w:val="18"/>
                                <w:szCs w:val="18"/>
                              </w:rPr>
                              <w:t>, 2020</w:t>
                            </w:r>
                            <w:r w:rsidRPr="00137CA8">
                              <w:rPr>
                                <w:rFonts w:ascii="Cambria" w:hAnsi="Cambria"/>
                                <w:color w:val="595959"/>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0" o:spid="_x0000_s1030" type="#_x0000_t202" style="position:absolute;left:0;text-align:left;margin-left:105pt;margin-top:.45pt;width:389.25pt;height:5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" filled="f" stroked="f" strokeweight=".5pt">
                <v:path arrowok="t"/>
                <v:textbox>
                  <w:txbxContent>
                    <w:p w:rsidR="001405E8" w:rsidRPr="00137CA8" w:rsidRDefault="001405E8" w:rsidP="000673D0">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olor w:val="595959"/>
                          <w:sz w:val="18"/>
                          <w:szCs w:val="18"/>
                        </w:rPr>
                      </w:pPr>
                      <w:r w:rsidRPr="00137CA8">
                        <w:rPr>
                          <w:rFonts w:ascii="Cambria" w:hAnsi="Cambria"/>
                          <w:b/>
                          <w:color w:val="595959"/>
                          <w:sz w:val="18"/>
                          <w:szCs w:val="18"/>
                        </w:rPr>
                        <w:t>Cite as:</w:t>
                      </w:r>
                      <w:r w:rsidRPr="00137CA8">
                        <w:rPr>
                          <w:rFonts w:ascii="Cambria" w:hAnsi="Cambria"/>
                          <w:color w:val="595959"/>
                          <w:sz w:val="18"/>
                          <w:szCs w:val="18"/>
                        </w:rPr>
                        <w:t xml:space="preserve"> IACHR, Report No. </w:t>
                      </w:r>
                      <w:r w:rsidR="008B6E85">
                        <w:rPr>
                          <w:rFonts w:ascii="Cambria" w:hAnsi="Cambria"/>
                          <w:color w:val="595959"/>
                          <w:sz w:val="18"/>
                          <w:szCs w:val="18"/>
                        </w:rPr>
                        <w:t>77</w:t>
                      </w:r>
                      <w:r w:rsidRPr="00137CA8">
                        <w:rPr>
                          <w:rFonts w:ascii="Cambria" w:hAnsi="Cambria"/>
                          <w:color w:val="595959"/>
                          <w:sz w:val="18"/>
                          <w:szCs w:val="18"/>
                        </w:rPr>
                        <w:t xml:space="preserve">/20. Petition 40-08. </w:t>
                      </w:r>
                      <w:r w:rsidRPr="008B6E85">
                        <w:rPr>
                          <w:rFonts w:ascii="Cambria" w:hAnsi="Cambria"/>
                          <w:color w:val="595959"/>
                          <w:sz w:val="18"/>
                          <w:szCs w:val="18"/>
                          <w:lang w:val="pt-BR"/>
                        </w:rPr>
                        <w:t xml:space="preserve">Inadmissibility. Jorge Eduardo Pérez Gómez. </w:t>
                      </w:r>
                      <w:r w:rsidRPr="00137CA8">
                        <w:rPr>
                          <w:rFonts w:ascii="Cambria" w:hAnsi="Cambria"/>
                          <w:color w:val="595959"/>
                          <w:sz w:val="18"/>
                          <w:szCs w:val="18"/>
                        </w:rPr>
                        <w:t xml:space="preserve">Peru. </w:t>
                      </w:r>
                      <w:r w:rsidR="00C87B9D">
                        <w:rPr>
                          <w:rFonts w:ascii="Cambria" w:hAnsi="Cambria"/>
                          <w:color w:val="595959"/>
                          <w:sz w:val="18"/>
                          <w:szCs w:val="18"/>
                        </w:rPr>
                        <w:t>April 24</w:t>
                      </w:r>
                      <w:r w:rsidR="008B6E85">
                        <w:rPr>
                          <w:rFonts w:ascii="Cambria" w:hAnsi="Cambria"/>
                          <w:color w:val="595959"/>
                          <w:sz w:val="18"/>
                          <w:szCs w:val="18"/>
                        </w:rPr>
                        <w:t>, 2020</w:t>
                      </w:r>
                      <w:r w:rsidRPr="00137CA8">
                        <w:rPr>
                          <w:rFonts w:ascii="Cambria" w:hAnsi="Cambria"/>
                          <w:color w:val="595959"/>
                          <w:sz w:val="18"/>
                          <w:szCs w:val="18"/>
                        </w:rPr>
                        <w:t>.</w:t>
                      </w:r>
                    </w:p>
                  </w:txbxContent>
                </v:textbox>
              </v:shape>
            </w:pict>
          </mc:Fallback>
        </mc:AlternateContent>
      </w:r>
    </w:p>
    <w:p w:rsidR="001405E8" w:rsidRPr="003D4DF8" w:rsidRDefault="001405E8" w:rsidP="000673D0">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rPr>
      </w:pPr>
    </w:p>
    <w:p w:rsidR="001405E8" w:rsidRPr="003D4DF8" w:rsidRDefault="00223AAB" w:rsidP="000673D0">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b/>
          <w:sz w:val="20"/>
        </w:rPr>
      </w:pPr>
      <w:r>
        <w:rPr>
          <w:noProof/>
        </w:rPr>
        <mc:AlternateContent>
          <mc:Choice Requires="wps">
            <w:drawing>
              <wp:anchor distT="0" distB="0" distL="114300" distR="114300" simplePos="0" relativeHeight="251661312" behindDoc="0" locked="0" layoutInCell="1" allowOverlap="1">
                <wp:simplePos x="0" y="0"/>
                <wp:positionH relativeFrom="column">
                  <wp:posOffset>-272415</wp:posOffset>
                </wp:positionH>
                <wp:positionV relativeFrom="paragraph">
                  <wp:posOffset>915035</wp:posOffset>
                </wp:positionV>
                <wp:extent cx="1181100" cy="33274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405E8" w:rsidRPr="00046890" w:rsidRDefault="001405E8" w:rsidP="000673D0">
                            <w:pPr>
                              <w:pBdr>
                                <w:top w:val="none" w:sz="0" w:space="0" w:color="auto"/>
                                <w:left w:val="none" w:sz="0" w:space="0" w:color="auto"/>
                                <w:bottom w:val="none" w:sz="0" w:space="0" w:color="auto"/>
                                <w:right w:val="none" w:sz="0" w:space="0" w:color="auto"/>
                                <w:bar w:val="none" w:sz="0" w:color="auto"/>
                              </w:pBdr>
                              <w:jc w:val="center"/>
                              <w:rPr>
                                <w:rFonts w:ascii="Calibri" w:hAnsi="Calibri"/>
                                <w:b/>
                                <w:color w:val="FFFFFF"/>
                              </w:rPr>
                            </w:pPr>
                            <w:r w:rsidRPr="00046890">
                              <w:rPr>
                                <w:rFonts w:ascii="Calibri" w:hAnsi="Calibri"/>
                                <w:b/>
                                <w:color w:val="FFFFFF"/>
                                <w:lang w:val="pt-BR"/>
                              </w:rPr>
                              <w:t>www.</w:t>
                            </w:r>
                            <w:r w:rsidR="008B6E85">
                              <w:rPr>
                                <w:rFonts w:ascii="Calibri" w:hAnsi="Calibri"/>
                                <w:b/>
                                <w:color w:val="FFFFFF"/>
                                <w:lang w:val="pt-BR"/>
                              </w:rPr>
                              <w:t>iachr</w:t>
                            </w:r>
                            <w:r w:rsidRPr="00046890">
                              <w:rPr>
                                <w:rFonts w:ascii="Calibri" w:hAnsi="Calibri"/>
                                <w:b/>
                                <w:color w:val="FFFFFF"/>
                                <w:lang w:val="pt-BR"/>
                              </w:rPr>
                              <w:t>.org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4" o:spid="_x0000_s1031" type="#_x0000_t202" style="position:absolute;left:0;text-align:left;margin-left:-21.45pt;margin-top:72.05pt;width:93pt;height:2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" filled="f" stroked="f" strokeweight=".5pt">
                <v:path arrowok="t"/>
                <v:textbox>
                  <w:txbxContent>
                    <w:p w:rsidR="001405E8" w:rsidRPr="00046890" w:rsidRDefault="001405E8" w:rsidP="000673D0">
                      <w:pPr>
                        <w:pBdr>
                          <w:top w:val="none" w:sz="0" w:space="0" w:color="auto"/>
                          <w:left w:val="none" w:sz="0" w:space="0" w:color="auto"/>
                          <w:bottom w:val="none" w:sz="0" w:space="0" w:color="auto"/>
                          <w:right w:val="none" w:sz="0" w:space="0" w:color="auto"/>
                          <w:bar w:val="none" w:sz="0" w:color="auto"/>
                        </w:pBdr>
                        <w:jc w:val="center"/>
                        <w:rPr>
                          <w:rFonts w:ascii="Calibri" w:hAnsi="Calibri"/>
                          <w:b/>
                          <w:color w:val="FFFFFF"/>
                        </w:rPr>
                      </w:pPr>
                      <w:r w:rsidRPr="00046890">
                        <w:rPr>
                          <w:rFonts w:ascii="Calibri" w:hAnsi="Calibri"/>
                          <w:b/>
                          <w:color w:val="FFFFFF"/>
                          <w:lang w:val="pt-BR"/>
                        </w:rPr>
                        <w:t>www.</w:t>
                      </w:r>
                      <w:r w:rsidR="008B6E85">
                        <w:rPr>
                          <w:rFonts w:ascii="Calibri" w:hAnsi="Calibri"/>
                          <w:b/>
                          <w:color w:val="FFFFFF"/>
                          <w:lang w:val="pt-BR"/>
                        </w:rPr>
                        <w:t>iachr</w:t>
                      </w:r>
                      <w:r w:rsidRPr="00046890">
                        <w:rPr>
                          <w:rFonts w:ascii="Calibri" w:hAnsi="Calibri"/>
                          <w:b/>
                          <w:color w:val="FFFFFF"/>
                          <w:lang w:val="pt-BR"/>
                        </w:rPr>
                        <w:t>.org</w:t>
                      </w:r>
                    </w:p>
                  </w:txbxContent>
                </v:textbox>
              </v:shape>
            </w:pict>
          </mc:Fallback>
        </mc:AlternateContent>
      </w:r>
    </w:p>
    <w:p w:rsidR="001405E8" w:rsidRPr="003D4DF8" w:rsidRDefault="008B6E85" w:rsidP="000673D0">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b/>
          <w:sz w:val="20"/>
        </w:rPr>
        <w:sectPr w:rsidR="001405E8" w:rsidRPr="003D4DF8" w:rsidSect="00C054DF">
          <w:headerReference w:type="even" r:id="rId8"/>
          <w:headerReference w:type="default" r:id="rId9"/>
          <w:footerReference w:type="even" r:id="rId10"/>
          <w:footerReference w:type="default" r:id="rId11"/>
          <w:headerReference w:type="first" r:id="rId12"/>
          <w:footerReference w:type="first" r:id="rId13"/>
          <w:type w:val="oddPage"/>
          <w:pgSz w:w="12240" w:h="15840"/>
          <w:pgMar w:top="1440" w:right="1440" w:bottom="1440" w:left="1440" w:header="720" w:footer="720" w:gutter="0"/>
          <w:pgNumType w:start="0"/>
          <w:cols w:space="720"/>
          <w:titlePg/>
          <w:rtlGutter/>
          <w:docGrid w:linePitch="326"/>
        </w:sectPr>
      </w:pPr>
      <w:r>
        <w:rPr>
          <w:noProof/>
        </w:rPr>
        <mc:AlternateContent>
          <mc:Choice Requires="wps">
            <w:drawing>
              <wp:anchor distT="0" distB="0" distL="114300" distR="114300" simplePos="0" relativeHeight="251660288" behindDoc="0" locked="0" layoutInCell="1" allowOverlap="1">
                <wp:simplePos x="0" y="0"/>
                <wp:positionH relativeFrom="column">
                  <wp:posOffset>1324247</wp:posOffset>
                </wp:positionH>
                <wp:positionV relativeFrom="paragraph">
                  <wp:posOffset>560342</wp:posOffset>
                </wp:positionV>
                <wp:extent cx="4096385" cy="567055"/>
                <wp:effectExtent l="0" t="0" r="0" b="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6385" cy="56705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1405E8" w:rsidRPr="00046890" w:rsidRDefault="00FC3020" w:rsidP="000673D0">
                            <w:pPr>
                              <w:pBdr>
                                <w:top w:val="none" w:sz="0" w:space="0" w:color="auto"/>
                                <w:left w:val="none" w:sz="0" w:space="0" w:color="auto"/>
                                <w:bottom w:val="none" w:sz="0" w:space="0" w:color="auto"/>
                                <w:right w:val="none" w:sz="0" w:space="0" w:color="auto"/>
                                <w:bar w:val="none" w:sz="0" w:color="auto"/>
                              </w:pBdr>
                              <w:rPr>
                                <w:color w:val="FFFFFF"/>
                              </w:rPr>
                            </w:pPr>
                            <w:r>
                              <w:rPr>
                                <w:noProof/>
                                <w:color w:val="FFFFFF" w:themeColor="background1"/>
                              </w:rPr>
                              <w:drawing>
                                <wp:inline distT="0" distB="0" distL="0" distR="0" wp14:anchorId="35E8C511" wp14:editId="3DDCFA89">
                                  <wp:extent cx="1837690" cy="469265"/>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NG-Main-01.png"/>
                                          <pic:cNvPicPr/>
                                        </pic:nvPicPr>
                                        <pic:blipFill>
                                          <a:blip r:embed="rId14">
                                            <a:extLst>
                                              <a:ext uri="{28A0092B-C50C-407E-A947-70E740481C1C}">
                                                <a14:useLocalDpi xmlns:a14="http://schemas.microsoft.com/office/drawing/2010/main" val="0"/>
                                              </a:ext>
                                            </a:extLst>
                                          </a:blip>
                                          <a:stretch>
                                            <a:fillRect/>
                                          </a:stretch>
                                        </pic:blipFill>
                                        <pic:spPr>
                                          <a:xfrm>
                                            <a:off x="0" y="0"/>
                                            <a:ext cx="1837690" cy="46926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2" type="#_x0000_t202" style="position:absolute;left:0;text-align:left;margin-left:104.25pt;margin-top:44.1pt;width:322.55pt;height:4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" stroked="f" strokeweight=".5pt">
                <v:textbox>
                  <w:txbxContent>
                    <w:p w:rsidR="001405E8" w:rsidRPr="00046890" w:rsidRDefault="00FC3020" w:rsidP="000673D0">
                      <w:pPr>
                        <w:pBdr>
                          <w:top w:val="none" w:sz="0" w:space="0" w:color="auto"/>
                          <w:left w:val="none" w:sz="0" w:space="0" w:color="auto"/>
                          <w:bottom w:val="none" w:sz="0" w:space="0" w:color="auto"/>
                          <w:right w:val="none" w:sz="0" w:space="0" w:color="auto"/>
                          <w:bar w:val="none" w:sz="0" w:color="auto"/>
                        </w:pBdr>
                        <w:rPr>
                          <w:color w:val="FFFFFF"/>
                        </w:rPr>
                      </w:pPr>
                      <w:r>
                        <w:rPr>
                          <w:noProof/>
                          <w:color w:val="FFFFFF" w:themeColor="background1"/>
                        </w:rPr>
                        <w:drawing>
                          <wp:inline distT="0" distB="0" distL="0" distR="0" wp14:anchorId="35E8C511" wp14:editId="3DDCFA89">
                            <wp:extent cx="1837690" cy="469265"/>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NG-Main-01.png"/>
                                    <pic:cNvPicPr/>
                                  </pic:nvPicPr>
                                  <pic:blipFill>
                                    <a:blip r:embed="rId14">
                                      <a:extLst>
                                        <a:ext uri="{28A0092B-C50C-407E-A947-70E740481C1C}">
                                          <a14:useLocalDpi xmlns:a14="http://schemas.microsoft.com/office/drawing/2010/main" val="0"/>
                                        </a:ext>
                                      </a:extLst>
                                    </a:blip>
                                    <a:stretch>
                                      <a:fillRect/>
                                    </a:stretch>
                                  </pic:blipFill>
                                  <pic:spPr>
                                    <a:xfrm>
                                      <a:off x="0" y="0"/>
                                      <a:ext cx="1837690" cy="469265"/>
                                    </a:xfrm>
                                    <a:prstGeom prst="rect">
                                      <a:avLst/>
                                    </a:prstGeom>
                                  </pic:spPr>
                                </pic:pic>
                              </a:graphicData>
                            </a:graphic>
                          </wp:inline>
                        </w:drawing>
                      </w:r>
                    </w:p>
                  </w:txbxContent>
                </v:textbox>
              </v:shape>
            </w:pict>
          </mc:Fallback>
        </mc:AlternateContent>
      </w:r>
      <w:r w:rsidR="001405E8" w:rsidRPr="003D4DF8">
        <w:rPr>
          <w:rFonts w:ascii="Cambria" w:hAnsi="Cambria"/>
          <w:b/>
          <w:sz w:val="20"/>
        </w:rPr>
        <w:tab/>
      </w:r>
    </w:p>
    <w:p w:rsidR="001405E8" w:rsidRPr="003D4DF8" w:rsidRDefault="001405E8" w:rsidP="000673D0">
      <w:pPr>
        <w:pBdr>
          <w:top w:val="none" w:sz="0" w:space="0" w:color="auto"/>
          <w:left w:val="none" w:sz="0" w:space="0" w:color="auto"/>
          <w:bottom w:val="none" w:sz="0" w:space="0" w:color="auto"/>
          <w:right w:val="none" w:sz="0" w:space="0" w:color="auto"/>
          <w:bar w:val="none" w:sz="0" w:color="auto"/>
        </w:pBdr>
        <w:spacing w:after="240"/>
        <w:ind w:firstLine="720"/>
        <w:jc w:val="both"/>
        <w:rPr>
          <w:rFonts w:ascii="Cambria" w:hAnsi="Cambria"/>
          <w:b/>
          <w:bCs/>
          <w:sz w:val="20"/>
          <w:szCs w:val="20"/>
        </w:rPr>
      </w:pPr>
      <w:r w:rsidRPr="003D4DF8">
        <w:rPr>
          <w:rFonts w:ascii="Cambria" w:hAnsi="Cambria"/>
          <w:b/>
          <w:bCs/>
          <w:sz w:val="20"/>
          <w:szCs w:val="20"/>
        </w:rPr>
        <w:lastRenderedPageBreak/>
        <w:t>I.</w:t>
      </w:r>
      <w:r w:rsidRPr="003D4DF8">
        <w:rPr>
          <w:rFonts w:ascii="Cambria" w:hAnsi="Cambria"/>
          <w:b/>
          <w:bCs/>
          <w:sz w:val="20"/>
          <w:szCs w:val="20"/>
        </w:rPr>
        <w:tab/>
        <w:t>INFORMATION ABOUT THE PETITION</w:t>
      </w:r>
    </w:p>
    <w:tbl>
      <w:tblPr>
        <w:tblW w:w="9360"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3600"/>
        <w:gridCol w:w="5760"/>
      </w:tblGrid>
      <w:tr w:rsidR="001405E8" w:rsidRPr="003D4DF8" w:rsidTr="00D77EF6">
        <w:tc>
          <w:tcPr>
            <w:tcW w:w="3600" w:type="dxa"/>
            <w:tcBorders>
              <w:top w:val="single" w:sz="4" w:space="0" w:color="auto"/>
            </w:tcBorders>
            <w:shd w:val="clear" w:color="auto" w:fill="73BF43"/>
            <w:vAlign w:val="center"/>
          </w:tcPr>
          <w:p w:rsidR="001405E8" w:rsidRPr="003D4DF8" w:rsidRDefault="001405E8" w:rsidP="00347B11">
            <w:pPr>
              <w:pBdr>
                <w:top w:val="none" w:sz="0" w:space="0" w:color="auto"/>
                <w:left w:val="none" w:sz="0" w:space="0" w:color="auto"/>
                <w:bottom w:val="none" w:sz="0" w:space="0" w:color="auto"/>
                <w:right w:val="none" w:sz="0" w:space="0" w:color="auto"/>
                <w:bar w:val="none" w:sz="0" w:color="auto"/>
              </w:pBdr>
              <w:jc w:val="center"/>
              <w:rPr>
                <w:rFonts w:ascii="Cambria" w:hAnsi="Cambria"/>
                <w:b/>
                <w:bCs/>
                <w:color w:val="FFFFFF"/>
                <w:sz w:val="20"/>
                <w:szCs w:val="20"/>
              </w:rPr>
            </w:pPr>
            <w:r w:rsidRPr="003D4DF8">
              <w:rPr>
                <w:rFonts w:ascii="Cambria" w:hAnsi="Cambria"/>
                <w:b/>
                <w:bCs/>
                <w:color w:val="FFFFFF"/>
                <w:sz w:val="20"/>
                <w:szCs w:val="20"/>
              </w:rPr>
              <w:t>Petitioner:</w:t>
            </w:r>
          </w:p>
        </w:tc>
        <w:tc>
          <w:tcPr>
            <w:tcW w:w="5760" w:type="dxa"/>
            <w:tcBorders>
              <w:top w:val="single" w:sz="4" w:space="0" w:color="auto"/>
            </w:tcBorders>
            <w:vAlign w:val="center"/>
          </w:tcPr>
          <w:p w:rsidR="001405E8" w:rsidRPr="003D4DF8" w:rsidRDefault="001405E8" w:rsidP="00046890">
            <w:pPr>
              <w:pBdr>
                <w:top w:val="none" w:sz="0" w:space="0" w:color="auto"/>
                <w:left w:val="none" w:sz="0" w:space="0" w:color="auto"/>
                <w:bottom w:val="none" w:sz="0" w:space="0" w:color="auto"/>
                <w:right w:val="none" w:sz="0" w:space="0" w:color="auto"/>
                <w:bar w:val="none" w:sz="0" w:color="auto"/>
              </w:pBdr>
              <w:jc w:val="both"/>
              <w:rPr>
                <w:rFonts w:ascii="Cambria" w:hAnsi="Cambria"/>
                <w:bCs/>
                <w:sz w:val="20"/>
                <w:szCs w:val="20"/>
              </w:rPr>
            </w:pPr>
            <w:r w:rsidRPr="003D4DF8">
              <w:rPr>
                <w:rFonts w:ascii="Cambria" w:hAnsi="Cambria"/>
                <w:bCs/>
                <w:sz w:val="20"/>
                <w:szCs w:val="20"/>
              </w:rPr>
              <w:t>Jorge Eduardo Pérez Gómez</w:t>
            </w:r>
          </w:p>
        </w:tc>
      </w:tr>
      <w:tr w:rsidR="001405E8" w:rsidRPr="003D4DF8" w:rsidTr="00D77EF6">
        <w:tc>
          <w:tcPr>
            <w:tcW w:w="3600" w:type="dxa"/>
            <w:shd w:val="clear" w:color="auto" w:fill="73BF43"/>
            <w:vAlign w:val="center"/>
          </w:tcPr>
          <w:p w:rsidR="001405E8" w:rsidRPr="003D4DF8" w:rsidRDefault="001405E8" w:rsidP="00046890">
            <w:pPr>
              <w:pBdr>
                <w:top w:val="none" w:sz="0" w:space="0" w:color="auto"/>
                <w:left w:val="none" w:sz="0" w:space="0" w:color="auto"/>
                <w:bottom w:val="none" w:sz="0" w:space="0" w:color="auto"/>
                <w:right w:val="none" w:sz="0" w:space="0" w:color="auto"/>
                <w:bar w:val="none" w:sz="0" w:color="auto"/>
              </w:pBdr>
              <w:jc w:val="center"/>
              <w:rPr>
                <w:rFonts w:ascii="Cambria" w:hAnsi="Cambria"/>
                <w:b/>
                <w:bCs/>
                <w:color w:val="FFFFFF"/>
                <w:sz w:val="20"/>
                <w:szCs w:val="20"/>
              </w:rPr>
            </w:pPr>
            <w:r w:rsidRPr="003D4DF8">
              <w:rPr>
                <w:rFonts w:ascii="Cambria" w:hAnsi="Cambria"/>
                <w:b/>
                <w:bCs/>
                <w:color w:val="FFFFFF"/>
                <w:sz w:val="20"/>
                <w:szCs w:val="20"/>
              </w:rPr>
              <w:t>Alleged victim:</w:t>
            </w:r>
          </w:p>
        </w:tc>
        <w:tc>
          <w:tcPr>
            <w:tcW w:w="5760" w:type="dxa"/>
            <w:vAlign w:val="center"/>
          </w:tcPr>
          <w:p w:rsidR="001405E8" w:rsidRPr="003D4DF8" w:rsidRDefault="001405E8" w:rsidP="00046890">
            <w:pPr>
              <w:pBdr>
                <w:top w:val="none" w:sz="0" w:space="0" w:color="auto"/>
                <w:left w:val="none" w:sz="0" w:space="0" w:color="auto"/>
                <w:bottom w:val="none" w:sz="0" w:space="0" w:color="auto"/>
                <w:right w:val="none" w:sz="0" w:space="0" w:color="auto"/>
                <w:bar w:val="none" w:sz="0" w:color="auto"/>
              </w:pBdr>
              <w:jc w:val="both"/>
              <w:rPr>
                <w:rFonts w:ascii="Cambria" w:hAnsi="Cambria"/>
                <w:bCs/>
                <w:sz w:val="20"/>
                <w:szCs w:val="20"/>
              </w:rPr>
            </w:pPr>
            <w:r w:rsidRPr="003D4DF8">
              <w:rPr>
                <w:rFonts w:ascii="Cambria" w:hAnsi="Cambria"/>
                <w:bCs/>
                <w:sz w:val="20"/>
                <w:szCs w:val="20"/>
              </w:rPr>
              <w:t>Jorge Eduardo Pérez Gómez</w:t>
            </w:r>
          </w:p>
        </w:tc>
      </w:tr>
      <w:tr w:rsidR="001405E8" w:rsidRPr="003D4DF8" w:rsidTr="00D77EF6">
        <w:tc>
          <w:tcPr>
            <w:tcW w:w="3600" w:type="dxa"/>
            <w:shd w:val="clear" w:color="auto" w:fill="73BF43"/>
            <w:vAlign w:val="center"/>
          </w:tcPr>
          <w:p w:rsidR="001405E8" w:rsidRPr="003D4DF8" w:rsidRDefault="001405E8" w:rsidP="00347B11">
            <w:pPr>
              <w:pBdr>
                <w:top w:val="none" w:sz="0" w:space="0" w:color="auto"/>
                <w:left w:val="none" w:sz="0" w:space="0" w:color="auto"/>
                <w:bottom w:val="none" w:sz="0" w:space="0" w:color="auto"/>
                <w:right w:val="none" w:sz="0" w:space="0" w:color="auto"/>
                <w:bar w:val="none" w:sz="0" w:color="auto"/>
              </w:pBdr>
              <w:jc w:val="center"/>
              <w:rPr>
                <w:rFonts w:ascii="Cambria" w:hAnsi="Cambria"/>
                <w:b/>
                <w:bCs/>
                <w:color w:val="FFFFFF"/>
                <w:sz w:val="20"/>
                <w:szCs w:val="20"/>
              </w:rPr>
            </w:pPr>
            <w:r w:rsidRPr="003D4DF8">
              <w:rPr>
                <w:rFonts w:ascii="Cambria" w:hAnsi="Cambria"/>
                <w:b/>
                <w:bCs/>
                <w:color w:val="FFFFFF"/>
                <w:sz w:val="20"/>
                <w:szCs w:val="20"/>
              </w:rPr>
              <w:t>State denounced:</w:t>
            </w:r>
          </w:p>
        </w:tc>
        <w:tc>
          <w:tcPr>
            <w:tcW w:w="5760" w:type="dxa"/>
            <w:vAlign w:val="center"/>
          </w:tcPr>
          <w:p w:rsidR="001405E8" w:rsidRPr="003D4DF8" w:rsidRDefault="001405E8" w:rsidP="00893759">
            <w:pPr>
              <w:pBdr>
                <w:top w:val="none" w:sz="0" w:space="0" w:color="auto"/>
                <w:left w:val="none" w:sz="0" w:space="0" w:color="auto"/>
                <w:bottom w:val="none" w:sz="0" w:space="0" w:color="auto"/>
                <w:right w:val="none" w:sz="0" w:space="0" w:color="auto"/>
                <w:bar w:val="none" w:sz="0" w:color="auto"/>
              </w:pBdr>
              <w:jc w:val="both"/>
              <w:rPr>
                <w:rFonts w:ascii="Cambria" w:hAnsi="Cambria"/>
                <w:bCs/>
                <w:sz w:val="20"/>
                <w:szCs w:val="20"/>
              </w:rPr>
            </w:pPr>
            <w:smartTag w:uri="urn:schemas-microsoft-com:office:smarttags" w:element="place">
              <w:smartTag w:uri="urn:schemas-microsoft-com:office:smarttags" w:element="country-region">
                <w:r w:rsidRPr="003D4DF8">
                  <w:rPr>
                    <w:rFonts w:ascii="Cambria" w:hAnsi="Cambria"/>
                    <w:bCs/>
                    <w:sz w:val="20"/>
                    <w:szCs w:val="20"/>
                  </w:rPr>
                  <w:t>Peru</w:t>
                </w:r>
              </w:smartTag>
            </w:smartTag>
            <w:r w:rsidRPr="003D4DF8">
              <w:rPr>
                <w:rStyle w:val="FootnoteReference"/>
                <w:rFonts w:ascii="Cambria" w:hAnsi="Cambria"/>
                <w:bCs/>
                <w:sz w:val="20"/>
                <w:szCs w:val="20"/>
              </w:rPr>
              <w:footnoteReference w:id="2"/>
            </w:r>
          </w:p>
        </w:tc>
      </w:tr>
      <w:tr w:rsidR="001405E8" w:rsidRPr="003D4DF8" w:rsidTr="00D77EF6">
        <w:tc>
          <w:tcPr>
            <w:tcW w:w="3600" w:type="dxa"/>
            <w:tcBorders>
              <w:bottom w:val="single" w:sz="4" w:space="0" w:color="auto"/>
            </w:tcBorders>
            <w:shd w:val="clear" w:color="auto" w:fill="73BF43"/>
            <w:vAlign w:val="center"/>
          </w:tcPr>
          <w:p w:rsidR="001405E8" w:rsidRPr="003D4DF8" w:rsidRDefault="001405E8" w:rsidP="00347B11">
            <w:pPr>
              <w:pBdr>
                <w:top w:val="none" w:sz="0" w:space="0" w:color="auto"/>
                <w:left w:val="none" w:sz="0" w:space="0" w:color="auto"/>
                <w:bottom w:val="none" w:sz="0" w:space="0" w:color="auto"/>
                <w:right w:val="none" w:sz="0" w:space="0" w:color="auto"/>
                <w:bar w:val="none" w:sz="0" w:color="auto"/>
              </w:pBdr>
              <w:jc w:val="center"/>
              <w:rPr>
                <w:rFonts w:ascii="Cambria" w:hAnsi="Cambria"/>
                <w:b/>
                <w:bCs/>
                <w:color w:val="FFFFFF"/>
                <w:sz w:val="20"/>
                <w:szCs w:val="20"/>
              </w:rPr>
            </w:pPr>
            <w:r w:rsidRPr="003D4DF8">
              <w:rPr>
                <w:rFonts w:ascii="Cambria" w:hAnsi="Cambria"/>
                <w:b/>
                <w:bCs/>
                <w:color w:val="FFFFFF"/>
                <w:sz w:val="20"/>
                <w:szCs w:val="20"/>
              </w:rPr>
              <w:t>Rights invoked:</w:t>
            </w:r>
          </w:p>
        </w:tc>
        <w:tc>
          <w:tcPr>
            <w:tcW w:w="5760" w:type="dxa"/>
            <w:tcBorders>
              <w:bottom w:val="single" w:sz="4" w:space="0" w:color="auto"/>
            </w:tcBorders>
            <w:vAlign w:val="center"/>
          </w:tcPr>
          <w:p w:rsidR="001405E8" w:rsidRPr="003D4DF8" w:rsidRDefault="001405E8" w:rsidP="00FF74E2">
            <w:pPr>
              <w:pBdr>
                <w:top w:val="none" w:sz="0" w:space="0" w:color="auto"/>
                <w:left w:val="none" w:sz="0" w:space="0" w:color="auto"/>
                <w:bottom w:val="none" w:sz="0" w:space="0" w:color="auto"/>
                <w:right w:val="none" w:sz="0" w:space="0" w:color="auto"/>
                <w:bar w:val="none" w:sz="0" w:color="auto"/>
              </w:pBdr>
              <w:jc w:val="both"/>
              <w:rPr>
                <w:rFonts w:ascii="Cambria" w:hAnsi="Cambria"/>
                <w:bCs/>
                <w:sz w:val="20"/>
                <w:szCs w:val="20"/>
              </w:rPr>
            </w:pPr>
            <w:r w:rsidRPr="003D4DF8">
              <w:rPr>
                <w:rFonts w:ascii="Cambria" w:hAnsi="Cambria"/>
                <w:bCs/>
                <w:sz w:val="20"/>
                <w:szCs w:val="20"/>
              </w:rPr>
              <w:t>Does not specify articles of the American Convention.</w:t>
            </w:r>
            <w:r w:rsidRPr="003D4DF8">
              <w:rPr>
                <w:rStyle w:val="FootnoteReference"/>
                <w:rFonts w:ascii="Cambria" w:hAnsi="Cambria"/>
                <w:bCs/>
                <w:sz w:val="20"/>
                <w:szCs w:val="20"/>
              </w:rPr>
              <w:footnoteReference w:id="3"/>
            </w:r>
            <w:r w:rsidRPr="003D4DF8">
              <w:rPr>
                <w:rFonts w:ascii="Cambria" w:hAnsi="Cambria"/>
                <w:bCs/>
                <w:sz w:val="20"/>
                <w:szCs w:val="20"/>
              </w:rPr>
              <w:t xml:space="preserve"> </w:t>
            </w:r>
          </w:p>
        </w:tc>
      </w:tr>
    </w:tbl>
    <w:p w:rsidR="001405E8" w:rsidRPr="003D4DF8" w:rsidRDefault="001405E8" w:rsidP="000673D0">
      <w:pPr>
        <w:pBdr>
          <w:top w:val="none" w:sz="0" w:space="0" w:color="auto"/>
          <w:left w:val="none" w:sz="0" w:space="0" w:color="auto"/>
          <w:bottom w:val="none" w:sz="0" w:space="0" w:color="auto"/>
          <w:right w:val="none" w:sz="0" w:space="0" w:color="auto"/>
          <w:bar w:val="none" w:sz="0" w:color="auto"/>
        </w:pBdr>
        <w:spacing w:before="240" w:after="240"/>
        <w:ind w:firstLine="720"/>
        <w:jc w:val="both"/>
        <w:rPr>
          <w:rFonts w:ascii="Cambria" w:hAnsi="Cambria"/>
          <w:b/>
          <w:bCs/>
          <w:sz w:val="20"/>
          <w:szCs w:val="20"/>
        </w:rPr>
      </w:pPr>
      <w:r w:rsidRPr="003D4DF8">
        <w:rPr>
          <w:rFonts w:ascii="Cambria" w:hAnsi="Cambria"/>
          <w:b/>
          <w:bCs/>
          <w:sz w:val="20"/>
          <w:szCs w:val="20"/>
        </w:rPr>
        <w:t>II.</w:t>
      </w:r>
      <w:r w:rsidRPr="003D4DF8">
        <w:rPr>
          <w:rFonts w:ascii="Cambria" w:hAnsi="Cambria"/>
          <w:b/>
          <w:bCs/>
          <w:sz w:val="20"/>
          <w:szCs w:val="20"/>
        </w:rPr>
        <w:tab/>
        <w:t>PROCEEDINGS BEFORE THE IACHR</w:t>
      </w:r>
      <w:r w:rsidRPr="003D4DF8">
        <w:rPr>
          <w:rStyle w:val="FootnoteReference"/>
          <w:rFonts w:ascii="Cambria" w:hAnsi="Cambria"/>
          <w:b/>
          <w:sz w:val="20"/>
          <w:szCs w:val="20"/>
        </w:rPr>
        <w:footnoteReference w:id="4"/>
      </w:r>
    </w:p>
    <w:tbl>
      <w:tblPr>
        <w:tblW w:w="9360"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3600"/>
        <w:gridCol w:w="5760"/>
      </w:tblGrid>
      <w:tr w:rsidR="001405E8" w:rsidRPr="003D4DF8" w:rsidTr="00D77EF6">
        <w:tc>
          <w:tcPr>
            <w:tcW w:w="3600" w:type="dxa"/>
            <w:tcBorders>
              <w:top w:val="single" w:sz="4" w:space="0" w:color="auto"/>
            </w:tcBorders>
            <w:shd w:val="clear" w:color="auto" w:fill="73BF43"/>
            <w:vAlign w:val="center"/>
          </w:tcPr>
          <w:p w:rsidR="001405E8" w:rsidRPr="003D4DF8" w:rsidRDefault="001405E8" w:rsidP="00046890">
            <w:pPr>
              <w:pBdr>
                <w:top w:val="none" w:sz="0" w:space="0" w:color="auto"/>
                <w:left w:val="none" w:sz="0" w:space="0" w:color="auto"/>
                <w:bottom w:val="none" w:sz="0" w:space="0" w:color="auto"/>
                <w:right w:val="none" w:sz="0" w:space="0" w:color="auto"/>
                <w:bar w:val="none" w:sz="0" w:color="auto"/>
              </w:pBdr>
              <w:jc w:val="center"/>
              <w:rPr>
                <w:rFonts w:ascii="Cambria" w:hAnsi="Cambria"/>
                <w:b/>
                <w:bCs/>
                <w:color w:val="FFFFFF"/>
                <w:sz w:val="20"/>
                <w:szCs w:val="20"/>
              </w:rPr>
            </w:pPr>
            <w:r w:rsidRPr="003D4DF8">
              <w:rPr>
                <w:rFonts w:ascii="Cambria" w:hAnsi="Cambria"/>
                <w:b/>
                <w:bCs/>
                <w:color w:val="FFFFFF"/>
                <w:sz w:val="20"/>
                <w:szCs w:val="20"/>
              </w:rPr>
              <w:t>Filing of the petition:</w:t>
            </w:r>
          </w:p>
        </w:tc>
        <w:tc>
          <w:tcPr>
            <w:tcW w:w="5760" w:type="dxa"/>
            <w:tcBorders>
              <w:top w:val="single" w:sz="4" w:space="0" w:color="auto"/>
            </w:tcBorders>
            <w:vAlign w:val="center"/>
          </w:tcPr>
          <w:p w:rsidR="001405E8" w:rsidRPr="003D4DF8" w:rsidRDefault="001405E8" w:rsidP="009433A6">
            <w:pPr>
              <w:pBdr>
                <w:top w:val="none" w:sz="0" w:space="0" w:color="auto"/>
                <w:left w:val="none" w:sz="0" w:space="0" w:color="auto"/>
                <w:bottom w:val="none" w:sz="0" w:space="0" w:color="auto"/>
                <w:right w:val="none" w:sz="0" w:space="0" w:color="auto"/>
                <w:bar w:val="none" w:sz="0" w:color="auto"/>
              </w:pBdr>
              <w:jc w:val="both"/>
              <w:rPr>
                <w:rFonts w:ascii="Cambria" w:hAnsi="Cambria"/>
                <w:bCs/>
                <w:sz w:val="20"/>
                <w:szCs w:val="20"/>
              </w:rPr>
            </w:pPr>
            <w:r w:rsidRPr="003D4DF8">
              <w:rPr>
                <w:rFonts w:ascii="Cambria" w:hAnsi="Cambria"/>
                <w:bCs/>
                <w:sz w:val="20"/>
                <w:szCs w:val="20"/>
              </w:rPr>
              <w:t>March 9, 2008</w:t>
            </w:r>
            <w:r w:rsidRPr="003D4DF8">
              <w:rPr>
                <w:rStyle w:val="FootnoteReference"/>
                <w:rFonts w:ascii="Cambria" w:hAnsi="Cambria"/>
                <w:bCs/>
                <w:sz w:val="20"/>
                <w:szCs w:val="20"/>
              </w:rPr>
              <w:footnoteReference w:id="5"/>
            </w:r>
          </w:p>
        </w:tc>
      </w:tr>
      <w:tr w:rsidR="001405E8" w:rsidRPr="003D4DF8" w:rsidTr="00D77EF6">
        <w:tc>
          <w:tcPr>
            <w:tcW w:w="3600" w:type="dxa"/>
            <w:shd w:val="clear" w:color="auto" w:fill="73BF43"/>
            <w:vAlign w:val="center"/>
          </w:tcPr>
          <w:p w:rsidR="001405E8" w:rsidRPr="003D4DF8" w:rsidRDefault="001405E8" w:rsidP="00046890">
            <w:pPr>
              <w:pBdr>
                <w:top w:val="none" w:sz="0" w:space="0" w:color="auto"/>
                <w:left w:val="none" w:sz="0" w:space="0" w:color="auto"/>
                <w:bottom w:val="none" w:sz="0" w:space="0" w:color="auto"/>
                <w:right w:val="none" w:sz="0" w:space="0" w:color="auto"/>
                <w:bar w:val="none" w:sz="0" w:color="auto"/>
              </w:pBdr>
              <w:jc w:val="center"/>
              <w:rPr>
                <w:rFonts w:ascii="Cambria" w:hAnsi="Cambria"/>
                <w:b/>
                <w:bCs/>
                <w:color w:val="FFFFFF"/>
                <w:sz w:val="20"/>
                <w:szCs w:val="20"/>
              </w:rPr>
            </w:pPr>
            <w:r w:rsidRPr="003D4DF8">
              <w:rPr>
                <w:rFonts w:ascii="Cambria" w:hAnsi="Cambria"/>
                <w:b/>
                <w:color w:val="FFFFFF"/>
                <w:sz w:val="20"/>
                <w:szCs w:val="20"/>
              </w:rPr>
              <w:t>Notification of the petition to the State:</w:t>
            </w:r>
          </w:p>
        </w:tc>
        <w:tc>
          <w:tcPr>
            <w:tcW w:w="5760" w:type="dxa"/>
            <w:vAlign w:val="center"/>
          </w:tcPr>
          <w:p w:rsidR="001405E8" w:rsidRPr="003D4DF8" w:rsidRDefault="001405E8" w:rsidP="000C66CF">
            <w:pPr>
              <w:pBdr>
                <w:top w:val="none" w:sz="0" w:space="0" w:color="auto"/>
                <w:left w:val="none" w:sz="0" w:space="0" w:color="auto"/>
                <w:bottom w:val="none" w:sz="0" w:space="0" w:color="auto"/>
                <w:right w:val="none" w:sz="0" w:space="0" w:color="auto"/>
                <w:bar w:val="none" w:sz="0" w:color="auto"/>
              </w:pBdr>
              <w:jc w:val="both"/>
              <w:rPr>
                <w:rFonts w:ascii="Cambria" w:hAnsi="Cambria"/>
                <w:bCs/>
                <w:sz w:val="20"/>
                <w:szCs w:val="20"/>
              </w:rPr>
            </w:pPr>
            <w:r w:rsidRPr="003D4DF8">
              <w:rPr>
                <w:rFonts w:ascii="Cambria" w:hAnsi="Cambria"/>
                <w:bCs/>
                <w:sz w:val="20"/>
                <w:szCs w:val="20"/>
              </w:rPr>
              <w:t>February 19, 2013</w:t>
            </w:r>
          </w:p>
        </w:tc>
      </w:tr>
      <w:tr w:rsidR="001405E8" w:rsidRPr="003D4DF8" w:rsidTr="00D77EF6">
        <w:tc>
          <w:tcPr>
            <w:tcW w:w="3600" w:type="dxa"/>
            <w:shd w:val="clear" w:color="auto" w:fill="73BF43"/>
            <w:vAlign w:val="center"/>
          </w:tcPr>
          <w:p w:rsidR="001405E8" w:rsidRPr="003D4DF8" w:rsidRDefault="001405E8" w:rsidP="00046890">
            <w:pPr>
              <w:pBdr>
                <w:top w:val="none" w:sz="0" w:space="0" w:color="auto"/>
                <w:left w:val="none" w:sz="0" w:space="0" w:color="auto"/>
                <w:bottom w:val="none" w:sz="0" w:space="0" w:color="auto"/>
                <w:right w:val="none" w:sz="0" w:space="0" w:color="auto"/>
                <w:bar w:val="none" w:sz="0" w:color="auto"/>
              </w:pBdr>
              <w:jc w:val="center"/>
              <w:rPr>
                <w:rFonts w:ascii="Cambria" w:hAnsi="Cambria"/>
                <w:b/>
                <w:bCs/>
                <w:color w:val="FFFFFF"/>
                <w:sz w:val="20"/>
                <w:szCs w:val="20"/>
              </w:rPr>
            </w:pPr>
            <w:r w:rsidRPr="003D4DF8">
              <w:rPr>
                <w:rFonts w:ascii="Cambria" w:hAnsi="Cambria"/>
                <w:b/>
                <w:color w:val="FFFFFF"/>
                <w:sz w:val="20"/>
                <w:szCs w:val="20"/>
              </w:rPr>
              <w:t>State’s first response:</w:t>
            </w:r>
          </w:p>
        </w:tc>
        <w:tc>
          <w:tcPr>
            <w:tcW w:w="5760" w:type="dxa"/>
            <w:vAlign w:val="center"/>
          </w:tcPr>
          <w:p w:rsidR="001405E8" w:rsidRPr="003D4DF8" w:rsidRDefault="001405E8" w:rsidP="000C66CF">
            <w:pPr>
              <w:pBdr>
                <w:top w:val="none" w:sz="0" w:space="0" w:color="auto"/>
                <w:left w:val="none" w:sz="0" w:space="0" w:color="auto"/>
                <w:bottom w:val="none" w:sz="0" w:space="0" w:color="auto"/>
                <w:right w:val="none" w:sz="0" w:space="0" w:color="auto"/>
                <w:bar w:val="none" w:sz="0" w:color="auto"/>
              </w:pBdr>
              <w:jc w:val="both"/>
              <w:rPr>
                <w:rFonts w:ascii="Cambria" w:hAnsi="Cambria"/>
                <w:bCs/>
                <w:sz w:val="20"/>
                <w:szCs w:val="20"/>
              </w:rPr>
            </w:pPr>
            <w:r w:rsidRPr="003D4DF8">
              <w:rPr>
                <w:rFonts w:ascii="Cambria" w:hAnsi="Cambria"/>
                <w:bCs/>
                <w:sz w:val="20"/>
                <w:szCs w:val="20"/>
              </w:rPr>
              <w:t>November 20, 2013</w:t>
            </w:r>
          </w:p>
        </w:tc>
      </w:tr>
      <w:tr w:rsidR="001405E8" w:rsidRPr="003D4DF8" w:rsidTr="00D77EF6">
        <w:tc>
          <w:tcPr>
            <w:tcW w:w="3600" w:type="dxa"/>
            <w:shd w:val="clear" w:color="auto" w:fill="73BF43"/>
            <w:vAlign w:val="center"/>
          </w:tcPr>
          <w:p w:rsidR="001405E8" w:rsidRPr="003D4DF8" w:rsidRDefault="001405E8" w:rsidP="00046890">
            <w:pPr>
              <w:pBdr>
                <w:top w:val="none" w:sz="0" w:space="0" w:color="auto"/>
                <w:left w:val="none" w:sz="0" w:space="0" w:color="auto"/>
                <w:bottom w:val="none" w:sz="0" w:space="0" w:color="auto"/>
                <w:right w:val="none" w:sz="0" w:space="0" w:color="auto"/>
                <w:bar w:val="none" w:sz="0" w:color="auto"/>
              </w:pBdr>
              <w:jc w:val="center"/>
              <w:rPr>
                <w:rFonts w:ascii="Cambria" w:hAnsi="Cambria"/>
                <w:b/>
                <w:color w:val="FFFFFF"/>
                <w:sz w:val="20"/>
                <w:szCs w:val="20"/>
              </w:rPr>
            </w:pPr>
            <w:r w:rsidRPr="003D4DF8">
              <w:rPr>
                <w:rFonts w:ascii="Cambria" w:hAnsi="Cambria"/>
                <w:b/>
                <w:bCs/>
                <w:color w:val="FFFFFF"/>
                <w:sz w:val="20"/>
                <w:szCs w:val="20"/>
              </w:rPr>
              <w:t>Additional observations from the State</w:t>
            </w:r>
            <w:r w:rsidRPr="003D4DF8">
              <w:rPr>
                <w:rFonts w:ascii="Cambria" w:hAnsi="Cambria"/>
                <w:b/>
                <w:color w:val="FFFFFF"/>
                <w:sz w:val="20"/>
                <w:szCs w:val="20"/>
              </w:rPr>
              <w:t>:</w:t>
            </w:r>
          </w:p>
        </w:tc>
        <w:tc>
          <w:tcPr>
            <w:tcW w:w="5760" w:type="dxa"/>
            <w:vAlign w:val="center"/>
          </w:tcPr>
          <w:p w:rsidR="001405E8" w:rsidRPr="003D4DF8" w:rsidRDefault="001405E8" w:rsidP="000C66CF">
            <w:pPr>
              <w:pBdr>
                <w:top w:val="none" w:sz="0" w:space="0" w:color="auto"/>
                <w:left w:val="none" w:sz="0" w:space="0" w:color="auto"/>
                <w:bottom w:val="none" w:sz="0" w:space="0" w:color="auto"/>
                <w:right w:val="none" w:sz="0" w:space="0" w:color="auto"/>
                <w:bar w:val="none" w:sz="0" w:color="auto"/>
              </w:pBdr>
              <w:jc w:val="both"/>
              <w:rPr>
                <w:rFonts w:ascii="Cambria" w:hAnsi="Cambria"/>
                <w:bCs/>
                <w:sz w:val="20"/>
                <w:szCs w:val="20"/>
              </w:rPr>
            </w:pPr>
            <w:r w:rsidRPr="003D4DF8">
              <w:rPr>
                <w:rFonts w:ascii="Cambria" w:hAnsi="Cambria"/>
                <w:bCs/>
                <w:sz w:val="20"/>
                <w:szCs w:val="20"/>
              </w:rPr>
              <w:t>February 21, 2020</w:t>
            </w:r>
          </w:p>
        </w:tc>
      </w:tr>
      <w:tr w:rsidR="001405E8" w:rsidRPr="003D4DF8" w:rsidTr="00D77EF6">
        <w:tc>
          <w:tcPr>
            <w:tcW w:w="3600" w:type="dxa"/>
            <w:tcBorders>
              <w:bottom w:val="single" w:sz="4" w:space="0" w:color="auto"/>
            </w:tcBorders>
            <w:shd w:val="clear" w:color="auto" w:fill="73BF43"/>
            <w:vAlign w:val="center"/>
          </w:tcPr>
          <w:p w:rsidR="001405E8" w:rsidRPr="003D4DF8" w:rsidRDefault="001405E8" w:rsidP="00046890">
            <w:pPr>
              <w:pBdr>
                <w:top w:val="none" w:sz="0" w:space="0" w:color="auto"/>
                <w:left w:val="none" w:sz="0" w:space="0" w:color="auto"/>
                <w:bottom w:val="none" w:sz="0" w:space="0" w:color="auto"/>
                <w:right w:val="none" w:sz="0" w:space="0" w:color="auto"/>
                <w:bar w:val="none" w:sz="0" w:color="auto"/>
              </w:pBdr>
              <w:jc w:val="center"/>
              <w:rPr>
                <w:rFonts w:ascii="Cambria" w:hAnsi="Cambria"/>
                <w:b/>
                <w:color w:val="FFFFFF"/>
                <w:sz w:val="20"/>
                <w:szCs w:val="20"/>
              </w:rPr>
            </w:pPr>
            <w:r w:rsidRPr="003D4DF8">
              <w:rPr>
                <w:rFonts w:ascii="Cambria" w:hAnsi="Cambria"/>
                <w:b/>
                <w:bCs/>
                <w:color w:val="FFFFFF"/>
                <w:sz w:val="20"/>
                <w:szCs w:val="20"/>
              </w:rPr>
              <w:t>Notification of the possible archiving of the petition</w:t>
            </w:r>
            <w:r w:rsidRPr="003D4DF8">
              <w:rPr>
                <w:rFonts w:ascii="Cambria" w:hAnsi="Cambria"/>
                <w:b/>
                <w:color w:val="FFFFFF"/>
                <w:sz w:val="20"/>
                <w:szCs w:val="20"/>
              </w:rPr>
              <w:t>:</w:t>
            </w:r>
          </w:p>
        </w:tc>
        <w:tc>
          <w:tcPr>
            <w:tcW w:w="5760" w:type="dxa"/>
            <w:tcBorders>
              <w:bottom w:val="single" w:sz="4" w:space="0" w:color="auto"/>
            </w:tcBorders>
            <w:vAlign w:val="center"/>
          </w:tcPr>
          <w:p w:rsidR="001405E8" w:rsidRPr="003D4DF8" w:rsidRDefault="001405E8" w:rsidP="000C66CF">
            <w:pPr>
              <w:pBdr>
                <w:top w:val="none" w:sz="0" w:space="0" w:color="auto"/>
                <w:left w:val="none" w:sz="0" w:space="0" w:color="auto"/>
                <w:bottom w:val="none" w:sz="0" w:space="0" w:color="auto"/>
                <w:right w:val="none" w:sz="0" w:space="0" w:color="auto"/>
                <w:bar w:val="none" w:sz="0" w:color="auto"/>
              </w:pBdr>
              <w:jc w:val="both"/>
              <w:rPr>
                <w:rFonts w:ascii="Cambria" w:hAnsi="Cambria"/>
                <w:bCs/>
                <w:sz w:val="20"/>
                <w:szCs w:val="20"/>
              </w:rPr>
            </w:pPr>
            <w:r w:rsidRPr="003D4DF8">
              <w:rPr>
                <w:rFonts w:ascii="Cambria" w:hAnsi="Cambria"/>
                <w:bCs/>
                <w:sz w:val="20"/>
                <w:szCs w:val="20"/>
              </w:rPr>
              <w:t>May 26, 2017</w:t>
            </w:r>
            <w:r w:rsidRPr="003D4DF8">
              <w:rPr>
                <w:rStyle w:val="FootnoteReference"/>
                <w:rFonts w:ascii="Cambria" w:hAnsi="Cambria"/>
                <w:bCs/>
                <w:sz w:val="20"/>
                <w:szCs w:val="20"/>
              </w:rPr>
              <w:footnoteReference w:id="6"/>
            </w:r>
          </w:p>
        </w:tc>
      </w:tr>
    </w:tbl>
    <w:p w:rsidR="001405E8" w:rsidRPr="003D4DF8" w:rsidRDefault="001405E8" w:rsidP="000673D0">
      <w:pPr>
        <w:pBdr>
          <w:top w:val="none" w:sz="0" w:space="0" w:color="auto"/>
          <w:left w:val="none" w:sz="0" w:space="0" w:color="auto"/>
          <w:bottom w:val="none" w:sz="0" w:space="0" w:color="auto"/>
          <w:right w:val="none" w:sz="0" w:space="0" w:color="auto"/>
          <w:bar w:val="none" w:sz="0" w:color="auto"/>
        </w:pBdr>
        <w:spacing w:before="240" w:after="240"/>
        <w:ind w:firstLine="720"/>
        <w:jc w:val="both"/>
        <w:rPr>
          <w:rFonts w:ascii="Cambria" w:hAnsi="Cambria"/>
          <w:b/>
          <w:bCs/>
          <w:sz w:val="20"/>
          <w:szCs w:val="20"/>
        </w:rPr>
      </w:pPr>
      <w:r w:rsidRPr="003D4DF8">
        <w:rPr>
          <w:rFonts w:ascii="Cambria" w:hAnsi="Cambria"/>
          <w:b/>
          <w:bCs/>
          <w:sz w:val="20"/>
          <w:szCs w:val="20"/>
        </w:rPr>
        <w:t xml:space="preserve">III. </w:t>
      </w:r>
      <w:r w:rsidRPr="003D4DF8">
        <w:rPr>
          <w:rFonts w:ascii="Cambria" w:hAnsi="Cambria"/>
          <w:b/>
          <w:bCs/>
          <w:sz w:val="20"/>
          <w:szCs w:val="20"/>
        </w:rPr>
        <w:tab/>
        <w:t xml:space="preserve">COMPETENCE </w:t>
      </w: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3561"/>
        <w:gridCol w:w="5681"/>
      </w:tblGrid>
      <w:tr w:rsidR="001405E8" w:rsidRPr="003D4DF8" w:rsidTr="00D77EF6">
        <w:trPr>
          <w:cantSplit/>
        </w:trPr>
        <w:tc>
          <w:tcPr>
            <w:tcW w:w="3600" w:type="dxa"/>
            <w:tcBorders>
              <w:top w:val="single" w:sz="4" w:space="0" w:color="auto"/>
            </w:tcBorders>
            <w:shd w:val="clear" w:color="auto" w:fill="73BF43"/>
            <w:vAlign w:val="center"/>
          </w:tcPr>
          <w:p w:rsidR="001405E8" w:rsidRPr="003D4DF8" w:rsidRDefault="001405E8" w:rsidP="00BD56D6">
            <w:pPr>
              <w:pBdr>
                <w:top w:val="none" w:sz="0" w:space="0" w:color="auto"/>
                <w:left w:val="none" w:sz="0" w:space="0" w:color="auto"/>
                <w:bottom w:val="none" w:sz="0" w:space="0" w:color="auto"/>
                <w:right w:val="none" w:sz="0" w:space="0" w:color="auto"/>
                <w:bar w:val="none" w:sz="0" w:color="auto"/>
              </w:pBdr>
              <w:jc w:val="center"/>
              <w:rPr>
                <w:rFonts w:ascii="Cambria" w:hAnsi="Cambria"/>
                <w:b/>
                <w:bCs/>
                <w:i/>
                <w:color w:val="FFFFFF"/>
                <w:sz w:val="20"/>
                <w:szCs w:val="20"/>
              </w:rPr>
            </w:pPr>
            <w:r w:rsidRPr="003D4DF8">
              <w:rPr>
                <w:rFonts w:ascii="Cambria" w:hAnsi="Cambria"/>
                <w:b/>
                <w:bCs/>
                <w:color w:val="FFFFFF"/>
                <w:sz w:val="20"/>
                <w:szCs w:val="20"/>
              </w:rPr>
              <w:t>Competence</w:t>
            </w:r>
            <w:r w:rsidRPr="003D4DF8">
              <w:rPr>
                <w:rFonts w:ascii="Cambria" w:hAnsi="Cambria"/>
                <w:b/>
                <w:bCs/>
                <w:i/>
                <w:color w:val="FFFFFF"/>
                <w:sz w:val="20"/>
                <w:szCs w:val="20"/>
              </w:rPr>
              <w:t xml:space="preserve"> Ratione personae:</w:t>
            </w:r>
          </w:p>
        </w:tc>
        <w:tc>
          <w:tcPr>
            <w:tcW w:w="5760" w:type="dxa"/>
            <w:tcBorders>
              <w:top w:val="single" w:sz="4" w:space="0" w:color="auto"/>
            </w:tcBorders>
            <w:vAlign w:val="center"/>
          </w:tcPr>
          <w:p w:rsidR="001405E8" w:rsidRPr="003D4DF8" w:rsidRDefault="001405E8" w:rsidP="00E01A5E">
            <w:pPr>
              <w:pBdr>
                <w:top w:val="none" w:sz="0" w:space="0" w:color="auto"/>
                <w:left w:val="none" w:sz="0" w:space="0" w:color="auto"/>
                <w:bottom w:val="none" w:sz="0" w:space="0" w:color="auto"/>
                <w:right w:val="none" w:sz="0" w:space="0" w:color="auto"/>
                <w:bar w:val="none" w:sz="0" w:color="auto"/>
              </w:pBdr>
              <w:rPr>
                <w:rFonts w:ascii="Cambria" w:hAnsi="Cambria"/>
                <w:bCs/>
                <w:sz w:val="20"/>
                <w:szCs w:val="20"/>
              </w:rPr>
            </w:pPr>
            <w:r w:rsidRPr="003D4DF8">
              <w:rPr>
                <w:rFonts w:ascii="Cambria" w:hAnsi="Cambria"/>
                <w:bCs/>
                <w:sz w:val="20"/>
                <w:szCs w:val="20"/>
              </w:rPr>
              <w:t>Yes</w:t>
            </w:r>
          </w:p>
        </w:tc>
      </w:tr>
      <w:tr w:rsidR="001405E8" w:rsidRPr="003D4DF8" w:rsidTr="00D77EF6">
        <w:trPr>
          <w:cantSplit/>
        </w:trPr>
        <w:tc>
          <w:tcPr>
            <w:tcW w:w="3600" w:type="dxa"/>
            <w:shd w:val="clear" w:color="auto" w:fill="73BF43"/>
            <w:vAlign w:val="center"/>
          </w:tcPr>
          <w:p w:rsidR="001405E8" w:rsidRPr="003D4DF8" w:rsidRDefault="001405E8" w:rsidP="00BD56D6">
            <w:pPr>
              <w:pBdr>
                <w:top w:val="none" w:sz="0" w:space="0" w:color="auto"/>
                <w:left w:val="none" w:sz="0" w:space="0" w:color="auto"/>
                <w:bottom w:val="none" w:sz="0" w:space="0" w:color="auto"/>
                <w:right w:val="none" w:sz="0" w:space="0" w:color="auto"/>
                <w:bar w:val="none" w:sz="0" w:color="auto"/>
              </w:pBdr>
              <w:jc w:val="center"/>
              <w:rPr>
                <w:rFonts w:ascii="Cambria" w:hAnsi="Cambria"/>
                <w:b/>
                <w:bCs/>
                <w:color w:val="FFFFFF"/>
                <w:sz w:val="20"/>
                <w:szCs w:val="20"/>
              </w:rPr>
            </w:pPr>
            <w:r w:rsidRPr="003D4DF8">
              <w:rPr>
                <w:rFonts w:ascii="Cambria" w:hAnsi="Cambria"/>
                <w:b/>
                <w:bCs/>
                <w:color w:val="FFFFFF"/>
                <w:sz w:val="20"/>
                <w:szCs w:val="20"/>
              </w:rPr>
              <w:t>Competence</w:t>
            </w:r>
            <w:r w:rsidRPr="003D4DF8">
              <w:rPr>
                <w:rFonts w:ascii="Cambria" w:hAnsi="Cambria"/>
                <w:b/>
                <w:bCs/>
                <w:i/>
                <w:color w:val="FFFFFF"/>
                <w:sz w:val="20"/>
                <w:szCs w:val="20"/>
              </w:rPr>
              <w:t xml:space="preserve"> Ratione loci</w:t>
            </w:r>
            <w:r w:rsidRPr="003D4DF8">
              <w:rPr>
                <w:rFonts w:ascii="Cambria" w:hAnsi="Cambria"/>
                <w:b/>
                <w:bCs/>
                <w:color w:val="FFFFFF"/>
                <w:sz w:val="20"/>
                <w:szCs w:val="20"/>
              </w:rPr>
              <w:t>:</w:t>
            </w:r>
          </w:p>
        </w:tc>
        <w:tc>
          <w:tcPr>
            <w:tcW w:w="5760" w:type="dxa"/>
            <w:vAlign w:val="center"/>
          </w:tcPr>
          <w:p w:rsidR="001405E8" w:rsidRPr="003D4DF8" w:rsidRDefault="001405E8" w:rsidP="00E01A5E">
            <w:pPr>
              <w:pBdr>
                <w:top w:val="none" w:sz="0" w:space="0" w:color="auto"/>
                <w:left w:val="none" w:sz="0" w:space="0" w:color="auto"/>
                <w:bottom w:val="none" w:sz="0" w:space="0" w:color="auto"/>
                <w:right w:val="none" w:sz="0" w:space="0" w:color="auto"/>
                <w:bar w:val="none" w:sz="0" w:color="auto"/>
              </w:pBdr>
              <w:rPr>
                <w:rFonts w:ascii="Cambria" w:hAnsi="Cambria"/>
                <w:bCs/>
                <w:sz w:val="20"/>
                <w:szCs w:val="20"/>
              </w:rPr>
            </w:pPr>
            <w:r w:rsidRPr="003D4DF8">
              <w:rPr>
                <w:rFonts w:ascii="Cambria" w:hAnsi="Cambria"/>
                <w:bCs/>
                <w:sz w:val="20"/>
                <w:szCs w:val="20"/>
              </w:rPr>
              <w:t>Yes</w:t>
            </w:r>
          </w:p>
        </w:tc>
      </w:tr>
      <w:tr w:rsidR="001405E8" w:rsidRPr="003D4DF8" w:rsidTr="00D77EF6">
        <w:trPr>
          <w:cantSplit/>
        </w:trPr>
        <w:tc>
          <w:tcPr>
            <w:tcW w:w="3600" w:type="dxa"/>
            <w:shd w:val="clear" w:color="auto" w:fill="73BF43"/>
            <w:vAlign w:val="center"/>
          </w:tcPr>
          <w:p w:rsidR="001405E8" w:rsidRPr="003D4DF8" w:rsidRDefault="001405E8" w:rsidP="00BD56D6">
            <w:pPr>
              <w:pBdr>
                <w:top w:val="none" w:sz="0" w:space="0" w:color="auto"/>
                <w:left w:val="none" w:sz="0" w:space="0" w:color="auto"/>
                <w:bottom w:val="none" w:sz="0" w:space="0" w:color="auto"/>
                <w:right w:val="none" w:sz="0" w:space="0" w:color="auto"/>
                <w:bar w:val="none" w:sz="0" w:color="auto"/>
              </w:pBdr>
              <w:jc w:val="center"/>
              <w:rPr>
                <w:rFonts w:ascii="Cambria" w:hAnsi="Cambria"/>
                <w:b/>
                <w:bCs/>
                <w:color w:val="FFFFFF"/>
                <w:sz w:val="20"/>
                <w:szCs w:val="20"/>
              </w:rPr>
            </w:pPr>
            <w:r w:rsidRPr="003D4DF8">
              <w:rPr>
                <w:rFonts w:ascii="Cambria" w:hAnsi="Cambria"/>
                <w:b/>
                <w:bCs/>
                <w:color w:val="FFFFFF"/>
                <w:sz w:val="20"/>
                <w:szCs w:val="20"/>
              </w:rPr>
              <w:t>Competence</w:t>
            </w:r>
            <w:r w:rsidRPr="003D4DF8">
              <w:rPr>
                <w:rFonts w:ascii="Cambria" w:hAnsi="Cambria"/>
                <w:b/>
                <w:bCs/>
                <w:i/>
                <w:color w:val="FFFFFF"/>
                <w:sz w:val="20"/>
                <w:szCs w:val="20"/>
              </w:rPr>
              <w:t xml:space="preserve"> Ratione temporis</w:t>
            </w:r>
            <w:r w:rsidRPr="003D4DF8">
              <w:rPr>
                <w:rFonts w:ascii="Cambria" w:hAnsi="Cambria"/>
                <w:b/>
                <w:bCs/>
                <w:color w:val="FFFFFF"/>
                <w:sz w:val="20"/>
                <w:szCs w:val="20"/>
              </w:rPr>
              <w:t>:</w:t>
            </w:r>
          </w:p>
        </w:tc>
        <w:tc>
          <w:tcPr>
            <w:tcW w:w="5760" w:type="dxa"/>
            <w:vAlign w:val="center"/>
          </w:tcPr>
          <w:p w:rsidR="001405E8" w:rsidRPr="003D4DF8" w:rsidRDefault="001405E8" w:rsidP="00E01A5E">
            <w:pPr>
              <w:pBdr>
                <w:top w:val="none" w:sz="0" w:space="0" w:color="auto"/>
                <w:left w:val="none" w:sz="0" w:space="0" w:color="auto"/>
                <w:bottom w:val="none" w:sz="0" w:space="0" w:color="auto"/>
                <w:right w:val="none" w:sz="0" w:space="0" w:color="auto"/>
                <w:bar w:val="none" w:sz="0" w:color="auto"/>
              </w:pBdr>
              <w:rPr>
                <w:rFonts w:ascii="Cambria" w:hAnsi="Cambria"/>
                <w:bCs/>
                <w:sz w:val="20"/>
                <w:szCs w:val="20"/>
              </w:rPr>
            </w:pPr>
            <w:r w:rsidRPr="003D4DF8">
              <w:rPr>
                <w:rFonts w:ascii="Cambria" w:hAnsi="Cambria"/>
                <w:bCs/>
                <w:sz w:val="20"/>
                <w:szCs w:val="20"/>
              </w:rPr>
              <w:t>Yes</w:t>
            </w:r>
          </w:p>
        </w:tc>
      </w:tr>
      <w:tr w:rsidR="001405E8" w:rsidRPr="003D4DF8" w:rsidTr="00D77EF6">
        <w:trPr>
          <w:cantSplit/>
        </w:trPr>
        <w:tc>
          <w:tcPr>
            <w:tcW w:w="3600" w:type="dxa"/>
            <w:tcBorders>
              <w:bottom w:val="single" w:sz="4" w:space="0" w:color="auto"/>
            </w:tcBorders>
            <w:shd w:val="clear" w:color="auto" w:fill="73BF43"/>
            <w:vAlign w:val="center"/>
          </w:tcPr>
          <w:p w:rsidR="001405E8" w:rsidRPr="003D4DF8" w:rsidRDefault="001405E8" w:rsidP="00BD56D6">
            <w:pPr>
              <w:pBdr>
                <w:top w:val="none" w:sz="0" w:space="0" w:color="auto"/>
                <w:left w:val="none" w:sz="0" w:space="0" w:color="auto"/>
                <w:bottom w:val="none" w:sz="0" w:space="0" w:color="auto"/>
                <w:right w:val="none" w:sz="0" w:space="0" w:color="auto"/>
                <w:bar w:val="none" w:sz="0" w:color="auto"/>
              </w:pBdr>
              <w:jc w:val="center"/>
              <w:rPr>
                <w:rFonts w:ascii="Cambria" w:hAnsi="Cambria"/>
                <w:b/>
                <w:bCs/>
                <w:color w:val="FFFFFF"/>
                <w:sz w:val="20"/>
                <w:szCs w:val="20"/>
              </w:rPr>
            </w:pPr>
            <w:r w:rsidRPr="003D4DF8">
              <w:rPr>
                <w:rFonts w:ascii="Cambria" w:hAnsi="Cambria"/>
                <w:b/>
                <w:bCs/>
                <w:color w:val="FFFFFF"/>
                <w:sz w:val="20"/>
                <w:szCs w:val="20"/>
              </w:rPr>
              <w:t>Competence</w:t>
            </w:r>
            <w:r w:rsidRPr="003D4DF8">
              <w:rPr>
                <w:rFonts w:ascii="Cambria" w:hAnsi="Cambria"/>
                <w:b/>
                <w:bCs/>
                <w:i/>
                <w:color w:val="FFFFFF"/>
                <w:sz w:val="20"/>
                <w:szCs w:val="20"/>
              </w:rPr>
              <w:t xml:space="preserve"> Ratione materiae</w:t>
            </w:r>
            <w:r w:rsidRPr="003D4DF8">
              <w:rPr>
                <w:rFonts w:ascii="Cambria" w:hAnsi="Cambria"/>
                <w:b/>
                <w:bCs/>
                <w:color w:val="FFFFFF"/>
                <w:sz w:val="20"/>
                <w:szCs w:val="20"/>
              </w:rPr>
              <w:t>:</w:t>
            </w:r>
          </w:p>
        </w:tc>
        <w:tc>
          <w:tcPr>
            <w:tcW w:w="5760" w:type="dxa"/>
            <w:tcBorders>
              <w:bottom w:val="single" w:sz="4" w:space="0" w:color="auto"/>
            </w:tcBorders>
            <w:vAlign w:val="center"/>
          </w:tcPr>
          <w:p w:rsidR="001405E8" w:rsidRPr="003D4DF8" w:rsidRDefault="001405E8" w:rsidP="000C66CF">
            <w:pPr>
              <w:pBdr>
                <w:top w:val="none" w:sz="0" w:space="0" w:color="auto"/>
                <w:left w:val="none" w:sz="0" w:space="0" w:color="auto"/>
                <w:bottom w:val="none" w:sz="0" w:space="0" w:color="auto"/>
                <w:right w:val="none" w:sz="0" w:space="0" w:color="auto"/>
                <w:bar w:val="none" w:sz="0" w:color="auto"/>
              </w:pBdr>
              <w:jc w:val="both"/>
              <w:rPr>
                <w:rFonts w:ascii="Cambria" w:hAnsi="Cambria"/>
                <w:bCs/>
                <w:sz w:val="20"/>
                <w:szCs w:val="20"/>
              </w:rPr>
            </w:pPr>
            <w:r w:rsidRPr="003D4DF8">
              <w:rPr>
                <w:rFonts w:ascii="Cambria" w:hAnsi="Cambria"/>
                <w:bCs/>
                <w:sz w:val="20"/>
                <w:szCs w:val="20"/>
              </w:rPr>
              <w:t>Yes, the American Convention (instrument of ratification deposited on July 28, 1978</w:t>
            </w:r>
            <w:r w:rsidRPr="003D4DF8">
              <w:rPr>
                <w:rFonts w:ascii="Cambria" w:hAnsi="Cambria"/>
                <w:bCs/>
                <w:sz w:val="19"/>
                <w:szCs w:val="19"/>
              </w:rPr>
              <w:t>)</w:t>
            </w:r>
          </w:p>
        </w:tc>
      </w:tr>
    </w:tbl>
    <w:p w:rsidR="001405E8" w:rsidRPr="003D4DF8" w:rsidRDefault="001405E8" w:rsidP="000673D0">
      <w:pPr>
        <w:pBdr>
          <w:top w:val="none" w:sz="0" w:space="0" w:color="auto"/>
          <w:left w:val="none" w:sz="0" w:space="0" w:color="auto"/>
          <w:bottom w:val="none" w:sz="0" w:space="0" w:color="auto"/>
          <w:right w:val="none" w:sz="0" w:space="0" w:color="auto"/>
          <w:bar w:val="none" w:sz="0" w:color="auto"/>
        </w:pBdr>
        <w:spacing w:before="240" w:after="240"/>
        <w:ind w:firstLine="720"/>
        <w:jc w:val="both"/>
        <w:rPr>
          <w:rFonts w:ascii="Cambria" w:hAnsi="Cambria"/>
          <w:b/>
          <w:bCs/>
          <w:sz w:val="20"/>
          <w:szCs w:val="20"/>
        </w:rPr>
      </w:pPr>
      <w:r w:rsidRPr="003D4DF8">
        <w:rPr>
          <w:rFonts w:ascii="Cambria" w:hAnsi="Cambria"/>
          <w:b/>
          <w:bCs/>
          <w:sz w:val="20"/>
          <w:szCs w:val="20"/>
        </w:rPr>
        <w:t xml:space="preserve">IV. </w:t>
      </w:r>
      <w:r w:rsidRPr="003D4DF8">
        <w:rPr>
          <w:rFonts w:ascii="Cambria" w:hAnsi="Cambria"/>
          <w:b/>
          <w:bCs/>
          <w:sz w:val="20"/>
          <w:szCs w:val="20"/>
        </w:rPr>
        <w:tab/>
        <w:t xml:space="preserve">DUPLICATION OF PROCEDURES AND INTERNATIONAL </w:t>
      </w:r>
      <w:r w:rsidRPr="003D4DF8">
        <w:rPr>
          <w:rFonts w:ascii="Cambria" w:hAnsi="Cambria"/>
          <w:b/>
          <w:bCs/>
          <w:i/>
          <w:sz w:val="20"/>
          <w:szCs w:val="20"/>
        </w:rPr>
        <w:t>RES JUDICATA</w:t>
      </w:r>
      <w:r w:rsidRPr="003D4DF8">
        <w:rPr>
          <w:rFonts w:ascii="Cambria" w:hAnsi="Cambria"/>
          <w:b/>
          <w:bCs/>
          <w:sz w:val="20"/>
          <w:szCs w:val="20"/>
        </w:rPr>
        <w:t>, CHARACTERIZATION, EXHAUSTION OF DOMESTIC REMEDIES AND TIMELINESS OF THE PETITION</w:t>
      </w: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3564"/>
        <w:gridCol w:w="5678"/>
      </w:tblGrid>
      <w:tr w:rsidR="001405E8" w:rsidRPr="003D4DF8" w:rsidTr="00D77EF6">
        <w:trPr>
          <w:cantSplit/>
        </w:trPr>
        <w:tc>
          <w:tcPr>
            <w:tcW w:w="3600" w:type="dxa"/>
            <w:tcBorders>
              <w:top w:val="single" w:sz="4" w:space="0" w:color="auto"/>
            </w:tcBorders>
            <w:shd w:val="clear" w:color="auto" w:fill="73BF43"/>
            <w:vAlign w:val="center"/>
          </w:tcPr>
          <w:p w:rsidR="001405E8" w:rsidRPr="003D4DF8" w:rsidRDefault="001405E8" w:rsidP="00046890">
            <w:pPr>
              <w:pBdr>
                <w:top w:val="none" w:sz="0" w:space="0" w:color="auto"/>
                <w:left w:val="none" w:sz="0" w:space="0" w:color="auto"/>
                <w:bottom w:val="none" w:sz="0" w:space="0" w:color="auto"/>
                <w:right w:val="none" w:sz="0" w:space="0" w:color="auto"/>
                <w:bar w:val="none" w:sz="0" w:color="auto"/>
              </w:pBdr>
              <w:jc w:val="center"/>
              <w:rPr>
                <w:rFonts w:ascii="Cambria" w:hAnsi="Cambria"/>
                <w:b/>
                <w:bCs/>
                <w:color w:val="FFFFFF"/>
                <w:sz w:val="20"/>
                <w:szCs w:val="20"/>
              </w:rPr>
            </w:pPr>
            <w:r w:rsidRPr="003D4DF8">
              <w:rPr>
                <w:rFonts w:ascii="Cambria" w:hAnsi="Cambria"/>
                <w:b/>
                <w:bCs/>
                <w:color w:val="FFFFFF"/>
                <w:sz w:val="20"/>
                <w:szCs w:val="20"/>
              </w:rPr>
              <w:t xml:space="preserve">Duplication of procedures and International </w:t>
            </w:r>
            <w:r w:rsidRPr="003D4DF8">
              <w:rPr>
                <w:rFonts w:ascii="Cambria" w:hAnsi="Cambria"/>
                <w:b/>
                <w:bCs/>
                <w:i/>
                <w:color w:val="FFFFFF"/>
                <w:sz w:val="20"/>
                <w:szCs w:val="20"/>
              </w:rPr>
              <w:t>res judicata</w:t>
            </w:r>
            <w:r w:rsidRPr="003D4DF8">
              <w:rPr>
                <w:rFonts w:ascii="Cambria" w:hAnsi="Cambria"/>
                <w:b/>
                <w:bCs/>
                <w:color w:val="FFFFFF"/>
                <w:sz w:val="20"/>
                <w:szCs w:val="20"/>
              </w:rPr>
              <w:t>:</w:t>
            </w:r>
          </w:p>
        </w:tc>
        <w:tc>
          <w:tcPr>
            <w:tcW w:w="5760" w:type="dxa"/>
            <w:tcBorders>
              <w:top w:val="single" w:sz="4" w:space="0" w:color="auto"/>
            </w:tcBorders>
            <w:vAlign w:val="center"/>
          </w:tcPr>
          <w:p w:rsidR="001405E8" w:rsidRPr="003D4DF8" w:rsidRDefault="001405E8" w:rsidP="00046890">
            <w:pPr>
              <w:pBdr>
                <w:top w:val="none" w:sz="0" w:space="0" w:color="auto"/>
                <w:left w:val="none" w:sz="0" w:space="0" w:color="auto"/>
                <w:bottom w:val="none" w:sz="0" w:space="0" w:color="auto"/>
                <w:right w:val="none" w:sz="0" w:space="0" w:color="auto"/>
                <w:bar w:val="none" w:sz="0" w:color="auto"/>
              </w:pBdr>
              <w:jc w:val="both"/>
              <w:rPr>
                <w:rFonts w:ascii="Cambria" w:hAnsi="Cambria"/>
                <w:bCs/>
                <w:sz w:val="20"/>
                <w:szCs w:val="20"/>
              </w:rPr>
            </w:pPr>
            <w:r w:rsidRPr="003D4DF8">
              <w:rPr>
                <w:rFonts w:ascii="Cambria" w:hAnsi="Cambria"/>
                <w:bCs/>
                <w:sz w:val="20"/>
                <w:szCs w:val="20"/>
              </w:rPr>
              <w:t>No</w:t>
            </w:r>
          </w:p>
        </w:tc>
      </w:tr>
      <w:tr w:rsidR="001405E8" w:rsidRPr="003D4DF8" w:rsidTr="00D77EF6">
        <w:trPr>
          <w:cantSplit/>
        </w:trPr>
        <w:tc>
          <w:tcPr>
            <w:tcW w:w="3600" w:type="dxa"/>
            <w:tcBorders>
              <w:top w:val="single" w:sz="4" w:space="0" w:color="auto"/>
            </w:tcBorders>
            <w:shd w:val="clear" w:color="auto" w:fill="73BF43"/>
            <w:vAlign w:val="center"/>
          </w:tcPr>
          <w:p w:rsidR="001405E8" w:rsidRPr="003D4DF8" w:rsidRDefault="001405E8" w:rsidP="00046890">
            <w:pPr>
              <w:pBdr>
                <w:top w:val="none" w:sz="0" w:space="0" w:color="auto"/>
                <w:left w:val="none" w:sz="0" w:space="0" w:color="auto"/>
                <w:bottom w:val="none" w:sz="0" w:space="0" w:color="auto"/>
                <w:right w:val="none" w:sz="0" w:space="0" w:color="auto"/>
                <w:bar w:val="none" w:sz="0" w:color="auto"/>
              </w:pBdr>
              <w:jc w:val="center"/>
              <w:rPr>
                <w:rFonts w:ascii="Cambria" w:hAnsi="Cambria"/>
                <w:b/>
                <w:bCs/>
                <w:i/>
                <w:color w:val="FFFFFF"/>
                <w:sz w:val="20"/>
                <w:szCs w:val="20"/>
              </w:rPr>
            </w:pPr>
            <w:r w:rsidRPr="003D4DF8">
              <w:rPr>
                <w:rFonts w:ascii="Cambria" w:hAnsi="Cambria"/>
                <w:b/>
                <w:bCs/>
                <w:color w:val="FFFFFF"/>
                <w:sz w:val="20"/>
                <w:szCs w:val="20"/>
              </w:rPr>
              <w:t>Rights declared admissible</w:t>
            </w:r>
            <w:r w:rsidRPr="003D4DF8">
              <w:rPr>
                <w:rFonts w:ascii="Cambria" w:hAnsi="Cambria"/>
                <w:b/>
                <w:bCs/>
                <w:i/>
                <w:color w:val="FFFFFF"/>
                <w:sz w:val="20"/>
                <w:szCs w:val="20"/>
              </w:rPr>
              <w:t>:</w:t>
            </w:r>
          </w:p>
        </w:tc>
        <w:tc>
          <w:tcPr>
            <w:tcW w:w="5760" w:type="dxa"/>
            <w:vAlign w:val="center"/>
          </w:tcPr>
          <w:p w:rsidR="001405E8" w:rsidRPr="003D4DF8" w:rsidRDefault="001405E8" w:rsidP="000C66CF">
            <w:pPr>
              <w:pBdr>
                <w:top w:val="none" w:sz="0" w:space="0" w:color="auto"/>
                <w:left w:val="none" w:sz="0" w:space="0" w:color="auto"/>
                <w:bottom w:val="none" w:sz="0" w:space="0" w:color="auto"/>
                <w:right w:val="none" w:sz="0" w:space="0" w:color="auto"/>
                <w:bar w:val="none" w:sz="0" w:color="auto"/>
              </w:pBdr>
              <w:jc w:val="both"/>
              <w:rPr>
                <w:rFonts w:ascii="Cambria" w:hAnsi="Cambria"/>
                <w:bCs/>
                <w:sz w:val="20"/>
                <w:szCs w:val="20"/>
              </w:rPr>
            </w:pPr>
            <w:r w:rsidRPr="003D4DF8">
              <w:rPr>
                <w:rFonts w:ascii="Cambria" w:hAnsi="Cambria"/>
                <w:bCs/>
                <w:sz w:val="20"/>
                <w:szCs w:val="20"/>
              </w:rPr>
              <w:t>None</w:t>
            </w:r>
          </w:p>
        </w:tc>
      </w:tr>
      <w:tr w:rsidR="001405E8" w:rsidRPr="003D4DF8" w:rsidTr="00D77EF6">
        <w:trPr>
          <w:cantSplit/>
        </w:trPr>
        <w:tc>
          <w:tcPr>
            <w:tcW w:w="3600" w:type="dxa"/>
            <w:shd w:val="clear" w:color="auto" w:fill="73BF43"/>
            <w:vAlign w:val="center"/>
          </w:tcPr>
          <w:p w:rsidR="001405E8" w:rsidRPr="003D4DF8" w:rsidRDefault="001405E8" w:rsidP="00046890">
            <w:pPr>
              <w:pBdr>
                <w:top w:val="none" w:sz="0" w:space="0" w:color="auto"/>
                <w:left w:val="none" w:sz="0" w:space="0" w:color="auto"/>
                <w:bottom w:val="none" w:sz="0" w:space="0" w:color="auto"/>
                <w:right w:val="none" w:sz="0" w:space="0" w:color="auto"/>
                <w:bar w:val="none" w:sz="0" w:color="auto"/>
              </w:pBdr>
              <w:jc w:val="center"/>
              <w:rPr>
                <w:rFonts w:ascii="Cambria" w:hAnsi="Cambria"/>
                <w:b/>
                <w:bCs/>
                <w:color w:val="FFFFFF"/>
                <w:sz w:val="20"/>
                <w:szCs w:val="20"/>
              </w:rPr>
            </w:pPr>
            <w:r w:rsidRPr="003D4DF8">
              <w:rPr>
                <w:rFonts w:ascii="Cambria" w:hAnsi="Cambria"/>
                <w:b/>
                <w:bCs/>
                <w:color w:val="FFFFFF"/>
                <w:sz w:val="20"/>
                <w:szCs w:val="20"/>
              </w:rPr>
              <w:t>Exhaustion of domestic remedies or applicability of an exception to the rule:</w:t>
            </w:r>
          </w:p>
        </w:tc>
        <w:tc>
          <w:tcPr>
            <w:tcW w:w="5760" w:type="dxa"/>
            <w:vAlign w:val="center"/>
          </w:tcPr>
          <w:p w:rsidR="001405E8" w:rsidRPr="003D4DF8" w:rsidRDefault="001405E8" w:rsidP="00FF74E2">
            <w:pPr>
              <w:pBdr>
                <w:top w:val="none" w:sz="0" w:space="0" w:color="auto"/>
                <w:left w:val="none" w:sz="0" w:space="0" w:color="auto"/>
                <w:bottom w:val="none" w:sz="0" w:space="0" w:color="auto"/>
                <w:right w:val="none" w:sz="0" w:space="0" w:color="auto"/>
                <w:bar w:val="none" w:sz="0" w:color="auto"/>
              </w:pBdr>
              <w:rPr>
                <w:rFonts w:ascii="Cambria" w:hAnsi="Cambria"/>
                <w:bCs/>
                <w:sz w:val="20"/>
                <w:szCs w:val="20"/>
              </w:rPr>
            </w:pPr>
            <w:r w:rsidRPr="003D4DF8">
              <w:rPr>
                <w:rFonts w:ascii="Cambria" w:hAnsi="Cambria"/>
                <w:bCs/>
                <w:sz w:val="20"/>
                <w:szCs w:val="20"/>
              </w:rPr>
              <w:t>No, in keeping with Section VI</w:t>
            </w:r>
          </w:p>
        </w:tc>
      </w:tr>
      <w:tr w:rsidR="001405E8" w:rsidRPr="003D4DF8" w:rsidTr="00D77EF6">
        <w:trPr>
          <w:cantSplit/>
        </w:trPr>
        <w:tc>
          <w:tcPr>
            <w:tcW w:w="3600" w:type="dxa"/>
            <w:tcBorders>
              <w:bottom w:val="single" w:sz="4" w:space="0" w:color="auto"/>
            </w:tcBorders>
            <w:shd w:val="clear" w:color="auto" w:fill="73BF43"/>
            <w:vAlign w:val="center"/>
          </w:tcPr>
          <w:p w:rsidR="001405E8" w:rsidRPr="003D4DF8" w:rsidRDefault="001405E8" w:rsidP="009433A6">
            <w:pPr>
              <w:pBdr>
                <w:top w:val="none" w:sz="0" w:space="0" w:color="auto"/>
                <w:left w:val="none" w:sz="0" w:space="0" w:color="auto"/>
                <w:bottom w:val="none" w:sz="0" w:space="0" w:color="auto"/>
                <w:right w:val="none" w:sz="0" w:space="0" w:color="auto"/>
                <w:bar w:val="none" w:sz="0" w:color="auto"/>
              </w:pBdr>
              <w:jc w:val="center"/>
              <w:rPr>
                <w:rFonts w:ascii="Cambria" w:hAnsi="Cambria"/>
                <w:b/>
                <w:bCs/>
                <w:color w:val="FFFFFF"/>
                <w:sz w:val="20"/>
                <w:szCs w:val="20"/>
              </w:rPr>
            </w:pPr>
            <w:r w:rsidRPr="003D4DF8">
              <w:rPr>
                <w:rFonts w:ascii="Cambria" w:hAnsi="Cambria"/>
                <w:b/>
                <w:bCs/>
                <w:color w:val="FFFFFF"/>
                <w:sz w:val="20"/>
                <w:szCs w:val="20"/>
              </w:rPr>
              <w:t>Timeliness of the petition:</w:t>
            </w:r>
          </w:p>
        </w:tc>
        <w:tc>
          <w:tcPr>
            <w:tcW w:w="5760" w:type="dxa"/>
            <w:tcBorders>
              <w:bottom w:val="single" w:sz="4" w:space="0" w:color="auto"/>
            </w:tcBorders>
            <w:vAlign w:val="center"/>
          </w:tcPr>
          <w:p w:rsidR="001405E8" w:rsidRPr="003D4DF8" w:rsidRDefault="001405E8" w:rsidP="00FF74E2">
            <w:pPr>
              <w:pBdr>
                <w:top w:val="none" w:sz="0" w:space="0" w:color="auto"/>
                <w:left w:val="none" w:sz="0" w:space="0" w:color="auto"/>
                <w:bottom w:val="none" w:sz="0" w:space="0" w:color="auto"/>
                <w:right w:val="none" w:sz="0" w:space="0" w:color="auto"/>
                <w:bar w:val="none" w:sz="0" w:color="auto"/>
              </w:pBdr>
              <w:rPr>
                <w:rFonts w:ascii="Cambria" w:hAnsi="Cambria"/>
                <w:bCs/>
                <w:sz w:val="20"/>
                <w:szCs w:val="20"/>
              </w:rPr>
            </w:pPr>
            <w:r w:rsidRPr="003D4DF8">
              <w:rPr>
                <w:rFonts w:ascii="Cambria" w:hAnsi="Cambria"/>
                <w:bCs/>
                <w:sz w:val="20"/>
                <w:szCs w:val="20"/>
              </w:rPr>
              <w:t>No, in keeping with Section VI</w:t>
            </w:r>
          </w:p>
        </w:tc>
      </w:tr>
    </w:tbl>
    <w:p w:rsidR="001405E8" w:rsidRPr="003D4DF8" w:rsidRDefault="001405E8" w:rsidP="003239B8">
      <w:pPr>
        <w:pBdr>
          <w:top w:val="none" w:sz="0" w:space="0" w:color="auto"/>
          <w:left w:val="none" w:sz="0" w:space="0" w:color="auto"/>
          <w:bottom w:val="none" w:sz="0" w:space="0" w:color="auto"/>
          <w:right w:val="none" w:sz="0" w:space="0" w:color="auto"/>
          <w:bar w:val="none" w:sz="0" w:color="auto"/>
        </w:pBdr>
        <w:spacing w:before="240" w:after="240"/>
        <w:ind w:firstLine="720"/>
        <w:jc w:val="both"/>
        <w:rPr>
          <w:rFonts w:ascii="Cambria" w:hAnsi="Cambria"/>
          <w:b/>
          <w:sz w:val="20"/>
          <w:szCs w:val="20"/>
        </w:rPr>
      </w:pPr>
      <w:r w:rsidRPr="003D4DF8">
        <w:rPr>
          <w:rFonts w:ascii="Cambria" w:hAnsi="Cambria"/>
          <w:b/>
          <w:sz w:val="20"/>
          <w:szCs w:val="20"/>
        </w:rPr>
        <w:t xml:space="preserve">V. </w:t>
      </w:r>
      <w:r w:rsidRPr="003D4DF8">
        <w:rPr>
          <w:rFonts w:ascii="Cambria" w:hAnsi="Cambria"/>
          <w:b/>
          <w:sz w:val="20"/>
          <w:szCs w:val="20"/>
        </w:rPr>
        <w:tab/>
        <w:t xml:space="preserve">FACTS ALLEGED </w:t>
      </w:r>
    </w:p>
    <w:p w:rsidR="001405E8" w:rsidRPr="008B6E85" w:rsidRDefault="001405E8" w:rsidP="000673D0">
      <w:pPr>
        <w:numPr>
          <w:ilvl w:val="0"/>
          <w:numId w:val="103"/>
        </w:numPr>
        <w:pBdr>
          <w:top w:val="none" w:sz="0" w:space="0" w:color="auto"/>
          <w:left w:val="none" w:sz="0" w:space="0" w:color="auto"/>
          <w:bottom w:val="none" w:sz="0" w:space="0" w:color="auto"/>
          <w:right w:val="none" w:sz="0" w:space="0" w:color="auto"/>
          <w:bar w:val="none" w:sz="0" w:color="auto"/>
        </w:pBdr>
        <w:suppressAutoHyphens/>
        <w:spacing w:after="240"/>
        <w:jc w:val="both"/>
        <w:rPr>
          <w:rFonts w:ascii="Cambria" w:hAnsi="Cambria"/>
          <w:sz w:val="20"/>
          <w:szCs w:val="20"/>
        </w:rPr>
      </w:pPr>
      <w:r w:rsidRPr="008B6E85">
        <w:rPr>
          <w:rFonts w:ascii="Cambria" w:hAnsi="Cambria"/>
          <w:sz w:val="20"/>
          <w:szCs w:val="20"/>
        </w:rPr>
        <w:t xml:space="preserve">Jorge Eduardo Pérez Gómez (hereinafter “the petitioner”) denounces that his human rights were violated by an unconstitutional government which dismissed him from his post as a criminal court judge without any justification and no possibility of appealing this decision. The petitioner adds that a law was subsequently issued allowing former judicial officials who had been dismissed in circumstances similar to his to be reinstated, subject to an evaluation process by the </w:t>
      </w:r>
      <w:r w:rsidRPr="008B6E85">
        <w:rPr>
          <w:rFonts w:ascii="Cambria" w:hAnsi="Cambria"/>
          <w:i/>
          <w:sz w:val="20"/>
          <w:szCs w:val="20"/>
        </w:rPr>
        <w:t>Consejo Nacional de la Magistratura</w:t>
      </w:r>
      <w:r w:rsidRPr="008B6E85">
        <w:rPr>
          <w:rFonts w:ascii="Cambria" w:hAnsi="Cambria"/>
          <w:sz w:val="20"/>
          <w:szCs w:val="20"/>
        </w:rPr>
        <w:t xml:space="preserve"> [National Judiciary </w:t>
      </w:r>
      <w:r w:rsidRPr="008B6E85">
        <w:rPr>
          <w:rFonts w:ascii="Cambria" w:hAnsi="Cambria"/>
          <w:sz w:val="20"/>
          <w:szCs w:val="20"/>
        </w:rPr>
        <w:lastRenderedPageBreak/>
        <w:t xml:space="preserve">Council] (CNM); however, the CNM decided not to reinstate him—a decision made without due process or justification. </w:t>
      </w:r>
    </w:p>
    <w:p w:rsidR="001405E8" w:rsidRPr="008B6E85" w:rsidRDefault="001405E8" w:rsidP="000673D0">
      <w:pPr>
        <w:numPr>
          <w:ilvl w:val="0"/>
          <w:numId w:val="103"/>
        </w:numPr>
        <w:pBdr>
          <w:top w:val="none" w:sz="0" w:space="0" w:color="auto"/>
          <w:left w:val="none" w:sz="0" w:space="0" w:color="auto"/>
          <w:bottom w:val="none" w:sz="0" w:space="0" w:color="auto"/>
          <w:right w:val="none" w:sz="0" w:space="0" w:color="auto"/>
          <w:bar w:val="none" w:sz="0" w:color="auto"/>
        </w:pBdr>
        <w:suppressAutoHyphens/>
        <w:spacing w:after="240"/>
        <w:jc w:val="both"/>
        <w:rPr>
          <w:rFonts w:ascii="Cambria" w:hAnsi="Cambria"/>
          <w:sz w:val="20"/>
          <w:szCs w:val="20"/>
        </w:rPr>
      </w:pPr>
      <w:r w:rsidRPr="008B6E85">
        <w:rPr>
          <w:rFonts w:ascii="Cambria" w:hAnsi="Cambria"/>
          <w:sz w:val="20"/>
          <w:szCs w:val="20"/>
        </w:rPr>
        <w:t>The petitioner recounts that on June 19, 1990, he was appointed as a Regular Judge to the Criminal Sentencing Court of the Judicial District of Tacna and Moquegua after obtaining a post via public competition. He states that he held that post until June 15, 1992, when he was dismissed in keeping with a decree law issued by the National Emergency and Reconstruction Government that he characterizes as unconstitutional and self-designated. The petitioner points out that in 2001 the Congress of the Republic issued Law No. 27433, which recognized that several judges had been dismissed without justification or access to real and effective judicial protection and provided that they be reinstated, subject to evaluation of the CNM. He alleges that on September 26, 2001, the CNM issued a decision not to reinstate him that violated the standards of due process inasmuch as said administrative decision was not duly substantiated.</w:t>
      </w:r>
    </w:p>
    <w:p w:rsidR="001405E8" w:rsidRPr="008B6E85" w:rsidRDefault="001405E8" w:rsidP="000673D0">
      <w:pPr>
        <w:numPr>
          <w:ilvl w:val="0"/>
          <w:numId w:val="103"/>
        </w:numPr>
        <w:pBdr>
          <w:top w:val="none" w:sz="0" w:space="0" w:color="auto"/>
          <w:left w:val="none" w:sz="0" w:space="0" w:color="auto"/>
          <w:bottom w:val="none" w:sz="0" w:space="0" w:color="auto"/>
          <w:right w:val="none" w:sz="0" w:space="0" w:color="auto"/>
          <w:bar w:val="none" w:sz="0" w:color="auto"/>
        </w:pBdr>
        <w:suppressAutoHyphens/>
        <w:spacing w:after="240"/>
        <w:jc w:val="both"/>
        <w:rPr>
          <w:rFonts w:ascii="Cambria" w:hAnsi="Cambria"/>
          <w:sz w:val="20"/>
          <w:szCs w:val="20"/>
        </w:rPr>
      </w:pPr>
      <w:r w:rsidRPr="008B6E85">
        <w:rPr>
          <w:rFonts w:ascii="Cambria" w:hAnsi="Cambria"/>
          <w:sz w:val="20"/>
          <w:szCs w:val="20"/>
        </w:rPr>
        <w:t xml:space="preserve">He adds that on March 15, 2003, the Constitutional Court published a judgment declaring the unconstitutionality of Articles 3 and 4 of Law No. 27433 that established the CNM’s evaluation as a requirement for reinstating judges who had been arbitrarily dismissed from their posts. Given this ruling on the provisions’ unconstitutionality, the petitioner considers that Article 2 of said Law, which orders the reinstatement of the judges dismissed, must be complied with. </w:t>
      </w:r>
    </w:p>
    <w:p w:rsidR="001405E8" w:rsidRPr="008B6E85" w:rsidRDefault="001405E8" w:rsidP="000673D0">
      <w:pPr>
        <w:numPr>
          <w:ilvl w:val="0"/>
          <w:numId w:val="103"/>
        </w:numPr>
        <w:pBdr>
          <w:top w:val="none" w:sz="0" w:space="0" w:color="auto"/>
          <w:left w:val="none" w:sz="0" w:space="0" w:color="auto"/>
          <w:bottom w:val="none" w:sz="0" w:space="0" w:color="auto"/>
          <w:right w:val="none" w:sz="0" w:space="0" w:color="auto"/>
          <w:bar w:val="none" w:sz="0" w:color="auto"/>
        </w:pBdr>
        <w:suppressAutoHyphens/>
        <w:spacing w:after="240"/>
        <w:jc w:val="both"/>
        <w:rPr>
          <w:rFonts w:ascii="Cambria" w:hAnsi="Cambria"/>
          <w:sz w:val="20"/>
          <w:szCs w:val="20"/>
        </w:rPr>
      </w:pPr>
      <w:r w:rsidRPr="008B6E85">
        <w:rPr>
          <w:rFonts w:ascii="Cambria" w:hAnsi="Cambria"/>
          <w:sz w:val="20"/>
          <w:szCs w:val="20"/>
        </w:rPr>
        <w:t xml:space="preserve">On March 6, 2003, the petitioner filed an </w:t>
      </w:r>
      <w:r w:rsidRPr="008B6E85">
        <w:rPr>
          <w:rFonts w:ascii="Cambria" w:hAnsi="Cambria"/>
          <w:i/>
          <w:sz w:val="20"/>
          <w:szCs w:val="20"/>
        </w:rPr>
        <w:t>amparo</w:t>
      </w:r>
      <w:r w:rsidRPr="008B6E85">
        <w:rPr>
          <w:rFonts w:ascii="Cambria" w:hAnsi="Cambria"/>
          <w:sz w:val="20"/>
          <w:szCs w:val="20"/>
        </w:rPr>
        <w:t xml:space="preserve"> appeal against CNM and the Supreme Court of the Republic in order to have the CNM’s decision not to reinstate him, as well as the measure to definitively dismiss him, overturned. He indicates that the </w:t>
      </w:r>
      <w:r w:rsidRPr="008B6E85">
        <w:rPr>
          <w:rFonts w:ascii="Cambria" w:hAnsi="Cambria"/>
          <w:i/>
          <w:sz w:val="20"/>
          <w:szCs w:val="20"/>
        </w:rPr>
        <w:t>amparo</w:t>
      </w:r>
      <w:r w:rsidRPr="008B6E85">
        <w:rPr>
          <w:rFonts w:ascii="Cambria" w:hAnsi="Cambria"/>
          <w:sz w:val="20"/>
          <w:szCs w:val="20"/>
        </w:rPr>
        <w:t xml:space="preserve"> was upheld on September 30, 2004, by the 65</w:t>
      </w:r>
      <w:r w:rsidRPr="008B6E85">
        <w:rPr>
          <w:rFonts w:ascii="Cambria" w:hAnsi="Cambria"/>
          <w:sz w:val="20"/>
          <w:szCs w:val="20"/>
          <w:vertAlign w:val="superscript"/>
        </w:rPr>
        <w:t>th</w:t>
      </w:r>
      <w:r w:rsidRPr="008B6E85">
        <w:rPr>
          <w:rFonts w:ascii="Cambria" w:hAnsi="Cambria"/>
          <w:sz w:val="20"/>
          <w:szCs w:val="20"/>
        </w:rPr>
        <w:t xml:space="preserve"> Civil Chamber of the Superior Court of Lima, which order his reinstatement as a judge. However, the judgment in his favor was challenged by the respondents and on March 26, 2006, the 3</w:t>
      </w:r>
      <w:r w:rsidRPr="008B6E85">
        <w:rPr>
          <w:rFonts w:ascii="Cambria" w:hAnsi="Cambria"/>
          <w:sz w:val="20"/>
          <w:szCs w:val="20"/>
          <w:vertAlign w:val="superscript"/>
        </w:rPr>
        <w:t>rd</w:t>
      </w:r>
      <w:r w:rsidRPr="008B6E85">
        <w:rPr>
          <w:rFonts w:ascii="Cambria" w:hAnsi="Cambria"/>
          <w:sz w:val="20"/>
          <w:szCs w:val="20"/>
        </w:rPr>
        <w:t xml:space="preserve"> Civil Chamber of the Superior Court of Justice of Lima reversed the first-instance decision. The 3</w:t>
      </w:r>
      <w:r w:rsidRPr="008B6E85">
        <w:rPr>
          <w:rFonts w:ascii="Cambria" w:hAnsi="Cambria"/>
          <w:sz w:val="20"/>
          <w:szCs w:val="20"/>
          <w:vertAlign w:val="superscript"/>
        </w:rPr>
        <w:t>rd</w:t>
      </w:r>
      <w:r w:rsidRPr="008B6E85">
        <w:rPr>
          <w:rFonts w:ascii="Cambria" w:hAnsi="Cambria"/>
          <w:sz w:val="20"/>
          <w:szCs w:val="20"/>
        </w:rPr>
        <w:t xml:space="preserve"> Civil Chamber ruled that the </w:t>
      </w:r>
      <w:r w:rsidRPr="008B6E85">
        <w:rPr>
          <w:rFonts w:ascii="Cambria" w:hAnsi="Cambria"/>
          <w:i/>
          <w:sz w:val="20"/>
          <w:szCs w:val="20"/>
        </w:rPr>
        <w:t>amparo</w:t>
      </w:r>
      <w:r w:rsidRPr="008B6E85">
        <w:rPr>
          <w:rFonts w:ascii="Cambria" w:hAnsi="Cambria"/>
          <w:sz w:val="20"/>
          <w:szCs w:val="20"/>
        </w:rPr>
        <w:t xml:space="preserve"> appeal was inadmissible and provided that the claim needed to be redirected to the contentious administrative process. This decision was appealed by the petitioner on June 9, 2006, in a constitutional remedy (</w:t>
      </w:r>
      <w:r w:rsidRPr="008B6E85">
        <w:rPr>
          <w:rFonts w:ascii="Cambria" w:hAnsi="Cambria"/>
          <w:i/>
          <w:sz w:val="20"/>
          <w:szCs w:val="20"/>
        </w:rPr>
        <w:t>recurso de agravio constitucional</w:t>
      </w:r>
      <w:r w:rsidRPr="008B6E85">
        <w:rPr>
          <w:rFonts w:ascii="Cambria" w:hAnsi="Cambria"/>
          <w:sz w:val="20"/>
          <w:szCs w:val="20"/>
        </w:rPr>
        <w:t>); on September 20, 2006, the Constitutional Court upheld the appeal’s inadmissibility because the Court found that it had been presented out of time. The petitioner alleges that the Court acted improperly as the deadline of 60 working days to file began to run as of March 15, 2003, the date of publication of the Constitutional Court’s judgment ruling the evaluation requirement unconstitutional.</w:t>
      </w:r>
    </w:p>
    <w:p w:rsidR="001405E8" w:rsidRPr="008B6E85" w:rsidRDefault="001405E8" w:rsidP="000673D0">
      <w:pPr>
        <w:numPr>
          <w:ilvl w:val="0"/>
          <w:numId w:val="103"/>
        </w:numPr>
        <w:pBdr>
          <w:top w:val="none" w:sz="0" w:space="0" w:color="auto"/>
          <w:left w:val="none" w:sz="0" w:space="0" w:color="auto"/>
          <w:bottom w:val="none" w:sz="0" w:space="0" w:color="auto"/>
          <w:right w:val="none" w:sz="0" w:space="0" w:color="auto"/>
          <w:bar w:val="none" w:sz="0" w:color="auto"/>
        </w:pBdr>
        <w:suppressAutoHyphens/>
        <w:spacing w:after="240"/>
        <w:jc w:val="both"/>
        <w:rPr>
          <w:rFonts w:ascii="Cambria" w:hAnsi="Cambria"/>
          <w:sz w:val="20"/>
          <w:szCs w:val="20"/>
        </w:rPr>
      </w:pPr>
      <w:r w:rsidRPr="008B6E85">
        <w:rPr>
          <w:rFonts w:ascii="Cambria" w:hAnsi="Cambria"/>
          <w:sz w:val="20"/>
          <w:szCs w:val="20"/>
        </w:rPr>
        <w:t>The petitioner holds that domestic remedies were exhausted with the decision ruling his claim inadmissible, inasmuch as the Constitution stipulates that decisions of the Constitutional Court cannot be appealed. He further holds that his right to due process was violated because an erroneous date was used to calculate the filing deadline’s expiration. He also denounces the violation of his right to equal protection under the law, as all his colleagues arbitrarily dismissed by the illegitimate government have been reinstated except for him. He adds that once he became aware of the Constitutional Court’s decision, he met with the vice-president of the Court, who advised him to present a request for clarification of the decision, with the commitment to rectify the error committed. The Court, however, ruled the remedy for clarification unfounded, pursuant to its decision of February 16, 2007, which he was notified of on July 12, 2007.</w:t>
      </w:r>
    </w:p>
    <w:p w:rsidR="001405E8" w:rsidRPr="008B6E85" w:rsidRDefault="001405E8" w:rsidP="000673D0">
      <w:pPr>
        <w:numPr>
          <w:ilvl w:val="0"/>
          <w:numId w:val="103"/>
        </w:numPr>
        <w:pBdr>
          <w:top w:val="none" w:sz="0" w:space="0" w:color="auto"/>
          <w:left w:val="none" w:sz="0" w:space="0" w:color="auto"/>
          <w:bottom w:val="none" w:sz="0" w:space="0" w:color="auto"/>
          <w:right w:val="none" w:sz="0" w:space="0" w:color="auto"/>
          <w:bar w:val="none" w:sz="0" w:color="auto"/>
        </w:pBdr>
        <w:suppressAutoHyphens/>
        <w:spacing w:after="240"/>
        <w:jc w:val="both"/>
        <w:rPr>
          <w:rFonts w:ascii="Cambria" w:hAnsi="Cambria"/>
          <w:sz w:val="20"/>
          <w:szCs w:val="20"/>
        </w:rPr>
      </w:pPr>
      <w:r w:rsidRPr="008B6E85">
        <w:rPr>
          <w:rFonts w:ascii="Cambria" w:hAnsi="Cambria"/>
          <w:sz w:val="20"/>
          <w:szCs w:val="20"/>
        </w:rPr>
        <w:t>The State, for its part, considers that the petition is out of time and therefore should not be admitted in keeping with Article 46(1</w:t>
      </w:r>
      <w:proofErr w:type="gramStart"/>
      <w:r w:rsidRPr="008B6E85">
        <w:rPr>
          <w:rFonts w:ascii="Cambria" w:hAnsi="Cambria"/>
          <w:sz w:val="20"/>
          <w:szCs w:val="20"/>
        </w:rPr>
        <w:t>)(</w:t>
      </w:r>
      <w:proofErr w:type="gramEnd"/>
      <w:r w:rsidRPr="008B6E85">
        <w:rPr>
          <w:rFonts w:ascii="Cambria" w:hAnsi="Cambria"/>
          <w:sz w:val="20"/>
          <w:szCs w:val="20"/>
        </w:rPr>
        <w:t>b) of the American Convention. The State underscores that, according to the petitioner’s assertions, domestic remedies were exhausted with the decision of the Constitutional Court ruling that his claim was inadmissible. The State points out that said decision was dated September 20, 2006, and his petition was submitted on January 9, 2008, thus exceeding the 6-month time period provided for under Article 46(1</w:t>
      </w:r>
      <w:proofErr w:type="gramStart"/>
      <w:r w:rsidRPr="008B6E85">
        <w:rPr>
          <w:rFonts w:ascii="Cambria" w:hAnsi="Cambria"/>
          <w:sz w:val="20"/>
          <w:szCs w:val="20"/>
        </w:rPr>
        <w:t>)(</w:t>
      </w:r>
      <w:proofErr w:type="gramEnd"/>
      <w:r w:rsidRPr="008B6E85">
        <w:rPr>
          <w:rFonts w:ascii="Cambria" w:hAnsi="Cambria"/>
          <w:sz w:val="20"/>
          <w:szCs w:val="20"/>
        </w:rPr>
        <w:t>b) of the American Convention. The State also points out that none of the exceptions to exhaustion of domestic remedies provided for under Article 46(2) thereof are applicable to the petition.</w:t>
      </w:r>
    </w:p>
    <w:p w:rsidR="001405E8" w:rsidRPr="008B6E85" w:rsidRDefault="001405E8" w:rsidP="000673D0">
      <w:pPr>
        <w:numPr>
          <w:ilvl w:val="0"/>
          <w:numId w:val="103"/>
        </w:numPr>
        <w:pBdr>
          <w:top w:val="none" w:sz="0" w:space="0" w:color="auto"/>
          <w:left w:val="none" w:sz="0" w:space="0" w:color="auto"/>
          <w:bottom w:val="none" w:sz="0" w:space="0" w:color="auto"/>
          <w:right w:val="none" w:sz="0" w:space="0" w:color="auto"/>
          <w:bar w:val="none" w:sz="0" w:color="auto"/>
        </w:pBdr>
        <w:suppressAutoHyphens/>
        <w:spacing w:after="240"/>
        <w:jc w:val="both"/>
        <w:rPr>
          <w:rFonts w:ascii="Cambria" w:hAnsi="Cambria"/>
          <w:sz w:val="20"/>
          <w:szCs w:val="20"/>
        </w:rPr>
      </w:pPr>
      <w:r w:rsidRPr="008B6E85">
        <w:rPr>
          <w:rFonts w:ascii="Cambria" w:hAnsi="Cambria"/>
          <w:sz w:val="20"/>
          <w:szCs w:val="20"/>
        </w:rPr>
        <w:t xml:space="preserve">Additionally, the State alleges that the petitioner inappropriately seeks to have the Commission act as a higher court in order to conduct a new evaluation of what has already been decided in the domestic legal system. The State indicates that the petitioner brought his claims before a domestic court via an </w:t>
      </w:r>
      <w:r w:rsidRPr="008B6E85">
        <w:rPr>
          <w:rFonts w:ascii="Cambria" w:hAnsi="Cambria"/>
          <w:i/>
          <w:sz w:val="20"/>
          <w:szCs w:val="20"/>
        </w:rPr>
        <w:t>amparo</w:t>
      </w:r>
      <w:r w:rsidRPr="008B6E85">
        <w:rPr>
          <w:rFonts w:ascii="Cambria" w:hAnsi="Cambria"/>
          <w:sz w:val="20"/>
          <w:szCs w:val="20"/>
        </w:rPr>
        <w:t xml:space="preserve"> appeal that was rejected for being out of time in accordance with the deadline provided for under </w:t>
      </w:r>
      <w:r w:rsidRPr="008B6E85">
        <w:rPr>
          <w:rFonts w:ascii="Cambria" w:hAnsi="Cambria"/>
          <w:sz w:val="20"/>
          <w:szCs w:val="20"/>
        </w:rPr>
        <w:lastRenderedPageBreak/>
        <w:t>Article 44 of the Code of Constitutional Procedure</w:t>
      </w:r>
      <w:r w:rsidRPr="008B6E85">
        <w:rPr>
          <w:rStyle w:val="FootnoteReference"/>
          <w:rFonts w:ascii="Cambria" w:hAnsi="Cambria" w:cs="Calibri"/>
          <w:sz w:val="20"/>
          <w:szCs w:val="20"/>
        </w:rPr>
        <w:footnoteReference w:id="7"/>
      </w:r>
      <w:r w:rsidRPr="008B6E85">
        <w:rPr>
          <w:rFonts w:ascii="Cambria" w:hAnsi="Cambria"/>
          <w:sz w:val="20"/>
          <w:szCs w:val="20"/>
        </w:rPr>
        <w:t xml:space="preserve">  and the petitioner’s negligence cannot give rise to the State’s international responsibility. It has provided a copy of the Court’s decision that indicates that, although the deadline could not be counted as from the date of dismissal—inasmuch as the decree law used as a basis for the same prohibited filing an appeal—the deadline did run as from when the CNM issued its decision against his reinstatement. The State adds that the petitioner had access to all domestic legal remedies and the fact that decisions were not favorable to him did not mean they were a violation of the American Convention. The State underscores that on September 14, 2010, the petitioner filed an enforcement action [</w:t>
      </w:r>
      <w:r w:rsidRPr="008B6E85">
        <w:rPr>
          <w:rFonts w:ascii="Cambria" w:hAnsi="Cambria"/>
          <w:i/>
          <w:sz w:val="20"/>
          <w:szCs w:val="20"/>
        </w:rPr>
        <w:t>demanda de cumplimiento</w:t>
      </w:r>
      <w:r w:rsidRPr="008B6E85">
        <w:rPr>
          <w:rFonts w:ascii="Cambria" w:hAnsi="Cambria"/>
          <w:sz w:val="20"/>
          <w:szCs w:val="20"/>
        </w:rPr>
        <w:t xml:space="preserve">] against the CNM, which the Civil Chamber of the Superior Court of Justice of Tacna ruled inadmissible inasmuch as his claim had already been ruled on in the prior </w:t>
      </w:r>
      <w:r w:rsidRPr="008B6E85">
        <w:rPr>
          <w:rFonts w:ascii="Cambria" w:hAnsi="Cambria"/>
          <w:i/>
          <w:sz w:val="20"/>
          <w:szCs w:val="20"/>
        </w:rPr>
        <w:t>amparo</w:t>
      </w:r>
      <w:r w:rsidRPr="008B6E85">
        <w:rPr>
          <w:rFonts w:ascii="Cambria" w:hAnsi="Cambria"/>
          <w:sz w:val="20"/>
          <w:szCs w:val="20"/>
        </w:rPr>
        <w:t xml:space="preserve"> appeal proceedings. Furthermore, the State indicated in its brief of November 20, 2013, that in March 2013 the petitioner had filed an administrative action against the CNM with the 20</w:t>
      </w:r>
      <w:r w:rsidRPr="008B6E85">
        <w:rPr>
          <w:rFonts w:ascii="Cambria" w:hAnsi="Cambria"/>
          <w:sz w:val="20"/>
          <w:szCs w:val="20"/>
          <w:vertAlign w:val="superscript"/>
        </w:rPr>
        <w:t>th</w:t>
      </w:r>
      <w:r w:rsidRPr="008B6E85">
        <w:rPr>
          <w:rFonts w:ascii="Cambria" w:hAnsi="Cambria"/>
          <w:sz w:val="20"/>
          <w:szCs w:val="20"/>
        </w:rPr>
        <w:t xml:space="preserve"> Specialized Labor Court of Tacna, which was still pending. </w:t>
      </w:r>
    </w:p>
    <w:p w:rsidR="001405E8" w:rsidRPr="008B6E85" w:rsidRDefault="001405E8" w:rsidP="008C0676">
      <w:pPr>
        <w:pBdr>
          <w:top w:val="none" w:sz="0" w:space="0" w:color="auto"/>
          <w:left w:val="none" w:sz="0" w:space="0" w:color="auto"/>
          <w:bottom w:val="none" w:sz="0" w:space="0" w:color="auto"/>
          <w:right w:val="none" w:sz="0" w:space="0" w:color="auto"/>
          <w:bar w:val="none" w:sz="0" w:color="auto"/>
        </w:pBdr>
        <w:spacing w:before="240" w:after="240"/>
        <w:ind w:left="1440" w:hanging="720"/>
        <w:jc w:val="both"/>
        <w:rPr>
          <w:rFonts w:ascii="Cambria" w:hAnsi="Cambria"/>
          <w:sz w:val="20"/>
          <w:szCs w:val="20"/>
        </w:rPr>
      </w:pPr>
      <w:r w:rsidRPr="008B6E85">
        <w:rPr>
          <w:rFonts w:ascii="Cambria" w:hAnsi="Cambria" w:cs="Cambria"/>
          <w:b/>
          <w:bCs/>
          <w:color w:val="000000"/>
          <w:sz w:val="20"/>
          <w:szCs w:val="20"/>
          <w:u w:color="000000"/>
          <w:lang w:eastAsia="es-ES"/>
        </w:rPr>
        <w:t>VI.</w:t>
      </w:r>
      <w:r w:rsidRPr="008B6E85">
        <w:rPr>
          <w:rFonts w:ascii="Cambria" w:hAnsi="Cambria" w:cs="Cambria"/>
          <w:b/>
          <w:bCs/>
          <w:color w:val="000000"/>
          <w:sz w:val="20"/>
          <w:szCs w:val="20"/>
          <w:u w:color="000000"/>
          <w:lang w:eastAsia="es-ES"/>
        </w:rPr>
        <w:tab/>
      </w:r>
      <w:r w:rsidRPr="008B6E85">
        <w:rPr>
          <w:rFonts w:ascii="Cambria" w:hAnsi="Cambria"/>
          <w:b/>
          <w:sz w:val="20"/>
          <w:szCs w:val="20"/>
        </w:rPr>
        <w:t>EXHAUSTION OF DOMESTIC REMEDIES AND TIMELINESS OF THE PETITION</w:t>
      </w:r>
    </w:p>
    <w:p w:rsidR="001405E8" w:rsidRPr="008B6E85" w:rsidRDefault="001405E8" w:rsidP="003239B8">
      <w:pPr>
        <w:numPr>
          <w:ilvl w:val="0"/>
          <w:numId w:val="103"/>
        </w:numPr>
        <w:pBdr>
          <w:top w:val="none" w:sz="0" w:space="0" w:color="auto"/>
          <w:left w:val="none" w:sz="0" w:space="0" w:color="auto"/>
          <w:bottom w:val="none" w:sz="0" w:space="0" w:color="auto"/>
          <w:right w:val="none" w:sz="0" w:space="0" w:color="auto"/>
          <w:bar w:val="none" w:sz="0" w:color="auto"/>
        </w:pBdr>
        <w:suppressAutoHyphens/>
        <w:spacing w:after="240"/>
        <w:jc w:val="both"/>
        <w:rPr>
          <w:rFonts w:ascii="Cambria" w:hAnsi="Cambria"/>
          <w:sz w:val="20"/>
          <w:szCs w:val="20"/>
        </w:rPr>
      </w:pPr>
      <w:r w:rsidRPr="008B6E85">
        <w:rPr>
          <w:rFonts w:ascii="Cambria" w:hAnsi="Cambria"/>
          <w:sz w:val="20"/>
          <w:szCs w:val="20"/>
        </w:rPr>
        <w:t xml:space="preserve">The petitioner has indicated that domestic remedies were exhausted with the Constitutional Court’s decision on his constitutional remedy, which ruled his claim inadmissible. He then unsuccessfully sought to have that decision reversed through a remedy of clarification. The petitioner also holds that the deadline for submitting his </w:t>
      </w:r>
      <w:r w:rsidRPr="008B6E85">
        <w:rPr>
          <w:rFonts w:ascii="Cambria" w:hAnsi="Cambria"/>
          <w:i/>
          <w:sz w:val="20"/>
          <w:szCs w:val="20"/>
        </w:rPr>
        <w:t>amparo</w:t>
      </w:r>
      <w:r w:rsidRPr="008B6E85">
        <w:rPr>
          <w:rFonts w:ascii="Cambria" w:hAnsi="Cambria"/>
          <w:sz w:val="20"/>
          <w:szCs w:val="20"/>
        </w:rPr>
        <w:t xml:space="preserve"> appeal should have started to run as of the publication date of the ruling that the evaluation requirement for reinstating judges dismissed without cause was unconstitutional. For its part, the State has alleged that the petition is out of time because the deadline for its presentation began to run as from the decision rejecting the constitutional remedy; it further alleges that the petitioner’s </w:t>
      </w:r>
      <w:r w:rsidRPr="008B6E85">
        <w:rPr>
          <w:rFonts w:ascii="Cambria" w:hAnsi="Cambria"/>
          <w:i/>
          <w:sz w:val="20"/>
          <w:szCs w:val="20"/>
        </w:rPr>
        <w:t>amparo</w:t>
      </w:r>
      <w:r w:rsidRPr="008B6E85">
        <w:rPr>
          <w:rFonts w:ascii="Cambria" w:hAnsi="Cambria"/>
          <w:sz w:val="20"/>
          <w:szCs w:val="20"/>
        </w:rPr>
        <w:t xml:space="preserve"> appeal was rejected because it was presented out of time. </w:t>
      </w:r>
    </w:p>
    <w:p w:rsidR="001405E8" w:rsidRPr="008B6E85" w:rsidRDefault="001405E8" w:rsidP="003239B8">
      <w:pPr>
        <w:numPr>
          <w:ilvl w:val="0"/>
          <w:numId w:val="103"/>
        </w:numPr>
        <w:pBdr>
          <w:top w:val="none" w:sz="0" w:space="0" w:color="auto"/>
          <w:left w:val="none" w:sz="0" w:space="0" w:color="auto"/>
          <w:bottom w:val="none" w:sz="0" w:space="0" w:color="auto"/>
          <w:right w:val="none" w:sz="0" w:space="0" w:color="auto"/>
          <w:bar w:val="none" w:sz="0" w:color="auto"/>
        </w:pBdr>
        <w:suppressAutoHyphens/>
        <w:spacing w:after="240"/>
        <w:jc w:val="both"/>
        <w:rPr>
          <w:rFonts w:ascii="Cambria" w:hAnsi="Cambria"/>
          <w:sz w:val="20"/>
          <w:szCs w:val="20"/>
        </w:rPr>
      </w:pPr>
      <w:r w:rsidRPr="008B6E85">
        <w:rPr>
          <w:rFonts w:ascii="Cambria" w:hAnsi="Cambria"/>
          <w:sz w:val="20"/>
          <w:szCs w:val="20"/>
        </w:rPr>
        <w:t>The Commission has previously determined that petitioners are required to exhaust domestic remedies in keeping with domestic procedural law, provided that the law is consistent with the State’s obligation under the American Convention. For this reason, the Commission cannot find the petitioner to have duly complied with this requirement if domestic remedies have been rejected based on reasonable and non-arbitrary procedural grounds, such as the action not being filed by the deadlines provided for under domestic law.</w:t>
      </w:r>
      <w:r w:rsidRPr="008B6E85">
        <w:rPr>
          <w:rStyle w:val="FootnoteReference"/>
          <w:rFonts w:ascii="Cambria" w:hAnsi="Cambria" w:cs="Calibri"/>
          <w:sz w:val="20"/>
          <w:szCs w:val="20"/>
        </w:rPr>
        <w:footnoteReference w:id="8"/>
      </w:r>
      <w:r w:rsidRPr="008B6E85">
        <w:rPr>
          <w:rFonts w:ascii="Cambria" w:hAnsi="Cambria"/>
          <w:sz w:val="20"/>
          <w:szCs w:val="20"/>
        </w:rPr>
        <w:t xml:space="preserve"> </w:t>
      </w:r>
    </w:p>
    <w:p w:rsidR="001405E8" w:rsidRPr="008B6E85" w:rsidRDefault="001405E8" w:rsidP="003239B8">
      <w:pPr>
        <w:numPr>
          <w:ilvl w:val="0"/>
          <w:numId w:val="103"/>
        </w:numPr>
        <w:pBdr>
          <w:top w:val="none" w:sz="0" w:space="0" w:color="auto"/>
          <w:left w:val="none" w:sz="0" w:space="0" w:color="auto"/>
          <w:bottom w:val="none" w:sz="0" w:space="0" w:color="auto"/>
          <w:right w:val="none" w:sz="0" w:space="0" w:color="auto"/>
          <w:bar w:val="none" w:sz="0" w:color="auto"/>
        </w:pBdr>
        <w:suppressAutoHyphens/>
        <w:spacing w:after="240"/>
        <w:jc w:val="both"/>
        <w:rPr>
          <w:rFonts w:ascii="Cambria" w:hAnsi="Cambria"/>
          <w:sz w:val="20"/>
          <w:szCs w:val="20"/>
        </w:rPr>
      </w:pPr>
      <w:r w:rsidRPr="008B6E85">
        <w:rPr>
          <w:rFonts w:ascii="Cambria" w:hAnsi="Cambria"/>
          <w:sz w:val="20"/>
          <w:szCs w:val="20"/>
        </w:rPr>
        <w:t xml:space="preserve">Based on this criterion, the Commission notes that the </w:t>
      </w:r>
      <w:r w:rsidRPr="008B6E85">
        <w:rPr>
          <w:rFonts w:ascii="Cambria" w:hAnsi="Cambria"/>
          <w:i/>
          <w:sz w:val="20"/>
          <w:szCs w:val="20"/>
        </w:rPr>
        <w:t>amparo</w:t>
      </w:r>
      <w:r w:rsidRPr="008B6E85">
        <w:rPr>
          <w:rFonts w:ascii="Cambria" w:hAnsi="Cambria"/>
          <w:sz w:val="20"/>
          <w:szCs w:val="20"/>
        </w:rPr>
        <w:t xml:space="preserve"> appeal presented by the petitioner was rejected because it was not filed by the deadline provided for under domestic procedural laws. The petitioner has not alleged that the provisions establishing said deadline are per se a violation of the American Convention or any of the instruments that confer competence to the Commission, nor is this shown by any evidence in the case file either. The petitioner has argued that the deadline should have started to run as from the publication of the judgment that ruled the CNM’s prior evaluation requirement unconstitutional; however, he has not argued that this ruling was a requirement for filing an </w:t>
      </w:r>
      <w:r w:rsidRPr="008B6E85">
        <w:rPr>
          <w:rFonts w:ascii="Cambria" w:hAnsi="Cambria"/>
          <w:i/>
          <w:sz w:val="20"/>
          <w:szCs w:val="20"/>
        </w:rPr>
        <w:t>amparo</w:t>
      </w:r>
      <w:r w:rsidRPr="008B6E85">
        <w:rPr>
          <w:rFonts w:ascii="Cambria" w:hAnsi="Cambria"/>
          <w:sz w:val="20"/>
          <w:szCs w:val="20"/>
        </w:rPr>
        <w:t xml:space="preserve"> appeal, nor does the case file show this. What is more, the file does not show, nor has the petitioner alleged, that he was hindered or dissuaded from filing the </w:t>
      </w:r>
      <w:r w:rsidRPr="008B6E85">
        <w:rPr>
          <w:rFonts w:ascii="Cambria" w:hAnsi="Cambria"/>
          <w:i/>
          <w:sz w:val="20"/>
          <w:szCs w:val="20"/>
        </w:rPr>
        <w:t>amparo</w:t>
      </w:r>
      <w:r w:rsidRPr="008B6E85">
        <w:rPr>
          <w:rFonts w:ascii="Cambria" w:hAnsi="Cambria"/>
          <w:sz w:val="20"/>
          <w:szCs w:val="20"/>
        </w:rPr>
        <w:t xml:space="preserve"> appeal in a timely fashion. For these reasons, the Commission concludes that this petition is inadmissible inasmuch is does not comply with the requirements of Article 46(1</w:t>
      </w:r>
      <w:proofErr w:type="gramStart"/>
      <w:r w:rsidRPr="008B6E85">
        <w:rPr>
          <w:rFonts w:ascii="Cambria" w:hAnsi="Cambria"/>
          <w:sz w:val="20"/>
          <w:szCs w:val="20"/>
        </w:rPr>
        <w:t>)(</w:t>
      </w:r>
      <w:proofErr w:type="gramEnd"/>
      <w:r w:rsidRPr="008B6E85">
        <w:rPr>
          <w:rFonts w:ascii="Cambria" w:hAnsi="Cambria"/>
          <w:sz w:val="20"/>
          <w:szCs w:val="20"/>
        </w:rPr>
        <w:t xml:space="preserve">a) of the American Convention. </w:t>
      </w:r>
    </w:p>
    <w:p w:rsidR="001405E8" w:rsidRPr="008B6E85" w:rsidRDefault="001405E8" w:rsidP="003239B8">
      <w:pPr>
        <w:pStyle w:val="ListParagraph"/>
        <w:pBdr>
          <w:top w:val="none" w:sz="0" w:space="0" w:color="auto"/>
          <w:left w:val="none" w:sz="0" w:space="0" w:color="auto"/>
          <w:bottom w:val="none" w:sz="0" w:space="0" w:color="auto"/>
          <w:right w:val="none" w:sz="0" w:space="0" w:color="auto"/>
          <w:bar w:val="none" w:sz="0" w:color="auto"/>
        </w:pBdr>
        <w:spacing w:before="240" w:after="240"/>
        <w:jc w:val="both"/>
        <w:rPr>
          <w:b/>
          <w:sz w:val="20"/>
          <w:szCs w:val="20"/>
        </w:rPr>
      </w:pPr>
      <w:r w:rsidRPr="008B6E85">
        <w:rPr>
          <w:b/>
          <w:bCs/>
          <w:sz w:val="20"/>
          <w:szCs w:val="20"/>
        </w:rPr>
        <w:t>VII.</w:t>
      </w:r>
      <w:r w:rsidRPr="008B6E85">
        <w:rPr>
          <w:b/>
          <w:bCs/>
          <w:sz w:val="20"/>
          <w:szCs w:val="20"/>
        </w:rPr>
        <w:tab/>
        <w:t>ANALYSIS OF CHARACTERIZATION OF THE FACTS ALLEGED</w:t>
      </w:r>
    </w:p>
    <w:p w:rsidR="001405E8" w:rsidRPr="008B6E85" w:rsidRDefault="001405E8" w:rsidP="00E573E4">
      <w:pPr>
        <w:numPr>
          <w:ilvl w:val="0"/>
          <w:numId w:val="103"/>
        </w:numPr>
        <w:pBdr>
          <w:top w:val="none" w:sz="0" w:space="0" w:color="auto"/>
          <w:left w:val="none" w:sz="0" w:space="0" w:color="auto"/>
          <w:bottom w:val="none" w:sz="0" w:space="0" w:color="auto"/>
          <w:right w:val="none" w:sz="0" w:space="0" w:color="auto"/>
          <w:bar w:val="none" w:sz="0" w:color="auto"/>
        </w:pBdr>
        <w:suppressAutoHyphens/>
        <w:spacing w:after="240"/>
        <w:jc w:val="both"/>
        <w:rPr>
          <w:rFonts w:ascii="Cambria" w:hAnsi="Cambria"/>
          <w:color w:val="FF0000"/>
          <w:sz w:val="20"/>
          <w:szCs w:val="20"/>
        </w:rPr>
      </w:pPr>
      <w:r w:rsidRPr="008B6E85">
        <w:rPr>
          <w:rFonts w:ascii="Cambria" w:hAnsi="Cambria"/>
          <w:sz w:val="20"/>
          <w:szCs w:val="20"/>
        </w:rPr>
        <w:t>In light of the conclusions provided for in Section VI hereof, the Commission will not conduct an analysis of the facts asserted by the petitioner to determine whether they might characterize violations of the American Convention or other applicable instruments.</w:t>
      </w:r>
    </w:p>
    <w:p w:rsidR="008B6E85" w:rsidRDefault="008B6E85">
      <w:pPr>
        <w:pBdr>
          <w:top w:val="none" w:sz="0" w:space="0" w:color="auto"/>
          <w:left w:val="none" w:sz="0" w:space="0" w:color="auto"/>
          <w:bottom w:val="none" w:sz="0" w:space="0" w:color="auto"/>
          <w:right w:val="none" w:sz="0" w:space="0" w:color="auto"/>
          <w:bar w:val="none" w:sz="0" w:color="auto"/>
        </w:pBdr>
        <w:rPr>
          <w:rFonts w:ascii="Cambria" w:hAnsi="Cambria" w:cs="Cambria"/>
          <w:b/>
          <w:bCs/>
          <w:color w:val="000000"/>
          <w:sz w:val="20"/>
          <w:szCs w:val="20"/>
          <w:u w:color="000000"/>
          <w:lang w:eastAsia="es-ES"/>
        </w:rPr>
      </w:pPr>
      <w:r>
        <w:rPr>
          <w:b/>
          <w:bCs/>
          <w:sz w:val="20"/>
          <w:szCs w:val="20"/>
        </w:rPr>
        <w:br w:type="page"/>
      </w:r>
    </w:p>
    <w:p w:rsidR="001405E8" w:rsidRPr="008B6E85" w:rsidRDefault="001405E8" w:rsidP="003239B8">
      <w:pPr>
        <w:pStyle w:val="ListParagraph"/>
        <w:pBdr>
          <w:top w:val="none" w:sz="0" w:space="0" w:color="auto"/>
          <w:left w:val="none" w:sz="0" w:space="0" w:color="auto"/>
          <w:bottom w:val="none" w:sz="0" w:space="0" w:color="auto"/>
          <w:right w:val="none" w:sz="0" w:space="0" w:color="auto"/>
          <w:bar w:val="none" w:sz="0" w:color="auto"/>
        </w:pBdr>
        <w:spacing w:before="240" w:after="240"/>
        <w:jc w:val="both"/>
        <w:rPr>
          <w:b/>
          <w:bCs/>
          <w:sz w:val="20"/>
          <w:szCs w:val="20"/>
        </w:rPr>
      </w:pPr>
      <w:r w:rsidRPr="008B6E85">
        <w:rPr>
          <w:b/>
          <w:bCs/>
          <w:sz w:val="20"/>
          <w:szCs w:val="20"/>
        </w:rPr>
        <w:lastRenderedPageBreak/>
        <w:t xml:space="preserve">VIII. </w:t>
      </w:r>
      <w:r w:rsidRPr="008B6E85">
        <w:rPr>
          <w:b/>
          <w:bCs/>
          <w:sz w:val="20"/>
          <w:szCs w:val="20"/>
        </w:rPr>
        <w:tab/>
        <w:t>DECISION</w:t>
      </w:r>
    </w:p>
    <w:p w:rsidR="001405E8" w:rsidRPr="008B6E85" w:rsidRDefault="001405E8" w:rsidP="000419AD">
      <w:pPr>
        <w:pStyle w:val="ListParagraph"/>
        <w:numPr>
          <w:ilvl w:val="0"/>
          <w:numId w:val="109"/>
        </w:numPr>
        <w:pBdr>
          <w:top w:val="none" w:sz="0" w:space="0" w:color="auto"/>
          <w:left w:val="none" w:sz="0" w:space="0" w:color="auto"/>
          <w:bottom w:val="none" w:sz="0" w:space="0" w:color="auto"/>
          <w:right w:val="none" w:sz="0" w:space="0" w:color="auto"/>
          <w:bar w:val="none" w:sz="0" w:color="auto"/>
        </w:pBdr>
        <w:ind w:left="0"/>
        <w:rPr>
          <w:rFonts w:cs="Times New Roman"/>
          <w:color w:val="auto"/>
          <w:sz w:val="20"/>
          <w:szCs w:val="20"/>
          <w:lang w:eastAsia="en-US"/>
        </w:rPr>
      </w:pPr>
      <w:r w:rsidRPr="008B6E85">
        <w:rPr>
          <w:rFonts w:cs="Times New Roman"/>
          <w:color w:val="auto"/>
          <w:sz w:val="20"/>
          <w:szCs w:val="20"/>
          <w:lang w:eastAsia="en-US"/>
        </w:rPr>
        <w:t>To find the instant petition inadmissible pursuant to Articles 46(1</w:t>
      </w:r>
      <w:proofErr w:type="gramStart"/>
      <w:r w:rsidRPr="008B6E85">
        <w:rPr>
          <w:rFonts w:cs="Times New Roman"/>
          <w:color w:val="auto"/>
          <w:sz w:val="20"/>
          <w:szCs w:val="20"/>
          <w:lang w:eastAsia="en-US"/>
        </w:rPr>
        <w:t>)(</w:t>
      </w:r>
      <w:proofErr w:type="gramEnd"/>
      <w:r w:rsidRPr="008B6E85">
        <w:rPr>
          <w:rFonts w:cs="Times New Roman"/>
          <w:color w:val="auto"/>
          <w:sz w:val="20"/>
          <w:szCs w:val="20"/>
          <w:lang w:eastAsia="en-US"/>
        </w:rPr>
        <w:t>a) and 47(a) of the American Convention.</w:t>
      </w:r>
    </w:p>
    <w:p w:rsidR="008B6E85" w:rsidRPr="008B6E85" w:rsidRDefault="001405E8" w:rsidP="009619D9">
      <w:pPr>
        <w:numPr>
          <w:ilvl w:val="0"/>
          <w:numId w:val="109"/>
        </w:numPr>
        <w:pBdr>
          <w:top w:val="none" w:sz="0" w:space="0" w:color="auto"/>
          <w:left w:val="none" w:sz="0" w:space="0" w:color="auto"/>
          <w:bottom w:val="none" w:sz="0" w:space="0" w:color="auto"/>
          <w:right w:val="none" w:sz="0" w:space="0" w:color="auto"/>
          <w:bar w:val="none" w:sz="0" w:color="auto"/>
        </w:pBdr>
        <w:suppressAutoHyphens/>
        <w:spacing w:before="240" w:after="240" w:line="276" w:lineRule="auto"/>
        <w:jc w:val="both"/>
        <w:rPr>
          <w:rFonts w:ascii="Cambria" w:hAnsi="Cambria"/>
          <w:spacing w:val="-2"/>
          <w:sz w:val="20"/>
        </w:rPr>
      </w:pPr>
      <w:r w:rsidRPr="008B6E85">
        <w:rPr>
          <w:rFonts w:ascii="Cambria" w:hAnsi="Cambria"/>
          <w:sz w:val="20"/>
          <w:szCs w:val="20"/>
        </w:rPr>
        <w:t>To notify the parties of this decision; and to publish this decision and include it in its Annual Report to the General Assembly of the Organization of American States.</w:t>
      </w:r>
    </w:p>
    <w:p w:rsidR="008B6E85" w:rsidRPr="008B6E85" w:rsidRDefault="008B6E85" w:rsidP="00C87B9D">
      <w:pPr>
        <w:pBdr>
          <w:top w:val="none" w:sz="0" w:space="0" w:color="auto"/>
          <w:left w:val="none" w:sz="0" w:space="0" w:color="auto"/>
          <w:bottom w:val="none" w:sz="0" w:space="0" w:color="auto"/>
          <w:right w:val="none" w:sz="0" w:space="0" w:color="auto"/>
          <w:bar w:val="none" w:sz="0" w:color="auto"/>
        </w:pBdr>
        <w:suppressAutoHyphens/>
        <w:spacing w:before="240"/>
        <w:jc w:val="both"/>
        <w:rPr>
          <w:rFonts w:ascii="Cambria" w:hAnsi="Cambria"/>
          <w:spacing w:val="-2"/>
          <w:sz w:val="20"/>
        </w:rPr>
      </w:pPr>
      <w:r>
        <w:rPr>
          <w:rFonts w:ascii="Cambria" w:hAnsi="Cambria" w:cs="Cambria"/>
          <w:color w:val="000000"/>
          <w:spacing w:val="-2"/>
          <w:sz w:val="20"/>
          <w:u w:color="000000"/>
          <w:lang w:eastAsia="es-ES"/>
        </w:rPr>
        <w:tab/>
      </w:r>
      <w:r w:rsidRPr="008B6E85">
        <w:rPr>
          <w:rFonts w:ascii="Cambria" w:hAnsi="Cambria"/>
          <w:spacing w:val="-2"/>
          <w:sz w:val="20"/>
        </w:rPr>
        <w:t xml:space="preserve">Approved by the Inter-American Commission on Human Rights on the </w:t>
      </w:r>
      <w:r>
        <w:rPr>
          <w:rFonts w:ascii="Cambria" w:hAnsi="Cambria"/>
          <w:spacing w:val="-2"/>
          <w:sz w:val="20"/>
        </w:rPr>
        <w:t>2</w:t>
      </w:r>
      <w:r w:rsidR="00C87B9D">
        <w:rPr>
          <w:rFonts w:ascii="Cambria" w:hAnsi="Cambria"/>
          <w:spacing w:val="-2"/>
          <w:sz w:val="20"/>
        </w:rPr>
        <w:t>4</w:t>
      </w:r>
      <w:r w:rsidRPr="008B6E85">
        <w:rPr>
          <w:rFonts w:ascii="Cambria" w:hAnsi="Cambria"/>
          <w:spacing w:val="-2"/>
          <w:sz w:val="20"/>
          <w:vertAlign w:val="superscript"/>
        </w:rPr>
        <w:t>th</w:t>
      </w:r>
      <w:r>
        <w:rPr>
          <w:rFonts w:ascii="Cambria" w:hAnsi="Cambria"/>
          <w:spacing w:val="-2"/>
          <w:sz w:val="20"/>
        </w:rPr>
        <w:t xml:space="preserve"> </w:t>
      </w:r>
      <w:r w:rsidRPr="008B6E85">
        <w:rPr>
          <w:rFonts w:ascii="Cambria" w:hAnsi="Cambria"/>
          <w:spacing w:val="-2"/>
          <w:sz w:val="20"/>
        </w:rPr>
        <w:t xml:space="preserve">day of the month of </w:t>
      </w:r>
      <w:r w:rsidR="00C87B9D">
        <w:rPr>
          <w:rFonts w:ascii="Cambria" w:hAnsi="Cambria"/>
          <w:spacing w:val="-2"/>
          <w:sz w:val="20"/>
        </w:rPr>
        <w:t>April</w:t>
      </w:r>
      <w:r w:rsidRPr="008B6E85">
        <w:rPr>
          <w:rFonts w:ascii="Cambria" w:hAnsi="Cambria"/>
          <w:spacing w:val="-2"/>
          <w:sz w:val="20"/>
        </w:rPr>
        <w:t xml:space="preserve">, 2020. (Signed):  </w:t>
      </w:r>
      <w:r w:rsidRPr="008B6E85">
        <w:rPr>
          <w:rFonts w:asciiTheme="majorHAnsi" w:hAnsiTheme="majorHAnsi" w:cs="Arial"/>
          <w:noProof/>
          <w:spacing w:val="-2"/>
          <w:sz w:val="20"/>
          <w:szCs w:val="20"/>
        </w:rPr>
        <w:t xml:space="preserve">Joel Hernández, President; Antonia Urrejola, First Vice President; Flávia Piovesan, Second Vice President; Margarette May Macaulay, Esmeralda E. Arosemena Bernal de Troitiño, and Stuardo Ralón Orellana, </w:t>
      </w:r>
      <w:r w:rsidRPr="008B6E85">
        <w:rPr>
          <w:rFonts w:ascii="Cambria" w:hAnsi="Cambria"/>
          <w:spacing w:val="-2"/>
          <w:sz w:val="20"/>
        </w:rPr>
        <w:t>Commissioners.</w:t>
      </w:r>
    </w:p>
    <w:p w:rsidR="008B6E85" w:rsidRPr="008B6E85" w:rsidRDefault="008B6E85" w:rsidP="008B6E85">
      <w:pPr>
        <w:pBdr>
          <w:top w:val="none" w:sz="0" w:space="0" w:color="auto"/>
          <w:left w:val="none" w:sz="0" w:space="0" w:color="auto"/>
          <w:bottom w:val="none" w:sz="0" w:space="0" w:color="auto"/>
          <w:right w:val="none" w:sz="0" w:space="0" w:color="auto"/>
          <w:bar w:val="none" w:sz="0" w:color="auto"/>
        </w:pBdr>
        <w:suppressAutoHyphens/>
        <w:spacing w:before="240" w:after="240" w:line="276" w:lineRule="auto"/>
        <w:ind w:left="720"/>
        <w:jc w:val="both"/>
        <w:rPr>
          <w:rFonts w:ascii="Cambria" w:hAnsi="Cambria" w:cs="Calibri"/>
          <w:sz w:val="20"/>
          <w:szCs w:val="20"/>
        </w:rPr>
      </w:pPr>
    </w:p>
    <w:sectPr w:rsidR="008B6E85" w:rsidRPr="008B6E85" w:rsidSect="00934A2C">
      <w:headerReference w:type="even" r:id="rId15"/>
      <w:headerReference w:type="default" r:id="rId16"/>
      <w:footerReference w:type="default" r:id="rId17"/>
      <w:footerReference w:type="first" r:id="rId18"/>
      <w:type w:val="oddPage"/>
      <w:pgSz w:w="12240" w:h="15840"/>
      <w:pgMar w:top="1440" w:right="1440" w:bottom="1440" w:left="1440" w:header="720" w:footer="720" w:gutter="0"/>
      <w:pgNumType w:start="1"/>
      <w:cols w:space="720"/>
      <w:rtlGutter/>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5A47" w:rsidRDefault="00D75A47">
      <w:pPr>
        <w:pBdr>
          <w:top w:val="none" w:sz="0" w:space="0" w:color="auto"/>
          <w:left w:val="none" w:sz="0" w:space="0" w:color="auto"/>
          <w:bottom w:val="none" w:sz="0" w:space="0" w:color="auto"/>
          <w:right w:val="none" w:sz="0" w:space="0" w:color="auto"/>
          <w:bar w:val="none" w:sz="0" w:color="auto"/>
        </w:pBdr>
      </w:pPr>
      <w:r>
        <w:separator/>
      </w:r>
    </w:p>
  </w:endnote>
  <w:endnote w:type="continuationSeparator" w:id="0">
    <w:p w:rsidR="00D75A47" w:rsidRDefault="00D75A47">
      <w:pPr>
        <w:pBdr>
          <w:top w:val="none" w:sz="0" w:space="0" w:color="auto"/>
          <w:left w:val="none" w:sz="0" w:space="0" w:color="auto"/>
          <w:bottom w:val="none" w:sz="0" w:space="0" w:color="auto"/>
          <w:right w:val="none" w:sz="0" w:space="0" w:color="auto"/>
          <w:bar w:val="none" w:sz="0" w:color="auto"/>
        </w:pBd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6D59" w:rsidRDefault="00A46D5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5E8" w:rsidRPr="00934A2C" w:rsidRDefault="001405E8">
    <w:pPr>
      <w:pStyle w:val="Footer"/>
      <w:pBdr>
        <w:top w:val="none" w:sz="0" w:space="0" w:color="auto"/>
        <w:left w:val="none" w:sz="0" w:space="0" w:color="auto"/>
        <w:bottom w:val="none" w:sz="0" w:space="0" w:color="auto"/>
        <w:right w:val="none" w:sz="0" w:space="0" w:color="auto"/>
        <w:bar w:val="none" w:sz="0" w:color="auto"/>
      </w:pBd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Pr>
        <w:noProof/>
        <w:sz w:val="16"/>
        <w:szCs w:val="22"/>
      </w:rPr>
      <w:t>1</w:t>
    </w:r>
    <w:r w:rsidRPr="00934A2C">
      <w:rPr>
        <w:sz w:val="16"/>
        <w:szCs w:val="22"/>
      </w:rPr>
      <w:fldChar w:fldCharType="end"/>
    </w:r>
  </w:p>
  <w:p w:rsidR="001405E8" w:rsidRDefault="001405E8">
    <w:pPr>
      <w:pStyle w:val="Footer"/>
      <w:pBdr>
        <w:top w:val="none" w:sz="0" w:space="0" w:color="auto"/>
        <w:left w:val="none" w:sz="0" w:space="0" w:color="auto"/>
        <w:bottom w:val="none" w:sz="0" w:space="0" w:color="auto"/>
        <w:right w:val="none" w:sz="0" w:space="0" w:color="auto"/>
        <w:bar w:val="none" w:sz="0" w:color="auto"/>
      </w:pBd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5E8" w:rsidRPr="00934A2C" w:rsidRDefault="001405E8">
    <w:pPr>
      <w:pStyle w:val="Footer"/>
      <w:pBdr>
        <w:top w:val="none" w:sz="0" w:space="0" w:color="auto"/>
        <w:left w:val="none" w:sz="0" w:space="0" w:color="auto"/>
        <w:bottom w:val="none" w:sz="0" w:space="0" w:color="auto"/>
        <w:right w:val="none" w:sz="0" w:space="0" w:color="auto"/>
        <w:bar w:val="none" w:sz="0" w:color="auto"/>
      </w:pBdr>
      <w:jc w:val="center"/>
      <w:rPr>
        <w:sz w:val="16"/>
        <w:szCs w:val="22"/>
      </w:rPr>
    </w:pPr>
  </w:p>
  <w:p w:rsidR="001405E8" w:rsidRDefault="001405E8">
    <w:pPr>
      <w:pStyle w:val="Footer"/>
      <w:pBdr>
        <w:top w:val="none" w:sz="0" w:space="0" w:color="auto"/>
        <w:left w:val="none" w:sz="0" w:space="0" w:color="auto"/>
        <w:bottom w:val="none" w:sz="0" w:space="0" w:color="auto"/>
        <w:right w:val="none" w:sz="0" w:space="0" w:color="auto"/>
        <w:bar w:val="none" w:sz="0" w:color="auto"/>
      </w:pBd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5E8" w:rsidRPr="00934A2C" w:rsidRDefault="001405E8">
    <w:pPr>
      <w:pStyle w:val="Footer"/>
      <w:pBdr>
        <w:top w:val="none" w:sz="0" w:space="0" w:color="auto"/>
        <w:left w:val="none" w:sz="0" w:space="0" w:color="auto"/>
        <w:bottom w:val="none" w:sz="0" w:space="0" w:color="auto"/>
        <w:right w:val="none" w:sz="0" w:space="0" w:color="auto"/>
        <w:bar w:val="none" w:sz="0" w:color="auto"/>
      </w:pBd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A46D59">
      <w:rPr>
        <w:noProof/>
        <w:sz w:val="16"/>
        <w:szCs w:val="22"/>
      </w:rPr>
      <w:t>1</w:t>
    </w:r>
    <w:r w:rsidRPr="00934A2C">
      <w:rPr>
        <w:sz w:val="16"/>
        <w:szCs w:val="22"/>
      </w:rPr>
      <w:fldChar w:fldCharType="end"/>
    </w:r>
  </w:p>
  <w:p w:rsidR="001405E8" w:rsidRDefault="001405E8">
    <w:pPr>
      <w:pStyle w:val="Footer"/>
      <w:pBdr>
        <w:top w:val="none" w:sz="0" w:space="0" w:color="auto"/>
        <w:left w:val="none" w:sz="0" w:space="0" w:color="auto"/>
        <w:bottom w:val="none" w:sz="0" w:space="0" w:color="auto"/>
        <w:right w:val="none" w:sz="0" w:space="0" w:color="auto"/>
        <w:bar w:val="none" w:sz="0" w:color="auto"/>
      </w:pBd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5E8" w:rsidRPr="00934A2C" w:rsidRDefault="001405E8">
    <w:pPr>
      <w:pStyle w:val="Footer"/>
      <w:pBdr>
        <w:top w:val="none" w:sz="0" w:space="0" w:color="auto"/>
        <w:left w:val="none" w:sz="0" w:space="0" w:color="auto"/>
        <w:bottom w:val="none" w:sz="0" w:space="0" w:color="auto"/>
        <w:right w:val="none" w:sz="0" w:space="0" w:color="auto"/>
        <w:bar w:val="none" w:sz="0" w:color="auto"/>
      </w:pBdr>
      <w:jc w:val="center"/>
      <w:rPr>
        <w:sz w:val="16"/>
        <w:szCs w:val="22"/>
      </w:rPr>
    </w:pPr>
  </w:p>
  <w:p w:rsidR="001405E8" w:rsidRDefault="001405E8">
    <w:pPr>
      <w:pStyle w:val="Footer"/>
      <w:pBdr>
        <w:top w:val="none" w:sz="0" w:space="0" w:color="auto"/>
        <w:left w:val="none" w:sz="0" w:space="0" w:color="auto"/>
        <w:bottom w:val="none" w:sz="0" w:space="0" w:color="auto"/>
        <w:right w:val="none" w:sz="0" w:space="0" w:color="auto"/>
        <w:bar w:val="none" w:sz="0" w:color="auto"/>
      </w:pBd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5A47" w:rsidRPr="000F35ED" w:rsidRDefault="00D75A47">
      <w:pPr>
        <w:pBdr>
          <w:top w:val="none" w:sz="0" w:space="0" w:color="auto"/>
          <w:left w:val="none" w:sz="0" w:space="0" w:color="auto"/>
          <w:bottom w:val="none" w:sz="0" w:space="0" w:color="auto"/>
          <w:right w:val="none" w:sz="0" w:space="0" w:color="auto"/>
          <w:bar w:val="none" w:sz="0" w:color="auto"/>
        </w:pBdr>
        <w:rPr>
          <w:rFonts w:ascii="Cambria" w:hAnsi="Cambria"/>
          <w:sz w:val="16"/>
          <w:szCs w:val="16"/>
        </w:rPr>
      </w:pPr>
      <w:r w:rsidRPr="000F35ED">
        <w:rPr>
          <w:rFonts w:ascii="Cambria" w:hAnsi="Cambria"/>
          <w:sz w:val="16"/>
          <w:szCs w:val="16"/>
        </w:rPr>
        <w:separator/>
      </w:r>
    </w:p>
  </w:footnote>
  <w:footnote w:type="continuationSeparator" w:id="0">
    <w:p w:rsidR="00D75A47" w:rsidRPr="000F35ED" w:rsidRDefault="00D75A47" w:rsidP="000F35ED">
      <w:pPr>
        <w:pBdr>
          <w:top w:val="none" w:sz="0" w:space="0" w:color="auto"/>
          <w:left w:val="none" w:sz="0" w:space="0" w:color="auto"/>
          <w:bottom w:val="none" w:sz="0" w:space="0" w:color="auto"/>
          <w:right w:val="none" w:sz="0" w:space="0" w:color="auto"/>
          <w:bar w:val="none" w:sz="0" w:color="auto"/>
        </w:pBdr>
        <w:rPr>
          <w:rFonts w:ascii="Cambria" w:hAnsi="Cambria"/>
          <w:sz w:val="16"/>
          <w:szCs w:val="16"/>
        </w:rPr>
      </w:pPr>
      <w:r w:rsidRPr="000F35ED">
        <w:rPr>
          <w:rFonts w:ascii="Cambria" w:hAnsi="Cambria"/>
          <w:sz w:val="16"/>
          <w:szCs w:val="16"/>
        </w:rPr>
        <w:separator/>
      </w:r>
    </w:p>
    <w:p w:rsidR="00D75A47" w:rsidRPr="000F35ED" w:rsidRDefault="00D75A47" w:rsidP="000F35ED">
      <w:pPr>
        <w:pStyle w:val="Footer"/>
        <w:pBdr>
          <w:top w:val="none" w:sz="0" w:space="0" w:color="auto"/>
          <w:left w:val="none" w:sz="0" w:space="0" w:color="auto"/>
          <w:bottom w:val="none" w:sz="0" w:space="0" w:color="auto"/>
          <w:right w:val="none" w:sz="0" w:space="0" w:color="auto"/>
          <w:bar w:val="none" w:sz="0" w:color="auto"/>
        </w:pBdr>
        <w:rPr>
          <w:sz w:val="16"/>
          <w:szCs w:val="16"/>
        </w:rPr>
      </w:pPr>
      <w:r>
        <w:rPr>
          <w:sz w:val="16"/>
          <w:szCs w:val="16"/>
        </w:rPr>
        <w:t xml:space="preserve">[… </w:t>
      </w:r>
      <w:proofErr w:type="spellStart"/>
      <w:r>
        <w:rPr>
          <w:sz w:val="16"/>
          <w:szCs w:val="16"/>
        </w:rPr>
        <w:t>c</w:t>
      </w:r>
      <w:r w:rsidRPr="000F35ED">
        <w:rPr>
          <w:sz w:val="16"/>
          <w:szCs w:val="16"/>
        </w:rPr>
        <w:t>ontinuación</w:t>
      </w:r>
      <w:proofErr w:type="spellEnd"/>
      <w:r>
        <w:rPr>
          <w:sz w:val="16"/>
          <w:szCs w:val="16"/>
        </w:rPr>
        <w:t>]</w:t>
      </w:r>
    </w:p>
  </w:footnote>
  <w:footnote w:type="continuationNotice" w:id="1">
    <w:p w:rsidR="00D75A47" w:rsidRPr="000F35ED" w:rsidRDefault="00D75A47" w:rsidP="000F35ED">
      <w:pPr>
        <w:pBdr>
          <w:top w:val="none" w:sz="0" w:space="0" w:color="auto"/>
          <w:left w:val="none" w:sz="0" w:space="0" w:color="auto"/>
          <w:bottom w:val="none" w:sz="0" w:space="0" w:color="auto"/>
          <w:right w:val="none" w:sz="0" w:space="0" w:color="auto"/>
          <w:bar w:val="none" w:sz="0" w:color="auto"/>
        </w:pBdr>
        <w:jc w:val="right"/>
        <w:rPr>
          <w:rFonts w:ascii="Cambria" w:hAnsi="Cambria"/>
          <w:sz w:val="16"/>
          <w:szCs w:val="16"/>
          <w:lang w:val="es-ES"/>
        </w:rPr>
      </w:pPr>
      <w:r>
        <w:rPr>
          <w:rFonts w:ascii="Cambria" w:hAnsi="Cambria"/>
          <w:sz w:val="16"/>
          <w:szCs w:val="16"/>
          <w:lang w:val="es-ES"/>
        </w:rPr>
        <w:t>[c</w:t>
      </w:r>
      <w:r w:rsidRPr="000F35ED">
        <w:rPr>
          <w:rFonts w:ascii="Cambria" w:hAnsi="Cambria"/>
          <w:sz w:val="16"/>
          <w:szCs w:val="16"/>
          <w:lang w:val="es-ES"/>
        </w:rPr>
        <w:t>ontinúa…</w:t>
      </w:r>
      <w:r>
        <w:rPr>
          <w:rFonts w:ascii="Cambria" w:hAnsi="Cambria"/>
          <w:sz w:val="16"/>
          <w:szCs w:val="16"/>
          <w:lang w:val="es-ES"/>
        </w:rPr>
        <w:t>]</w:t>
      </w:r>
    </w:p>
  </w:footnote>
  <w:footnote w:id="2">
    <w:p w:rsidR="001405E8" w:rsidRDefault="001405E8" w:rsidP="00723967">
      <w:pPr>
        <w:pStyle w:val="FootnoteText"/>
        <w:pBdr>
          <w:top w:val="none" w:sz="0" w:space="0" w:color="auto"/>
          <w:left w:val="none" w:sz="0" w:space="0" w:color="auto"/>
          <w:bottom w:val="none" w:sz="0" w:space="0" w:color="auto"/>
          <w:right w:val="none" w:sz="0" w:space="0" w:color="auto"/>
          <w:bar w:val="none" w:sz="0" w:color="auto"/>
        </w:pBdr>
        <w:ind w:firstLine="720"/>
        <w:jc w:val="both"/>
      </w:pPr>
      <w:r w:rsidRPr="00893759">
        <w:rPr>
          <w:rStyle w:val="FootnoteReference"/>
          <w:rFonts w:ascii="Cambria" w:hAnsi="Cambria"/>
          <w:sz w:val="16"/>
          <w:szCs w:val="16"/>
        </w:rPr>
        <w:footnoteRef/>
      </w:r>
      <w:r w:rsidRPr="00893759">
        <w:rPr>
          <w:rFonts w:ascii="Cambria" w:hAnsi="Cambria"/>
          <w:sz w:val="16"/>
          <w:szCs w:val="16"/>
        </w:rPr>
        <w:t xml:space="preserve"> In keeping with the provisions of Article 17(2</w:t>
      </w:r>
      <w:proofErr w:type="gramStart"/>
      <w:r w:rsidRPr="00893759">
        <w:rPr>
          <w:rFonts w:ascii="Cambria" w:hAnsi="Cambria"/>
          <w:sz w:val="16"/>
          <w:szCs w:val="16"/>
        </w:rPr>
        <w:t>)(</w:t>
      </w:r>
      <w:proofErr w:type="gramEnd"/>
      <w:r w:rsidRPr="00893759">
        <w:rPr>
          <w:rFonts w:ascii="Cambria" w:hAnsi="Cambria"/>
          <w:sz w:val="16"/>
          <w:szCs w:val="16"/>
        </w:rPr>
        <w:t>a) of the Commission’s Rules of Procedure, Commissioner Julissa Mantilla Falcón, a Peruvian national, did not participate in the debate or decision on this matter</w:t>
      </w:r>
      <w:r w:rsidRPr="00893759">
        <w:rPr>
          <w:rFonts w:ascii="Cambria" w:hAnsi="Cambria"/>
          <w:color w:val="auto"/>
          <w:sz w:val="16"/>
          <w:szCs w:val="16"/>
        </w:rPr>
        <w:t>.</w:t>
      </w:r>
    </w:p>
  </w:footnote>
  <w:footnote w:id="3">
    <w:p w:rsidR="001405E8" w:rsidRDefault="001405E8" w:rsidP="00723967">
      <w:pPr>
        <w:pStyle w:val="FootnoteText"/>
        <w:pBdr>
          <w:top w:val="none" w:sz="0" w:space="0" w:color="auto"/>
          <w:left w:val="none" w:sz="0" w:space="0" w:color="auto"/>
          <w:bottom w:val="none" w:sz="0" w:space="0" w:color="auto"/>
          <w:right w:val="none" w:sz="0" w:space="0" w:color="auto"/>
          <w:bar w:val="none" w:sz="0" w:color="auto"/>
        </w:pBdr>
        <w:ind w:firstLine="720"/>
        <w:contextualSpacing/>
        <w:jc w:val="both"/>
      </w:pPr>
      <w:r w:rsidRPr="00893759">
        <w:rPr>
          <w:rStyle w:val="FootnoteReference"/>
          <w:rFonts w:ascii="Cambria" w:hAnsi="Cambria"/>
          <w:sz w:val="16"/>
          <w:szCs w:val="16"/>
        </w:rPr>
        <w:footnoteRef/>
      </w:r>
      <w:r w:rsidRPr="00893759">
        <w:rPr>
          <w:rFonts w:ascii="Cambria" w:hAnsi="Cambria"/>
          <w:sz w:val="16"/>
          <w:szCs w:val="16"/>
        </w:rPr>
        <w:t xml:space="preserve"> It mentions, without </w:t>
      </w:r>
      <w:r>
        <w:rPr>
          <w:rFonts w:ascii="Cambria" w:hAnsi="Cambria"/>
          <w:sz w:val="16"/>
          <w:szCs w:val="16"/>
        </w:rPr>
        <w:t xml:space="preserve">referring to a specific </w:t>
      </w:r>
      <w:r w:rsidRPr="00893759">
        <w:rPr>
          <w:rFonts w:ascii="Cambria" w:hAnsi="Cambria"/>
          <w:sz w:val="16"/>
          <w:szCs w:val="16"/>
        </w:rPr>
        <w:t xml:space="preserve">instrument or articles, the rights to guarantees of due process, equal protection under the law, and the right to judicial protection from violations of fundamental rights. </w:t>
      </w:r>
    </w:p>
  </w:footnote>
  <w:footnote w:id="4">
    <w:p w:rsidR="001405E8" w:rsidRDefault="001405E8" w:rsidP="00723967">
      <w:pPr>
        <w:pStyle w:val="FootnoteText"/>
        <w:pBdr>
          <w:top w:val="none" w:sz="0" w:space="0" w:color="auto"/>
          <w:left w:val="none" w:sz="0" w:space="0" w:color="auto"/>
          <w:bottom w:val="none" w:sz="0" w:space="0" w:color="auto"/>
          <w:right w:val="none" w:sz="0" w:space="0" w:color="auto"/>
          <w:bar w:val="none" w:sz="0" w:color="auto"/>
        </w:pBdr>
        <w:ind w:firstLine="720"/>
        <w:jc w:val="both"/>
      </w:pPr>
      <w:r w:rsidRPr="00893759">
        <w:rPr>
          <w:rStyle w:val="FootnoteReference"/>
          <w:rFonts w:ascii="Cambria" w:hAnsi="Cambria"/>
          <w:sz w:val="16"/>
          <w:szCs w:val="16"/>
        </w:rPr>
        <w:footnoteRef/>
      </w:r>
      <w:r w:rsidRPr="00893759">
        <w:rPr>
          <w:rFonts w:ascii="Cambria" w:hAnsi="Cambria"/>
          <w:sz w:val="16"/>
          <w:szCs w:val="16"/>
        </w:rPr>
        <w:t xml:space="preserve"> The observations submitted by each party were duly transmitted to the opposing party.</w:t>
      </w:r>
    </w:p>
  </w:footnote>
  <w:footnote w:id="5">
    <w:p w:rsidR="001405E8" w:rsidRDefault="001405E8" w:rsidP="00EB72BC">
      <w:pPr>
        <w:pStyle w:val="FootnoteText"/>
        <w:pBdr>
          <w:top w:val="none" w:sz="0" w:space="0" w:color="auto"/>
          <w:left w:val="none" w:sz="0" w:space="0" w:color="auto"/>
          <w:bottom w:val="none" w:sz="0" w:space="0" w:color="auto"/>
          <w:right w:val="none" w:sz="0" w:space="0" w:color="auto"/>
          <w:bar w:val="none" w:sz="0" w:color="auto"/>
        </w:pBdr>
        <w:ind w:firstLine="720"/>
        <w:jc w:val="both"/>
      </w:pPr>
      <w:r w:rsidRPr="00893759">
        <w:rPr>
          <w:rStyle w:val="FootnoteReference"/>
          <w:rFonts w:ascii="Cambria" w:hAnsi="Cambria"/>
          <w:sz w:val="16"/>
          <w:szCs w:val="16"/>
        </w:rPr>
        <w:footnoteRef/>
      </w:r>
      <w:r w:rsidRPr="00893759">
        <w:rPr>
          <w:rFonts w:ascii="Cambria" w:hAnsi="Cambria"/>
          <w:sz w:val="16"/>
          <w:szCs w:val="16"/>
        </w:rPr>
        <w:t xml:space="preserve"> The petitioner, subsequent to his initial petition, has not provided additional substantive information, but has submitted several requests for information regarding the status of his case, the last of which was presented on </w:t>
      </w:r>
      <w:r>
        <w:rPr>
          <w:rFonts w:ascii="Cambria" w:hAnsi="Cambria"/>
          <w:sz w:val="16"/>
          <w:szCs w:val="16"/>
        </w:rPr>
        <w:t>Jan</w:t>
      </w:r>
      <w:r w:rsidRPr="00893759">
        <w:rPr>
          <w:rFonts w:ascii="Cambria" w:hAnsi="Cambria"/>
          <w:sz w:val="16"/>
          <w:szCs w:val="16"/>
        </w:rPr>
        <w:t>u</w:t>
      </w:r>
      <w:r>
        <w:rPr>
          <w:rFonts w:ascii="Cambria" w:hAnsi="Cambria"/>
          <w:sz w:val="16"/>
          <w:szCs w:val="16"/>
        </w:rPr>
        <w:t>a</w:t>
      </w:r>
      <w:r w:rsidRPr="00893759">
        <w:rPr>
          <w:rFonts w:ascii="Cambria" w:hAnsi="Cambria"/>
          <w:sz w:val="16"/>
          <w:szCs w:val="16"/>
        </w:rPr>
        <w:t xml:space="preserve">ry 4, 2019. </w:t>
      </w:r>
    </w:p>
  </w:footnote>
  <w:footnote w:id="6">
    <w:p w:rsidR="001405E8" w:rsidRDefault="001405E8" w:rsidP="006E0D53">
      <w:pPr>
        <w:pStyle w:val="FootnoteText"/>
        <w:pBdr>
          <w:top w:val="none" w:sz="0" w:space="0" w:color="auto"/>
          <w:left w:val="none" w:sz="0" w:space="0" w:color="auto"/>
          <w:bottom w:val="none" w:sz="0" w:space="0" w:color="auto"/>
          <w:right w:val="none" w:sz="0" w:space="0" w:color="auto"/>
          <w:bar w:val="none" w:sz="0" w:color="auto"/>
        </w:pBdr>
        <w:ind w:firstLine="720"/>
        <w:jc w:val="both"/>
      </w:pPr>
      <w:r w:rsidRPr="00893759">
        <w:rPr>
          <w:rStyle w:val="FootnoteReference"/>
          <w:rFonts w:ascii="Cambria" w:hAnsi="Cambria"/>
          <w:sz w:val="16"/>
          <w:szCs w:val="16"/>
        </w:rPr>
        <w:footnoteRef/>
      </w:r>
      <w:r w:rsidRPr="00893759">
        <w:rPr>
          <w:rFonts w:ascii="Cambria" w:hAnsi="Cambria"/>
          <w:sz w:val="16"/>
          <w:szCs w:val="16"/>
        </w:rPr>
        <w:t xml:space="preserve"> The petitioner did not respond to the notification of pos</w:t>
      </w:r>
      <w:r>
        <w:rPr>
          <w:rFonts w:ascii="Cambria" w:hAnsi="Cambria"/>
          <w:sz w:val="16"/>
          <w:szCs w:val="16"/>
        </w:rPr>
        <w:t>s</w:t>
      </w:r>
      <w:r w:rsidRPr="00893759">
        <w:rPr>
          <w:rFonts w:ascii="Cambria" w:hAnsi="Cambria"/>
          <w:sz w:val="16"/>
          <w:szCs w:val="16"/>
        </w:rPr>
        <w:t xml:space="preserve">ible archiving of the petition; however, on January 4, 2019, he sent a note requesting information about the status of his case. </w:t>
      </w:r>
    </w:p>
  </w:footnote>
  <w:footnote w:id="7">
    <w:p w:rsidR="001405E8" w:rsidRDefault="001405E8" w:rsidP="00B75659">
      <w:pPr>
        <w:pStyle w:val="FootnoteText"/>
        <w:pBdr>
          <w:top w:val="none" w:sz="0" w:space="0" w:color="auto"/>
          <w:left w:val="none" w:sz="0" w:space="0" w:color="auto"/>
          <w:bottom w:val="none" w:sz="0" w:space="0" w:color="auto"/>
          <w:right w:val="none" w:sz="0" w:space="0" w:color="auto"/>
          <w:bar w:val="none" w:sz="0" w:color="auto"/>
        </w:pBdr>
        <w:ind w:firstLine="720"/>
        <w:jc w:val="both"/>
      </w:pPr>
      <w:r w:rsidRPr="00893759">
        <w:rPr>
          <w:rStyle w:val="FootnoteReference"/>
          <w:rFonts w:ascii="Cambria" w:hAnsi="Cambria"/>
          <w:color w:val="auto"/>
          <w:sz w:val="16"/>
          <w:szCs w:val="16"/>
        </w:rPr>
        <w:footnoteRef/>
      </w:r>
      <w:r w:rsidRPr="00893759">
        <w:rPr>
          <w:rFonts w:ascii="Cambria" w:hAnsi="Cambria"/>
          <w:color w:val="auto"/>
          <w:sz w:val="16"/>
          <w:szCs w:val="16"/>
        </w:rPr>
        <w:t xml:space="preserve"> The language of the provision refers to “</w:t>
      </w:r>
      <w:r w:rsidRPr="005F2EEF">
        <w:rPr>
          <w:rFonts w:ascii="Cambria" w:hAnsi="Cambria"/>
          <w:color w:val="auto"/>
          <w:sz w:val="16"/>
          <w:szCs w:val="16"/>
        </w:rPr>
        <w:t>sixty business days as of the violation’s occurrence, provided that the party affected was aware of the harmful act and was able to file the action.”</w:t>
      </w:r>
    </w:p>
  </w:footnote>
  <w:footnote w:id="8">
    <w:p w:rsidR="001405E8" w:rsidRDefault="001405E8" w:rsidP="000B04D4">
      <w:pPr>
        <w:pStyle w:val="FootnoteText"/>
        <w:pBdr>
          <w:top w:val="none" w:sz="0" w:space="0" w:color="auto"/>
          <w:left w:val="none" w:sz="0" w:space="0" w:color="auto"/>
          <w:bottom w:val="none" w:sz="0" w:space="0" w:color="auto"/>
          <w:right w:val="none" w:sz="0" w:space="0" w:color="auto"/>
          <w:bar w:val="none" w:sz="0" w:color="auto"/>
        </w:pBdr>
        <w:ind w:firstLine="720"/>
        <w:jc w:val="both"/>
      </w:pPr>
      <w:r w:rsidRPr="00893759">
        <w:rPr>
          <w:rStyle w:val="FootnoteReference"/>
          <w:rFonts w:ascii="Cambria" w:hAnsi="Cambria"/>
          <w:color w:val="auto"/>
          <w:sz w:val="16"/>
          <w:szCs w:val="16"/>
        </w:rPr>
        <w:footnoteRef/>
      </w:r>
      <w:r w:rsidRPr="00893759">
        <w:rPr>
          <w:rFonts w:ascii="Cambria" w:hAnsi="Cambria"/>
          <w:color w:val="auto"/>
          <w:sz w:val="16"/>
          <w:szCs w:val="16"/>
        </w:rPr>
        <w:t xml:space="preserve"> IACHR, Report Nº 90/03 (Inadmissibility), Petition 0581/1999, Gustavo Trujillo González, Peru, October 22, 2003, para. 32.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5E8" w:rsidRDefault="001405E8" w:rsidP="00B54CDF">
    <w:pPr>
      <w:pStyle w:val="Header"/>
      <w:framePr w:wrap="around" w:vAnchor="text" w:hAnchor="margin" w:xAlign="center" w:y="1"/>
      <w:rPr>
        <w:rStyle w:val="PageNumber"/>
        <w:rFonts w:cs="Univers"/>
      </w:rPr>
    </w:pPr>
    <w:r>
      <w:rPr>
        <w:rStyle w:val="PageNumber"/>
        <w:rFonts w:cs="Univers"/>
      </w:rPr>
      <w:fldChar w:fldCharType="begin"/>
    </w:r>
    <w:r>
      <w:rPr>
        <w:rStyle w:val="PageNumber"/>
        <w:rFonts w:cs="Univers"/>
      </w:rPr>
      <w:instrText xml:space="preserve">PAGE  </w:instrText>
    </w:r>
    <w:r>
      <w:rPr>
        <w:rStyle w:val="PageNumber"/>
        <w:rFonts w:cs="Univers"/>
      </w:rPr>
      <w:fldChar w:fldCharType="end"/>
    </w:r>
  </w:p>
  <w:p w:rsidR="001405E8" w:rsidRDefault="001405E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5E8" w:rsidRDefault="00223AAB" w:rsidP="00A50FCF">
    <w:pPr>
      <w:pStyle w:val="Header"/>
      <w:tabs>
        <w:tab w:val="clear" w:pos="4320"/>
        <w:tab w:val="clear" w:pos="8640"/>
      </w:tabs>
      <w:jc w:val="center"/>
      <w:rPr>
        <w:sz w:val="22"/>
        <w:szCs w:val="22"/>
      </w:rPr>
    </w:pPr>
    <w:r>
      <w:rPr>
        <w:noProof/>
        <w:sz w:val="22"/>
        <w:szCs w:val="22"/>
      </w:rPr>
      <w:drawing>
        <wp:inline distT="0" distB="0" distL="0" distR="0">
          <wp:extent cx="1952625" cy="104775"/>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625" cy="104775"/>
                  </a:xfrm>
                  <a:prstGeom prst="rect">
                    <a:avLst/>
                  </a:prstGeom>
                  <a:noFill/>
                  <a:ln>
                    <a:noFill/>
                  </a:ln>
                </pic:spPr>
              </pic:pic>
            </a:graphicData>
          </a:graphic>
        </wp:inline>
      </w:drawing>
    </w:r>
  </w:p>
  <w:p w:rsidR="001405E8" w:rsidRPr="00EC7D62" w:rsidRDefault="00D75A47" w:rsidP="00A50FCF">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6D59" w:rsidRDefault="00A46D5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5E8" w:rsidRDefault="001405E8" w:rsidP="00B54CDF">
    <w:pPr>
      <w:pStyle w:val="Header"/>
      <w:framePr w:wrap="around" w:vAnchor="text" w:hAnchor="margin" w:xAlign="center" w:y="1"/>
      <w:rPr>
        <w:rStyle w:val="PageNumber"/>
        <w:rFonts w:cs="Univers"/>
      </w:rPr>
    </w:pPr>
    <w:r>
      <w:rPr>
        <w:rStyle w:val="PageNumber"/>
        <w:rFonts w:cs="Univers"/>
      </w:rPr>
      <w:fldChar w:fldCharType="begin"/>
    </w:r>
    <w:r>
      <w:rPr>
        <w:rStyle w:val="PageNumber"/>
        <w:rFonts w:cs="Univers"/>
      </w:rPr>
      <w:instrText xml:space="preserve">PAGE  </w:instrText>
    </w:r>
    <w:r>
      <w:rPr>
        <w:rStyle w:val="PageNumber"/>
        <w:rFonts w:cs="Univers"/>
      </w:rPr>
      <w:fldChar w:fldCharType="end"/>
    </w:r>
  </w:p>
  <w:p w:rsidR="001405E8" w:rsidRDefault="001405E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A7D" w:rsidRDefault="00AA4A7D" w:rsidP="00AA4A7D">
    <w:pPr>
      <w:pStyle w:val="Header"/>
      <w:tabs>
        <w:tab w:val="clear" w:pos="4320"/>
        <w:tab w:val="clear" w:pos="8640"/>
      </w:tabs>
      <w:jc w:val="center"/>
      <w:rPr>
        <w:sz w:val="22"/>
        <w:szCs w:val="22"/>
      </w:rPr>
    </w:pPr>
    <w:r>
      <w:rPr>
        <w:noProof/>
        <w:sz w:val="22"/>
        <w:szCs w:val="22"/>
      </w:rPr>
      <w:drawing>
        <wp:inline distT="0" distB="0" distL="0" distR="0" wp14:anchorId="13A6AFF8" wp14:editId="7CB96C38">
          <wp:extent cx="2190750" cy="123825"/>
          <wp:effectExtent l="0" t="0" r="0" b="0"/>
          <wp:docPr id="14"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0" cy="123825"/>
                  </a:xfrm>
                  <a:prstGeom prst="rect">
                    <a:avLst/>
                  </a:prstGeom>
                  <a:noFill/>
                  <a:ln>
                    <a:noFill/>
                  </a:ln>
                </pic:spPr>
              </pic:pic>
            </a:graphicData>
          </a:graphic>
        </wp:inline>
      </w:drawing>
    </w:r>
  </w:p>
  <w:p w:rsidR="00AA4A7D" w:rsidRPr="00EC7D62" w:rsidRDefault="00AA4A7D" w:rsidP="00AA4A7D">
    <w:pPr>
      <w:pStyle w:val="Header"/>
      <w:tabs>
        <w:tab w:val="clear" w:pos="4320"/>
        <w:tab w:val="clear" w:pos="8640"/>
      </w:tabs>
      <w:jc w:val="center"/>
      <w:rPr>
        <w:sz w:val="22"/>
        <w:szCs w:val="22"/>
      </w:rPr>
    </w:pPr>
    <w:r>
      <w:rPr>
        <w:sz w:val="22"/>
        <w:szCs w:val="22"/>
      </w:rPr>
      <w:pict>
        <v:rect id="_x0000_i1026"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Times New Roman" w:hAnsi="Calibri" w:cs="Calibri"/>
        <w:b/>
        <w:bCs/>
        <w:color w:val="000000"/>
        <w:position w:val="0"/>
        <w:sz w:val="22"/>
        <w:szCs w:val="22"/>
        <w:u w:val="single" w:color="000000"/>
      </w:rPr>
    </w:lvl>
    <w:lvl w:ilvl="1">
      <w:start w:val="1"/>
      <w:numFmt w:val="decimal"/>
      <w:lvlText w:val="%1.%2."/>
      <w:lvlJc w:val="left"/>
      <w:pPr>
        <w:tabs>
          <w:tab w:val="num" w:pos="720"/>
        </w:tabs>
        <w:ind w:left="720" w:hanging="360"/>
      </w:pPr>
      <w:rPr>
        <w:rFonts w:ascii="Trebuchet MS" w:eastAsia="Times New Roman" w:hAnsi="Trebuchet MS" w:cs="Trebuchet MS"/>
        <w:b/>
        <w:bCs/>
        <w:color w:val="000000"/>
        <w:position w:val="0"/>
        <w:sz w:val="22"/>
        <w:szCs w:val="22"/>
        <w:u w:val="single" w:color="000000"/>
      </w:rPr>
    </w:lvl>
    <w:lvl w:ilvl="2">
      <w:start w:val="1"/>
      <w:numFmt w:val="decimal"/>
      <w:lvlText w:val="%1.%2.%3."/>
      <w:lvlJc w:val="left"/>
      <w:pPr>
        <w:tabs>
          <w:tab w:val="num" w:pos="1020"/>
        </w:tabs>
        <w:ind w:left="1020" w:hanging="660"/>
      </w:pPr>
      <w:rPr>
        <w:rFonts w:ascii="Calibri" w:eastAsia="Times New Roman" w:hAnsi="Calibri" w:cs="Calibri"/>
        <w:b/>
        <w:bCs/>
        <w:color w:val="000000"/>
        <w:position w:val="0"/>
        <w:sz w:val="22"/>
        <w:szCs w:val="22"/>
        <w:u w:val="single" w:color="000000"/>
      </w:rPr>
    </w:lvl>
    <w:lvl w:ilvl="3">
      <w:start w:val="1"/>
      <w:numFmt w:val="decimal"/>
      <w:lvlText w:val="%1.%2.%3.%4."/>
      <w:lvlJc w:val="left"/>
      <w:pPr>
        <w:tabs>
          <w:tab w:val="num" w:pos="1020"/>
        </w:tabs>
        <w:ind w:left="1020" w:hanging="660"/>
      </w:pPr>
      <w:rPr>
        <w:rFonts w:ascii="Calibri" w:eastAsia="Times New Roman" w:hAnsi="Calibri" w:cs="Calibri"/>
        <w:b/>
        <w:bCs/>
        <w:color w:val="000000"/>
        <w:position w:val="0"/>
        <w:sz w:val="22"/>
        <w:szCs w:val="22"/>
        <w:u w:val="single" w:color="000000"/>
      </w:rPr>
    </w:lvl>
    <w:lvl w:ilvl="4">
      <w:start w:val="1"/>
      <w:numFmt w:val="decimal"/>
      <w:lvlText w:val="%1.%2.%3.%4.%5."/>
      <w:lvlJc w:val="left"/>
      <w:pPr>
        <w:tabs>
          <w:tab w:val="num" w:pos="1350"/>
        </w:tabs>
        <w:ind w:left="1350" w:hanging="990"/>
      </w:pPr>
      <w:rPr>
        <w:rFonts w:ascii="Calibri" w:eastAsia="Times New Roman" w:hAnsi="Calibri" w:cs="Calibri"/>
        <w:b/>
        <w:bCs/>
        <w:color w:val="000000"/>
        <w:position w:val="0"/>
        <w:sz w:val="22"/>
        <w:szCs w:val="22"/>
        <w:u w:val="single" w:color="000000"/>
      </w:rPr>
    </w:lvl>
    <w:lvl w:ilvl="5">
      <w:start w:val="1"/>
      <w:numFmt w:val="decimal"/>
      <w:lvlText w:val="%1.%2.%3.%4.%5.%6."/>
      <w:lvlJc w:val="left"/>
      <w:pPr>
        <w:tabs>
          <w:tab w:val="num" w:pos="1350"/>
        </w:tabs>
        <w:ind w:left="1350" w:hanging="990"/>
      </w:pPr>
      <w:rPr>
        <w:rFonts w:ascii="Calibri" w:eastAsia="Times New Roman" w:hAnsi="Calibri" w:cs="Calibri"/>
        <w:b/>
        <w:bCs/>
        <w:color w:val="000000"/>
        <w:position w:val="0"/>
        <w:sz w:val="22"/>
        <w:szCs w:val="22"/>
        <w:u w:val="single" w:color="000000"/>
      </w:rPr>
    </w:lvl>
    <w:lvl w:ilvl="6">
      <w:start w:val="1"/>
      <w:numFmt w:val="decimal"/>
      <w:lvlText w:val="%1.%2.%3.%4.%5.%6.%7."/>
      <w:lvlJc w:val="left"/>
      <w:pPr>
        <w:tabs>
          <w:tab w:val="num" w:pos="1680"/>
        </w:tabs>
        <w:ind w:left="1680" w:hanging="1320"/>
      </w:pPr>
      <w:rPr>
        <w:rFonts w:ascii="Calibri" w:eastAsia="Times New Roman" w:hAnsi="Calibri" w:cs="Calibri"/>
        <w:b/>
        <w:bCs/>
        <w:color w:val="000000"/>
        <w:position w:val="0"/>
        <w:sz w:val="22"/>
        <w:szCs w:val="22"/>
        <w:u w:val="single" w:color="000000"/>
      </w:rPr>
    </w:lvl>
    <w:lvl w:ilvl="7">
      <w:start w:val="1"/>
      <w:numFmt w:val="decimal"/>
      <w:lvlText w:val="%1.%2.%3.%4.%5.%6.%7.%8."/>
      <w:lvlJc w:val="left"/>
      <w:pPr>
        <w:tabs>
          <w:tab w:val="num" w:pos="1680"/>
        </w:tabs>
        <w:ind w:left="1680" w:hanging="1320"/>
      </w:pPr>
      <w:rPr>
        <w:rFonts w:ascii="Calibri" w:eastAsia="Times New Roman" w:hAnsi="Calibri" w:cs="Calibri"/>
        <w:b/>
        <w:bCs/>
        <w:color w:val="000000"/>
        <w:position w:val="0"/>
        <w:sz w:val="22"/>
        <w:szCs w:val="22"/>
        <w:u w:val="single" w:color="000000"/>
      </w:rPr>
    </w:lvl>
    <w:lvl w:ilvl="8">
      <w:start w:val="1"/>
      <w:numFmt w:val="decimal"/>
      <w:lvlText w:val="%1.%2.%3.%4.%5.%6.%7.%8.%9."/>
      <w:lvlJc w:val="left"/>
      <w:pPr>
        <w:tabs>
          <w:tab w:val="num" w:pos="2010"/>
        </w:tabs>
        <w:ind w:left="2010" w:hanging="1650"/>
      </w:pPr>
      <w:rPr>
        <w:rFonts w:ascii="Calibri" w:eastAsia="Times New Roman" w:hAnsi="Calibri" w:cs="Calibri"/>
        <w:b/>
        <w:bCs/>
        <w:color w:val="000000"/>
        <w:position w:val="0"/>
        <w:sz w:val="22"/>
        <w:szCs w:val="22"/>
        <w:u w:val="single" w:color="000000"/>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Times New Roman" w:hAnsi="Calibri" w:cs="Calibri"/>
        <w:color w:val="000000"/>
        <w:position w:val="0"/>
        <w:sz w:val="22"/>
        <w:szCs w:val="22"/>
        <w:u w:color="000000"/>
      </w:rPr>
    </w:lvl>
    <w:lvl w:ilvl="1">
      <w:start w:val="1"/>
      <w:numFmt w:val="lowerLetter"/>
      <w:lvlText w:val="%2."/>
      <w:lvlJc w:val="left"/>
      <w:pPr>
        <w:tabs>
          <w:tab w:val="num" w:pos="1440"/>
        </w:tabs>
        <w:ind w:left="1440" w:hanging="360"/>
      </w:pPr>
      <w:rPr>
        <w:rFonts w:ascii="Calibri" w:eastAsia="Times New Roman" w:hAnsi="Calibri" w:cs="Calibri" w:hint="default"/>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690"/>
        </w:tabs>
        <w:ind w:left="69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imes New Roman" w:hAnsi="Trebuchet MS"/>
        <w:color w:val="000000"/>
        <w:position w:val="0"/>
        <w:sz w:val="24"/>
        <w:u w:color="000000"/>
      </w:rPr>
    </w:lvl>
    <w:lvl w:ilvl="1">
      <w:start w:val="1"/>
      <w:numFmt w:val="bullet"/>
      <w:lvlText w:val="o"/>
      <w:lvlJc w:val="left"/>
      <w:pPr>
        <w:tabs>
          <w:tab w:val="num" w:pos="1410"/>
        </w:tabs>
        <w:ind w:left="1410" w:hanging="330"/>
      </w:pPr>
      <w:rPr>
        <w:rFonts w:ascii="Calibri" w:eastAsia="Times New Roman" w:hAnsi="Calibri"/>
        <w:color w:val="000000"/>
        <w:position w:val="0"/>
        <w:sz w:val="22"/>
        <w:u w:color="000000"/>
      </w:rPr>
    </w:lvl>
    <w:lvl w:ilvl="2">
      <w:start w:val="1"/>
      <w:numFmt w:val="bullet"/>
      <w:lvlText w:val="▪"/>
      <w:lvlJc w:val="left"/>
      <w:pPr>
        <w:tabs>
          <w:tab w:val="num" w:pos="2130"/>
        </w:tabs>
        <w:ind w:left="2130" w:hanging="330"/>
      </w:pPr>
      <w:rPr>
        <w:rFonts w:ascii="Calibri" w:eastAsia="Times New Roman" w:hAnsi="Calibri"/>
        <w:color w:val="000000"/>
        <w:position w:val="0"/>
        <w:sz w:val="22"/>
        <w:u w:color="000000"/>
      </w:rPr>
    </w:lvl>
    <w:lvl w:ilvl="3">
      <w:start w:val="1"/>
      <w:numFmt w:val="bullet"/>
      <w:lvlText w:val="•"/>
      <w:lvlJc w:val="left"/>
      <w:pPr>
        <w:tabs>
          <w:tab w:val="num" w:pos="2850"/>
        </w:tabs>
        <w:ind w:left="2850" w:hanging="330"/>
      </w:pPr>
      <w:rPr>
        <w:rFonts w:ascii="Calibri" w:eastAsia="Times New Roman" w:hAnsi="Calibri"/>
        <w:color w:val="000000"/>
        <w:position w:val="0"/>
        <w:sz w:val="22"/>
        <w:u w:color="000000"/>
      </w:rPr>
    </w:lvl>
    <w:lvl w:ilvl="4">
      <w:start w:val="1"/>
      <w:numFmt w:val="bullet"/>
      <w:lvlText w:val="o"/>
      <w:lvlJc w:val="left"/>
      <w:pPr>
        <w:tabs>
          <w:tab w:val="num" w:pos="3570"/>
        </w:tabs>
        <w:ind w:left="3570" w:hanging="330"/>
      </w:pPr>
      <w:rPr>
        <w:rFonts w:ascii="Calibri" w:eastAsia="Times New Roman" w:hAnsi="Calibri"/>
        <w:color w:val="000000"/>
        <w:position w:val="0"/>
        <w:sz w:val="22"/>
        <w:u w:color="000000"/>
      </w:rPr>
    </w:lvl>
    <w:lvl w:ilvl="5">
      <w:start w:val="1"/>
      <w:numFmt w:val="bullet"/>
      <w:lvlText w:val="▪"/>
      <w:lvlJc w:val="left"/>
      <w:pPr>
        <w:tabs>
          <w:tab w:val="num" w:pos="4290"/>
        </w:tabs>
        <w:ind w:left="4290" w:hanging="330"/>
      </w:pPr>
      <w:rPr>
        <w:rFonts w:ascii="Calibri" w:eastAsia="Times New Roman" w:hAnsi="Calibri"/>
        <w:color w:val="000000"/>
        <w:position w:val="0"/>
        <w:sz w:val="22"/>
        <w:u w:color="000000"/>
      </w:rPr>
    </w:lvl>
    <w:lvl w:ilvl="6">
      <w:start w:val="1"/>
      <w:numFmt w:val="bullet"/>
      <w:lvlText w:val="•"/>
      <w:lvlJc w:val="left"/>
      <w:pPr>
        <w:tabs>
          <w:tab w:val="num" w:pos="5010"/>
        </w:tabs>
        <w:ind w:left="5010" w:hanging="330"/>
      </w:pPr>
      <w:rPr>
        <w:rFonts w:ascii="Calibri" w:eastAsia="Times New Roman" w:hAnsi="Calibri"/>
        <w:color w:val="000000"/>
        <w:position w:val="0"/>
        <w:sz w:val="22"/>
        <w:u w:color="000000"/>
      </w:rPr>
    </w:lvl>
    <w:lvl w:ilvl="7">
      <w:start w:val="1"/>
      <w:numFmt w:val="bullet"/>
      <w:lvlText w:val="o"/>
      <w:lvlJc w:val="left"/>
      <w:pPr>
        <w:tabs>
          <w:tab w:val="num" w:pos="5730"/>
        </w:tabs>
        <w:ind w:left="5730" w:hanging="330"/>
      </w:pPr>
      <w:rPr>
        <w:rFonts w:ascii="Calibri" w:eastAsia="Times New Roman" w:hAnsi="Calibri"/>
        <w:color w:val="000000"/>
        <w:position w:val="0"/>
        <w:sz w:val="22"/>
        <w:u w:color="000000"/>
      </w:rPr>
    </w:lvl>
    <w:lvl w:ilvl="8">
      <w:start w:val="1"/>
      <w:numFmt w:val="bullet"/>
      <w:lvlText w:val="▪"/>
      <w:lvlJc w:val="left"/>
      <w:pPr>
        <w:tabs>
          <w:tab w:val="num" w:pos="6450"/>
        </w:tabs>
        <w:ind w:left="6450" w:hanging="330"/>
      </w:pPr>
      <w:rPr>
        <w:rFonts w:ascii="Calibri" w:eastAsia="Times New Roman" w:hAnsi="Calibri"/>
        <w:color w:val="000000"/>
        <w:position w:val="0"/>
        <w:sz w:val="22"/>
        <w:u w:color="000000"/>
      </w:rPr>
    </w:lvl>
  </w:abstractNum>
  <w:abstractNum w:abstractNumId="6" w15:restartNumberingAfterBreak="0">
    <w:nsid w:val="0E1D2261"/>
    <w:multiLevelType w:val="hybridMultilevel"/>
    <w:tmpl w:val="4A121338"/>
    <w:lvl w:ilvl="0" w:tplc="A9FEF18C">
      <w:start w:val="1"/>
      <w:numFmt w:val="decimal"/>
      <w:lvlText w:val="%1."/>
      <w:lvlJc w:val="left"/>
      <w:pPr>
        <w:tabs>
          <w:tab w:val="num" w:pos="720"/>
        </w:tabs>
        <w:ind w:firstLine="720"/>
      </w:pPr>
      <w:rPr>
        <w:rFonts w:cs="Times New Roman" w:hint="default"/>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2BA2819"/>
    <w:multiLevelType w:val="multilevel"/>
    <w:tmpl w:val="DE3EA646"/>
    <w:lvl w:ilvl="0">
      <w:start w:val="1"/>
      <w:numFmt w:val="bullet"/>
      <w:lvlText w:val="•"/>
      <w:lvlJc w:val="left"/>
      <w:pPr>
        <w:tabs>
          <w:tab w:val="num" w:pos="720"/>
        </w:tabs>
        <w:ind w:left="720" w:hanging="360"/>
      </w:pPr>
      <w:rPr>
        <w:rFonts w:ascii="Trebuchet MS" w:eastAsia="Times New Roman" w:hAnsi="Trebuchet MS"/>
        <w:color w:val="000000"/>
        <w:position w:val="0"/>
        <w:sz w:val="24"/>
        <w:u w:color="000000"/>
      </w:rPr>
    </w:lvl>
    <w:lvl w:ilvl="1">
      <w:start w:val="1"/>
      <w:numFmt w:val="bullet"/>
      <w:lvlText w:val="o"/>
      <w:lvlJc w:val="left"/>
      <w:pPr>
        <w:tabs>
          <w:tab w:val="num" w:pos="1410"/>
        </w:tabs>
        <w:ind w:left="1410" w:hanging="330"/>
      </w:pPr>
      <w:rPr>
        <w:rFonts w:ascii="Calibri" w:eastAsia="Times New Roman" w:hAnsi="Calibri"/>
        <w:color w:val="000000"/>
        <w:position w:val="0"/>
        <w:sz w:val="22"/>
        <w:u w:color="000000"/>
      </w:rPr>
    </w:lvl>
    <w:lvl w:ilvl="2">
      <w:start w:val="1"/>
      <w:numFmt w:val="bullet"/>
      <w:lvlText w:val="▪"/>
      <w:lvlJc w:val="left"/>
      <w:pPr>
        <w:tabs>
          <w:tab w:val="num" w:pos="2130"/>
        </w:tabs>
        <w:ind w:left="2130" w:hanging="330"/>
      </w:pPr>
      <w:rPr>
        <w:rFonts w:ascii="Calibri" w:eastAsia="Times New Roman" w:hAnsi="Calibri"/>
        <w:color w:val="000000"/>
        <w:position w:val="0"/>
        <w:sz w:val="22"/>
        <w:u w:color="000000"/>
      </w:rPr>
    </w:lvl>
    <w:lvl w:ilvl="3">
      <w:start w:val="1"/>
      <w:numFmt w:val="bullet"/>
      <w:lvlText w:val="•"/>
      <w:lvlJc w:val="left"/>
      <w:pPr>
        <w:tabs>
          <w:tab w:val="num" w:pos="2850"/>
        </w:tabs>
        <w:ind w:left="2850" w:hanging="330"/>
      </w:pPr>
      <w:rPr>
        <w:rFonts w:ascii="Calibri" w:eastAsia="Times New Roman" w:hAnsi="Calibri"/>
        <w:color w:val="000000"/>
        <w:position w:val="0"/>
        <w:sz w:val="22"/>
        <w:u w:color="000000"/>
      </w:rPr>
    </w:lvl>
    <w:lvl w:ilvl="4">
      <w:start w:val="1"/>
      <w:numFmt w:val="bullet"/>
      <w:lvlText w:val="o"/>
      <w:lvlJc w:val="left"/>
      <w:pPr>
        <w:tabs>
          <w:tab w:val="num" w:pos="3570"/>
        </w:tabs>
        <w:ind w:left="3570" w:hanging="330"/>
      </w:pPr>
      <w:rPr>
        <w:rFonts w:ascii="Calibri" w:eastAsia="Times New Roman" w:hAnsi="Calibri"/>
        <w:color w:val="000000"/>
        <w:position w:val="0"/>
        <w:sz w:val="22"/>
        <w:u w:color="000000"/>
      </w:rPr>
    </w:lvl>
    <w:lvl w:ilvl="5">
      <w:start w:val="1"/>
      <w:numFmt w:val="bullet"/>
      <w:lvlText w:val="▪"/>
      <w:lvlJc w:val="left"/>
      <w:pPr>
        <w:tabs>
          <w:tab w:val="num" w:pos="4290"/>
        </w:tabs>
        <w:ind w:left="4290" w:hanging="330"/>
      </w:pPr>
      <w:rPr>
        <w:rFonts w:ascii="Calibri" w:eastAsia="Times New Roman" w:hAnsi="Calibri"/>
        <w:color w:val="000000"/>
        <w:position w:val="0"/>
        <w:sz w:val="22"/>
        <w:u w:color="000000"/>
      </w:rPr>
    </w:lvl>
    <w:lvl w:ilvl="6">
      <w:start w:val="1"/>
      <w:numFmt w:val="bullet"/>
      <w:lvlText w:val="•"/>
      <w:lvlJc w:val="left"/>
      <w:pPr>
        <w:tabs>
          <w:tab w:val="num" w:pos="5010"/>
        </w:tabs>
        <w:ind w:left="5010" w:hanging="330"/>
      </w:pPr>
      <w:rPr>
        <w:rFonts w:ascii="Calibri" w:eastAsia="Times New Roman" w:hAnsi="Calibri"/>
        <w:color w:val="000000"/>
        <w:position w:val="0"/>
        <w:sz w:val="22"/>
        <w:u w:color="000000"/>
      </w:rPr>
    </w:lvl>
    <w:lvl w:ilvl="7">
      <w:start w:val="1"/>
      <w:numFmt w:val="bullet"/>
      <w:lvlText w:val="o"/>
      <w:lvlJc w:val="left"/>
      <w:pPr>
        <w:tabs>
          <w:tab w:val="num" w:pos="5730"/>
        </w:tabs>
        <w:ind w:left="5730" w:hanging="330"/>
      </w:pPr>
      <w:rPr>
        <w:rFonts w:ascii="Calibri" w:eastAsia="Times New Roman" w:hAnsi="Calibri"/>
        <w:color w:val="000000"/>
        <w:position w:val="0"/>
        <w:sz w:val="22"/>
        <w:u w:color="000000"/>
      </w:rPr>
    </w:lvl>
    <w:lvl w:ilvl="8">
      <w:start w:val="1"/>
      <w:numFmt w:val="bullet"/>
      <w:lvlText w:val="▪"/>
      <w:lvlJc w:val="left"/>
      <w:pPr>
        <w:tabs>
          <w:tab w:val="num" w:pos="6450"/>
        </w:tabs>
        <w:ind w:left="6450" w:hanging="330"/>
      </w:pPr>
      <w:rPr>
        <w:rFonts w:ascii="Calibri" w:eastAsia="Times New Roman" w:hAnsi="Calibri"/>
        <w:color w:val="000000"/>
        <w:position w:val="0"/>
        <w:sz w:val="22"/>
        <w:u w:color="000000"/>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Times New Roman" w:hAnsi="Calibri" w:cs="Calibri"/>
        <w:color w:val="000000"/>
        <w:position w:val="0"/>
        <w:sz w:val="22"/>
        <w:szCs w:val="22"/>
        <w:u w:color="000000"/>
      </w:rPr>
    </w:lvl>
    <w:lvl w:ilvl="1">
      <w:start w:val="1"/>
      <w:numFmt w:val="lowerLetter"/>
      <w:lvlText w:val="%2."/>
      <w:lvlJc w:val="left"/>
      <w:pPr>
        <w:tabs>
          <w:tab w:val="num" w:pos="1440"/>
        </w:tabs>
        <w:ind w:left="1440" w:hanging="360"/>
      </w:pPr>
      <w:rPr>
        <w:rFonts w:ascii="Trebuchet MS" w:eastAsia="Times New Roman" w:hAnsi="Trebuchet MS" w:cs="Trebuchet M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690"/>
        </w:tabs>
        <w:ind w:left="69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decimal"/>
      <w:lvlText w:val="%1.%2."/>
      <w:lvlJc w:val="left"/>
      <w:pPr>
        <w:tabs>
          <w:tab w:val="num" w:pos="690"/>
        </w:tabs>
        <w:ind w:left="690" w:hanging="330"/>
      </w:pPr>
      <w:rPr>
        <w:rFonts w:ascii="Calibri" w:eastAsia="Times New Roman" w:hAnsi="Calibri" w:cs="Calibri"/>
        <w:b/>
        <w:bCs/>
        <w:color w:val="000000"/>
        <w:position w:val="0"/>
        <w:sz w:val="22"/>
        <w:szCs w:val="22"/>
        <w:u w:color="000000"/>
      </w:rPr>
    </w:lvl>
    <w:lvl w:ilvl="2">
      <w:start w:val="1"/>
      <w:numFmt w:val="decimal"/>
      <w:lvlText w:val="%1.%2.%3."/>
      <w:lvlJc w:val="left"/>
      <w:pPr>
        <w:tabs>
          <w:tab w:val="num" w:pos="1020"/>
        </w:tabs>
        <w:ind w:left="1020" w:hanging="660"/>
      </w:pPr>
      <w:rPr>
        <w:rFonts w:ascii="Calibri" w:eastAsia="Times New Roman" w:hAnsi="Calibri" w:cs="Calibri"/>
        <w:b/>
        <w:bCs/>
        <w:color w:val="000000"/>
        <w:position w:val="0"/>
        <w:sz w:val="22"/>
        <w:szCs w:val="22"/>
        <w:u w:color="000000"/>
      </w:rPr>
    </w:lvl>
    <w:lvl w:ilvl="3">
      <w:start w:val="1"/>
      <w:numFmt w:val="decimal"/>
      <w:lvlText w:val="%1.%2.%3.%4."/>
      <w:lvlJc w:val="left"/>
      <w:pPr>
        <w:tabs>
          <w:tab w:val="num" w:pos="1020"/>
        </w:tabs>
        <w:ind w:left="1020" w:hanging="660"/>
      </w:pPr>
      <w:rPr>
        <w:rFonts w:ascii="Calibri" w:eastAsia="Times New Roman" w:hAnsi="Calibri" w:cs="Calibri"/>
        <w:b/>
        <w:bCs/>
        <w:color w:val="000000"/>
        <w:position w:val="0"/>
        <w:sz w:val="22"/>
        <w:szCs w:val="22"/>
        <w:u w:color="000000"/>
      </w:rPr>
    </w:lvl>
    <w:lvl w:ilvl="4">
      <w:start w:val="1"/>
      <w:numFmt w:val="decimal"/>
      <w:lvlText w:val="%1.%2.%3.%4.%5."/>
      <w:lvlJc w:val="left"/>
      <w:pPr>
        <w:tabs>
          <w:tab w:val="num" w:pos="1350"/>
        </w:tabs>
        <w:ind w:left="1350" w:hanging="990"/>
      </w:pPr>
      <w:rPr>
        <w:rFonts w:ascii="Calibri" w:eastAsia="Times New Roman" w:hAnsi="Calibri" w:cs="Calibri"/>
        <w:b/>
        <w:bCs/>
        <w:color w:val="000000"/>
        <w:position w:val="0"/>
        <w:sz w:val="22"/>
        <w:szCs w:val="22"/>
        <w:u w:color="000000"/>
      </w:rPr>
    </w:lvl>
    <w:lvl w:ilvl="5">
      <w:start w:val="1"/>
      <w:numFmt w:val="decimal"/>
      <w:lvlText w:val="%1.%2.%3.%4.%5.%6."/>
      <w:lvlJc w:val="left"/>
      <w:pPr>
        <w:tabs>
          <w:tab w:val="num" w:pos="1350"/>
        </w:tabs>
        <w:ind w:left="1350" w:hanging="990"/>
      </w:pPr>
      <w:rPr>
        <w:rFonts w:ascii="Calibri" w:eastAsia="Times New Roman" w:hAnsi="Calibri" w:cs="Calibri"/>
        <w:b/>
        <w:bCs/>
        <w:color w:val="000000"/>
        <w:position w:val="0"/>
        <w:sz w:val="22"/>
        <w:szCs w:val="22"/>
        <w:u w:color="000000"/>
      </w:rPr>
    </w:lvl>
    <w:lvl w:ilvl="6">
      <w:start w:val="1"/>
      <w:numFmt w:val="decimal"/>
      <w:lvlText w:val="%1.%2.%3.%4.%5.%6.%7."/>
      <w:lvlJc w:val="left"/>
      <w:pPr>
        <w:tabs>
          <w:tab w:val="num" w:pos="1680"/>
        </w:tabs>
        <w:ind w:left="1680" w:hanging="1320"/>
      </w:pPr>
      <w:rPr>
        <w:rFonts w:ascii="Calibri" w:eastAsia="Times New Roman" w:hAnsi="Calibri" w:cs="Calibri"/>
        <w:b/>
        <w:bCs/>
        <w:color w:val="000000"/>
        <w:position w:val="0"/>
        <w:sz w:val="22"/>
        <w:szCs w:val="22"/>
        <w:u w:color="000000"/>
      </w:rPr>
    </w:lvl>
    <w:lvl w:ilvl="7">
      <w:start w:val="1"/>
      <w:numFmt w:val="decimal"/>
      <w:lvlText w:val="%1.%2.%3.%4.%5.%6.%7.%8."/>
      <w:lvlJc w:val="left"/>
      <w:pPr>
        <w:tabs>
          <w:tab w:val="num" w:pos="1680"/>
        </w:tabs>
        <w:ind w:left="1680" w:hanging="1320"/>
      </w:pPr>
      <w:rPr>
        <w:rFonts w:ascii="Calibri" w:eastAsia="Times New Roman" w:hAnsi="Calibri" w:cs="Calibri"/>
        <w:b/>
        <w:bCs/>
        <w:color w:val="000000"/>
        <w:position w:val="0"/>
        <w:sz w:val="22"/>
        <w:szCs w:val="22"/>
        <w:u w:color="000000"/>
      </w:rPr>
    </w:lvl>
    <w:lvl w:ilvl="8">
      <w:start w:val="1"/>
      <w:numFmt w:val="decimal"/>
      <w:lvlText w:val="%1.%2.%3.%4.%5.%6.%7.%8.%9."/>
      <w:lvlJc w:val="left"/>
      <w:pPr>
        <w:tabs>
          <w:tab w:val="num" w:pos="2010"/>
        </w:tabs>
        <w:ind w:left="2010" w:hanging="1650"/>
      </w:pPr>
      <w:rPr>
        <w:rFonts w:ascii="Calibri" w:eastAsia="Times New Roman" w:hAnsi="Calibri" w:cs="Calibri"/>
        <w:b/>
        <w:bCs/>
        <w:color w:val="000000"/>
        <w:position w:val="0"/>
        <w:sz w:val="22"/>
        <w:szCs w:val="22"/>
        <w:u w:color="000000"/>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22" w15:restartNumberingAfterBreak="0">
    <w:nsid w:val="31CB6708"/>
    <w:multiLevelType w:val="multilevel"/>
    <w:tmpl w:val="B6544A0C"/>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Times New Roman" w:hAnsi="Calibri" w:cs="Calibri"/>
        <w:color w:val="000000"/>
        <w:position w:val="0"/>
        <w:sz w:val="22"/>
        <w:szCs w:val="22"/>
        <w:u w:color="000000"/>
      </w:rPr>
    </w:lvl>
    <w:lvl w:ilvl="1">
      <w:start w:val="1"/>
      <w:numFmt w:val="lowerLetter"/>
      <w:lvlText w:val="%2."/>
      <w:lvlJc w:val="left"/>
      <w:pPr>
        <w:tabs>
          <w:tab w:val="num" w:pos="1440"/>
        </w:tabs>
        <w:ind w:left="1440" w:hanging="360"/>
      </w:pPr>
      <w:rPr>
        <w:rFonts w:ascii="Trebuchet MS" w:eastAsia="Times New Roman" w:hAnsi="Trebuchet MS" w:cs="Trebuchet M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Times New Roman" w:cs="Calibri"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imes New Roman" w:hAnsi="Trebuchet MS"/>
        <w:color w:val="000000"/>
        <w:position w:val="0"/>
        <w:sz w:val="24"/>
        <w:u w:color="000000"/>
      </w:rPr>
    </w:lvl>
    <w:lvl w:ilvl="1">
      <w:start w:val="1"/>
      <w:numFmt w:val="bullet"/>
      <w:lvlText w:val="o"/>
      <w:lvlJc w:val="left"/>
      <w:pPr>
        <w:tabs>
          <w:tab w:val="num" w:pos="1410"/>
        </w:tabs>
        <w:ind w:left="1410" w:hanging="330"/>
      </w:pPr>
      <w:rPr>
        <w:rFonts w:ascii="Calibri" w:eastAsia="Times New Roman" w:hAnsi="Calibri"/>
        <w:color w:val="000000"/>
        <w:position w:val="0"/>
        <w:sz w:val="22"/>
        <w:u w:color="000000"/>
      </w:rPr>
    </w:lvl>
    <w:lvl w:ilvl="2">
      <w:start w:val="1"/>
      <w:numFmt w:val="bullet"/>
      <w:lvlText w:val="▪"/>
      <w:lvlJc w:val="left"/>
      <w:pPr>
        <w:tabs>
          <w:tab w:val="num" w:pos="2130"/>
        </w:tabs>
        <w:ind w:left="2130" w:hanging="330"/>
      </w:pPr>
      <w:rPr>
        <w:rFonts w:ascii="Calibri" w:eastAsia="Times New Roman" w:hAnsi="Calibri"/>
        <w:color w:val="000000"/>
        <w:position w:val="0"/>
        <w:sz w:val="22"/>
        <w:u w:color="000000"/>
      </w:rPr>
    </w:lvl>
    <w:lvl w:ilvl="3">
      <w:start w:val="1"/>
      <w:numFmt w:val="bullet"/>
      <w:lvlText w:val="•"/>
      <w:lvlJc w:val="left"/>
      <w:pPr>
        <w:tabs>
          <w:tab w:val="num" w:pos="2850"/>
        </w:tabs>
        <w:ind w:left="2850" w:hanging="330"/>
      </w:pPr>
      <w:rPr>
        <w:rFonts w:ascii="Calibri" w:eastAsia="Times New Roman" w:hAnsi="Calibri"/>
        <w:color w:val="000000"/>
        <w:position w:val="0"/>
        <w:sz w:val="22"/>
        <w:u w:color="000000"/>
      </w:rPr>
    </w:lvl>
    <w:lvl w:ilvl="4">
      <w:start w:val="1"/>
      <w:numFmt w:val="bullet"/>
      <w:lvlText w:val="o"/>
      <w:lvlJc w:val="left"/>
      <w:pPr>
        <w:tabs>
          <w:tab w:val="num" w:pos="3570"/>
        </w:tabs>
        <w:ind w:left="3570" w:hanging="330"/>
      </w:pPr>
      <w:rPr>
        <w:rFonts w:ascii="Calibri" w:eastAsia="Times New Roman" w:hAnsi="Calibri"/>
        <w:color w:val="000000"/>
        <w:position w:val="0"/>
        <w:sz w:val="22"/>
        <w:u w:color="000000"/>
      </w:rPr>
    </w:lvl>
    <w:lvl w:ilvl="5">
      <w:start w:val="1"/>
      <w:numFmt w:val="bullet"/>
      <w:lvlText w:val="▪"/>
      <w:lvlJc w:val="left"/>
      <w:pPr>
        <w:tabs>
          <w:tab w:val="num" w:pos="4290"/>
        </w:tabs>
        <w:ind w:left="4290" w:hanging="330"/>
      </w:pPr>
      <w:rPr>
        <w:rFonts w:ascii="Calibri" w:eastAsia="Times New Roman" w:hAnsi="Calibri"/>
        <w:color w:val="000000"/>
        <w:position w:val="0"/>
        <w:sz w:val="22"/>
        <w:u w:color="000000"/>
      </w:rPr>
    </w:lvl>
    <w:lvl w:ilvl="6">
      <w:start w:val="1"/>
      <w:numFmt w:val="bullet"/>
      <w:lvlText w:val="•"/>
      <w:lvlJc w:val="left"/>
      <w:pPr>
        <w:tabs>
          <w:tab w:val="num" w:pos="5010"/>
        </w:tabs>
        <w:ind w:left="5010" w:hanging="330"/>
      </w:pPr>
      <w:rPr>
        <w:rFonts w:ascii="Calibri" w:eastAsia="Times New Roman" w:hAnsi="Calibri"/>
        <w:color w:val="000000"/>
        <w:position w:val="0"/>
        <w:sz w:val="22"/>
        <w:u w:color="000000"/>
      </w:rPr>
    </w:lvl>
    <w:lvl w:ilvl="7">
      <w:start w:val="1"/>
      <w:numFmt w:val="bullet"/>
      <w:lvlText w:val="o"/>
      <w:lvlJc w:val="left"/>
      <w:pPr>
        <w:tabs>
          <w:tab w:val="num" w:pos="5730"/>
        </w:tabs>
        <w:ind w:left="5730" w:hanging="330"/>
      </w:pPr>
      <w:rPr>
        <w:rFonts w:ascii="Calibri" w:eastAsia="Times New Roman" w:hAnsi="Calibri"/>
        <w:color w:val="000000"/>
        <w:position w:val="0"/>
        <w:sz w:val="22"/>
        <w:u w:color="000000"/>
      </w:rPr>
    </w:lvl>
    <w:lvl w:ilvl="8">
      <w:start w:val="1"/>
      <w:numFmt w:val="bullet"/>
      <w:lvlText w:val="▪"/>
      <w:lvlJc w:val="left"/>
      <w:pPr>
        <w:tabs>
          <w:tab w:val="num" w:pos="6450"/>
        </w:tabs>
        <w:ind w:left="6450" w:hanging="330"/>
      </w:pPr>
      <w:rPr>
        <w:rFonts w:ascii="Calibri" w:eastAsia="Times New Roman" w:hAnsi="Calibri"/>
        <w:color w:val="000000"/>
        <w:position w:val="0"/>
        <w:sz w:val="22"/>
        <w:u w:color="000000"/>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cs="Times New Roman" w:hint="default"/>
      </w:rPr>
    </w:lvl>
    <w:lvl w:ilvl="1" w:tplc="83BC6644">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3" w15:restartNumberingAfterBreak="0">
    <w:nsid w:val="42DF19D7"/>
    <w:multiLevelType w:val="multilevel"/>
    <w:tmpl w:val="E7265BB0"/>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bullet"/>
      <w:lvlText w:val="•"/>
      <w:lvlJc w:val="left"/>
      <w:pPr>
        <w:tabs>
          <w:tab w:val="num" w:pos="1740"/>
        </w:tabs>
        <w:ind w:left="1740" w:hanging="660"/>
      </w:pPr>
      <w:rPr>
        <w:rFonts w:ascii="Calibri" w:eastAsia="Times New Roman" w:hAnsi="Calibri"/>
        <w:color w:val="000000"/>
        <w:position w:val="0"/>
        <w:sz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8" w15:restartNumberingAfterBreak="0">
    <w:nsid w:val="492723E7"/>
    <w:multiLevelType w:val="multilevel"/>
    <w:tmpl w:val="0CF8CC36"/>
    <w:lvl w:ilvl="0">
      <w:start w:val="1"/>
      <w:numFmt w:val="decimal"/>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Calibri" w:eastAsia="Times New Roman" w:hAnsi="Calibri" w:cs="Trebuchet MS" w:hint="default"/>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val="single" w:color="000000"/>
      </w:rPr>
    </w:lvl>
    <w:lvl w:ilvl="1">
      <w:start w:val="1"/>
      <w:numFmt w:val="lowerLetter"/>
      <w:lvlText w:val="%2."/>
      <w:lvlJc w:val="left"/>
      <w:pPr>
        <w:tabs>
          <w:tab w:val="num" w:pos="1770"/>
        </w:tabs>
        <w:ind w:left="1770" w:hanging="330"/>
      </w:pPr>
      <w:rPr>
        <w:rFonts w:ascii="Calibri" w:eastAsia="Times New Roman" w:hAnsi="Calibri" w:cs="Calibri"/>
        <w:b/>
        <w:bCs/>
        <w:color w:val="000000"/>
        <w:position w:val="0"/>
        <w:sz w:val="22"/>
        <w:szCs w:val="22"/>
        <w:u w:val="single" w:color="000000"/>
      </w:rPr>
    </w:lvl>
    <w:lvl w:ilvl="2">
      <w:start w:val="1"/>
      <w:numFmt w:val="lowerRoman"/>
      <w:lvlText w:val="%3."/>
      <w:lvlJc w:val="left"/>
      <w:pPr>
        <w:tabs>
          <w:tab w:val="num" w:pos="2495"/>
        </w:tabs>
        <w:ind w:left="2495" w:hanging="271"/>
      </w:pPr>
      <w:rPr>
        <w:rFonts w:ascii="Calibri" w:eastAsia="Times New Roman" w:hAnsi="Calibri" w:cs="Calibri"/>
        <w:b/>
        <w:bCs/>
        <w:color w:val="000000"/>
        <w:position w:val="0"/>
        <w:sz w:val="22"/>
        <w:szCs w:val="22"/>
        <w:u w:val="single" w:color="000000"/>
      </w:rPr>
    </w:lvl>
    <w:lvl w:ilvl="3">
      <w:start w:val="1"/>
      <w:numFmt w:val="decimal"/>
      <w:lvlText w:val="%4."/>
      <w:lvlJc w:val="left"/>
      <w:pPr>
        <w:tabs>
          <w:tab w:val="num" w:pos="3210"/>
        </w:tabs>
        <w:ind w:left="3210" w:hanging="330"/>
      </w:pPr>
      <w:rPr>
        <w:rFonts w:ascii="Calibri" w:eastAsia="Times New Roman" w:hAnsi="Calibri" w:cs="Calibri"/>
        <w:b/>
        <w:bCs/>
        <w:color w:val="000000"/>
        <w:position w:val="0"/>
        <w:sz w:val="22"/>
        <w:szCs w:val="22"/>
        <w:u w:val="single" w:color="000000"/>
      </w:rPr>
    </w:lvl>
    <w:lvl w:ilvl="4">
      <w:start w:val="1"/>
      <w:numFmt w:val="lowerLetter"/>
      <w:lvlText w:val="%5."/>
      <w:lvlJc w:val="left"/>
      <w:pPr>
        <w:tabs>
          <w:tab w:val="num" w:pos="3930"/>
        </w:tabs>
        <w:ind w:left="3930" w:hanging="330"/>
      </w:pPr>
      <w:rPr>
        <w:rFonts w:ascii="Calibri" w:eastAsia="Times New Roman" w:hAnsi="Calibri" w:cs="Calibri"/>
        <w:b/>
        <w:bCs/>
        <w:color w:val="000000"/>
        <w:position w:val="0"/>
        <w:sz w:val="22"/>
        <w:szCs w:val="22"/>
        <w:u w:val="single" w:color="000000"/>
      </w:rPr>
    </w:lvl>
    <w:lvl w:ilvl="5">
      <w:start w:val="1"/>
      <w:numFmt w:val="lowerRoman"/>
      <w:lvlText w:val="%6."/>
      <w:lvlJc w:val="left"/>
      <w:pPr>
        <w:tabs>
          <w:tab w:val="num" w:pos="4655"/>
        </w:tabs>
        <w:ind w:left="4655" w:hanging="271"/>
      </w:pPr>
      <w:rPr>
        <w:rFonts w:ascii="Calibri" w:eastAsia="Times New Roman" w:hAnsi="Calibri" w:cs="Calibri"/>
        <w:b/>
        <w:bCs/>
        <w:color w:val="000000"/>
        <w:position w:val="0"/>
        <w:sz w:val="22"/>
        <w:szCs w:val="22"/>
        <w:u w:val="single" w:color="000000"/>
      </w:rPr>
    </w:lvl>
    <w:lvl w:ilvl="6">
      <w:start w:val="1"/>
      <w:numFmt w:val="decimal"/>
      <w:lvlText w:val="%7."/>
      <w:lvlJc w:val="left"/>
      <w:pPr>
        <w:tabs>
          <w:tab w:val="num" w:pos="5370"/>
        </w:tabs>
        <w:ind w:left="5370" w:hanging="330"/>
      </w:pPr>
      <w:rPr>
        <w:rFonts w:ascii="Calibri" w:eastAsia="Times New Roman" w:hAnsi="Calibri" w:cs="Calibri"/>
        <w:b/>
        <w:bCs/>
        <w:color w:val="000000"/>
        <w:position w:val="0"/>
        <w:sz w:val="22"/>
        <w:szCs w:val="22"/>
        <w:u w:val="single" w:color="000000"/>
      </w:rPr>
    </w:lvl>
    <w:lvl w:ilvl="7">
      <w:start w:val="1"/>
      <w:numFmt w:val="lowerLetter"/>
      <w:lvlText w:val="%8."/>
      <w:lvlJc w:val="left"/>
      <w:pPr>
        <w:tabs>
          <w:tab w:val="num" w:pos="6090"/>
        </w:tabs>
        <w:ind w:left="6090" w:hanging="330"/>
      </w:pPr>
      <w:rPr>
        <w:rFonts w:ascii="Calibri" w:eastAsia="Times New Roman" w:hAnsi="Calibri" w:cs="Calibri"/>
        <w:b/>
        <w:bCs/>
        <w:color w:val="000000"/>
        <w:position w:val="0"/>
        <w:sz w:val="22"/>
        <w:szCs w:val="22"/>
        <w:u w:val="single" w:color="000000"/>
      </w:rPr>
    </w:lvl>
    <w:lvl w:ilvl="8">
      <w:start w:val="1"/>
      <w:numFmt w:val="lowerRoman"/>
      <w:lvlText w:val="%9."/>
      <w:lvlJc w:val="left"/>
      <w:pPr>
        <w:tabs>
          <w:tab w:val="num" w:pos="6815"/>
        </w:tabs>
        <w:ind w:left="6815" w:hanging="271"/>
      </w:pPr>
      <w:rPr>
        <w:rFonts w:ascii="Calibri" w:eastAsia="Times New Roman" w:hAnsi="Calibri" w:cs="Calibri"/>
        <w:b/>
        <w:bCs/>
        <w:color w:val="000000"/>
        <w:position w:val="0"/>
        <w:sz w:val="22"/>
        <w:szCs w:val="22"/>
        <w:u w:val="single" w:color="000000"/>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Times New Roman" w:hAnsi="Calibri" w:cs="Calibri"/>
        <w:b/>
        <w:bCs/>
        <w:color w:val="000000"/>
        <w:position w:val="0"/>
        <w:sz w:val="22"/>
        <w:szCs w:val="22"/>
        <w:u w:val="single"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val="single"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val="single" w:color="000000"/>
      </w:rPr>
    </w:lvl>
    <w:lvl w:ilvl="3">
      <w:start w:val="1"/>
      <w:numFmt w:val="decimal"/>
      <w:lvlText w:val="%4."/>
      <w:lvlJc w:val="left"/>
      <w:pPr>
        <w:tabs>
          <w:tab w:val="num" w:pos="720"/>
        </w:tabs>
        <w:ind w:left="720" w:hanging="360"/>
      </w:pPr>
      <w:rPr>
        <w:rFonts w:ascii="Trebuchet MS" w:eastAsia="Times New Roman" w:hAnsi="Trebuchet MS" w:cs="Trebuchet MS"/>
        <w:b/>
        <w:bCs/>
        <w:color w:val="000000"/>
        <w:position w:val="0"/>
        <w:sz w:val="22"/>
        <w:szCs w:val="22"/>
        <w:u w:val="single"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val="single"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val="single"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val="single"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val="single"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val="single" w:color="000000"/>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44"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firstLine="720"/>
      </w:pPr>
      <w:rPr>
        <w:rFonts w:cs="Times New Roman" w:hint="default"/>
        <w:i w:val="0"/>
        <w:color w:val="auto"/>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val="single"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val="single"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val="single"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val="single"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val="single"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val="single"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val="single"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val="single"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val="single" w:color="000000"/>
      </w:rPr>
    </w:lvl>
  </w:abstractNum>
  <w:abstractNum w:abstractNumId="48"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50" w15:restartNumberingAfterBreak="0">
    <w:nsid w:val="637E3506"/>
    <w:multiLevelType w:val="hybridMultilevel"/>
    <w:tmpl w:val="38BAC68E"/>
    <w:lvl w:ilvl="0" w:tplc="8C82E214">
      <w:start w:val="1"/>
      <w:numFmt w:val="decimal"/>
      <w:lvlText w:val="%1."/>
      <w:lvlJc w:val="left"/>
      <w:pPr>
        <w:tabs>
          <w:tab w:val="num" w:pos="720"/>
        </w:tabs>
        <w:ind w:firstLine="720"/>
      </w:pPr>
      <w:rPr>
        <w:rFonts w:cs="Times New Roman" w:hint="default"/>
      </w:rPr>
    </w:lvl>
    <w:lvl w:ilvl="1" w:tplc="F2CAD2CA">
      <w:start w:val="34"/>
      <w:numFmt w:val="decimal"/>
      <w:lvlText w:val="%2."/>
      <w:lvlJc w:val="left"/>
      <w:pPr>
        <w:tabs>
          <w:tab w:val="num" w:pos="2520"/>
        </w:tabs>
        <w:ind w:left="2520" w:hanging="144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Times New Roman" w:hAnsi="Calibri" w:cs="Calibri"/>
        <w:b/>
        <w:bCs/>
        <w:color w:val="000000"/>
        <w:position w:val="0"/>
        <w:sz w:val="22"/>
        <w:szCs w:val="22"/>
        <w:u w:val="single" w:color="000000"/>
      </w:rPr>
    </w:lvl>
    <w:lvl w:ilvl="1">
      <w:start w:val="2"/>
      <w:numFmt w:val="decimal"/>
      <w:lvlText w:val="%1.%2."/>
      <w:lvlJc w:val="left"/>
      <w:pPr>
        <w:tabs>
          <w:tab w:val="num" w:pos="720"/>
        </w:tabs>
        <w:ind w:left="720" w:hanging="360"/>
      </w:pPr>
      <w:rPr>
        <w:rFonts w:ascii="Trebuchet MS" w:eastAsia="Times New Roman" w:hAnsi="Trebuchet MS" w:cs="Trebuchet MS"/>
        <w:b/>
        <w:bCs/>
        <w:color w:val="000000"/>
        <w:position w:val="0"/>
        <w:sz w:val="22"/>
        <w:szCs w:val="22"/>
        <w:u w:val="single" w:color="000000"/>
      </w:rPr>
    </w:lvl>
    <w:lvl w:ilvl="2">
      <w:start w:val="1"/>
      <w:numFmt w:val="decimal"/>
      <w:lvlText w:val="%1.%2.%3."/>
      <w:lvlJc w:val="left"/>
      <w:pPr>
        <w:tabs>
          <w:tab w:val="num" w:pos="1020"/>
        </w:tabs>
        <w:ind w:left="1020" w:hanging="660"/>
      </w:pPr>
      <w:rPr>
        <w:rFonts w:ascii="Calibri" w:eastAsia="Times New Roman" w:hAnsi="Calibri" w:cs="Calibri"/>
        <w:b/>
        <w:bCs/>
        <w:color w:val="000000"/>
        <w:position w:val="0"/>
        <w:sz w:val="22"/>
        <w:szCs w:val="22"/>
        <w:u w:val="single" w:color="000000"/>
      </w:rPr>
    </w:lvl>
    <w:lvl w:ilvl="3">
      <w:start w:val="1"/>
      <w:numFmt w:val="decimal"/>
      <w:lvlText w:val="%1.%2.%3.%4."/>
      <w:lvlJc w:val="left"/>
      <w:pPr>
        <w:tabs>
          <w:tab w:val="num" w:pos="1020"/>
        </w:tabs>
        <w:ind w:left="1020" w:hanging="660"/>
      </w:pPr>
      <w:rPr>
        <w:rFonts w:ascii="Calibri" w:eastAsia="Times New Roman" w:hAnsi="Calibri" w:cs="Calibri"/>
        <w:b/>
        <w:bCs/>
        <w:color w:val="000000"/>
        <w:position w:val="0"/>
        <w:sz w:val="22"/>
        <w:szCs w:val="22"/>
        <w:u w:val="single" w:color="000000"/>
      </w:rPr>
    </w:lvl>
    <w:lvl w:ilvl="4">
      <w:start w:val="1"/>
      <w:numFmt w:val="decimal"/>
      <w:lvlText w:val="%1.%2.%3.%4.%5."/>
      <w:lvlJc w:val="left"/>
      <w:pPr>
        <w:tabs>
          <w:tab w:val="num" w:pos="1350"/>
        </w:tabs>
        <w:ind w:left="1350" w:hanging="990"/>
      </w:pPr>
      <w:rPr>
        <w:rFonts w:ascii="Calibri" w:eastAsia="Times New Roman" w:hAnsi="Calibri" w:cs="Calibri"/>
        <w:b/>
        <w:bCs/>
        <w:color w:val="000000"/>
        <w:position w:val="0"/>
        <w:sz w:val="22"/>
        <w:szCs w:val="22"/>
        <w:u w:val="single" w:color="000000"/>
      </w:rPr>
    </w:lvl>
    <w:lvl w:ilvl="5">
      <w:start w:val="1"/>
      <w:numFmt w:val="decimal"/>
      <w:lvlText w:val="%1.%2.%3.%4.%5.%6."/>
      <w:lvlJc w:val="left"/>
      <w:pPr>
        <w:tabs>
          <w:tab w:val="num" w:pos="1350"/>
        </w:tabs>
        <w:ind w:left="1350" w:hanging="990"/>
      </w:pPr>
      <w:rPr>
        <w:rFonts w:ascii="Calibri" w:eastAsia="Times New Roman" w:hAnsi="Calibri" w:cs="Calibri"/>
        <w:b/>
        <w:bCs/>
        <w:color w:val="000000"/>
        <w:position w:val="0"/>
        <w:sz w:val="22"/>
        <w:szCs w:val="22"/>
        <w:u w:val="single" w:color="000000"/>
      </w:rPr>
    </w:lvl>
    <w:lvl w:ilvl="6">
      <w:start w:val="1"/>
      <w:numFmt w:val="decimal"/>
      <w:lvlText w:val="%1.%2.%3.%4.%5.%6.%7."/>
      <w:lvlJc w:val="left"/>
      <w:pPr>
        <w:tabs>
          <w:tab w:val="num" w:pos="1680"/>
        </w:tabs>
        <w:ind w:left="1680" w:hanging="1320"/>
      </w:pPr>
      <w:rPr>
        <w:rFonts w:ascii="Calibri" w:eastAsia="Times New Roman" w:hAnsi="Calibri" w:cs="Calibri"/>
        <w:b/>
        <w:bCs/>
        <w:color w:val="000000"/>
        <w:position w:val="0"/>
        <w:sz w:val="22"/>
        <w:szCs w:val="22"/>
        <w:u w:val="single" w:color="000000"/>
      </w:rPr>
    </w:lvl>
    <w:lvl w:ilvl="7">
      <w:start w:val="1"/>
      <w:numFmt w:val="decimal"/>
      <w:lvlText w:val="%1.%2.%3.%4.%5.%6.%7.%8."/>
      <w:lvlJc w:val="left"/>
      <w:pPr>
        <w:tabs>
          <w:tab w:val="num" w:pos="1680"/>
        </w:tabs>
        <w:ind w:left="1680" w:hanging="1320"/>
      </w:pPr>
      <w:rPr>
        <w:rFonts w:ascii="Calibri" w:eastAsia="Times New Roman" w:hAnsi="Calibri" w:cs="Calibri"/>
        <w:b/>
        <w:bCs/>
        <w:color w:val="000000"/>
        <w:position w:val="0"/>
        <w:sz w:val="22"/>
        <w:szCs w:val="22"/>
        <w:u w:val="single" w:color="000000"/>
      </w:rPr>
    </w:lvl>
    <w:lvl w:ilvl="8">
      <w:start w:val="1"/>
      <w:numFmt w:val="decimal"/>
      <w:lvlText w:val="%1.%2.%3.%4.%5.%6.%7.%8.%9."/>
      <w:lvlJc w:val="left"/>
      <w:pPr>
        <w:tabs>
          <w:tab w:val="num" w:pos="2010"/>
        </w:tabs>
        <w:ind w:left="2010" w:hanging="1650"/>
      </w:pPr>
      <w:rPr>
        <w:rFonts w:ascii="Calibri" w:eastAsia="Times New Roman" w:hAnsi="Calibri" w:cs="Calibri"/>
        <w:b/>
        <w:bCs/>
        <w:color w:val="000000"/>
        <w:position w:val="0"/>
        <w:sz w:val="22"/>
        <w:szCs w:val="22"/>
        <w:u w:val="single" w:color="000000"/>
      </w:rPr>
    </w:lvl>
  </w:abstractNum>
  <w:abstractNum w:abstractNumId="53" w15:restartNumberingAfterBreak="0">
    <w:nsid w:val="6A772C1F"/>
    <w:multiLevelType w:val="multilevel"/>
    <w:tmpl w:val="CB540D3E"/>
    <w:lvl w:ilvl="0">
      <w:start w:val="1"/>
      <w:numFmt w:val="decimal"/>
      <w:lvlText w:val="%1"/>
      <w:lvlJc w:val="left"/>
      <w:pPr>
        <w:ind w:left="360" w:hanging="360"/>
      </w:pPr>
      <w:rPr>
        <w:rFonts w:eastAsia="Times New Roman" w:cs="Calibri" w:hint="default"/>
      </w:rPr>
    </w:lvl>
    <w:lvl w:ilvl="1">
      <w:start w:val="2"/>
      <w:numFmt w:val="decimal"/>
      <w:lvlText w:val="%1.%2"/>
      <w:lvlJc w:val="left"/>
      <w:pPr>
        <w:ind w:left="1068" w:hanging="360"/>
      </w:pPr>
      <w:rPr>
        <w:rFonts w:eastAsia="Times New Roman" w:cs="Calibri" w:hint="default"/>
      </w:rPr>
    </w:lvl>
    <w:lvl w:ilvl="2">
      <w:start w:val="1"/>
      <w:numFmt w:val="decimal"/>
      <w:lvlText w:val="%1.%2.%3"/>
      <w:lvlJc w:val="left"/>
      <w:pPr>
        <w:ind w:left="2136" w:hanging="720"/>
      </w:pPr>
      <w:rPr>
        <w:rFonts w:eastAsia="Times New Roman" w:cs="Calibri" w:hint="default"/>
      </w:rPr>
    </w:lvl>
    <w:lvl w:ilvl="3">
      <w:start w:val="1"/>
      <w:numFmt w:val="decimal"/>
      <w:lvlText w:val="%1.%2.%3.%4"/>
      <w:lvlJc w:val="left"/>
      <w:pPr>
        <w:ind w:left="2844" w:hanging="720"/>
      </w:pPr>
      <w:rPr>
        <w:rFonts w:eastAsia="Times New Roman" w:cs="Calibri" w:hint="default"/>
      </w:rPr>
    </w:lvl>
    <w:lvl w:ilvl="4">
      <w:start w:val="1"/>
      <w:numFmt w:val="decimal"/>
      <w:lvlText w:val="%1.%2.%3.%4.%5"/>
      <w:lvlJc w:val="left"/>
      <w:pPr>
        <w:ind w:left="3912" w:hanging="1080"/>
      </w:pPr>
      <w:rPr>
        <w:rFonts w:eastAsia="Times New Roman" w:cs="Calibri" w:hint="default"/>
      </w:rPr>
    </w:lvl>
    <w:lvl w:ilvl="5">
      <w:start w:val="1"/>
      <w:numFmt w:val="decimal"/>
      <w:lvlText w:val="%1.%2.%3.%4.%5.%6"/>
      <w:lvlJc w:val="left"/>
      <w:pPr>
        <w:ind w:left="4620" w:hanging="1080"/>
      </w:pPr>
      <w:rPr>
        <w:rFonts w:eastAsia="Times New Roman" w:cs="Calibri" w:hint="default"/>
      </w:rPr>
    </w:lvl>
    <w:lvl w:ilvl="6">
      <w:start w:val="1"/>
      <w:numFmt w:val="decimal"/>
      <w:lvlText w:val="%1.%2.%3.%4.%5.%6.%7"/>
      <w:lvlJc w:val="left"/>
      <w:pPr>
        <w:ind w:left="5688" w:hanging="1440"/>
      </w:pPr>
      <w:rPr>
        <w:rFonts w:eastAsia="Times New Roman" w:cs="Calibri" w:hint="default"/>
      </w:rPr>
    </w:lvl>
    <w:lvl w:ilvl="7">
      <w:start w:val="1"/>
      <w:numFmt w:val="decimal"/>
      <w:lvlText w:val="%1.%2.%3.%4.%5.%6.%7.%8"/>
      <w:lvlJc w:val="left"/>
      <w:pPr>
        <w:ind w:left="6396" w:hanging="1440"/>
      </w:pPr>
      <w:rPr>
        <w:rFonts w:eastAsia="Times New Roman" w:cs="Calibri" w:hint="default"/>
      </w:rPr>
    </w:lvl>
    <w:lvl w:ilvl="8">
      <w:start w:val="1"/>
      <w:numFmt w:val="decimal"/>
      <w:lvlText w:val="%1.%2.%3.%4.%5.%6.%7.%8.%9"/>
      <w:lvlJc w:val="left"/>
      <w:pPr>
        <w:ind w:left="7464" w:hanging="1800"/>
      </w:pPr>
      <w:rPr>
        <w:rFonts w:eastAsia="Times New Roman" w:cs="Calibri" w:hint="default"/>
      </w:rPr>
    </w:lvl>
  </w:abstractNum>
  <w:abstractNum w:abstractNumId="54"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cs="Times New Roman" w:hint="default"/>
        <w:b w:val="0"/>
        <w:color w:val="auto"/>
        <w:sz w:val="20"/>
        <w:szCs w:val="20"/>
      </w:rPr>
    </w:lvl>
    <w:lvl w:ilvl="1" w:tplc="04090019">
      <w:start w:val="1"/>
      <w:numFmt w:val="lowerLetter"/>
      <w:lvlText w:val="%2."/>
      <w:lvlJc w:val="left"/>
      <w:pPr>
        <w:tabs>
          <w:tab w:val="num" w:pos="5040"/>
        </w:tabs>
        <w:ind w:left="5040" w:hanging="360"/>
      </w:pPr>
      <w:rPr>
        <w:rFonts w:cs="Times New Roman"/>
      </w:rPr>
    </w:lvl>
    <w:lvl w:ilvl="2" w:tplc="0409001B" w:tentative="1">
      <w:start w:val="1"/>
      <w:numFmt w:val="lowerRoman"/>
      <w:lvlText w:val="%3."/>
      <w:lvlJc w:val="right"/>
      <w:pPr>
        <w:tabs>
          <w:tab w:val="num" w:pos="5760"/>
        </w:tabs>
        <w:ind w:left="5760" w:hanging="180"/>
      </w:pPr>
      <w:rPr>
        <w:rFonts w:cs="Times New Roman"/>
      </w:rPr>
    </w:lvl>
    <w:lvl w:ilvl="3" w:tplc="0409000F" w:tentative="1">
      <w:start w:val="1"/>
      <w:numFmt w:val="decimal"/>
      <w:lvlText w:val="%4."/>
      <w:lvlJc w:val="left"/>
      <w:pPr>
        <w:tabs>
          <w:tab w:val="num" w:pos="6480"/>
        </w:tabs>
        <w:ind w:left="6480" w:hanging="360"/>
      </w:pPr>
      <w:rPr>
        <w:rFonts w:cs="Times New Roman"/>
      </w:rPr>
    </w:lvl>
    <w:lvl w:ilvl="4" w:tplc="04090019" w:tentative="1">
      <w:start w:val="1"/>
      <w:numFmt w:val="lowerLetter"/>
      <w:lvlText w:val="%5."/>
      <w:lvlJc w:val="left"/>
      <w:pPr>
        <w:tabs>
          <w:tab w:val="num" w:pos="7200"/>
        </w:tabs>
        <w:ind w:left="7200" w:hanging="360"/>
      </w:pPr>
      <w:rPr>
        <w:rFonts w:cs="Times New Roman"/>
      </w:rPr>
    </w:lvl>
    <w:lvl w:ilvl="5" w:tplc="0409001B" w:tentative="1">
      <w:start w:val="1"/>
      <w:numFmt w:val="lowerRoman"/>
      <w:lvlText w:val="%6."/>
      <w:lvlJc w:val="right"/>
      <w:pPr>
        <w:tabs>
          <w:tab w:val="num" w:pos="7920"/>
        </w:tabs>
        <w:ind w:left="7920" w:hanging="180"/>
      </w:pPr>
      <w:rPr>
        <w:rFonts w:cs="Times New Roman"/>
      </w:rPr>
    </w:lvl>
    <w:lvl w:ilvl="6" w:tplc="0409000F" w:tentative="1">
      <w:start w:val="1"/>
      <w:numFmt w:val="decimal"/>
      <w:lvlText w:val="%7."/>
      <w:lvlJc w:val="left"/>
      <w:pPr>
        <w:tabs>
          <w:tab w:val="num" w:pos="8640"/>
        </w:tabs>
        <w:ind w:left="8640" w:hanging="360"/>
      </w:pPr>
      <w:rPr>
        <w:rFonts w:cs="Times New Roman"/>
      </w:rPr>
    </w:lvl>
    <w:lvl w:ilvl="7" w:tplc="04090019" w:tentative="1">
      <w:start w:val="1"/>
      <w:numFmt w:val="lowerLetter"/>
      <w:lvlText w:val="%8."/>
      <w:lvlJc w:val="left"/>
      <w:pPr>
        <w:tabs>
          <w:tab w:val="num" w:pos="9360"/>
        </w:tabs>
        <w:ind w:left="9360" w:hanging="360"/>
      </w:pPr>
      <w:rPr>
        <w:rFonts w:cs="Times New Roman"/>
      </w:rPr>
    </w:lvl>
    <w:lvl w:ilvl="8" w:tplc="0409001B" w:tentative="1">
      <w:start w:val="1"/>
      <w:numFmt w:val="lowerRoman"/>
      <w:lvlText w:val="%9."/>
      <w:lvlJc w:val="right"/>
      <w:pPr>
        <w:tabs>
          <w:tab w:val="num" w:pos="10080"/>
        </w:tabs>
        <w:ind w:left="10080" w:hanging="180"/>
      </w:pPr>
      <w:rPr>
        <w:rFonts w:cs="Times New Roman"/>
      </w:r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690"/>
        </w:tabs>
        <w:ind w:left="69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7" w15:restartNumberingAfterBreak="0">
    <w:nsid w:val="745A711E"/>
    <w:multiLevelType w:val="multilevel"/>
    <w:tmpl w:val="ED88159C"/>
    <w:styleLink w:val="List41"/>
    <w:lvl w:ilvl="0">
      <w:start w:val="1"/>
      <w:numFmt w:val="decimal"/>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58"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Times New Roman" w:hAnsi="Calibri" w:cs="Calibri"/>
        <w:color w:val="000000"/>
        <w:position w:val="0"/>
        <w:sz w:val="22"/>
        <w:szCs w:val="22"/>
        <w:u w:color="000000"/>
      </w:rPr>
    </w:lvl>
    <w:lvl w:ilvl="1">
      <w:start w:val="1"/>
      <w:numFmt w:val="lowerLetter"/>
      <w:lvlText w:val="%2."/>
      <w:lvlJc w:val="left"/>
      <w:pPr>
        <w:tabs>
          <w:tab w:val="num" w:pos="1440"/>
        </w:tabs>
        <w:ind w:left="1440" w:hanging="360"/>
      </w:pPr>
      <w:rPr>
        <w:rFonts w:ascii="Calibri" w:eastAsia="Times New Roman" w:hAnsi="Calibri" w:cs="Calibri" w:hint="default"/>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690"/>
        </w:tabs>
        <w:ind w:left="69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59" w15:restartNumberingAfterBreak="0">
    <w:nsid w:val="78C26FCF"/>
    <w:multiLevelType w:val="multilevel"/>
    <w:tmpl w:val="2FCAD168"/>
    <w:styleLink w:val="List31"/>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imes New Roman" w:hAnsi="Trebuchet MS"/>
        <w:b/>
        <w:color w:val="000000"/>
        <w:position w:val="0"/>
        <w:sz w:val="24"/>
        <w:u w:color="000000"/>
      </w:rPr>
    </w:lvl>
    <w:lvl w:ilvl="1">
      <w:start w:val="1"/>
      <w:numFmt w:val="bullet"/>
      <w:lvlText w:val="o"/>
      <w:lvlJc w:val="left"/>
      <w:pPr>
        <w:tabs>
          <w:tab w:val="num" w:pos="1410"/>
        </w:tabs>
        <w:ind w:left="1410" w:hanging="330"/>
      </w:pPr>
      <w:rPr>
        <w:rFonts w:ascii="Calibri" w:eastAsia="Times New Roman" w:hAnsi="Calibri"/>
        <w:b/>
        <w:color w:val="000000"/>
        <w:position w:val="0"/>
        <w:sz w:val="22"/>
        <w:u w:color="000000"/>
      </w:rPr>
    </w:lvl>
    <w:lvl w:ilvl="2">
      <w:start w:val="1"/>
      <w:numFmt w:val="bullet"/>
      <w:lvlText w:val="▪"/>
      <w:lvlJc w:val="left"/>
      <w:pPr>
        <w:tabs>
          <w:tab w:val="num" w:pos="2130"/>
        </w:tabs>
        <w:ind w:left="2130" w:hanging="330"/>
      </w:pPr>
      <w:rPr>
        <w:rFonts w:ascii="Calibri" w:eastAsia="Times New Roman" w:hAnsi="Calibri"/>
        <w:b/>
        <w:color w:val="000000"/>
        <w:position w:val="0"/>
        <w:sz w:val="22"/>
        <w:u w:color="000000"/>
      </w:rPr>
    </w:lvl>
    <w:lvl w:ilvl="3">
      <w:start w:val="1"/>
      <w:numFmt w:val="bullet"/>
      <w:lvlText w:val="•"/>
      <w:lvlJc w:val="left"/>
      <w:pPr>
        <w:tabs>
          <w:tab w:val="num" w:pos="2850"/>
        </w:tabs>
        <w:ind w:left="2850" w:hanging="330"/>
      </w:pPr>
      <w:rPr>
        <w:rFonts w:ascii="Calibri" w:eastAsia="Times New Roman" w:hAnsi="Calibri"/>
        <w:b/>
        <w:color w:val="000000"/>
        <w:position w:val="0"/>
        <w:sz w:val="22"/>
        <w:u w:color="000000"/>
      </w:rPr>
    </w:lvl>
    <w:lvl w:ilvl="4">
      <w:start w:val="1"/>
      <w:numFmt w:val="bullet"/>
      <w:lvlText w:val="o"/>
      <w:lvlJc w:val="left"/>
      <w:pPr>
        <w:tabs>
          <w:tab w:val="num" w:pos="3570"/>
        </w:tabs>
        <w:ind w:left="3570" w:hanging="330"/>
      </w:pPr>
      <w:rPr>
        <w:rFonts w:ascii="Calibri" w:eastAsia="Times New Roman" w:hAnsi="Calibri"/>
        <w:b/>
        <w:color w:val="000000"/>
        <w:position w:val="0"/>
        <w:sz w:val="22"/>
        <w:u w:color="000000"/>
      </w:rPr>
    </w:lvl>
    <w:lvl w:ilvl="5">
      <w:start w:val="1"/>
      <w:numFmt w:val="bullet"/>
      <w:lvlText w:val="▪"/>
      <w:lvlJc w:val="left"/>
      <w:pPr>
        <w:tabs>
          <w:tab w:val="num" w:pos="4290"/>
        </w:tabs>
        <w:ind w:left="4290" w:hanging="330"/>
      </w:pPr>
      <w:rPr>
        <w:rFonts w:ascii="Calibri" w:eastAsia="Times New Roman" w:hAnsi="Calibri"/>
        <w:b/>
        <w:color w:val="000000"/>
        <w:position w:val="0"/>
        <w:sz w:val="22"/>
        <w:u w:color="000000"/>
      </w:rPr>
    </w:lvl>
    <w:lvl w:ilvl="6">
      <w:start w:val="1"/>
      <w:numFmt w:val="bullet"/>
      <w:lvlText w:val="•"/>
      <w:lvlJc w:val="left"/>
      <w:pPr>
        <w:tabs>
          <w:tab w:val="num" w:pos="5010"/>
        </w:tabs>
        <w:ind w:left="5010" w:hanging="330"/>
      </w:pPr>
      <w:rPr>
        <w:rFonts w:ascii="Calibri" w:eastAsia="Times New Roman" w:hAnsi="Calibri"/>
        <w:b/>
        <w:color w:val="000000"/>
        <w:position w:val="0"/>
        <w:sz w:val="22"/>
        <w:u w:color="000000"/>
      </w:rPr>
    </w:lvl>
    <w:lvl w:ilvl="7">
      <w:start w:val="1"/>
      <w:numFmt w:val="bullet"/>
      <w:lvlText w:val="o"/>
      <w:lvlJc w:val="left"/>
      <w:pPr>
        <w:tabs>
          <w:tab w:val="num" w:pos="5730"/>
        </w:tabs>
        <w:ind w:left="5730" w:hanging="330"/>
      </w:pPr>
      <w:rPr>
        <w:rFonts w:ascii="Calibri" w:eastAsia="Times New Roman" w:hAnsi="Calibri"/>
        <w:b/>
        <w:color w:val="000000"/>
        <w:position w:val="0"/>
        <w:sz w:val="22"/>
        <w:u w:color="000000"/>
      </w:rPr>
    </w:lvl>
    <w:lvl w:ilvl="8">
      <w:start w:val="1"/>
      <w:numFmt w:val="bullet"/>
      <w:lvlText w:val="▪"/>
      <w:lvlJc w:val="left"/>
      <w:pPr>
        <w:tabs>
          <w:tab w:val="num" w:pos="6450"/>
        </w:tabs>
        <w:ind w:left="6450" w:hanging="330"/>
      </w:pPr>
      <w:rPr>
        <w:rFonts w:ascii="Calibri" w:eastAsia="Times New Roman" w:hAnsi="Calibri"/>
        <w:b/>
        <w:color w:val="000000"/>
        <w:position w:val="0"/>
        <w:sz w:val="22"/>
        <w:u w:color="000000"/>
      </w:rPr>
    </w:lvl>
  </w:abstractNum>
  <w:abstractNum w:abstractNumId="6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6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6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6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65"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val="single"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val="single"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val="single"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val="single"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val="single"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val="single"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val="single"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val="single"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val="single" w:color="000000"/>
      </w:rPr>
    </w:lvl>
  </w:abstractNum>
  <w:num w:numId="1">
    <w:abstractNumId w:val="30"/>
    <w:lvlOverride w:ilvl="0">
      <w:lvl w:ilvl="0">
        <w:start w:val="1"/>
        <w:numFmt w:val="upperRoman"/>
        <w:lvlText w:val="%1."/>
        <w:lvlJc w:val="left"/>
        <w:pPr>
          <w:tabs>
            <w:tab w:val="num" w:pos="1080"/>
          </w:tabs>
          <w:ind w:left="1080" w:hanging="720"/>
        </w:pPr>
        <w:rPr>
          <w:rFonts w:ascii="Calibri" w:eastAsia="Times New Roman" w:hAnsi="Calibri" w:cs="Calibri" w:hint="default"/>
          <w:b/>
          <w:bCs/>
          <w:color w:val="000000"/>
          <w:position w:val="0"/>
          <w:sz w:val="22"/>
          <w:szCs w:val="22"/>
          <w:u w:color="000000"/>
        </w:rPr>
      </w:lvl>
    </w:lvlOverride>
  </w:num>
  <w:num w:numId="2">
    <w:abstractNumId w:val="5"/>
  </w:num>
  <w:num w:numId="3">
    <w:abstractNumId w:val="44"/>
    <w:lvlOverride w:ilvl="0">
      <w:lvl w:ilvl="0">
        <w:start w:val="1"/>
        <w:numFmt w:val="upperLetter"/>
        <w:lvlText w:val="%1."/>
        <w:lvlJc w:val="left"/>
        <w:pPr>
          <w:tabs>
            <w:tab w:val="num" w:pos="720"/>
          </w:tabs>
          <w:ind w:left="720" w:hanging="360"/>
        </w:pPr>
        <w:rPr>
          <w:rFonts w:ascii="Calibri" w:eastAsia="Times New Roman" w:hAnsi="Calibri" w:cs="Calibri" w:hint="default"/>
          <w:b/>
          <w:bCs/>
          <w:color w:val="000000"/>
          <w:position w:val="0"/>
          <w:sz w:val="22"/>
          <w:szCs w:val="22"/>
          <w:u w:color="000000"/>
        </w:rPr>
      </w:lvl>
    </w:lvlOverride>
  </w:num>
  <w:num w:numId="4">
    <w:abstractNumId w:val="22"/>
    <w:lvlOverride w:ilvl="0">
      <w:lvl w:ilvl="0">
        <w:start w:val="1"/>
        <w:numFmt w:val="decimal"/>
        <w:lvlText w:val="%1."/>
        <w:lvlJc w:val="left"/>
        <w:pPr>
          <w:tabs>
            <w:tab w:val="num" w:pos="720"/>
          </w:tabs>
          <w:ind w:left="720" w:hanging="360"/>
        </w:pPr>
        <w:rPr>
          <w:rFonts w:ascii="Calibri" w:eastAsia="Times New Roman" w:hAnsi="Calibri" w:cs="Calibri" w:hint="default"/>
          <w:b/>
          <w:bCs/>
          <w:color w:val="000000"/>
          <w:position w:val="0"/>
          <w:sz w:val="22"/>
          <w:szCs w:val="22"/>
          <w:u w:color="000000"/>
        </w:rPr>
      </w:lvl>
    </w:lvlOverride>
  </w:num>
  <w:num w:numId="5">
    <w:abstractNumId w:val="7"/>
  </w:num>
  <w:num w:numId="6">
    <w:abstractNumId w:val="48"/>
    <w:lvlOverride w:ilvl="0">
      <w:lvl w:ilvl="0">
        <w:start w:val="1"/>
        <w:numFmt w:val="decimal"/>
        <w:lvlText w:val="%1."/>
        <w:lvlJc w:val="left"/>
        <w:pPr>
          <w:tabs>
            <w:tab w:val="num" w:pos="720"/>
          </w:tabs>
          <w:ind w:left="720" w:hanging="360"/>
        </w:pPr>
        <w:rPr>
          <w:rFonts w:ascii="Calibri" w:eastAsia="Times New Roman" w:hAnsi="Calibri" w:cs="Trebuchet MS" w:hint="default"/>
          <w:b/>
          <w:bCs/>
          <w:i w:val="0"/>
          <w:color w:val="000000"/>
          <w:position w:val="0"/>
          <w:sz w:val="22"/>
          <w:szCs w:val="22"/>
          <w:u w:color="000000"/>
        </w:rPr>
      </w:lvl>
    </w:lvlOverride>
  </w:num>
  <w:num w:numId="7">
    <w:abstractNumId w:val="60"/>
  </w:num>
  <w:num w:numId="8">
    <w:abstractNumId w:val="23"/>
  </w:num>
  <w:num w:numId="9">
    <w:abstractNumId w:val="51"/>
  </w:num>
  <w:num w:numId="10">
    <w:abstractNumId w:val="16"/>
    <w:lvlOverride w:ilvl="0">
      <w:lvl w:ilvl="0">
        <w:start w:val="1"/>
        <w:numFmt w:val="upperLetter"/>
        <w:lvlText w:val="%1."/>
        <w:lvlJc w:val="left"/>
        <w:pPr>
          <w:tabs>
            <w:tab w:val="num" w:pos="1080"/>
          </w:tabs>
          <w:ind w:left="1080" w:hanging="720"/>
        </w:pPr>
        <w:rPr>
          <w:rFonts w:ascii="Calibri" w:eastAsia="Times New Roman" w:hAnsi="Calibri" w:cs="Calibri" w:hint="default"/>
          <w:b/>
          <w:bCs/>
          <w:color w:val="000000"/>
          <w:position w:val="0"/>
          <w:sz w:val="22"/>
          <w:szCs w:val="22"/>
          <w:u w:color="000000"/>
        </w:rPr>
      </w:lvl>
    </w:lvlOverride>
  </w:num>
  <w:num w:numId="11">
    <w:abstractNumId w:val="29"/>
  </w:num>
  <w:num w:numId="12">
    <w:abstractNumId w:val="58"/>
  </w:num>
  <w:num w:numId="13">
    <w:abstractNumId w:val="36"/>
    <w:lvlOverride w:ilvl="0">
      <w:lvl w:ilvl="0">
        <w:start w:val="1"/>
        <w:numFmt w:val="lowerLetter"/>
        <w:lvlText w:val="%1."/>
        <w:lvlJc w:val="left"/>
        <w:pPr>
          <w:tabs>
            <w:tab w:val="num" w:pos="720"/>
          </w:tabs>
          <w:ind w:left="720" w:hanging="360"/>
        </w:pPr>
        <w:rPr>
          <w:rFonts w:ascii="Calibri" w:eastAsia="Times New Roman" w:hAnsi="Calibri" w:cs="Calibri" w:hint="default"/>
          <w:color w:val="000000"/>
          <w:position w:val="0"/>
          <w:sz w:val="22"/>
          <w:szCs w:val="22"/>
          <w:u w:color="000000"/>
        </w:rPr>
      </w:lvl>
    </w:lvlOverride>
  </w:num>
  <w:num w:numId="14">
    <w:abstractNumId w:val="10"/>
    <w:lvlOverride w:ilvl="0">
      <w:lvl w:ilvl="0">
        <w:start w:val="1"/>
        <w:numFmt w:val="lowerLetter"/>
        <w:lvlText w:val="%1."/>
        <w:lvlJc w:val="left"/>
        <w:pPr>
          <w:tabs>
            <w:tab w:val="num" w:pos="720"/>
          </w:tabs>
          <w:ind w:left="720" w:hanging="360"/>
        </w:pPr>
        <w:rPr>
          <w:rFonts w:ascii="Calibri" w:eastAsia="Times New Roman" w:hAnsi="Calibri" w:cs="Calibri" w:hint="default"/>
          <w:color w:val="000000"/>
          <w:position w:val="0"/>
          <w:sz w:val="22"/>
          <w:szCs w:val="22"/>
          <w:u w:color="000000"/>
        </w:rPr>
      </w:lvl>
    </w:lvlOverride>
  </w:num>
  <w:num w:numId="15">
    <w:abstractNumId w:val="9"/>
    <w:lvlOverride w:ilvl="0">
      <w:lvl w:ilvl="0">
        <w:start w:val="2"/>
        <w:numFmt w:val="decimal"/>
        <w:lvlText w:val="%1."/>
        <w:lvlJc w:val="left"/>
        <w:pPr>
          <w:tabs>
            <w:tab w:val="num" w:pos="720"/>
          </w:tabs>
          <w:ind w:left="720" w:hanging="360"/>
        </w:pPr>
        <w:rPr>
          <w:rFonts w:ascii="Calibri" w:eastAsia="Times New Roman" w:hAnsi="Calibri" w:cs="Calibri" w:hint="default"/>
          <w:b/>
          <w:bCs/>
          <w:color w:val="000000"/>
          <w:position w:val="0"/>
          <w:sz w:val="22"/>
          <w:szCs w:val="22"/>
          <w:u w:color="000000"/>
        </w:rPr>
      </w:lvl>
    </w:lvlOverride>
  </w:num>
  <w:num w:numId="16">
    <w:abstractNumId w:val="20"/>
    <w:lvlOverride w:ilvl="0">
      <w:lvl w:ilvl="0">
        <w:start w:val="1"/>
        <w:numFmt w:val="lowerLetter"/>
        <w:lvlText w:val="%1."/>
        <w:lvlJc w:val="left"/>
        <w:pPr>
          <w:tabs>
            <w:tab w:val="num" w:pos="720"/>
          </w:tabs>
          <w:ind w:left="720" w:hanging="360"/>
        </w:pPr>
        <w:rPr>
          <w:rFonts w:ascii="Calibri" w:eastAsia="Times New Roman" w:hAnsi="Calibri" w:cs="Calibri" w:hint="default"/>
          <w:color w:val="000000"/>
          <w:position w:val="0"/>
          <w:sz w:val="22"/>
          <w:szCs w:val="22"/>
          <w:u w:color="000000"/>
        </w:rPr>
      </w:lvl>
    </w:lvlOverride>
  </w:num>
  <w:num w:numId="17">
    <w:abstractNumId w:val="24"/>
    <w:lvlOverride w:ilvl="0">
      <w:lvl w:ilvl="0">
        <w:start w:val="1"/>
        <w:numFmt w:val="lowerLetter"/>
        <w:lvlText w:val="%1."/>
        <w:lvlJc w:val="left"/>
        <w:pPr>
          <w:tabs>
            <w:tab w:val="num" w:pos="720"/>
          </w:tabs>
          <w:ind w:left="720" w:hanging="360"/>
        </w:pPr>
        <w:rPr>
          <w:rFonts w:ascii="Calibri" w:eastAsia="Times New Roman" w:hAnsi="Calibri" w:cs="Calibri" w:hint="default"/>
          <w:color w:val="000000"/>
          <w:position w:val="0"/>
          <w:sz w:val="22"/>
          <w:szCs w:val="22"/>
          <w:u w:color="000000"/>
        </w:rPr>
      </w:lvl>
    </w:lvlOverride>
  </w:num>
  <w:num w:numId="18">
    <w:abstractNumId w:val="12"/>
    <w:lvlOverride w:ilvl="0">
      <w:lvl w:ilvl="0">
        <w:start w:val="2"/>
        <w:numFmt w:val="upperLetter"/>
        <w:lvlText w:val="%1."/>
        <w:lvlJc w:val="left"/>
        <w:pPr>
          <w:tabs>
            <w:tab w:val="num" w:pos="720"/>
          </w:tabs>
          <w:ind w:left="720" w:hanging="360"/>
        </w:pPr>
        <w:rPr>
          <w:rFonts w:ascii="Calibri" w:eastAsia="Times New Roman" w:hAnsi="Calibri" w:cs="Calibri" w:hint="default"/>
          <w:b/>
          <w:bCs/>
          <w:color w:val="000000"/>
          <w:position w:val="0"/>
          <w:sz w:val="22"/>
          <w:szCs w:val="22"/>
          <w:u w:color="000000"/>
        </w:rPr>
      </w:lvl>
    </w:lvlOverride>
    <w:lvlOverride w:ilvl="1">
      <w:lvl w:ilvl="1">
        <w:numFmt w:val="decimal"/>
        <w:lvlText w:val=""/>
        <w:lvlJc w:val="left"/>
        <w:rPr>
          <w:rFonts w:cs="Times New Roman"/>
        </w:rPr>
      </w:lvl>
    </w:lvlOverride>
    <w:lvlOverride w:ilvl="2">
      <w:lvl w:ilvl="2">
        <w:numFmt w:val="decimal"/>
        <w:lvlText w:val=""/>
        <w:lvlJc w:val="left"/>
        <w:rPr>
          <w:rFonts w:cs="Times New Roman"/>
        </w:rPr>
      </w:lvl>
    </w:lvlOverride>
    <w:lvlOverride w:ilvl="3">
      <w:lvl w:ilvl="3">
        <w:start w:val="1"/>
        <w:numFmt w:val="decimal"/>
        <w:lvlText w:val="%4."/>
        <w:lvlJc w:val="left"/>
        <w:pPr>
          <w:tabs>
            <w:tab w:val="num" w:pos="2850"/>
          </w:tabs>
          <w:ind w:left="2850" w:hanging="330"/>
        </w:pPr>
        <w:rPr>
          <w:rFonts w:ascii="Calibri" w:eastAsia="Times New Roman" w:hAnsi="Calibri" w:cs="Calibri"/>
          <w:b w:val="0"/>
          <w:bCs/>
          <w:color w:val="000000"/>
          <w:position w:val="0"/>
          <w:sz w:val="22"/>
          <w:szCs w:val="22"/>
          <w:u w:color="000000"/>
        </w:rPr>
      </w:lvl>
    </w:lvlOverride>
  </w:num>
  <w:num w:numId="19">
    <w:abstractNumId w:val="55"/>
    <w:lvlOverride w:ilvl="0">
      <w:lvl w:ilvl="0">
        <w:start w:val="2"/>
        <w:numFmt w:val="decimal"/>
        <w:lvlText w:val="%1."/>
        <w:lvlJc w:val="left"/>
        <w:pPr>
          <w:tabs>
            <w:tab w:val="num" w:pos="720"/>
          </w:tabs>
          <w:ind w:left="720" w:hanging="360"/>
        </w:pPr>
        <w:rPr>
          <w:rFonts w:ascii="Calibri" w:eastAsia="Times New Roman" w:hAnsi="Calibri" w:cs="Calibri" w:hint="default"/>
          <w:color w:val="000000"/>
          <w:position w:val="0"/>
          <w:sz w:val="22"/>
          <w:szCs w:val="22"/>
          <w:u w:color="000000"/>
        </w:rPr>
      </w:lvl>
    </w:lvlOverride>
  </w:num>
  <w:num w:numId="20">
    <w:abstractNumId w:val="8"/>
  </w:num>
  <w:num w:numId="21">
    <w:abstractNumId w:val="38"/>
    <w:lvlOverride w:ilvl="0">
      <w:lvl w:ilvl="0">
        <w:start w:val="1"/>
        <w:numFmt w:val="lowerLetter"/>
        <w:lvlText w:val="%1."/>
        <w:lvlJc w:val="left"/>
        <w:pPr>
          <w:ind w:left="720" w:hanging="360"/>
        </w:pPr>
        <w:rPr>
          <w:rFonts w:cs="Times New Roman"/>
        </w:rPr>
      </w:lvl>
    </w:lvlOverride>
    <w:lvlOverride w:ilvl="1">
      <w:lvl w:ilvl="1" w:tentative="1">
        <w:start w:val="1"/>
        <w:numFmt w:val="lowerLetter"/>
        <w:lvlText w:val="%2."/>
        <w:lvlJc w:val="left"/>
        <w:pPr>
          <w:ind w:left="1440" w:hanging="360"/>
        </w:pPr>
        <w:rPr>
          <w:rFonts w:cs="Times New Roman"/>
        </w:rPr>
      </w:lvl>
    </w:lvlOverride>
    <w:lvlOverride w:ilvl="2">
      <w:lvl w:ilvl="2" w:tentative="1">
        <w:start w:val="1"/>
        <w:numFmt w:val="lowerRoman"/>
        <w:lvlText w:val="%3."/>
        <w:lvlJc w:val="right"/>
        <w:pPr>
          <w:ind w:left="2160" w:hanging="180"/>
        </w:pPr>
        <w:rPr>
          <w:rFonts w:cs="Times New Roman"/>
        </w:rPr>
      </w:lvl>
    </w:lvlOverride>
    <w:lvlOverride w:ilvl="3">
      <w:lvl w:ilvl="3" w:tentative="1">
        <w:start w:val="1"/>
        <w:numFmt w:val="decimal"/>
        <w:lvlText w:val="%4."/>
        <w:lvlJc w:val="left"/>
        <w:pPr>
          <w:ind w:left="2880" w:hanging="360"/>
        </w:pPr>
        <w:rPr>
          <w:rFonts w:cs="Times New Roman"/>
        </w:rPr>
      </w:lvl>
    </w:lvlOverride>
    <w:lvlOverride w:ilvl="4">
      <w:lvl w:ilvl="4" w:tentative="1">
        <w:start w:val="1"/>
        <w:numFmt w:val="lowerLetter"/>
        <w:lvlText w:val="%5."/>
        <w:lvlJc w:val="left"/>
        <w:pPr>
          <w:ind w:left="3600" w:hanging="360"/>
        </w:pPr>
        <w:rPr>
          <w:rFonts w:cs="Times New Roman"/>
        </w:rPr>
      </w:lvl>
    </w:lvlOverride>
    <w:lvlOverride w:ilvl="5">
      <w:lvl w:ilvl="5" w:tentative="1">
        <w:start w:val="1"/>
        <w:numFmt w:val="lowerRoman"/>
        <w:lvlText w:val="%6."/>
        <w:lvlJc w:val="right"/>
        <w:pPr>
          <w:ind w:left="4320" w:hanging="180"/>
        </w:pPr>
        <w:rPr>
          <w:rFonts w:cs="Times New Roman"/>
        </w:rPr>
      </w:lvl>
    </w:lvlOverride>
    <w:lvlOverride w:ilvl="6">
      <w:lvl w:ilvl="6" w:tentative="1">
        <w:start w:val="1"/>
        <w:numFmt w:val="decimal"/>
        <w:lvlText w:val="%7."/>
        <w:lvlJc w:val="left"/>
        <w:pPr>
          <w:ind w:left="5040" w:hanging="360"/>
        </w:pPr>
        <w:rPr>
          <w:rFonts w:cs="Times New Roman"/>
        </w:rPr>
      </w:lvl>
    </w:lvlOverride>
    <w:lvlOverride w:ilvl="7">
      <w:lvl w:ilvl="7" w:tentative="1">
        <w:start w:val="1"/>
        <w:numFmt w:val="lowerLetter"/>
        <w:lvlText w:val="%8."/>
        <w:lvlJc w:val="left"/>
        <w:pPr>
          <w:ind w:left="5760" w:hanging="360"/>
        </w:pPr>
        <w:rPr>
          <w:rFonts w:cs="Times New Roman"/>
        </w:rPr>
      </w:lvl>
    </w:lvlOverride>
    <w:lvlOverride w:ilvl="8">
      <w:lvl w:ilvl="8" w:tentative="1">
        <w:start w:val="1"/>
        <w:numFmt w:val="lowerRoman"/>
        <w:lvlText w:val="%9."/>
        <w:lvlJc w:val="right"/>
        <w:pPr>
          <w:ind w:left="6480" w:hanging="180"/>
        </w:pPr>
        <w:rPr>
          <w:rFonts w:cs="Times New Roman"/>
        </w:rPr>
      </w:lvl>
    </w:lvlOverride>
  </w:num>
  <w:num w:numId="22">
    <w:abstractNumId w:val="25"/>
    <w:lvlOverride w:ilvl="0">
      <w:lvl w:ilvl="0">
        <w:start w:val="1"/>
        <w:numFmt w:val="decimal"/>
        <w:lvlText w:val="%1."/>
        <w:lvlJc w:val="left"/>
        <w:pPr>
          <w:ind w:left="1440" w:hanging="360"/>
        </w:pPr>
        <w:rPr>
          <w:rFonts w:cs="Times New Roman" w:hint="default"/>
          <w:color w:val="auto"/>
        </w:rPr>
      </w:lvl>
    </w:lvlOverride>
    <w:lvlOverride w:ilvl="1">
      <w:lvl w:ilvl="1">
        <w:start w:val="1"/>
        <w:numFmt w:val="lowerLetter"/>
        <w:lvlText w:val="%2."/>
        <w:lvlJc w:val="left"/>
        <w:pPr>
          <w:ind w:left="2160" w:hanging="360"/>
        </w:pPr>
        <w:rPr>
          <w:rFonts w:cs="Times New Roman"/>
        </w:rPr>
      </w:lvl>
    </w:lvlOverride>
    <w:lvlOverride w:ilvl="2">
      <w:lvl w:ilvl="2" w:tentative="1">
        <w:start w:val="1"/>
        <w:numFmt w:val="lowerRoman"/>
        <w:lvlText w:val="%3."/>
        <w:lvlJc w:val="right"/>
        <w:pPr>
          <w:ind w:left="2880" w:hanging="180"/>
        </w:pPr>
        <w:rPr>
          <w:rFonts w:cs="Times New Roman"/>
        </w:rPr>
      </w:lvl>
    </w:lvlOverride>
    <w:lvlOverride w:ilvl="3">
      <w:lvl w:ilvl="3" w:tentative="1">
        <w:start w:val="1"/>
        <w:numFmt w:val="decimal"/>
        <w:lvlText w:val="%4."/>
        <w:lvlJc w:val="left"/>
        <w:pPr>
          <w:ind w:left="3600" w:hanging="360"/>
        </w:pPr>
        <w:rPr>
          <w:rFonts w:cs="Times New Roman"/>
        </w:rPr>
      </w:lvl>
    </w:lvlOverride>
    <w:lvlOverride w:ilvl="4">
      <w:lvl w:ilvl="4" w:tentative="1">
        <w:start w:val="1"/>
        <w:numFmt w:val="lowerLetter"/>
        <w:lvlText w:val="%5."/>
        <w:lvlJc w:val="left"/>
        <w:pPr>
          <w:ind w:left="4320" w:hanging="360"/>
        </w:pPr>
        <w:rPr>
          <w:rFonts w:cs="Times New Roman"/>
        </w:rPr>
      </w:lvl>
    </w:lvlOverride>
    <w:lvlOverride w:ilvl="5">
      <w:lvl w:ilvl="5" w:tentative="1">
        <w:start w:val="1"/>
        <w:numFmt w:val="lowerRoman"/>
        <w:lvlText w:val="%6."/>
        <w:lvlJc w:val="right"/>
        <w:pPr>
          <w:ind w:left="5040" w:hanging="180"/>
        </w:pPr>
        <w:rPr>
          <w:rFonts w:cs="Times New Roman"/>
        </w:rPr>
      </w:lvl>
    </w:lvlOverride>
    <w:lvlOverride w:ilvl="6">
      <w:lvl w:ilvl="6" w:tentative="1">
        <w:start w:val="1"/>
        <w:numFmt w:val="decimal"/>
        <w:lvlText w:val="%7."/>
        <w:lvlJc w:val="left"/>
        <w:pPr>
          <w:ind w:left="5760" w:hanging="360"/>
        </w:pPr>
        <w:rPr>
          <w:rFonts w:cs="Times New Roman"/>
        </w:rPr>
      </w:lvl>
    </w:lvlOverride>
    <w:lvlOverride w:ilvl="7">
      <w:lvl w:ilvl="7" w:tentative="1">
        <w:start w:val="1"/>
        <w:numFmt w:val="lowerLetter"/>
        <w:lvlText w:val="%8."/>
        <w:lvlJc w:val="left"/>
        <w:pPr>
          <w:ind w:left="6480" w:hanging="360"/>
        </w:pPr>
        <w:rPr>
          <w:rFonts w:cs="Times New Roman"/>
        </w:rPr>
      </w:lvl>
    </w:lvlOverride>
    <w:lvlOverride w:ilvl="8">
      <w:lvl w:ilvl="8" w:tentative="1">
        <w:start w:val="1"/>
        <w:numFmt w:val="lowerRoman"/>
        <w:lvlText w:val="%9."/>
        <w:lvlJc w:val="right"/>
        <w:pPr>
          <w:ind w:left="7200" w:hanging="180"/>
        </w:pPr>
        <w:rPr>
          <w:rFonts w:cs="Times New Roman"/>
        </w:rPr>
      </w:lvl>
    </w:lvlOverride>
  </w:num>
  <w:num w:numId="23">
    <w:abstractNumId w:val="11"/>
    <w:lvlOverride w:ilvl="0">
      <w:lvl w:ilvl="0">
        <w:start w:val="6"/>
        <w:numFmt w:val="decimal"/>
        <w:lvlText w:val="%1."/>
        <w:lvlJc w:val="left"/>
        <w:pPr>
          <w:tabs>
            <w:tab w:val="num" w:pos="360"/>
          </w:tabs>
          <w:ind w:left="360" w:hanging="360"/>
        </w:pPr>
        <w:rPr>
          <w:rFonts w:ascii="Calibri" w:eastAsia="Times New Roman" w:hAnsi="Calibri" w:cs="Calibri" w:hint="default"/>
          <w:color w:val="000000"/>
          <w:position w:val="0"/>
          <w:sz w:val="22"/>
          <w:szCs w:val="22"/>
          <w:u w:color="000000"/>
        </w:rPr>
      </w:lvl>
    </w:lvlOverride>
  </w:num>
  <w:num w:numId="24">
    <w:abstractNumId w:val="47"/>
    <w:lvlOverride w:ilvl="0">
      <w:lvl w:ilvl="0">
        <w:start w:val="1"/>
        <w:numFmt w:val="decimal"/>
        <w:lvlText w:val="%1."/>
        <w:lvlJc w:val="left"/>
        <w:pPr>
          <w:tabs>
            <w:tab w:val="num" w:pos="720"/>
          </w:tabs>
          <w:ind w:left="720" w:hanging="360"/>
        </w:pPr>
        <w:rPr>
          <w:rFonts w:ascii="Calibri" w:eastAsia="Times New Roman" w:hAnsi="Calibri" w:cs="Calibri" w:hint="default"/>
          <w:b/>
          <w:bCs/>
          <w:color w:val="000000"/>
          <w:position w:val="0"/>
          <w:sz w:val="22"/>
          <w:szCs w:val="22"/>
          <w:u w:val="none"/>
        </w:rPr>
      </w:lvl>
    </w:lvlOverride>
  </w:num>
  <w:num w:numId="25">
    <w:abstractNumId w:val="2"/>
    <w:lvlOverride w:ilvl="0">
      <w:lvl w:ilvl="0">
        <w:start w:val="1"/>
        <w:numFmt w:val="lowerLetter"/>
        <w:lvlText w:val="%1."/>
        <w:lvlJc w:val="left"/>
        <w:pPr>
          <w:tabs>
            <w:tab w:val="num" w:pos="720"/>
          </w:tabs>
          <w:ind w:left="720" w:hanging="360"/>
        </w:pPr>
        <w:rPr>
          <w:rFonts w:ascii="Calibri" w:eastAsia="Times New Roman" w:hAnsi="Calibri" w:cs="Calibri" w:hint="default"/>
          <w:color w:val="000000"/>
          <w:position w:val="0"/>
          <w:sz w:val="22"/>
          <w:szCs w:val="22"/>
          <w:u w:color="000000"/>
        </w:rPr>
      </w:lvl>
    </w:lvlOverride>
  </w:num>
  <w:num w:numId="26">
    <w:abstractNumId w:val="64"/>
    <w:lvlOverride w:ilvl="0">
      <w:lvl w:ilvl="0">
        <w:start w:val="1"/>
        <w:numFmt w:val="lowerLetter"/>
        <w:lvlText w:val="%1."/>
        <w:lvlJc w:val="left"/>
        <w:pPr>
          <w:tabs>
            <w:tab w:val="num" w:pos="720"/>
          </w:tabs>
          <w:ind w:left="720" w:hanging="360"/>
        </w:pPr>
        <w:rPr>
          <w:rFonts w:ascii="Calibri" w:eastAsia="Times New Roman" w:hAnsi="Calibri" w:cs="Calibri" w:hint="default"/>
          <w:color w:val="000000"/>
          <w:position w:val="0"/>
          <w:sz w:val="22"/>
          <w:szCs w:val="22"/>
          <w:u w:color="000000"/>
        </w:rPr>
      </w:lvl>
    </w:lvlOverride>
  </w:num>
  <w:num w:numId="27">
    <w:abstractNumId w:val="49"/>
    <w:lvlOverride w:ilvl="0">
      <w:lvl w:ilvl="0">
        <w:start w:val="1"/>
        <w:numFmt w:val="lowerLetter"/>
        <w:lvlText w:val="%1."/>
        <w:lvlJc w:val="left"/>
        <w:pPr>
          <w:tabs>
            <w:tab w:val="num" w:pos="720"/>
          </w:tabs>
          <w:ind w:left="720" w:hanging="360"/>
        </w:pPr>
        <w:rPr>
          <w:rFonts w:ascii="Calibri" w:eastAsia="Times New Roman" w:hAnsi="Calibri" w:cs="Calibri" w:hint="default"/>
          <w:color w:val="000000"/>
          <w:position w:val="0"/>
          <w:sz w:val="22"/>
          <w:szCs w:val="22"/>
          <w:u w:color="000000"/>
        </w:rPr>
      </w:lvl>
    </w:lvlOverride>
  </w:num>
  <w:num w:numId="28">
    <w:abstractNumId w:val="28"/>
    <w:lvlOverride w:ilvl="0">
      <w:lvl w:ilvl="0">
        <w:start w:val="1"/>
        <w:numFmt w:val="lowerLetter"/>
        <w:lvlText w:val="%1."/>
        <w:lvlJc w:val="left"/>
        <w:pPr>
          <w:tabs>
            <w:tab w:val="num" w:pos="720"/>
          </w:tabs>
          <w:ind w:left="720" w:hanging="360"/>
        </w:pPr>
        <w:rPr>
          <w:rFonts w:ascii="Calibri" w:eastAsia="Times New Roman" w:hAnsi="Calibri" w:cs="Calibri" w:hint="default"/>
          <w:color w:val="000000"/>
          <w:position w:val="0"/>
          <w:sz w:val="22"/>
          <w:szCs w:val="22"/>
          <w:u w:color="000000"/>
        </w:rPr>
      </w:lvl>
    </w:lvlOverride>
  </w:num>
  <w:num w:numId="29">
    <w:abstractNumId w:val="34"/>
    <w:lvlOverride w:ilvl="0">
      <w:lvl w:ilvl="0">
        <w:start w:val="1"/>
        <w:numFmt w:val="lowerLetter"/>
        <w:lvlText w:val="%1."/>
        <w:lvlJc w:val="left"/>
        <w:pPr>
          <w:tabs>
            <w:tab w:val="num" w:pos="720"/>
          </w:tabs>
          <w:ind w:left="720" w:hanging="360"/>
        </w:pPr>
        <w:rPr>
          <w:rFonts w:ascii="Calibri" w:eastAsia="Times New Roman" w:hAnsi="Calibri" w:cs="Calibri" w:hint="default"/>
          <w:color w:val="000000"/>
          <w:position w:val="0"/>
          <w:sz w:val="22"/>
          <w:szCs w:val="22"/>
          <w:u w:color="000000"/>
        </w:rPr>
      </w:lvl>
    </w:lvlOverride>
  </w:num>
  <w:num w:numId="30">
    <w:abstractNumId w:val="32"/>
    <w:lvlOverride w:ilvl="0">
      <w:lvl w:ilvl="0">
        <w:start w:val="1"/>
        <w:numFmt w:val="lowerLetter"/>
        <w:lvlText w:val="%1."/>
        <w:lvlJc w:val="left"/>
        <w:pPr>
          <w:tabs>
            <w:tab w:val="num" w:pos="720"/>
          </w:tabs>
          <w:ind w:left="720" w:hanging="360"/>
        </w:pPr>
        <w:rPr>
          <w:rFonts w:ascii="Calibri" w:eastAsia="Times New Roman" w:hAnsi="Calibri" w:cs="Calibri" w:hint="default"/>
          <w:color w:val="000000"/>
          <w:position w:val="0"/>
          <w:sz w:val="22"/>
          <w:szCs w:val="22"/>
          <w:u w:color="000000"/>
        </w:rPr>
      </w:lvl>
    </w:lvlOverride>
  </w:num>
  <w:num w:numId="31">
    <w:abstractNumId w:val="59"/>
    <w:lvlOverride w:ilvl="0">
      <w:lvl w:ilvl="0">
        <w:start w:val="1"/>
        <w:numFmt w:val="lowerLetter"/>
        <w:lvlText w:val="%1."/>
        <w:lvlJc w:val="left"/>
        <w:pPr>
          <w:tabs>
            <w:tab w:val="num" w:pos="720"/>
          </w:tabs>
          <w:ind w:left="720" w:hanging="360"/>
        </w:pPr>
        <w:rPr>
          <w:rFonts w:ascii="Calibri" w:eastAsia="Times New Roman" w:hAnsi="Calibri" w:cs="Calibri" w:hint="default"/>
          <w:color w:val="000000"/>
          <w:position w:val="0"/>
          <w:sz w:val="22"/>
          <w:szCs w:val="22"/>
          <w:u w:color="000000"/>
        </w:rPr>
      </w:lvl>
    </w:lvlOverride>
  </w:num>
  <w:num w:numId="32">
    <w:abstractNumId w:val="63"/>
    <w:lvlOverride w:ilvl="0">
      <w:lvl w:ilvl="0">
        <w:start w:val="1"/>
        <w:numFmt w:val="lowerLetter"/>
        <w:lvlText w:val="%1."/>
        <w:lvlJc w:val="left"/>
        <w:pPr>
          <w:tabs>
            <w:tab w:val="num" w:pos="720"/>
          </w:tabs>
          <w:ind w:left="720" w:hanging="360"/>
        </w:pPr>
        <w:rPr>
          <w:rFonts w:ascii="Calibri" w:eastAsia="Times New Roman" w:hAnsi="Calibri" w:cs="Calibri" w:hint="default"/>
          <w:color w:val="000000"/>
          <w:position w:val="0"/>
          <w:sz w:val="22"/>
          <w:szCs w:val="22"/>
          <w:u w:color="000000"/>
        </w:rPr>
      </w:lvl>
    </w:lvlOverride>
  </w:num>
  <w:num w:numId="33">
    <w:abstractNumId w:val="21"/>
    <w:lvlOverride w:ilvl="0">
      <w:lvl w:ilvl="0">
        <w:start w:val="1"/>
        <w:numFmt w:val="lowerLetter"/>
        <w:lvlText w:val="%1."/>
        <w:lvlJc w:val="left"/>
        <w:pPr>
          <w:ind w:left="720" w:hanging="360"/>
        </w:pPr>
        <w:rPr>
          <w:rFonts w:cs="Times New Roman"/>
        </w:rPr>
      </w:lvl>
    </w:lvlOverride>
    <w:lvlOverride w:ilvl="1">
      <w:lvl w:ilvl="1" w:tentative="1">
        <w:start w:val="1"/>
        <w:numFmt w:val="lowerLetter"/>
        <w:lvlText w:val="%2."/>
        <w:lvlJc w:val="left"/>
        <w:pPr>
          <w:ind w:left="1440" w:hanging="360"/>
        </w:pPr>
        <w:rPr>
          <w:rFonts w:cs="Times New Roman"/>
        </w:rPr>
      </w:lvl>
    </w:lvlOverride>
    <w:lvlOverride w:ilvl="2">
      <w:lvl w:ilvl="2" w:tentative="1">
        <w:start w:val="1"/>
        <w:numFmt w:val="lowerRoman"/>
        <w:lvlText w:val="%3."/>
        <w:lvlJc w:val="right"/>
        <w:pPr>
          <w:ind w:left="2160" w:hanging="180"/>
        </w:pPr>
        <w:rPr>
          <w:rFonts w:cs="Times New Roman"/>
        </w:rPr>
      </w:lvl>
    </w:lvlOverride>
    <w:lvlOverride w:ilvl="3">
      <w:lvl w:ilvl="3" w:tentative="1">
        <w:start w:val="1"/>
        <w:numFmt w:val="decimal"/>
        <w:lvlText w:val="%4."/>
        <w:lvlJc w:val="left"/>
        <w:pPr>
          <w:ind w:left="2880" w:hanging="360"/>
        </w:pPr>
        <w:rPr>
          <w:rFonts w:cs="Times New Roman"/>
        </w:rPr>
      </w:lvl>
    </w:lvlOverride>
    <w:lvlOverride w:ilvl="4">
      <w:lvl w:ilvl="4" w:tentative="1">
        <w:start w:val="1"/>
        <w:numFmt w:val="lowerLetter"/>
        <w:lvlText w:val="%5."/>
        <w:lvlJc w:val="left"/>
        <w:pPr>
          <w:ind w:left="3600" w:hanging="360"/>
        </w:pPr>
        <w:rPr>
          <w:rFonts w:cs="Times New Roman"/>
        </w:rPr>
      </w:lvl>
    </w:lvlOverride>
    <w:lvlOverride w:ilvl="5">
      <w:lvl w:ilvl="5" w:tentative="1">
        <w:start w:val="1"/>
        <w:numFmt w:val="lowerRoman"/>
        <w:lvlText w:val="%6."/>
        <w:lvlJc w:val="right"/>
        <w:pPr>
          <w:ind w:left="4320" w:hanging="180"/>
        </w:pPr>
        <w:rPr>
          <w:rFonts w:cs="Times New Roman"/>
        </w:rPr>
      </w:lvl>
    </w:lvlOverride>
    <w:lvlOverride w:ilvl="6">
      <w:lvl w:ilvl="6" w:tentative="1">
        <w:start w:val="1"/>
        <w:numFmt w:val="decimal"/>
        <w:lvlText w:val="%7."/>
        <w:lvlJc w:val="left"/>
        <w:pPr>
          <w:ind w:left="5040" w:hanging="360"/>
        </w:pPr>
        <w:rPr>
          <w:rFonts w:cs="Times New Roman"/>
        </w:rPr>
      </w:lvl>
    </w:lvlOverride>
    <w:lvlOverride w:ilvl="7">
      <w:lvl w:ilvl="7" w:tentative="1">
        <w:start w:val="1"/>
        <w:numFmt w:val="lowerLetter"/>
        <w:lvlText w:val="%8."/>
        <w:lvlJc w:val="left"/>
        <w:pPr>
          <w:ind w:left="5760" w:hanging="360"/>
        </w:pPr>
        <w:rPr>
          <w:rFonts w:cs="Times New Roman"/>
        </w:rPr>
      </w:lvl>
    </w:lvlOverride>
    <w:lvlOverride w:ilvl="8">
      <w:lvl w:ilvl="8" w:tentative="1">
        <w:start w:val="1"/>
        <w:numFmt w:val="lowerRoman"/>
        <w:lvlText w:val="%9."/>
        <w:lvlJc w:val="right"/>
        <w:pPr>
          <w:ind w:left="6480" w:hanging="180"/>
        </w:pPr>
        <w:rPr>
          <w:rFonts w:cs="Times New Roman"/>
        </w:rPr>
      </w:lvl>
    </w:lvlOverride>
  </w:num>
  <w:num w:numId="34">
    <w:abstractNumId w:val="40"/>
    <w:lvlOverride w:ilvl="0">
      <w:lvl w:ilvl="0">
        <w:start w:val="1"/>
        <w:numFmt w:val="decimal"/>
        <w:lvlText w:val="%1."/>
        <w:lvlJc w:val="left"/>
        <w:pPr>
          <w:tabs>
            <w:tab w:val="num" w:pos="720"/>
          </w:tabs>
          <w:ind w:left="720" w:hanging="360"/>
        </w:pPr>
        <w:rPr>
          <w:rFonts w:ascii="Calibri" w:eastAsia="Times New Roman" w:hAnsi="Calibri" w:cs="Calibri" w:hint="default"/>
          <w:b/>
          <w:bCs/>
          <w:color w:val="000000"/>
          <w:position w:val="0"/>
          <w:sz w:val="22"/>
          <w:szCs w:val="22"/>
          <w:u w:val="none"/>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Calibri" w:eastAsia="Times New Roman" w:hAnsi="Calibri" w:cs="Calibri" w:hint="default"/>
          <w:color w:val="000000"/>
          <w:position w:val="0"/>
          <w:sz w:val="22"/>
          <w:szCs w:val="22"/>
          <w:u w:color="000000"/>
        </w:rPr>
      </w:lvl>
    </w:lvlOverride>
  </w:num>
  <w:num w:numId="37">
    <w:abstractNumId w:val="62"/>
    <w:lvlOverride w:ilvl="0">
      <w:lvl w:ilvl="0">
        <w:start w:val="1"/>
        <w:numFmt w:val="lowerLetter"/>
        <w:lvlText w:val="%1."/>
        <w:lvlJc w:val="left"/>
        <w:pPr>
          <w:tabs>
            <w:tab w:val="num" w:pos="720"/>
          </w:tabs>
          <w:ind w:left="720" w:hanging="360"/>
        </w:pPr>
        <w:rPr>
          <w:rFonts w:ascii="Calibri" w:eastAsia="Times New Roman" w:hAnsi="Calibri" w:cs="Calibri" w:hint="default"/>
          <w:color w:val="000000"/>
          <w:position w:val="0"/>
          <w:sz w:val="22"/>
          <w:szCs w:val="22"/>
          <w:u w:color="000000"/>
        </w:rPr>
      </w:lvl>
    </w:lvlOverride>
  </w:num>
  <w:num w:numId="38">
    <w:abstractNumId w:val="35"/>
    <w:lvlOverride w:ilvl="0">
      <w:lvl w:ilvl="0">
        <w:start w:val="1"/>
        <w:numFmt w:val="lowerLetter"/>
        <w:lvlText w:val="%1."/>
        <w:lvlJc w:val="left"/>
        <w:pPr>
          <w:tabs>
            <w:tab w:val="num" w:pos="720"/>
          </w:tabs>
          <w:ind w:left="720" w:hanging="360"/>
        </w:pPr>
        <w:rPr>
          <w:rFonts w:ascii="Calibri" w:eastAsia="Times New Roman" w:hAnsi="Calibri" w:cs="Calibri" w:hint="default"/>
          <w:color w:val="000000"/>
          <w:position w:val="0"/>
          <w:sz w:val="22"/>
          <w:szCs w:val="22"/>
          <w:u w:color="000000"/>
        </w:rPr>
      </w:lvl>
    </w:lvlOverride>
  </w:num>
  <w:num w:numId="39">
    <w:abstractNumId w:val="61"/>
    <w:lvlOverride w:ilvl="0">
      <w:lvl w:ilvl="0">
        <w:start w:val="1"/>
        <w:numFmt w:val="lowerLetter"/>
        <w:lvlText w:val="%1."/>
        <w:lvlJc w:val="left"/>
        <w:pPr>
          <w:tabs>
            <w:tab w:val="num" w:pos="720"/>
          </w:tabs>
          <w:ind w:left="720" w:hanging="360"/>
        </w:pPr>
        <w:rPr>
          <w:rFonts w:ascii="Calibri" w:eastAsia="Times New Roman" w:hAnsi="Calibri" w:cs="Calibri" w:hint="default"/>
          <w:color w:val="000000"/>
          <w:position w:val="0"/>
          <w:sz w:val="22"/>
          <w:szCs w:val="22"/>
          <w:u w:color="000000"/>
        </w:rPr>
      </w:lvl>
    </w:lvlOverride>
  </w:num>
  <w:num w:numId="40">
    <w:abstractNumId w:val="15"/>
    <w:lvlOverride w:ilvl="0">
      <w:lvl w:ilvl="0">
        <w:start w:val="1"/>
        <w:numFmt w:val="lowerLetter"/>
        <w:lvlText w:val="%1."/>
        <w:lvlJc w:val="left"/>
        <w:pPr>
          <w:tabs>
            <w:tab w:val="num" w:pos="720"/>
          </w:tabs>
          <w:ind w:left="720" w:hanging="360"/>
        </w:pPr>
        <w:rPr>
          <w:rFonts w:ascii="Calibri" w:eastAsia="Times New Roman" w:hAnsi="Calibri" w:cs="Calibri" w:hint="default"/>
          <w:color w:val="000000"/>
          <w:position w:val="0"/>
          <w:sz w:val="22"/>
          <w:szCs w:val="22"/>
          <w:u w:color="000000"/>
        </w:rPr>
      </w:lvl>
    </w:lvlOverride>
  </w:num>
  <w:num w:numId="41">
    <w:abstractNumId w:val="57"/>
    <w:lvlOverride w:ilvl="0">
      <w:lvl w:ilvl="0">
        <w:start w:val="1"/>
        <w:numFmt w:val="lowerLetter"/>
        <w:lvlText w:val="%1."/>
        <w:lvlJc w:val="left"/>
        <w:pPr>
          <w:ind w:left="720" w:hanging="360"/>
        </w:pPr>
        <w:rPr>
          <w:rFonts w:cs="Times New Roman"/>
        </w:rPr>
      </w:lvl>
    </w:lvlOverride>
    <w:lvlOverride w:ilvl="1">
      <w:lvl w:ilvl="1" w:tentative="1">
        <w:start w:val="1"/>
        <w:numFmt w:val="lowerLetter"/>
        <w:lvlText w:val="%2."/>
        <w:lvlJc w:val="left"/>
        <w:pPr>
          <w:ind w:left="1440" w:hanging="360"/>
        </w:pPr>
        <w:rPr>
          <w:rFonts w:cs="Times New Roman"/>
        </w:rPr>
      </w:lvl>
    </w:lvlOverride>
    <w:lvlOverride w:ilvl="2">
      <w:lvl w:ilvl="2" w:tentative="1">
        <w:start w:val="1"/>
        <w:numFmt w:val="lowerRoman"/>
        <w:lvlText w:val="%3."/>
        <w:lvlJc w:val="right"/>
        <w:pPr>
          <w:ind w:left="2160" w:hanging="180"/>
        </w:pPr>
        <w:rPr>
          <w:rFonts w:cs="Times New Roman"/>
        </w:rPr>
      </w:lvl>
    </w:lvlOverride>
    <w:lvlOverride w:ilvl="3">
      <w:lvl w:ilvl="3" w:tentative="1">
        <w:start w:val="1"/>
        <w:numFmt w:val="decimal"/>
        <w:lvlText w:val="%4."/>
        <w:lvlJc w:val="left"/>
        <w:pPr>
          <w:ind w:left="2880" w:hanging="360"/>
        </w:pPr>
        <w:rPr>
          <w:rFonts w:cs="Times New Roman"/>
        </w:rPr>
      </w:lvl>
    </w:lvlOverride>
    <w:lvlOverride w:ilvl="4">
      <w:lvl w:ilvl="4" w:tentative="1">
        <w:start w:val="1"/>
        <w:numFmt w:val="lowerLetter"/>
        <w:lvlText w:val="%5."/>
        <w:lvlJc w:val="left"/>
        <w:pPr>
          <w:ind w:left="3600" w:hanging="360"/>
        </w:pPr>
        <w:rPr>
          <w:rFonts w:cs="Times New Roman"/>
        </w:rPr>
      </w:lvl>
    </w:lvlOverride>
    <w:lvlOverride w:ilvl="5">
      <w:lvl w:ilvl="5" w:tentative="1">
        <w:start w:val="1"/>
        <w:numFmt w:val="lowerRoman"/>
        <w:lvlText w:val="%6."/>
        <w:lvlJc w:val="right"/>
        <w:pPr>
          <w:ind w:left="4320" w:hanging="180"/>
        </w:pPr>
        <w:rPr>
          <w:rFonts w:cs="Times New Roman"/>
        </w:rPr>
      </w:lvl>
    </w:lvlOverride>
    <w:lvlOverride w:ilvl="6">
      <w:lvl w:ilvl="6" w:tentative="1">
        <w:start w:val="1"/>
        <w:numFmt w:val="decimal"/>
        <w:lvlText w:val="%7."/>
        <w:lvlJc w:val="left"/>
        <w:pPr>
          <w:ind w:left="5040" w:hanging="360"/>
        </w:pPr>
        <w:rPr>
          <w:rFonts w:cs="Times New Roman"/>
        </w:rPr>
      </w:lvl>
    </w:lvlOverride>
    <w:lvlOverride w:ilvl="7">
      <w:lvl w:ilvl="7" w:tentative="1">
        <w:start w:val="1"/>
        <w:numFmt w:val="lowerLetter"/>
        <w:lvlText w:val="%8."/>
        <w:lvlJc w:val="left"/>
        <w:pPr>
          <w:ind w:left="5760" w:hanging="360"/>
        </w:pPr>
        <w:rPr>
          <w:rFonts w:cs="Times New Roman"/>
        </w:rPr>
      </w:lvl>
    </w:lvlOverride>
    <w:lvlOverride w:ilvl="8">
      <w:lvl w:ilvl="8" w:tentative="1">
        <w:start w:val="1"/>
        <w:numFmt w:val="lowerRoman"/>
        <w:lvlText w:val="%9."/>
        <w:lvlJc w:val="right"/>
        <w:pPr>
          <w:ind w:left="6480" w:hanging="180"/>
        </w:pPr>
        <w:rPr>
          <w:rFonts w:cs="Times New Roman"/>
        </w:rPr>
      </w:lvl>
    </w:lvlOverride>
  </w:num>
  <w:num w:numId="42">
    <w:abstractNumId w:val="41"/>
    <w:lvlOverride w:ilvl="0">
      <w:lvl w:ilvl="0">
        <w:numFmt w:val="decimal"/>
        <w:lvlText w:val=""/>
        <w:lvlJc w:val="left"/>
        <w:rPr>
          <w:rFonts w:cs="Times New Roman"/>
        </w:rPr>
      </w:lvl>
    </w:lvlOverride>
    <w:lvlOverride w:ilvl="1">
      <w:lvl w:ilvl="1">
        <w:numFmt w:val="decimal"/>
        <w:lvlText w:val=""/>
        <w:lvlJc w:val="left"/>
        <w:rPr>
          <w:rFonts w:cs="Times New Roman"/>
        </w:rPr>
      </w:lvl>
    </w:lvlOverride>
    <w:lvlOverride w:ilvl="2">
      <w:lvl w:ilvl="2">
        <w:numFmt w:val="decimal"/>
        <w:lvlText w:val=""/>
        <w:lvlJc w:val="left"/>
        <w:rPr>
          <w:rFonts w:cs="Times New Roman"/>
        </w:rPr>
      </w:lvl>
    </w:lvlOverride>
    <w:lvlOverride w:ilvl="3">
      <w:lvl w:ilvl="3">
        <w:start w:val="1"/>
        <w:numFmt w:val="decimal"/>
        <w:lvlText w:val="%4."/>
        <w:lvlJc w:val="left"/>
        <w:pPr>
          <w:tabs>
            <w:tab w:val="num" w:pos="720"/>
          </w:tabs>
          <w:ind w:left="720" w:hanging="360"/>
        </w:pPr>
        <w:rPr>
          <w:rFonts w:ascii="Calibri" w:eastAsia="Times New Roman" w:hAnsi="Calibri" w:cs="Calibri" w:hint="default"/>
          <w:b/>
          <w:bCs/>
          <w:color w:val="000000"/>
          <w:position w:val="0"/>
          <w:sz w:val="22"/>
          <w:szCs w:val="22"/>
          <w:u w:val="none"/>
        </w:rPr>
      </w:lvl>
    </w:lvlOverride>
  </w:num>
  <w:num w:numId="43">
    <w:abstractNumId w:val="17"/>
    <w:lvlOverride w:ilvl="0">
      <w:lvl w:ilvl="0">
        <w:start w:val="1"/>
        <w:numFmt w:val="lowerLetter"/>
        <w:lvlText w:val="%1."/>
        <w:lvlJc w:val="left"/>
        <w:pPr>
          <w:tabs>
            <w:tab w:val="num" w:pos="720"/>
          </w:tabs>
          <w:ind w:left="720" w:hanging="360"/>
        </w:pPr>
        <w:rPr>
          <w:rFonts w:ascii="Calibri" w:eastAsia="Times New Roman" w:hAnsi="Calibri" w:cs="Calibri" w:hint="default"/>
          <w:color w:val="000000"/>
          <w:position w:val="0"/>
          <w:sz w:val="22"/>
          <w:szCs w:val="22"/>
          <w:u w:color="000000"/>
        </w:rPr>
      </w:lvl>
    </w:lvlOverride>
  </w:num>
  <w:num w:numId="44">
    <w:abstractNumId w:val="43"/>
    <w:lvlOverride w:ilvl="0">
      <w:lvl w:ilvl="0">
        <w:start w:val="1"/>
        <w:numFmt w:val="lowerLetter"/>
        <w:lvlText w:val="%1."/>
        <w:lvlJc w:val="left"/>
        <w:pPr>
          <w:tabs>
            <w:tab w:val="num" w:pos="720"/>
          </w:tabs>
          <w:ind w:left="720" w:hanging="360"/>
        </w:pPr>
        <w:rPr>
          <w:rFonts w:ascii="Calibri" w:eastAsia="Times New Roman" w:hAnsi="Calibri" w:cs="Calibri" w:hint="default"/>
          <w:color w:val="000000"/>
          <w:position w:val="0"/>
          <w:sz w:val="22"/>
          <w:szCs w:val="22"/>
          <w:u w:color="000000"/>
        </w:rPr>
      </w:lvl>
    </w:lvlOverride>
  </w:num>
  <w:num w:numId="45">
    <w:abstractNumId w:val="13"/>
    <w:lvlOverride w:ilvl="0">
      <w:lvl w:ilvl="0">
        <w:start w:val="1"/>
        <w:numFmt w:val="lowerLetter"/>
        <w:lvlText w:val="%1."/>
        <w:lvlJc w:val="left"/>
        <w:pPr>
          <w:tabs>
            <w:tab w:val="num" w:pos="720"/>
          </w:tabs>
          <w:ind w:left="720" w:hanging="360"/>
        </w:pPr>
        <w:rPr>
          <w:rFonts w:ascii="Calibri" w:eastAsia="Times New Roman" w:hAnsi="Calibri" w:cs="Calibri" w:hint="default"/>
          <w:color w:val="000000"/>
          <w:position w:val="0"/>
          <w:sz w:val="22"/>
          <w:szCs w:val="22"/>
          <w:u w:color="000000"/>
        </w:rPr>
      </w:lvl>
    </w:lvlOverride>
  </w:num>
  <w:num w:numId="46">
    <w:abstractNumId w:val="18"/>
    <w:lvlOverride w:ilvl="0">
      <w:lvl w:ilvl="0">
        <w:start w:val="1"/>
        <w:numFmt w:val="decimal"/>
        <w:lvlText w:val="%1."/>
        <w:lvlJc w:val="left"/>
        <w:pPr>
          <w:tabs>
            <w:tab w:val="num" w:pos="720"/>
          </w:tabs>
          <w:ind w:left="720" w:hanging="360"/>
        </w:pPr>
        <w:rPr>
          <w:rFonts w:ascii="Calibri" w:eastAsia="Times New Roman" w:hAnsi="Calibri" w:cs="Calibri" w:hint="default"/>
          <w:color w:val="000000"/>
          <w:position w:val="0"/>
          <w:sz w:val="22"/>
          <w:szCs w:val="22"/>
          <w:u w:color="000000"/>
        </w:rPr>
      </w:lvl>
    </w:lvlOverride>
  </w:num>
  <w:num w:numId="47">
    <w:abstractNumId w:val="26"/>
    <w:lvlOverride w:ilvl="0">
      <w:lvl w:ilvl="0">
        <w:start w:val="1"/>
        <w:numFmt w:val="lowerLetter"/>
        <w:lvlText w:val="%1."/>
        <w:lvlJc w:val="left"/>
        <w:pPr>
          <w:ind w:left="720" w:hanging="360"/>
        </w:pPr>
        <w:rPr>
          <w:rFonts w:cs="Times New Roman"/>
        </w:rPr>
      </w:lvl>
    </w:lvlOverride>
    <w:lvlOverride w:ilvl="1">
      <w:lvl w:ilvl="1" w:tentative="1">
        <w:start w:val="1"/>
        <w:numFmt w:val="lowerLetter"/>
        <w:lvlText w:val="%2."/>
        <w:lvlJc w:val="left"/>
        <w:pPr>
          <w:ind w:left="1440" w:hanging="360"/>
        </w:pPr>
        <w:rPr>
          <w:rFonts w:cs="Times New Roman"/>
        </w:rPr>
      </w:lvl>
    </w:lvlOverride>
    <w:lvlOverride w:ilvl="2">
      <w:lvl w:ilvl="2" w:tentative="1">
        <w:start w:val="1"/>
        <w:numFmt w:val="lowerRoman"/>
        <w:lvlText w:val="%3."/>
        <w:lvlJc w:val="right"/>
        <w:pPr>
          <w:ind w:left="2160" w:hanging="180"/>
        </w:pPr>
        <w:rPr>
          <w:rFonts w:cs="Times New Roman"/>
        </w:rPr>
      </w:lvl>
    </w:lvlOverride>
    <w:lvlOverride w:ilvl="3">
      <w:lvl w:ilvl="3" w:tentative="1">
        <w:start w:val="1"/>
        <w:numFmt w:val="decimal"/>
        <w:lvlText w:val="%4."/>
        <w:lvlJc w:val="left"/>
        <w:pPr>
          <w:ind w:left="2880" w:hanging="360"/>
        </w:pPr>
        <w:rPr>
          <w:rFonts w:cs="Times New Roman"/>
        </w:rPr>
      </w:lvl>
    </w:lvlOverride>
    <w:lvlOverride w:ilvl="4">
      <w:lvl w:ilvl="4" w:tentative="1">
        <w:start w:val="1"/>
        <w:numFmt w:val="lowerLetter"/>
        <w:lvlText w:val="%5."/>
        <w:lvlJc w:val="left"/>
        <w:pPr>
          <w:ind w:left="3600" w:hanging="360"/>
        </w:pPr>
        <w:rPr>
          <w:rFonts w:cs="Times New Roman"/>
        </w:rPr>
      </w:lvl>
    </w:lvlOverride>
    <w:lvlOverride w:ilvl="5">
      <w:lvl w:ilvl="5" w:tentative="1">
        <w:start w:val="1"/>
        <w:numFmt w:val="lowerRoman"/>
        <w:lvlText w:val="%6."/>
        <w:lvlJc w:val="right"/>
        <w:pPr>
          <w:ind w:left="4320" w:hanging="180"/>
        </w:pPr>
        <w:rPr>
          <w:rFonts w:cs="Times New Roman"/>
        </w:rPr>
      </w:lvl>
    </w:lvlOverride>
    <w:lvlOverride w:ilvl="6">
      <w:lvl w:ilvl="6" w:tentative="1">
        <w:start w:val="1"/>
        <w:numFmt w:val="decimal"/>
        <w:lvlText w:val="%7."/>
        <w:lvlJc w:val="left"/>
        <w:pPr>
          <w:ind w:left="5040" w:hanging="360"/>
        </w:pPr>
        <w:rPr>
          <w:rFonts w:cs="Times New Roman"/>
        </w:rPr>
      </w:lvl>
    </w:lvlOverride>
    <w:lvlOverride w:ilvl="7">
      <w:lvl w:ilvl="7" w:tentative="1">
        <w:start w:val="1"/>
        <w:numFmt w:val="lowerLetter"/>
        <w:lvlText w:val="%8."/>
        <w:lvlJc w:val="left"/>
        <w:pPr>
          <w:ind w:left="5760" w:hanging="360"/>
        </w:pPr>
        <w:rPr>
          <w:rFonts w:cs="Times New Roman"/>
        </w:rPr>
      </w:lvl>
    </w:lvlOverride>
    <w:lvlOverride w:ilvl="8">
      <w:lvl w:ilvl="8" w:tentative="1">
        <w:start w:val="1"/>
        <w:numFmt w:val="lowerRoman"/>
        <w:lvlText w:val="%9."/>
        <w:lvlJc w:val="right"/>
        <w:pPr>
          <w:ind w:left="6480" w:hanging="180"/>
        </w:pPr>
        <w:rPr>
          <w:rFonts w:cs="Times New Roman"/>
        </w:rPr>
      </w:lvl>
    </w:lvlOverride>
  </w:num>
  <w:num w:numId="48">
    <w:abstractNumId w:val="66"/>
    <w:lvlOverride w:ilvl="0">
      <w:lvl w:ilvl="0">
        <w:start w:val="1"/>
        <w:numFmt w:val="decimal"/>
        <w:lvlText w:val="%1."/>
        <w:lvlJc w:val="left"/>
        <w:pPr>
          <w:tabs>
            <w:tab w:val="num" w:pos="720"/>
          </w:tabs>
          <w:ind w:left="720" w:hanging="360"/>
        </w:pPr>
        <w:rPr>
          <w:rFonts w:ascii="Calibri" w:eastAsia="Times New Roman" w:hAnsi="Calibri" w:cs="Calibri" w:hint="default"/>
          <w:b/>
          <w:bCs/>
          <w:color w:val="000000"/>
          <w:position w:val="0"/>
          <w:sz w:val="22"/>
          <w:szCs w:val="22"/>
          <w:u w:val="none"/>
        </w:rPr>
      </w:lvl>
    </w:lvlOverride>
  </w:num>
  <w:num w:numId="49">
    <w:abstractNumId w:val="42"/>
    <w:lvlOverride w:ilvl="0">
      <w:lvl w:ilvl="0">
        <w:start w:val="1"/>
        <w:numFmt w:val="lowerLetter"/>
        <w:lvlText w:val="%1."/>
        <w:lvlJc w:val="left"/>
        <w:pPr>
          <w:tabs>
            <w:tab w:val="num" w:pos="720"/>
          </w:tabs>
          <w:ind w:left="720" w:hanging="360"/>
        </w:pPr>
        <w:rPr>
          <w:rFonts w:ascii="Calibri" w:eastAsia="Times New Roman" w:hAnsi="Calibri" w:cs="Calibri" w:hint="default"/>
          <w:color w:val="000000"/>
          <w:position w:val="0"/>
          <w:sz w:val="22"/>
          <w:szCs w:val="22"/>
          <w:u w:color="000000"/>
        </w:rPr>
      </w:lvl>
    </w:lvlOverride>
  </w:num>
  <w:num w:numId="50">
    <w:abstractNumId w:val="37"/>
    <w:lvlOverride w:ilvl="0">
      <w:lvl w:ilvl="0">
        <w:start w:val="1"/>
        <w:numFmt w:val="lowerLetter"/>
        <w:lvlText w:val="%1."/>
        <w:lvlJc w:val="left"/>
        <w:pPr>
          <w:tabs>
            <w:tab w:val="num" w:pos="720"/>
          </w:tabs>
          <w:ind w:left="720" w:hanging="360"/>
        </w:pPr>
        <w:rPr>
          <w:rFonts w:ascii="Calibri" w:eastAsia="Times New Roman" w:hAnsi="Calibri" w:cs="Calibri" w:hint="default"/>
          <w:color w:val="000000"/>
          <w:position w:val="0"/>
          <w:sz w:val="22"/>
          <w:szCs w:val="22"/>
          <w:u w:color="000000"/>
        </w:rPr>
      </w:lvl>
    </w:lvlOverride>
  </w:num>
  <w:num w:numId="51">
    <w:abstractNumId w:val="33"/>
    <w:lvlOverride w:ilvl="0">
      <w:lvl w:ilvl="0">
        <w:start w:val="1"/>
        <w:numFmt w:val="lowerLetter"/>
        <w:lvlText w:val="%1."/>
        <w:lvlJc w:val="left"/>
        <w:pPr>
          <w:tabs>
            <w:tab w:val="num" w:pos="720"/>
          </w:tabs>
          <w:ind w:left="720" w:hanging="360"/>
        </w:pPr>
        <w:rPr>
          <w:rFonts w:ascii="Calibri" w:eastAsia="Times New Roman" w:hAnsi="Calibri" w:cs="Calibri" w:hint="default"/>
          <w:color w:val="000000"/>
          <w:position w:val="0"/>
          <w:sz w:val="22"/>
          <w:szCs w:val="22"/>
          <w:u w:color="000000"/>
        </w:rPr>
      </w:lvl>
    </w:lvlOverride>
  </w:num>
  <w:num w:numId="52">
    <w:abstractNumId w:val="45"/>
  </w:num>
  <w:num w:numId="53">
    <w:abstractNumId w:val="0"/>
  </w:num>
  <w:num w:numId="54">
    <w:abstractNumId w:val="40"/>
  </w:num>
  <w:num w:numId="55">
    <w:abstractNumId w:val="41"/>
  </w:num>
  <w:num w:numId="56">
    <w:abstractNumId w:val="47"/>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2"/>
  </w:num>
  <w:num w:numId="83">
    <w:abstractNumId w:val="43"/>
  </w:num>
  <w:num w:numId="84">
    <w:abstractNumId w:val="49"/>
  </w:num>
  <w:num w:numId="85">
    <w:abstractNumId w:val="52"/>
  </w:num>
  <w:num w:numId="86">
    <w:abstractNumId w:val="55"/>
  </w:num>
  <w:num w:numId="87">
    <w:abstractNumId w:val="57"/>
  </w:num>
  <w:num w:numId="88">
    <w:abstractNumId w:val="59"/>
  </w:num>
  <w:num w:numId="89">
    <w:abstractNumId w:val="61"/>
  </w:num>
  <w:num w:numId="90">
    <w:abstractNumId w:val="62"/>
  </w:num>
  <w:num w:numId="91">
    <w:abstractNumId w:val="63"/>
  </w:num>
  <w:num w:numId="92">
    <w:abstractNumId w:val="64"/>
  </w:num>
  <w:num w:numId="93">
    <w:abstractNumId w:val="66"/>
  </w:num>
  <w:num w:numId="94">
    <w:abstractNumId w:val="22"/>
  </w:num>
  <w:num w:numId="95">
    <w:abstractNumId w:val="44"/>
  </w:num>
  <w:num w:numId="96">
    <w:abstractNumId w:val="56"/>
  </w:num>
  <w:num w:numId="97">
    <w:abstractNumId w:val="53"/>
  </w:num>
  <w:num w:numId="98">
    <w:abstractNumId w:val="48"/>
  </w:num>
  <w:num w:numId="99">
    <w:abstractNumId w:val="39"/>
  </w:num>
  <w:num w:numId="100">
    <w:abstractNumId w:val="3"/>
  </w:num>
  <w:num w:numId="101">
    <w:abstractNumId w:val="27"/>
  </w:num>
  <w:num w:numId="102">
    <w:abstractNumId w:val="50"/>
  </w:num>
  <w:num w:numId="103">
    <w:abstractNumId w:val="6"/>
  </w:num>
  <w:num w:numId="104">
    <w:abstractNumId w:val="65"/>
  </w:num>
  <w:num w:numId="105">
    <w:abstractNumId w:val="54"/>
  </w:num>
  <w:num w:numId="106">
    <w:abstractNumId w:val="4"/>
  </w:num>
  <w:num w:numId="107">
    <w:abstractNumId w:val="31"/>
  </w:num>
  <w:num w:numId="108">
    <w:abstractNumId w:val="14"/>
  </w:num>
  <w:num w:numId="109">
    <w:abstractNumId w:val="4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6E1F"/>
    <w:rsid w:val="000070D7"/>
    <w:rsid w:val="00007558"/>
    <w:rsid w:val="0001788C"/>
    <w:rsid w:val="000337EF"/>
    <w:rsid w:val="00040C3A"/>
    <w:rsid w:val="000419AD"/>
    <w:rsid w:val="000433C9"/>
    <w:rsid w:val="00045CAB"/>
    <w:rsid w:val="00046890"/>
    <w:rsid w:val="000673D0"/>
    <w:rsid w:val="000716C5"/>
    <w:rsid w:val="00075E23"/>
    <w:rsid w:val="00077D8E"/>
    <w:rsid w:val="00091566"/>
    <w:rsid w:val="0009344A"/>
    <w:rsid w:val="000A392E"/>
    <w:rsid w:val="000A575F"/>
    <w:rsid w:val="000B04D4"/>
    <w:rsid w:val="000C66CF"/>
    <w:rsid w:val="000D05CB"/>
    <w:rsid w:val="000D10DB"/>
    <w:rsid w:val="000E5EB5"/>
    <w:rsid w:val="000F35ED"/>
    <w:rsid w:val="00101848"/>
    <w:rsid w:val="0010452B"/>
    <w:rsid w:val="00104635"/>
    <w:rsid w:val="00107131"/>
    <w:rsid w:val="0010736F"/>
    <w:rsid w:val="00113F73"/>
    <w:rsid w:val="00117B6F"/>
    <w:rsid w:val="00117C1B"/>
    <w:rsid w:val="00121CC2"/>
    <w:rsid w:val="00131425"/>
    <w:rsid w:val="00133EE5"/>
    <w:rsid w:val="001347DE"/>
    <w:rsid w:val="00137CA8"/>
    <w:rsid w:val="001401BA"/>
    <w:rsid w:val="001405E8"/>
    <w:rsid w:val="00147DBF"/>
    <w:rsid w:val="001518AD"/>
    <w:rsid w:val="001550D0"/>
    <w:rsid w:val="00167A34"/>
    <w:rsid w:val="001762D6"/>
    <w:rsid w:val="001A7870"/>
    <w:rsid w:val="001B3A00"/>
    <w:rsid w:val="001C1B41"/>
    <w:rsid w:val="001D65EF"/>
    <w:rsid w:val="001D6BDB"/>
    <w:rsid w:val="001E49E7"/>
    <w:rsid w:val="001F7201"/>
    <w:rsid w:val="00211190"/>
    <w:rsid w:val="00216A80"/>
    <w:rsid w:val="002237D0"/>
    <w:rsid w:val="00223A29"/>
    <w:rsid w:val="00223AAB"/>
    <w:rsid w:val="002250A3"/>
    <w:rsid w:val="002253A6"/>
    <w:rsid w:val="00235217"/>
    <w:rsid w:val="00246D1F"/>
    <w:rsid w:val="00247403"/>
    <w:rsid w:val="00247542"/>
    <w:rsid w:val="00266B61"/>
    <w:rsid w:val="0026712A"/>
    <w:rsid w:val="002704DB"/>
    <w:rsid w:val="00291A22"/>
    <w:rsid w:val="002A0AAE"/>
    <w:rsid w:val="002A5820"/>
    <w:rsid w:val="002D2B26"/>
    <w:rsid w:val="002D7EA2"/>
    <w:rsid w:val="002E187C"/>
    <w:rsid w:val="00302733"/>
    <w:rsid w:val="0030724A"/>
    <w:rsid w:val="00314078"/>
    <w:rsid w:val="0031535D"/>
    <w:rsid w:val="0032038C"/>
    <w:rsid w:val="003239B8"/>
    <w:rsid w:val="0032599E"/>
    <w:rsid w:val="0033169F"/>
    <w:rsid w:val="00344977"/>
    <w:rsid w:val="00346C95"/>
    <w:rsid w:val="00347B11"/>
    <w:rsid w:val="00356185"/>
    <w:rsid w:val="00360380"/>
    <w:rsid w:val="0037519E"/>
    <w:rsid w:val="00386CF0"/>
    <w:rsid w:val="003B6339"/>
    <w:rsid w:val="003B70FB"/>
    <w:rsid w:val="003C676B"/>
    <w:rsid w:val="003D1C06"/>
    <w:rsid w:val="003D3BC2"/>
    <w:rsid w:val="003D4DF8"/>
    <w:rsid w:val="003D5DDA"/>
    <w:rsid w:val="003E6CA1"/>
    <w:rsid w:val="003F17B4"/>
    <w:rsid w:val="004065A8"/>
    <w:rsid w:val="004165C2"/>
    <w:rsid w:val="00425310"/>
    <w:rsid w:val="00441ECB"/>
    <w:rsid w:val="00445193"/>
    <w:rsid w:val="00450212"/>
    <w:rsid w:val="00462C1B"/>
    <w:rsid w:val="00467B7E"/>
    <w:rsid w:val="00473BB4"/>
    <w:rsid w:val="00477592"/>
    <w:rsid w:val="00481F2E"/>
    <w:rsid w:val="00483AD5"/>
    <w:rsid w:val="00486F1C"/>
    <w:rsid w:val="00487032"/>
    <w:rsid w:val="0049419D"/>
    <w:rsid w:val="004946FD"/>
    <w:rsid w:val="004A6A54"/>
    <w:rsid w:val="004C20D2"/>
    <w:rsid w:val="004C2312"/>
    <w:rsid w:val="004C4B62"/>
    <w:rsid w:val="004C54C9"/>
    <w:rsid w:val="004D4ABA"/>
    <w:rsid w:val="004D6025"/>
    <w:rsid w:val="004E2649"/>
    <w:rsid w:val="004F626F"/>
    <w:rsid w:val="00501399"/>
    <w:rsid w:val="0050633D"/>
    <w:rsid w:val="00507BC4"/>
    <w:rsid w:val="005128E4"/>
    <w:rsid w:val="005133DB"/>
    <w:rsid w:val="00513656"/>
    <w:rsid w:val="00514504"/>
    <w:rsid w:val="00525560"/>
    <w:rsid w:val="00544C49"/>
    <w:rsid w:val="0054539C"/>
    <w:rsid w:val="005516A1"/>
    <w:rsid w:val="005559EF"/>
    <w:rsid w:val="00563557"/>
    <w:rsid w:val="0057402A"/>
    <w:rsid w:val="005771D0"/>
    <w:rsid w:val="0059191A"/>
    <w:rsid w:val="005921FF"/>
    <w:rsid w:val="005A24ED"/>
    <w:rsid w:val="005A6D0E"/>
    <w:rsid w:val="005B52B0"/>
    <w:rsid w:val="005B6806"/>
    <w:rsid w:val="005C349E"/>
    <w:rsid w:val="005C4225"/>
    <w:rsid w:val="005C4672"/>
    <w:rsid w:val="005E1E8B"/>
    <w:rsid w:val="005F0DAD"/>
    <w:rsid w:val="005F0F33"/>
    <w:rsid w:val="005F2EEF"/>
    <w:rsid w:val="005F7A8D"/>
    <w:rsid w:val="00600DEB"/>
    <w:rsid w:val="00601F26"/>
    <w:rsid w:val="00607435"/>
    <w:rsid w:val="006232F4"/>
    <w:rsid w:val="00627C9F"/>
    <w:rsid w:val="006311E9"/>
    <w:rsid w:val="00632354"/>
    <w:rsid w:val="00635421"/>
    <w:rsid w:val="00642810"/>
    <w:rsid w:val="00652333"/>
    <w:rsid w:val="0068009E"/>
    <w:rsid w:val="00682149"/>
    <w:rsid w:val="00692219"/>
    <w:rsid w:val="006A17D2"/>
    <w:rsid w:val="006A73E6"/>
    <w:rsid w:val="006B2D5C"/>
    <w:rsid w:val="006C4EB1"/>
    <w:rsid w:val="006D1818"/>
    <w:rsid w:val="006E0166"/>
    <w:rsid w:val="006E0D53"/>
    <w:rsid w:val="006E2FFB"/>
    <w:rsid w:val="006E7B34"/>
    <w:rsid w:val="006F28EE"/>
    <w:rsid w:val="0070697F"/>
    <w:rsid w:val="0072199C"/>
    <w:rsid w:val="00722C9F"/>
    <w:rsid w:val="00723967"/>
    <w:rsid w:val="007253B8"/>
    <w:rsid w:val="00732C5E"/>
    <w:rsid w:val="0073741F"/>
    <w:rsid w:val="0076643F"/>
    <w:rsid w:val="00777F63"/>
    <w:rsid w:val="007A2C3B"/>
    <w:rsid w:val="007A5817"/>
    <w:rsid w:val="007B05C4"/>
    <w:rsid w:val="007B60E9"/>
    <w:rsid w:val="007B6CC3"/>
    <w:rsid w:val="007B76D3"/>
    <w:rsid w:val="007C3334"/>
    <w:rsid w:val="007D2B98"/>
    <w:rsid w:val="007D34EE"/>
    <w:rsid w:val="007E21BC"/>
    <w:rsid w:val="007E7C82"/>
    <w:rsid w:val="007F2AA1"/>
    <w:rsid w:val="007F588D"/>
    <w:rsid w:val="00803F1C"/>
    <w:rsid w:val="0080600E"/>
    <w:rsid w:val="008135D0"/>
    <w:rsid w:val="00814688"/>
    <w:rsid w:val="00817612"/>
    <w:rsid w:val="008217E8"/>
    <w:rsid w:val="00831D24"/>
    <w:rsid w:val="008338A4"/>
    <w:rsid w:val="00834D49"/>
    <w:rsid w:val="008351F2"/>
    <w:rsid w:val="00837C45"/>
    <w:rsid w:val="00841712"/>
    <w:rsid w:val="00844730"/>
    <w:rsid w:val="008457C2"/>
    <w:rsid w:val="00856A0C"/>
    <w:rsid w:val="00857A82"/>
    <w:rsid w:val="00873836"/>
    <w:rsid w:val="00885737"/>
    <w:rsid w:val="00886A61"/>
    <w:rsid w:val="00890650"/>
    <w:rsid w:val="00893759"/>
    <w:rsid w:val="00897E12"/>
    <w:rsid w:val="008A7E0F"/>
    <w:rsid w:val="008B12F5"/>
    <w:rsid w:val="008B6E85"/>
    <w:rsid w:val="008B7990"/>
    <w:rsid w:val="008C0676"/>
    <w:rsid w:val="008C5E2D"/>
    <w:rsid w:val="008D01F2"/>
    <w:rsid w:val="008D768D"/>
    <w:rsid w:val="008E3759"/>
    <w:rsid w:val="008E3BFE"/>
    <w:rsid w:val="008E5009"/>
    <w:rsid w:val="008F1912"/>
    <w:rsid w:val="0090270B"/>
    <w:rsid w:val="009041DC"/>
    <w:rsid w:val="009122CE"/>
    <w:rsid w:val="00912D32"/>
    <w:rsid w:val="00917B5A"/>
    <w:rsid w:val="00920A58"/>
    <w:rsid w:val="00920A8C"/>
    <w:rsid w:val="00934A2C"/>
    <w:rsid w:val="009433A6"/>
    <w:rsid w:val="0096706E"/>
    <w:rsid w:val="00974491"/>
    <w:rsid w:val="00975C4E"/>
    <w:rsid w:val="00981FBA"/>
    <w:rsid w:val="00997BC5"/>
    <w:rsid w:val="009A2780"/>
    <w:rsid w:val="009A4F41"/>
    <w:rsid w:val="009B2BBA"/>
    <w:rsid w:val="009B381B"/>
    <w:rsid w:val="009D1753"/>
    <w:rsid w:val="009D5617"/>
    <w:rsid w:val="009D7611"/>
    <w:rsid w:val="009E0B61"/>
    <w:rsid w:val="009E53DE"/>
    <w:rsid w:val="009F65C5"/>
    <w:rsid w:val="00A11212"/>
    <w:rsid w:val="00A11E44"/>
    <w:rsid w:val="00A22292"/>
    <w:rsid w:val="00A30100"/>
    <w:rsid w:val="00A328B3"/>
    <w:rsid w:val="00A35D50"/>
    <w:rsid w:val="00A41DA9"/>
    <w:rsid w:val="00A46D59"/>
    <w:rsid w:val="00A50FCF"/>
    <w:rsid w:val="00A528D1"/>
    <w:rsid w:val="00A610CD"/>
    <w:rsid w:val="00A64FCC"/>
    <w:rsid w:val="00A758AA"/>
    <w:rsid w:val="00A8438A"/>
    <w:rsid w:val="00A84BF0"/>
    <w:rsid w:val="00AA09A2"/>
    <w:rsid w:val="00AA4A7D"/>
    <w:rsid w:val="00AA7996"/>
    <w:rsid w:val="00AC19CB"/>
    <w:rsid w:val="00AC44B0"/>
    <w:rsid w:val="00AD7595"/>
    <w:rsid w:val="00AE5488"/>
    <w:rsid w:val="00AE6F91"/>
    <w:rsid w:val="00AF5571"/>
    <w:rsid w:val="00B07341"/>
    <w:rsid w:val="00B30539"/>
    <w:rsid w:val="00B30CEA"/>
    <w:rsid w:val="00B314DB"/>
    <w:rsid w:val="00B361F2"/>
    <w:rsid w:val="00B3718B"/>
    <w:rsid w:val="00B3745F"/>
    <w:rsid w:val="00B4632A"/>
    <w:rsid w:val="00B52621"/>
    <w:rsid w:val="00B530F1"/>
    <w:rsid w:val="00B54CDF"/>
    <w:rsid w:val="00B75659"/>
    <w:rsid w:val="00BA276C"/>
    <w:rsid w:val="00BB306F"/>
    <w:rsid w:val="00BB4418"/>
    <w:rsid w:val="00BD4B89"/>
    <w:rsid w:val="00BD5341"/>
    <w:rsid w:val="00BD56D6"/>
    <w:rsid w:val="00BD5922"/>
    <w:rsid w:val="00BE3C34"/>
    <w:rsid w:val="00BF02CB"/>
    <w:rsid w:val="00BF6FD8"/>
    <w:rsid w:val="00C03680"/>
    <w:rsid w:val="00C054DF"/>
    <w:rsid w:val="00C11903"/>
    <w:rsid w:val="00C1285C"/>
    <w:rsid w:val="00C21762"/>
    <w:rsid w:val="00C21FEF"/>
    <w:rsid w:val="00C23BA4"/>
    <w:rsid w:val="00C24543"/>
    <w:rsid w:val="00C256A2"/>
    <w:rsid w:val="00C25ADB"/>
    <w:rsid w:val="00C45ABC"/>
    <w:rsid w:val="00C51515"/>
    <w:rsid w:val="00C55C55"/>
    <w:rsid w:val="00C5660B"/>
    <w:rsid w:val="00C66B72"/>
    <w:rsid w:val="00C7419B"/>
    <w:rsid w:val="00C87AC4"/>
    <w:rsid w:val="00C87B9D"/>
    <w:rsid w:val="00C9567A"/>
    <w:rsid w:val="00CB212D"/>
    <w:rsid w:val="00CB2660"/>
    <w:rsid w:val="00CC5E90"/>
    <w:rsid w:val="00CD046C"/>
    <w:rsid w:val="00CD2808"/>
    <w:rsid w:val="00CD317D"/>
    <w:rsid w:val="00CE076C"/>
    <w:rsid w:val="00CE5199"/>
    <w:rsid w:val="00CE66D5"/>
    <w:rsid w:val="00CF637A"/>
    <w:rsid w:val="00D00645"/>
    <w:rsid w:val="00D059DE"/>
    <w:rsid w:val="00D05ABD"/>
    <w:rsid w:val="00D13FCE"/>
    <w:rsid w:val="00D15910"/>
    <w:rsid w:val="00D306D1"/>
    <w:rsid w:val="00D30800"/>
    <w:rsid w:val="00D31D46"/>
    <w:rsid w:val="00D33A79"/>
    <w:rsid w:val="00D34786"/>
    <w:rsid w:val="00D37BFC"/>
    <w:rsid w:val="00D439F1"/>
    <w:rsid w:val="00D4596B"/>
    <w:rsid w:val="00D47A8E"/>
    <w:rsid w:val="00D51E4D"/>
    <w:rsid w:val="00D52D14"/>
    <w:rsid w:val="00D712D3"/>
    <w:rsid w:val="00D71422"/>
    <w:rsid w:val="00D7212A"/>
    <w:rsid w:val="00D72DC6"/>
    <w:rsid w:val="00D7558D"/>
    <w:rsid w:val="00D75A47"/>
    <w:rsid w:val="00D760CD"/>
    <w:rsid w:val="00D767A5"/>
    <w:rsid w:val="00D77EF6"/>
    <w:rsid w:val="00D81D92"/>
    <w:rsid w:val="00D876F9"/>
    <w:rsid w:val="00DA7B5F"/>
    <w:rsid w:val="00DC11E7"/>
    <w:rsid w:val="00DC24E3"/>
    <w:rsid w:val="00DC7023"/>
    <w:rsid w:val="00DC769A"/>
    <w:rsid w:val="00DD3D86"/>
    <w:rsid w:val="00DD4AD2"/>
    <w:rsid w:val="00DF1EC4"/>
    <w:rsid w:val="00E01A5E"/>
    <w:rsid w:val="00E0340B"/>
    <w:rsid w:val="00E04A90"/>
    <w:rsid w:val="00E0551F"/>
    <w:rsid w:val="00E219C7"/>
    <w:rsid w:val="00E33833"/>
    <w:rsid w:val="00E4118C"/>
    <w:rsid w:val="00E43157"/>
    <w:rsid w:val="00E461CE"/>
    <w:rsid w:val="00E528DE"/>
    <w:rsid w:val="00E53A0D"/>
    <w:rsid w:val="00E573E4"/>
    <w:rsid w:val="00E6207F"/>
    <w:rsid w:val="00E6597B"/>
    <w:rsid w:val="00E720CA"/>
    <w:rsid w:val="00E84EB5"/>
    <w:rsid w:val="00E85662"/>
    <w:rsid w:val="00E8789F"/>
    <w:rsid w:val="00E97B71"/>
    <w:rsid w:val="00EA3D34"/>
    <w:rsid w:val="00EB454D"/>
    <w:rsid w:val="00EB72BC"/>
    <w:rsid w:val="00EC099B"/>
    <w:rsid w:val="00EC7D62"/>
    <w:rsid w:val="00ED549D"/>
    <w:rsid w:val="00ED649B"/>
    <w:rsid w:val="00ED76BE"/>
    <w:rsid w:val="00EE00E9"/>
    <w:rsid w:val="00EF1AAA"/>
    <w:rsid w:val="00EF619B"/>
    <w:rsid w:val="00F00B55"/>
    <w:rsid w:val="00F02AD1"/>
    <w:rsid w:val="00F05CD1"/>
    <w:rsid w:val="00F167ED"/>
    <w:rsid w:val="00F20507"/>
    <w:rsid w:val="00F20537"/>
    <w:rsid w:val="00F253CC"/>
    <w:rsid w:val="00F37106"/>
    <w:rsid w:val="00F44E25"/>
    <w:rsid w:val="00F519CF"/>
    <w:rsid w:val="00F56BA5"/>
    <w:rsid w:val="00F60E22"/>
    <w:rsid w:val="00F659D0"/>
    <w:rsid w:val="00F73F5C"/>
    <w:rsid w:val="00F81395"/>
    <w:rsid w:val="00F81BB8"/>
    <w:rsid w:val="00F90C64"/>
    <w:rsid w:val="00F917D1"/>
    <w:rsid w:val="00F9653B"/>
    <w:rsid w:val="00FA6B42"/>
    <w:rsid w:val="00FB62CF"/>
    <w:rsid w:val="00FC3020"/>
    <w:rsid w:val="00FD3C3B"/>
    <w:rsid w:val="00FE07DD"/>
    <w:rsid w:val="00FE6B45"/>
    <w:rsid w:val="00FF55F3"/>
    <w:rsid w:val="00FF5851"/>
    <w:rsid w:val="00FF74E2"/>
    <w:rsid w:val="00FF7B79"/>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sz w:val="22"/>
        <w:szCs w:val="22"/>
        <w:lang w:val="es-PA" w:eastAsia="es-P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locked="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4FCC"/>
    <w:pPr>
      <w:pBdr>
        <w:top w:val="none" w:sz="96" w:space="31" w:color="FFFFFF" w:frame="1"/>
        <w:left w:val="none" w:sz="96" w:space="31" w:color="FFFFFF" w:frame="1"/>
        <w:bottom w:val="none" w:sz="96" w:space="31" w:color="FFFFFF" w:frame="1"/>
        <w:right w:val="none" w:sz="96" w:space="31" w:color="FFFFFF" w:frame="1"/>
        <w:bar w:val="none" w:sz="0" w:color="000000"/>
      </w:pBdr>
    </w:pPr>
    <w:rPr>
      <w:sz w:val="24"/>
      <w:szCs w:val="24"/>
      <w:lang w:val="en-US" w:eastAsia="en-US"/>
    </w:rPr>
  </w:style>
  <w:style w:type="paragraph" w:styleId="Heading1">
    <w:name w:val="heading 1"/>
    <w:basedOn w:val="Normal"/>
    <w:next w:val="Normal"/>
    <w:link w:val="Heading1Char"/>
    <w:uiPriority w:val="99"/>
    <w:qFormat/>
    <w:rsid w:val="00D81D92"/>
    <w:pPr>
      <w:keepNext/>
      <w:keepLines/>
      <w:numPr>
        <w:numId w:val="96"/>
      </w:numPr>
      <w:spacing w:before="480"/>
      <w:outlineLvl w:val="0"/>
    </w:pPr>
    <w:rPr>
      <w:rFonts w:ascii="Cambria" w:eastAsia="MS Gothic" w:hAnsi="Cambria"/>
      <w:b/>
      <w:bCs/>
      <w:color w:val="365F91"/>
      <w:sz w:val="28"/>
      <w:szCs w:val="28"/>
    </w:rPr>
  </w:style>
  <w:style w:type="paragraph" w:styleId="Heading2">
    <w:name w:val="heading 2"/>
    <w:basedOn w:val="Normal"/>
    <w:next w:val="Normal"/>
    <w:link w:val="Heading2Char"/>
    <w:uiPriority w:val="99"/>
    <w:qFormat/>
    <w:rsid w:val="00DF1EC4"/>
    <w:pPr>
      <w:keepNext/>
      <w:pBdr>
        <w:top w:val="none" w:sz="0" w:space="0" w:color="auto"/>
        <w:left w:val="none" w:sz="0" w:space="0" w:color="auto"/>
        <w:bottom w:val="none" w:sz="0" w:space="0" w:color="auto"/>
        <w:right w:val="none" w:sz="0" w:space="0" w:color="auto"/>
        <w:bar w:val="none" w:sz="0" w:color="auto"/>
      </w:pBdr>
      <w:spacing w:before="240" w:after="60"/>
      <w:outlineLvl w:val="1"/>
    </w:pPr>
    <w:rPr>
      <w:rFonts w:ascii="Arial" w:eastAsia="Times New Roman" w:hAnsi="Arial" w:cs="Arial"/>
      <w:b/>
      <w:bCs/>
      <w:i/>
      <w:iCs/>
      <w:sz w:val="28"/>
      <w:szCs w:val="28"/>
    </w:rPr>
  </w:style>
  <w:style w:type="paragraph" w:styleId="Heading3">
    <w:name w:val="heading 3"/>
    <w:basedOn w:val="Normal"/>
    <w:next w:val="Normal"/>
    <w:link w:val="Heading3Char"/>
    <w:uiPriority w:val="99"/>
    <w:qFormat/>
    <w:rsid w:val="00DF1EC4"/>
    <w:pPr>
      <w:keepNext/>
      <w:pBdr>
        <w:top w:val="none" w:sz="0" w:space="0" w:color="auto"/>
        <w:left w:val="none" w:sz="0" w:space="0" w:color="auto"/>
        <w:bottom w:val="none" w:sz="0" w:space="0" w:color="auto"/>
        <w:right w:val="none" w:sz="0" w:space="0" w:color="auto"/>
        <w:bar w:val="none" w:sz="0" w:color="auto"/>
      </w:pBdr>
      <w:spacing w:before="240" w:after="60"/>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81D92"/>
    <w:rPr>
      <w:rFonts w:ascii="Cambria" w:eastAsia="MS Gothic" w:hAnsi="Cambria" w:cs="Times New Roman"/>
      <w:b/>
      <w:bCs/>
      <w:color w:val="365F91"/>
      <w:sz w:val="28"/>
      <w:szCs w:val="28"/>
      <w:lang w:val="en-US" w:eastAsia="en-US"/>
    </w:rPr>
  </w:style>
  <w:style w:type="character" w:customStyle="1" w:styleId="Heading2Char">
    <w:name w:val="Heading 2 Char"/>
    <w:basedOn w:val="DefaultParagraphFont"/>
    <w:link w:val="Heading2"/>
    <w:uiPriority w:val="99"/>
    <w:locked/>
    <w:rsid w:val="00DF1EC4"/>
    <w:rPr>
      <w:rFonts w:ascii="Arial" w:hAnsi="Arial" w:cs="Arial"/>
      <w:b/>
      <w:bCs/>
      <w:i/>
      <w:iCs/>
      <w:sz w:val="28"/>
      <w:szCs w:val="28"/>
      <w:lang w:val="en-US" w:eastAsia="en-US"/>
    </w:rPr>
  </w:style>
  <w:style w:type="character" w:customStyle="1" w:styleId="Heading3Char">
    <w:name w:val="Heading 3 Char"/>
    <w:basedOn w:val="DefaultParagraphFont"/>
    <w:link w:val="Heading3"/>
    <w:uiPriority w:val="99"/>
    <w:locked/>
    <w:rsid w:val="00DF1EC4"/>
    <w:rPr>
      <w:rFonts w:ascii="Arial" w:hAnsi="Arial" w:cs="Arial"/>
      <w:b/>
      <w:bCs/>
      <w:sz w:val="26"/>
      <w:szCs w:val="26"/>
      <w:lang w:val="en-US" w:eastAsia="en-US"/>
    </w:rPr>
  </w:style>
  <w:style w:type="character" w:styleId="Hyperlink">
    <w:name w:val="Hyperlink"/>
    <w:basedOn w:val="DefaultParagraphFont"/>
    <w:uiPriority w:val="99"/>
    <w:rsid w:val="00A64FCC"/>
    <w:rPr>
      <w:rFonts w:cs="Times New Roman"/>
      <w:u w:val="single"/>
    </w:rPr>
  </w:style>
  <w:style w:type="paragraph" w:customStyle="1" w:styleId="Cabeceraypie">
    <w:name w:val="Cabecera y pie"/>
    <w:uiPriority w:val="99"/>
    <w:rsid w:val="00A64FCC"/>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pPr>
    <w:rPr>
      <w:rFonts w:ascii="Helvetica" w:eastAsia="Times New Roman" w:hAnsi="Arial Unicode MS" w:cs="Arial Unicode MS"/>
      <w:color w:val="000000"/>
      <w:sz w:val="24"/>
      <w:szCs w:val="24"/>
      <w:lang w:val="es-ES" w:eastAsia="es-ES"/>
    </w:rPr>
  </w:style>
  <w:style w:type="paragraph" w:styleId="Footer">
    <w:name w:val="footer"/>
    <w:basedOn w:val="Normal"/>
    <w:link w:val="FooterChar"/>
    <w:uiPriority w:val="99"/>
    <w:rsid w:val="00A64FCC"/>
    <w:pPr>
      <w:tabs>
        <w:tab w:val="center" w:pos="4513"/>
        <w:tab w:val="right" w:pos="9026"/>
      </w:tabs>
    </w:pPr>
    <w:rPr>
      <w:rFonts w:ascii="Cambria" w:hAnsi="Cambria" w:cs="Cambria"/>
      <w:color w:val="000000"/>
      <w:u w:color="000000"/>
      <w:lang w:eastAsia="es-ES"/>
    </w:rPr>
  </w:style>
  <w:style w:type="character" w:customStyle="1" w:styleId="FooterChar">
    <w:name w:val="Footer Char"/>
    <w:basedOn w:val="DefaultParagraphFont"/>
    <w:link w:val="Footer"/>
    <w:uiPriority w:val="99"/>
    <w:locked/>
    <w:rsid w:val="00A50FCF"/>
    <w:rPr>
      <w:rFonts w:ascii="Cambria" w:hAnsi="Cambria" w:cs="Cambria"/>
      <w:color w:val="000000"/>
      <w:sz w:val="24"/>
      <w:szCs w:val="24"/>
      <w:u w:color="000000"/>
      <w:lang w:val="en-US" w:eastAsia="es-ES" w:bidi="ar-SA"/>
    </w:rPr>
  </w:style>
  <w:style w:type="paragraph" w:customStyle="1" w:styleId="Cuerpo">
    <w:name w:val="Cuerpo"/>
    <w:uiPriority w:val="99"/>
    <w:rsid w:val="00A64FCC"/>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Cambria" w:hAnsi="Cambria" w:cs="Cambria"/>
      <w:color w:val="000000"/>
      <w:sz w:val="24"/>
      <w:szCs w:val="24"/>
      <w:u w:color="000000"/>
      <w:lang w:val="es-ES" w:eastAsia="es-ES"/>
    </w:rPr>
  </w:style>
  <w:style w:type="paragraph" w:styleId="BodyTextIndent">
    <w:name w:val="Body Text Indent"/>
    <w:basedOn w:val="Normal"/>
    <w:link w:val="BodyTextIndentChar"/>
    <w:uiPriority w:val="99"/>
    <w:rsid w:val="00A64FCC"/>
    <w:pPr>
      <w:ind w:left="2160" w:hanging="720"/>
    </w:pPr>
    <w:rPr>
      <w:rFonts w:eastAsia="Times New Roman"/>
      <w:color w:val="000000"/>
      <w:u w:color="000000"/>
      <w:lang w:val="es-ES_tradnl" w:eastAsia="es-ES"/>
    </w:rPr>
  </w:style>
  <w:style w:type="character" w:customStyle="1" w:styleId="BodyTextIndentChar">
    <w:name w:val="Body Text Indent Char"/>
    <w:basedOn w:val="DefaultParagraphFont"/>
    <w:link w:val="BodyTextIndent"/>
    <w:uiPriority w:val="99"/>
    <w:semiHidden/>
    <w:locked/>
    <w:rPr>
      <w:rFonts w:cs="Times New Roman"/>
      <w:sz w:val="24"/>
      <w:szCs w:val="24"/>
      <w:lang w:val="en-US" w:eastAsia="en-US"/>
    </w:rPr>
  </w:style>
  <w:style w:type="paragraph" w:styleId="ListParagraph">
    <w:name w:val="List Paragraph"/>
    <w:basedOn w:val="Normal"/>
    <w:uiPriority w:val="99"/>
    <w:qFormat/>
    <w:rsid w:val="00A64FCC"/>
    <w:pPr>
      <w:ind w:left="720"/>
    </w:pPr>
    <w:rPr>
      <w:rFonts w:ascii="Cambria" w:hAnsi="Cambria" w:cs="Cambria"/>
      <w:color w:val="000000"/>
      <w:u w:color="000000"/>
      <w:lang w:eastAsia="es-ES"/>
    </w:r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f"/>
    <w:basedOn w:val="Normal"/>
    <w:link w:val="FootnoteTextChar1"/>
    <w:uiPriority w:val="99"/>
    <w:rsid w:val="00A64FCC"/>
    <w:rPr>
      <w:rFonts w:ascii="Calibri" w:eastAsia="Times New Roman" w:hAnsi="Calibri"/>
      <w:color w:val="000000"/>
      <w:sz w:val="20"/>
      <w:szCs w:val="20"/>
      <w:u w:color="000000"/>
      <w:lang w:eastAsia="es-E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 Char"/>
    <w:basedOn w:val="DefaultParagraphFont"/>
    <w:uiPriority w:val="99"/>
    <w:rPr>
      <w:rFonts w:cs="Times New Roman"/>
      <w:sz w:val="20"/>
      <w:szCs w:val="20"/>
      <w:lang w:val="en-US" w:eastAsia="en-US"/>
    </w:rPr>
  </w:style>
  <w:style w:type="paragraph" w:styleId="BalloonText">
    <w:name w:val="Balloon Text"/>
    <w:basedOn w:val="Normal"/>
    <w:link w:val="BalloonTextChar"/>
    <w:uiPriority w:val="99"/>
    <w:semiHidden/>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ar w:val="none" w:sz="0" w:color="auto"/>
      </w:pBdr>
      <w:tabs>
        <w:tab w:val="center" w:pos="4320"/>
        <w:tab w:val="right" w:pos="8640"/>
      </w:tabs>
      <w:snapToGrid w:val="0"/>
    </w:pPr>
    <w:rPr>
      <w:rFonts w:ascii="Univers" w:eastAsia="Times New Roman" w:hAnsi="Univers" w:cs="Univers"/>
    </w:rPr>
  </w:style>
  <w:style w:type="character" w:customStyle="1" w:styleId="HeaderChar">
    <w:name w:val="Header Char"/>
    <w:aliases w:val="encabezado Char"/>
    <w:basedOn w:val="DefaultParagraphFont"/>
    <w:link w:val="Header"/>
    <w:uiPriority w:val="99"/>
    <w:locked/>
    <w:rsid w:val="00D81D92"/>
    <w:rPr>
      <w:rFonts w:ascii="Univers" w:hAnsi="Univers" w:cs="Univers"/>
      <w:sz w:val="24"/>
      <w:szCs w:val="24"/>
      <w:lang w:val="en-US" w:eastAsia="en-US"/>
    </w:rPr>
  </w:style>
  <w:style w:type="table" w:styleId="MediumShading1-Accent1">
    <w:name w:val="Medium Shading 1 Accent 1"/>
    <w:basedOn w:val="TableNormal"/>
    <w:uiPriority w:val="99"/>
    <w:rsid w:val="006A17D2"/>
    <w:rPr>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paragraph" w:styleId="TOC2">
    <w:name w:val="toc 2"/>
    <w:basedOn w:val="Normal"/>
    <w:next w:val="Normal"/>
    <w:autoRedefine/>
    <w:uiPriority w:val="99"/>
    <w:rsid w:val="005C4225"/>
    <w:pPr>
      <w:tabs>
        <w:tab w:val="left" w:pos="1440"/>
        <w:tab w:val="right" w:leader="dot" w:pos="9350"/>
      </w:tabs>
      <w:spacing w:after="100"/>
      <w:ind w:left="1440" w:hanging="720"/>
    </w:pPr>
  </w:style>
  <w:style w:type="paragraph" w:styleId="TOC1">
    <w:name w:val="toc 1"/>
    <w:basedOn w:val="Normal"/>
    <w:next w:val="Normal"/>
    <w:autoRedefine/>
    <w:uiPriority w:val="99"/>
    <w:rsid w:val="005C4225"/>
    <w:pPr>
      <w:spacing w:after="100"/>
    </w:pPr>
    <w:rPr>
      <w:rFonts w:ascii="Calibri" w:hAnsi="Calibri"/>
      <w:sz w:val="22"/>
    </w:rPr>
  </w:style>
  <w:style w:type="paragraph" w:styleId="TOC3">
    <w:name w:val="toc 3"/>
    <w:basedOn w:val="Normal"/>
    <w:next w:val="Normal"/>
    <w:autoRedefine/>
    <w:uiPriority w:val="99"/>
    <w:rsid w:val="005C4225"/>
    <w:pPr>
      <w:tabs>
        <w:tab w:val="left" w:pos="880"/>
        <w:tab w:val="right" w:leader="dot" w:pos="9350"/>
      </w:tabs>
      <w:spacing w:after="100"/>
      <w:ind w:left="2160" w:hanging="720"/>
    </w:pPr>
  </w:style>
  <w:style w:type="paragraph" w:styleId="TOC4">
    <w:name w:val="toc 4"/>
    <w:basedOn w:val="Normal"/>
    <w:next w:val="Normal"/>
    <w:autoRedefine/>
    <w:uiPriority w:val="99"/>
    <w:rsid w:val="005C4225"/>
    <w:pPr>
      <w:spacing w:after="100"/>
      <w:ind w:left="720"/>
    </w:pPr>
  </w:style>
  <w:style w:type="character" w:styleId="PageNumber">
    <w:name w:val="page number"/>
    <w:basedOn w:val="DefaultParagraphFont"/>
    <w:uiPriority w:val="99"/>
    <w:rsid w:val="00040C3A"/>
    <w:rPr>
      <w:rFonts w:cs="Times New Roman"/>
    </w:rPr>
  </w:style>
  <w:style w:type="character" w:styleId="FootnoteReference">
    <w:name w:val="footnote reference"/>
    <w:aliases w:val="Footnotes refss,Ref. de nota al pie.,Texto de nota al pie,Appel note de bas de page,referencia nota al pie,BVI fnr,Footnote number,f1,Footnote symbol,Footnote,4_G,16 Point,Superscript 6 Point,Texto nota al pie,Ref,de nota al pie"/>
    <w:basedOn w:val="DefaultParagraphFont"/>
    <w:uiPriority w:val="99"/>
    <w:rsid w:val="000F35ED"/>
    <w:rPr>
      <w:rFonts w:cs="Times New Roman"/>
      <w:vertAlign w:val="superscript"/>
    </w:rPr>
  </w:style>
  <w:style w:type="paragraph" w:styleId="BodyTextIndent2">
    <w:name w:val="Body Text Indent 2"/>
    <w:basedOn w:val="Normal"/>
    <w:link w:val="BodyTextIndent2Char"/>
    <w:uiPriority w:val="99"/>
    <w:semiHidden/>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0F35ED"/>
    <w:rPr>
      <w:rFonts w:cs="Times New Roman"/>
      <w:sz w:val="24"/>
      <w:szCs w:val="24"/>
      <w:lang w:val="en-US" w:eastAsia="en-US"/>
    </w:rPr>
  </w:style>
  <w:style w:type="paragraph" w:styleId="BodyText">
    <w:name w:val="Body Text"/>
    <w:basedOn w:val="Normal"/>
    <w:link w:val="BodyTextChar"/>
    <w:uiPriority w:val="99"/>
    <w:semiHidden/>
    <w:rsid w:val="0031535D"/>
    <w:pPr>
      <w:spacing w:after="120"/>
    </w:pPr>
  </w:style>
  <w:style w:type="character" w:customStyle="1" w:styleId="BodyTextChar">
    <w:name w:val="Body Text Char"/>
    <w:basedOn w:val="DefaultParagraphFont"/>
    <w:link w:val="BodyText"/>
    <w:uiPriority w:val="99"/>
    <w:semiHidden/>
    <w:locked/>
    <w:rsid w:val="0031535D"/>
    <w:rPr>
      <w:rFonts w:cs="Times New Roman"/>
      <w:sz w:val="24"/>
      <w:szCs w:val="24"/>
      <w:lang w:val="en-US" w:eastAsia="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link w:val="FootnoteText"/>
    <w:uiPriority w:val="99"/>
    <w:locked/>
    <w:rsid w:val="0031535D"/>
    <w:rPr>
      <w:rFonts w:ascii="Calibri" w:hAnsi="Calibri"/>
      <w:color w:val="000000"/>
      <w:u w:color="000000"/>
      <w:lang w:val="en-US"/>
    </w:rPr>
  </w:style>
  <w:style w:type="paragraph" w:customStyle="1" w:styleId="Default">
    <w:name w:val="Default"/>
    <w:link w:val="DefaultChar"/>
    <w:uiPriority w:val="99"/>
    <w:rsid w:val="00DF1EC4"/>
    <w:pPr>
      <w:pBdr>
        <w:top w:val="none" w:sz="96" w:space="31" w:color="FFFFFF" w:frame="1"/>
        <w:left w:val="none" w:sz="96" w:space="31" w:color="FFFFFF" w:frame="1"/>
        <w:bottom w:val="none" w:sz="96" w:space="31" w:color="FFFFFF" w:frame="1"/>
        <w:right w:val="none" w:sz="96" w:space="31" w:color="FFFFFF" w:frame="1"/>
        <w:bar w:val="none" w:sz="0" w:color="000000"/>
      </w:pBdr>
      <w:autoSpaceDE w:val="0"/>
      <w:autoSpaceDN w:val="0"/>
      <w:adjustRightInd w:val="0"/>
    </w:pPr>
    <w:rPr>
      <w:rFonts w:eastAsia="Times New Roman"/>
      <w:color w:val="000000"/>
      <w:sz w:val="24"/>
      <w:lang w:val="en-US" w:eastAsia="en-US"/>
    </w:rPr>
  </w:style>
  <w:style w:type="paragraph" w:styleId="EndnoteText">
    <w:name w:val="endnote text"/>
    <w:basedOn w:val="Normal"/>
    <w:link w:val="EndnoteTextChar"/>
    <w:uiPriority w:val="99"/>
    <w:rsid w:val="00DF1EC4"/>
    <w:pPr>
      <w:pBdr>
        <w:top w:val="none" w:sz="0" w:space="0" w:color="auto"/>
        <w:left w:val="none" w:sz="0" w:space="0" w:color="auto"/>
        <w:bottom w:val="none" w:sz="0" w:space="0" w:color="auto"/>
        <w:right w:val="none" w:sz="0" w:space="0" w:color="auto"/>
        <w:bar w:val="none" w:sz="0" w:color="auto"/>
      </w:pBdr>
      <w:spacing w:before="100" w:beforeAutospacing="1" w:after="100" w:afterAutospacing="1"/>
    </w:pPr>
    <w:rPr>
      <w:rFonts w:eastAsia="Times New Roman"/>
    </w:rPr>
  </w:style>
  <w:style w:type="character" w:customStyle="1" w:styleId="EndnoteTextChar">
    <w:name w:val="Endnote Text Char"/>
    <w:basedOn w:val="DefaultParagraphFont"/>
    <w:link w:val="EndnoteText"/>
    <w:uiPriority w:val="99"/>
    <w:locked/>
    <w:rsid w:val="00DF1EC4"/>
    <w:rPr>
      <w:rFonts w:eastAsia="Times New Roman" w:cs="Times New Roman"/>
      <w:sz w:val="24"/>
      <w:szCs w:val="24"/>
      <w:lang w:val="en-US" w:eastAsia="en-US"/>
    </w:rPr>
  </w:style>
  <w:style w:type="character" w:customStyle="1" w:styleId="DefaultChar">
    <w:name w:val="Default Char"/>
    <w:link w:val="Default"/>
    <w:uiPriority w:val="99"/>
    <w:locked/>
    <w:rsid w:val="00DF1EC4"/>
    <w:rPr>
      <w:rFonts w:eastAsia="Times New Roman"/>
      <w:color w:val="000000"/>
      <w:sz w:val="22"/>
      <w:lang w:val="en-US" w:eastAsia="en-US"/>
    </w:rPr>
  </w:style>
  <w:style w:type="table" w:styleId="TableGrid">
    <w:name w:val="Table Grid"/>
    <w:basedOn w:val="TableNormal"/>
    <w:uiPriority w:val="99"/>
    <w:rsid w:val="003239B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0B04D4"/>
    <w:rPr>
      <w:rFonts w:cs="Times New Roman"/>
      <w:sz w:val="16"/>
      <w:szCs w:val="16"/>
    </w:rPr>
  </w:style>
  <w:style w:type="paragraph" w:styleId="CommentText">
    <w:name w:val="annotation text"/>
    <w:basedOn w:val="Normal"/>
    <w:link w:val="CommentTextChar"/>
    <w:uiPriority w:val="99"/>
    <w:semiHidden/>
    <w:rsid w:val="000B04D4"/>
    <w:rPr>
      <w:sz w:val="20"/>
      <w:szCs w:val="20"/>
    </w:rPr>
  </w:style>
  <w:style w:type="character" w:customStyle="1" w:styleId="CommentTextChar">
    <w:name w:val="Comment Text Char"/>
    <w:basedOn w:val="DefaultParagraphFont"/>
    <w:link w:val="CommentText"/>
    <w:uiPriority w:val="99"/>
    <w:semiHidden/>
    <w:locked/>
    <w:rsid w:val="000B04D4"/>
    <w:rPr>
      <w:rFonts w:cs="Times New Roman"/>
      <w:lang w:val="en-US" w:eastAsia="en-US"/>
    </w:rPr>
  </w:style>
  <w:style w:type="paragraph" w:styleId="CommentSubject">
    <w:name w:val="annotation subject"/>
    <w:basedOn w:val="CommentText"/>
    <w:next w:val="CommentText"/>
    <w:link w:val="CommentSubjectChar"/>
    <w:uiPriority w:val="99"/>
    <w:semiHidden/>
    <w:rsid w:val="000B04D4"/>
    <w:rPr>
      <w:b/>
      <w:bCs/>
    </w:rPr>
  </w:style>
  <w:style w:type="character" w:customStyle="1" w:styleId="CommentSubjectChar">
    <w:name w:val="Comment Subject Char"/>
    <w:basedOn w:val="CommentTextChar"/>
    <w:link w:val="CommentSubject"/>
    <w:uiPriority w:val="99"/>
    <w:semiHidden/>
    <w:locked/>
    <w:rsid w:val="000B04D4"/>
    <w:rPr>
      <w:rFonts w:cs="Times New Roman"/>
      <w:b/>
      <w:bCs/>
      <w:lang w:val="en-US" w:eastAsia="en-US"/>
    </w:rPr>
  </w:style>
  <w:style w:type="paragraph" w:styleId="Revision">
    <w:name w:val="Revision"/>
    <w:hidden/>
    <w:uiPriority w:val="99"/>
    <w:semiHidden/>
    <w:rsid w:val="00856A0C"/>
    <w:rPr>
      <w:sz w:val="24"/>
      <w:szCs w:val="24"/>
      <w:lang w:val="en-US" w:eastAsia="en-US"/>
    </w:rPr>
  </w:style>
  <w:style w:type="numbering" w:customStyle="1" w:styleId="List16">
    <w:name w:val="List 16"/>
    <w:rsid w:val="00355A55"/>
    <w:pPr>
      <w:numPr>
        <w:numId w:val="53"/>
      </w:numPr>
    </w:pPr>
  </w:style>
  <w:style w:type="numbering" w:customStyle="1" w:styleId="List36">
    <w:name w:val="List 36"/>
    <w:rsid w:val="00355A55"/>
    <w:pPr>
      <w:numPr>
        <w:numId w:val="57"/>
      </w:numPr>
    </w:pPr>
  </w:style>
  <w:style w:type="numbering" w:customStyle="1" w:styleId="List25">
    <w:name w:val="List 25"/>
    <w:rsid w:val="00355A55"/>
    <w:pPr>
      <w:numPr>
        <w:numId w:val="58"/>
      </w:numPr>
    </w:pPr>
  </w:style>
  <w:style w:type="numbering" w:customStyle="1" w:styleId="List1">
    <w:name w:val="List 1"/>
    <w:rsid w:val="00355A55"/>
    <w:pPr>
      <w:numPr>
        <w:numId w:val="2"/>
      </w:numPr>
    </w:pPr>
  </w:style>
  <w:style w:type="numbering" w:customStyle="1" w:styleId="List11">
    <w:name w:val="List 11"/>
    <w:rsid w:val="00355A55"/>
    <w:pPr>
      <w:numPr>
        <w:numId w:val="20"/>
      </w:numPr>
    </w:pPr>
  </w:style>
  <w:style w:type="numbering" w:customStyle="1" w:styleId="List15">
    <w:name w:val="List 15"/>
    <w:rsid w:val="00355A55"/>
    <w:pPr>
      <w:numPr>
        <w:numId w:val="59"/>
      </w:numPr>
    </w:pPr>
  </w:style>
  <w:style w:type="numbering" w:customStyle="1" w:styleId="List14">
    <w:name w:val="List 14"/>
    <w:rsid w:val="00355A55"/>
    <w:pPr>
      <w:numPr>
        <w:numId w:val="60"/>
      </w:numPr>
    </w:pPr>
  </w:style>
  <w:style w:type="numbering" w:customStyle="1" w:styleId="List23">
    <w:name w:val="List 23"/>
    <w:rsid w:val="00355A55"/>
    <w:pPr>
      <w:numPr>
        <w:numId w:val="61"/>
      </w:numPr>
    </w:pPr>
  </w:style>
  <w:style w:type="numbering" w:customStyle="1" w:styleId="List19">
    <w:name w:val="List 19"/>
    <w:rsid w:val="00355A55"/>
    <w:pPr>
      <w:numPr>
        <w:numId w:val="62"/>
      </w:numPr>
    </w:pPr>
  </w:style>
  <w:style w:type="numbering" w:customStyle="1" w:styleId="List45">
    <w:name w:val="List 45"/>
    <w:rsid w:val="00355A55"/>
    <w:pPr>
      <w:numPr>
        <w:numId w:val="63"/>
      </w:numPr>
    </w:pPr>
  </w:style>
  <w:style w:type="numbering" w:customStyle="1" w:styleId="List40">
    <w:name w:val="List 40"/>
    <w:rsid w:val="00355A55"/>
    <w:pPr>
      <w:numPr>
        <w:numId w:val="64"/>
      </w:numPr>
    </w:pPr>
  </w:style>
  <w:style w:type="numbering" w:customStyle="1" w:styleId="List9">
    <w:name w:val="List 9"/>
    <w:rsid w:val="00355A55"/>
    <w:pPr>
      <w:numPr>
        <w:numId w:val="65"/>
      </w:numPr>
    </w:pPr>
  </w:style>
  <w:style w:type="numbering" w:customStyle="1" w:styleId="List43">
    <w:name w:val="List 43"/>
    <w:rsid w:val="00355A55"/>
    <w:pPr>
      <w:numPr>
        <w:numId w:val="66"/>
      </w:numPr>
    </w:pPr>
  </w:style>
  <w:style w:type="numbering" w:customStyle="1" w:styleId="List46">
    <w:name w:val="List 46"/>
    <w:rsid w:val="00355A55"/>
    <w:pPr>
      <w:numPr>
        <w:numId w:val="67"/>
      </w:numPr>
    </w:pPr>
  </w:style>
  <w:style w:type="numbering" w:customStyle="1" w:styleId="List35">
    <w:name w:val="List 35"/>
    <w:rsid w:val="00355A55"/>
    <w:pPr>
      <w:numPr>
        <w:numId w:val="35"/>
      </w:numPr>
    </w:pPr>
  </w:style>
  <w:style w:type="numbering" w:customStyle="1" w:styleId="List17">
    <w:name w:val="List 17"/>
    <w:rsid w:val="00355A55"/>
    <w:pPr>
      <w:numPr>
        <w:numId w:val="68"/>
      </w:numPr>
    </w:pPr>
  </w:style>
  <w:style w:type="numbering" w:customStyle="1" w:styleId="List33">
    <w:name w:val="List 33"/>
    <w:rsid w:val="00355A55"/>
    <w:pPr>
      <w:numPr>
        <w:numId w:val="69"/>
      </w:numPr>
    </w:pPr>
  </w:style>
  <w:style w:type="numbering" w:customStyle="1" w:styleId="List7">
    <w:name w:val="List 7"/>
    <w:rsid w:val="00355A55"/>
    <w:pPr>
      <w:numPr>
        <w:numId w:val="8"/>
      </w:numPr>
    </w:pPr>
  </w:style>
  <w:style w:type="numbering" w:customStyle="1" w:styleId="List18">
    <w:name w:val="List 18"/>
    <w:rsid w:val="00355A55"/>
    <w:pPr>
      <w:numPr>
        <w:numId w:val="70"/>
      </w:numPr>
    </w:pPr>
  </w:style>
  <w:style w:type="numbering" w:customStyle="1" w:styleId="List22">
    <w:name w:val="List 22"/>
    <w:rsid w:val="00355A55"/>
    <w:pPr>
      <w:numPr>
        <w:numId w:val="71"/>
      </w:numPr>
    </w:pPr>
  </w:style>
  <w:style w:type="numbering" w:customStyle="1" w:styleId="List47">
    <w:name w:val="List 47"/>
    <w:rsid w:val="00355A55"/>
    <w:pPr>
      <w:numPr>
        <w:numId w:val="72"/>
      </w:numPr>
    </w:pPr>
  </w:style>
  <w:style w:type="numbering" w:customStyle="1" w:styleId="List28">
    <w:name w:val="List 28"/>
    <w:rsid w:val="00355A55"/>
    <w:pPr>
      <w:numPr>
        <w:numId w:val="73"/>
      </w:numPr>
    </w:pPr>
  </w:style>
  <w:style w:type="numbering" w:customStyle="1" w:styleId="List10">
    <w:name w:val="List 10"/>
    <w:rsid w:val="00355A55"/>
    <w:pPr>
      <w:numPr>
        <w:numId w:val="11"/>
      </w:numPr>
    </w:pPr>
  </w:style>
  <w:style w:type="numbering" w:customStyle="1" w:styleId="List0">
    <w:name w:val="List 0"/>
    <w:rsid w:val="00355A55"/>
    <w:pPr>
      <w:numPr>
        <w:numId w:val="74"/>
      </w:numPr>
    </w:pPr>
  </w:style>
  <w:style w:type="numbering" w:customStyle="1" w:styleId="List30">
    <w:name w:val="List 30"/>
    <w:rsid w:val="00355A55"/>
    <w:pPr>
      <w:numPr>
        <w:numId w:val="75"/>
      </w:numPr>
    </w:pPr>
  </w:style>
  <w:style w:type="numbering" w:customStyle="1" w:styleId="List29">
    <w:name w:val="List 29"/>
    <w:rsid w:val="00355A55"/>
    <w:pPr>
      <w:numPr>
        <w:numId w:val="77"/>
      </w:numPr>
    </w:pPr>
  </w:style>
  <w:style w:type="numbering" w:customStyle="1" w:styleId="List38">
    <w:name w:val="List 38"/>
    <w:rsid w:val="00355A55"/>
    <w:pPr>
      <w:numPr>
        <w:numId w:val="78"/>
      </w:numPr>
    </w:pPr>
  </w:style>
  <w:style w:type="numbering" w:customStyle="1" w:styleId="List12">
    <w:name w:val="List 12"/>
    <w:rsid w:val="00355A55"/>
    <w:pPr>
      <w:numPr>
        <w:numId w:val="79"/>
      </w:numPr>
    </w:pPr>
  </w:style>
  <w:style w:type="numbering" w:customStyle="1" w:styleId="List50">
    <w:name w:val="List 50"/>
    <w:rsid w:val="00355A55"/>
    <w:pPr>
      <w:numPr>
        <w:numId w:val="80"/>
      </w:numPr>
    </w:pPr>
  </w:style>
  <w:style w:type="numbering" w:customStyle="1" w:styleId="List34">
    <w:name w:val="List 34"/>
    <w:rsid w:val="00355A55"/>
    <w:pPr>
      <w:numPr>
        <w:numId w:val="54"/>
      </w:numPr>
    </w:pPr>
  </w:style>
  <w:style w:type="numbering" w:customStyle="1" w:styleId="List42">
    <w:name w:val="List 42"/>
    <w:rsid w:val="00355A55"/>
    <w:pPr>
      <w:numPr>
        <w:numId w:val="55"/>
      </w:numPr>
    </w:pPr>
  </w:style>
  <w:style w:type="numbering" w:customStyle="1" w:styleId="List49">
    <w:name w:val="List 49"/>
    <w:rsid w:val="00355A55"/>
    <w:pPr>
      <w:numPr>
        <w:numId w:val="82"/>
      </w:numPr>
    </w:pPr>
  </w:style>
  <w:style w:type="numbering" w:customStyle="1" w:styleId="List44">
    <w:name w:val="List 44"/>
    <w:rsid w:val="00355A55"/>
    <w:pPr>
      <w:numPr>
        <w:numId w:val="83"/>
      </w:numPr>
    </w:pPr>
  </w:style>
  <w:style w:type="numbering" w:customStyle="1" w:styleId="List21">
    <w:name w:val="List 21"/>
    <w:rsid w:val="00355A55"/>
    <w:pPr>
      <w:numPr>
        <w:numId w:val="95"/>
      </w:numPr>
    </w:pPr>
  </w:style>
  <w:style w:type="numbering" w:customStyle="1" w:styleId="List52">
    <w:name w:val="List 52"/>
    <w:rsid w:val="00355A55"/>
    <w:pPr>
      <w:numPr>
        <w:numId w:val="52"/>
      </w:numPr>
    </w:pPr>
  </w:style>
  <w:style w:type="numbering" w:customStyle="1" w:styleId="List24">
    <w:name w:val="List 24"/>
    <w:rsid w:val="00355A55"/>
    <w:pPr>
      <w:numPr>
        <w:numId w:val="56"/>
      </w:numPr>
    </w:pPr>
  </w:style>
  <w:style w:type="numbering" w:customStyle="1" w:styleId="List51">
    <w:name w:val="List 51"/>
    <w:rsid w:val="00355A55"/>
    <w:pPr>
      <w:numPr>
        <w:numId w:val="98"/>
      </w:numPr>
    </w:pPr>
  </w:style>
  <w:style w:type="numbering" w:customStyle="1" w:styleId="List27">
    <w:name w:val="List 27"/>
    <w:rsid w:val="00355A55"/>
    <w:pPr>
      <w:numPr>
        <w:numId w:val="84"/>
      </w:numPr>
    </w:pPr>
  </w:style>
  <w:style w:type="numbering" w:customStyle="1" w:styleId="List8">
    <w:name w:val="List 8"/>
    <w:rsid w:val="00355A55"/>
    <w:pPr>
      <w:numPr>
        <w:numId w:val="9"/>
      </w:numPr>
    </w:pPr>
  </w:style>
  <w:style w:type="numbering" w:customStyle="1" w:styleId="List13">
    <w:name w:val="List 13"/>
    <w:rsid w:val="00355A55"/>
    <w:pPr>
      <w:numPr>
        <w:numId w:val="85"/>
      </w:numPr>
    </w:pPr>
  </w:style>
  <w:style w:type="numbering" w:customStyle="1" w:styleId="List20">
    <w:name w:val="List 20"/>
    <w:rsid w:val="00355A55"/>
    <w:pPr>
      <w:numPr>
        <w:numId w:val="86"/>
      </w:numPr>
    </w:pPr>
  </w:style>
  <w:style w:type="numbering" w:customStyle="1" w:styleId="List41">
    <w:name w:val="List 41"/>
    <w:rsid w:val="00355A55"/>
    <w:pPr>
      <w:numPr>
        <w:numId w:val="87"/>
      </w:numPr>
    </w:pPr>
  </w:style>
  <w:style w:type="numbering" w:customStyle="1" w:styleId="List31">
    <w:name w:val="List 31"/>
    <w:rsid w:val="00355A55"/>
    <w:pPr>
      <w:numPr>
        <w:numId w:val="88"/>
      </w:numPr>
    </w:pPr>
  </w:style>
  <w:style w:type="numbering" w:customStyle="1" w:styleId="List6">
    <w:name w:val="List 6"/>
    <w:rsid w:val="00355A55"/>
    <w:pPr>
      <w:numPr>
        <w:numId w:val="7"/>
      </w:numPr>
    </w:pPr>
  </w:style>
  <w:style w:type="numbering" w:customStyle="1" w:styleId="List39">
    <w:name w:val="List 39"/>
    <w:rsid w:val="00355A55"/>
    <w:pPr>
      <w:numPr>
        <w:numId w:val="89"/>
      </w:numPr>
    </w:pPr>
  </w:style>
  <w:style w:type="numbering" w:customStyle="1" w:styleId="List37">
    <w:name w:val="List 37"/>
    <w:rsid w:val="00355A55"/>
    <w:pPr>
      <w:numPr>
        <w:numId w:val="90"/>
      </w:numPr>
    </w:pPr>
  </w:style>
  <w:style w:type="numbering" w:customStyle="1" w:styleId="List32">
    <w:name w:val="List 32"/>
    <w:rsid w:val="00355A55"/>
    <w:pPr>
      <w:numPr>
        <w:numId w:val="91"/>
      </w:numPr>
    </w:pPr>
  </w:style>
  <w:style w:type="numbering" w:customStyle="1" w:styleId="List26">
    <w:name w:val="List 26"/>
    <w:rsid w:val="00355A55"/>
    <w:pPr>
      <w:numPr>
        <w:numId w:val="92"/>
      </w:numPr>
    </w:pPr>
  </w:style>
  <w:style w:type="numbering" w:customStyle="1" w:styleId="List48">
    <w:name w:val="List 48"/>
    <w:rsid w:val="00355A55"/>
    <w:pPr>
      <w:numPr>
        <w:numId w:val="9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6357479">
      <w:marLeft w:val="0"/>
      <w:marRight w:val="0"/>
      <w:marTop w:val="0"/>
      <w:marBottom w:val="0"/>
      <w:divBdr>
        <w:top w:val="none" w:sz="0" w:space="0" w:color="auto"/>
        <w:left w:val="none" w:sz="0" w:space="0" w:color="auto"/>
        <w:bottom w:val="none" w:sz="0" w:space="0" w:color="auto"/>
        <w:right w:val="none" w:sz="0" w:space="0" w:color="auto"/>
      </w:divBdr>
    </w:div>
    <w:div w:id="121635748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1776</Words>
  <Characters>9506</Characters>
  <Application>Microsoft Office Word</Application>
  <DocSecurity>0</DocSecurity>
  <Lines>179</Lines>
  <Paragraphs>49</Paragraphs>
  <ScaleCrop>false</ScaleCrop>
  <Company/>
  <LinksUpToDate>false</LinksUpToDate>
  <CharactersWithSpaces>11233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108/20</dc:title>
  <dc:subject/>
  <dc:creator/>
  <cp:keywords/>
  <dc:description/>
  <cp:lastModifiedBy/>
  <cp:revision>1</cp:revision>
  <dcterms:created xsi:type="dcterms:W3CDTF">2020-07-13T18:46:00Z</dcterms:created>
  <dcterms:modified xsi:type="dcterms:W3CDTF">2020-07-13T18:46:00Z</dcterms:modified>
</cp:coreProperties>
</file>