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E1C0" w14:textId="77777777" w:rsidR="00040C3A" w:rsidRPr="007D0545" w:rsidRDefault="006311DA" w:rsidP="001E4D7D">
      <w:pPr>
        <w:jc w:val="both"/>
        <w:rPr>
          <w:rFonts w:asciiTheme="majorHAnsi" w:hAnsiTheme="majorHAnsi" w:cs="Univers"/>
          <w:b/>
          <w:bCs/>
          <w:sz w:val="22"/>
          <w:szCs w:val="22"/>
          <w:lang w:val="es-ES_tradnl"/>
        </w:rPr>
      </w:pPr>
      <w:r w:rsidRPr="007D054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1C49F2B" wp14:editId="2F1B1E8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F620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D054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E6F2AC3" wp14:editId="49C84F2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FE05A" w14:textId="77777777" w:rsidR="00DC78FC" w:rsidRDefault="00DC78FC">
                            <w:r>
                              <w:rPr>
                                <w:noProof/>
                              </w:rPr>
                              <w:drawing>
                                <wp:inline distT="0" distB="0" distL="0" distR="0" wp14:anchorId="666FD9A2" wp14:editId="6BFD0F9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F2AC3"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67EFE05A" w14:textId="77777777" w:rsidR="00DC78FC" w:rsidRDefault="00DC78FC">
                      <w:r>
                        <w:rPr>
                          <w:noProof/>
                        </w:rPr>
                        <w:drawing>
                          <wp:inline distT="0" distB="0" distL="0" distR="0" wp14:anchorId="666FD9A2" wp14:editId="6BFD0F9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60D844D" w14:textId="77777777" w:rsidR="00040C3A" w:rsidRPr="007D0545" w:rsidRDefault="00040C3A" w:rsidP="00040C3A">
      <w:pPr>
        <w:tabs>
          <w:tab w:val="center" w:pos="5400"/>
        </w:tabs>
        <w:suppressAutoHyphens/>
        <w:jc w:val="both"/>
        <w:rPr>
          <w:rFonts w:asciiTheme="majorHAnsi" w:hAnsiTheme="majorHAnsi"/>
          <w:sz w:val="22"/>
          <w:szCs w:val="22"/>
          <w:lang w:val="es-ES"/>
        </w:rPr>
      </w:pPr>
    </w:p>
    <w:p w14:paraId="3F995A0F" w14:textId="77777777" w:rsidR="00040C3A" w:rsidRPr="007D0545" w:rsidRDefault="00040C3A" w:rsidP="00040C3A">
      <w:pPr>
        <w:tabs>
          <w:tab w:val="center" w:pos="5400"/>
        </w:tabs>
        <w:suppressAutoHyphens/>
        <w:jc w:val="both"/>
        <w:rPr>
          <w:rFonts w:asciiTheme="majorHAnsi" w:hAnsiTheme="majorHAnsi"/>
          <w:sz w:val="22"/>
          <w:szCs w:val="22"/>
          <w:lang w:val="es-ES"/>
        </w:rPr>
      </w:pPr>
    </w:p>
    <w:p w14:paraId="7920D45A" w14:textId="77777777" w:rsidR="005128E4" w:rsidRPr="007D0545" w:rsidRDefault="005128E4" w:rsidP="00040C3A">
      <w:pPr>
        <w:tabs>
          <w:tab w:val="center" w:pos="5400"/>
        </w:tabs>
        <w:suppressAutoHyphens/>
        <w:rPr>
          <w:rFonts w:asciiTheme="majorHAnsi" w:hAnsiTheme="majorHAnsi"/>
          <w:sz w:val="22"/>
          <w:szCs w:val="22"/>
          <w:lang w:val="es-ES_tradnl"/>
        </w:rPr>
      </w:pPr>
    </w:p>
    <w:p w14:paraId="7B7F77E7" w14:textId="77777777" w:rsidR="005128E4" w:rsidRPr="007D0545" w:rsidRDefault="005128E4" w:rsidP="00040C3A">
      <w:pPr>
        <w:tabs>
          <w:tab w:val="center" w:pos="5400"/>
        </w:tabs>
        <w:suppressAutoHyphens/>
        <w:rPr>
          <w:rFonts w:asciiTheme="majorHAnsi" w:hAnsiTheme="majorHAnsi"/>
          <w:sz w:val="22"/>
          <w:szCs w:val="22"/>
          <w:lang w:val="es-ES_tradnl"/>
        </w:rPr>
      </w:pPr>
    </w:p>
    <w:p w14:paraId="6427D8D2" w14:textId="77777777" w:rsidR="005128E4" w:rsidRPr="007D0545" w:rsidRDefault="005128E4" w:rsidP="00040C3A">
      <w:pPr>
        <w:tabs>
          <w:tab w:val="center" w:pos="5400"/>
        </w:tabs>
        <w:suppressAutoHyphens/>
        <w:rPr>
          <w:rFonts w:asciiTheme="majorHAnsi" w:hAnsiTheme="majorHAnsi"/>
          <w:sz w:val="22"/>
          <w:szCs w:val="22"/>
          <w:lang w:val="es-ES_tradnl"/>
        </w:rPr>
      </w:pPr>
    </w:p>
    <w:p w14:paraId="67B5CC86" w14:textId="77777777" w:rsidR="00040C3A" w:rsidRPr="007D0545" w:rsidRDefault="00040C3A" w:rsidP="005128E4">
      <w:pPr>
        <w:tabs>
          <w:tab w:val="center" w:pos="5400"/>
        </w:tabs>
        <w:suppressAutoHyphens/>
        <w:jc w:val="center"/>
        <w:rPr>
          <w:rFonts w:asciiTheme="majorHAnsi" w:hAnsiTheme="majorHAnsi"/>
          <w:sz w:val="22"/>
          <w:szCs w:val="22"/>
          <w:lang w:val="es-ES_tradnl"/>
        </w:rPr>
      </w:pPr>
    </w:p>
    <w:p w14:paraId="44742186" w14:textId="77777777" w:rsidR="00040C3A" w:rsidRPr="007D0545" w:rsidRDefault="00DA1520" w:rsidP="005128E4">
      <w:pPr>
        <w:tabs>
          <w:tab w:val="center" w:pos="5400"/>
        </w:tabs>
        <w:suppressAutoHyphens/>
        <w:jc w:val="center"/>
        <w:rPr>
          <w:rFonts w:asciiTheme="majorHAnsi" w:hAnsiTheme="majorHAnsi"/>
          <w:sz w:val="22"/>
          <w:szCs w:val="22"/>
          <w:lang w:val="es-ES_tradnl"/>
        </w:rPr>
      </w:pPr>
      <w:r w:rsidRPr="007D0545">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2490B274" wp14:editId="5E1AE395">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95C99" w14:textId="77777777" w:rsidR="00DC78FC" w:rsidRDefault="00DC78FC" w:rsidP="004B7EB6">
                            <w:pPr>
                              <w:spacing w:line="276" w:lineRule="auto"/>
                              <w:rPr>
                                <w:rFonts w:asciiTheme="majorHAnsi" w:hAnsiTheme="majorHAnsi" w:cs="Arial"/>
                                <w:b/>
                                <w:bCs/>
                                <w:color w:val="0D0D0D" w:themeColor="text1" w:themeTint="F2"/>
                                <w:sz w:val="36"/>
                                <w:szCs w:val="40"/>
                              </w:rPr>
                            </w:pPr>
                          </w:p>
                          <w:p w14:paraId="5A7237C4" w14:textId="77777777" w:rsidR="00DC78FC" w:rsidRDefault="00DC78FC" w:rsidP="004B7EB6">
                            <w:pPr>
                              <w:spacing w:line="276" w:lineRule="auto"/>
                              <w:rPr>
                                <w:rFonts w:asciiTheme="majorHAnsi" w:hAnsiTheme="majorHAnsi" w:cs="Arial"/>
                                <w:b/>
                                <w:bCs/>
                                <w:color w:val="0D0D0D" w:themeColor="text1" w:themeTint="F2"/>
                                <w:sz w:val="36"/>
                                <w:szCs w:val="40"/>
                              </w:rPr>
                            </w:pPr>
                          </w:p>
                          <w:p w14:paraId="6AD24067" w14:textId="77777777" w:rsidR="00DC78FC" w:rsidRDefault="00DC78FC" w:rsidP="004B7EB6">
                            <w:pPr>
                              <w:spacing w:line="276" w:lineRule="auto"/>
                              <w:rPr>
                                <w:rFonts w:asciiTheme="majorHAnsi" w:hAnsiTheme="majorHAnsi" w:cs="Arial"/>
                                <w:b/>
                                <w:bCs/>
                                <w:color w:val="0D0D0D" w:themeColor="text1" w:themeTint="F2"/>
                                <w:sz w:val="36"/>
                                <w:szCs w:val="40"/>
                              </w:rPr>
                            </w:pPr>
                          </w:p>
                          <w:p w14:paraId="1EFDA655" w14:textId="77777777" w:rsidR="00DC78FC" w:rsidRDefault="00DC78FC" w:rsidP="004B7EB6">
                            <w:pPr>
                              <w:spacing w:line="276" w:lineRule="auto"/>
                              <w:rPr>
                                <w:rFonts w:asciiTheme="majorHAnsi" w:hAnsiTheme="majorHAnsi" w:cs="Arial"/>
                                <w:b/>
                                <w:bCs/>
                                <w:color w:val="0D0D0D" w:themeColor="text1" w:themeTint="F2"/>
                                <w:sz w:val="36"/>
                                <w:szCs w:val="40"/>
                              </w:rPr>
                            </w:pPr>
                          </w:p>
                          <w:p w14:paraId="03E2C88D" w14:textId="77777777" w:rsidR="00DC78FC" w:rsidRPr="004B7EB6" w:rsidRDefault="00DC78F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27/20</w:t>
                            </w:r>
                          </w:p>
                          <w:p w14:paraId="2E346925" w14:textId="77777777" w:rsidR="00DC78FC" w:rsidRPr="004B7EB6" w:rsidRDefault="00DC78F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754</w:t>
                            </w:r>
                          </w:p>
                          <w:p w14:paraId="2BB27274" w14:textId="77777777" w:rsidR="00DC78FC" w:rsidRPr="004B7EB6" w:rsidRDefault="00DC78FC"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(PUBLICATION)</w:t>
                            </w:r>
                          </w:p>
                          <w:p w14:paraId="77DDA6F3" w14:textId="77777777" w:rsidR="00DC78FC" w:rsidRPr="004B7EB6" w:rsidRDefault="00DC78FC" w:rsidP="004B7EB6">
                            <w:pPr>
                              <w:spacing w:line="276" w:lineRule="auto"/>
                              <w:rPr>
                                <w:rFonts w:asciiTheme="majorHAnsi" w:hAnsiTheme="majorHAnsi" w:cs="Arial"/>
                                <w:color w:val="0D0D0D" w:themeColor="text1" w:themeTint="F2"/>
                                <w:szCs w:val="22"/>
                              </w:rPr>
                            </w:pPr>
                          </w:p>
                          <w:p w14:paraId="0D5ABE2D" w14:textId="77777777" w:rsidR="00DC78FC" w:rsidRPr="00444596" w:rsidRDefault="00DC78F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NVWTOHIYADA IDEHESDI SEQUOYAH</w:t>
                            </w:r>
                          </w:p>
                          <w:p w14:paraId="6D3E8E99" w14:textId="77777777" w:rsidR="00DC78FC" w:rsidRDefault="00DC78F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13F18403" w14:textId="77777777" w:rsidR="00DC78FC" w:rsidRPr="00E57833" w:rsidRDefault="00DC78FC"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0B274"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BFLCob&#10;fwIAAGoFAAAOAAAAAAAAAAAAAAAAAC4CAABkcnMvZTJvRG9jLnhtbFBLAQItABQABgAIAAAAIQA0&#10;fMJ04QAAAAoBAAAPAAAAAAAAAAAAAAAAANkEAABkcnMvZG93bnJldi54bWxQSwUGAAAAAAQABADz&#10;AAAA5wUAAAAA&#10;" filled="f" stroked="f" strokeweight=".5pt">
                <v:textbox>
                  <w:txbxContent>
                    <w:p w14:paraId="35495C99" w14:textId="77777777" w:rsidR="00DC78FC" w:rsidRDefault="00DC78FC" w:rsidP="004B7EB6">
                      <w:pPr>
                        <w:spacing w:line="276" w:lineRule="auto"/>
                        <w:rPr>
                          <w:rFonts w:asciiTheme="majorHAnsi" w:hAnsiTheme="majorHAnsi" w:cs="Arial"/>
                          <w:b/>
                          <w:bCs/>
                          <w:color w:val="0D0D0D" w:themeColor="text1" w:themeTint="F2"/>
                          <w:sz w:val="36"/>
                          <w:szCs w:val="40"/>
                        </w:rPr>
                      </w:pPr>
                    </w:p>
                    <w:p w14:paraId="5A7237C4" w14:textId="77777777" w:rsidR="00DC78FC" w:rsidRDefault="00DC78FC" w:rsidP="004B7EB6">
                      <w:pPr>
                        <w:spacing w:line="276" w:lineRule="auto"/>
                        <w:rPr>
                          <w:rFonts w:asciiTheme="majorHAnsi" w:hAnsiTheme="majorHAnsi" w:cs="Arial"/>
                          <w:b/>
                          <w:bCs/>
                          <w:color w:val="0D0D0D" w:themeColor="text1" w:themeTint="F2"/>
                          <w:sz w:val="36"/>
                          <w:szCs w:val="40"/>
                        </w:rPr>
                      </w:pPr>
                    </w:p>
                    <w:p w14:paraId="6AD24067" w14:textId="77777777" w:rsidR="00DC78FC" w:rsidRDefault="00DC78FC" w:rsidP="004B7EB6">
                      <w:pPr>
                        <w:spacing w:line="276" w:lineRule="auto"/>
                        <w:rPr>
                          <w:rFonts w:asciiTheme="majorHAnsi" w:hAnsiTheme="majorHAnsi" w:cs="Arial"/>
                          <w:b/>
                          <w:bCs/>
                          <w:color w:val="0D0D0D" w:themeColor="text1" w:themeTint="F2"/>
                          <w:sz w:val="36"/>
                          <w:szCs w:val="40"/>
                        </w:rPr>
                      </w:pPr>
                    </w:p>
                    <w:p w14:paraId="1EFDA655" w14:textId="77777777" w:rsidR="00DC78FC" w:rsidRDefault="00DC78FC" w:rsidP="004B7EB6">
                      <w:pPr>
                        <w:spacing w:line="276" w:lineRule="auto"/>
                        <w:rPr>
                          <w:rFonts w:asciiTheme="majorHAnsi" w:hAnsiTheme="majorHAnsi" w:cs="Arial"/>
                          <w:b/>
                          <w:bCs/>
                          <w:color w:val="0D0D0D" w:themeColor="text1" w:themeTint="F2"/>
                          <w:sz w:val="36"/>
                          <w:szCs w:val="40"/>
                        </w:rPr>
                      </w:pPr>
                    </w:p>
                    <w:p w14:paraId="03E2C88D" w14:textId="77777777" w:rsidR="00DC78FC" w:rsidRPr="004B7EB6" w:rsidRDefault="00DC78F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27/20</w:t>
                      </w:r>
                    </w:p>
                    <w:p w14:paraId="2E346925" w14:textId="77777777" w:rsidR="00DC78FC" w:rsidRPr="004B7EB6" w:rsidRDefault="00DC78F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754</w:t>
                      </w:r>
                    </w:p>
                    <w:p w14:paraId="2BB27274" w14:textId="77777777" w:rsidR="00DC78FC" w:rsidRPr="004B7EB6" w:rsidRDefault="00DC78FC" w:rsidP="00F45EB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 xml:space="preserve">THE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(PUBLICATION)</w:t>
                      </w:r>
                    </w:p>
                    <w:p w14:paraId="77DDA6F3" w14:textId="77777777" w:rsidR="00DC78FC" w:rsidRPr="004B7EB6" w:rsidRDefault="00DC78FC" w:rsidP="004B7EB6">
                      <w:pPr>
                        <w:spacing w:line="276" w:lineRule="auto"/>
                        <w:rPr>
                          <w:rFonts w:asciiTheme="majorHAnsi" w:hAnsiTheme="majorHAnsi" w:cs="Arial"/>
                          <w:color w:val="0D0D0D" w:themeColor="text1" w:themeTint="F2"/>
                          <w:szCs w:val="22"/>
                        </w:rPr>
                      </w:pPr>
                    </w:p>
                    <w:p w14:paraId="0D5ABE2D" w14:textId="77777777" w:rsidR="00DC78FC" w:rsidRPr="00444596" w:rsidRDefault="00DC78F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NVWTOHIYADA IDEHESDI SEQUOYAH</w:t>
                      </w:r>
                    </w:p>
                    <w:p w14:paraId="6D3E8E99" w14:textId="77777777" w:rsidR="00DC78FC" w:rsidRDefault="00DC78F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13F18403" w14:textId="77777777" w:rsidR="00DC78FC" w:rsidRPr="00E57833" w:rsidRDefault="00DC78FC" w:rsidP="004B7EB6">
                      <w:pPr>
                        <w:spacing w:line="276" w:lineRule="auto"/>
                        <w:rPr>
                          <w:rFonts w:asciiTheme="majorHAnsi" w:hAnsiTheme="majorHAnsi"/>
                          <w:color w:val="0D0D0D" w:themeColor="text1" w:themeTint="F2"/>
                        </w:rPr>
                      </w:pPr>
                    </w:p>
                  </w:txbxContent>
                </v:textbox>
              </v:shape>
            </w:pict>
          </mc:Fallback>
        </mc:AlternateContent>
      </w:r>
    </w:p>
    <w:p w14:paraId="3636DA49" w14:textId="77777777" w:rsidR="005B52B0" w:rsidRPr="007D0545" w:rsidRDefault="005B52B0" w:rsidP="005128E4">
      <w:pPr>
        <w:tabs>
          <w:tab w:val="center" w:pos="5400"/>
        </w:tabs>
        <w:suppressAutoHyphens/>
        <w:jc w:val="center"/>
        <w:rPr>
          <w:rFonts w:asciiTheme="majorHAnsi" w:hAnsiTheme="majorHAnsi"/>
          <w:sz w:val="22"/>
          <w:szCs w:val="22"/>
          <w:lang w:val="es-ES_tradnl"/>
        </w:rPr>
      </w:pPr>
    </w:p>
    <w:p w14:paraId="7160FCBB" w14:textId="77777777" w:rsidR="005B52B0" w:rsidRPr="007D0545" w:rsidRDefault="005B52B0" w:rsidP="005128E4">
      <w:pPr>
        <w:tabs>
          <w:tab w:val="center" w:pos="5400"/>
        </w:tabs>
        <w:suppressAutoHyphens/>
        <w:jc w:val="center"/>
        <w:rPr>
          <w:rFonts w:asciiTheme="majorHAnsi" w:hAnsiTheme="majorHAnsi"/>
          <w:sz w:val="22"/>
          <w:szCs w:val="22"/>
          <w:lang w:val="es-ES_tradnl"/>
        </w:rPr>
      </w:pPr>
    </w:p>
    <w:p w14:paraId="30CC8673" w14:textId="77777777" w:rsidR="005B52B0" w:rsidRPr="007D0545" w:rsidRDefault="005B52B0" w:rsidP="005128E4">
      <w:pPr>
        <w:tabs>
          <w:tab w:val="center" w:pos="5400"/>
        </w:tabs>
        <w:suppressAutoHyphens/>
        <w:jc w:val="center"/>
        <w:rPr>
          <w:rFonts w:asciiTheme="majorHAnsi" w:hAnsiTheme="majorHAnsi"/>
          <w:sz w:val="22"/>
          <w:szCs w:val="22"/>
          <w:lang w:val="es-ES_tradnl"/>
        </w:rPr>
      </w:pPr>
    </w:p>
    <w:p w14:paraId="314EAEA3"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328E7A48"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1EF5F88C"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5D4CC4E9"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652B055F" w14:textId="77777777" w:rsidR="00040C3A" w:rsidRPr="007D0545" w:rsidRDefault="00A84A45" w:rsidP="00040C3A">
      <w:pPr>
        <w:tabs>
          <w:tab w:val="center" w:pos="5400"/>
        </w:tabs>
        <w:suppressAutoHyphens/>
        <w:jc w:val="center"/>
        <w:rPr>
          <w:rFonts w:asciiTheme="majorHAnsi" w:hAnsiTheme="majorHAnsi"/>
          <w:sz w:val="22"/>
          <w:szCs w:val="22"/>
          <w:lang w:val="es-ES_tradnl"/>
        </w:rPr>
      </w:pPr>
      <w:r w:rsidRPr="007D054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899A3FE" wp14:editId="49353172">
                <wp:simplePos x="0" y="0"/>
                <wp:positionH relativeFrom="column">
                  <wp:posOffset>-369988</wp:posOffset>
                </wp:positionH>
                <wp:positionV relativeFrom="paragraph">
                  <wp:posOffset>43250</wp:posOffset>
                </wp:positionV>
                <wp:extent cx="1334135" cy="835117"/>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334135" cy="83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0681A" w14:textId="77777777" w:rsidR="00DC78FC" w:rsidRPr="002E59A3" w:rsidRDefault="00DC78FC" w:rsidP="002C1641">
                            <w:pPr>
                              <w:jc w:val="right"/>
                              <w:rPr>
                                <w:rFonts w:asciiTheme="minorHAnsi" w:hAnsiTheme="minorHAnsi"/>
                                <w:color w:val="FFFFFF" w:themeColor="background1"/>
                                <w:sz w:val="22"/>
                              </w:rPr>
                            </w:pPr>
                            <w:r w:rsidRPr="002E59A3">
                              <w:rPr>
                                <w:rFonts w:asciiTheme="minorHAnsi" w:hAnsiTheme="minorHAnsi"/>
                                <w:color w:val="FFFFFF" w:themeColor="background1"/>
                                <w:sz w:val="22"/>
                              </w:rPr>
                              <w:t>OEA/Ser.L/V/II</w:t>
                            </w:r>
                          </w:p>
                          <w:p w14:paraId="59F69AEA" w14:textId="77777777" w:rsidR="00DC78FC" w:rsidRPr="002E59A3" w:rsidRDefault="00DC78FC" w:rsidP="002C1641">
                            <w:pPr>
                              <w:jc w:val="right"/>
                              <w:rPr>
                                <w:rFonts w:asciiTheme="minorHAnsi" w:hAnsiTheme="minorHAnsi"/>
                                <w:color w:val="FFFFFF" w:themeColor="background1"/>
                                <w:sz w:val="22"/>
                              </w:rPr>
                            </w:pPr>
                            <w:r w:rsidRPr="002E59A3">
                              <w:rPr>
                                <w:rFonts w:asciiTheme="minorHAnsi" w:hAnsiTheme="minorHAnsi"/>
                                <w:color w:val="FFFFFF" w:themeColor="background1"/>
                                <w:sz w:val="22"/>
                              </w:rPr>
                              <w:t>Doc. 37</w:t>
                            </w:r>
                          </w:p>
                          <w:p w14:paraId="64A1EB4E" w14:textId="77777777" w:rsidR="00DC78FC" w:rsidRPr="002E59A3" w:rsidRDefault="00DC78FC" w:rsidP="002C1641">
                            <w:pPr>
                              <w:jc w:val="right"/>
                              <w:rPr>
                                <w:rFonts w:asciiTheme="minorHAnsi" w:hAnsiTheme="minorHAnsi"/>
                                <w:color w:val="FFFFFF" w:themeColor="background1"/>
                                <w:sz w:val="22"/>
                              </w:rPr>
                            </w:pPr>
                            <w:r w:rsidRPr="002E59A3">
                              <w:rPr>
                                <w:rFonts w:asciiTheme="minorHAnsi" w:hAnsiTheme="minorHAnsi"/>
                                <w:color w:val="FFFFFF" w:themeColor="background1"/>
                                <w:sz w:val="22"/>
                              </w:rPr>
                              <w:t>April 22, 2020</w:t>
                            </w:r>
                          </w:p>
                          <w:p w14:paraId="32CD098C" w14:textId="77777777" w:rsidR="00DC78FC" w:rsidRPr="004B7EB6" w:rsidRDefault="00DC78F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9A3FE"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" filled="f" stroked="f" strokeweight=".5pt">
                <v:textbox>
                  <w:txbxContent>
                    <w:p w14:paraId="5790681A" w14:textId="77777777" w:rsidR="00DC78FC" w:rsidRPr="002E59A3" w:rsidRDefault="00DC78FC" w:rsidP="002C1641">
                      <w:pPr>
                        <w:jc w:val="right"/>
                        <w:rPr>
                          <w:rFonts w:asciiTheme="minorHAnsi" w:hAnsiTheme="minorHAnsi"/>
                          <w:color w:val="FFFFFF" w:themeColor="background1"/>
                          <w:sz w:val="22"/>
                        </w:rPr>
                      </w:pPr>
                      <w:r w:rsidRPr="002E59A3">
                        <w:rPr>
                          <w:rFonts w:asciiTheme="minorHAnsi" w:hAnsiTheme="minorHAnsi"/>
                          <w:color w:val="FFFFFF" w:themeColor="background1"/>
                          <w:sz w:val="22"/>
                        </w:rPr>
                        <w:t>OEA/Ser.L/V/II</w:t>
                      </w:r>
                    </w:p>
                    <w:p w14:paraId="59F69AEA" w14:textId="77777777" w:rsidR="00DC78FC" w:rsidRPr="002E59A3" w:rsidRDefault="00DC78FC" w:rsidP="002C1641">
                      <w:pPr>
                        <w:jc w:val="right"/>
                        <w:rPr>
                          <w:rFonts w:asciiTheme="minorHAnsi" w:hAnsiTheme="minorHAnsi"/>
                          <w:color w:val="FFFFFF" w:themeColor="background1"/>
                          <w:sz w:val="22"/>
                        </w:rPr>
                      </w:pPr>
                      <w:r w:rsidRPr="002E59A3">
                        <w:rPr>
                          <w:rFonts w:asciiTheme="minorHAnsi" w:hAnsiTheme="minorHAnsi"/>
                          <w:color w:val="FFFFFF" w:themeColor="background1"/>
                          <w:sz w:val="22"/>
                        </w:rPr>
                        <w:t>Doc. 37</w:t>
                      </w:r>
                    </w:p>
                    <w:p w14:paraId="64A1EB4E" w14:textId="77777777" w:rsidR="00DC78FC" w:rsidRPr="002E59A3" w:rsidRDefault="00DC78FC" w:rsidP="002C1641">
                      <w:pPr>
                        <w:jc w:val="right"/>
                        <w:rPr>
                          <w:rFonts w:asciiTheme="minorHAnsi" w:hAnsiTheme="minorHAnsi"/>
                          <w:color w:val="FFFFFF" w:themeColor="background1"/>
                          <w:sz w:val="22"/>
                        </w:rPr>
                      </w:pPr>
                      <w:r w:rsidRPr="002E59A3">
                        <w:rPr>
                          <w:rFonts w:asciiTheme="minorHAnsi" w:hAnsiTheme="minorHAnsi"/>
                          <w:color w:val="FFFFFF" w:themeColor="background1"/>
                          <w:sz w:val="22"/>
                        </w:rPr>
                        <w:t>April 22, 2020</w:t>
                      </w:r>
                    </w:p>
                    <w:p w14:paraId="32CD098C" w14:textId="77777777" w:rsidR="00DC78FC" w:rsidRPr="004B7EB6" w:rsidRDefault="00DC78F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3E79E87A" w14:textId="77777777" w:rsidR="00040C3A" w:rsidRPr="007D0545" w:rsidRDefault="00040C3A" w:rsidP="00040C3A">
      <w:pPr>
        <w:tabs>
          <w:tab w:val="center" w:pos="5400"/>
        </w:tabs>
        <w:suppressAutoHyphens/>
        <w:jc w:val="center"/>
        <w:rPr>
          <w:rFonts w:asciiTheme="majorHAnsi" w:hAnsiTheme="majorHAnsi" w:cs="Arial"/>
          <w:sz w:val="22"/>
          <w:szCs w:val="22"/>
          <w:lang w:val="es-ES_tradnl"/>
        </w:rPr>
      </w:pPr>
    </w:p>
    <w:p w14:paraId="65D8576D"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379ED8E6"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63F3C366"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199C03B6"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114726ED" w14:textId="77777777" w:rsidR="005128E4" w:rsidRPr="007D0545" w:rsidRDefault="005128E4" w:rsidP="00040C3A">
      <w:pPr>
        <w:tabs>
          <w:tab w:val="center" w:pos="5400"/>
        </w:tabs>
        <w:suppressAutoHyphens/>
        <w:jc w:val="center"/>
        <w:rPr>
          <w:rFonts w:asciiTheme="majorHAnsi" w:hAnsiTheme="majorHAnsi"/>
          <w:sz w:val="22"/>
          <w:szCs w:val="22"/>
          <w:lang w:val="es-ES_tradnl"/>
        </w:rPr>
      </w:pPr>
    </w:p>
    <w:p w14:paraId="71AD0259"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15400FA3" w14:textId="77777777" w:rsidR="005128E4" w:rsidRPr="007D0545" w:rsidRDefault="005128E4" w:rsidP="00040C3A">
      <w:pPr>
        <w:tabs>
          <w:tab w:val="center" w:pos="5400"/>
        </w:tabs>
        <w:suppressAutoHyphens/>
        <w:jc w:val="center"/>
        <w:rPr>
          <w:rFonts w:asciiTheme="majorHAnsi" w:hAnsiTheme="majorHAnsi"/>
          <w:sz w:val="22"/>
          <w:szCs w:val="22"/>
          <w:lang w:val="es-ES_tradnl"/>
        </w:rPr>
      </w:pPr>
    </w:p>
    <w:p w14:paraId="55A4AB11" w14:textId="77777777" w:rsidR="005128E4" w:rsidRPr="007D0545" w:rsidRDefault="005128E4" w:rsidP="00040C3A">
      <w:pPr>
        <w:tabs>
          <w:tab w:val="center" w:pos="5400"/>
        </w:tabs>
        <w:suppressAutoHyphens/>
        <w:jc w:val="center"/>
        <w:rPr>
          <w:rFonts w:asciiTheme="majorHAnsi" w:hAnsiTheme="majorHAnsi"/>
          <w:sz w:val="22"/>
          <w:szCs w:val="22"/>
          <w:lang w:val="es-ES_tradnl"/>
        </w:rPr>
      </w:pPr>
    </w:p>
    <w:p w14:paraId="294396A0" w14:textId="77777777" w:rsidR="005128E4" w:rsidRPr="007D0545" w:rsidRDefault="005128E4" w:rsidP="00040C3A">
      <w:pPr>
        <w:tabs>
          <w:tab w:val="center" w:pos="5400"/>
        </w:tabs>
        <w:suppressAutoHyphens/>
        <w:jc w:val="center"/>
        <w:rPr>
          <w:rFonts w:asciiTheme="majorHAnsi" w:hAnsiTheme="majorHAnsi"/>
          <w:sz w:val="22"/>
          <w:szCs w:val="22"/>
          <w:lang w:val="es-ES_tradnl"/>
        </w:rPr>
      </w:pPr>
    </w:p>
    <w:p w14:paraId="20F63DBC"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21AB2553" w14:textId="77777777" w:rsidR="00040C3A" w:rsidRPr="007D0545" w:rsidRDefault="00040C3A" w:rsidP="00040C3A">
      <w:pPr>
        <w:tabs>
          <w:tab w:val="center" w:pos="5400"/>
        </w:tabs>
        <w:suppressAutoHyphens/>
        <w:jc w:val="center"/>
        <w:rPr>
          <w:rFonts w:asciiTheme="majorHAnsi" w:hAnsiTheme="majorHAnsi"/>
          <w:sz w:val="22"/>
          <w:szCs w:val="22"/>
          <w:lang w:val="es-ES_tradnl"/>
        </w:rPr>
      </w:pPr>
    </w:p>
    <w:p w14:paraId="3DC39454"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131E36AE"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092474BA"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569EA9EF"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1FEA0FAA"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7167BE6D"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34015B5A"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331A59FF"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14FB5E5C"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0A5FB748"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1507000E"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4899C3B8"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4DF6513F" w14:textId="77777777" w:rsidR="002C1641" w:rsidRPr="007D0545" w:rsidRDefault="003C32BC" w:rsidP="00040C3A">
      <w:pPr>
        <w:tabs>
          <w:tab w:val="center" w:pos="5400"/>
        </w:tabs>
        <w:suppressAutoHyphens/>
        <w:jc w:val="center"/>
        <w:rPr>
          <w:rFonts w:asciiTheme="majorHAnsi" w:hAnsiTheme="majorHAnsi"/>
          <w:sz w:val="18"/>
          <w:szCs w:val="22"/>
          <w:lang w:val="es-ES_tradnl"/>
        </w:rPr>
      </w:pPr>
      <w:r w:rsidRPr="007D054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8B6CB04" wp14:editId="379721C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38AF8" w14:textId="77777777" w:rsidR="00DC78FC" w:rsidRPr="003C32BC" w:rsidRDefault="00DC78F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electronically by the Inter-American Commission on April 22,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6CB04"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71438AF8" w14:textId="77777777" w:rsidR="00DC78FC" w:rsidRPr="003C32BC" w:rsidRDefault="00DC78F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electronically by the Inter-American Commission on April 22, 2020.</w:t>
                      </w:r>
                    </w:p>
                  </w:txbxContent>
                </v:textbox>
              </v:shape>
            </w:pict>
          </mc:Fallback>
        </mc:AlternateContent>
      </w:r>
    </w:p>
    <w:p w14:paraId="7D97AAD6"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3E81C27D"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130EFADF"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40BAFF19"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60D943DD" w14:textId="77777777" w:rsidR="002C1641" w:rsidRPr="007D0545" w:rsidRDefault="003C32BC" w:rsidP="00040C3A">
      <w:pPr>
        <w:tabs>
          <w:tab w:val="center" w:pos="5400"/>
        </w:tabs>
        <w:suppressAutoHyphens/>
        <w:jc w:val="center"/>
        <w:rPr>
          <w:rFonts w:asciiTheme="majorHAnsi" w:hAnsiTheme="majorHAnsi"/>
          <w:sz w:val="18"/>
          <w:szCs w:val="22"/>
          <w:lang w:val="es-ES_tradnl"/>
        </w:rPr>
      </w:pPr>
      <w:r w:rsidRPr="007D054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BF8D55F" wp14:editId="541E68D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E16CA" w14:textId="77777777" w:rsidR="00DC78FC" w:rsidRPr="003C32BC" w:rsidRDefault="00DC78FC"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27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12.754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 Nvwtohiyada Idehesdi Sequoyah. United States of America.</w:t>
                            </w:r>
                            <w:r w:rsidRPr="007607C4">
                              <w:rPr>
                                <w:rFonts w:asciiTheme="majorHAnsi" w:hAnsiTheme="majorHAnsi"/>
                                <w:color w:val="595959" w:themeColor="text1" w:themeTint="A6"/>
                                <w:sz w:val="18"/>
                              </w:rPr>
                              <w:t xml:space="preserve"> </w:t>
                            </w:r>
                            <w:r>
                              <w:rPr>
                                <w:rFonts w:asciiTheme="majorHAnsi" w:hAnsiTheme="majorHAnsi"/>
                                <w:color w:val="595959" w:themeColor="text1" w:themeTint="A6"/>
                                <w:sz w:val="18"/>
                              </w:rPr>
                              <w:t>April 22, 2020</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8D55F"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EFE16CA" w14:textId="77777777" w:rsidR="00DC78FC" w:rsidRPr="003C32BC" w:rsidRDefault="00DC78FC"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27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12.754</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Merits</w:t>
                      </w:r>
                      <w:r>
                        <w:rPr>
                          <w:rFonts w:asciiTheme="majorHAnsi" w:hAnsiTheme="majorHAnsi"/>
                          <w:color w:val="595959" w:themeColor="text1" w:themeTint="A6"/>
                          <w:sz w:val="18"/>
                        </w:rPr>
                        <w:t xml:space="preserve"> (Publication). Nvwtohiyada Idehesdi Sequoyah. United States of America.</w:t>
                      </w:r>
                      <w:r w:rsidRPr="007607C4">
                        <w:rPr>
                          <w:rFonts w:asciiTheme="majorHAnsi" w:hAnsiTheme="majorHAnsi"/>
                          <w:color w:val="595959" w:themeColor="text1" w:themeTint="A6"/>
                          <w:sz w:val="18"/>
                        </w:rPr>
                        <w:t xml:space="preserve"> </w:t>
                      </w:r>
                      <w:r>
                        <w:rPr>
                          <w:rFonts w:asciiTheme="majorHAnsi" w:hAnsiTheme="majorHAnsi"/>
                          <w:color w:val="595959" w:themeColor="text1" w:themeTint="A6"/>
                          <w:sz w:val="18"/>
                        </w:rPr>
                        <w:t>April 22, 2020</w:t>
                      </w:r>
                      <w:r w:rsidRPr="007607C4">
                        <w:rPr>
                          <w:rFonts w:asciiTheme="majorHAnsi" w:hAnsiTheme="majorHAnsi"/>
                          <w:color w:val="595959" w:themeColor="text1" w:themeTint="A6"/>
                          <w:sz w:val="18"/>
                        </w:rPr>
                        <w:t>.</w:t>
                      </w:r>
                    </w:p>
                  </w:txbxContent>
                </v:textbox>
              </v:shape>
            </w:pict>
          </mc:Fallback>
        </mc:AlternateContent>
      </w:r>
    </w:p>
    <w:p w14:paraId="0A0D50B4"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3BDDAD95" w14:textId="77777777" w:rsidR="002C1641" w:rsidRPr="007D0545" w:rsidRDefault="002C1641" w:rsidP="00040C3A">
      <w:pPr>
        <w:tabs>
          <w:tab w:val="center" w:pos="5400"/>
        </w:tabs>
        <w:suppressAutoHyphens/>
        <w:jc w:val="center"/>
        <w:rPr>
          <w:rFonts w:asciiTheme="majorHAnsi" w:hAnsiTheme="majorHAnsi"/>
          <w:sz w:val="18"/>
          <w:szCs w:val="22"/>
          <w:lang w:val="es-ES_tradnl"/>
        </w:rPr>
      </w:pPr>
    </w:p>
    <w:p w14:paraId="4258FCB4" w14:textId="77777777" w:rsidR="003C32BC" w:rsidRPr="007D0545" w:rsidRDefault="003C32BC" w:rsidP="003C32BC">
      <w:pPr>
        <w:tabs>
          <w:tab w:val="center" w:pos="5400"/>
        </w:tabs>
        <w:suppressAutoHyphens/>
        <w:jc w:val="center"/>
        <w:rPr>
          <w:rFonts w:asciiTheme="majorHAnsi" w:hAnsiTheme="majorHAnsi"/>
          <w:sz w:val="18"/>
          <w:szCs w:val="22"/>
        </w:rPr>
      </w:pPr>
    </w:p>
    <w:p w14:paraId="6AE35B7B" w14:textId="77777777" w:rsidR="003C32BC" w:rsidRPr="007D0545" w:rsidRDefault="006311DA" w:rsidP="003C32BC">
      <w:pPr>
        <w:tabs>
          <w:tab w:val="center" w:pos="5400"/>
        </w:tabs>
        <w:suppressAutoHyphens/>
        <w:jc w:val="center"/>
        <w:rPr>
          <w:rFonts w:asciiTheme="majorHAnsi" w:hAnsiTheme="majorHAnsi"/>
          <w:sz w:val="18"/>
          <w:szCs w:val="22"/>
        </w:rPr>
      </w:pPr>
      <w:r w:rsidRPr="007D054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DA7E275" wp14:editId="1CA775C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25A76" w14:textId="77777777" w:rsidR="00DC78FC" w:rsidRPr="004B7EB6" w:rsidRDefault="00DC78F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E275"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44425A76" w14:textId="77777777" w:rsidR="00DC78FC" w:rsidRPr="004B7EB6" w:rsidRDefault="00DC78F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7D054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F5D1905" wp14:editId="1195BF98">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744AA" w14:textId="77777777" w:rsidR="00DC78FC" w:rsidRDefault="00DC78FC">
                            <w:r>
                              <w:rPr>
                                <w:noProof/>
                              </w:rPr>
                              <w:drawing>
                                <wp:inline distT="0" distB="0" distL="0" distR="0" wp14:anchorId="664CEC39" wp14:editId="300F400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D1905"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351744AA" w14:textId="77777777" w:rsidR="00DC78FC" w:rsidRDefault="00DC78FC">
                      <w:r>
                        <w:rPr>
                          <w:noProof/>
                        </w:rPr>
                        <w:drawing>
                          <wp:inline distT="0" distB="0" distL="0" distR="0" wp14:anchorId="664CEC39" wp14:editId="300F400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2F397293" w14:textId="77777777" w:rsidR="007607C4" w:rsidRPr="007D0545" w:rsidRDefault="007607C4" w:rsidP="003C32BC">
      <w:pPr>
        <w:tabs>
          <w:tab w:val="center" w:pos="5400"/>
        </w:tabs>
        <w:suppressAutoHyphens/>
        <w:jc w:val="center"/>
        <w:rPr>
          <w:rFonts w:asciiTheme="majorHAnsi" w:hAnsiTheme="majorHAnsi"/>
          <w:sz w:val="18"/>
          <w:szCs w:val="22"/>
        </w:rPr>
        <w:sectPr w:rsidR="007607C4" w:rsidRPr="007D0545"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9ED32AA" w14:textId="77777777" w:rsidR="00FC3EB4" w:rsidRPr="007D0545" w:rsidRDefault="00FC3EB4" w:rsidP="00FC3EB4">
      <w:pPr>
        <w:tabs>
          <w:tab w:val="center" w:pos="5400"/>
        </w:tabs>
        <w:suppressAutoHyphens/>
        <w:spacing w:line="276" w:lineRule="auto"/>
        <w:jc w:val="center"/>
        <w:rPr>
          <w:rFonts w:asciiTheme="majorHAnsi" w:hAnsiTheme="majorHAnsi"/>
          <w:b/>
          <w:sz w:val="18"/>
          <w:szCs w:val="18"/>
        </w:rPr>
      </w:pPr>
      <w:r w:rsidRPr="007D0545">
        <w:rPr>
          <w:rFonts w:asciiTheme="majorHAnsi" w:hAnsiTheme="majorHAnsi"/>
          <w:b/>
          <w:sz w:val="18"/>
          <w:szCs w:val="18"/>
        </w:rPr>
        <w:lastRenderedPageBreak/>
        <w:t>INDEX</w:t>
      </w:r>
    </w:p>
    <w:p w14:paraId="2BBD859E" w14:textId="77777777" w:rsidR="007607C4" w:rsidRPr="007D0545" w:rsidRDefault="007607C4" w:rsidP="00145EDC">
      <w:pPr>
        <w:tabs>
          <w:tab w:val="center" w:pos="5400"/>
        </w:tabs>
        <w:suppressAutoHyphens/>
        <w:spacing w:line="276" w:lineRule="auto"/>
        <w:rPr>
          <w:rFonts w:asciiTheme="majorHAnsi" w:hAnsiTheme="majorHAnsi"/>
          <w:sz w:val="18"/>
          <w:szCs w:val="18"/>
        </w:rPr>
      </w:pPr>
    </w:p>
    <w:p w14:paraId="20BBBA6B" w14:textId="77777777" w:rsidR="007607C4" w:rsidRPr="007D0545" w:rsidRDefault="007607C4" w:rsidP="00145EDC">
      <w:pPr>
        <w:tabs>
          <w:tab w:val="center" w:pos="5400"/>
        </w:tabs>
        <w:suppressAutoHyphens/>
        <w:spacing w:line="276" w:lineRule="auto"/>
        <w:rPr>
          <w:rFonts w:asciiTheme="majorHAnsi" w:hAnsiTheme="majorHAnsi"/>
          <w:sz w:val="18"/>
          <w:szCs w:val="18"/>
        </w:rPr>
      </w:pPr>
    </w:p>
    <w:p w14:paraId="5CEB614D" w14:textId="10E0198C" w:rsidR="00E919BD" w:rsidRPr="00DC78FC" w:rsidRDefault="00864785">
      <w:pPr>
        <w:pStyle w:val="TOC1"/>
        <w:rPr>
          <w:rFonts w:eastAsiaTheme="minorEastAsia" w:cstheme="minorBidi"/>
          <w:bdr w:val="none" w:sz="0" w:space="0" w:color="auto"/>
          <w:lang w:val="en-US"/>
        </w:rPr>
      </w:pPr>
      <w:r w:rsidRPr="007D0545">
        <w:fldChar w:fldCharType="begin"/>
      </w:r>
      <w:r w:rsidRPr="007D0545">
        <w:instrText xml:space="preserve"> TOC \o "1-3" \h \z \u </w:instrText>
      </w:r>
      <w:r w:rsidRPr="007D0545">
        <w:fldChar w:fldCharType="separate"/>
      </w:r>
      <w:hyperlink w:anchor="_Toc26556079" w:history="1">
        <w:r w:rsidR="00E919BD" w:rsidRPr="00DC78FC">
          <w:rPr>
            <w:rStyle w:val="Hyperlink"/>
          </w:rPr>
          <w:t>I.</w:t>
        </w:r>
        <w:r w:rsidR="00E919BD" w:rsidRPr="00DC78FC">
          <w:rPr>
            <w:rFonts w:eastAsiaTheme="minorEastAsia" w:cstheme="minorBidi"/>
            <w:bdr w:val="none" w:sz="0" w:space="0" w:color="auto"/>
            <w:lang w:val="en-US"/>
          </w:rPr>
          <w:tab/>
        </w:r>
        <w:r w:rsidR="00E919BD" w:rsidRPr="00DC78FC">
          <w:rPr>
            <w:rStyle w:val="Hyperlink"/>
          </w:rPr>
          <w:t>INTRODUCTION</w:t>
        </w:r>
        <w:r w:rsidR="00E919BD" w:rsidRPr="00DC78FC">
          <w:rPr>
            <w:webHidden/>
          </w:rPr>
          <w:tab/>
        </w:r>
        <w:r w:rsidR="00E919BD" w:rsidRPr="00DC78FC">
          <w:rPr>
            <w:webHidden/>
          </w:rPr>
          <w:fldChar w:fldCharType="begin"/>
        </w:r>
        <w:r w:rsidR="00E919BD" w:rsidRPr="00DC78FC">
          <w:rPr>
            <w:webHidden/>
          </w:rPr>
          <w:instrText xml:space="preserve"> PAGEREF _Toc26556079 \h </w:instrText>
        </w:r>
        <w:r w:rsidR="00E919BD" w:rsidRPr="00DC78FC">
          <w:rPr>
            <w:webHidden/>
          </w:rPr>
        </w:r>
        <w:r w:rsidR="00E919BD" w:rsidRPr="00DC78FC">
          <w:rPr>
            <w:webHidden/>
          </w:rPr>
          <w:fldChar w:fldCharType="separate"/>
        </w:r>
        <w:r w:rsidR="00F71DA5">
          <w:rPr>
            <w:webHidden/>
          </w:rPr>
          <w:t>2</w:t>
        </w:r>
        <w:r w:rsidR="00E919BD" w:rsidRPr="00DC78FC">
          <w:rPr>
            <w:webHidden/>
          </w:rPr>
          <w:fldChar w:fldCharType="end"/>
        </w:r>
      </w:hyperlink>
    </w:p>
    <w:p w14:paraId="4D00BD49" w14:textId="159C4173" w:rsidR="00E919BD" w:rsidRPr="00DC78FC" w:rsidRDefault="00F71DA5">
      <w:pPr>
        <w:pStyle w:val="TOC1"/>
        <w:rPr>
          <w:rFonts w:eastAsiaTheme="minorEastAsia" w:cstheme="minorBidi"/>
          <w:bdr w:val="none" w:sz="0" w:space="0" w:color="auto"/>
          <w:lang w:val="en-US"/>
        </w:rPr>
      </w:pPr>
      <w:hyperlink w:anchor="_Toc26556080" w:history="1">
        <w:r w:rsidR="00E919BD" w:rsidRPr="00DC78FC">
          <w:rPr>
            <w:rStyle w:val="Hyperlink"/>
          </w:rPr>
          <w:t>II.</w:t>
        </w:r>
        <w:r w:rsidR="00E919BD" w:rsidRPr="00DC78FC">
          <w:rPr>
            <w:rFonts w:eastAsiaTheme="minorEastAsia" w:cstheme="minorBidi"/>
            <w:bdr w:val="none" w:sz="0" w:space="0" w:color="auto"/>
            <w:lang w:val="en-US"/>
          </w:rPr>
          <w:tab/>
        </w:r>
        <w:r w:rsidR="00E919BD" w:rsidRPr="00DC78FC">
          <w:rPr>
            <w:rStyle w:val="Hyperlink"/>
          </w:rPr>
          <w:t>POSITIONS OF THE PARTIES</w:t>
        </w:r>
        <w:r w:rsidR="00E919BD" w:rsidRPr="00DC78FC">
          <w:rPr>
            <w:webHidden/>
          </w:rPr>
          <w:tab/>
        </w:r>
        <w:r w:rsidR="00E919BD" w:rsidRPr="00DC78FC">
          <w:rPr>
            <w:webHidden/>
          </w:rPr>
          <w:fldChar w:fldCharType="begin"/>
        </w:r>
        <w:r w:rsidR="00E919BD" w:rsidRPr="00DC78FC">
          <w:rPr>
            <w:webHidden/>
          </w:rPr>
          <w:instrText xml:space="preserve"> PAGEREF _Toc26556080 \h </w:instrText>
        </w:r>
        <w:r w:rsidR="00E919BD" w:rsidRPr="00DC78FC">
          <w:rPr>
            <w:webHidden/>
          </w:rPr>
        </w:r>
        <w:r w:rsidR="00E919BD" w:rsidRPr="00DC78FC">
          <w:rPr>
            <w:webHidden/>
          </w:rPr>
          <w:fldChar w:fldCharType="separate"/>
        </w:r>
        <w:r>
          <w:rPr>
            <w:webHidden/>
          </w:rPr>
          <w:t>2</w:t>
        </w:r>
        <w:r w:rsidR="00E919BD" w:rsidRPr="00DC78FC">
          <w:rPr>
            <w:webHidden/>
          </w:rPr>
          <w:fldChar w:fldCharType="end"/>
        </w:r>
      </w:hyperlink>
    </w:p>
    <w:p w14:paraId="306A6C17" w14:textId="3D3E3BB2"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81" w:history="1">
        <w:r w:rsidR="00E919BD" w:rsidRPr="00DC78FC">
          <w:rPr>
            <w:rStyle w:val="Hyperlink"/>
            <w:rFonts w:asciiTheme="majorHAnsi" w:hAnsiTheme="majorHAnsi"/>
            <w:noProof/>
            <w:sz w:val="20"/>
            <w:szCs w:val="20"/>
          </w:rPr>
          <w:t>A.</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Petitioners</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_Toc26556081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2</w:t>
        </w:r>
        <w:r w:rsidR="00E919BD" w:rsidRPr="00DC78FC">
          <w:rPr>
            <w:rFonts w:asciiTheme="majorHAnsi" w:hAnsiTheme="majorHAnsi"/>
            <w:noProof/>
            <w:webHidden/>
            <w:sz w:val="20"/>
            <w:szCs w:val="20"/>
          </w:rPr>
          <w:fldChar w:fldCharType="end"/>
        </w:r>
      </w:hyperlink>
    </w:p>
    <w:p w14:paraId="7DC18EA3" w14:textId="5FAC0B7C"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82" w:history="1">
        <w:r w:rsidR="00E919BD" w:rsidRPr="00DC78FC">
          <w:rPr>
            <w:rStyle w:val="Hyperlink"/>
            <w:rFonts w:asciiTheme="majorHAnsi" w:hAnsiTheme="majorHAnsi"/>
            <w:noProof/>
            <w:sz w:val="20"/>
            <w:szCs w:val="20"/>
          </w:rPr>
          <w:t>B.</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State</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_Toc26556082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3</w:t>
        </w:r>
        <w:r w:rsidR="00E919BD" w:rsidRPr="00DC78FC">
          <w:rPr>
            <w:rFonts w:asciiTheme="majorHAnsi" w:hAnsiTheme="majorHAnsi"/>
            <w:noProof/>
            <w:webHidden/>
            <w:sz w:val="20"/>
            <w:szCs w:val="20"/>
          </w:rPr>
          <w:fldChar w:fldCharType="end"/>
        </w:r>
      </w:hyperlink>
    </w:p>
    <w:p w14:paraId="0589ECB8" w14:textId="7C06B6BF" w:rsidR="00E919BD" w:rsidRPr="00DC78FC" w:rsidRDefault="00F71DA5">
      <w:pPr>
        <w:pStyle w:val="TOC1"/>
        <w:rPr>
          <w:rFonts w:eastAsiaTheme="minorEastAsia" w:cstheme="minorBidi"/>
          <w:bdr w:val="none" w:sz="0" w:space="0" w:color="auto"/>
          <w:lang w:val="en-US"/>
        </w:rPr>
      </w:pPr>
      <w:hyperlink w:anchor="_Toc26556083" w:history="1">
        <w:r w:rsidR="00E919BD" w:rsidRPr="00DC78FC">
          <w:rPr>
            <w:rStyle w:val="Hyperlink"/>
          </w:rPr>
          <w:t>III.</w:t>
        </w:r>
        <w:r w:rsidR="00E919BD" w:rsidRPr="00DC78FC">
          <w:rPr>
            <w:rFonts w:eastAsiaTheme="minorEastAsia" w:cstheme="minorBidi"/>
            <w:bdr w:val="none" w:sz="0" w:space="0" w:color="auto"/>
            <w:lang w:val="en-US"/>
          </w:rPr>
          <w:tab/>
        </w:r>
        <w:r w:rsidR="00E919BD" w:rsidRPr="00DC78FC">
          <w:rPr>
            <w:rStyle w:val="Hyperlink"/>
          </w:rPr>
          <w:t>FINDINGS OF FACT</w:t>
        </w:r>
        <w:r w:rsidR="00E919BD" w:rsidRPr="00DC78FC">
          <w:rPr>
            <w:webHidden/>
          </w:rPr>
          <w:tab/>
        </w:r>
        <w:r w:rsidR="00E919BD" w:rsidRPr="00DC78FC">
          <w:rPr>
            <w:webHidden/>
          </w:rPr>
          <w:fldChar w:fldCharType="begin"/>
        </w:r>
        <w:r w:rsidR="00E919BD" w:rsidRPr="00DC78FC">
          <w:rPr>
            <w:webHidden/>
          </w:rPr>
          <w:instrText xml:space="preserve"> PAGEREF _Toc26556083 \h </w:instrText>
        </w:r>
        <w:r w:rsidR="00E919BD" w:rsidRPr="00DC78FC">
          <w:rPr>
            <w:webHidden/>
          </w:rPr>
        </w:r>
        <w:r w:rsidR="00E919BD" w:rsidRPr="00DC78FC">
          <w:rPr>
            <w:webHidden/>
          </w:rPr>
          <w:fldChar w:fldCharType="separate"/>
        </w:r>
        <w:r>
          <w:rPr>
            <w:webHidden/>
          </w:rPr>
          <w:t>3</w:t>
        </w:r>
        <w:r w:rsidR="00E919BD" w:rsidRPr="00DC78FC">
          <w:rPr>
            <w:webHidden/>
          </w:rPr>
          <w:fldChar w:fldCharType="end"/>
        </w:r>
      </w:hyperlink>
    </w:p>
    <w:p w14:paraId="174AF8BB" w14:textId="475F5184"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84" w:history="1">
        <w:r w:rsidR="00E919BD" w:rsidRPr="00DC78FC">
          <w:rPr>
            <w:rStyle w:val="Hyperlink"/>
            <w:rFonts w:asciiTheme="majorHAnsi" w:hAnsiTheme="majorHAnsi"/>
            <w:noProof/>
            <w:sz w:val="20"/>
            <w:szCs w:val="20"/>
          </w:rPr>
          <w:t>A.</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Legal framework</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_Toc26556084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4</w:t>
        </w:r>
        <w:r w:rsidR="00E919BD" w:rsidRPr="00DC78FC">
          <w:rPr>
            <w:rFonts w:asciiTheme="majorHAnsi" w:hAnsiTheme="majorHAnsi"/>
            <w:noProof/>
            <w:webHidden/>
            <w:sz w:val="20"/>
            <w:szCs w:val="20"/>
          </w:rPr>
          <w:fldChar w:fldCharType="end"/>
        </w:r>
      </w:hyperlink>
    </w:p>
    <w:p w14:paraId="3234E604" w14:textId="245BC142"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85" w:history="1">
        <w:r w:rsidR="00E919BD" w:rsidRPr="00DC78FC">
          <w:rPr>
            <w:rStyle w:val="Hyperlink"/>
            <w:rFonts w:asciiTheme="majorHAnsi" w:hAnsiTheme="majorHAnsi"/>
            <w:noProof/>
            <w:sz w:val="20"/>
            <w:szCs w:val="20"/>
          </w:rPr>
          <w:t>B.</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Pretrial proceedings regarding competency to stand trial and to self-represent</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_Toc26556085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4</w:t>
        </w:r>
        <w:r w:rsidR="00E919BD" w:rsidRPr="00DC78FC">
          <w:rPr>
            <w:rFonts w:asciiTheme="majorHAnsi" w:hAnsiTheme="majorHAnsi"/>
            <w:noProof/>
            <w:webHidden/>
            <w:sz w:val="20"/>
            <w:szCs w:val="20"/>
          </w:rPr>
          <w:fldChar w:fldCharType="end"/>
        </w:r>
      </w:hyperlink>
    </w:p>
    <w:p w14:paraId="3268F741" w14:textId="180A97DF"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86" w:history="1">
        <w:r w:rsidR="00E919BD" w:rsidRPr="00DC78FC">
          <w:rPr>
            <w:rStyle w:val="Hyperlink"/>
            <w:rFonts w:asciiTheme="majorHAnsi" w:hAnsiTheme="majorHAnsi"/>
            <w:noProof/>
            <w:sz w:val="20"/>
            <w:szCs w:val="20"/>
          </w:rPr>
          <w:t>C.</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Death sentence and automatic appeal</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_Toc26556086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7</w:t>
        </w:r>
        <w:r w:rsidR="00E919BD" w:rsidRPr="00DC78FC">
          <w:rPr>
            <w:rFonts w:asciiTheme="majorHAnsi" w:hAnsiTheme="majorHAnsi"/>
            <w:noProof/>
            <w:webHidden/>
            <w:sz w:val="20"/>
            <w:szCs w:val="20"/>
          </w:rPr>
          <w:fldChar w:fldCharType="end"/>
        </w:r>
      </w:hyperlink>
    </w:p>
    <w:p w14:paraId="7FE23D3E" w14:textId="30C0A3D2" w:rsidR="00E919BD" w:rsidRPr="00DC78FC" w:rsidRDefault="00F71DA5">
      <w:pPr>
        <w:pStyle w:val="TOC1"/>
        <w:rPr>
          <w:rFonts w:eastAsiaTheme="minorEastAsia" w:cstheme="minorBidi"/>
          <w:bdr w:val="none" w:sz="0" w:space="0" w:color="auto"/>
          <w:lang w:val="en-US"/>
        </w:rPr>
      </w:pPr>
      <w:hyperlink w:anchor="_Toc26556087" w:history="1">
        <w:r w:rsidR="00E919BD" w:rsidRPr="00DC78FC">
          <w:rPr>
            <w:rStyle w:val="Hyperlink"/>
          </w:rPr>
          <w:t>IV.</w:t>
        </w:r>
        <w:r w:rsidR="00E919BD" w:rsidRPr="00DC78FC">
          <w:rPr>
            <w:rFonts w:eastAsiaTheme="minorEastAsia" w:cstheme="minorBidi"/>
            <w:bdr w:val="none" w:sz="0" w:space="0" w:color="auto"/>
            <w:lang w:val="en-US"/>
          </w:rPr>
          <w:tab/>
        </w:r>
        <w:r w:rsidR="00E919BD" w:rsidRPr="00DC78FC">
          <w:rPr>
            <w:rStyle w:val="Hyperlink"/>
          </w:rPr>
          <w:t>ANALYSIS OF LAW</w:t>
        </w:r>
        <w:r w:rsidR="00E919BD" w:rsidRPr="00DC78FC">
          <w:rPr>
            <w:webHidden/>
          </w:rPr>
          <w:tab/>
        </w:r>
        <w:r w:rsidR="00E919BD" w:rsidRPr="00DC78FC">
          <w:rPr>
            <w:webHidden/>
          </w:rPr>
          <w:fldChar w:fldCharType="begin"/>
        </w:r>
        <w:r w:rsidR="00E919BD" w:rsidRPr="00DC78FC">
          <w:rPr>
            <w:webHidden/>
          </w:rPr>
          <w:instrText xml:space="preserve"> PAGEREF _Toc26556087 \h </w:instrText>
        </w:r>
        <w:r w:rsidR="00E919BD" w:rsidRPr="00DC78FC">
          <w:rPr>
            <w:webHidden/>
          </w:rPr>
        </w:r>
        <w:r w:rsidR="00E919BD" w:rsidRPr="00DC78FC">
          <w:rPr>
            <w:webHidden/>
          </w:rPr>
          <w:fldChar w:fldCharType="separate"/>
        </w:r>
        <w:r>
          <w:rPr>
            <w:webHidden/>
          </w:rPr>
          <w:t>8</w:t>
        </w:r>
        <w:r w:rsidR="00E919BD" w:rsidRPr="00DC78FC">
          <w:rPr>
            <w:webHidden/>
          </w:rPr>
          <w:fldChar w:fldCharType="end"/>
        </w:r>
      </w:hyperlink>
    </w:p>
    <w:p w14:paraId="2554826A" w14:textId="2A14127E"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88" w:history="1">
        <w:r w:rsidR="00E919BD" w:rsidRPr="00DC78FC">
          <w:rPr>
            <w:rStyle w:val="Hyperlink"/>
            <w:rFonts w:asciiTheme="majorHAnsi" w:hAnsiTheme="majorHAnsi"/>
            <w:noProof/>
            <w:sz w:val="20"/>
            <w:szCs w:val="20"/>
          </w:rPr>
          <w:t>A.</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Preliminary considerations</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_Toc26556088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8</w:t>
        </w:r>
        <w:r w:rsidR="00E919BD" w:rsidRPr="00DC78FC">
          <w:rPr>
            <w:rFonts w:asciiTheme="majorHAnsi" w:hAnsiTheme="majorHAnsi"/>
            <w:noProof/>
            <w:webHidden/>
            <w:sz w:val="20"/>
            <w:szCs w:val="20"/>
          </w:rPr>
          <w:fldChar w:fldCharType="end"/>
        </w:r>
      </w:hyperlink>
    </w:p>
    <w:p w14:paraId="361BDEF8" w14:textId="6F99E1D5"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89" w:history="1">
        <w:r w:rsidR="00E919BD" w:rsidRPr="00DC78FC">
          <w:rPr>
            <w:rStyle w:val="Hyperlink"/>
            <w:rFonts w:asciiTheme="majorHAnsi" w:hAnsiTheme="majorHAnsi"/>
            <w:noProof/>
            <w:sz w:val="20"/>
            <w:szCs w:val="20"/>
          </w:rPr>
          <w:t>B.</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Right to a fair trial and to due process of law</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_Toc26556089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10</w:t>
        </w:r>
        <w:r w:rsidR="00E919BD" w:rsidRPr="00DC78FC">
          <w:rPr>
            <w:rFonts w:asciiTheme="majorHAnsi" w:hAnsiTheme="majorHAnsi"/>
            <w:noProof/>
            <w:webHidden/>
            <w:sz w:val="20"/>
            <w:szCs w:val="20"/>
          </w:rPr>
          <w:fldChar w:fldCharType="end"/>
        </w:r>
      </w:hyperlink>
    </w:p>
    <w:p w14:paraId="6645AE5A" w14:textId="3D0647BE" w:rsidR="00E919BD" w:rsidRPr="00DC78FC" w:rsidRDefault="00F71DA5">
      <w:pPr>
        <w:pStyle w:val="TOC3"/>
        <w:rPr>
          <w:rFonts w:asciiTheme="majorHAnsi" w:eastAsiaTheme="minorEastAsia" w:hAnsiTheme="majorHAnsi" w:cstheme="minorBidi"/>
          <w:noProof/>
          <w:sz w:val="20"/>
          <w:szCs w:val="20"/>
          <w:bdr w:val="none" w:sz="0" w:space="0" w:color="auto"/>
        </w:rPr>
      </w:pPr>
      <w:hyperlink w:anchor="_Toc26556090" w:history="1">
        <w:r w:rsidR="00E919BD" w:rsidRPr="00DC78FC">
          <w:rPr>
            <w:rStyle w:val="Hyperlink"/>
            <w:rFonts w:asciiTheme="majorHAnsi" w:hAnsiTheme="majorHAnsi"/>
            <w:noProof/>
            <w:sz w:val="20"/>
            <w:szCs w:val="20"/>
          </w:rPr>
          <w:t>1.</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General considerations regarding the right to self-representation and its limitations</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_Toc26556090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10</w:t>
        </w:r>
        <w:r w:rsidR="00E919BD" w:rsidRPr="00DC78FC">
          <w:rPr>
            <w:rFonts w:asciiTheme="majorHAnsi" w:hAnsiTheme="majorHAnsi"/>
            <w:noProof/>
            <w:webHidden/>
            <w:sz w:val="20"/>
            <w:szCs w:val="20"/>
          </w:rPr>
          <w:fldChar w:fldCharType="end"/>
        </w:r>
      </w:hyperlink>
    </w:p>
    <w:p w14:paraId="1A3E9FDE" w14:textId="1EBB8FB9" w:rsidR="00E919BD" w:rsidRPr="00DC78FC" w:rsidRDefault="00F71DA5">
      <w:pPr>
        <w:pStyle w:val="TOC3"/>
        <w:rPr>
          <w:rFonts w:asciiTheme="majorHAnsi" w:eastAsiaTheme="minorEastAsia" w:hAnsiTheme="majorHAnsi" w:cstheme="minorBidi"/>
          <w:noProof/>
          <w:sz w:val="20"/>
          <w:szCs w:val="20"/>
          <w:bdr w:val="none" w:sz="0" w:space="0" w:color="auto"/>
        </w:rPr>
      </w:pPr>
      <w:hyperlink w:anchor="_Toc26556091" w:history="1">
        <w:r w:rsidR="00E919BD" w:rsidRPr="00DC78FC">
          <w:rPr>
            <w:rStyle w:val="Hyperlink"/>
            <w:rFonts w:asciiTheme="majorHAnsi" w:hAnsiTheme="majorHAnsi"/>
            <w:noProof/>
            <w:sz w:val="20"/>
            <w:szCs w:val="20"/>
          </w:rPr>
          <w:t>2.</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The right to self-representation in death penalty cases</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_Toc26556091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11</w:t>
        </w:r>
        <w:r w:rsidR="00E919BD" w:rsidRPr="00DC78FC">
          <w:rPr>
            <w:rFonts w:asciiTheme="majorHAnsi" w:hAnsiTheme="majorHAnsi"/>
            <w:noProof/>
            <w:webHidden/>
            <w:sz w:val="20"/>
            <w:szCs w:val="20"/>
          </w:rPr>
          <w:fldChar w:fldCharType="end"/>
        </w:r>
      </w:hyperlink>
    </w:p>
    <w:p w14:paraId="6F87D413" w14:textId="4319553B" w:rsidR="00E919BD" w:rsidRPr="00DC78FC" w:rsidRDefault="00F71DA5">
      <w:pPr>
        <w:pStyle w:val="TOC3"/>
        <w:rPr>
          <w:rFonts w:asciiTheme="majorHAnsi" w:eastAsiaTheme="minorEastAsia" w:hAnsiTheme="majorHAnsi" w:cstheme="minorBidi"/>
          <w:noProof/>
          <w:sz w:val="20"/>
          <w:szCs w:val="20"/>
          <w:bdr w:val="none" w:sz="0" w:space="0" w:color="auto"/>
        </w:rPr>
      </w:pPr>
      <w:hyperlink w:anchor="_Toc26556092" w:history="1">
        <w:r w:rsidR="00E919BD" w:rsidRPr="00DC78FC">
          <w:rPr>
            <w:rStyle w:val="Hyperlink"/>
            <w:rFonts w:asciiTheme="majorHAnsi" w:hAnsiTheme="majorHAnsi"/>
            <w:noProof/>
            <w:sz w:val="20"/>
            <w:szCs w:val="20"/>
          </w:rPr>
          <w:t>3.</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Analysis of the case</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_Toc26556092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11</w:t>
        </w:r>
        <w:r w:rsidR="00E919BD" w:rsidRPr="00DC78FC">
          <w:rPr>
            <w:rFonts w:asciiTheme="majorHAnsi" w:hAnsiTheme="majorHAnsi"/>
            <w:noProof/>
            <w:webHidden/>
            <w:sz w:val="20"/>
            <w:szCs w:val="20"/>
          </w:rPr>
          <w:fldChar w:fldCharType="end"/>
        </w:r>
      </w:hyperlink>
    </w:p>
    <w:p w14:paraId="48DFC13B" w14:textId="76ACE711"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93" w:history="1">
        <w:r w:rsidR="00E919BD" w:rsidRPr="00DC78FC">
          <w:rPr>
            <w:rStyle w:val="Hyperlink"/>
            <w:rFonts w:asciiTheme="majorHAnsi" w:hAnsiTheme="majorHAnsi"/>
            <w:noProof/>
            <w:sz w:val="20"/>
            <w:szCs w:val="20"/>
          </w:rPr>
          <w:t xml:space="preserve">C. </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Right not to receive cruel, infamous or unusual punishment</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_Toc26556093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12</w:t>
        </w:r>
        <w:r w:rsidR="00E919BD" w:rsidRPr="00DC78FC">
          <w:rPr>
            <w:rFonts w:asciiTheme="majorHAnsi" w:hAnsiTheme="majorHAnsi"/>
            <w:noProof/>
            <w:webHidden/>
            <w:sz w:val="20"/>
            <w:szCs w:val="20"/>
          </w:rPr>
          <w:fldChar w:fldCharType="end"/>
        </w:r>
      </w:hyperlink>
    </w:p>
    <w:p w14:paraId="4B04D6AA" w14:textId="6979F124" w:rsidR="00E919BD" w:rsidRPr="00DC78FC" w:rsidRDefault="00F71DA5">
      <w:pPr>
        <w:pStyle w:val="TOC3"/>
        <w:rPr>
          <w:rFonts w:asciiTheme="majorHAnsi" w:eastAsiaTheme="minorEastAsia" w:hAnsiTheme="majorHAnsi" w:cstheme="minorBidi"/>
          <w:noProof/>
          <w:sz w:val="20"/>
          <w:szCs w:val="20"/>
          <w:bdr w:val="none" w:sz="0" w:space="0" w:color="auto"/>
        </w:rPr>
      </w:pPr>
      <w:hyperlink w:anchor="_Toc26556094" w:history="1">
        <w:r w:rsidR="00E919BD" w:rsidRPr="00DC78FC">
          <w:rPr>
            <w:rStyle w:val="Hyperlink"/>
            <w:rFonts w:asciiTheme="majorHAnsi" w:hAnsiTheme="majorHAnsi"/>
            <w:noProof/>
            <w:sz w:val="20"/>
            <w:szCs w:val="20"/>
          </w:rPr>
          <w:t>1.</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Right of every person with mental disabilities not to be subjected to the death penalty</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_Toc26556094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12</w:t>
        </w:r>
        <w:r w:rsidR="00E919BD" w:rsidRPr="00DC78FC">
          <w:rPr>
            <w:rFonts w:asciiTheme="majorHAnsi" w:hAnsiTheme="majorHAnsi"/>
            <w:noProof/>
            <w:webHidden/>
            <w:sz w:val="20"/>
            <w:szCs w:val="20"/>
          </w:rPr>
          <w:fldChar w:fldCharType="end"/>
        </w:r>
      </w:hyperlink>
    </w:p>
    <w:p w14:paraId="13AC169F" w14:textId="50DFF7CE" w:rsidR="00E919BD" w:rsidRPr="00DC78FC" w:rsidRDefault="00F71DA5">
      <w:pPr>
        <w:pStyle w:val="TOC3"/>
        <w:rPr>
          <w:rFonts w:asciiTheme="majorHAnsi" w:eastAsiaTheme="minorEastAsia" w:hAnsiTheme="majorHAnsi" w:cstheme="minorBidi"/>
          <w:noProof/>
          <w:sz w:val="20"/>
          <w:szCs w:val="20"/>
          <w:bdr w:val="none" w:sz="0" w:space="0" w:color="auto"/>
        </w:rPr>
      </w:pPr>
      <w:hyperlink w:anchor="_Toc26556095" w:history="1">
        <w:r w:rsidR="00E919BD" w:rsidRPr="00DC78FC">
          <w:rPr>
            <w:rStyle w:val="Hyperlink"/>
            <w:rFonts w:asciiTheme="majorHAnsi" w:hAnsiTheme="majorHAnsi"/>
            <w:noProof/>
            <w:sz w:val="20"/>
            <w:szCs w:val="20"/>
          </w:rPr>
          <w:t>2.</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Analysis of the case</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_Toc26556095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13</w:t>
        </w:r>
        <w:r w:rsidR="00E919BD" w:rsidRPr="00DC78FC">
          <w:rPr>
            <w:rFonts w:asciiTheme="majorHAnsi" w:hAnsiTheme="majorHAnsi"/>
            <w:noProof/>
            <w:webHidden/>
            <w:sz w:val="20"/>
            <w:szCs w:val="20"/>
          </w:rPr>
          <w:fldChar w:fldCharType="end"/>
        </w:r>
      </w:hyperlink>
    </w:p>
    <w:p w14:paraId="4BEC8397" w14:textId="1916AAD3"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96" w:history="1">
        <w:r w:rsidR="00E919BD" w:rsidRPr="00DC78FC">
          <w:rPr>
            <w:rStyle w:val="Hyperlink"/>
            <w:rFonts w:asciiTheme="majorHAnsi" w:hAnsiTheme="majorHAnsi"/>
            <w:noProof/>
            <w:sz w:val="20"/>
            <w:szCs w:val="20"/>
          </w:rPr>
          <w:t>D.</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Right to be tried without undue delay</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_Toc26556096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14</w:t>
        </w:r>
        <w:r w:rsidR="00E919BD" w:rsidRPr="00DC78FC">
          <w:rPr>
            <w:rFonts w:asciiTheme="majorHAnsi" w:hAnsiTheme="majorHAnsi"/>
            <w:noProof/>
            <w:webHidden/>
            <w:sz w:val="20"/>
            <w:szCs w:val="20"/>
          </w:rPr>
          <w:fldChar w:fldCharType="end"/>
        </w:r>
      </w:hyperlink>
    </w:p>
    <w:p w14:paraId="4B8109AD" w14:textId="54E6CDAA" w:rsidR="00E919BD" w:rsidRPr="00DC78FC" w:rsidRDefault="00F71DA5">
      <w:pPr>
        <w:pStyle w:val="TOC3"/>
        <w:rPr>
          <w:rFonts w:asciiTheme="majorHAnsi" w:eastAsiaTheme="minorEastAsia" w:hAnsiTheme="majorHAnsi" w:cstheme="minorBidi"/>
          <w:noProof/>
          <w:sz w:val="20"/>
          <w:szCs w:val="20"/>
          <w:bdr w:val="none" w:sz="0" w:space="0" w:color="auto"/>
        </w:rPr>
      </w:pPr>
      <w:hyperlink w:anchor="_Toc26556097" w:history="1">
        <w:r w:rsidR="00E919BD" w:rsidRPr="00DC78FC">
          <w:rPr>
            <w:rStyle w:val="Hyperlink"/>
            <w:rFonts w:asciiTheme="majorHAnsi" w:hAnsiTheme="majorHAnsi"/>
            <w:noProof/>
            <w:sz w:val="20"/>
            <w:szCs w:val="20"/>
          </w:rPr>
          <w:t>1.</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General considerations on the right to be tried without undue delay</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_Toc26556097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14</w:t>
        </w:r>
        <w:r w:rsidR="00E919BD" w:rsidRPr="00DC78FC">
          <w:rPr>
            <w:rFonts w:asciiTheme="majorHAnsi" w:hAnsiTheme="majorHAnsi"/>
            <w:noProof/>
            <w:webHidden/>
            <w:sz w:val="20"/>
            <w:szCs w:val="20"/>
          </w:rPr>
          <w:fldChar w:fldCharType="end"/>
        </w:r>
      </w:hyperlink>
    </w:p>
    <w:p w14:paraId="305D192D" w14:textId="2C396101" w:rsidR="00E919BD" w:rsidRPr="00DC78FC" w:rsidRDefault="00F71DA5">
      <w:pPr>
        <w:pStyle w:val="TOC3"/>
        <w:rPr>
          <w:rFonts w:asciiTheme="majorHAnsi" w:eastAsiaTheme="minorEastAsia" w:hAnsiTheme="majorHAnsi" w:cstheme="minorBidi"/>
          <w:noProof/>
          <w:sz w:val="20"/>
          <w:szCs w:val="20"/>
          <w:bdr w:val="none" w:sz="0" w:space="0" w:color="auto"/>
        </w:rPr>
      </w:pPr>
      <w:hyperlink w:anchor="_Toc26556098" w:history="1">
        <w:r w:rsidR="00E919BD" w:rsidRPr="00DC78FC">
          <w:rPr>
            <w:rStyle w:val="Hyperlink"/>
            <w:rFonts w:asciiTheme="majorHAnsi" w:hAnsiTheme="majorHAnsi"/>
            <w:noProof/>
            <w:sz w:val="20"/>
            <w:szCs w:val="20"/>
          </w:rPr>
          <w:t>2.</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Analysis of the case</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_Toc26556098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14</w:t>
        </w:r>
        <w:r w:rsidR="00E919BD" w:rsidRPr="00DC78FC">
          <w:rPr>
            <w:rFonts w:asciiTheme="majorHAnsi" w:hAnsiTheme="majorHAnsi"/>
            <w:noProof/>
            <w:webHidden/>
            <w:sz w:val="20"/>
            <w:szCs w:val="20"/>
          </w:rPr>
          <w:fldChar w:fldCharType="end"/>
        </w:r>
      </w:hyperlink>
    </w:p>
    <w:p w14:paraId="7E9B9954" w14:textId="4CC35BC0"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099" w:history="1">
        <w:r w:rsidR="00E919BD" w:rsidRPr="00DC78FC">
          <w:rPr>
            <w:rStyle w:val="Hyperlink"/>
            <w:rFonts w:asciiTheme="majorHAnsi" w:hAnsiTheme="majorHAnsi"/>
            <w:noProof/>
            <w:sz w:val="20"/>
            <w:szCs w:val="20"/>
          </w:rPr>
          <w:t>E.</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Right of protection against cruel, infamous or unusual punishment</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_Toc26556099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16</w:t>
        </w:r>
        <w:r w:rsidR="00E919BD" w:rsidRPr="00DC78FC">
          <w:rPr>
            <w:rFonts w:asciiTheme="majorHAnsi" w:hAnsiTheme="majorHAnsi"/>
            <w:noProof/>
            <w:webHidden/>
            <w:sz w:val="20"/>
            <w:szCs w:val="20"/>
          </w:rPr>
          <w:fldChar w:fldCharType="end"/>
        </w:r>
      </w:hyperlink>
    </w:p>
    <w:p w14:paraId="32561E62" w14:textId="0B6AC8A9" w:rsidR="00E919BD" w:rsidRPr="00DC78FC" w:rsidRDefault="00F71DA5">
      <w:pPr>
        <w:pStyle w:val="TOC3"/>
        <w:rPr>
          <w:rFonts w:asciiTheme="majorHAnsi" w:eastAsiaTheme="minorEastAsia" w:hAnsiTheme="majorHAnsi" w:cstheme="minorBidi"/>
          <w:noProof/>
          <w:sz w:val="20"/>
          <w:szCs w:val="20"/>
          <w:bdr w:val="none" w:sz="0" w:space="0" w:color="auto"/>
        </w:rPr>
      </w:pPr>
      <w:hyperlink w:anchor="_Toc26556100" w:history="1">
        <w:r w:rsidR="00E919BD" w:rsidRPr="00DC78FC">
          <w:rPr>
            <w:rStyle w:val="Hyperlink"/>
            <w:rFonts w:asciiTheme="majorHAnsi" w:hAnsiTheme="majorHAnsi"/>
            <w:noProof/>
            <w:sz w:val="20"/>
            <w:szCs w:val="20"/>
          </w:rPr>
          <w:t>1.</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The deprivation of liberty on death row</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_Toc26556100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16</w:t>
        </w:r>
        <w:r w:rsidR="00E919BD" w:rsidRPr="00DC78FC">
          <w:rPr>
            <w:rFonts w:asciiTheme="majorHAnsi" w:hAnsiTheme="majorHAnsi"/>
            <w:noProof/>
            <w:webHidden/>
            <w:sz w:val="20"/>
            <w:szCs w:val="20"/>
          </w:rPr>
          <w:fldChar w:fldCharType="end"/>
        </w:r>
      </w:hyperlink>
    </w:p>
    <w:p w14:paraId="2CD85A9D" w14:textId="21F12C38" w:rsidR="00E919BD" w:rsidRPr="00DC78FC" w:rsidRDefault="00F71DA5">
      <w:pPr>
        <w:pStyle w:val="TOC2"/>
        <w:rPr>
          <w:rFonts w:asciiTheme="majorHAnsi" w:eastAsiaTheme="minorEastAsia" w:hAnsiTheme="majorHAnsi" w:cstheme="minorBidi"/>
          <w:noProof/>
          <w:sz w:val="20"/>
          <w:szCs w:val="20"/>
          <w:bdr w:val="none" w:sz="0" w:space="0" w:color="auto"/>
        </w:rPr>
      </w:pPr>
      <w:hyperlink w:anchor="_Toc26556101" w:history="1">
        <w:r w:rsidR="00E919BD" w:rsidRPr="00DC78FC">
          <w:rPr>
            <w:rStyle w:val="Hyperlink"/>
            <w:rFonts w:asciiTheme="majorHAnsi" w:hAnsiTheme="majorHAnsi"/>
            <w:noProof/>
            <w:sz w:val="20"/>
            <w:szCs w:val="20"/>
          </w:rPr>
          <w:t>F.</w:t>
        </w:r>
        <w:r w:rsidR="00E919BD" w:rsidRPr="00DC78FC">
          <w:rPr>
            <w:rFonts w:asciiTheme="majorHAnsi" w:eastAsiaTheme="minorEastAsia" w:hAnsiTheme="majorHAnsi" w:cstheme="minorBidi"/>
            <w:noProof/>
            <w:sz w:val="20"/>
            <w:szCs w:val="20"/>
            <w:bdr w:val="none" w:sz="0" w:space="0" w:color="auto"/>
          </w:rPr>
          <w:tab/>
        </w:r>
        <w:r w:rsidR="00E919BD" w:rsidRPr="00DC78FC">
          <w:rPr>
            <w:rStyle w:val="Hyperlink"/>
            <w:rFonts w:asciiTheme="majorHAnsi" w:hAnsiTheme="majorHAnsi"/>
            <w:noProof/>
            <w:sz w:val="20"/>
            <w:szCs w:val="20"/>
          </w:rPr>
          <w:t>The right to life and the right to protection against cruel, infamous or unusual punishment with respect to the eventual execution of Nvwtohiyada Idehesdi Sequoyah</w:t>
        </w:r>
        <w:r w:rsidR="00E919BD" w:rsidRPr="00DC78FC">
          <w:rPr>
            <w:rFonts w:asciiTheme="majorHAnsi" w:hAnsiTheme="majorHAnsi"/>
            <w:noProof/>
            <w:webHidden/>
            <w:sz w:val="20"/>
            <w:szCs w:val="20"/>
          </w:rPr>
          <w:tab/>
        </w:r>
        <w:r w:rsidR="00E919BD" w:rsidRPr="00DC78FC">
          <w:rPr>
            <w:rFonts w:asciiTheme="majorHAnsi" w:hAnsiTheme="majorHAnsi"/>
            <w:noProof/>
            <w:webHidden/>
            <w:sz w:val="20"/>
            <w:szCs w:val="20"/>
          </w:rPr>
          <w:fldChar w:fldCharType="begin"/>
        </w:r>
        <w:r w:rsidR="00E919BD" w:rsidRPr="00DC78FC">
          <w:rPr>
            <w:rFonts w:asciiTheme="majorHAnsi" w:hAnsiTheme="majorHAnsi"/>
            <w:noProof/>
            <w:webHidden/>
            <w:sz w:val="20"/>
            <w:szCs w:val="20"/>
          </w:rPr>
          <w:instrText xml:space="preserve"> PAGEREF _Toc26556101 \h </w:instrText>
        </w:r>
        <w:r w:rsidR="00E919BD" w:rsidRPr="00DC78FC">
          <w:rPr>
            <w:rFonts w:asciiTheme="majorHAnsi" w:hAnsiTheme="majorHAnsi"/>
            <w:noProof/>
            <w:webHidden/>
            <w:sz w:val="20"/>
            <w:szCs w:val="20"/>
          </w:rPr>
        </w:r>
        <w:r w:rsidR="00E919BD" w:rsidRPr="00DC78FC">
          <w:rPr>
            <w:rFonts w:asciiTheme="majorHAnsi" w:hAnsiTheme="majorHAnsi"/>
            <w:noProof/>
            <w:webHidden/>
            <w:sz w:val="20"/>
            <w:szCs w:val="20"/>
          </w:rPr>
          <w:fldChar w:fldCharType="separate"/>
        </w:r>
        <w:r>
          <w:rPr>
            <w:rFonts w:asciiTheme="majorHAnsi" w:hAnsiTheme="majorHAnsi"/>
            <w:noProof/>
            <w:webHidden/>
            <w:sz w:val="20"/>
            <w:szCs w:val="20"/>
          </w:rPr>
          <w:t>16</w:t>
        </w:r>
        <w:r w:rsidR="00E919BD" w:rsidRPr="00DC78FC">
          <w:rPr>
            <w:rFonts w:asciiTheme="majorHAnsi" w:hAnsiTheme="majorHAnsi"/>
            <w:noProof/>
            <w:webHidden/>
            <w:sz w:val="20"/>
            <w:szCs w:val="20"/>
          </w:rPr>
          <w:fldChar w:fldCharType="end"/>
        </w:r>
      </w:hyperlink>
    </w:p>
    <w:p w14:paraId="0318F7AE" w14:textId="1EA38819" w:rsidR="00E919BD" w:rsidRPr="00DC78FC" w:rsidRDefault="00F71DA5">
      <w:pPr>
        <w:pStyle w:val="TOC1"/>
        <w:rPr>
          <w:rFonts w:eastAsiaTheme="minorEastAsia" w:cstheme="minorBidi"/>
          <w:bdr w:val="none" w:sz="0" w:space="0" w:color="auto"/>
          <w:lang w:val="en-US"/>
        </w:rPr>
      </w:pPr>
      <w:hyperlink w:anchor="_Toc26556102" w:history="1">
        <w:r w:rsidR="00E919BD" w:rsidRPr="00DC78FC">
          <w:rPr>
            <w:rStyle w:val="Hyperlink"/>
          </w:rPr>
          <w:t>V.</w:t>
        </w:r>
        <w:r w:rsidR="00E919BD" w:rsidRPr="00DC78FC">
          <w:rPr>
            <w:rFonts w:eastAsiaTheme="minorEastAsia" w:cstheme="minorBidi"/>
            <w:bdr w:val="none" w:sz="0" w:space="0" w:color="auto"/>
            <w:lang w:val="en-US"/>
          </w:rPr>
          <w:tab/>
        </w:r>
        <w:r w:rsidR="00E919BD" w:rsidRPr="00DC78FC">
          <w:rPr>
            <w:rStyle w:val="Hyperlink"/>
          </w:rPr>
          <w:t>ACTIONS SUBSEQUENT TO REPORT No. 15/19</w:t>
        </w:r>
        <w:r w:rsidR="00E919BD" w:rsidRPr="00DC78FC">
          <w:rPr>
            <w:webHidden/>
          </w:rPr>
          <w:tab/>
        </w:r>
        <w:r w:rsidR="00E919BD" w:rsidRPr="00DC78FC">
          <w:rPr>
            <w:webHidden/>
          </w:rPr>
          <w:fldChar w:fldCharType="begin"/>
        </w:r>
        <w:r w:rsidR="00E919BD" w:rsidRPr="00DC78FC">
          <w:rPr>
            <w:webHidden/>
          </w:rPr>
          <w:instrText xml:space="preserve"> PAGEREF _Toc26556102 \h </w:instrText>
        </w:r>
        <w:r w:rsidR="00E919BD" w:rsidRPr="00DC78FC">
          <w:rPr>
            <w:webHidden/>
          </w:rPr>
        </w:r>
        <w:r w:rsidR="00E919BD" w:rsidRPr="00DC78FC">
          <w:rPr>
            <w:webHidden/>
          </w:rPr>
          <w:fldChar w:fldCharType="separate"/>
        </w:r>
        <w:r>
          <w:rPr>
            <w:webHidden/>
          </w:rPr>
          <w:t>17</w:t>
        </w:r>
        <w:r w:rsidR="00E919BD" w:rsidRPr="00DC78FC">
          <w:rPr>
            <w:webHidden/>
          </w:rPr>
          <w:fldChar w:fldCharType="end"/>
        </w:r>
      </w:hyperlink>
    </w:p>
    <w:p w14:paraId="6FE27BFD" w14:textId="2314AEC7" w:rsidR="00E919BD" w:rsidRPr="00DC78FC" w:rsidRDefault="00F71DA5">
      <w:pPr>
        <w:pStyle w:val="TOC1"/>
        <w:rPr>
          <w:rFonts w:eastAsiaTheme="minorEastAsia" w:cstheme="minorBidi"/>
          <w:bdr w:val="none" w:sz="0" w:space="0" w:color="auto"/>
          <w:lang w:val="en-US"/>
        </w:rPr>
      </w:pPr>
      <w:hyperlink w:anchor="_Toc26556103" w:history="1">
        <w:r w:rsidR="00E919BD" w:rsidRPr="00DC78FC">
          <w:rPr>
            <w:rStyle w:val="Hyperlink"/>
          </w:rPr>
          <w:t>VI.</w:t>
        </w:r>
        <w:r w:rsidR="00E919BD" w:rsidRPr="00DC78FC">
          <w:rPr>
            <w:rFonts w:eastAsiaTheme="minorEastAsia" w:cstheme="minorBidi"/>
            <w:bdr w:val="none" w:sz="0" w:space="0" w:color="auto"/>
            <w:lang w:val="en-US"/>
          </w:rPr>
          <w:tab/>
        </w:r>
        <w:r w:rsidR="00E919BD" w:rsidRPr="00DC78FC">
          <w:rPr>
            <w:rStyle w:val="Hyperlink"/>
          </w:rPr>
          <w:t>ACTIONS SUBSEQUENT TO REPORT 95/19</w:t>
        </w:r>
        <w:r w:rsidR="00E919BD" w:rsidRPr="00DC78FC">
          <w:rPr>
            <w:webHidden/>
          </w:rPr>
          <w:tab/>
        </w:r>
        <w:r w:rsidR="00E919BD" w:rsidRPr="00DC78FC">
          <w:rPr>
            <w:webHidden/>
          </w:rPr>
          <w:fldChar w:fldCharType="begin"/>
        </w:r>
        <w:r w:rsidR="00E919BD" w:rsidRPr="00DC78FC">
          <w:rPr>
            <w:webHidden/>
          </w:rPr>
          <w:instrText xml:space="preserve"> PAGEREF _Toc26556103 \h </w:instrText>
        </w:r>
        <w:r w:rsidR="00E919BD" w:rsidRPr="00DC78FC">
          <w:rPr>
            <w:webHidden/>
          </w:rPr>
        </w:r>
        <w:r w:rsidR="00E919BD" w:rsidRPr="00DC78FC">
          <w:rPr>
            <w:webHidden/>
          </w:rPr>
          <w:fldChar w:fldCharType="separate"/>
        </w:r>
        <w:r>
          <w:rPr>
            <w:webHidden/>
          </w:rPr>
          <w:t>17</w:t>
        </w:r>
        <w:r w:rsidR="00E919BD" w:rsidRPr="00DC78FC">
          <w:rPr>
            <w:webHidden/>
          </w:rPr>
          <w:fldChar w:fldCharType="end"/>
        </w:r>
      </w:hyperlink>
    </w:p>
    <w:p w14:paraId="5EBB9870" w14:textId="6EA533DB" w:rsidR="00E919BD" w:rsidRPr="00E919BD" w:rsidRDefault="00F71DA5">
      <w:pPr>
        <w:pStyle w:val="TOC1"/>
        <w:rPr>
          <w:rFonts w:eastAsiaTheme="minorEastAsia" w:cstheme="minorBidi"/>
          <w:bdr w:val="none" w:sz="0" w:space="0" w:color="auto"/>
          <w:lang w:val="en-US"/>
        </w:rPr>
      </w:pPr>
      <w:hyperlink w:anchor="_Toc26556104" w:history="1">
        <w:r w:rsidR="00E919BD" w:rsidRPr="00DC78FC">
          <w:rPr>
            <w:rStyle w:val="Hyperlink"/>
          </w:rPr>
          <w:t>VII.</w:t>
        </w:r>
        <w:r w:rsidR="00E919BD" w:rsidRPr="00DC78FC">
          <w:rPr>
            <w:rFonts w:eastAsiaTheme="minorEastAsia" w:cstheme="minorBidi"/>
            <w:bdr w:val="none" w:sz="0" w:space="0" w:color="auto"/>
            <w:lang w:val="en-US"/>
          </w:rPr>
          <w:tab/>
        </w:r>
        <w:r w:rsidR="00E919BD" w:rsidRPr="00DC78FC">
          <w:rPr>
            <w:rStyle w:val="Hyperlink"/>
          </w:rPr>
          <w:t>FINAL CONCLUSIONS AND RECOMMENDATIONS</w:t>
        </w:r>
        <w:r w:rsidR="00E919BD" w:rsidRPr="00DC78FC">
          <w:rPr>
            <w:webHidden/>
          </w:rPr>
          <w:tab/>
        </w:r>
        <w:r w:rsidR="00E919BD" w:rsidRPr="00DC78FC">
          <w:rPr>
            <w:webHidden/>
          </w:rPr>
          <w:fldChar w:fldCharType="begin"/>
        </w:r>
        <w:r w:rsidR="00E919BD" w:rsidRPr="00DC78FC">
          <w:rPr>
            <w:webHidden/>
          </w:rPr>
          <w:instrText xml:space="preserve"> PAGEREF _Toc26556104 \h </w:instrText>
        </w:r>
        <w:r w:rsidR="00E919BD" w:rsidRPr="00DC78FC">
          <w:rPr>
            <w:webHidden/>
          </w:rPr>
        </w:r>
        <w:r w:rsidR="00E919BD" w:rsidRPr="00DC78FC">
          <w:rPr>
            <w:webHidden/>
          </w:rPr>
          <w:fldChar w:fldCharType="separate"/>
        </w:r>
        <w:r>
          <w:rPr>
            <w:webHidden/>
          </w:rPr>
          <w:t>17</w:t>
        </w:r>
        <w:r w:rsidR="00E919BD" w:rsidRPr="00DC78FC">
          <w:rPr>
            <w:webHidden/>
          </w:rPr>
          <w:fldChar w:fldCharType="end"/>
        </w:r>
      </w:hyperlink>
    </w:p>
    <w:p w14:paraId="5DD3F773" w14:textId="279EEBB7" w:rsidR="00E919BD" w:rsidRDefault="00F71DA5">
      <w:pPr>
        <w:pStyle w:val="TOC1"/>
        <w:rPr>
          <w:rFonts w:asciiTheme="minorHAnsi" w:eastAsiaTheme="minorEastAsia" w:hAnsiTheme="minorHAnsi" w:cstheme="minorBidi"/>
          <w:sz w:val="22"/>
          <w:szCs w:val="22"/>
          <w:bdr w:val="none" w:sz="0" w:space="0" w:color="auto"/>
          <w:lang w:val="en-US"/>
        </w:rPr>
      </w:pPr>
      <w:hyperlink w:anchor="_Toc26556105" w:history="1">
        <w:r w:rsidR="00E919BD" w:rsidRPr="00DC78FC">
          <w:rPr>
            <w:rStyle w:val="Hyperlink"/>
          </w:rPr>
          <w:t>VIII.</w:t>
        </w:r>
        <w:r w:rsidR="00E919BD" w:rsidRPr="00E919BD">
          <w:rPr>
            <w:rFonts w:eastAsiaTheme="minorEastAsia" w:cstheme="minorBidi"/>
            <w:bdr w:val="none" w:sz="0" w:space="0" w:color="auto"/>
            <w:lang w:val="en-US"/>
          </w:rPr>
          <w:tab/>
        </w:r>
        <w:r w:rsidR="00E919BD" w:rsidRPr="00DC78FC">
          <w:rPr>
            <w:rStyle w:val="Hyperlink"/>
          </w:rPr>
          <w:t>PUBLICATION</w:t>
        </w:r>
        <w:r w:rsidR="00E919BD" w:rsidRPr="00E919BD">
          <w:rPr>
            <w:webHidden/>
          </w:rPr>
          <w:tab/>
        </w:r>
        <w:r w:rsidR="00E919BD" w:rsidRPr="00E919BD">
          <w:rPr>
            <w:webHidden/>
          </w:rPr>
          <w:fldChar w:fldCharType="begin"/>
        </w:r>
        <w:r w:rsidR="00E919BD" w:rsidRPr="00E919BD">
          <w:rPr>
            <w:webHidden/>
          </w:rPr>
          <w:instrText xml:space="preserve"> PAGEREF _Toc26556105 \h </w:instrText>
        </w:r>
        <w:r w:rsidR="00E919BD" w:rsidRPr="00E919BD">
          <w:rPr>
            <w:webHidden/>
          </w:rPr>
        </w:r>
        <w:r w:rsidR="00E919BD" w:rsidRPr="00E919BD">
          <w:rPr>
            <w:webHidden/>
          </w:rPr>
          <w:fldChar w:fldCharType="separate"/>
        </w:r>
        <w:r>
          <w:rPr>
            <w:webHidden/>
          </w:rPr>
          <w:t>18</w:t>
        </w:r>
        <w:r w:rsidR="00E919BD" w:rsidRPr="00E919BD">
          <w:rPr>
            <w:webHidden/>
          </w:rPr>
          <w:fldChar w:fldCharType="end"/>
        </w:r>
      </w:hyperlink>
    </w:p>
    <w:p w14:paraId="27C8CCCC" w14:textId="77777777" w:rsidR="007607C4" w:rsidRPr="007D0545" w:rsidRDefault="00864785" w:rsidP="00145EDC">
      <w:pPr>
        <w:tabs>
          <w:tab w:val="center" w:pos="5400"/>
        </w:tabs>
        <w:suppressAutoHyphens/>
        <w:spacing w:line="276" w:lineRule="auto"/>
        <w:rPr>
          <w:rFonts w:asciiTheme="majorHAnsi" w:hAnsiTheme="majorHAnsi"/>
          <w:sz w:val="20"/>
          <w:szCs w:val="20"/>
        </w:rPr>
      </w:pPr>
      <w:r w:rsidRPr="007D0545">
        <w:rPr>
          <w:rFonts w:asciiTheme="majorHAnsi" w:hAnsiTheme="majorHAnsi"/>
          <w:sz w:val="20"/>
          <w:szCs w:val="20"/>
        </w:rPr>
        <w:fldChar w:fldCharType="end"/>
      </w:r>
    </w:p>
    <w:p w14:paraId="5D6575AA" w14:textId="77777777" w:rsidR="007607C4" w:rsidRPr="007D0545" w:rsidRDefault="007607C4" w:rsidP="00145EDC">
      <w:pPr>
        <w:tabs>
          <w:tab w:val="center" w:pos="5400"/>
        </w:tabs>
        <w:suppressAutoHyphens/>
        <w:spacing w:line="276" w:lineRule="auto"/>
        <w:rPr>
          <w:rFonts w:asciiTheme="majorHAnsi" w:hAnsiTheme="majorHAnsi"/>
          <w:sz w:val="20"/>
          <w:szCs w:val="20"/>
        </w:rPr>
      </w:pPr>
    </w:p>
    <w:p w14:paraId="185FE682" w14:textId="77777777" w:rsidR="007607C4" w:rsidRPr="007D0545" w:rsidRDefault="007607C4" w:rsidP="00145EDC">
      <w:pPr>
        <w:tabs>
          <w:tab w:val="center" w:pos="5400"/>
        </w:tabs>
        <w:suppressAutoHyphens/>
        <w:spacing w:line="276" w:lineRule="auto"/>
        <w:rPr>
          <w:rFonts w:asciiTheme="majorHAnsi" w:hAnsiTheme="majorHAnsi"/>
          <w:sz w:val="20"/>
          <w:szCs w:val="20"/>
        </w:rPr>
      </w:pPr>
    </w:p>
    <w:p w14:paraId="321AC459" w14:textId="77777777" w:rsidR="007607C4" w:rsidRPr="007D0545" w:rsidRDefault="007607C4" w:rsidP="00145EDC">
      <w:pPr>
        <w:tabs>
          <w:tab w:val="center" w:pos="5400"/>
        </w:tabs>
        <w:suppressAutoHyphens/>
        <w:spacing w:line="276" w:lineRule="auto"/>
        <w:rPr>
          <w:rFonts w:asciiTheme="majorHAnsi" w:hAnsiTheme="majorHAnsi"/>
          <w:sz w:val="20"/>
          <w:szCs w:val="20"/>
        </w:rPr>
      </w:pPr>
    </w:p>
    <w:p w14:paraId="47EB49DF" w14:textId="77777777" w:rsidR="007607C4" w:rsidRPr="007D0545" w:rsidRDefault="007607C4" w:rsidP="00145EDC">
      <w:pPr>
        <w:tabs>
          <w:tab w:val="center" w:pos="5400"/>
        </w:tabs>
        <w:suppressAutoHyphens/>
        <w:spacing w:line="276" w:lineRule="auto"/>
        <w:rPr>
          <w:rFonts w:asciiTheme="majorHAnsi" w:hAnsiTheme="majorHAnsi"/>
          <w:sz w:val="20"/>
          <w:szCs w:val="20"/>
        </w:rPr>
      </w:pPr>
    </w:p>
    <w:p w14:paraId="287DCB0D" w14:textId="77777777" w:rsidR="007607C4" w:rsidRPr="007D0545" w:rsidRDefault="007607C4" w:rsidP="00145EDC">
      <w:pPr>
        <w:tabs>
          <w:tab w:val="center" w:pos="5400"/>
        </w:tabs>
        <w:suppressAutoHyphens/>
        <w:spacing w:line="276" w:lineRule="auto"/>
        <w:rPr>
          <w:rFonts w:asciiTheme="majorHAnsi" w:hAnsiTheme="majorHAnsi"/>
          <w:sz w:val="20"/>
          <w:szCs w:val="20"/>
        </w:rPr>
      </w:pPr>
    </w:p>
    <w:p w14:paraId="7CE37FCB" w14:textId="77777777" w:rsidR="007607C4" w:rsidRPr="007D0545" w:rsidRDefault="007607C4" w:rsidP="00145EDC">
      <w:pPr>
        <w:tabs>
          <w:tab w:val="center" w:pos="5400"/>
        </w:tabs>
        <w:suppressAutoHyphens/>
        <w:spacing w:line="276" w:lineRule="auto"/>
        <w:rPr>
          <w:rFonts w:asciiTheme="majorHAnsi" w:hAnsiTheme="majorHAnsi"/>
          <w:sz w:val="20"/>
          <w:szCs w:val="20"/>
        </w:rPr>
      </w:pPr>
    </w:p>
    <w:p w14:paraId="3EAA994A" w14:textId="77777777" w:rsidR="00A84A45" w:rsidRPr="007D0545" w:rsidRDefault="00A84A45">
      <w:pPr>
        <w:rPr>
          <w:rFonts w:asciiTheme="majorHAnsi" w:hAnsiTheme="majorHAnsi"/>
          <w:b/>
          <w:sz w:val="18"/>
          <w:szCs w:val="20"/>
        </w:rPr>
      </w:pPr>
      <w:r w:rsidRPr="007D0545">
        <w:rPr>
          <w:rFonts w:asciiTheme="majorHAnsi" w:hAnsiTheme="majorHAnsi"/>
          <w:b/>
          <w:sz w:val="18"/>
          <w:szCs w:val="20"/>
        </w:rPr>
        <w:br w:type="page"/>
      </w:r>
    </w:p>
    <w:p w14:paraId="31C7802E" w14:textId="77777777" w:rsidR="00444596" w:rsidRPr="007D0545" w:rsidRDefault="00BF5AAB" w:rsidP="00444596">
      <w:pPr>
        <w:tabs>
          <w:tab w:val="center" w:pos="5400"/>
        </w:tabs>
        <w:suppressAutoHyphens/>
        <w:spacing w:line="276" w:lineRule="auto"/>
        <w:jc w:val="center"/>
        <w:rPr>
          <w:rFonts w:asciiTheme="majorHAnsi" w:hAnsiTheme="majorHAnsi"/>
          <w:b/>
          <w:sz w:val="18"/>
          <w:szCs w:val="20"/>
        </w:rPr>
      </w:pPr>
      <w:r w:rsidRPr="007D0545">
        <w:rPr>
          <w:rFonts w:asciiTheme="majorHAnsi" w:hAnsiTheme="majorHAnsi"/>
          <w:b/>
          <w:sz w:val="18"/>
          <w:szCs w:val="20"/>
        </w:rPr>
        <w:lastRenderedPageBreak/>
        <w:t xml:space="preserve">REPORT No. </w:t>
      </w:r>
      <w:r w:rsidR="00DC78FC">
        <w:rPr>
          <w:rFonts w:asciiTheme="majorHAnsi" w:hAnsiTheme="majorHAnsi"/>
          <w:b/>
          <w:sz w:val="18"/>
          <w:szCs w:val="20"/>
        </w:rPr>
        <w:t>27/20</w:t>
      </w:r>
    </w:p>
    <w:p w14:paraId="4D8D2573" w14:textId="77777777" w:rsidR="00444596" w:rsidRPr="007D0545" w:rsidRDefault="00444596" w:rsidP="00444596">
      <w:pPr>
        <w:tabs>
          <w:tab w:val="center" w:pos="5400"/>
        </w:tabs>
        <w:suppressAutoHyphens/>
        <w:spacing w:line="276" w:lineRule="auto"/>
        <w:jc w:val="center"/>
        <w:rPr>
          <w:rFonts w:asciiTheme="majorHAnsi" w:hAnsiTheme="majorHAnsi"/>
          <w:b/>
          <w:sz w:val="18"/>
          <w:szCs w:val="20"/>
        </w:rPr>
      </w:pPr>
      <w:r w:rsidRPr="007D0545">
        <w:rPr>
          <w:rFonts w:asciiTheme="majorHAnsi" w:hAnsiTheme="majorHAnsi"/>
          <w:b/>
          <w:sz w:val="18"/>
          <w:szCs w:val="20"/>
        </w:rPr>
        <w:t>CASE 12.7</w:t>
      </w:r>
      <w:r w:rsidR="00BF5AAB" w:rsidRPr="007D0545">
        <w:rPr>
          <w:rFonts w:asciiTheme="majorHAnsi" w:hAnsiTheme="majorHAnsi"/>
          <w:b/>
          <w:sz w:val="18"/>
          <w:szCs w:val="20"/>
        </w:rPr>
        <w:t>54</w:t>
      </w:r>
    </w:p>
    <w:p w14:paraId="3AE28438" w14:textId="77777777" w:rsidR="00444596" w:rsidRPr="007D0545" w:rsidRDefault="00444596" w:rsidP="00444596">
      <w:pPr>
        <w:tabs>
          <w:tab w:val="center" w:pos="5400"/>
        </w:tabs>
        <w:suppressAutoHyphens/>
        <w:spacing w:line="276" w:lineRule="auto"/>
        <w:jc w:val="center"/>
        <w:rPr>
          <w:rFonts w:asciiTheme="majorHAnsi" w:hAnsiTheme="majorHAnsi"/>
          <w:sz w:val="18"/>
          <w:szCs w:val="20"/>
        </w:rPr>
      </w:pPr>
      <w:r w:rsidRPr="007D0545">
        <w:rPr>
          <w:rFonts w:asciiTheme="majorHAnsi" w:hAnsiTheme="majorHAnsi"/>
          <w:sz w:val="18"/>
          <w:szCs w:val="20"/>
        </w:rPr>
        <w:t xml:space="preserve">MERITS </w:t>
      </w:r>
    </w:p>
    <w:p w14:paraId="1EF73136" w14:textId="77777777" w:rsidR="00D24043" w:rsidRPr="007D0545" w:rsidRDefault="00D24043" w:rsidP="00444596">
      <w:pPr>
        <w:tabs>
          <w:tab w:val="center" w:pos="5400"/>
        </w:tabs>
        <w:suppressAutoHyphens/>
        <w:spacing w:line="276" w:lineRule="auto"/>
        <w:jc w:val="center"/>
        <w:rPr>
          <w:rFonts w:asciiTheme="majorHAnsi" w:hAnsiTheme="majorHAnsi"/>
          <w:sz w:val="18"/>
          <w:szCs w:val="20"/>
        </w:rPr>
      </w:pPr>
      <w:r w:rsidRPr="007D0545">
        <w:rPr>
          <w:rFonts w:asciiTheme="majorHAnsi" w:hAnsiTheme="majorHAnsi"/>
          <w:sz w:val="18"/>
          <w:szCs w:val="20"/>
        </w:rPr>
        <w:t>(</w:t>
      </w:r>
      <w:r w:rsidR="0076228C">
        <w:rPr>
          <w:rFonts w:asciiTheme="majorHAnsi" w:hAnsiTheme="majorHAnsi"/>
          <w:sz w:val="18"/>
          <w:szCs w:val="20"/>
        </w:rPr>
        <w:t>PUBLICATION</w:t>
      </w:r>
      <w:r w:rsidRPr="007D0545">
        <w:rPr>
          <w:rFonts w:asciiTheme="majorHAnsi" w:hAnsiTheme="majorHAnsi"/>
          <w:sz w:val="18"/>
          <w:szCs w:val="20"/>
        </w:rPr>
        <w:t>)</w:t>
      </w:r>
    </w:p>
    <w:p w14:paraId="0C27A86E" w14:textId="77777777" w:rsidR="00A84A45" w:rsidRPr="007D0545" w:rsidRDefault="00A84A45" w:rsidP="00A84A45">
      <w:pPr>
        <w:spacing w:line="276" w:lineRule="auto"/>
        <w:jc w:val="center"/>
        <w:rPr>
          <w:rFonts w:asciiTheme="majorHAnsi" w:hAnsiTheme="majorHAnsi"/>
          <w:sz w:val="18"/>
          <w:szCs w:val="20"/>
        </w:rPr>
      </w:pPr>
      <w:r w:rsidRPr="007D0545">
        <w:rPr>
          <w:rFonts w:asciiTheme="majorHAnsi" w:hAnsiTheme="majorHAnsi"/>
          <w:sz w:val="18"/>
          <w:szCs w:val="20"/>
        </w:rPr>
        <w:t>NVWTOHIYADA IDEHESDI SEQUOYAH</w:t>
      </w:r>
    </w:p>
    <w:p w14:paraId="68754632" w14:textId="77777777" w:rsidR="00444596" w:rsidRPr="007D0545" w:rsidRDefault="00444596" w:rsidP="00444596">
      <w:pPr>
        <w:tabs>
          <w:tab w:val="center" w:pos="5400"/>
        </w:tabs>
        <w:suppressAutoHyphens/>
        <w:spacing w:line="276" w:lineRule="auto"/>
        <w:jc w:val="center"/>
        <w:rPr>
          <w:rFonts w:asciiTheme="majorHAnsi" w:hAnsiTheme="majorHAnsi"/>
          <w:sz w:val="18"/>
          <w:szCs w:val="20"/>
        </w:rPr>
      </w:pPr>
      <w:r w:rsidRPr="007D0545">
        <w:rPr>
          <w:rFonts w:asciiTheme="majorHAnsi" w:hAnsiTheme="majorHAnsi"/>
          <w:sz w:val="18"/>
          <w:szCs w:val="20"/>
        </w:rPr>
        <w:t>UNITED STATES</w:t>
      </w:r>
      <w:r w:rsidR="00E57833" w:rsidRPr="007D0545">
        <w:rPr>
          <w:rFonts w:asciiTheme="majorHAnsi" w:hAnsiTheme="majorHAnsi"/>
          <w:sz w:val="18"/>
          <w:szCs w:val="20"/>
        </w:rPr>
        <w:t xml:space="preserve"> OF AMERICA</w:t>
      </w:r>
      <w:r w:rsidRPr="007D0545">
        <w:rPr>
          <w:rFonts w:asciiTheme="majorHAnsi" w:hAnsiTheme="majorHAnsi"/>
          <w:sz w:val="18"/>
          <w:szCs w:val="20"/>
        </w:rPr>
        <w:br/>
      </w:r>
      <w:r w:rsidR="00DC78FC">
        <w:rPr>
          <w:rFonts w:asciiTheme="majorHAnsi" w:hAnsiTheme="majorHAnsi"/>
          <w:sz w:val="18"/>
          <w:szCs w:val="20"/>
        </w:rPr>
        <w:t>APRIL 22, 2020</w:t>
      </w:r>
    </w:p>
    <w:p w14:paraId="7612DBE1" w14:textId="77777777" w:rsidR="007607C4" w:rsidRPr="007D0545" w:rsidRDefault="007607C4" w:rsidP="00BB5A59">
      <w:pPr>
        <w:tabs>
          <w:tab w:val="center" w:pos="5400"/>
        </w:tabs>
        <w:suppressAutoHyphens/>
        <w:spacing w:line="276" w:lineRule="auto"/>
        <w:ind w:left="1440" w:hanging="720"/>
        <w:rPr>
          <w:rFonts w:asciiTheme="majorHAnsi" w:hAnsiTheme="majorHAnsi"/>
          <w:sz w:val="20"/>
          <w:szCs w:val="20"/>
        </w:rPr>
      </w:pPr>
    </w:p>
    <w:p w14:paraId="4C8A4046" w14:textId="77777777" w:rsidR="001C4006" w:rsidRPr="007D0545" w:rsidRDefault="00830E88" w:rsidP="002C3D66">
      <w:pPr>
        <w:pStyle w:val="Heading1"/>
        <w:spacing w:before="0"/>
        <w:ind w:hanging="720"/>
        <w:rPr>
          <w:color w:val="auto"/>
          <w:sz w:val="20"/>
          <w:szCs w:val="20"/>
        </w:rPr>
      </w:pPr>
      <w:bookmarkStart w:id="0" w:name="_Toc26556079"/>
      <w:r w:rsidRPr="007D0545">
        <w:rPr>
          <w:color w:val="auto"/>
          <w:sz w:val="20"/>
          <w:szCs w:val="20"/>
        </w:rPr>
        <w:t>INTRODUCTION</w:t>
      </w:r>
      <w:bookmarkEnd w:id="0"/>
      <w:r w:rsidR="001C4006" w:rsidRPr="007D0545">
        <w:rPr>
          <w:color w:val="auto"/>
          <w:sz w:val="20"/>
          <w:szCs w:val="20"/>
        </w:rPr>
        <w:t xml:space="preserve"> </w:t>
      </w:r>
    </w:p>
    <w:p w14:paraId="6ED088E1" w14:textId="77777777" w:rsidR="001C4006" w:rsidRPr="007D0545" w:rsidRDefault="001C4006" w:rsidP="00BB5A59">
      <w:pPr>
        <w:suppressAutoHyphens/>
        <w:ind w:left="1440" w:hanging="720"/>
        <w:rPr>
          <w:rFonts w:asciiTheme="majorHAnsi" w:hAnsiTheme="majorHAnsi"/>
          <w:b/>
          <w:sz w:val="20"/>
          <w:szCs w:val="20"/>
        </w:rPr>
      </w:pPr>
    </w:p>
    <w:p w14:paraId="51201C91" w14:textId="77777777" w:rsidR="001C4006" w:rsidRPr="007D0545" w:rsidRDefault="001C4006" w:rsidP="002C3D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7D0545">
        <w:rPr>
          <w:rFonts w:asciiTheme="majorHAnsi" w:hAnsiTheme="majorHAnsi"/>
          <w:color w:val="000000" w:themeColor="text1"/>
          <w:sz w:val="20"/>
          <w:szCs w:val="20"/>
        </w:rPr>
        <w:t xml:space="preserve">On </w:t>
      </w:r>
      <w:r w:rsidR="00D20D54" w:rsidRPr="007D0545">
        <w:rPr>
          <w:rFonts w:asciiTheme="majorHAnsi" w:hAnsiTheme="majorHAnsi"/>
          <w:color w:val="000000" w:themeColor="text1"/>
          <w:sz w:val="20"/>
          <w:szCs w:val="20"/>
        </w:rPr>
        <w:t>February</w:t>
      </w:r>
      <w:r w:rsidR="00444596" w:rsidRPr="007D0545">
        <w:rPr>
          <w:rFonts w:asciiTheme="majorHAnsi" w:hAnsiTheme="majorHAnsi"/>
          <w:color w:val="000000" w:themeColor="text1"/>
          <w:sz w:val="20"/>
          <w:szCs w:val="20"/>
        </w:rPr>
        <w:t xml:space="preserve"> </w:t>
      </w:r>
      <w:r w:rsidR="00D20D54" w:rsidRPr="007D0545">
        <w:rPr>
          <w:rFonts w:asciiTheme="majorHAnsi" w:hAnsiTheme="majorHAnsi"/>
          <w:color w:val="000000" w:themeColor="text1"/>
          <w:sz w:val="20"/>
          <w:szCs w:val="20"/>
        </w:rPr>
        <w:t>2</w:t>
      </w:r>
      <w:r w:rsidR="00444596" w:rsidRPr="007D0545">
        <w:rPr>
          <w:rFonts w:asciiTheme="majorHAnsi" w:hAnsiTheme="majorHAnsi"/>
          <w:color w:val="000000" w:themeColor="text1"/>
          <w:sz w:val="20"/>
          <w:szCs w:val="20"/>
        </w:rPr>
        <w:t>, 200</w:t>
      </w:r>
      <w:r w:rsidR="0046072C" w:rsidRPr="007D0545">
        <w:rPr>
          <w:rFonts w:asciiTheme="majorHAnsi" w:hAnsiTheme="majorHAnsi"/>
          <w:color w:val="000000" w:themeColor="text1"/>
          <w:sz w:val="20"/>
          <w:szCs w:val="20"/>
        </w:rPr>
        <w:t>7</w:t>
      </w:r>
      <w:r w:rsidRPr="007D0545">
        <w:rPr>
          <w:rFonts w:asciiTheme="majorHAnsi" w:hAnsiTheme="majorHAnsi"/>
          <w:color w:val="000000" w:themeColor="text1"/>
          <w:sz w:val="20"/>
          <w:szCs w:val="20"/>
        </w:rPr>
        <w:t>, the Inter-American Commission on Human Rights (the “Inter-American Commission” or “IACHR”) received a petition</w:t>
      </w:r>
      <w:r w:rsidR="00444596" w:rsidRPr="007D0545">
        <w:rPr>
          <w:rFonts w:asciiTheme="majorHAnsi" w:hAnsiTheme="majorHAnsi"/>
          <w:color w:val="000000" w:themeColor="text1"/>
          <w:sz w:val="20"/>
          <w:szCs w:val="20"/>
        </w:rPr>
        <w:t xml:space="preserve"> submitted by </w:t>
      </w:r>
      <w:r w:rsidR="00F769C7" w:rsidRPr="007D0545">
        <w:rPr>
          <w:rFonts w:asciiTheme="majorHAnsi" w:hAnsiTheme="majorHAnsi"/>
          <w:color w:val="000000" w:themeColor="text1"/>
          <w:sz w:val="20"/>
          <w:szCs w:val="20"/>
        </w:rPr>
        <w:t>Constance</w:t>
      </w:r>
      <w:r w:rsidR="00D20D54" w:rsidRPr="007D0545">
        <w:rPr>
          <w:rFonts w:asciiTheme="majorHAnsi" w:hAnsiTheme="majorHAnsi"/>
          <w:color w:val="000000" w:themeColor="text1"/>
          <w:sz w:val="20"/>
          <w:szCs w:val="20"/>
        </w:rPr>
        <w:t xml:space="preserve"> de la Vega</w:t>
      </w:r>
      <w:r w:rsidR="00444596" w:rsidRPr="007D0545">
        <w:rPr>
          <w:rFonts w:asciiTheme="majorHAnsi" w:hAnsiTheme="majorHAnsi"/>
          <w:color w:val="000000" w:themeColor="text1"/>
          <w:sz w:val="20"/>
          <w:szCs w:val="20"/>
        </w:rPr>
        <w:t xml:space="preserve">, from the </w:t>
      </w:r>
      <w:r w:rsidR="00D20D54" w:rsidRPr="007D0545">
        <w:rPr>
          <w:rFonts w:asciiTheme="majorHAnsi" w:hAnsiTheme="majorHAnsi"/>
          <w:color w:val="000000" w:themeColor="text1"/>
          <w:sz w:val="20"/>
          <w:szCs w:val="20"/>
        </w:rPr>
        <w:t>Frank C. Newman International Human Rights Law Clinic of the University of San Francisco</w:t>
      </w:r>
      <w:r w:rsidR="00930ED0" w:rsidRPr="007D0545">
        <w:rPr>
          <w:rFonts w:asciiTheme="majorHAnsi" w:hAnsiTheme="majorHAnsi"/>
          <w:color w:val="000000" w:themeColor="text1"/>
          <w:sz w:val="20"/>
          <w:szCs w:val="20"/>
        </w:rPr>
        <w:t>,</w:t>
      </w:r>
      <w:r w:rsidR="00444596" w:rsidRPr="007D0545">
        <w:rPr>
          <w:rFonts w:asciiTheme="majorHAnsi" w:hAnsiTheme="majorHAnsi"/>
          <w:color w:val="000000" w:themeColor="text1"/>
          <w:sz w:val="20"/>
          <w:szCs w:val="20"/>
        </w:rPr>
        <w:t xml:space="preserve"> </w:t>
      </w:r>
      <w:r w:rsidR="00F56BE1" w:rsidRPr="007D0545">
        <w:rPr>
          <w:rFonts w:asciiTheme="majorHAnsi" w:hAnsiTheme="majorHAnsi"/>
          <w:color w:val="000000" w:themeColor="text1"/>
          <w:sz w:val="20"/>
          <w:szCs w:val="20"/>
        </w:rPr>
        <w:t xml:space="preserve">and Human Rights Advocates and fos*ters </w:t>
      </w:r>
      <w:r w:rsidR="00444596" w:rsidRPr="007D0545">
        <w:rPr>
          <w:rFonts w:asciiTheme="majorHAnsi" w:hAnsiTheme="majorHAnsi"/>
          <w:color w:val="000000" w:themeColor="text1"/>
          <w:sz w:val="20"/>
          <w:szCs w:val="20"/>
        </w:rPr>
        <w:t>(the “petitioners”)</w:t>
      </w:r>
      <w:r w:rsidR="000B25FC" w:rsidRPr="007D0545">
        <w:rPr>
          <w:rFonts w:asciiTheme="majorHAnsi" w:hAnsiTheme="majorHAnsi"/>
          <w:color w:val="000000" w:themeColor="text1"/>
          <w:sz w:val="20"/>
          <w:szCs w:val="20"/>
        </w:rPr>
        <w:t>,</w:t>
      </w:r>
      <w:r w:rsidRPr="007D0545">
        <w:rPr>
          <w:rFonts w:asciiTheme="majorHAnsi" w:hAnsiTheme="majorHAnsi"/>
          <w:color w:val="000000" w:themeColor="text1"/>
          <w:sz w:val="20"/>
          <w:szCs w:val="20"/>
        </w:rPr>
        <w:t xml:space="preserve"> alleg</w:t>
      </w:r>
      <w:r w:rsidR="00E86EAF" w:rsidRPr="007D0545">
        <w:rPr>
          <w:rFonts w:asciiTheme="majorHAnsi" w:hAnsiTheme="majorHAnsi"/>
          <w:color w:val="000000" w:themeColor="text1"/>
          <w:sz w:val="20"/>
          <w:szCs w:val="20"/>
        </w:rPr>
        <w:t xml:space="preserve">ing </w:t>
      </w:r>
      <w:r w:rsidRPr="007D0545">
        <w:rPr>
          <w:rFonts w:asciiTheme="majorHAnsi" w:hAnsiTheme="majorHAnsi"/>
          <w:color w:val="000000" w:themeColor="text1"/>
          <w:sz w:val="20"/>
          <w:szCs w:val="20"/>
        </w:rPr>
        <w:t xml:space="preserve">the international responsibility of </w:t>
      </w:r>
      <w:r w:rsidR="0046072C" w:rsidRPr="007D0545">
        <w:rPr>
          <w:rFonts w:asciiTheme="majorHAnsi" w:hAnsiTheme="majorHAnsi"/>
          <w:color w:val="000000" w:themeColor="text1"/>
          <w:sz w:val="20"/>
          <w:szCs w:val="20"/>
        </w:rPr>
        <w:t>the United States of America</w:t>
      </w:r>
      <w:r w:rsidRPr="007D0545">
        <w:rPr>
          <w:rFonts w:asciiTheme="majorHAnsi" w:hAnsiTheme="majorHAnsi"/>
          <w:color w:val="000000" w:themeColor="text1"/>
          <w:sz w:val="20"/>
          <w:szCs w:val="20"/>
        </w:rPr>
        <w:t xml:space="preserve"> (the “State” or “</w:t>
      </w:r>
      <w:r w:rsidR="0046072C" w:rsidRPr="007D0545">
        <w:rPr>
          <w:rFonts w:asciiTheme="majorHAnsi" w:hAnsiTheme="majorHAnsi"/>
          <w:color w:val="000000" w:themeColor="text1"/>
          <w:sz w:val="20"/>
          <w:szCs w:val="20"/>
        </w:rPr>
        <w:t>the United States</w:t>
      </w:r>
      <w:r w:rsidRPr="007D0545">
        <w:rPr>
          <w:rFonts w:asciiTheme="majorHAnsi" w:hAnsiTheme="majorHAnsi"/>
          <w:color w:val="000000" w:themeColor="text1"/>
          <w:sz w:val="20"/>
          <w:szCs w:val="20"/>
        </w:rPr>
        <w:t xml:space="preserve">”) for </w:t>
      </w:r>
      <w:r w:rsidR="00F769C7" w:rsidRPr="007D0545">
        <w:rPr>
          <w:rFonts w:asciiTheme="majorHAnsi" w:hAnsiTheme="majorHAnsi"/>
          <w:color w:val="000000" w:themeColor="text1"/>
          <w:sz w:val="20"/>
          <w:szCs w:val="20"/>
        </w:rPr>
        <w:t xml:space="preserve">the </w:t>
      </w:r>
      <w:r w:rsidRPr="007D0545">
        <w:rPr>
          <w:rFonts w:asciiTheme="majorHAnsi" w:hAnsiTheme="majorHAnsi"/>
          <w:color w:val="000000" w:themeColor="text1"/>
          <w:sz w:val="20"/>
          <w:szCs w:val="20"/>
        </w:rPr>
        <w:t xml:space="preserve">violation of the right of </w:t>
      </w:r>
      <w:r w:rsidR="00F769C7" w:rsidRPr="007D0545">
        <w:rPr>
          <w:rFonts w:asciiTheme="majorHAnsi" w:hAnsiTheme="majorHAnsi"/>
          <w:color w:val="000000" w:themeColor="text1"/>
          <w:sz w:val="20"/>
          <w:szCs w:val="20"/>
        </w:rPr>
        <w:t>Nvwtohiyada Idehesdi Sequoyah (“Mr. Sequoyah”)</w:t>
      </w:r>
      <w:r w:rsidR="00D20D54" w:rsidRPr="007D0545">
        <w:rPr>
          <w:rFonts w:asciiTheme="majorHAnsi" w:hAnsiTheme="majorHAnsi"/>
          <w:color w:val="000000" w:themeColor="text1"/>
          <w:sz w:val="20"/>
          <w:szCs w:val="20"/>
        </w:rPr>
        <w:t>, who has been on death row in California since 1992</w:t>
      </w:r>
      <w:r w:rsidR="002C3D66" w:rsidRPr="007D0545">
        <w:rPr>
          <w:rFonts w:asciiTheme="majorHAnsi" w:hAnsiTheme="majorHAnsi"/>
          <w:color w:val="000000" w:themeColor="text1"/>
          <w:sz w:val="20"/>
          <w:szCs w:val="20"/>
        </w:rPr>
        <w:t>, to be tried without undue delay</w:t>
      </w:r>
      <w:r w:rsidRPr="007D0545">
        <w:rPr>
          <w:rFonts w:asciiTheme="majorHAnsi" w:hAnsiTheme="majorHAnsi"/>
          <w:color w:val="000000" w:themeColor="text1"/>
          <w:sz w:val="20"/>
          <w:szCs w:val="20"/>
        </w:rPr>
        <w:t xml:space="preserve">. </w:t>
      </w:r>
    </w:p>
    <w:p w14:paraId="57F4D831" w14:textId="77777777" w:rsidR="001C4006" w:rsidRPr="007D0545"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color w:val="000000" w:themeColor="text1"/>
          <w:sz w:val="20"/>
          <w:szCs w:val="20"/>
        </w:rPr>
      </w:pPr>
    </w:p>
    <w:p w14:paraId="6716B0C2" w14:textId="77777777" w:rsidR="001C4006" w:rsidRPr="007D0545" w:rsidRDefault="001C4006" w:rsidP="002C3D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rPr>
      </w:pPr>
      <w:r w:rsidRPr="007D0545">
        <w:rPr>
          <w:rFonts w:asciiTheme="majorHAnsi" w:hAnsiTheme="majorHAnsi"/>
          <w:color w:val="000000" w:themeColor="text1"/>
          <w:sz w:val="20"/>
          <w:szCs w:val="20"/>
        </w:rPr>
        <w:t xml:space="preserve">The Commission approved its admissibility report No. </w:t>
      </w:r>
      <w:r w:rsidR="002C3D66" w:rsidRPr="007D0545">
        <w:rPr>
          <w:rFonts w:asciiTheme="majorHAnsi" w:hAnsiTheme="majorHAnsi"/>
          <w:color w:val="000000" w:themeColor="text1"/>
          <w:sz w:val="20"/>
          <w:szCs w:val="20"/>
        </w:rPr>
        <w:t>42</w:t>
      </w:r>
      <w:r w:rsidRPr="007D0545">
        <w:rPr>
          <w:rFonts w:asciiTheme="majorHAnsi" w:hAnsiTheme="majorHAnsi"/>
          <w:color w:val="000000" w:themeColor="text1"/>
          <w:sz w:val="20"/>
          <w:szCs w:val="20"/>
        </w:rPr>
        <w:t>/</w:t>
      </w:r>
      <w:r w:rsidR="002C3D66" w:rsidRPr="007D0545">
        <w:rPr>
          <w:rFonts w:asciiTheme="majorHAnsi" w:hAnsiTheme="majorHAnsi"/>
          <w:color w:val="000000" w:themeColor="text1"/>
          <w:sz w:val="20"/>
          <w:szCs w:val="20"/>
        </w:rPr>
        <w:t>10</w:t>
      </w:r>
      <w:r w:rsidRPr="007D0545">
        <w:rPr>
          <w:rFonts w:asciiTheme="majorHAnsi" w:hAnsiTheme="majorHAnsi"/>
          <w:color w:val="000000" w:themeColor="text1"/>
          <w:sz w:val="20"/>
          <w:szCs w:val="20"/>
        </w:rPr>
        <w:t xml:space="preserve"> on </w:t>
      </w:r>
      <w:r w:rsidR="002C3D66" w:rsidRPr="007D0545">
        <w:rPr>
          <w:rFonts w:asciiTheme="majorHAnsi" w:hAnsiTheme="majorHAnsi"/>
          <w:color w:val="000000" w:themeColor="text1"/>
          <w:sz w:val="20"/>
          <w:szCs w:val="20"/>
        </w:rPr>
        <w:t>March</w:t>
      </w:r>
      <w:r w:rsidR="000B25FC" w:rsidRPr="007D0545">
        <w:rPr>
          <w:rFonts w:asciiTheme="majorHAnsi" w:hAnsiTheme="majorHAnsi"/>
          <w:color w:val="000000" w:themeColor="text1"/>
          <w:sz w:val="20"/>
          <w:szCs w:val="20"/>
        </w:rPr>
        <w:t xml:space="preserve"> </w:t>
      </w:r>
      <w:r w:rsidR="002C3D66" w:rsidRPr="007D0545">
        <w:rPr>
          <w:rFonts w:asciiTheme="majorHAnsi" w:hAnsiTheme="majorHAnsi"/>
          <w:color w:val="000000" w:themeColor="text1"/>
          <w:sz w:val="20"/>
          <w:szCs w:val="20"/>
        </w:rPr>
        <w:t>17</w:t>
      </w:r>
      <w:r w:rsidR="0046072C" w:rsidRPr="007D0545">
        <w:rPr>
          <w:rFonts w:asciiTheme="majorHAnsi" w:hAnsiTheme="majorHAnsi"/>
          <w:color w:val="000000" w:themeColor="text1"/>
          <w:sz w:val="20"/>
          <w:szCs w:val="20"/>
        </w:rPr>
        <w:t>, 20</w:t>
      </w:r>
      <w:r w:rsidR="002C3D66" w:rsidRPr="007D0545">
        <w:rPr>
          <w:rFonts w:asciiTheme="majorHAnsi" w:hAnsiTheme="majorHAnsi"/>
          <w:color w:val="000000" w:themeColor="text1"/>
          <w:sz w:val="20"/>
          <w:szCs w:val="20"/>
        </w:rPr>
        <w:t>10</w:t>
      </w:r>
      <w:r w:rsidRPr="007D0545">
        <w:rPr>
          <w:rFonts w:asciiTheme="majorHAnsi" w:hAnsiTheme="majorHAnsi"/>
          <w:color w:val="000000" w:themeColor="text1"/>
          <w:sz w:val="20"/>
          <w:szCs w:val="20"/>
        </w:rPr>
        <w:t>.</w:t>
      </w:r>
      <w:r w:rsidRPr="007D0545">
        <w:rPr>
          <w:rStyle w:val="FootnoteReference"/>
          <w:rFonts w:asciiTheme="majorHAnsi" w:hAnsiTheme="majorHAnsi"/>
          <w:sz w:val="20"/>
          <w:szCs w:val="20"/>
        </w:rPr>
        <w:footnoteReference w:id="2"/>
      </w:r>
      <w:r w:rsidRPr="007D0545">
        <w:rPr>
          <w:rFonts w:asciiTheme="majorHAnsi" w:hAnsiTheme="majorHAnsi"/>
          <w:color w:val="000000" w:themeColor="text1"/>
          <w:sz w:val="20"/>
          <w:szCs w:val="20"/>
        </w:rPr>
        <w:t xml:space="preserve"> On </w:t>
      </w:r>
      <w:r w:rsidR="00830E88" w:rsidRPr="007D0545">
        <w:rPr>
          <w:rFonts w:asciiTheme="majorHAnsi" w:hAnsiTheme="majorHAnsi"/>
          <w:color w:val="000000" w:themeColor="text1"/>
          <w:sz w:val="20"/>
          <w:szCs w:val="20"/>
        </w:rPr>
        <w:t>March</w:t>
      </w:r>
      <w:r w:rsidR="002B110C" w:rsidRPr="007D0545">
        <w:rPr>
          <w:rFonts w:asciiTheme="majorHAnsi" w:hAnsiTheme="majorHAnsi"/>
          <w:color w:val="000000" w:themeColor="text1"/>
          <w:sz w:val="20"/>
          <w:szCs w:val="20"/>
        </w:rPr>
        <w:t xml:space="preserve"> 3</w:t>
      </w:r>
      <w:r w:rsidR="00830E88" w:rsidRPr="007D0545">
        <w:rPr>
          <w:rFonts w:asciiTheme="majorHAnsi" w:hAnsiTheme="majorHAnsi"/>
          <w:color w:val="000000" w:themeColor="text1"/>
          <w:sz w:val="20"/>
          <w:szCs w:val="20"/>
        </w:rPr>
        <w:t>0</w:t>
      </w:r>
      <w:r w:rsidRPr="007D0545">
        <w:rPr>
          <w:rFonts w:asciiTheme="majorHAnsi" w:hAnsiTheme="majorHAnsi"/>
          <w:color w:val="000000" w:themeColor="text1"/>
          <w:sz w:val="20"/>
          <w:szCs w:val="20"/>
        </w:rPr>
        <w:t>,</w:t>
      </w:r>
      <w:r w:rsidR="002B110C" w:rsidRPr="007D0545">
        <w:rPr>
          <w:rFonts w:asciiTheme="majorHAnsi" w:hAnsiTheme="majorHAnsi"/>
          <w:color w:val="000000" w:themeColor="text1"/>
          <w:sz w:val="20"/>
          <w:szCs w:val="20"/>
        </w:rPr>
        <w:t xml:space="preserve"> 20</w:t>
      </w:r>
      <w:r w:rsidR="00830E88" w:rsidRPr="007D0545">
        <w:rPr>
          <w:rFonts w:asciiTheme="majorHAnsi" w:hAnsiTheme="majorHAnsi"/>
          <w:color w:val="000000" w:themeColor="text1"/>
          <w:sz w:val="20"/>
          <w:szCs w:val="20"/>
        </w:rPr>
        <w:t>10</w:t>
      </w:r>
      <w:r w:rsidR="002B110C" w:rsidRPr="007D0545">
        <w:rPr>
          <w:rFonts w:asciiTheme="majorHAnsi" w:hAnsiTheme="majorHAnsi"/>
          <w:color w:val="000000" w:themeColor="text1"/>
          <w:sz w:val="20"/>
          <w:szCs w:val="20"/>
        </w:rPr>
        <w:t>,</w:t>
      </w:r>
      <w:r w:rsidRPr="007D0545">
        <w:rPr>
          <w:rFonts w:asciiTheme="majorHAnsi" w:hAnsiTheme="majorHAnsi"/>
          <w:color w:val="000000" w:themeColor="text1"/>
          <w:sz w:val="20"/>
          <w:szCs w:val="20"/>
        </w:rPr>
        <w:t xml:space="preserve"> the </w:t>
      </w:r>
      <w:r w:rsidR="00DA7151" w:rsidRPr="007D0545">
        <w:rPr>
          <w:rFonts w:asciiTheme="majorHAnsi" w:hAnsiTheme="majorHAnsi"/>
          <w:color w:val="000000" w:themeColor="text1"/>
          <w:sz w:val="20"/>
          <w:szCs w:val="20"/>
        </w:rPr>
        <w:t>IACHR</w:t>
      </w:r>
      <w:r w:rsidRPr="007D0545">
        <w:rPr>
          <w:rFonts w:asciiTheme="majorHAnsi" w:hAnsiTheme="majorHAnsi"/>
          <w:color w:val="000000" w:themeColor="text1"/>
          <w:sz w:val="20"/>
          <w:szCs w:val="20"/>
        </w:rPr>
        <w:t xml:space="preserve"> notified th</w:t>
      </w:r>
      <w:r w:rsidR="00DA7151" w:rsidRPr="007D0545">
        <w:rPr>
          <w:rFonts w:asciiTheme="majorHAnsi" w:hAnsiTheme="majorHAnsi"/>
          <w:color w:val="000000" w:themeColor="text1"/>
          <w:sz w:val="20"/>
          <w:szCs w:val="20"/>
        </w:rPr>
        <w:t>e</w:t>
      </w:r>
      <w:r w:rsidRPr="007D0545">
        <w:rPr>
          <w:rFonts w:asciiTheme="majorHAnsi" w:hAnsiTheme="majorHAnsi"/>
          <w:color w:val="000000" w:themeColor="text1"/>
          <w:sz w:val="20"/>
          <w:szCs w:val="20"/>
        </w:rPr>
        <w:t xml:space="preserve"> report to the parties and placed itself at the disposition of the parties to reach a friendly settlement. The parties </w:t>
      </w:r>
      <w:r w:rsidR="00092817" w:rsidRPr="007D0545">
        <w:rPr>
          <w:rFonts w:asciiTheme="majorHAnsi" w:hAnsiTheme="majorHAnsi"/>
          <w:color w:val="000000" w:themeColor="text1"/>
          <w:sz w:val="20"/>
          <w:szCs w:val="20"/>
        </w:rPr>
        <w:t xml:space="preserve">were allocated </w:t>
      </w:r>
      <w:r w:rsidRPr="007D0545">
        <w:rPr>
          <w:rFonts w:asciiTheme="majorHAnsi" w:hAnsiTheme="majorHAnsi"/>
          <w:color w:val="000000" w:themeColor="text1"/>
          <w:sz w:val="20"/>
          <w:szCs w:val="20"/>
        </w:rPr>
        <w:t>the time periods provided for in the IACHR’s Rules of Procedure to present additional observations on the merits</w:t>
      </w:r>
      <w:r w:rsidR="00092817" w:rsidRPr="007D0545">
        <w:rPr>
          <w:rFonts w:asciiTheme="majorHAnsi" w:hAnsiTheme="majorHAnsi"/>
          <w:color w:val="000000" w:themeColor="text1"/>
          <w:sz w:val="20"/>
          <w:szCs w:val="20"/>
        </w:rPr>
        <w:t xml:space="preserve"> of the case</w:t>
      </w:r>
      <w:r w:rsidRPr="007D0545">
        <w:rPr>
          <w:rFonts w:asciiTheme="majorHAnsi" w:hAnsiTheme="majorHAnsi"/>
          <w:color w:val="000000" w:themeColor="text1"/>
          <w:sz w:val="20"/>
          <w:szCs w:val="20"/>
        </w:rPr>
        <w:t xml:space="preserve">. All </w:t>
      </w:r>
      <w:r w:rsidR="00092817" w:rsidRPr="007D0545">
        <w:rPr>
          <w:rFonts w:asciiTheme="majorHAnsi" w:hAnsiTheme="majorHAnsi"/>
          <w:color w:val="000000" w:themeColor="text1"/>
          <w:sz w:val="20"/>
          <w:szCs w:val="20"/>
        </w:rPr>
        <w:t xml:space="preserve">of </w:t>
      </w:r>
      <w:r w:rsidRPr="007D0545">
        <w:rPr>
          <w:rFonts w:asciiTheme="majorHAnsi" w:hAnsiTheme="majorHAnsi"/>
          <w:color w:val="000000" w:themeColor="text1"/>
          <w:sz w:val="20"/>
          <w:szCs w:val="20"/>
        </w:rPr>
        <w:t xml:space="preserve">the information received by the </w:t>
      </w:r>
      <w:r w:rsidR="00DA7151" w:rsidRPr="007D0545">
        <w:rPr>
          <w:rFonts w:asciiTheme="majorHAnsi" w:hAnsiTheme="majorHAnsi"/>
          <w:color w:val="000000" w:themeColor="text1"/>
          <w:sz w:val="20"/>
          <w:szCs w:val="20"/>
        </w:rPr>
        <w:t>IACHR</w:t>
      </w:r>
      <w:r w:rsidRPr="007D0545">
        <w:rPr>
          <w:rFonts w:asciiTheme="majorHAnsi" w:hAnsiTheme="majorHAnsi"/>
          <w:color w:val="000000" w:themeColor="text1"/>
          <w:sz w:val="20"/>
          <w:szCs w:val="20"/>
        </w:rPr>
        <w:t xml:space="preserve"> was duly transmitted to the parties. </w:t>
      </w:r>
    </w:p>
    <w:p w14:paraId="6C87DDF6" w14:textId="77777777" w:rsidR="001C4006" w:rsidRPr="007D0545"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color w:val="000000" w:themeColor="text1"/>
          <w:sz w:val="20"/>
          <w:szCs w:val="20"/>
        </w:rPr>
      </w:pPr>
    </w:p>
    <w:p w14:paraId="335B1E41" w14:textId="77777777" w:rsidR="001C4006" w:rsidRPr="007D0545" w:rsidRDefault="001C4006" w:rsidP="00830E88">
      <w:pPr>
        <w:pStyle w:val="Heading1"/>
        <w:spacing w:before="0"/>
        <w:ind w:hanging="720"/>
        <w:rPr>
          <w:color w:val="auto"/>
          <w:sz w:val="20"/>
          <w:szCs w:val="20"/>
        </w:rPr>
      </w:pPr>
      <w:bookmarkStart w:id="1" w:name="_Toc26556080"/>
      <w:r w:rsidRPr="007D0545">
        <w:rPr>
          <w:color w:val="auto"/>
          <w:sz w:val="20"/>
          <w:szCs w:val="20"/>
        </w:rPr>
        <w:t>POSITIONS OF THE PARTIES</w:t>
      </w:r>
      <w:bookmarkEnd w:id="1"/>
    </w:p>
    <w:p w14:paraId="49A46F11" w14:textId="77777777" w:rsidR="001C4006" w:rsidRPr="007D0545" w:rsidRDefault="001C4006" w:rsidP="00BB5A59">
      <w:pPr>
        <w:suppressAutoHyphens/>
        <w:ind w:left="1440" w:hanging="720"/>
        <w:rPr>
          <w:rFonts w:asciiTheme="majorHAnsi" w:hAnsiTheme="majorHAnsi"/>
          <w:sz w:val="20"/>
          <w:szCs w:val="20"/>
        </w:rPr>
      </w:pPr>
    </w:p>
    <w:p w14:paraId="4445B5A5" w14:textId="77777777" w:rsidR="005C164F" w:rsidRPr="007D0545" w:rsidRDefault="005C164F" w:rsidP="00390D19">
      <w:pPr>
        <w:pStyle w:val="Heading2"/>
        <w:numPr>
          <w:ilvl w:val="0"/>
          <w:numId w:val="58"/>
        </w:numPr>
        <w:spacing w:before="0"/>
        <w:ind w:left="1440" w:hanging="720"/>
        <w:rPr>
          <w:color w:val="auto"/>
          <w:sz w:val="20"/>
          <w:szCs w:val="20"/>
        </w:rPr>
      </w:pPr>
      <w:bookmarkStart w:id="2" w:name="_Toc26556081"/>
      <w:r w:rsidRPr="007D0545">
        <w:rPr>
          <w:color w:val="auto"/>
          <w:sz w:val="20"/>
          <w:szCs w:val="20"/>
        </w:rPr>
        <w:t>P</w:t>
      </w:r>
      <w:r w:rsidR="00262ECA" w:rsidRPr="007D0545">
        <w:rPr>
          <w:color w:val="auto"/>
          <w:sz w:val="20"/>
          <w:szCs w:val="20"/>
        </w:rPr>
        <w:t>etitioners</w:t>
      </w:r>
      <w:bookmarkEnd w:id="2"/>
    </w:p>
    <w:p w14:paraId="415645F2" w14:textId="77777777" w:rsidR="005C164F" w:rsidRPr="007D0545" w:rsidRDefault="005C164F" w:rsidP="00BB5A59">
      <w:pPr>
        <w:suppressAutoHyphens/>
        <w:ind w:left="1440" w:hanging="720"/>
        <w:rPr>
          <w:rFonts w:asciiTheme="majorHAnsi" w:hAnsiTheme="majorHAnsi"/>
          <w:sz w:val="20"/>
          <w:szCs w:val="20"/>
        </w:rPr>
      </w:pPr>
    </w:p>
    <w:p w14:paraId="25C627F0" w14:textId="77777777" w:rsidR="009435DC" w:rsidRPr="007D0545" w:rsidRDefault="00267EF0" w:rsidP="00CF55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rPr>
      </w:pPr>
      <w:r w:rsidRPr="007D0545">
        <w:rPr>
          <w:rFonts w:ascii="Cambria" w:hAnsi="Cambria"/>
          <w:sz w:val="20"/>
          <w:szCs w:val="20"/>
        </w:rPr>
        <w:t>The petitioners state</w:t>
      </w:r>
      <w:r w:rsidR="00CF5539" w:rsidRPr="007D0545">
        <w:rPr>
          <w:rFonts w:ascii="Cambria" w:hAnsi="Cambria"/>
          <w:sz w:val="20"/>
          <w:szCs w:val="20"/>
        </w:rPr>
        <w:t xml:space="preserve"> that Mr. Sequoyah</w:t>
      </w:r>
      <w:r w:rsidR="00483697" w:rsidRPr="007D0545">
        <w:rPr>
          <w:rFonts w:ascii="Cambria" w:hAnsi="Cambria"/>
          <w:sz w:val="20"/>
          <w:szCs w:val="20"/>
        </w:rPr>
        <w:t>, born Billy Ray Waldon,</w:t>
      </w:r>
      <w:r w:rsidR="00CF5539" w:rsidRPr="007D0545">
        <w:rPr>
          <w:rFonts w:ascii="Cambria" w:hAnsi="Cambria"/>
          <w:sz w:val="20"/>
          <w:szCs w:val="20"/>
        </w:rPr>
        <w:t xml:space="preserve"> is a U.S. citizen who is incarcerated on deat</w:t>
      </w:r>
      <w:r w:rsidR="00DA5ECF" w:rsidRPr="007D0545">
        <w:rPr>
          <w:rFonts w:ascii="Cambria" w:hAnsi="Cambria"/>
          <w:sz w:val="20"/>
          <w:szCs w:val="20"/>
        </w:rPr>
        <w:t xml:space="preserve">h row at the San Quentin Prison in California </w:t>
      </w:r>
      <w:r w:rsidR="00CF5539" w:rsidRPr="007D0545">
        <w:rPr>
          <w:rFonts w:ascii="Cambria" w:hAnsi="Cambria"/>
          <w:sz w:val="20"/>
          <w:szCs w:val="20"/>
        </w:rPr>
        <w:t xml:space="preserve">since February 1992. </w:t>
      </w:r>
      <w:r w:rsidR="00483697" w:rsidRPr="007D0545">
        <w:rPr>
          <w:rFonts w:ascii="Cambria" w:hAnsi="Cambria"/>
          <w:sz w:val="20"/>
          <w:szCs w:val="20"/>
        </w:rPr>
        <w:t>After being allowed to represent himself, h</w:t>
      </w:r>
      <w:r w:rsidR="00CF5539" w:rsidRPr="007D0545">
        <w:rPr>
          <w:rFonts w:ascii="Cambria" w:hAnsi="Cambria"/>
          <w:sz w:val="20"/>
          <w:szCs w:val="20"/>
        </w:rPr>
        <w:t xml:space="preserve">e was convicted of murder in San Diego in 1991 </w:t>
      </w:r>
      <w:r w:rsidR="00C47E39" w:rsidRPr="007D0545">
        <w:rPr>
          <w:rFonts w:ascii="Cambria" w:hAnsi="Cambria"/>
          <w:sz w:val="20"/>
          <w:szCs w:val="20"/>
        </w:rPr>
        <w:t>and sentenced to death in early 1992</w:t>
      </w:r>
      <w:r w:rsidR="00CF5539" w:rsidRPr="007D0545">
        <w:rPr>
          <w:rFonts w:ascii="Cambria" w:hAnsi="Cambria"/>
          <w:sz w:val="20"/>
          <w:szCs w:val="20"/>
        </w:rPr>
        <w:t xml:space="preserve">. </w:t>
      </w:r>
      <w:r w:rsidR="00092817" w:rsidRPr="007D0545">
        <w:rPr>
          <w:rFonts w:ascii="Cambria" w:hAnsi="Cambria"/>
          <w:sz w:val="20"/>
          <w:szCs w:val="20"/>
        </w:rPr>
        <w:t>The p</w:t>
      </w:r>
      <w:r w:rsidR="00F31814" w:rsidRPr="007D0545">
        <w:rPr>
          <w:rFonts w:ascii="Cambria" w:hAnsi="Cambria"/>
          <w:sz w:val="20"/>
          <w:szCs w:val="20"/>
        </w:rPr>
        <w:t xml:space="preserve">etitioners allege that </w:t>
      </w:r>
      <w:r w:rsidR="00EF36AC" w:rsidRPr="007D0545">
        <w:rPr>
          <w:rFonts w:ascii="Cambria" w:hAnsi="Cambria"/>
          <w:sz w:val="20"/>
          <w:szCs w:val="20"/>
        </w:rPr>
        <w:t>the United States has violated Mr. Sequoyah’s rights to be tried without undue delay, to receive humane treatment in detention, to protection of the court</w:t>
      </w:r>
      <w:r w:rsidR="00092817" w:rsidRPr="007D0545">
        <w:rPr>
          <w:rFonts w:ascii="Cambria" w:hAnsi="Cambria"/>
          <w:sz w:val="20"/>
          <w:szCs w:val="20"/>
        </w:rPr>
        <w:t>,</w:t>
      </w:r>
      <w:r w:rsidR="00EF36AC" w:rsidRPr="007D0545">
        <w:rPr>
          <w:rFonts w:ascii="Cambria" w:hAnsi="Cambria"/>
          <w:sz w:val="20"/>
          <w:szCs w:val="20"/>
        </w:rPr>
        <w:t xml:space="preserve"> as well </w:t>
      </w:r>
      <w:r w:rsidR="00092817" w:rsidRPr="007D0545">
        <w:rPr>
          <w:rFonts w:ascii="Cambria" w:hAnsi="Cambria"/>
          <w:sz w:val="20"/>
          <w:szCs w:val="20"/>
        </w:rPr>
        <w:t xml:space="preserve">as </w:t>
      </w:r>
      <w:r w:rsidR="002F3D27" w:rsidRPr="007D0545">
        <w:rPr>
          <w:rFonts w:ascii="Cambria" w:hAnsi="Cambria"/>
          <w:sz w:val="20"/>
          <w:szCs w:val="20"/>
        </w:rPr>
        <w:t>his</w:t>
      </w:r>
      <w:r w:rsidR="00EF36AC" w:rsidRPr="007D0545">
        <w:rPr>
          <w:rFonts w:ascii="Cambria" w:hAnsi="Cambria"/>
          <w:sz w:val="20"/>
          <w:szCs w:val="20"/>
        </w:rPr>
        <w:t xml:space="preserve"> right to life.</w:t>
      </w:r>
    </w:p>
    <w:p w14:paraId="3DF6DF8E" w14:textId="77777777" w:rsidR="00C47E39" w:rsidRPr="007D0545" w:rsidRDefault="00C47E39" w:rsidP="00C47E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42EB1B5C" w14:textId="77777777" w:rsidR="00293AEB" w:rsidRPr="007D0545" w:rsidRDefault="00C47E39" w:rsidP="00293AE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7D0545">
        <w:rPr>
          <w:rFonts w:ascii="Cambria" w:hAnsi="Cambria"/>
          <w:sz w:val="20"/>
          <w:szCs w:val="20"/>
        </w:rPr>
        <w:t xml:space="preserve">According to the petitioners, at the time </w:t>
      </w:r>
      <w:r w:rsidR="00092817" w:rsidRPr="007D0545">
        <w:rPr>
          <w:rFonts w:ascii="Cambria" w:hAnsi="Cambria"/>
          <w:sz w:val="20"/>
          <w:szCs w:val="20"/>
        </w:rPr>
        <w:t>Mr. Sequoyah</w:t>
      </w:r>
      <w:r w:rsidR="00092817" w:rsidRPr="007D0545" w:rsidDel="00092817">
        <w:rPr>
          <w:rFonts w:ascii="Cambria" w:hAnsi="Cambria"/>
          <w:sz w:val="20"/>
          <w:szCs w:val="20"/>
        </w:rPr>
        <w:t xml:space="preserve"> </w:t>
      </w:r>
      <w:r w:rsidRPr="007D0545">
        <w:rPr>
          <w:rFonts w:ascii="Cambria" w:hAnsi="Cambria"/>
          <w:sz w:val="20"/>
          <w:szCs w:val="20"/>
        </w:rPr>
        <w:t xml:space="preserve">was imprisoned on death row, the government was on notice of very substantial evidence that he was suffering from psychological harm. Two different judges hearing his criminal case, years apart, had </w:t>
      </w:r>
      <w:r w:rsidR="00E0702F" w:rsidRPr="007D0545">
        <w:rPr>
          <w:rFonts w:ascii="Cambria" w:hAnsi="Cambria"/>
          <w:sz w:val="20"/>
          <w:szCs w:val="20"/>
        </w:rPr>
        <w:t xml:space="preserve">independently </w:t>
      </w:r>
      <w:r w:rsidRPr="007D0545">
        <w:rPr>
          <w:rFonts w:ascii="Cambria" w:hAnsi="Cambria"/>
          <w:sz w:val="20"/>
          <w:szCs w:val="20"/>
        </w:rPr>
        <w:t>questioned his mental stability at trial and therefore</w:t>
      </w:r>
      <w:r w:rsidR="00092817" w:rsidRPr="007D0545">
        <w:rPr>
          <w:rFonts w:ascii="Cambria" w:hAnsi="Cambria"/>
          <w:sz w:val="20"/>
          <w:szCs w:val="20"/>
        </w:rPr>
        <w:t>,</w:t>
      </w:r>
      <w:r w:rsidRPr="007D0545">
        <w:rPr>
          <w:rFonts w:ascii="Cambria" w:hAnsi="Cambria"/>
          <w:sz w:val="20"/>
          <w:szCs w:val="20"/>
        </w:rPr>
        <w:t xml:space="preserve"> </w:t>
      </w:r>
      <w:r w:rsidR="00092817" w:rsidRPr="007D0545">
        <w:rPr>
          <w:rFonts w:ascii="Cambria" w:hAnsi="Cambria"/>
          <w:sz w:val="20"/>
          <w:szCs w:val="20"/>
        </w:rPr>
        <w:t xml:space="preserve">had </w:t>
      </w:r>
      <w:r w:rsidRPr="007D0545">
        <w:rPr>
          <w:rFonts w:ascii="Cambria" w:hAnsi="Cambria"/>
          <w:sz w:val="20"/>
          <w:szCs w:val="20"/>
        </w:rPr>
        <w:t xml:space="preserve">appointed psychiatrists to evaluate him. </w:t>
      </w:r>
      <w:r w:rsidR="00E0702F" w:rsidRPr="007D0545">
        <w:rPr>
          <w:rFonts w:ascii="Cambria" w:hAnsi="Cambria"/>
          <w:sz w:val="20"/>
          <w:szCs w:val="20"/>
        </w:rPr>
        <w:t xml:space="preserve">A full formal competency trial was conducted. Two mental health professionals testified regarding Mr. Sequoyah’s psychiatric hospitalization several years prior to his arrest, and the court received expert testimony that he was not competent to stand trial. Even after a </w:t>
      </w:r>
      <w:r w:rsidRPr="007D0545">
        <w:rPr>
          <w:rFonts w:ascii="Cambria" w:hAnsi="Cambria"/>
          <w:sz w:val="20"/>
          <w:szCs w:val="20"/>
        </w:rPr>
        <w:t>jury found him competent to stand trial under a complex standard that does not negate the existence of mental illness</w:t>
      </w:r>
      <w:r w:rsidR="00E0702F" w:rsidRPr="007D0545">
        <w:rPr>
          <w:rFonts w:ascii="Cambria" w:hAnsi="Cambria"/>
          <w:sz w:val="20"/>
          <w:szCs w:val="20"/>
        </w:rPr>
        <w:t xml:space="preserve"> but merely quantifies it</w:t>
      </w:r>
      <w:r w:rsidRPr="007D0545">
        <w:rPr>
          <w:rFonts w:ascii="Cambria" w:hAnsi="Cambria"/>
          <w:sz w:val="20"/>
          <w:szCs w:val="20"/>
        </w:rPr>
        <w:t>, the judge</w:t>
      </w:r>
      <w:r w:rsidR="00E0702F" w:rsidRPr="007D0545">
        <w:rPr>
          <w:rFonts w:ascii="Cambria" w:hAnsi="Cambria"/>
          <w:sz w:val="20"/>
          <w:szCs w:val="20"/>
        </w:rPr>
        <w:t xml:space="preserve"> who had initiated the competency procedure</w:t>
      </w:r>
      <w:r w:rsidRPr="007D0545">
        <w:rPr>
          <w:rFonts w:ascii="Cambria" w:hAnsi="Cambria"/>
          <w:sz w:val="20"/>
          <w:szCs w:val="20"/>
        </w:rPr>
        <w:t xml:space="preserve"> nonetheless found that he still suffered from a mental disorder which impaired him from perceiving the</w:t>
      </w:r>
      <w:r w:rsidR="00DC2FF2" w:rsidRPr="007D0545">
        <w:rPr>
          <w:rFonts w:ascii="Cambria" w:hAnsi="Cambria"/>
          <w:sz w:val="20"/>
          <w:szCs w:val="20"/>
        </w:rPr>
        <w:t xml:space="preserve"> risks of representing himself. After Mr. Sequoyah’s request to represent himself was granted by a judge who, according to the petitioners, </w:t>
      </w:r>
      <w:r w:rsidR="00EF36AC" w:rsidRPr="007D0545">
        <w:rPr>
          <w:rFonts w:ascii="Cambria" w:hAnsi="Cambria"/>
          <w:sz w:val="20"/>
          <w:szCs w:val="20"/>
        </w:rPr>
        <w:t xml:space="preserve">was </w:t>
      </w:r>
      <w:r w:rsidR="00DC2FF2" w:rsidRPr="007D0545">
        <w:rPr>
          <w:rFonts w:ascii="Cambria" w:hAnsi="Cambria"/>
          <w:sz w:val="20"/>
          <w:szCs w:val="20"/>
        </w:rPr>
        <w:t xml:space="preserve">unaware of the prior evidence of Mr. Sequoyah’s mental problems, two additional judges </w:t>
      </w:r>
      <w:r w:rsidR="00E0702F" w:rsidRPr="007D0545">
        <w:rPr>
          <w:rFonts w:ascii="Cambria" w:hAnsi="Cambria"/>
          <w:sz w:val="20"/>
          <w:szCs w:val="20"/>
        </w:rPr>
        <w:t xml:space="preserve">expressed doubts about </w:t>
      </w:r>
      <w:r w:rsidR="00DC2FF2" w:rsidRPr="007D0545">
        <w:rPr>
          <w:rFonts w:ascii="Cambria" w:hAnsi="Cambria"/>
          <w:sz w:val="20"/>
          <w:szCs w:val="20"/>
        </w:rPr>
        <w:t xml:space="preserve">his mental state. </w:t>
      </w:r>
      <w:r w:rsidR="00E0702F" w:rsidRPr="007D0545">
        <w:rPr>
          <w:rFonts w:ascii="Cambria" w:hAnsi="Cambria"/>
          <w:sz w:val="20"/>
          <w:szCs w:val="20"/>
        </w:rPr>
        <w:t xml:space="preserve">The first judge sought to initiate another psychiatric evaluation but was prevented by an appellate court from doing so. At trial, yet another judge questioned Mr. Sequoyah’s reasoning ability, though he did nothing to stop </w:t>
      </w:r>
      <w:r w:rsidR="00143E4B" w:rsidRPr="007D0545">
        <w:rPr>
          <w:rFonts w:ascii="Cambria" w:hAnsi="Cambria"/>
          <w:sz w:val="20"/>
          <w:szCs w:val="20"/>
        </w:rPr>
        <w:t>the</w:t>
      </w:r>
      <w:r w:rsidR="00E0702F" w:rsidRPr="007D0545">
        <w:rPr>
          <w:rFonts w:ascii="Cambria" w:hAnsi="Cambria"/>
          <w:sz w:val="20"/>
          <w:szCs w:val="20"/>
        </w:rPr>
        <w:t xml:space="preserve"> proceedings. </w:t>
      </w:r>
    </w:p>
    <w:p w14:paraId="50856AEB" w14:textId="77777777" w:rsidR="00293AEB" w:rsidRPr="007D0545" w:rsidRDefault="00293AEB" w:rsidP="00293AEB">
      <w:pPr>
        <w:pStyle w:val="ListParagraph"/>
        <w:rPr>
          <w:sz w:val="20"/>
          <w:szCs w:val="20"/>
        </w:rPr>
      </w:pPr>
    </w:p>
    <w:p w14:paraId="296392B0" w14:textId="77777777" w:rsidR="00293AEB" w:rsidRPr="007D0545" w:rsidRDefault="00293AEB" w:rsidP="00293AE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7D0545">
        <w:rPr>
          <w:rFonts w:ascii="Cambria" w:hAnsi="Cambria"/>
          <w:sz w:val="20"/>
          <w:szCs w:val="20"/>
        </w:rPr>
        <w:t xml:space="preserve">The petitioners note that Mr. Sequoyah’s mental health was already in question during the trial proceedings and </w:t>
      </w:r>
      <w:r w:rsidR="00143E4B" w:rsidRPr="007D0545">
        <w:rPr>
          <w:rFonts w:ascii="Cambria" w:hAnsi="Cambria"/>
          <w:sz w:val="20"/>
          <w:szCs w:val="20"/>
        </w:rPr>
        <w:t xml:space="preserve">that </w:t>
      </w:r>
      <w:r w:rsidRPr="007D0545">
        <w:rPr>
          <w:rFonts w:ascii="Cambria" w:hAnsi="Cambria"/>
          <w:sz w:val="20"/>
          <w:szCs w:val="20"/>
        </w:rPr>
        <w:t xml:space="preserve">it </w:t>
      </w:r>
      <w:r w:rsidR="00143E4B" w:rsidRPr="007D0545">
        <w:rPr>
          <w:rFonts w:ascii="Cambria" w:hAnsi="Cambria"/>
          <w:sz w:val="20"/>
          <w:szCs w:val="20"/>
        </w:rPr>
        <w:t xml:space="preserve">has </w:t>
      </w:r>
      <w:r w:rsidRPr="007D0545">
        <w:rPr>
          <w:rFonts w:ascii="Cambria" w:hAnsi="Cambria"/>
          <w:sz w:val="20"/>
          <w:szCs w:val="20"/>
        </w:rPr>
        <w:t xml:space="preserve">continued to worsen during </w:t>
      </w:r>
      <w:r w:rsidR="00143E4B" w:rsidRPr="007D0545">
        <w:rPr>
          <w:rFonts w:ascii="Cambria" w:hAnsi="Cambria"/>
          <w:sz w:val="20"/>
          <w:szCs w:val="20"/>
        </w:rPr>
        <w:t xml:space="preserve">his </w:t>
      </w:r>
      <w:r w:rsidRPr="007D0545">
        <w:rPr>
          <w:rFonts w:ascii="Cambria" w:hAnsi="Cambria"/>
          <w:sz w:val="20"/>
          <w:szCs w:val="20"/>
        </w:rPr>
        <w:t xml:space="preserve">time spent on death row. </w:t>
      </w:r>
      <w:r w:rsidR="00703F90" w:rsidRPr="007D0545">
        <w:rPr>
          <w:rFonts w:ascii="Cambria" w:hAnsi="Cambria"/>
          <w:sz w:val="20"/>
          <w:szCs w:val="20"/>
        </w:rPr>
        <w:t>T</w:t>
      </w:r>
      <w:r w:rsidRPr="007D0545">
        <w:rPr>
          <w:rFonts w:ascii="Cambria" w:hAnsi="Cambria"/>
          <w:sz w:val="20"/>
          <w:szCs w:val="20"/>
        </w:rPr>
        <w:t xml:space="preserve">hey </w:t>
      </w:r>
      <w:r w:rsidR="00703F90" w:rsidRPr="007D0545">
        <w:rPr>
          <w:rFonts w:ascii="Cambria" w:hAnsi="Cambria"/>
          <w:sz w:val="20"/>
          <w:szCs w:val="20"/>
        </w:rPr>
        <w:t xml:space="preserve">allege that the State of California had ample evidence of psychiatric damage which </w:t>
      </w:r>
      <w:r w:rsidR="00143E4B" w:rsidRPr="007D0545">
        <w:rPr>
          <w:rFonts w:ascii="Cambria" w:hAnsi="Cambria"/>
          <w:sz w:val="20"/>
          <w:szCs w:val="20"/>
        </w:rPr>
        <w:t>made</w:t>
      </w:r>
      <w:r w:rsidR="00703F90" w:rsidRPr="007D0545">
        <w:rPr>
          <w:rFonts w:ascii="Cambria" w:hAnsi="Cambria"/>
          <w:sz w:val="20"/>
          <w:szCs w:val="20"/>
        </w:rPr>
        <w:t xml:space="preserve"> him vulnerab</w:t>
      </w:r>
      <w:r w:rsidR="00143E4B" w:rsidRPr="007D0545">
        <w:rPr>
          <w:rFonts w:ascii="Cambria" w:hAnsi="Cambria"/>
          <w:sz w:val="20"/>
          <w:szCs w:val="20"/>
        </w:rPr>
        <w:t>le</w:t>
      </w:r>
      <w:r w:rsidR="00703F90" w:rsidRPr="007D0545">
        <w:rPr>
          <w:rFonts w:ascii="Cambria" w:hAnsi="Cambria"/>
          <w:sz w:val="20"/>
          <w:szCs w:val="20"/>
        </w:rPr>
        <w:t xml:space="preserve"> to furth</w:t>
      </w:r>
      <w:r w:rsidR="00E94D19" w:rsidRPr="007D0545">
        <w:rPr>
          <w:rFonts w:ascii="Cambria" w:hAnsi="Cambria"/>
          <w:sz w:val="20"/>
          <w:szCs w:val="20"/>
        </w:rPr>
        <w:t>er</w:t>
      </w:r>
      <w:r w:rsidR="00703F90" w:rsidRPr="007D0545">
        <w:rPr>
          <w:rFonts w:ascii="Cambria" w:hAnsi="Cambria"/>
          <w:sz w:val="20"/>
          <w:szCs w:val="20"/>
        </w:rPr>
        <w:t xml:space="preserve"> emotional </w:t>
      </w:r>
      <w:r w:rsidR="00703F90" w:rsidRPr="007D0545">
        <w:rPr>
          <w:rFonts w:ascii="Cambria" w:hAnsi="Cambria"/>
          <w:sz w:val="20"/>
          <w:szCs w:val="20"/>
        </w:rPr>
        <w:lastRenderedPageBreak/>
        <w:t>damage inflicted by the “death row syndrome.”</w:t>
      </w:r>
      <w:r w:rsidR="00E94D19" w:rsidRPr="007D0545">
        <w:rPr>
          <w:rFonts w:ascii="Cambria" w:hAnsi="Cambria"/>
          <w:sz w:val="20"/>
          <w:szCs w:val="20"/>
        </w:rPr>
        <w:t xml:space="preserve"> </w:t>
      </w:r>
      <w:r w:rsidRPr="007D0545">
        <w:rPr>
          <w:rFonts w:ascii="Cambria" w:hAnsi="Cambria"/>
          <w:sz w:val="20"/>
          <w:szCs w:val="20"/>
        </w:rPr>
        <w:t>Th</w:t>
      </w:r>
      <w:r w:rsidR="00EF36AC" w:rsidRPr="007D0545">
        <w:rPr>
          <w:rFonts w:ascii="Cambria" w:hAnsi="Cambria"/>
          <w:sz w:val="20"/>
          <w:szCs w:val="20"/>
        </w:rPr>
        <w:t>is, in a</w:t>
      </w:r>
      <w:r w:rsidRPr="007D0545">
        <w:rPr>
          <w:rFonts w:ascii="Cambria" w:hAnsi="Cambria"/>
          <w:sz w:val="20"/>
          <w:szCs w:val="20"/>
        </w:rPr>
        <w:t xml:space="preserve"> context of </w:t>
      </w:r>
      <w:r w:rsidR="00EF36AC" w:rsidRPr="007D0545">
        <w:rPr>
          <w:rFonts w:ascii="Cambria" w:hAnsi="Cambria"/>
          <w:sz w:val="20"/>
          <w:szCs w:val="20"/>
        </w:rPr>
        <w:t xml:space="preserve">an </w:t>
      </w:r>
      <w:r w:rsidRPr="007D0545">
        <w:rPr>
          <w:rFonts w:ascii="Cambria" w:hAnsi="Cambria"/>
          <w:sz w:val="20"/>
          <w:szCs w:val="20"/>
        </w:rPr>
        <w:t>overall lack of health care in the California prison system.</w:t>
      </w:r>
    </w:p>
    <w:p w14:paraId="6BFF3131" w14:textId="77777777" w:rsidR="00C47E39" w:rsidRPr="007D0545" w:rsidRDefault="00C47E39" w:rsidP="00293A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380F1B0A" w14:textId="77777777" w:rsidR="00703F90" w:rsidRPr="007D0545" w:rsidRDefault="00703F90" w:rsidP="00CF55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7D0545">
        <w:rPr>
          <w:rFonts w:ascii="Cambria" w:hAnsi="Cambria"/>
          <w:sz w:val="20"/>
          <w:szCs w:val="20"/>
        </w:rPr>
        <w:t>The petitioners indicate that</w:t>
      </w:r>
      <w:r w:rsidR="00951A16" w:rsidRPr="007D0545">
        <w:rPr>
          <w:rFonts w:ascii="Cambria" w:hAnsi="Cambria"/>
          <w:sz w:val="20"/>
          <w:szCs w:val="20"/>
        </w:rPr>
        <w:t>,</w:t>
      </w:r>
      <w:r w:rsidRPr="007D0545">
        <w:rPr>
          <w:rFonts w:ascii="Cambria" w:hAnsi="Cambria"/>
          <w:sz w:val="20"/>
          <w:szCs w:val="20"/>
        </w:rPr>
        <w:t xml:space="preserve"> </w:t>
      </w:r>
      <w:r w:rsidR="00951A16" w:rsidRPr="007D0545">
        <w:rPr>
          <w:rFonts w:ascii="Cambria" w:hAnsi="Cambria"/>
          <w:sz w:val="20"/>
          <w:szCs w:val="20"/>
        </w:rPr>
        <w:t>for three years and nine months, Mr. Sequoyah remained without any counsel or assistance to appeal his case.</w:t>
      </w:r>
      <w:r w:rsidR="00951A16" w:rsidRPr="007D0545">
        <w:rPr>
          <w:rFonts w:ascii="Univers" w:hAnsi="Univers"/>
          <w:noProof/>
          <w:sz w:val="20"/>
          <w:szCs w:val="20"/>
        </w:rPr>
        <w:t xml:space="preserve"> </w:t>
      </w:r>
      <w:r w:rsidR="00951A16" w:rsidRPr="007D0545">
        <w:rPr>
          <w:rFonts w:ascii="Cambria" w:hAnsi="Cambria"/>
          <w:sz w:val="20"/>
          <w:szCs w:val="20"/>
        </w:rPr>
        <w:t>I</w:t>
      </w:r>
      <w:r w:rsidRPr="007D0545">
        <w:rPr>
          <w:rFonts w:ascii="Cambria" w:hAnsi="Cambria"/>
          <w:sz w:val="20"/>
          <w:szCs w:val="20"/>
        </w:rPr>
        <w:t>n December 1995</w:t>
      </w:r>
      <w:r w:rsidR="00143E4B" w:rsidRPr="007D0545">
        <w:rPr>
          <w:rFonts w:ascii="Cambria" w:hAnsi="Cambria"/>
          <w:sz w:val="20"/>
          <w:szCs w:val="20"/>
        </w:rPr>
        <w:t>,</w:t>
      </w:r>
      <w:r w:rsidRPr="007D0545">
        <w:rPr>
          <w:rFonts w:ascii="Cambria" w:hAnsi="Cambria"/>
          <w:sz w:val="20"/>
          <w:szCs w:val="20"/>
        </w:rPr>
        <w:t xml:space="preserve"> </w:t>
      </w:r>
      <w:r w:rsidR="00951A16" w:rsidRPr="007D0545">
        <w:rPr>
          <w:rFonts w:ascii="Cambria" w:hAnsi="Cambria"/>
          <w:sz w:val="20"/>
          <w:szCs w:val="20"/>
        </w:rPr>
        <w:t>he</w:t>
      </w:r>
      <w:r w:rsidRPr="007D0545">
        <w:rPr>
          <w:rFonts w:ascii="Cambria" w:hAnsi="Cambria"/>
          <w:sz w:val="20"/>
          <w:szCs w:val="20"/>
        </w:rPr>
        <w:t xml:space="preserve"> was appointed a state public defender to represent him on his appeal and habeas corpus proceeding. The record for the six years of litigation in the trial court received by the public defender lacked numerous documents, transcripts, statements, and evidence of proceedings </w:t>
      </w:r>
      <w:r w:rsidR="00771045" w:rsidRPr="007D0545">
        <w:rPr>
          <w:rFonts w:ascii="Cambria" w:hAnsi="Cambria"/>
          <w:sz w:val="20"/>
          <w:szCs w:val="20"/>
        </w:rPr>
        <w:t>and orders of the court. The</w:t>
      </w:r>
      <w:r w:rsidR="00143E4B" w:rsidRPr="007D0545">
        <w:rPr>
          <w:rFonts w:ascii="Cambria" w:hAnsi="Cambria"/>
          <w:sz w:val="20"/>
          <w:szCs w:val="20"/>
        </w:rPr>
        <w:t xml:space="preserve"> petitioners</w:t>
      </w:r>
      <w:r w:rsidR="00771045" w:rsidRPr="007D0545">
        <w:rPr>
          <w:rFonts w:ascii="Cambria" w:hAnsi="Cambria"/>
          <w:sz w:val="20"/>
          <w:szCs w:val="20"/>
        </w:rPr>
        <w:t xml:space="preserve"> also state that what was included was badly scrambled and disorganized. After two years of sorting through the documents, the defender filed a correction motion in December 1997 and the final record on appeal was delivered to the California Supreme Court in February 2007, fifteen years after Mr. Sequoyah was condemned to death. </w:t>
      </w:r>
    </w:p>
    <w:p w14:paraId="368D1A63" w14:textId="77777777" w:rsidR="00BE36D7" w:rsidRPr="007D0545" w:rsidRDefault="00BE36D7" w:rsidP="00BE36D7">
      <w:pPr>
        <w:pStyle w:val="ListParagraph"/>
        <w:rPr>
          <w:sz w:val="20"/>
          <w:szCs w:val="20"/>
        </w:rPr>
      </w:pPr>
    </w:p>
    <w:p w14:paraId="5E3A13F1" w14:textId="77777777" w:rsidR="00BE36D7" w:rsidRPr="007D0545" w:rsidRDefault="00BE36D7" w:rsidP="00CF55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7D0545">
        <w:rPr>
          <w:rFonts w:ascii="Cambria" w:hAnsi="Cambria"/>
          <w:sz w:val="20"/>
          <w:szCs w:val="20"/>
        </w:rPr>
        <w:t xml:space="preserve">They state that Mr. Sequoyah’s opening brief was due in September 2009 and </w:t>
      </w:r>
      <w:r w:rsidR="00D80440" w:rsidRPr="007D0545">
        <w:rPr>
          <w:rFonts w:ascii="Cambria" w:hAnsi="Cambria"/>
          <w:sz w:val="20"/>
          <w:szCs w:val="20"/>
        </w:rPr>
        <w:t xml:space="preserve">that </w:t>
      </w:r>
      <w:r w:rsidRPr="007D0545">
        <w:rPr>
          <w:rFonts w:ascii="Cambria" w:hAnsi="Cambria"/>
          <w:sz w:val="20"/>
          <w:szCs w:val="20"/>
        </w:rPr>
        <w:t xml:space="preserve">the due date was substantially delayed </w:t>
      </w:r>
      <w:r w:rsidR="00483697" w:rsidRPr="007D0545">
        <w:rPr>
          <w:rFonts w:ascii="Cambria" w:hAnsi="Cambria"/>
          <w:sz w:val="20"/>
          <w:szCs w:val="20"/>
        </w:rPr>
        <w:t>given</w:t>
      </w:r>
      <w:r w:rsidRPr="007D0545">
        <w:rPr>
          <w:rFonts w:ascii="Cambria" w:hAnsi="Cambria"/>
          <w:sz w:val="20"/>
          <w:szCs w:val="20"/>
        </w:rPr>
        <w:t xml:space="preserve"> the death of one of his attorneys. The date was subsequently changed to January 2011 following the retirement of one of the attorneys and the appointment of a new one. </w:t>
      </w:r>
      <w:r w:rsidR="00D2456B" w:rsidRPr="007D0545">
        <w:rPr>
          <w:rFonts w:ascii="Cambria" w:hAnsi="Cambria"/>
          <w:sz w:val="20"/>
          <w:szCs w:val="20"/>
        </w:rPr>
        <w:t>In their brief on the merits before the IACHR</w:t>
      </w:r>
      <w:r w:rsidR="00143E4B" w:rsidRPr="007D0545">
        <w:rPr>
          <w:rFonts w:ascii="Cambria" w:hAnsi="Cambria"/>
          <w:sz w:val="20"/>
          <w:szCs w:val="20"/>
        </w:rPr>
        <w:t>,</w:t>
      </w:r>
      <w:r w:rsidR="00D2456B" w:rsidRPr="007D0545">
        <w:rPr>
          <w:rFonts w:ascii="Cambria" w:hAnsi="Cambria"/>
          <w:sz w:val="20"/>
          <w:szCs w:val="20"/>
        </w:rPr>
        <w:t xml:space="preserve"> t</w:t>
      </w:r>
      <w:r w:rsidRPr="007D0545">
        <w:rPr>
          <w:rFonts w:ascii="Cambria" w:hAnsi="Cambria"/>
          <w:sz w:val="20"/>
          <w:szCs w:val="20"/>
        </w:rPr>
        <w:t>he petitioners argue</w:t>
      </w:r>
      <w:r w:rsidR="00D2456B" w:rsidRPr="007D0545">
        <w:rPr>
          <w:rFonts w:ascii="Cambria" w:hAnsi="Cambria"/>
          <w:sz w:val="20"/>
          <w:szCs w:val="20"/>
        </w:rPr>
        <w:t>d</w:t>
      </w:r>
      <w:r w:rsidRPr="007D0545">
        <w:rPr>
          <w:rFonts w:ascii="Cambria" w:hAnsi="Cambria"/>
          <w:sz w:val="20"/>
          <w:szCs w:val="20"/>
        </w:rPr>
        <w:t xml:space="preserve"> that</w:t>
      </w:r>
      <w:r w:rsidR="00D2456B" w:rsidRPr="007D0545">
        <w:rPr>
          <w:rFonts w:ascii="Cambria" w:hAnsi="Cambria"/>
          <w:sz w:val="20"/>
          <w:szCs w:val="20"/>
        </w:rPr>
        <w:t xml:space="preserve">, even if the target date was met, it was estimated that it would take at least five years for the appeal to be heard by the California Supreme Court given the immense backlog. They alleged that, under the best of circumstances, Mr. Sequoyah would have been on death row for 24 years before his first appeal would have been decided. </w:t>
      </w:r>
    </w:p>
    <w:p w14:paraId="751BE56E" w14:textId="77777777" w:rsidR="001C4006" w:rsidRPr="007D0545" w:rsidRDefault="001C4006" w:rsidP="00BB5A59">
      <w:pPr>
        <w:suppressAutoHyphens/>
        <w:ind w:left="1440" w:hanging="720"/>
        <w:rPr>
          <w:rFonts w:asciiTheme="majorHAnsi" w:hAnsiTheme="majorHAnsi"/>
          <w:sz w:val="20"/>
          <w:szCs w:val="20"/>
        </w:rPr>
      </w:pPr>
    </w:p>
    <w:p w14:paraId="4A3DA7D8" w14:textId="77777777" w:rsidR="001C4006" w:rsidRPr="007D0545" w:rsidRDefault="001C4006" w:rsidP="00390D19">
      <w:pPr>
        <w:pStyle w:val="Heading2"/>
        <w:numPr>
          <w:ilvl w:val="0"/>
          <w:numId w:val="58"/>
        </w:numPr>
        <w:spacing w:before="0"/>
        <w:ind w:left="1440" w:hanging="720"/>
        <w:rPr>
          <w:color w:val="auto"/>
          <w:sz w:val="20"/>
          <w:szCs w:val="20"/>
        </w:rPr>
      </w:pPr>
      <w:bookmarkStart w:id="3" w:name="_Toc26556082"/>
      <w:r w:rsidRPr="007D0545">
        <w:rPr>
          <w:color w:val="auto"/>
          <w:sz w:val="20"/>
          <w:szCs w:val="20"/>
        </w:rPr>
        <w:t>S</w:t>
      </w:r>
      <w:r w:rsidR="00262ECA" w:rsidRPr="007D0545">
        <w:rPr>
          <w:color w:val="auto"/>
          <w:sz w:val="20"/>
          <w:szCs w:val="20"/>
        </w:rPr>
        <w:t>tate</w:t>
      </w:r>
      <w:bookmarkEnd w:id="3"/>
    </w:p>
    <w:p w14:paraId="3A5CDF1D" w14:textId="77777777" w:rsidR="001C4006" w:rsidRPr="007D0545" w:rsidRDefault="001C4006" w:rsidP="001C4006">
      <w:pPr>
        <w:suppressAutoHyphens/>
        <w:rPr>
          <w:rFonts w:asciiTheme="majorHAnsi" w:hAnsiTheme="majorHAnsi"/>
          <w:sz w:val="20"/>
          <w:szCs w:val="20"/>
        </w:rPr>
      </w:pPr>
    </w:p>
    <w:p w14:paraId="17E8269E" w14:textId="77777777" w:rsidR="00D12D6C" w:rsidRPr="007D0545" w:rsidRDefault="009B1206" w:rsidP="000564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7D0545">
        <w:rPr>
          <w:rFonts w:ascii="Cambria" w:hAnsi="Cambria"/>
          <w:sz w:val="20"/>
          <w:szCs w:val="20"/>
        </w:rPr>
        <w:t>The United States submit</w:t>
      </w:r>
      <w:r w:rsidR="00CB13BC" w:rsidRPr="007D0545">
        <w:rPr>
          <w:rFonts w:ascii="Cambria" w:hAnsi="Cambria"/>
          <w:sz w:val="20"/>
          <w:szCs w:val="20"/>
        </w:rPr>
        <w:t>s</w:t>
      </w:r>
      <w:r w:rsidRPr="007D0545">
        <w:rPr>
          <w:rFonts w:ascii="Cambria" w:hAnsi="Cambria"/>
          <w:sz w:val="20"/>
          <w:szCs w:val="20"/>
        </w:rPr>
        <w:t xml:space="preserve"> that </w:t>
      </w:r>
      <w:r w:rsidR="00D07A1B" w:rsidRPr="007D0545">
        <w:rPr>
          <w:rFonts w:ascii="Cambria" w:hAnsi="Cambria"/>
          <w:sz w:val="20"/>
          <w:szCs w:val="20"/>
        </w:rPr>
        <w:t xml:space="preserve">the petitioners failed to demonstrate any facts that would constitute a violation of Mr. </w:t>
      </w:r>
      <w:r w:rsidR="00930ED0" w:rsidRPr="007D0545">
        <w:rPr>
          <w:rFonts w:ascii="Cambria" w:hAnsi="Cambria"/>
          <w:sz w:val="20"/>
          <w:szCs w:val="20"/>
        </w:rPr>
        <w:t>Sequoyah</w:t>
      </w:r>
      <w:r w:rsidR="00D07A1B" w:rsidRPr="007D0545">
        <w:rPr>
          <w:rFonts w:ascii="Cambria" w:hAnsi="Cambria"/>
          <w:sz w:val="20"/>
          <w:szCs w:val="20"/>
        </w:rPr>
        <w:t>’s rights under the American Declaration</w:t>
      </w:r>
      <w:r w:rsidR="00CB13BC" w:rsidRPr="007D0545">
        <w:rPr>
          <w:rFonts w:ascii="Cambria" w:hAnsi="Cambria"/>
          <w:sz w:val="20"/>
          <w:szCs w:val="20"/>
        </w:rPr>
        <w:t xml:space="preserve">. </w:t>
      </w:r>
      <w:r w:rsidR="00D12D6C" w:rsidRPr="007D0545">
        <w:rPr>
          <w:rFonts w:ascii="Cambria" w:hAnsi="Cambria"/>
          <w:sz w:val="20"/>
          <w:szCs w:val="20"/>
        </w:rPr>
        <w:t xml:space="preserve">It states that the U.S. appellate process and habeas corpus procedures afford those convicted of capital offenses a high level of internationally recognized protection. </w:t>
      </w:r>
    </w:p>
    <w:p w14:paraId="401E2F06" w14:textId="77777777" w:rsidR="00D12D6C" w:rsidRPr="007D0545" w:rsidRDefault="00D12D6C" w:rsidP="00D12D6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60FED8C9" w14:textId="77777777" w:rsidR="00F2328B" w:rsidRPr="007D0545" w:rsidRDefault="00C96BFF" w:rsidP="000564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7D0545">
        <w:rPr>
          <w:rFonts w:ascii="Cambria" w:hAnsi="Cambria"/>
          <w:sz w:val="20"/>
          <w:szCs w:val="20"/>
        </w:rPr>
        <w:t>Any perceived delay</w:t>
      </w:r>
      <w:r w:rsidR="007B4826" w:rsidRPr="007D0545">
        <w:rPr>
          <w:rFonts w:ascii="Cambria" w:hAnsi="Cambria"/>
          <w:sz w:val="20"/>
          <w:szCs w:val="20"/>
        </w:rPr>
        <w:t xml:space="preserve"> in the California Supreme Court’s adjudication of </w:t>
      </w:r>
      <w:r w:rsidR="00143E4B" w:rsidRPr="007D0545">
        <w:rPr>
          <w:rFonts w:ascii="Cambria" w:hAnsi="Cambria"/>
          <w:sz w:val="20"/>
          <w:szCs w:val="20"/>
        </w:rPr>
        <w:t>Mr. Sequoyah’s</w:t>
      </w:r>
      <w:r w:rsidR="007B4826" w:rsidRPr="007D0545">
        <w:rPr>
          <w:rFonts w:ascii="Cambria" w:hAnsi="Cambria"/>
          <w:sz w:val="20"/>
          <w:szCs w:val="20"/>
        </w:rPr>
        <w:t xml:space="preserve"> appeal results only from due process safeguards </w:t>
      </w:r>
      <w:r w:rsidR="00F7392C" w:rsidRPr="007D0545">
        <w:rPr>
          <w:rFonts w:ascii="Cambria" w:hAnsi="Cambria"/>
          <w:sz w:val="20"/>
          <w:szCs w:val="20"/>
        </w:rPr>
        <w:t>in place to preserve his right to legally challenge his conviction and sentencing</w:t>
      </w:r>
      <w:r w:rsidR="00143E4B" w:rsidRPr="007D0545">
        <w:rPr>
          <w:rFonts w:ascii="Cambria" w:hAnsi="Cambria"/>
          <w:sz w:val="20"/>
          <w:szCs w:val="20"/>
        </w:rPr>
        <w:t>,</w:t>
      </w:r>
      <w:r w:rsidR="00F7392C" w:rsidRPr="007D0545">
        <w:rPr>
          <w:rFonts w:ascii="Cambria" w:hAnsi="Cambria"/>
          <w:sz w:val="20"/>
          <w:szCs w:val="20"/>
        </w:rPr>
        <w:t xml:space="preserve"> as well as</w:t>
      </w:r>
      <w:r w:rsidR="007B4826" w:rsidRPr="007D0545">
        <w:rPr>
          <w:rFonts w:ascii="Cambria" w:hAnsi="Cambria"/>
          <w:sz w:val="20"/>
          <w:szCs w:val="20"/>
        </w:rPr>
        <w:t xml:space="preserve"> </w:t>
      </w:r>
      <w:r w:rsidR="00143E4B" w:rsidRPr="007D0545">
        <w:rPr>
          <w:rFonts w:ascii="Cambria" w:hAnsi="Cambria"/>
          <w:sz w:val="20"/>
          <w:szCs w:val="20"/>
        </w:rPr>
        <w:t>his</w:t>
      </w:r>
      <w:r w:rsidR="007B4826" w:rsidRPr="007D0545">
        <w:rPr>
          <w:rFonts w:ascii="Cambria" w:hAnsi="Cambria"/>
          <w:sz w:val="20"/>
          <w:szCs w:val="20"/>
        </w:rPr>
        <w:t xml:space="preserve"> extension requests. </w:t>
      </w:r>
      <w:r w:rsidR="000564E1" w:rsidRPr="007D0545">
        <w:rPr>
          <w:rFonts w:ascii="Cambria" w:hAnsi="Cambria"/>
          <w:sz w:val="20"/>
          <w:szCs w:val="20"/>
        </w:rPr>
        <w:t xml:space="preserve">Given that he has requested so many extensions of time to file his appellate brief, he cannot now claim that the consequent delay was cruel, infamous or unusual punishment. </w:t>
      </w:r>
      <w:r w:rsidR="0024379B" w:rsidRPr="007D0545">
        <w:rPr>
          <w:rFonts w:ascii="Cambria" w:hAnsi="Cambria"/>
          <w:sz w:val="20"/>
          <w:szCs w:val="20"/>
        </w:rPr>
        <w:t xml:space="preserve">Therefore, the State submits that </w:t>
      </w:r>
      <w:r w:rsidR="00143E4B" w:rsidRPr="007D0545">
        <w:rPr>
          <w:rFonts w:ascii="Cambria" w:hAnsi="Cambria"/>
          <w:sz w:val="20"/>
          <w:szCs w:val="20"/>
        </w:rPr>
        <w:t xml:space="preserve">the </w:t>
      </w:r>
      <w:r w:rsidR="0024379B" w:rsidRPr="007D0545">
        <w:rPr>
          <w:rFonts w:ascii="Cambria" w:hAnsi="Cambria"/>
          <w:sz w:val="20"/>
          <w:szCs w:val="20"/>
        </w:rPr>
        <w:t>petitioners failed to state a claim under Article XXVI of the Declaration. It also alleges that d</w:t>
      </w:r>
      <w:r w:rsidR="007B4826" w:rsidRPr="007D0545">
        <w:rPr>
          <w:rFonts w:ascii="Cambria" w:hAnsi="Cambria"/>
          <w:sz w:val="20"/>
          <w:szCs w:val="20"/>
        </w:rPr>
        <w:t>elays caused by thorough judicial review are not inconsistent with the Declaration but rather</w:t>
      </w:r>
      <w:r w:rsidR="00F7392C" w:rsidRPr="007D0545">
        <w:rPr>
          <w:rFonts w:ascii="Cambria" w:hAnsi="Cambria"/>
          <w:sz w:val="20"/>
          <w:szCs w:val="20"/>
        </w:rPr>
        <w:t>, according to the State,</w:t>
      </w:r>
      <w:r w:rsidR="007B4826" w:rsidRPr="007D0545">
        <w:rPr>
          <w:rFonts w:ascii="Cambria" w:hAnsi="Cambria"/>
          <w:sz w:val="20"/>
          <w:szCs w:val="20"/>
        </w:rPr>
        <w:t xml:space="preserve"> evidence of the United States’ commitment to due process of law</w:t>
      </w:r>
      <w:r w:rsidR="00F7392C" w:rsidRPr="007D0545">
        <w:rPr>
          <w:rFonts w:ascii="Cambria" w:hAnsi="Cambria"/>
          <w:sz w:val="20"/>
          <w:szCs w:val="20"/>
        </w:rPr>
        <w:t xml:space="preserve">. </w:t>
      </w:r>
      <w:r w:rsidR="000564E1" w:rsidRPr="007D0545">
        <w:rPr>
          <w:rFonts w:ascii="Cambria" w:hAnsi="Cambria"/>
          <w:sz w:val="20"/>
          <w:szCs w:val="20"/>
        </w:rPr>
        <w:t>The State further notes that i</w:t>
      </w:r>
      <w:r w:rsidR="00CB13BC" w:rsidRPr="007D0545">
        <w:rPr>
          <w:rFonts w:ascii="Cambria" w:hAnsi="Cambria"/>
          <w:sz w:val="20"/>
          <w:szCs w:val="20"/>
        </w:rPr>
        <w:t xml:space="preserve">f the California Supreme Court affirms </w:t>
      </w:r>
      <w:r w:rsidR="0024379B" w:rsidRPr="007D0545">
        <w:rPr>
          <w:rFonts w:ascii="Cambria" w:hAnsi="Cambria"/>
          <w:sz w:val="20"/>
          <w:szCs w:val="20"/>
        </w:rPr>
        <w:t>the</w:t>
      </w:r>
      <w:r w:rsidR="00CB13BC" w:rsidRPr="007D0545">
        <w:rPr>
          <w:rFonts w:ascii="Cambria" w:hAnsi="Cambria"/>
          <w:sz w:val="20"/>
          <w:szCs w:val="20"/>
        </w:rPr>
        <w:t xml:space="preserve"> conviction, </w:t>
      </w:r>
      <w:r w:rsidR="0024379B" w:rsidRPr="007D0545">
        <w:rPr>
          <w:rFonts w:ascii="Cambria" w:hAnsi="Cambria"/>
          <w:sz w:val="20"/>
          <w:szCs w:val="20"/>
        </w:rPr>
        <w:t>Mr. Sequoyah</w:t>
      </w:r>
      <w:r w:rsidR="00CB13BC" w:rsidRPr="007D0545">
        <w:rPr>
          <w:rFonts w:ascii="Cambria" w:hAnsi="Cambria"/>
          <w:sz w:val="20"/>
          <w:szCs w:val="20"/>
        </w:rPr>
        <w:t xml:space="preserve"> may pursue federal causes of action to challenge his detention or any perceived delays.</w:t>
      </w:r>
      <w:r w:rsidR="00F2328B" w:rsidRPr="007D0545">
        <w:rPr>
          <w:rFonts w:ascii="Cambria" w:hAnsi="Cambria"/>
          <w:sz w:val="20"/>
          <w:szCs w:val="20"/>
        </w:rPr>
        <w:t xml:space="preserve"> </w:t>
      </w:r>
    </w:p>
    <w:p w14:paraId="2BCF8E88" w14:textId="77777777" w:rsidR="00454492" w:rsidRPr="007D0545" w:rsidRDefault="00454492" w:rsidP="0045449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549BC661" w14:textId="77777777" w:rsidR="00C1525C" w:rsidRPr="007D0545" w:rsidRDefault="00454492" w:rsidP="000564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7D0545">
        <w:rPr>
          <w:rFonts w:ascii="Cambria" w:hAnsi="Cambria"/>
          <w:sz w:val="20"/>
          <w:szCs w:val="20"/>
        </w:rPr>
        <w:t>The State also alleges that the IACHR has only applied the “undue delay” provision of Article XXV of the Declaration to refer to pre-trial delay, and that it “has never held that any perceived delays between sentence and execution constitute “undue delay”, let alone those that are caused by commitment to due process or engendered in petitioner’s own actions.”</w:t>
      </w:r>
      <w:r w:rsidR="006B0169" w:rsidRPr="007D0545">
        <w:rPr>
          <w:rFonts w:ascii="Cambria" w:hAnsi="Cambria"/>
          <w:sz w:val="20"/>
          <w:szCs w:val="20"/>
        </w:rPr>
        <w:t xml:space="preserve"> It further submits that </w:t>
      </w:r>
      <w:r w:rsidR="00143E4B" w:rsidRPr="007D0545">
        <w:rPr>
          <w:rFonts w:ascii="Cambria" w:hAnsi="Cambria"/>
          <w:sz w:val="20"/>
          <w:szCs w:val="20"/>
        </w:rPr>
        <w:t xml:space="preserve">the </w:t>
      </w:r>
      <w:r w:rsidR="006B0169" w:rsidRPr="007D0545">
        <w:rPr>
          <w:rFonts w:ascii="Cambria" w:hAnsi="Cambria"/>
          <w:sz w:val="20"/>
          <w:szCs w:val="20"/>
        </w:rPr>
        <w:t xml:space="preserve">petitioners fail to establish any facts that suggest that due process safeguards fail to afford Mr. Sequoyah the “protection of the courts” </w:t>
      </w:r>
      <w:r w:rsidR="009D561E" w:rsidRPr="007D0545">
        <w:rPr>
          <w:rFonts w:ascii="Cambria" w:hAnsi="Cambria"/>
          <w:sz w:val="20"/>
          <w:szCs w:val="20"/>
        </w:rPr>
        <w:t xml:space="preserve">or “a prompt decision” </w:t>
      </w:r>
      <w:r w:rsidR="006B0169" w:rsidRPr="007D0545">
        <w:rPr>
          <w:rFonts w:ascii="Cambria" w:hAnsi="Cambria"/>
          <w:sz w:val="20"/>
          <w:szCs w:val="20"/>
        </w:rPr>
        <w:t>referenced in Article</w:t>
      </w:r>
      <w:r w:rsidR="009D561E" w:rsidRPr="007D0545">
        <w:rPr>
          <w:rFonts w:ascii="Cambria" w:hAnsi="Cambria"/>
          <w:sz w:val="20"/>
          <w:szCs w:val="20"/>
        </w:rPr>
        <w:t>s</w:t>
      </w:r>
      <w:r w:rsidR="006B0169" w:rsidRPr="007D0545">
        <w:rPr>
          <w:rFonts w:ascii="Cambria" w:hAnsi="Cambria"/>
          <w:sz w:val="20"/>
          <w:szCs w:val="20"/>
        </w:rPr>
        <w:t xml:space="preserve"> XVIII</w:t>
      </w:r>
      <w:r w:rsidR="009D561E" w:rsidRPr="007D0545">
        <w:rPr>
          <w:rFonts w:ascii="Cambria" w:hAnsi="Cambria"/>
          <w:sz w:val="20"/>
          <w:szCs w:val="20"/>
        </w:rPr>
        <w:t xml:space="preserve"> and XXIV</w:t>
      </w:r>
      <w:r w:rsidR="006B0169" w:rsidRPr="007D0545">
        <w:rPr>
          <w:rFonts w:ascii="Cambria" w:hAnsi="Cambria"/>
          <w:sz w:val="20"/>
          <w:szCs w:val="20"/>
        </w:rPr>
        <w:t xml:space="preserve"> of the Declaration. </w:t>
      </w:r>
      <w:r w:rsidR="00C1525C" w:rsidRPr="007D0545">
        <w:rPr>
          <w:rFonts w:ascii="Cambria" w:hAnsi="Cambria"/>
          <w:sz w:val="20"/>
          <w:szCs w:val="20"/>
        </w:rPr>
        <w:t>Finally, the State submits that the petitioners have not provided any facts to support an Article I claim based on “arbitrary deprivation of life.”</w:t>
      </w:r>
    </w:p>
    <w:p w14:paraId="7716624F" w14:textId="77777777" w:rsidR="0004390C" w:rsidRPr="007D0545" w:rsidRDefault="0004390C" w:rsidP="00BB5A59">
      <w:pPr>
        <w:pStyle w:val="ListParagraph"/>
        <w:rPr>
          <w:rFonts w:asciiTheme="majorHAnsi" w:hAnsiTheme="majorHAnsi"/>
          <w:color w:val="auto"/>
          <w:sz w:val="20"/>
          <w:szCs w:val="20"/>
        </w:rPr>
      </w:pPr>
    </w:p>
    <w:p w14:paraId="30C66032" w14:textId="77777777" w:rsidR="001C4006" w:rsidRPr="007D0545" w:rsidRDefault="001C4006" w:rsidP="00BB5A59">
      <w:pPr>
        <w:pStyle w:val="Heading1"/>
        <w:spacing w:before="0"/>
        <w:ind w:left="1440" w:hanging="720"/>
        <w:rPr>
          <w:color w:val="auto"/>
          <w:sz w:val="20"/>
          <w:szCs w:val="20"/>
        </w:rPr>
      </w:pPr>
      <w:bookmarkStart w:id="4" w:name="_Toc26556083"/>
      <w:r w:rsidRPr="007D0545">
        <w:rPr>
          <w:color w:val="auto"/>
          <w:sz w:val="20"/>
          <w:szCs w:val="20"/>
        </w:rPr>
        <w:t>FINDINGS OF FACT</w:t>
      </w:r>
      <w:bookmarkEnd w:id="4"/>
    </w:p>
    <w:p w14:paraId="45651C6E" w14:textId="77777777" w:rsidR="001C4006" w:rsidRPr="007D0545" w:rsidRDefault="001C4006" w:rsidP="00BB5A59">
      <w:pPr>
        <w:rPr>
          <w:rFonts w:asciiTheme="majorHAnsi" w:hAnsiTheme="majorHAnsi"/>
          <w:b/>
          <w:sz w:val="20"/>
          <w:szCs w:val="20"/>
        </w:rPr>
      </w:pPr>
    </w:p>
    <w:p w14:paraId="53007FA0" w14:textId="77777777" w:rsidR="00E7126F" w:rsidRPr="007D0545" w:rsidRDefault="0004390C" w:rsidP="00E712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rPr>
      </w:pPr>
      <w:r w:rsidRPr="007D0545">
        <w:rPr>
          <w:rFonts w:ascii="Cambria" w:hAnsi="Cambria"/>
          <w:sz w:val="20"/>
          <w:szCs w:val="20"/>
        </w:rPr>
        <w:t xml:space="preserve">In application of Article 43(1) of its Rules of Procedure, the IACHR will examine the arguments and evidence provided by the petitioners and the State. Likewise, the Commission will take into account publicly available information that may be relevant </w:t>
      </w:r>
      <w:r w:rsidR="00143E4B" w:rsidRPr="007D0545">
        <w:rPr>
          <w:rFonts w:ascii="Cambria" w:hAnsi="Cambria"/>
          <w:sz w:val="20"/>
          <w:szCs w:val="20"/>
        </w:rPr>
        <w:t xml:space="preserve">to </w:t>
      </w:r>
      <w:r w:rsidRPr="007D0545">
        <w:rPr>
          <w:rFonts w:ascii="Cambria" w:hAnsi="Cambria"/>
          <w:sz w:val="20"/>
          <w:szCs w:val="20"/>
        </w:rPr>
        <w:t>the analysis and decision of the instant case.</w:t>
      </w:r>
    </w:p>
    <w:p w14:paraId="552D0AE5" w14:textId="77777777" w:rsidR="00E7126F" w:rsidRPr="007D0545" w:rsidRDefault="00E7126F" w:rsidP="00F434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3C07D101" w14:textId="77777777" w:rsidR="00E7126F" w:rsidRPr="007D0545" w:rsidRDefault="00E7126F" w:rsidP="00F434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12E9D6BA" w14:textId="77777777" w:rsidR="00E7126F" w:rsidRPr="007D0545" w:rsidRDefault="00E7126F" w:rsidP="00F434F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2FDF5C5D" w14:textId="77777777" w:rsidR="00526204" w:rsidRPr="007D0545" w:rsidRDefault="00526204" w:rsidP="00390D19">
      <w:pPr>
        <w:pStyle w:val="Heading2"/>
        <w:numPr>
          <w:ilvl w:val="0"/>
          <w:numId w:val="59"/>
        </w:numPr>
        <w:ind w:left="1440" w:hanging="720"/>
        <w:rPr>
          <w:color w:val="auto"/>
          <w:sz w:val="20"/>
          <w:szCs w:val="20"/>
        </w:rPr>
      </w:pPr>
      <w:bookmarkStart w:id="5" w:name="_Toc26556084"/>
      <w:r w:rsidRPr="007D0545">
        <w:rPr>
          <w:color w:val="auto"/>
          <w:sz w:val="20"/>
          <w:szCs w:val="20"/>
        </w:rPr>
        <w:lastRenderedPageBreak/>
        <w:t>Legal framework</w:t>
      </w:r>
      <w:bookmarkEnd w:id="5"/>
    </w:p>
    <w:p w14:paraId="26E71781" w14:textId="77777777" w:rsidR="00C53F60" w:rsidRPr="007D0545" w:rsidRDefault="00C53F60" w:rsidP="00C53F60"/>
    <w:p w14:paraId="0A7D80CA" w14:textId="77777777" w:rsidR="00C53F60" w:rsidRPr="007D0545" w:rsidRDefault="00C53F60" w:rsidP="00C53F60">
      <w:pPr>
        <w:pStyle w:val="ListParagraph"/>
        <w:numPr>
          <w:ilvl w:val="0"/>
          <w:numId w:val="55"/>
        </w:numPr>
        <w:ind w:left="0" w:firstLine="0"/>
        <w:jc w:val="both"/>
        <w:rPr>
          <w:sz w:val="20"/>
          <w:szCs w:val="20"/>
        </w:rPr>
      </w:pPr>
      <w:r w:rsidRPr="007D0545">
        <w:rPr>
          <w:sz w:val="20"/>
          <w:szCs w:val="20"/>
        </w:rPr>
        <w:t>Following the United States Supreme Court’s invalidation of capital punishment throughout the United States in 1972,</w:t>
      </w:r>
      <w:r w:rsidRPr="007D0545">
        <w:rPr>
          <w:rStyle w:val="FootnoteReference"/>
          <w:sz w:val="20"/>
          <w:szCs w:val="20"/>
        </w:rPr>
        <w:footnoteReference w:id="3"/>
      </w:r>
      <w:r w:rsidRPr="007D0545">
        <w:rPr>
          <w:sz w:val="20"/>
          <w:szCs w:val="20"/>
        </w:rPr>
        <w:t xml:space="preserve"> the death penalty was reinstated in California in 1978 and executions resumed in 1992. Among the circumstances which can warrant a death sentence are multiple murder, felony-murder, torture or killing a peace officer.</w:t>
      </w:r>
      <w:r w:rsidRPr="007D0545">
        <w:rPr>
          <w:rStyle w:val="FootnoteReference"/>
          <w:sz w:val="20"/>
          <w:szCs w:val="20"/>
        </w:rPr>
        <w:footnoteReference w:id="4"/>
      </w:r>
      <w:r w:rsidRPr="007D0545">
        <w:rPr>
          <w:sz w:val="20"/>
          <w:szCs w:val="20"/>
        </w:rPr>
        <w:t xml:space="preserve">  </w:t>
      </w:r>
    </w:p>
    <w:p w14:paraId="0BC27F75" w14:textId="77777777" w:rsidR="00C53F60" w:rsidRPr="007D0545" w:rsidRDefault="00C53F60" w:rsidP="00C53F60">
      <w:pPr>
        <w:pStyle w:val="ListParagraph"/>
        <w:ind w:left="0"/>
        <w:jc w:val="both"/>
        <w:rPr>
          <w:sz w:val="20"/>
          <w:szCs w:val="20"/>
        </w:rPr>
      </w:pPr>
    </w:p>
    <w:p w14:paraId="3FA05637" w14:textId="77777777" w:rsidR="00C53F60" w:rsidRPr="007D0545" w:rsidRDefault="00C53F60" w:rsidP="00C53F60">
      <w:pPr>
        <w:pStyle w:val="ListParagraph"/>
        <w:numPr>
          <w:ilvl w:val="0"/>
          <w:numId w:val="55"/>
        </w:numPr>
        <w:ind w:left="0" w:firstLine="0"/>
        <w:jc w:val="both"/>
        <w:rPr>
          <w:sz w:val="20"/>
          <w:szCs w:val="20"/>
        </w:rPr>
      </w:pPr>
      <w:r w:rsidRPr="007D0545">
        <w:rPr>
          <w:sz w:val="20"/>
          <w:szCs w:val="20"/>
        </w:rPr>
        <w:t>A defendant who is sentenced to death is entitled to an automatic, non-waivable, direct appeal to the California Supreme Court. The record of the trial, including all of the papers filed in the trial court, the evidence presented at trial, and the written report of all the trial testimony, is compiled and filed in the Supreme Court. If the court affirms the conviction and sentence, the defendant may petition the United States Supreme Court for a writ of certiorari. If the writ is denied, the defendant’s direct appeal is complete.</w:t>
      </w:r>
      <w:r w:rsidRPr="007D0545">
        <w:rPr>
          <w:rStyle w:val="FootnoteReference"/>
          <w:sz w:val="20"/>
          <w:szCs w:val="20"/>
        </w:rPr>
        <w:footnoteReference w:id="5"/>
      </w:r>
    </w:p>
    <w:p w14:paraId="051843FE" w14:textId="77777777" w:rsidR="00C53F60" w:rsidRPr="007D0545" w:rsidRDefault="00C53F60" w:rsidP="00C53F60">
      <w:pPr>
        <w:pStyle w:val="ListParagraph"/>
        <w:rPr>
          <w:sz w:val="20"/>
          <w:szCs w:val="20"/>
        </w:rPr>
      </w:pPr>
    </w:p>
    <w:p w14:paraId="0EF509BE" w14:textId="77777777" w:rsidR="00C53F60" w:rsidRPr="007D0545" w:rsidRDefault="00C53F60" w:rsidP="00C53F60">
      <w:pPr>
        <w:pStyle w:val="ListParagraph"/>
        <w:numPr>
          <w:ilvl w:val="0"/>
          <w:numId w:val="55"/>
        </w:numPr>
        <w:ind w:left="0" w:firstLine="0"/>
        <w:jc w:val="both"/>
        <w:rPr>
          <w:sz w:val="20"/>
          <w:szCs w:val="20"/>
        </w:rPr>
      </w:pPr>
      <w:r w:rsidRPr="007D0545">
        <w:rPr>
          <w:sz w:val="20"/>
          <w:szCs w:val="20"/>
        </w:rPr>
        <w:t>A defendant sentenced to death is also entitled to seek habeas corpus review. State habeas corpus review differs from the direct appeal in that the defendant may raise claims based on facts outside the trial record. If the California Supreme Court rules against the defendant, a writ of certiorari can be filed before the United States Supreme Court. After the California Supreme Court denies relief in the direct appeal and any companion state habeas petition, the trial court sets an execution date within 60 to 90 days from the date of the order.</w:t>
      </w:r>
      <w:r w:rsidRPr="007D0545">
        <w:rPr>
          <w:rStyle w:val="FootnoteReference"/>
          <w:sz w:val="20"/>
          <w:szCs w:val="20"/>
        </w:rPr>
        <w:footnoteReference w:id="6"/>
      </w:r>
    </w:p>
    <w:p w14:paraId="698386C7" w14:textId="77777777" w:rsidR="00C53F60" w:rsidRPr="007D0545" w:rsidRDefault="00C53F60" w:rsidP="00C53F60">
      <w:pPr>
        <w:pStyle w:val="ListParagraph"/>
        <w:ind w:left="0"/>
        <w:jc w:val="both"/>
        <w:rPr>
          <w:sz w:val="20"/>
          <w:szCs w:val="20"/>
        </w:rPr>
      </w:pPr>
    </w:p>
    <w:p w14:paraId="75D66871" w14:textId="77777777" w:rsidR="00376244" w:rsidRPr="007D0545" w:rsidRDefault="00C53F60" w:rsidP="00376244">
      <w:pPr>
        <w:pStyle w:val="ListParagraph"/>
        <w:numPr>
          <w:ilvl w:val="0"/>
          <w:numId w:val="55"/>
        </w:numPr>
        <w:ind w:left="0" w:firstLine="0"/>
        <w:jc w:val="both"/>
        <w:rPr>
          <w:sz w:val="20"/>
          <w:szCs w:val="20"/>
        </w:rPr>
      </w:pPr>
      <w:r w:rsidRPr="007D0545">
        <w:rPr>
          <w:sz w:val="20"/>
          <w:szCs w:val="20"/>
        </w:rPr>
        <w:t xml:space="preserve">Under federal law, after state claims have been reviewed, the defendant may file, generally within a year after the state proceedings ended, a petition before the United States District Court arguing that the conviction and/or sentence should be overturned because the conviction was obtained in violation of the defendant’s federal constitutional rights. If the court denies relief, the defendant may appeal the district court’s decision to the United States Court of Appeals for the Ninth Circuit. If the Ninth Circuit affirms the district court’s decision, the defendant may seek a rehearing by the same three-judge panel of the Ninth Circuit or suggest an </w:t>
      </w:r>
      <w:r w:rsidRPr="007D0545">
        <w:rPr>
          <w:i/>
          <w:sz w:val="20"/>
          <w:szCs w:val="20"/>
        </w:rPr>
        <w:t>en banc</w:t>
      </w:r>
      <w:r w:rsidRPr="007D0545">
        <w:rPr>
          <w:sz w:val="20"/>
          <w:szCs w:val="20"/>
        </w:rPr>
        <w:t xml:space="preserve"> hearing (review by 11 judges of the Ninth Circuit). If denied, the defendant may petition the United States Supreme Court to review the case. If the Supreme Court denies certiorari relief in the federal habeas case, the trial court sets an execution date within 30 to 60 days from the date of the order.</w:t>
      </w:r>
      <w:r w:rsidRPr="007D0545">
        <w:rPr>
          <w:rStyle w:val="FootnoteReference"/>
          <w:sz w:val="20"/>
          <w:szCs w:val="20"/>
        </w:rPr>
        <w:footnoteReference w:id="7"/>
      </w:r>
      <w:r w:rsidRPr="007D0545">
        <w:rPr>
          <w:sz w:val="20"/>
          <w:szCs w:val="20"/>
        </w:rPr>
        <w:t xml:space="preserve"> After the appellate process is complete, a defendant may seek executive clemency before the Governor. </w:t>
      </w:r>
    </w:p>
    <w:p w14:paraId="3D71A353" w14:textId="77777777" w:rsidR="00376244" w:rsidRPr="007D0545" w:rsidRDefault="00376244" w:rsidP="00376244">
      <w:pPr>
        <w:pStyle w:val="ListParagraph"/>
        <w:rPr>
          <w:sz w:val="20"/>
          <w:szCs w:val="20"/>
        </w:rPr>
      </w:pPr>
    </w:p>
    <w:p w14:paraId="4B936CC3" w14:textId="77777777" w:rsidR="001C4006" w:rsidRPr="007D0545" w:rsidRDefault="002A7A01" w:rsidP="00390D19">
      <w:pPr>
        <w:pStyle w:val="Heading2"/>
        <w:numPr>
          <w:ilvl w:val="0"/>
          <w:numId w:val="59"/>
        </w:numPr>
        <w:spacing w:before="0"/>
        <w:ind w:left="1440" w:hanging="720"/>
        <w:jc w:val="both"/>
        <w:rPr>
          <w:color w:val="auto"/>
          <w:sz w:val="20"/>
          <w:szCs w:val="20"/>
        </w:rPr>
      </w:pPr>
      <w:bookmarkStart w:id="6" w:name="_Toc26556085"/>
      <w:r w:rsidRPr="007D0545">
        <w:rPr>
          <w:color w:val="auto"/>
          <w:sz w:val="20"/>
          <w:szCs w:val="20"/>
        </w:rPr>
        <w:t>P</w:t>
      </w:r>
      <w:r w:rsidR="00482644" w:rsidRPr="007D0545">
        <w:rPr>
          <w:color w:val="auto"/>
          <w:sz w:val="20"/>
          <w:szCs w:val="20"/>
        </w:rPr>
        <w:t>retrial proceedings</w:t>
      </w:r>
      <w:r w:rsidRPr="007D0545">
        <w:rPr>
          <w:color w:val="auto"/>
          <w:sz w:val="20"/>
          <w:szCs w:val="20"/>
        </w:rPr>
        <w:t xml:space="preserve"> regarding competency to stand trial and to </w:t>
      </w:r>
      <w:r w:rsidR="00CC5E13" w:rsidRPr="007D0545">
        <w:rPr>
          <w:color w:val="auto"/>
          <w:sz w:val="20"/>
          <w:szCs w:val="20"/>
        </w:rPr>
        <w:t>self-represent</w:t>
      </w:r>
      <w:bookmarkEnd w:id="6"/>
      <w:r w:rsidR="00482644" w:rsidRPr="007D0545">
        <w:rPr>
          <w:color w:val="auto"/>
          <w:sz w:val="20"/>
          <w:szCs w:val="20"/>
        </w:rPr>
        <w:t xml:space="preserve"> </w:t>
      </w:r>
    </w:p>
    <w:p w14:paraId="71C044DC" w14:textId="77777777" w:rsidR="00C7275B" w:rsidRPr="007D0545" w:rsidRDefault="00C7275B" w:rsidP="003762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781EABD2" w14:textId="77777777" w:rsidR="00207544" w:rsidRPr="007D0545" w:rsidRDefault="00893E44" w:rsidP="00C77F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ind w:left="0" w:firstLine="0"/>
        <w:jc w:val="both"/>
        <w:textAlignment w:val="baseline"/>
        <w:rPr>
          <w:rFonts w:ascii="Cambria" w:hAnsi="Cambria"/>
          <w:sz w:val="20"/>
          <w:szCs w:val="20"/>
        </w:rPr>
      </w:pPr>
      <w:r w:rsidRPr="007D0545">
        <w:rPr>
          <w:rFonts w:ascii="Cambria" w:hAnsi="Cambria"/>
          <w:sz w:val="20"/>
          <w:szCs w:val="20"/>
        </w:rPr>
        <w:t>According to publicly available information, o</w:t>
      </w:r>
      <w:r w:rsidR="00207544" w:rsidRPr="007D0545">
        <w:rPr>
          <w:rFonts w:ascii="Cambria" w:hAnsi="Cambria"/>
          <w:sz w:val="20"/>
          <w:szCs w:val="20"/>
        </w:rPr>
        <w:t>n January 3, 1986, a federal warrant charged Mr. Sequoyah with unlawful flight to avoid prosecution for murder, attempted murder, robbery, burglary</w:t>
      </w:r>
      <w:r w:rsidR="00666AEF" w:rsidRPr="007D0545">
        <w:rPr>
          <w:rFonts w:ascii="Cambria" w:hAnsi="Cambria"/>
          <w:sz w:val="20"/>
          <w:szCs w:val="20"/>
        </w:rPr>
        <w:t>,</w:t>
      </w:r>
      <w:r w:rsidR="00207544" w:rsidRPr="007D0545">
        <w:rPr>
          <w:rFonts w:ascii="Cambria" w:hAnsi="Cambria"/>
          <w:sz w:val="20"/>
          <w:szCs w:val="20"/>
        </w:rPr>
        <w:t xml:space="preserve"> rape and arson. He </w:t>
      </w:r>
      <w:r w:rsidR="00C7275B" w:rsidRPr="007D0545">
        <w:rPr>
          <w:rFonts w:ascii="Cambria" w:hAnsi="Cambria"/>
          <w:sz w:val="20"/>
          <w:szCs w:val="20"/>
        </w:rPr>
        <w:t xml:space="preserve">was arrested in </w:t>
      </w:r>
      <w:r w:rsidR="0003022F" w:rsidRPr="007D0545">
        <w:rPr>
          <w:rFonts w:ascii="Cambria" w:hAnsi="Cambria"/>
          <w:sz w:val="20"/>
          <w:szCs w:val="20"/>
        </w:rPr>
        <w:t xml:space="preserve">June </w:t>
      </w:r>
      <w:r w:rsidR="00C7275B" w:rsidRPr="007D0545">
        <w:rPr>
          <w:rFonts w:ascii="Cambria" w:hAnsi="Cambria"/>
          <w:sz w:val="20"/>
          <w:szCs w:val="20"/>
        </w:rPr>
        <w:t>1986</w:t>
      </w:r>
      <w:r w:rsidR="00CD36BA" w:rsidRPr="007D0545">
        <w:rPr>
          <w:rFonts w:ascii="Cambria" w:hAnsi="Cambria"/>
          <w:sz w:val="20"/>
          <w:szCs w:val="20"/>
        </w:rPr>
        <w:t xml:space="preserve"> in San Diego, California</w:t>
      </w:r>
      <w:r w:rsidR="00207544" w:rsidRPr="007D0545">
        <w:rPr>
          <w:rFonts w:ascii="Cambria" w:hAnsi="Cambria"/>
          <w:sz w:val="20"/>
          <w:szCs w:val="20"/>
        </w:rPr>
        <w:t>,</w:t>
      </w:r>
      <w:r w:rsidR="0003022F" w:rsidRPr="007D0545">
        <w:rPr>
          <w:rFonts w:ascii="Cambria" w:hAnsi="Cambria"/>
          <w:sz w:val="20"/>
          <w:szCs w:val="20"/>
        </w:rPr>
        <w:t xml:space="preserve"> </w:t>
      </w:r>
      <w:r w:rsidR="00207544" w:rsidRPr="007D0545">
        <w:rPr>
          <w:rFonts w:ascii="Cambria" w:hAnsi="Cambria"/>
          <w:sz w:val="20"/>
          <w:szCs w:val="20"/>
        </w:rPr>
        <w:t xml:space="preserve">after local police attempted to pull him over for a routine traffic citation. </w:t>
      </w:r>
    </w:p>
    <w:p w14:paraId="4BB299E4" w14:textId="77777777" w:rsidR="00207544" w:rsidRPr="007D0545" w:rsidRDefault="00207544" w:rsidP="00C77F47">
      <w:pPr>
        <w:pStyle w:val="ListParagraph"/>
        <w:ind w:left="0"/>
        <w:rPr>
          <w:sz w:val="20"/>
          <w:szCs w:val="20"/>
        </w:rPr>
      </w:pPr>
    </w:p>
    <w:p w14:paraId="1DC68A62" w14:textId="77777777" w:rsidR="00C53F60" w:rsidRPr="007D0545" w:rsidRDefault="00A31CB0" w:rsidP="00C77F47">
      <w:pPr>
        <w:pStyle w:val="ListParagraph"/>
        <w:numPr>
          <w:ilvl w:val="0"/>
          <w:numId w:val="55"/>
        </w:numPr>
        <w:ind w:left="0" w:firstLine="0"/>
        <w:jc w:val="both"/>
        <w:rPr>
          <w:sz w:val="20"/>
          <w:szCs w:val="20"/>
        </w:rPr>
      </w:pPr>
      <w:r w:rsidRPr="007D0545">
        <w:rPr>
          <w:sz w:val="20"/>
          <w:szCs w:val="20"/>
        </w:rPr>
        <w:t>I</w:t>
      </w:r>
      <w:r w:rsidR="0003022F" w:rsidRPr="007D0545">
        <w:rPr>
          <w:sz w:val="20"/>
          <w:szCs w:val="20"/>
        </w:rPr>
        <w:t xml:space="preserve">n March 1987 </w:t>
      </w:r>
      <w:r w:rsidR="00666AEF" w:rsidRPr="007D0545">
        <w:rPr>
          <w:sz w:val="20"/>
          <w:szCs w:val="20"/>
        </w:rPr>
        <w:t>Mr. Sequoyah</w:t>
      </w:r>
      <w:r w:rsidR="0003022F" w:rsidRPr="007D0545">
        <w:rPr>
          <w:sz w:val="20"/>
          <w:szCs w:val="20"/>
        </w:rPr>
        <w:t xml:space="preserve"> asked to represent himself</w:t>
      </w:r>
      <w:r w:rsidR="00C7275B" w:rsidRPr="007D0545">
        <w:rPr>
          <w:sz w:val="20"/>
          <w:szCs w:val="20"/>
        </w:rPr>
        <w:t>.</w:t>
      </w:r>
      <w:r w:rsidR="0003022F" w:rsidRPr="007D0545">
        <w:rPr>
          <w:sz w:val="20"/>
          <w:szCs w:val="20"/>
        </w:rPr>
        <w:t xml:space="preserve"> </w:t>
      </w:r>
      <w:r w:rsidR="00C53F60" w:rsidRPr="007D0545">
        <w:rPr>
          <w:sz w:val="20"/>
          <w:szCs w:val="20"/>
        </w:rPr>
        <w:t xml:space="preserve">In </w:t>
      </w:r>
      <w:r w:rsidR="00C53F60" w:rsidRPr="007D0545">
        <w:rPr>
          <w:i/>
          <w:sz w:val="20"/>
          <w:szCs w:val="20"/>
        </w:rPr>
        <w:t>Faretta v. California</w:t>
      </w:r>
      <w:r w:rsidR="00F83D11" w:rsidRPr="007D0545">
        <w:rPr>
          <w:sz w:val="20"/>
          <w:szCs w:val="20"/>
        </w:rPr>
        <w:t>,</w:t>
      </w:r>
      <w:r w:rsidR="00C53F60" w:rsidRPr="007D0545">
        <w:rPr>
          <w:sz w:val="20"/>
          <w:szCs w:val="20"/>
        </w:rPr>
        <w:t xml:space="preserve"> the Supreme Court of the United States held that the Sixth Amendment implied the right of self-representation in criminal prosecutions.</w:t>
      </w:r>
      <w:r w:rsidR="00C53F60" w:rsidRPr="007D0545">
        <w:rPr>
          <w:rStyle w:val="FootnoteReference"/>
          <w:sz w:val="20"/>
          <w:szCs w:val="20"/>
        </w:rPr>
        <w:footnoteReference w:id="8"/>
      </w:r>
      <w:r w:rsidR="00C53F60" w:rsidRPr="007D0545">
        <w:rPr>
          <w:sz w:val="20"/>
          <w:szCs w:val="20"/>
        </w:rPr>
        <w:t xml:space="preserve"> When there is a request for self-representation, the Court conducts a pretrial hearing to determine whether the defendant is knowingly and intelligently waiving the right to counsel.</w:t>
      </w:r>
    </w:p>
    <w:p w14:paraId="64B7A12C" w14:textId="77777777" w:rsidR="00C53F60" w:rsidRPr="007D0545" w:rsidRDefault="00C53F60" w:rsidP="00C77F47">
      <w:pPr>
        <w:pStyle w:val="ListParagraph"/>
        <w:ind w:left="0"/>
        <w:rPr>
          <w:sz w:val="20"/>
          <w:szCs w:val="20"/>
        </w:rPr>
      </w:pPr>
    </w:p>
    <w:p w14:paraId="73AF1170" w14:textId="77777777" w:rsidR="00B8664E" w:rsidRPr="007D0545" w:rsidRDefault="005A6E50" w:rsidP="00C77F4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 xml:space="preserve">The </w:t>
      </w:r>
      <w:r w:rsidR="00EB6B06" w:rsidRPr="007D0545">
        <w:rPr>
          <w:rFonts w:ascii="Cambria" w:hAnsi="Cambria"/>
          <w:sz w:val="20"/>
          <w:szCs w:val="20"/>
        </w:rPr>
        <w:t>Superior Court of San Diego</w:t>
      </w:r>
      <w:r w:rsidR="00A947C6" w:rsidRPr="007D0545">
        <w:rPr>
          <w:rFonts w:ascii="Cambria" w:hAnsi="Cambria"/>
          <w:sz w:val="20"/>
          <w:szCs w:val="20"/>
        </w:rPr>
        <w:t xml:space="preserve"> </w:t>
      </w:r>
      <w:r w:rsidR="00666AEF" w:rsidRPr="007D0545">
        <w:rPr>
          <w:rFonts w:ascii="Cambria" w:hAnsi="Cambria"/>
          <w:sz w:val="20"/>
          <w:szCs w:val="20"/>
        </w:rPr>
        <w:t>requested</w:t>
      </w:r>
      <w:r w:rsidR="00A947C6" w:rsidRPr="007D0545">
        <w:rPr>
          <w:rFonts w:ascii="Cambria" w:hAnsi="Cambria"/>
          <w:sz w:val="20"/>
          <w:szCs w:val="20"/>
        </w:rPr>
        <w:t xml:space="preserve"> Dr. Mark Kalish, physician and psychiatrist, to assess whether Mr. Sequoyah could competently waive his right to assistance of counsel and appear </w:t>
      </w:r>
      <w:r w:rsidR="00A947C6" w:rsidRPr="007D0545">
        <w:rPr>
          <w:rFonts w:ascii="Cambria" w:hAnsi="Cambria"/>
          <w:i/>
          <w:sz w:val="20"/>
          <w:szCs w:val="20"/>
        </w:rPr>
        <w:t>pro per</w:t>
      </w:r>
      <w:r w:rsidR="00A947C6" w:rsidRPr="007D0545">
        <w:rPr>
          <w:rFonts w:ascii="Cambria" w:hAnsi="Cambria"/>
          <w:sz w:val="20"/>
          <w:szCs w:val="20"/>
        </w:rPr>
        <w:t xml:space="preserve"> to represent himself. Dr. Kalish </w:t>
      </w:r>
      <w:r w:rsidR="002C3671" w:rsidRPr="007D0545">
        <w:rPr>
          <w:rFonts w:ascii="Cambria" w:hAnsi="Cambria"/>
          <w:sz w:val="20"/>
          <w:szCs w:val="20"/>
        </w:rPr>
        <w:t xml:space="preserve">examined Mr. Sequoyah on April 16 and 17, 1987, and </w:t>
      </w:r>
      <w:r w:rsidR="00B8664E" w:rsidRPr="007D0545">
        <w:rPr>
          <w:rFonts w:ascii="Cambria" w:hAnsi="Cambria"/>
          <w:sz w:val="20"/>
          <w:szCs w:val="20"/>
        </w:rPr>
        <w:t xml:space="preserve">concluded that he was not capable of being </w:t>
      </w:r>
      <w:r w:rsidR="00B8664E" w:rsidRPr="007D0545">
        <w:rPr>
          <w:rFonts w:ascii="Cambria" w:hAnsi="Cambria"/>
          <w:i/>
          <w:sz w:val="20"/>
          <w:szCs w:val="20"/>
        </w:rPr>
        <w:t>pro per</w:t>
      </w:r>
      <w:r w:rsidR="00B8664E" w:rsidRPr="007D0545">
        <w:rPr>
          <w:rFonts w:ascii="Cambria" w:hAnsi="Cambria"/>
          <w:sz w:val="20"/>
          <w:szCs w:val="20"/>
        </w:rPr>
        <w:t xml:space="preserve"> and also </w:t>
      </w:r>
      <w:r w:rsidR="00204924" w:rsidRPr="007D0545">
        <w:rPr>
          <w:rFonts w:ascii="Cambria" w:hAnsi="Cambria"/>
          <w:sz w:val="20"/>
          <w:szCs w:val="20"/>
        </w:rPr>
        <w:t xml:space="preserve">expressed his doubt </w:t>
      </w:r>
      <w:r w:rsidR="006E67F6" w:rsidRPr="007D0545">
        <w:rPr>
          <w:rFonts w:ascii="Cambria" w:hAnsi="Cambria"/>
          <w:sz w:val="20"/>
          <w:szCs w:val="20"/>
        </w:rPr>
        <w:t xml:space="preserve">to the court </w:t>
      </w:r>
      <w:r w:rsidR="00204924" w:rsidRPr="007D0545">
        <w:rPr>
          <w:rFonts w:ascii="Cambria" w:hAnsi="Cambria"/>
          <w:sz w:val="20"/>
          <w:szCs w:val="20"/>
        </w:rPr>
        <w:t xml:space="preserve">as to Mr. Sequoyah’s competency to stand </w:t>
      </w:r>
      <w:r w:rsidR="00204924" w:rsidRPr="007D0545">
        <w:rPr>
          <w:rFonts w:ascii="Cambria" w:hAnsi="Cambria"/>
          <w:sz w:val="20"/>
          <w:szCs w:val="20"/>
        </w:rPr>
        <w:lastRenderedPageBreak/>
        <w:t>trial.</w:t>
      </w:r>
      <w:r w:rsidR="00204924" w:rsidRPr="007D0545">
        <w:rPr>
          <w:rStyle w:val="FootnoteReference"/>
          <w:rFonts w:ascii="Cambria" w:hAnsi="Cambria"/>
          <w:sz w:val="20"/>
          <w:szCs w:val="20"/>
        </w:rPr>
        <w:footnoteReference w:id="9"/>
      </w:r>
      <w:r w:rsidR="00204924" w:rsidRPr="007D0545">
        <w:rPr>
          <w:rFonts w:ascii="Cambria" w:hAnsi="Cambria"/>
          <w:sz w:val="20"/>
          <w:szCs w:val="20"/>
        </w:rPr>
        <w:t xml:space="preserve"> </w:t>
      </w:r>
      <w:r w:rsidR="00EB6B06" w:rsidRPr="007D0545">
        <w:rPr>
          <w:rFonts w:ascii="Cambria" w:hAnsi="Cambria"/>
          <w:sz w:val="20"/>
          <w:szCs w:val="20"/>
        </w:rPr>
        <w:t>The court</w:t>
      </w:r>
      <w:r w:rsidR="00F56A40" w:rsidRPr="007D0545">
        <w:rPr>
          <w:rFonts w:ascii="Cambria" w:hAnsi="Cambria"/>
          <w:sz w:val="20"/>
          <w:szCs w:val="20"/>
        </w:rPr>
        <w:t xml:space="preserve"> thus</w:t>
      </w:r>
      <w:r w:rsidR="00204924" w:rsidRPr="007D0545">
        <w:rPr>
          <w:rFonts w:ascii="Cambria" w:hAnsi="Cambria"/>
          <w:sz w:val="20"/>
          <w:szCs w:val="20"/>
        </w:rPr>
        <w:t xml:space="preserve"> ordered </w:t>
      </w:r>
      <w:r w:rsidR="00B432D6" w:rsidRPr="007D0545">
        <w:rPr>
          <w:rFonts w:ascii="Cambria" w:hAnsi="Cambria"/>
          <w:sz w:val="20"/>
          <w:szCs w:val="20"/>
        </w:rPr>
        <w:t xml:space="preserve">California Penal Code </w:t>
      </w:r>
      <w:r w:rsidR="00DB5C3C" w:rsidRPr="007D0545">
        <w:rPr>
          <w:rFonts w:ascii="Cambria" w:hAnsi="Cambria"/>
          <w:sz w:val="20"/>
          <w:szCs w:val="20"/>
        </w:rPr>
        <w:t>Section</w:t>
      </w:r>
      <w:r w:rsidR="00B432D6" w:rsidRPr="007D0545">
        <w:rPr>
          <w:rFonts w:ascii="Cambria" w:hAnsi="Cambria"/>
          <w:sz w:val="20"/>
          <w:szCs w:val="20"/>
        </w:rPr>
        <w:t xml:space="preserve"> </w:t>
      </w:r>
      <w:r w:rsidR="00204924" w:rsidRPr="007D0545">
        <w:rPr>
          <w:rFonts w:ascii="Cambria" w:hAnsi="Cambria"/>
          <w:sz w:val="20"/>
          <w:szCs w:val="20"/>
        </w:rPr>
        <w:t>136</w:t>
      </w:r>
      <w:r w:rsidR="00D32D94" w:rsidRPr="007D0545">
        <w:rPr>
          <w:rFonts w:ascii="Cambria" w:hAnsi="Cambria"/>
          <w:sz w:val="20"/>
          <w:szCs w:val="20"/>
        </w:rPr>
        <w:t>8</w:t>
      </w:r>
      <w:r w:rsidR="00204924" w:rsidRPr="007D0545">
        <w:rPr>
          <w:rFonts w:ascii="Cambria" w:hAnsi="Cambria"/>
          <w:sz w:val="20"/>
          <w:szCs w:val="20"/>
        </w:rPr>
        <w:t xml:space="preserve"> proceedings</w:t>
      </w:r>
      <w:r w:rsidR="00B432D6" w:rsidRPr="007D0545">
        <w:rPr>
          <w:rFonts w:ascii="Cambria" w:hAnsi="Cambria"/>
          <w:sz w:val="20"/>
          <w:szCs w:val="20"/>
        </w:rPr>
        <w:t xml:space="preserve"> to establish whether Mr. Sequoyah was competent to stand trial</w:t>
      </w:r>
      <w:r w:rsidR="00204924" w:rsidRPr="007D0545">
        <w:rPr>
          <w:rFonts w:ascii="Cambria" w:hAnsi="Cambria"/>
          <w:sz w:val="20"/>
          <w:szCs w:val="20"/>
        </w:rPr>
        <w:t>.</w:t>
      </w:r>
      <w:r w:rsidR="00B432D6" w:rsidRPr="007D0545">
        <w:rPr>
          <w:rFonts w:ascii="Cambria" w:hAnsi="Cambria"/>
          <w:sz w:val="20"/>
          <w:szCs w:val="20"/>
        </w:rPr>
        <w:t xml:space="preserve"> </w:t>
      </w:r>
    </w:p>
    <w:p w14:paraId="1E3CEA94" w14:textId="77777777" w:rsidR="00DB5C3C" w:rsidRPr="007D0545" w:rsidRDefault="00DB5C3C" w:rsidP="00DB5C3C">
      <w:pPr>
        <w:pStyle w:val="ListParagraph"/>
        <w:rPr>
          <w:sz w:val="20"/>
          <w:szCs w:val="20"/>
        </w:rPr>
      </w:pPr>
    </w:p>
    <w:p w14:paraId="21FFF108" w14:textId="77777777" w:rsidR="00DB5C3C" w:rsidRPr="007D0545" w:rsidRDefault="00DB5C3C" w:rsidP="00A947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California Penal Code Section 1368</w:t>
      </w:r>
      <w:r w:rsidR="00C60644" w:rsidRPr="007D0545">
        <w:rPr>
          <w:rFonts w:ascii="Cambria" w:hAnsi="Cambria"/>
          <w:sz w:val="20"/>
          <w:szCs w:val="20"/>
        </w:rPr>
        <w:t xml:space="preserve"> establishes the following:</w:t>
      </w:r>
    </w:p>
    <w:p w14:paraId="72CE7B66" w14:textId="77777777" w:rsidR="00C60644" w:rsidRPr="007D0545" w:rsidRDefault="00C60644" w:rsidP="00C60644">
      <w:pPr>
        <w:pStyle w:val="ListParagraph"/>
        <w:ind w:right="720"/>
        <w:jc w:val="both"/>
        <w:rPr>
          <w:rFonts w:asciiTheme="majorHAnsi" w:hAnsiTheme="majorHAnsi"/>
          <w:color w:val="auto"/>
          <w:sz w:val="18"/>
          <w:szCs w:val="18"/>
        </w:rPr>
      </w:pPr>
    </w:p>
    <w:p w14:paraId="7660DA6F" w14:textId="77777777" w:rsidR="00C60644" w:rsidRPr="007D0545" w:rsidRDefault="00C60644" w:rsidP="00C60644">
      <w:pPr>
        <w:pStyle w:val="NormalWeb"/>
        <w:shd w:val="clear" w:color="auto" w:fill="FFFFFF"/>
        <w:spacing w:before="0" w:beforeAutospacing="0" w:after="0" w:afterAutospacing="0"/>
        <w:ind w:left="720" w:right="720"/>
        <w:jc w:val="both"/>
        <w:textAlignment w:val="baseline"/>
        <w:rPr>
          <w:rFonts w:asciiTheme="majorHAnsi" w:hAnsiTheme="majorHAnsi"/>
          <w:sz w:val="18"/>
          <w:szCs w:val="18"/>
        </w:rPr>
      </w:pPr>
      <w:r w:rsidRPr="007D0545">
        <w:rPr>
          <w:rFonts w:asciiTheme="majorHAnsi" w:hAnsiTheme="majorHAnsi"/>
          <w:sz w:val="18"/>
          <w:szCs w:val="18"/>
        </w:rPr>
        <w:t xml:space="preserve">(a) If, during the pendency of an action and prior to judgment, </w:t>
      </w:r>
      <w:r w:rsidR="007B19A1" w:rsidRPr="007D0545">
        <w:rPr>
          <w:rFonts w:asciiTheme="majorHAnsi" w:hAnsiTheme="majorHAnsi"/>
          <w:sz w:val="18"/>
          <w:szCs w:val="18"/>
        </w:rPr>
        <w:t>[…]</w:t>
      </w:r>
      <w:r w:rsidRPr="007D0545">
        <w:rPr>
          <w:rFonts w:asciiTheme="majorHAnsi" w:hAnsiTheme="majorHAnsi"/>
          <w:sz w:val="18"/>
          <w:szCs w:val="18"/>
        </w:rPr>
        <w:t xml:space="preserve"> a doubt arises in the mind of the judge as to the mental competence of the defendant, he or she shall state that doubt in the record and inquire of the attorney for the defendant whether, in the opinion of the attorney, the defendant is mentally competent. If the defendant is not represented by counsel, the court shall appoint counsel. At the request of the defendant or his or her counsel or upon its own motion, the court shall recess the proceedings for as long as may be reasonably necessary to permit counsel to confer with the defendant and to form an opinion as to the mental competence of the defendant at that point in time.</w:t>
      </w:r>
    </w:p>
    <w:p w14:paraId="7CA8C131" w14:textId="77777777" w:rsidR="00C60644" w:rsidRPr="007D0545" w:rsidRDefault="00C60644" w:rsidP="00C60644">
      <w:pPr>
        <w:pStyle w:val="NormalWeb"/>
        <w:shd w:val="clear" w:color="auto" w:fill="FFFFFF"/>
        <w:spacing w:before="0" w:beforeAutospacing="0" w:after="0" w:afterAutospacing="0"/>
        <w:ind w:left="720" w:right="720"/>
        <w:jc w:val="both"/>
        <w:textAlignment w:val="baseline"/>
        <w:rPr>
          <w:rFonts w:asciiTheme="majorHAnsi" w:hAnsiTheme="majorHAnsi"/>
          <w:sz w:val="18"/>
          <w:szCs w:val="18"/>
        </w:rPr>
      </w:pPr>
    </w:p>
    <w:p w14:paraId="71087227" w14:textId="77777777" w:rsidR="00C60644" w:rsidRPr="007D0545" w:rsidRDefault="00C60644" w:rsidP="00C60644">
      <w:pPr>
        <w:pStyle w:val="NormalWeb"/>
        <w:shd w:val="clear" w:color="auto" w:fill="FFFFFF"/>
        <w:spacing w:before="0" w:beforeAutospacing="0" w:after="0" w:afterAutospacing="0"/>
        <w:ind w:left="720" w:right="720"/>
        <w:jc w:val="both"/>
        <w:textAlignment w:val="baseline"/>
        <w:rPr>
          <w:rFonts w:asciiTheme="majorHAnsi" w:hAnsiTheme="majorHAnsi"/>
          <w:sz w:val="18"/>
          <w:szCs w:val="18"/>
        </w:rPr>
      </w:pPr>
      <w:r w:rsidRPr="007D0545">
        <w:rPr>
          <w:rFonts w:asciiTheme="majorHAnsi" w:hAnsiTheme="majorHAnsi"/>
          <w:sz w:val="18"/>
          <w:szCs w:val="18"/>
        </w:rPr>
        <w:t>(b) If counsel informs the court that he or she believes the defendant is or may be mentally incompetent, the court shall order that the question of the defendant’s mental competence is to be determined in a hearing which is held pursuant to Sections 1368.1 and 1369. If counsel informs the court that he or she believes the defendant is mentally competent, the court may nevertheless order a hearing. Any hearing shall be held in the superior court.</w:t>
      </w:r>
    </w:p>
    <w:p w14:paraId="6C103E06" w14:textId="77777777" w:rsidR="00C60644" w:rsidRPr="007D0545" w:rsidRDefault="00C60644" w:rsidP="00C60644">
      <w:pPr>
        <w:pStyle w:val="NormalWeb"/>
        <w:shd w:val="clear" w:color="auto" w:fill="FFFFFF"/>
        <w:spacing w:before="0" w:beforeAutospacing="0" w:after="0" w:afterAutospacing="0"/>
        <w:ind w:left="720" w:right="720"/>
        <w:jc w:val="both"/>
        <w:textAlignment w:val="baseline"/>
        <w:rPr>
          <w:rFonts w:asciiTheme="majorHAnsi" w:hAnsiTheme="majorHAnsi"/>
          <w:sz w:val="18"/>
          <w:szCs w:val="18"/>
        </w:rPr>
      </w:pPr>
    </w:p>
    <w:p w14:paraId="46284FC2" w14:textId="77777777" w:rsidR="00C60644" w:rsidRPr="007D0545" w:rsidRDefault="00C60644" w:rsidP="00C60644">
      <w:pPr>
        <w:pStyle w:val="NormalWeb"/>
        <w:shd w:val="clear" w:color="auto" w:fill="FFFFFF"/>
        <w:spacing w:before="0" w:beforeAutospacing="0" w:after="0" w:afterAutospacing="0"/>
        <w:ind w:left="720" w:right="720"/>
        <w:jc w:val="both"/>
        <w:textAlignment w:val="baseline"/>
        <w:rPr>
          <w:rFonts w:asciiTheme="majorHAnsi" w:hAnsiTheme="majorHAnsi"/>
          <w:sz w:val="18"/>
          <w:szCs w:val="18"/>
        </w:rPr>
      </w:pPr>
      <w:r w:rsidRPr="007D0545">
        <w:rPr>
          <w:rFonts w:asciiTheme="majorHAnsi" w:hAnsiTheme="majorHAnsi"/>
          <w:sz w:val="18"/>
          <w:szCs w:val="18"/>
        </w:rPr>
        <w:t>(c) Except as provided in Section 1368.1, when an order for a hearing into the present mental competence of the defendant has been issued, all proceedings in the criminal prosecution shall be suspended until the question of the present mental competence of the defendant has been determined.</w:t>
      </w:r>
    </w:p>
    <w:p w14:paraId="1388AEC1" w14:textId="77777777" w:rsidR="00C60644" w:rsidRPr="007D0545" w:rsidRDefault="00C60644" w:rsidP="00C60644">
      <w:pPr>
        <w:pStyle w:val="NormalWeb"/>
        <w:shd w:val="clear" w:color="auto" w:fill="FFFFFF"/>
        <w:spacing w:before="0" w:beforeAutospacing="0" w:after="0" w:afterAutospacing="0"/>
        <w:ind w:left="720" w:right="720"/>
        <w:jc w:val="both"/>
        <w:textAlignment w:val="baseline"/>
        <w:rPr>
          <w:rFonts w:asciiTheme="majorHAnsi" w:hAnsiTheme="majorHAnsi"/>
          <w:sz w:val="18"/>
          <w:szCs w:val="18"/>
        </w:rPr>
      </w:pPr>
      <w:r w:rsidRPr="007D0545">
        <w:rPr>
          <w:rFonts w:asciiTheme="majorHAnsi" w:hAnsiTheme="majorHAnsi"/>
          <w:sz w:val="18"/>
          <w:szCs w:val="18"/>
        </w:rPr>
        <w:t>If a jury has been impaneled and sworn to try the defendant, the jury shall be discharged only if it appears to the court that undue hardship to the jurors would result if the jury is retained on call.</w:t>
      </w:r>
    </w:p>
    <w:p w14:paraId="7DA4DD74" w14:textId="77777777" w:rsidR="00C60644" w:rsidRPr="007D0545" w:rsidRDefault="00C60644" w:rsidP="00C60644">
      <w:pPr>
        <w:pStyle w:val="NormalWeb"/>
        <w:shd w:val="clear" w:color="auto" w:fill="FFFFFF"/>
        <w:spacing w:before="0" w:beforeAutospacing="0" w:after="0" w:afterAutospacing="0"/>
        <w:ind w:left="720" w:right="720"/>
        <w:jc w:val="both"/>
        <w:textAlignment w:val="baseline"/>
        <w:rPr>
          <w:rFonts w:asciiTheme="majorHAnsi" w:hAnsiTheme="majorHAnsi"/>
          <w:sz w:val="18"/>
          <w:szCs w:val="18"/>
        </w:rPr>
      </w:pPr>
      <w:r w:rsidRPr="007D0545">
        <w:rPr>
          <w:rFonts w:asciiTheme="majorHAnsi" w:hAnsiTheme="majorHAnsi"/>
          <w:sz w:val="18"/>
          <w:szCs w:val="18"/>
        </w:rPr>
        <w:t>If the defendant is declared mentally incompetent, the jury shall be discharged.</w:t>
      </w:r>
    </w:p>
    <w:p w14:paraId="38D0A5F3" w14:textId="77777777" w:rsidR="00C60644" w:rsidRPr="007D0545" w:rsidRDefault="00C60644" w:rsidP="00C606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720" w:right="720"/>
        <w:jc w:val="both"/>
        <w:textAlignment w:val="baseline"/>
        <w:rPr>
          <w:rFonts w:asciiTheme="majorHAnsi" w:hAnsiTheme="majorHAnsi"/>
          <w:sz w:val="18"/>
          <w:szCs w:val="18"/>
        </w:rPr>
      </w:pPr>
    </w:p>
    <w:p w14:paraId="377B2A07" w14:textId="77777777" w:rsidR="003F7001" w:rsidRPr="007D0545" w:rsidRDefault="003F7001" w:rsidP="00A947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 xml:space="preserve">On August 19 and 20, 1987, the Superior Court of </w:t>
      </w:r>
      <w:r w:rsidR="00BD393F" w:rsidRPr="007D0545">
        <w:rPr>
          <w:rFonts w:ascii="Cambria" w:hAnsi="Cambria"/>
          <w:sz w:val="20"/>
          <w:szCs w:val="20"/>
        </w:rPr>
        <w:t>San Diego</w:t>
      </w:r>
      <w:r w:rsidRPr="007D0545">
        <w:rPr>
          <w:rFonts w:ascii="Cambria" w:hAnsi="Cambria"/>
          <w:sz w:val="20"/>
          <w:szCs w:val="20"/>
        </w:rPr>
        <w:t xml:space="preserve"> held a hearing on mental competency, in which it received, among others, the testimonies of the following witnesses</w:t>
      </w:r>
      <w:r w:rsidR="007B5867" w:rsidRPr="007D0545">
        <w:rPr>
          <w:rFonts w:ascii="Cambria" w:hAnsi="Cambria"/>
          <w:sz w:val="20"/>
          <w:szCs w:val="20"/>
        </w:rPr>
        <w:t xml:space="preserve"> in open court</w:t>
      </w:r>
      <w:r w:rsidRPr="007D0545">
        <w:rPr>
          <w:rFonts w:ascii="Cambria" w:hAnsi="Cambria"/>
          <w:sz w:val="20"/>
          <w:szCs w:val="20"/>
        </w:rPr>
        <w:t>:</w:t>
      </w:r>
    </w:p>
    <w:p w14:paraId="0B0824B7" w14:textId="77777777" w:rsidR="003F7001" w:rsidRPr="007D0545" w:rsidRDefault="003F7001" w:rsidP="003F70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52752F9C" w14:textId="77777777" w:rsidR="007B5867" w:rsidRPr="007D0545" w:rsidRDefault="00204924" w:rsidP="007B5867">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080"/>
        </w:tabs>
        <w:ind w:left="1080"/>
        <w:jc w:val="both"/>
        <w:textAlignment w:val="baseline"/>
        <w:rPr>
          <w:rFonts w:ascii="Cambria" w:hAnsi="Cambria"/>
          <w:sz w:val="20"/>
          <w:szCs w:val="20"/>
        </w:rPr>
      </w:pPr>
      <w:r w:rsidRPr="007D0545">
        <w:rPr>
          <w:rFonts w:ascii="Cambria" w:hAnsi="Cambria"/>
          <w:sz w:val="20"/>
          <w:szCs w:val="20"/>
        </w:rPr>
        <w:t>Dr. Kalish</w:t>
      </w:r>
      <w:r w:rsidR="003F7001" w:rsidRPr="007D0545">
        <w:rPr>
          <w:rFonts w:ascii="Cambria" w:hAnsi="Cambria"/>
          <w:sz w:val="20"/>
          <w:szCs w:val="20"/>
        </w:rPr>
        <w:t xml:space="preserve">. According to his </w:t>
      </w:r>
      <w:r w:rsidR="007B5867" w:rsidRPr="007D0545">
        <w:rPr>
          <w:rFonts w:ascii="Cambria" w:hAnsi="Cambria"/>
          <w:sz w:val="20"/>
          <w:szCs w:val="20"/>
        </w:rPr>
        <w:t>testimony,</w:t>
      </w:r>
      <w:r w:rsidR="00782E68" w:rsidRPr="007D0545">
        <w:rPr>
          <w:rFonts w:ascii="Cambria" w:hAnsi="Cambria"/>
          <w:sz w:val="20"/>
          <w:szCs w:val="20"/>
        </w:rPr>
        <w:t xml:space="preserve"> “it appeared that Mr. [Sequoyah] had a combination of an affective disorder, which is a disorder of his mood, and it also appeared that he was paranoid and had some thought disorder.”</w:t>
      </w:r>
      <w:r w:rsidR="00656FE7" w:rsidRPr="007D0545">
        <w:rPr>
          <w:rStyle w:val="FootnoteReference"/>
          <w:rFonts w:ascii="Cambria" w:hAnsi="Cambria"/>
          <w:sz w:val="20"/>
          <w:szCs w:val="20"/>
        </w:rPr>
        <w:footnoteReference w:id="10"/>
      </w:r>
      <w:r w:rsidR="00782E68" w:rsidRPr="007D0545">
        <w:rPr>
          <w:rFonts w:ascii="Cambria" w:hAnsi="Cambria"/>
          <w:sz w:val="20"/>
          <w:szCs w:val="20"/>
        </w:rPr>
        <w:t xml:space="preserve"> Dr. Kalish concluded that “the depression and the paranoia and the thought disorder all combined to severely impair his ability to relate to his attorney and did impair his ability to think clearly and assess the proceedings against him.”</w:t>
      </w:r>
      <w:r w:rsidR="0004681B" w:rsidRPr="007D0545">
        <w:rPr>
          <w:rStyle w:val="FootnoteReference"/>
          <w:rFonts w:ascii="Cambria" w:hAnsi="Cambria"/>
          <w:sz w:val="20"/>
          <w:szCs w:val="20"/>
        </w:rPr>
        <w:footnoteReference w:id="11"/>
      </w:r>
      <w:r w:rsidR="006E67F6" w:rsidRPr="007D0545">
        <w:rPr>
          <w:rFonts w:ascii="Cambria" w:hAnsi="Cambria"/>
          <w:sz w:val="20"/>
          <w:szCs w:val="20"/>
        </w:rPr>
        <w:t xml:space="preserve"> </w:t>
      </w:r>
    </w:p>
    <w:p w14:paraId="74B0572C" w14:textId="77777777" w:rsidR="007B5867" w:rsidRPr="007D0545" w:rsidRDefault="007B5867" w:rsidP="007B58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080"/>
        </w:tabs>
        <w:ind w:left="1080"/>
        <w:jc w:val="both"/>
        <w:textAlignment w:val="baseline"/>
        <w:rPr>
          <w:rFonts w:ascii="Cambria" w:hAnsi="Cambria"/>
          <w:sz w:val="20"/>
          <w:szCs w:val="20"/>
        </w:rPr>
      </w:pPr>
    </w:p>
    <w:p w14:paraId="2C0D3B95" w14:textId="77777777" w:rsidR="007B5867" w:rsidRPr="007D0545" w:rsidRDefault="009F76E5" w:rsidP="007B5867">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080"/>
        </w:tabs>
        <w:ind w:left="1080"/>
        <w:jc w:val="both"/>
        <w:textAlignment w:val="baseline"/>
        <w:rPr>
          <w:rFonts w:ascii="Cambria" w:hAnsi="Cambria"/>
          <w:sz w:val="20"/>
          <w:szCs w:val="20"/>
        </w:rPr>
      </w:pPr>
      <w:r w:rsidRPr="007D0545">
        <w:rPr>
          <w:rFonts w:ascii="Cambria" w:hAnsi="Cambria"/>
          <w:sz w:val="20"/>
          <w:szCs w:val="20"/>
        </w:rPr>
        <w:t xml:space="preserve">Dr. Mohammed Hafee Javid </w:t>
      </w:r>
      <w:r w:rsidR="007B5867" w:rsidRPr="007D0545">
        <w:rPr>
          <w:rFonts w:ascii="Cambria" w:hAnsi="Cambria"/>
          <w:sz w:val="20"/>
          <w:szCs w:val="20"/>
        </w:rPr>
        <w:t xml:space="preserve">(psychiatrist). </w:t>
      </w:r>
      <w:r w:rsidRPr="007D0545">
        <w:rPr>
          <w:rFonts w:ascii="Cambria" w:hAnsi="Cambria"/>
          <w:sz w:val="20"/>
          <w:szCs w:val="20"/>
        </w:rPr>
        <w:t>Dr. Javid came in contact with Mr. Sequoyah</w:t>
      </w:r>
      <w:r w:rsidR="00FC78B0" w:rsidRPr="007D0545">
        <w:rPr>
          <w:rFonts w:ascii="Cambria" w:hAnsi="Cambria"/>
          <w:sz w:val="20"/>
          <w:szCs w:val="20"/>
        </w:rPr>
        <w:t xml:space="preserve"> in September 1983 </w:t>
      </w:r>
      <w:r w:rsidR="00664C08" w:rsidRPr="007D0545">
        <w:rPr>
          <w:rFonts w:ascii="Cambria" w:hAnsi="Cambria"/>
          <w:sz w:val="20"/>
          <w:szCs w:val="20"/>
        </w:rPr>
        <w:t xml:space="preserve">at Eglin Air Force Base Hospital </w:t>
      </w:r>
      <w:r w:rsidR="00FC78B0" w:rsidRPr="007D0545">
        <w:rPr>
          <w:rFonts w:ascii="Cambria" w:hAnsi="Cambria"/>
          <w:sz w:val="20"/>
          <w:szCs w:val="20"/>
        </w:rPr>
        <w:t xml:space="preserve">when he was referred </w:t>
      </w:r>
      <w:r w:rsidR="00EF7231" w:rsidRPr="007D0545">
        <w:rPr>
          <w:rFonts w:ascii="Cambria" w:hAnsi="Cambria"/>
          <w:sz w:val="20"/>
          <w:szCs w:val="20"/>
        </w:rPr>
        <w:t xml:space="preserve">for a psychiatric evaluation </w:t>
      </w:r>
      <w:r w:rsidR="00FC78B0" w:rsidRPr="007D0545">
        <w:rPr>
          <w:rFonts w:ascii="Cambria" w:hAnsi="Cambria"/>
          <w:sz w:val="20"/>
          <w:szCs w:val="20"/>
        </w:rPr>
        <w:t>by the United States Navy, where Mr. Sequoyah had been working for 11 years.</w:t>
      </w:r>
      <w:r w:rsidR="00B76BE8" w:rsidRPr="007D0545">
        <w:rPr>
          <w:rFonts w:ascii="Cambria" w:hAnsi="Cambria"/>
          <w:sz w:val="20"/>
          <w:szCs w:val="20"/>
        </w:rPr>
        <w:t xml:space="preserve"> Dr. Javid became Mr. Sequoyah’s supervising psychiatrist and saw him on a daily basis </w:t>
      </w:r>
      <w:r w:rsidR="00F5497B" w:rsidRPr="007D0545">
        <w:rPr>
          <w:rFonts w:ascii="Cambria" w:hAnsi="Cambria"/>
          <w:sz w:val="20"/>
          <w:szCs w:val="20"/>
        </w:rPr>
        <w:t>between September 1983 and January 1984</w:t>
      </w:r>
      <w:r w:rsidR="00B76BE8" w:rsidRPr="007D0545">
        <w:rPr>
          <w:rFonts w:ascii="Cambria" w:hAnsi="Cambria"/>
          <w:sz w:val="20"/>
          <w:szCs w:val="20"/>
        </w:rPr>
        <w:t xml:space="preserve">. Dr. Javid testified that </w:t>
      </w:r>
      <w:r w:rsidR="007E1856" w:rsidRPr="007D0545">
        <w:rPr>
          <w:rFonts w:ascii="Cambria" w:hAnsi="Cambria"/>
          <w:sz w:val="20"/>
          <w:szCs w:val="20"/>
        </w:rPr>
        <w:t>he</w:t>
      </w:r>
      <w:r w:rsidR="00B76BE8" w:rsidRPr="007D0545">
        <w:rPr>
          <w:rFonts w:ascii="Cambria" w:hAnsi="Cambria"/>
          <w:sz w:val="20"/>
          <w:szCs w:val="20"/>
        </w:rPr>
        <w:t xml:space="preserve"> </w:t>
      </w:r>
      <w:r w:rsidR="005430A6" w:rsidRPr="007D0545">
        <w:rPr>
          <w:rFonts w:ascii="Cambria" w:hAnsi="Cambria"/>
          <w:sz w:val="20"/>
          <w:szCs w:val="20"/>
        </w:rPr>
        <w:t xml:space="preserve">diagnosed </w:t>
      </w:r>
      <w:r w:rsidR="007E1856" w:rsidRPr="007D0545">
        <w:rPr>
          <w:rFonts w:ascii="Cambria" w:hAnsi="Cambria"/>
          <w:sz w:val="20"/>
          <w:szCs w:val="20"/>
        </w:rPr>
        <w:t xml:space="preserve">Mr. Sequoyah </w:t>
      </w:r>
      <w:r w:rsidR="005430A6" w:rsidRPr="007D0545">
        <w:rPr>
          <w:rFonts w:ascii="Cambria" w:hAnsi="Cambria"/>
          <w:sz w:val="20"/>
          <w:szCs w:val="20"/>
        </w:rPr>
        <w:t xml:space="preserve">with “major depression with psychosis” and </w:t>
      </w:r>
      <w:r w:rsidR="00EF7231" w:rsidRPr="007D0545">
        <w:rPr>
          <w:rFonts w:ascii="Cambria" w:hAnsi="Cambria"/>
          <w:sz w:val="20"/>
          <w:szCs w:val="20"/>
        </w:rPr>
        <w:t xml:space="preserve">that </w:t>
      </w:r>
      <w:r w:rsidR="007E1856" w:rsidRPr="007D0545">
        <w:rPr>
          <w:rFonts w:ascii="Cambria" w:hAnsi="Cambria"/>
          <w:sz w:val="20"/>
          <w:szCs w:val="20"/>
        </w:rPr>
        <w:t>Mr. Sequoyah</w:t>
      </w:r>
      <w:r w:rsidR="005430A6" w:rsidRPr="007D0545">
        <w:rPr>
          <w:rFonts w:ascii="Cambria" w:hAnsi="Cambria"/>
          <w:sz w:val="20"/>
          <w:szCs w:val="20"/>
        </w:rPr>
        <w:t xml:space="preserve"> “was having auditory hallucinations […] hearing voices in different languages [and] the voices were telling him to hurt himself or hurt someone else.”</w:t>
      </w:r>
      <w:r w:rsidR="005430A6" w:rsidRPr="007D0545">
        <w:rPr>
          <w:rStyle w:val="FootnoteReference"/>
          <w:rFonts w:ascii="Cambria" w:hAnsi="Cambria"/>
          <w:sz w:val="20"/>
          <w:szCs w:val="20"/>
        </w:rPr>
        <w:footnoteReference w:id="12"/>
      </w:r>
      <w:r w:rsidR="005430A6" w:rsidRPr="007D0545">
        <w:rPr>
          <w:rFonts w:ascii="Cambria" w:hAnsi="Cambria"/>
          <w:sz w:val="20"/>
          <w:szCs w:val="20"/>
        </w:rPr>
        <w:t xml:space="preserve"> </w:t>
      </w:r>
      <w:r w:rsidR="00F5497B" w:rsidRPr="007D0545">
        <w:rPr>
          <w:rFonts w:ascii="Cambria" w:hAnsi="Cambria"/>
          <w:sz w:val="20"/>
          <w:szCs w:val="20"/>
        </w:rPr>
        <w:t>According to a report referred to by Dr. Javid at the hearing,</w:t>
      </w:r>
      <w:r w:rsidR="00EF7231" w:rsidRPr="007D0545">
        <w:rPr>
          <w:rFonts w:ascii="Cambria" w:hAnsi="Cambria"/>
          <w:sz w:val="20"/>
          <w:szCs w:val="20"/>
        </w:rPr>
        <w:t xml:space="preserve"> Dr. Masangkay, a psychiatrist who evaluated Mr. Sequoyah in September 1983, had also diagnosed</w:t>
      </w:r>
      <w:r w:rsidR="00F5497B" w:rsidRPr="007D0545">
        <w:rPr>
          <w:rFonts w:ascii="Cambria" w:hAnsi="Cambria"/>
          <w:sz w:val="20"/>
          <w:szCs w:val="20"/>
        </w:rPr>
        <w:t xml:space="preserve"> Mr. Sequoyah </w:t>
      </w:r>
      <w:r w:rsidR="00EF7231" w:rsidRPr="007D0545">
        <w:rPr>
          <w:rFonts w:ascii="Cambria" w:hAnsi="Cambria"/>
          <w:sz w:val="20"/>
          <w:szCs w:val="20"/>
        </w:rPr>
        <w:t>with “major depression with psychotic features.”</w:t>
      </w:r>
      <w:r w:rsidR="00EF7231" w:rsidRPr="007D0545">
        <w:rPr>
          <w:rStyle w:val="FootnoteReference"/>
          <w:rFonts w:ascii="Cambria" w:hAnsi="Cambria"/>
          <w:sz w:val="20"/>
          <w:szCs w:val="20"/>
        </w:rPr>
        <w:footnoteReference w:id="13"/>
      </w:r>
      <w:r w:rsidR="00EF7231" w:rsidRPr="007D0545">
        <w:rPr>
          <w:rFonts w:ascii="Cambria" w:hAnsi="Cambria"/>
          <w:sz w:val="20"/>
          <w:szCs w:val="20"/>
        </w:rPr>
        <w:t xml:space="preserve"> </w:t>
      </w:r>
      <w:r w:rsidR="00BE118B" w:rsidRPr="007D0545">
        <w:rPr>
          <w:rFonts w:ascii="Cambria" w:hAnsi="Cambria"/>
          <w:sz w:val="20"/>
          <w:szCs w:val="20"/>
        </w:rPr>
        <w:t>Mr. Sequoyah was finally discharged from service due to the psychiatric illness.</w:t>
      </w:r>
    </w:p>
    <w:p w14:paraId="12B37BB4" w14:textId="77777777" w:rsidR="007B5867" w:rsidRPr="007D0545" w:rsidRDefault="007B5867" w:rsidP="007B5867">
      <w:pPr>
        <w:pStyle w:val="ListParagraph"/>
        <w:rPr>
          <w:sz w:val="20"/>
          <w:szCs w:val="20"/>
        </w:rPr>
      </w:pPr>
    </w:p>
    <w:p w14:paraId="0A9D6131" w14:textId="77777777" w:rsidR="007359CB" w:rsidRPr="007D0545" w:rsidRDefault="007359CB" w:rsidP="007B5867">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080"/>
        </w:tabs>
        <w:ind w:left="1080"/>
        <w:jc w:val="both"/>
        <w:textAlignment w:val="baseline"/>
        <w:rPr>
          <w:rFonts w:ascii="Cambria" w:hAnsi="Cambria"/>
          <w:sz w:val="20"/>
          <w:szCs w:val="20"/>
        </w:rPr>
      </w:pPr>
      <w:r w:rsidRPr="007D0545">
        <w:rPr>
          <w:rFonts w:ascii="Cambria" w:hAnsi="Cambria"/>
          <w:sz w:val="20"/>
          <w:szCs w:val="20"/>
        </w:rPr>
        <w:t>Dr. Bruce Ebert</w:t>
      </w:r>
      <w:r w:rsidR="007B5867" w:rsidRPr="007D0545">
        <w:rPr>
          <w:rFonts w:ascii="Cambria" w:hAnsi="Cambria"/>
          <w:sz w:val="20"/>
          <w:szCs w:val="20"/>
        </w:rPr>
        <w:t xml:space="preserve"> (</w:t>
      </w:r>
      <w:r w:rsidRPr="007D0545">
        <w:rPr>
          <w:rFonts w:ascii="Cambria" w:hAnsi="Cambria"/>
          <w:sz w:val="20"/>
          <w:szCs w:val="20"/>
        </w:rPr>
        <w:t>Air Force officer and clinical psychologist</w:t>
      </w:r>
      <w:r w:rsidR="007B5867" w:rsidRPr="007D0545">
        <w:rPr>
          <w:rFonts w:ascii="Cambria" w:hAnsi="Cambria"/>
          <w:sz w:val="20"/>
          <w:szCs w:val="20"/>
        </w:rPr>
        <w:t>).</w:t>
      </w:r>
      <w:r w:rsidRPr="007D0545">
        <w:rPr>
          <w:rFonts w:ascii="Cambria" w:hAnsi="Cambria"/>
          <w:sz w:val="20"/>
          <w:szCs w:val="20"/>
        </w:rPr>
        <w:t xml:space="preserve"> </w:t>
      </w:r>
      <w:r w:rsidR="007B5867" w:rsidRPr="007D0545">
        <w:rPr>
          <w:rFonts w:ascii="Cambria" w:hAnsi="Cambria"/>
          <w:sz w:val="20"/>
          <w:szCs w:val="20"/>
        </w:rPr>
        <w:t>D</w:t>
      </w:r>
      <w:r w:rsidR="008E71E6" w:rsidRPr="007D0545">
        <w:rPr>
          <w:rFonts w:ascii="Cambria" w:hAnsi="Cambria"/>
          <w:sz w:val="20"/>
          <w:szCs w:val="20"/>
        </w:rPr>
        <w:t xml:space="preserve">r. Javid </w:t>
      </w:r>
      <w:r w:rsidR="003B3E94" w:rsidRPr="007D0545">
        <w:rPr>
          <w:rFonts w:ascii="Cambria" w:hAnsi="Cambria"/>
          <w:sz w:val="20"/>
          <w:szCs w:val="20"/>
        </w:rPr>
        <w:t xml:space="preserve">had </w:t>
      </w:r>
      <w:r w:rsidR="008E71E6" w:rsidRPr="007D0545">
        <w:rPr>
          <w:rFonts w:ascii="Cambria" w:hAnsi="Cambria"/>
          <w:sz w:val="20"/>
          <w:szCs w:val="20"/>
        </w:rPr>
        <w:t xml:space="preserve">referred </w:t>
      </w:r>
      <w:r w:rsidRPr="007D0545">
        <w:rPr>
          <w:rFonts w:ascii="Cambria" w:hAnsi="Cambria"/>
          <w:sz w:val="20"/>
          <w:szCs w:val="20"/>
        </w:rPr>
        <w:t xml:space="preserve">Mr. Sequoyah </w:t>
      </w:r>
      <w:r w:rsidR="007B5867" w:rsidRPr="007D0545">
        <w:rPr>
          <w:rFonts w:ascii="Cambria" w:hAnsi="Cambria"/>
          <w:sz w:val="20"/>
          <w:szCs w:val="20"/>
        </w:rPr>
        <w:t xml:space="preserve">to Dr. Ebert </w:t>
      </w:r>
      <w:r w:rsidRPr="007D0545">
        <w:rPr>
          <w:rFonts w:ascii="Cambria" w:hAnsi="Cambria"/>
          <w:sz w:val="20"/>
          <w:szCs w:val="20"/>
        </w:rPr>
        <w:t>for psychological testing</w:t>
      </w:r>
      <w:r w:rsidR="007B19A1" w:rsidRPr="007D0545">
        <w:rPr>
          <w:rFonts w:ascii="Cambria" w:hAnsi="Cambria"/>
          <w:sz w:val="20"/>
          <w:szCs w:val="20"/>
        </w:rPr>
        <w:t>. Dr. Ebert performed</w:t>
      </w:r>
      <w:r w:rsidRPr="007D0545">
        <w:rPr>
          <w:rFonts w:ascii="Cambria" w:hAnsi="Cambria"/>
          <w:sz w:val="20"/>
          <w:szCs w:val="20"/>
        </w:rPr>
        <w:t xml:space="preserve"> the following psychological tests: the Minnesota Multiphasic Personality Inventory (M.M.P.I), a test of personality; the Shipley Institute of Living Scale, a test of intelligence; the</w:t>
      </w:r>
      <w:r w:rsidR="002730F6" w:rsidRPr="007D0545">
        <w:rPr>
          <w:rFonts w:ascii="Cambria" w:hAnsi="Cambria"/>
          <w:sz w:val="20"/>
          <w:szCs w:val="20"/>
        </w:rPr>
        <w:t xml:space="preserve"> House-Tree-Person Test; the Sentence Completion T</w:t>
      </w:r>
      <w:r w:rsidRPr="007D0545">
        <w:rPr>
          <w:rFonts w:ascii="Cambria" w:hAnsi="Cambria"/>
          <w:sz w:val="20"/>
          <w:szCs w:val="20"/>
        </w:rPr>
        <w:t xml:space="preserve">est, </w:t>
      </w:r>
      <w:r w:rsidRPr="007D0545">
        <w:rPr>
          <w:rFonts w:ascii="Cambria" w:hAnsi="Cambria"/>
          <w:sz w:val="20"/>
          <w:szCs w:val="20"/>
        </w:rPr>
        <w:lastRenderedPageBreak/>
        <w:t>as well a</w:t>
      </w:r>
      <w:r w:rsidR="007B5867" w:rsidRPr="007D0545">
        <w:rPr>
          <w:rFonts w:ascii="Cambria" w:hAnsi="Cambria"/>
          <w:sz w:val="20"/>
          <w:szCs w:val="20"/>
        </w:rPr>
        <w:t>s a</w:t>
      </w:r>
      <w:r w:rsidRPr="007D0545">
        <w:rPr>
          <w:rFonts w:ascii="Cambria" w:hAnsi="Cambria"/>
          <w:sz w:val="20"/>
          <w:szCs w:val="20"/>
        </w:rPr>
        <w:t xml:space="preserve"> background data sheet and direct observation from himself and from a psychiatric technician.</w:t>
      </w:r>
      <w:r w:rsidR="00D47E97" w:rsidRPr="007D0545">
        <w:rPr>
          <w:rStyle w:val="FootnoteReference"/>
          <w:rFonts w:ascii="Cambria" w:hAnsi="Cambria"/>
          <w:sz w:val="20"/>
          <w:szCs w:val="20"/>
        </w:rPr>
        <w:footnoteReference w:id="14"/>
      </w:r>
      <w:r w:rsidRPr="007D0545">
        <w:rPr>
          <w:rFonts w:ascii="Cambria" w:hAnsi="Cambria"/>
          <w:sz w:val="20"/>
          <w:szCs w:val="20"/>
        </w:rPr>
        <w:t xml:space="preserve"> </w:t>
      </w:r>
      <w:r w:rsidR="003B3E94" w:rsidRPr="007D0545">
        <w:rPr>
          <w:rFonts w:ascii="Cambria" w:hAnsi="Cambria"/>
          <w:sz w:val="20"/>
          <w:szCs w:val="20"/>
        </w:rPr>
        <w:t xml:space="preserve">Based on the results of those tests, </w:t>
      </w:r>
      <w:r w:rsidR="00765CB7" w:rsidRPr="007D0545">
        <w:rPr>
          <w:rFonts w:ascii="Cambria" w:hAnsi="Cambria"/>
          <w:sz w:val="20"/>
          <w:szCs w:val="20"/>
        </w:rPr>
        <w:t>Dr. Ebert concluded that</w:t>
      </w:r>
      <w:r w:rsidRPr="007D0545">
        <w:rPr>
          <w:rFonts w:ascii="Cambria" w:hAnsi="Cambria"/>
          <w:sz w:val="20"/>
          <w:szCs w:val="20"/>
        </w:rPr>
        <w:t xml:space="preserve"> </w:t>
      </w:r>
      <w:r w:rsidR="003B3E94" w:rsidRPr="007D0545">
        <w:rPr>
          <w:rFonts w:ascii="Cambria" w:hAnsi="Cambria"/>
          <w:sz w:val="20"/>
          <w:szCs w:val="20"/>
        </w:rPr>
        <w:t xml:space="preserve">Mr. Sequoyah was “mentally ill,” that he “had extreme difficulty in solving even the simplest of basic logic problems following a sequential reasoning train of thought” and that </w:t>
      </w:r>
      <w:r w:rsidR="004F6949" w:rsidRPr="007D0545">
        <w:rPr>
          <w:rFonts w:ascii="Cambria" w:hAnsi="Cambria"/>
          <w:sz w:val="20"/>
          <w:szCs w:val="20"/>
        </w:rPr>
        <w:t>his “distrust and paranoia […] impa[ired] his capacity to disclose to his attorney available and pertinent facts surrounding the events of the instant case.”</w:t>
      </w:r>
      <w:r w:rsidR="00303B04" w:rsidRPr="007D0545">
        <w:rPr>
          <w:rStyle w:val="FootnoteReference"/>
          <w:rFonts w:ascii="Cambria" w:hAnsi="Cambria"/>
          <w:sz w:val="20"/>
          <w:szCs w:val="20"/>
        </w:rPr>
        <w:footnoteReference w:id="15"/>
      </w:r>
    </w:p>
    <w:p w14:paraId="52A63C23" w14:textId="77777777" w:rsidR="00405F19" w:rsidRPr="007D0545" w:rsidRDefault="00405F19" w:rsidP="00405F19">
      <w:pPr>
        <w:pStyle w:val="ListParagraph"/>
        <w:rPr>
          <w:sz w:val="20"/>
          <w:szCs w:val="20"/>
        </w:rPr>
      </w:pPr>
    </w:p>
    <w:p w14:paraId="4E5DF26A" w14:textId="77777777" w:rsidR="00405F19" w:rsidRPr="007D0545" w:rsidRDefault="00405F19" w:rsidP="00FC1E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 xml:space="preserve">The jury found Mr. Sequoyah competent </w:t>
      </w:r>
      <w:r w:rsidR="00FB2597" w:rsidRPr="007D0545">
        <w:rPr>
          <w:rFonts w:ascii="Cambria" w:hAnsi="Cambria"/>
          <w:sz w:val="20"/>
          <w:szCs w:val="20"/>
        </w:rPr>
        <w:t xml:space="preserve">to stand trial </w:t>
      </w:r>
      <w:r w:rsidRPr="007D0545">
        <w:rPr>
          <w:rFonts w:ascii="Cambria" w:hAnsi="Cambria"/>
          <w:sz w:val="20"/>
          <w:szCs w:val="20"/>
        </w:rPr>
        <w:t>under California Penal Code § 1368.</w:t>
      </w:r>
      <w:r w:rsidRPr="007D0545">
        <w:rPr>
          <w:rStyle w:val="FootnoteReference"/>
          <w:rFonts w:ascii="Cambria" w:hAnsi="Cambria"/>
          <w:sz w:val="20"/>
          <w:szCs w:val="20"/>
        </w:rPr>
        <w:footnoteReference w:id="16"/>
      </w:r>
    </w:p>
    <w:p w14:paraId="0529B556" w14:textId="77777777" w:rsidR="00405F19" w:rsidRPr="007D0545" w:rsidRDefault="00405F19" w:rsidP="00405F19">
      <w:pPr>
        <w:pStyle w:val="ListParagraph"/>
        <w:rPr>
          <w:sz w:val="20"/>
          <w:szCs w:val="20"/>
        </w:rPr>
      </w:pPr>
    </w:p>
    <w:p w14:paraId="2C1E5C24" w14:textId="77777777" w:rsidR="00405F19" w:rsidRPr="007D0545" w:rsidRDefault="00355779" w:rsidP="00FC1E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 xml:space="preserve">Mr. Sequoyah filed a motion to dismiss his counsel and a motion to represent himself before the </w:t>
      </w:r>
      <w:r w:rsidR="00BD393F" w:rsidRPr="007D0545">
        <w:rPr>
          <w:rFonts w:ascii="Cambria" w:hAnsi="Cambria"/>
          <w:sz w:val="20"/>
          <w:szCs w:val="20"/>
        </w:rPr>
        <w:t xml:space="preserve">Superior Court of </w:t>
      </w:r>
      <w:r w:rsidRPr="007D0545">
        <w:rPr>
          <w:rFonts w:ascii="Cambria" w:hAnsi="Cambria"/>
          <w:sz w:val="20"/>
          <w:szCs w:val="20"/>
        </w:rPr>
        <w:t xml:space="preserve">San Diego. </w:t>
      </w:r>
      <w:r w:rsidR="00022424" w:rsidRPr="007D0545">
        <w:rPr>
          <w:rFonts w:ascii="Cambria" w:hAnsi="Cambria"/>
          <w:sz w:val="20"/>
          <w:szCs w:val="20"/>
        </w:rPr>
        <w:t>After hearing further testimony, t</w:t>
      </w:r>
      <w:r w:rsidRPr="007D0545">
        <w:rPr>
          <w:rFonts w:ascii="Cambria" w:hAnsi="Cambria"/>
          <w:sz w:val="20"/>
          <w:szCs w:val="20"/>
        </w:rPr>
        <w:t>he court dismissed both motions o</w:t>
      </w:r>
      <w:r w:rsidR="00FB2597" w:rsidRPr="007D0545">
        <w:rPr>
          <w:rFonts w:ascii="Cambria" w:hAnsi="Cambria"/>
          <w:sz w:val="20"/>
          <w:szCs w:val="20"/>
        </w:rPr>
        <w:t>n March 16, 1988</w:t>
      </w:r>
      <w:r w:rsidRPr="007D0545">
        <w:rPr>
          <w:rFonts w:ascii="Cambria" w:hAnsi="Cambria"/>
          <w:sz w:val="20"/>
          <w:szCs w:val="20"/>
        </w:rPr>
        <w:t>.</w:t>
      </w:r>
      <w:r w:rsidR="005A6E50" w:rsidRPr="007D0545">
        <w:rPr>
          <w:rFonts w:ascii="Cambria" w:hAnsi="Cambria"/>
          <w:sz w:val="20"/>
          <w:szCs w:val="20"/>
        </w:rPr>
        <w:t xml:space="preserve"> With regard to the first motion, the court found that Mr. Sequoyah’s “outrageous charges against counsel are unsupported and irrelevant.”</w:t>
      </w:r>
      <w:r w:rsidR="00A17625" w:rsidRPr="007D0545">
        <w:rPr>
          <w:rStyle w:val="FootnoteReference"/>
          <w:rFonts w:ascii="Cambria" w:hAnsi="Cambria"/>
          <w:sz w:val="20"/>
          <w:szCs w:val="20"/>
        </w:rPr>
        <w:footnoteReference w:id="17"/>
      </w:r>
      <w:r w:rsidR="00BC397C" w:rsidRPr="007D0545">
        <w:rPr>
          <w:rFonts w:ascii="Cambria" w:hAnsi="Cambria"/>
          <w:sz w:val="20"/>
          <w:szCs w:val="20"/>
        </w:rPr>
        <w:t xml:space="preserve"> Regarding the motion </w:t>
      </w:r>
      <w:r w:rsidR="00022424" w:rsidRPr="007D0545">
        <w:rPr>
          <w:rFonts w:ascii="Cambria" w:hAnsi="Cambria"/>
          <w:sz w:val="20"/>
          <w:szCs w:val="20"/>
        </w:rPr>
        <w:t xml:space="preserve">to </w:t>
      </w:r>
      <w:r w:rsidR="00BC397C" w:rsidRPr="007D0545">
        <w:rPr>
          <w:rFonts w:ascii="Cambria" w:hAnsi="Cambria"/>
          <w:sz w:val="20"/>
          <w:szCs w:val="20"/>
        </w:rPr>
        <w:t>represent himself, the court found that Mr. Sequoyah was “</w:t>
      </w:r>
      <w:r w:rsidR="00022424" w:rsidRPr="007D0545">
        <w:rPr>
          <w:rFonts w:ascii="Cambria" w:hAnsi="Cambria"/>
          <w:sz w:val="20"/>
          <w:szCs w:val="20"/>
        </w:rPr>
        <w:t>incapable of v</w:t>
      </w:r>
      <w:r w:rsidR="00BC397C" w:rsidRPr="007D0545">
        <w:rPr>
          <w:rFonts w:ascii="Cambria" w:hAnsi="Cambria"/>
          <w:sz w:val="20"/>
          <w:szCs w:val="20"/>
        </w:rPr>
        <w:t>oluntarily exercising an informed waiver of his right to counsel, further, his request to the court to represent himself only on certain conditions shows he does not rationally perceive his situation.” The court also found that:</w:t>
      </w:r>
    </w:p>
    <w:p w14:paraId="23C197E3" w14:textId="77777777" w:rsidR="00BC397C" w:rsidRPr="007D0545" w:rsidRDefault="00BC397C" w:rsidP="00BC397C">
      <w:pPr>
        <w:pStyle w:val="ListParagraph"/>
        <w:rPr>
          <w:sz w:val="20"/>
          <w:szCs w:val="20"/>
        </w:rPr>
      </w:pPr>
    </w:p>
    <w:p w14:paraId="54ECABE4" w14:textId="77777777" w:rsidR="00BC397C" w:rsidRPr="007D0545" w:rsidRDefault="00BC397C" w:rsidP="003D343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720" w:right="720"/>
        <w:jc w:val="both"/>
        <w:textAlignment w:val="baseline"/>
        <w:rPr>
          <w:rFonts w:ascii="Cambria" w:hAnsi="Cambria"/>
          <w:sz w:val="18"/>
          <w:szCs w:val="18"/>
        </w:rPr>
      </w:pPr>
      <w:r w:rsidRPr="007D0545">
        <w:rPr>
          <w:rFonts w:ascii="Cambria" w:hAnsi="Cambria"/>
          <w:sz w:val="18"/>
          <w:szCs w:val="18"/>
        </w:rPr>
        <w:t>“</w:t>
      </w:r>
      <w:r w:rsidR="008F3E4A" w:rsidRPr="007D0545">
        <w:rPr>
          <w:rFonts w:ascii="Cambria" w:hAnsi="Cambria"/>
          <w:sz w:val="18"/>
          <w:szCs w:val="18"/>
        </w:rPr>
        <w:t xml:space="preserve">The court finds </w:t>
      </w:r>
      <w:r w:rsidRPr="007D0545">
        <w:rPr>
          <w:rFonts w:ascii="Cambria" w:hAnsi="Cambria"/>
          <w:sz w:val="18"/>
          <w:szCs w:val="18"/>
        </w:rPr>
        <w:t>from this hearing’s testimony, especially that of Doctors Kalish and Koshkarian and the testimony at the Pen. Code Sec. 1368 hearing that is part of this record, that defendant has a mental disorder, illness or deficiency which impairs his free will to such a degree that his decision to request to represent himself is not voluntary; he has mental disorder, illness or deficiency which has adversely affected his powers of reason, judgment and communication. He does not realize the probable risks and consequences of his action. His request to waive counsel is, therefore, not an exercise of his informed free will. While [Mr. Sequoyah] has the cognitive ability to understand the proceedings, he cannot formulate and present his defense with an appropriate awareness of all ramifications.”</w:t>
      </w:r>
      <w:r w:rsidR="003D3435" w:rsidRPr="007D0545">
        <w:rPr>
          <w:rStyle w:val="FootnoteReference"/>
          <w:rFonts w:ascii="Cambria" w:hAnsi="Cambria"/>
          <w:sz w:val="18"/>
          <w:szCs w:val="18"/>
        </w:rPr>
        <w:footnoteReference w:id="18"/>
      </w:r>
    </w:p>
    <w:p w14:paraId="168B2E29" w14:textId="77777777" w:rsidR="00683305" w:rsidRPr="007D0545" w:rsidRDefault="00683305" w:rsidP="0068330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747696AF" w14:textId="77777777" w:rsidR="00FC1E3D" w:rsidRPr="007D0545" w:rsidRDefault="003902B2" w:rsidP="00FC1E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On November 3</w:t>
      </w:r>
      <w:r w:rsidR="00EB6B06" w:rsidRPr="007D0545">
        <w:rPr>
          <w:rFonts w:ascii="Cambria" w:hAnsi="Cambria"/>
          <w:sz w:val="20"/>
          <w:szCs w:val="20"/>
        </w:rPr>
        <w:t xml:space="preserve">, 1989, </w:t>
      </w:r>
      <w:r w:rsidR="00FC1E3D" w:rsidRPr="007D0545">
        <w:rPr>
          <w:rFonts w:ascii="Cambria" w:hAnsi="Cambria"/>
          <w:sz w:val="20"/>
          <w:szCs w:val="20"/>
        </w:rPr>
        <w:t xml:space="preserve">the </w:t>
      </w:r>
      <w:r w:rsidR="00BA1D41" w:rsidRPr="007D0545">
        <w:rPr>
          <w:rFonts w:ascii="Cambria" w:hAnsi="Cambria"/>
          <w:sz w:val="20"/>
          <w:szCs w:val="20"/>
        </w:rPr>
        <w:t>Superior</w:t>
      </w:r>
      <w:r w:rsidR="00FC1E3D" w:rsidRPr="007D0545">
        <w:rPr>
          <w:rFonts w:ascii="Cambria" w:hAnsi="Cambria"/>
          <w:sz w:val="20"/>
          <w:szCs w:val="20"/>
        </w:rPr>
        <w:t xml:space="preserve"> </w:t>
      </w:r>
      <w:r w:rsidR="00EB6B06" w:rsidRPr="007D0545">
        <w:rPr>
          <w:rFonts w:ascii="Cambria" w:hAnsi="Cambria"/>
          <w:sz w:val="20"/>
          <w:szCs w:val="20"/>
        </w:rPr>
        <w:t xml:space="preserve">Court of California conducted </w:t>
      </w:r>
      <w:r w:rsidRPr="007D0545">
        <w:rPr>
          <w:rFonts w:ascii="Cambria" w:hAnsi="Cambria"/>
          <w:sz w:val="20"/>
          <w:szCs w:val="20"/>
        </w:rPr>
        <w:t xml:space="preserve">a </w:t>
      </w:r>
      <w:r w:rsidR="00FC1E3D" w:rsidRPr="007D0545">
        <w:rPr>
          <w:rFonts w:ascii="Cambria" w:hAnsi="Cambria"/>
          <w:sz w:val="20"/>
          <w:szCs w:val="20"/>
        </w:rPr>
        <w:t xml:space="preserve">hearing in an appeal </w:t>
      </w:r>
      <w:r w:rsidR="00EB6B06" w:rsidRPr="007D0545">
        <w:rPr>
          <w:rFonts w:ascii="Cambria" w:hAnsi="Cambria"/>
          <w:sz w:val="20"/>
          <w:szCs w:val="20"/>
        </w:rPr>
        <w:t>against</w:t>
      </w:r>
      <w:r w:rsidR="00FC1E3D" w:rsidRPr="007D0545">
        <w:rPr>
          <w:rFonts w:ascii="Cambria" w:hAnsi="Cambria"/>
          <w:sz w:val="20"/>
          <w:szCs w:val="20"/>
        </w:rPr>
        <w:t xml:space="preserve"> the </w:t>
      </w:r>
      <w:r w:rsidR="00EB6B06" w:rsidRPr="007D0545">
        <w:rPr>
          <w:rFonts w:ascii="Cambria" w:hAnsi="Cambria"/>
          <w:sz w:val="20"/>
          <w:szCs w:val="20"/>
        </w:rPr>
        <w:t>decision regarding part of Mr. Sequoyah’s second motion (to allow him to act as his own lead counsel and appoint a second counsel to work under his direction)</w:t>
      </w:r>
      <w:r w:rsidR="00FC1E3D" w:rsidRPr="007D0545">
        <w:rPr>
          <w:rFonts w:ascii="Cambria" w:hAnsi="Cambria"/>
          <w:sz w:val="20"/>
          <w:szCs w:val="20"/>
        </w:rPr>
        <w:t>.</w:t>
      </w:r>
      <w:r w:rsidR="00340A95" w:rsidRPr="007D0545">
        <w:rPr>
          <w:rStyle w:val="FootnoteReference"/>
          <w:rFonts w:ascii="Cambria" w:hAnsi="Cambria"/>
          <w:sz w:val="20"/>
          <w:szCs w:val="20"/>
        </w:rPr>
        <w:footnoteReference w:id="19"/>
      </w:r>
      <w:r w:rsidR="00EB6B06" w:rsidRPr="007D0545">
        <w:rPr>
          <w:rFonts w:ascii="Cambria" w:hAnsi="Cambria"/>
          <w:sz w:val="20"/>
          <w:szCs w:val="20"/>
        </w:rPr>
        <w:t xml:space="preserve"> </w:t>
      </w:r>
      <w:r w:rsidR="001365B6" w:rsidRPr="007D0545">
        <w:rPr>
          <w:rFonts w:ascii="Cambria" w:hAnsi="Cambria"/>
          <w:sz w:val="20"/>
          <w:szCs w:val="20"/>
        </w:rPr>
        <w:t xml:space="preserve">At the hearing </w:t>
      </w:r>
      <w:r w:rsidR="00FC1E3D" w:rsidRPr="007D0545">
        <w:rPr>
          <w:rFonts w:ascii="Cambria" w:hAnsi="Cambria"/>
          <w:sz w:val="20"/>
          <w:szCs w:val="20"/>
        </w:rPr>
        <w:t xml:space="preserve">Presiding Judge Louis E. Boyle stated </w:t>
      </w:r>
      <w:r w:rsidR="002963E4" w:rsidRPr="007D0545">
        <w:rPr>
          <w:rFonts w:ascii="Cambria" w:hAnsi="Cambria"/>
          <w:sz w:val="20"/>
          <w:szCs w:val="20"/>
        </w:rPr>
        <w:t xml:space="preserve">that </w:t>
      </w:r>
      <w:r w:rsidR="00FC1E3D" w:rsidRPr="007D0545">
        <w:rPr>
          <w:rFonts w:ascii="Cambria" w:hAnsi="Cambria"/>
          <w:sz w:val="20"/>
          <w:szCs w:val="20"/>
        </w:rPr>
        <w:t>“the only issue is whether the defendant</w:t>
      </w:r>
      <w:r w:rsidR="00F83D11" w:rsidRPr="007D0545">
        <w:rPr>
          <w:rFonts w:ascii="Cambria" w:hAnsi="Cambria"/>
          <w:sz w:val="20"/>
          <w:szCs w:val="20"/>
        </w:rPr>
        <w:t xml:space="preserve"> is</w:t>
      </w:r>
      <w:r w:rsidR="00FC1E3D" w:rsidRPr="007D0545">
        <w:rPr>
          <w:rFonts w:ascii="Cambria" w:hAnsi="Cambria"/>
          <w:sz w:val="20"/>
          <w:szCs w:val="20"/>
        </w:rPr>
        <w:t xml:space="preserve"> making an intelligent and knowing waiver of his right to counsel” and added:</w:t>
      </w:r>
    </w:p>
    <w:p w14:paraId="047FB5D5" w14:textId="77777777" w:rsidR="00FC1E3D" w:rsidRPr="007D0545" w:rsidRDefault="00FC1E3D" w:rsidP="00FC1E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326F6267" w14:textId="77777777" w:rsidR="00FC1E3D" w:rsidRPr="007D0545" w:rsidRDefault="00FC1E3D" w:rsidP="00FC1E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720" w:right="720"/>
        <w:jc w:val="both"/>
        <w:textAlignment w:val="baseline"/>
        <w:rPr>
          <w:rFonts w:ascii="Cambria" w:hAnsi="Cambria"/>
          <w:sz w:val="18"/>
          <w:szCs w:val="18"/>
        </w:rPr>
      </w:pPr>
      <w:r w:rsidRPr="007D0545">
        <w:rPr>
          <w:rFonts w:ascii="Cambria" w:hAnsi="Cambria"/>
          <w:sz w:val="18"/>
          <w:szCs w:val="18"/>
        </w:rPr>
        <w:t xml:space="preserve">“The Court does find that the defendant has made an intelligent and knowing request to represent himself, and I find that he is competent to make that request and that, under the law, I am required to grant that request [...] I inherited this case and was requested by the defense and Mr. Sequoyah personally to not review the file so that I would focus narrowly on this issue of his </w:t>
      </w:r>
      <w:r w:rsidRPr="007D0545">
        <w:rPr>
          <w:rFonts w:ascii="Cambria" w:hAnsi="Cambria"/>
          <w:i/>
          <w:sz w:val="18"/>
          <w:szCs w:val="18"/>
        </w:rPr>
        <w:t>pro per</w:t>
      </w:r>
      <w:r w:rsidRPr="007D0545">
        <w:rPr>
          <w:rFonts w:ascii="Cambria" w:hAnsi="Cambria"/>
          <w:sz w:val="18"/>
          <w:szCs w:val="18"/>
        </w:rPr>
        <w:t xml:space="preserve"> status.”</w:t>
      </w:r>
      <w:r w:rsidRPr="007D0545">
        <w:rPr>
          <w:rStyle w:val="FootnoteReference"/>
          <w:rFonts w:ascii="Cambria" w:hAnsi="Cambria"/>
          <w:sz w:val="18"/>
          <w:szCs w:val="18"/>
        </w:rPr>
        <w:footnoteReference w:id="20"/>
      </w:r>
    </w:p>
    <w:p w14:paraId="761EE1D5" w14:textId="77777777" w:rsidR="00FC1E3D" w:rsidRPr="007D0545" w:rsidRDefault="00FC1E3D" w:rsidP="00FC1E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19CA8F1C" w14:textId="77777777" w:rsidR="0040759C" w:rsidRPr="007D0545" w:rsidRDefault="00942BBC" w:rsidP="001C68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 xml:space="preserve">This decision to grant Mr. Sequoyah’s motion was appealed. </w:t>
      </w:r>
      <w:r w:rsidR="00847B26" w:rsidRPr="007D0545">
        <w:rPr>
          <w:rFonts w:ascii="Cambria" w:hAnsi="Cambria"/>
          <w:sz w:val="20"/>
          <w:szCs w:val="20"/>
        </w:rPr>
        <w:t xml:space="preserve">In </w:t>
      </w:r>
      <w:r w:rsidRPr="007D0545">
        <w:rPr>
          <w:rFonts w:ascii="Cambria" w:hAnsi="Cambria"/>
          <w:sz w:val="20"/>
          <w:szCs w:val="20"/>
        </w:rPr>
        <w:t>the</w:t>
      </w:r>
      <w:r w:rsidR="0040759C" w:rsidRPr="007D0545">
        <w:rPr>
          <w:rFonts w:ascii="Cambria" w:hAnsi="Cambria"/>
          <w:sz w:val="20"/>
          <w:szCs w:val="20"/>
        </w:rPr>
        <w:t xml:space="preserve"> appeal</w:t>
      </w:r>
      <w:r w:rsidR="00847B26" w:rsidRPr="007D0545">
        <w:rPr>
          <w:rFonts w:ascii="Cambria" w:hAnsi="Cambria"/>
          <w:sz w:val="20"/>
          <w:szCs w:val="20"/>
        </w:rPr>
        <w:t xml:space="preserve"> hearing conducted on August 30, 1990, </w:t>
      </w:r>
      <w:r w:rsidR="0040759C" w:rsidRPr="007D0545">
        <w:rPr>
          <w:rFonts w:ascii="Cambria" w:hAnsi="Cambria"/>
          <w:sz w:val="20"/>
          <w:szCs w:val="20"/>
        </w:rPr>
        <w:t xml:space="preserve">Judge Raymond Edwards Jr. of </w:t>
      </w:r>
      <w:r w:rsidR="00847B26" w:rsidRPr="007D0545">
        <w:rPr>
          <w:rFonts w:ascii="Cambria" w:hAnsi="Cambria"/>
          <w:sz w:val="20"/>
          <w:szCs w:val="20"/>
        </w:rPr>
        <w:t>the Supreme Court of California</w:t>
      </w:r>
      <w:r w:rsidR="00CA65F1" w:rsidRPr="007D0545">
        <w:rPr>
          <w:rFonts w:ascii="Cambria" w:hAnsi="Cambria"/>
          <w:sz w:val="20"/>
          <w:szCs w:val="20"/>
        </w:rPr>
        <w:t xml:space="preserve"> stated:</w:t>
      </w:r>
    </w:p>
    <w:p w14:paraId="0AE0D9DA" w14:textId="77777777" w:rsidR="0040759C" w:rsidRPr="007D0545" w:rsidRDefault="0040759C" w:rsidP="004075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6F1227E8" w14:textId="77777777" w:rsidR="001365B6" w:rsidRPr="007D0545" w:rsidRDefault="00CA65F1" w:rsidP="007928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720" w:right="720"/>
        <w:jc w:val="both"/>
        <w:textAlignment w:val="baseline"/>
        <w:rPr>
          <w:rFonts w:ascii="Cambria" w:hAnsi="Cambria"/>
          <w:sz w:val="18"/>
          <w:szCs w:val="18"/>
        </w:rPr>
      </w:pPr>
      <w:r w:rsidRPr="007D0545">
        <w:rPr>
          <w:rFonts w:ascii="Cambria" w:hAnsi="Cambria"/>
          <w:sz w:val="18"/>
          <w:szCs w:val="18"/>
        </w:rPr>
        <w:t>“all of these things</w:t>
      </w:r>
      <w:r w:rsidR="004F5466" w:rsidRPr="007D0545">
        <w:rPr>
          <w:rFonts w:ascii="Cambria" w:hAnsi="Cambria"/>
          <w:sz w:val="18"/>
          <w:szCs w:val="18"/>
        </w:rPr>
        <w:t>, including a report that was among the files from Dr. Di Francesca, who had examined you and was of the opinion that you were not competent to proceed by representing yourself – and this is a report from March the 9</w:t>
      </w:r>
      <w:r w:rsidR="004F5466" w:rsidRPr="007D0545">
        <w:rPr>
          <w:rFonts w:ascii="Cambria" w:hAnsi="Cambria"/>
          <w:sz w:val="18"/>
          <w:szCs w:val="18"/>
          <w:vertAlign w:val="superscript"/>
        </w:rPr>
        <w:t>th</w:t>
      </w:r>
      <w:r w:rsidR="004F5466" w:rsidRPr="007D0545">
        <w:rPr>
          <w:rFonts w:ascii="Cambria" w:hAnsi="Cambria"/>
          <w:sz w:val="18"/>
          <w:szCs w:val="18"/>
        </w:rPr>
        <w:t>, 1988 – together with the reports of Dr. Vance Norum, M.D., PH.D, from September 17</w:t>
      </w:r>
      <w:r w:rsidR="004F5466" w:rsidRPr="007D0545">
        <w:rPr>
          <w:rFonts w:ascii="Cambria" w:hAnsi="Cambria"/>
          <w:sz w:val="18"/>
          <w:szCs w:val="18"/>
          <w:vertAlign w:val="superscript"/>
        </w:rPr>
        <w:t>th</w:t>
      </w:r>
      <w:r w:rsidR="004F5466" w:rsidRPr="007D0545">
        <w:rPr>
          <w:rFonts w:ascii="Cambria" w:hAnsi="Cambria"/>
          <w:sz w:val="18"/>
          <w:szCs w:val="18"/>
        </w:rPr>
        <w:t>, 1987 and August the 7</w:t>
      </w:r>
      <w:r w:rsidR="004F5466" w:rsidRPr="007D0545">
        <w:rPr>
          <w:rFonts w:ascii="Cambria" w:hAnsi="Cambria"/>
          <w:sz w:val="18"/>
          <w:szCs w:val="18"/>
          <w:vertAlign w:val="superscript"/>
        </w:rPr>
        <w:t>th</w:t>
      </w:r>
      <w:r w:rsidR="004F5466" w:rsidRPr="007D0545">
        <w:rPr>
          <w:rFonts w:ascii="Cambria" w:hAnsi="Cambria"/>
          <w:sz w:val="18"/>
          <w:szCs w:val="18"/>
        </w:rPr>
        <w:t>, 1987; together with the reports of Dr. Mark A. Kalish […] June 22</w:t>
      </w:r>
      <w:r w:rsidR="004F5466" w:rsidRPr="007D0545">
        <w:rPr>
          <w:rFonts w:ascii="Cambria" w:hAnsi="Cambria"/>
          <w:sz w:val="18"/>
          <w:szCs w:val="18"/>
          <w:vertAlign w:val="superscript"/>
        </w:rPr>
        <w:t>nd</w:t>
      </w:r>
      <w:r w:rsidR="004F5466" w:rsidRPr="007D0545">
        <w:rPr>
          <w:rFonts w:ascii="Cambria" w:hAnsi="Cambria"/>
          <w:sz w:val="18"/>
          <w:szCs w:val="18"/>
        </w:rPr>
        <w:t>, 1987; together with an order that was entered on March 16, 1988 by Judge Elizabeth Zumwalt-Kutzner in which the judge found that you were not competent to waive counsel and represent yourself; that, together with the military health records which I have reviewed, lead this court to have some doubt as to whether or not you are mentally competent.”</w:t>
      </w:r>
      <w:r w:rsidR="004F5466" w:rsidRPr="007D0545">
        <w:rPr>
          <w:rStyle w:val="FootnoteReference"/>
          <w:rFonts w:ascii="Cambria" w:hAnsi="Cambria"/>
          <w:sz w:val="18"/>
          <w:szCs w:val="18"/>
        </w:rPr>
        <w:footnoteReference w:id="21"/>
      </w:r>
    </w:p>
    <w:p w14:paraId="2691D376" w14:textId="77777777" w:rsidR="004B2DE8" w:rsidRPr="007D0545" w:rsidRDefault="004B2DE8" w:rsidP="004B2D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436A2A29" w14:textId="77777777" w:rsidR="00B8646F" w:rsidRPr="007D0545" w:rsidRDefault="00B8646F" w:rsidP="001C68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Judge Edwards Jr. sought out the transcript of a hearing before Judge Boyle to understand “what had happened between the time of Judge Kutzner’s findi</w:t>
      </w:r>
      <w:r w:rsidR="00255140" w:rsidRPr="007D0545">
        <w:rPr>
          <w:rFonts w:ascii="Cambria" w:hAnsi="Cambria"/>
          <w:sz w:val="20"/>
          <w:szCs w:val="20"/>
        </w:rPr>
        <w:t>n</w:t>
      </w:r>
      <w:r w:rsidRPr="007D0545">
        <w:rPr>
          <w:rFonts w:ascii="Cambria" w:hAnsi="Cambria"/>
          <w:sz w:val="20"/>
          <w:szCs w:val="20"/>
        </w:rPr>
        <w:t xml:space="preserve">g that [Mr. Sequoyah was] not competent to represent [him]self and what psychological evidence was presented at the hearing </w:t>
      </w:r>
      <w:r w:rsidR="00D24291" w:rsidRPr="007D0545">
        <w:rPr>
          <w:rFonts w:ascii="Cambria" w:hAnsi="Cambria"/>
          <w:sz w:val="20"/>
          <w:szCs w:val="20"/>
        </w:rPr>
        <w:t>[…]</w:t>
      </w:r>
      <w:r w:rsidRPr="007D0545">
        <w:rPr>
          <w:rFonts w:ascii="Cambria" w:hAnsi="Cambria"/>
          <w:sz w:val="20"/>
          <w:szCs w:val="20"/>
        </w:rPr>
        <w:t xml:space="preserve"> to cause Judge Boyle to conclude that </w:t>
      </w:r>
      <w:r w:rsidR="00D24291" w:rsidRPr="007D0545">
        <w:rPr>
          <w:rFonts w:ascii="Cambria" w:hAnsi="Cambria"/>
          <w:sz w:val="20"/>
          <w:szCs w:val="20"/>
        </w:rPr>
        <w:t>[Mr. Sequoyah was]</w:t>
      </w:r>
      <w:r w:rsidRPr="007D0545">
        <w:rPr>
          <w:rFonts w:ascii="Cambria" w:hAnsi="Cambria"/>
          <w:sz w:val="20"/>
          <w:szCs w:val="20"/>
        </w:rPr>
        <w:t xml:space="preserve"> competent</w:t>
      </w:r>
      <w:r w:rsidR="00255140" w:rsidRPr="007D0545">
        <w:rPr>
          <w:rFonts w:ascii="Cambria" w:hAnsi="Cambria"/>
          <w:sz w:val="20"/>
          <w:szCs w:val="20"/>
        </w:rPr>
        <w:t>.”</w:t>
      </w:r>
      <w:r w:rsidR="00255140" w:rsidRPr="007D0545">
        <w:rPr>
          <w:rStyle w:val="FootnoteReference"/>
          <w:rFonts w:ascii="Cambria" w:hAnsi="Cambria"/>
          <w:sz w:val="20"/>
          <w:szCs w:val="20"/>
        </w:rPr>
        <w:footnoteReference w:id="22"/>
      </w:r>
      <w:r w:rsidRPr="007D0545">
        <w:rPr>
          <w:rFonts w:ascii="Cambria" w:hAnsi="Cambria"/>
          <w:sz w:val="20"/>
          <w:szCs w:val="20"/>
        </w:rPr>
        <w:t xml:space="preserve"> </w:t>
      </w:r>
      <w:r w:rsidR="008C2DF6" w:rsidRPr="007D0545">
        <w:rPr>
          <w:rFonts w:ascii="Cambria" w:hAnsi="Cambria"/>
          <w:sz w:val="20"/>
          <w:szCs w:val="20"/>
        </w:rPr>
        <w:t>Judge Edwards Jr.</w:t>
      </w:r>
      <w:r w:rsidR="00854FE3" w:rsidRPr="007D0545">
        <w:rPr>
          <w:rFonts w:ascii="Cambria" w:hAnsi="Cambria"/>
          <w:sz w:val="20"/>
          <w:szCs w:val="20"/>
        </w:rPr>
        <w:t xml:space="preserve"> found “no evidence of any hearing at which Judge Boyle took any evidence or testimony from psychiatrists o</w:t>
      </w:r>
      <w:r w:rsidR="004F37CA" w:rsidRPr="007D0545">
        <w:rPr>
          <w:rFonts w:ascii="Cambria" w:hAnsi="Cambria"/>
          <w:sz w:val="20"/>
          <w:szCs w:val="20"/>
        </w:rPr>
        <w:t>r</w:t>
      </w:r>
      <w:r w:rsidR="00854FE3" w:rsidRPr="007D0545">
        <w:rPr>
          <w:rFonts w:ascii="Cambria" w:hAnsi="Cambria"/>
          <w:sz w:val="20"/>
          <w:szCs w:val="20"/>
        </w:rPr>
        <w:t xml:space="preserve"> </w:t>
      </w:r>
      <w:r w:rsidR="009A1D2A" w:rsidRPr="007D0545">
        <w:rPr>
          <w:rFonts w:ascii="Cambria" w:hAnsi="Cambria"/>
          <w:sz w:val="20"/>
          <w:szCs w:val="20"/>
        </w:rPr>
        <w:t>psychologists</w:t>
      </w:r>
      <w:r w:rsidR="00854FE3" w:rsidRPr="007D0545">
        <w:rPr>
          <w:rFonts w:ascii="Cambria" w:hAnsi="Cambria"/>
          <w:sz w:val="20"/>
          <w:szCs w:val="20"/>
        </w:rPr>
        <w:t xml:space="preserve"> who had been appointed to make a determination and present information to the court as to whether Mr. [Sequoyah] was competent to represent himself.”</w:t>
      </w:r>
      <w:r w:rsidR="00854FE3" w:rsidRPr="007D0545">
        <w:rPr>
          <w:rStyle w:val="FootnoteReference"/>
          <w:rFonts w:ascii="Cambria" w:hAnsi="Cambria"/>
          <w:sz w:val="20"/>
          <w:szCs w:val="20"/>
        </w:rPr>
        <w:footnoteReference w:id="23"/>
      </w:r>
      <w:r w:rsidR="00284E86" w:rsidRPr="007D0545">
        <w:rPr>
          <w:rFonts w:ascii="Cambria" w:hAnsi="Cambria"/>
          <w:sz w:val="20"/>
          <w:szCs w:val="20"/>
        </w:rPr>
        <w:t xml:space="preserve"> </w:t>
      </w:r>
      <w:r w:rsidR="004F37CA" w:rsidRPr="007D0545">
        <w:rPr>
          <w:rFonts w:ascii="Cambria" w:hAnsi="Cambria"/>
          <w:sz w:val="20"/>
          <w:szCs w:val="20"/>
        </w:rPr>
        <w:t xml:space="preserve">Judge </w:t>
      </w:r>
      <w:r w:rsidR="00AB097B" w:rsidRPr="007D0545">
        <w:rPr>
          <w:rFonts w:ascii="Cambria" w:hAnsi="Cambria"/>
          <w:sz w:val="20"/>
          <w:szCs w:val="20"/>
        </w:rPr>
        <w:t>Edwards Jr.</w:t>
      </w:r>
      <w:r w:rsidR="004F37CA" w:rsidRPr="007D0545">
        <w:rPr>
          <w:rFonts w:ascii="Cambria" w:hAnsi="Cambria"/>
          <w:sz w:val="20"/>
          <w:szCs w:val="20"/>
        </w:rPr>
        <w:t xml:space="preserve">, </w:t>
      </w:r>
      <w:r w:rsidR="000B276D" w:rsidRPr="007D0545">
        <w:rPr>
          <w:rFonts w:ascii="Cambria" w:hAnsi="Cambria"/>
          <w:sz w:val="20"/>
          <w:szCs w:val="20"/>
        </w:rPr>
        <w:t>at</w:t>
      </w:r>
      <w:r w:rsidR="004F37CA" w:rsidRPr="007D0545">
        <w:rPr>
          <w:rFonts w:ascii="Cambria" w:hAnsi="Cambria"/>
          <w:sz w:val="20"/>
          <w:szCs w:val="20"/>
        </w:rPr>
        <w:t xml:space="preserve"> the August 30, 1990 hearing, also referred to the opinion of Dr. Katherine R. Di Francesca, psychiatrist, in the following terms:</w:t>
      </w:r>
    </w:p>
    <w:p w14:paraId="5AE04DFF" w14:textId="77777777" w:rsidR="007C7B95" w:rsidRPr="007D0545" w:rsidRDefault="007C7B95" w:rsidP="007C7B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6A1D0713" w14:textId="77777777" w:rsidR="004F37CA" w:rsidRPr="007D0545" w:rsidRDefault="004F37CA" w:rsidP="007C7B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720" w:right="720"/>
        <w:jc w:val="both"/>
        <w:textAlignment w:val="baseline"/>
        <w:rPr>
          <w:rFonts w:ascii="Cambria" w:hAnsi="Cambria"/>
          <w:sz w:val="18"/>
          <w:szCs w:val="18"/>
        </w:rPr>
      </w:pPr>
      <w:r w:rsidRPr="007D0545">
        <w:rPr>
          <w:rFonts w:ascii="Cambria" w:hAnsi="Cambria"/>
          <w:sz w:val="18"/>
          <w:szCs w:val="18"/>
        </w:rPr>
        <w:t xml:space="preserve">“I will share [her opinion] with you: “The question that faces the court is whether Mr. [Sequoyah] is competent to waive his right to counsel and proceed in </w:t>
      </w:r>
      <w:r w:rsidRPr="007D0545">
        <w:rPr>
          <w:rFonts w:ascii="Cambria" w:hAnsi="Cambria"/>
          <w:i/>
          <w:sz w:val="18"/>
          <w:szCs w:val="18"/>
        </w:rPr>
        <w:t>pro per</w:t>
      </w:r>
      <w:r w:rsidRPr="007D0545">
        <w:rPr>
          <w:rFonts w:ascii="Cambria" w:hAnsi="Cambria"/>
          <w:sz w:val="18"/>
          <w:szCs w:val="18"/>
        </w:rPr>
        <w:t>. In my opinion, because of Mr. [Sequoyah]’s severe borderline personality disorder, no matter if this were a murder case or a case much less serious, Mr. [Sequoyah] would not be able to rationally develop his defense if that case in any way involved an assault on his self-esteem.”</w:t>
      </w:r>
      <w:r w:rsidRPr="007D0545">
        <w:rPr>
          <w:rStyle w:val="FootnoteReference"/>
          <w:rFonts w:ascii="Cambria" w:hAnsi="Cambria"/>
          <w:sz w:val="18"/>
          <w:szCs w:val="18"/>
        </w:rPr>
        <w:footnoteReference w:id="24"/>
      </w:r>
    </w:p>
    <w:p w14:paraId="76A56321" w14:textId="77777777" w:rsidR="00B8646F" w:rsidRPr="007D0545" w:rsidRDefault="00B8646F" w:rsidP="00B864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41D8D329" w14:textId="77777777" w:rsidR="000B276D" w:rsidRPr="007D0545" w:rsidRDefault="000B276D" w:rsidP="001C68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At the end of the hearing Judge Edwards Jr. order</w:t>
      </w:r>
      <w:r w:rsidR="005D55A5" w:rsidRPr="007D0545">
        <w:rPr>
          <w:rFonts w:ascii="Cambria" w:hAnsi="Cambria"/>
          <w:sz w:val="20"/>
          <w:szCs w:val="20"/>
        </w:rPr>
        <w:t>ed</w:t>
      </w:r>
      <w:r w:rsidRPr="007D0545">
        <w:rPr>
          <w:rFonts w:ascii="Cambria" w:hAnsi="Cambria"/>
          <w:sz w:val="20"/>
          <w:szCs w:val="20"/>
        </w:rPr>
        <w:t xml:space="preserve"> to have Mr. Sequoyah examined by Dr. Kalish, Dr. Di Francesca, Dr. Norum and a new expert.</w:t>
      </w:r>
      <w:r w:rsidRPr="007D0545">
        <w:rPr>
          <w:rStyle w:val="FootnoteReference"/>
          <w:rFonts w:ascii="Cambria" w:hAnsi="Cambria"/>
          <w:sz w:val="20"/>
          <w:szCs w:val="20"/>
        </w:rPr>
        <w:footnoteReference w:id="25"/>
      </w:r>
      <w:r w:rsidR="0072335A" w:rsidRPr="007D0545">
        <w:rPr>
          <w:rFonts w:ascii="Cambria" w:hAnsi="Cambria"/>
          <w:sz w:val="20"/>
          <w:szCs w:val="20"/>
        </w:rPr>
        <w:t xml:space="preserve"> The Supreme Court of California finally confirmed the decision to grant Mr. Sequoyah’s motion </w:t>
      </w:r>
      <w:r w:rsidR="006B6FFA" w:rsidRPr="007D0545">
        <w:rPr>
          <w:rFonts w:ascii="Cambria" w:hAnsi="Cambria"/>
          <w:sz w:val="20"/>
          <w:szCs w:val="20"/>
        </w:rPr>
        <w:t xml:space="preserve">to represent himself </w:t>
      </w:r>
      <w:r w:rsidR="0072335A" w:rsidRPr="007D0545">
        <w:rPr>
          <w:rFonts w:ascii="Cambria" w:hAnsi="Cambria"/>
          <w:sz w:val="20"/>
          <w:szCs w:val="20"/>
        </w:rPr>
        <w:t>and the case proceeded to trial.</w:t>
      </w:r>
    </w:p>
    <w:p w14:paraId="3629B492" w14:textId="77777777" w:rsidR="000B276D" w:rsidRPr="007D0545" w:rsidRDefault="000B276D" w:rsidP="000B27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7901155C" w14:textId="77777777" w:rsidR="00912642" w:rsidRPr="007D0545" w:rsidRDefault="000D68F4" w:rsidP="00390D19">
      <w:pPr>
        <w:pStyle w:val="Heading2"/>
        <w:numPr>
          <w:ilvl w:val="0"/>
          <w:numId w:val="59"/>
        </w:numPr>
        <w:spacing w:before="0"/>
        <w:ind w:left="1440" w:hanging="720"/>
        <w:rPr>
          <w:color w:val="auto"/>
          <w:sz w:val="20"/>
          <w:szCs w:val="20"/>
        </w:rPr>
      </w:pPr>
      <w:bookmarkStart w:id="7" w:name="_Toc26556086"/>
      <w:r w:rsidRPr="007D0545">
        <w:rPr>
          <w:color w:val="auto"/>
          <w:sz w:val="20"/>
          <w:szCs w:val="20"/>
        </w:rPr>
        <w:t>D</w:t>
      </w:r>
      <w:r w:rsidR="0026154C" w:rsidRPr="007D0545">
        <w:rPr>
          <w:color w:val="auto"/>
          <w:sz w:val="20"/>
          <w:szCs w:val="20"/>
        </w:rPr>
        <w:t>eath sentence</w:t>
      </w:r>
      <w:r w:rsidRPr="007D0545">
        <w:rPr>
          <w:color w:val="auto"/>
          <w:sz w:val="20"/>
          <w:szCs w:val="20"/>
        </w:rPr>
        <w:t xml:space="preserve"> and </w:t>
      </w:r>
      <w:r w:rsidR="00C45976" w:rsidRPr="007D0545">
        <w:rPr>
          <w:color w:val="auto"/>
          <w:sz w:val="20"/>
          <w:szCs w:val="20"/>
        </w:rPr>
        <w:t>automatic</w:t>
      </w:r>
      <w:r w:rsidRPr="007D0545">
        <w:rPr>
          <w:color w:val="auto"/>
          <w:sz w:val="20"/>
          <w:szCs w:val="20"/>
        </w:rPr>
        <w:t xml:space="preserve"> appeal</w:t>
      </w:r>
      <w:bookmarkEnd w:id="7"/>
    </w:p>
    <w:p w14:paraId="399D5FD6" w14:textId="77777777" w:rsidR="00E4390D" w:rsidRPr="007D0545" w:rsidRDefault="00E4390D" w:rsidP="000907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1440" w:hanging="720"/>
        <w:jc w:val="both"/>
        <w:rPr>
          <w:rFonts w:asciiTheme="majorHAnsi" w:hAnsiTheme="majorHAnsi"/>
          <w:sz w:val="20"/>
          <w:szCs w:val="20"/>
        </w:rPr>
      </w:pPr>
    </w:p>
    <w:p w14:paraId="6572607E" w14:textId="77777777" w:rsidR="000A0EF3" w:rsidRPr="007D0545" w:rsidRDefault="0026154C" w:rsidP="0026154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On May 6, 1991, Mr. Sequoyah entered a plea of not guilty to each of the charges and on May 10, 1991,</w:t>
      </w:r>
      <w:r w:rsidR="009C458A" w:rsidRPr="007D0545">
        <w:rPr>
          <w:rFonts w:ascii="Cambria" w:hAnsi="Cambria"/>
          <w:sz w:val="20"/>
          <w:szCs w:val="20"/>
        </w:rPr>
        <w:t xml:space="preserve"> the</w:t>
      </w:r>
      <w:r w:rsidRPr="007D0545">
        <w:rPr>
          <w:rFonts w:ascii="Cambria" w:hAnsi="Cambria"/>
          <w:sz w:val="20"/>
          <w:szCs w:val="20"/>
        </w:rPr>
        <w:t xml:space="preserve"> trial beg</w:t>
      </w:r>
      <w:r w:rsidR="006D5D5D" w:rsidRPr="007D0545">
        <w:rPr>
          <w:rFonts w:ascii="Cambria" w:hAnsi="Cambria"/>
          <w:sz w:val="20"/>
          <w:szCs w:val="20"/>
        </w:rPr>
        <w:t>a</w:t>
      </w:r>
      <w:r w:rsidRPr="007D0545">
        <w:rPr>
          <w:rFonts w:ascii="Cambria" w:hAnsi="Cambria"/>
          <w:sz w:val="20"/>
          <w:szCs w:val="20"/>
        </w:rPr>
        <w:t>n.</w:t>
      </w:r>
      <w:r w:rsidRPr="007D0545">
        <w:rPr>
          <w:rStyle w:val="FootnoteReference"/>
          <w:rFonts w:ascii="Cambria" w:hAnsi="Cambria"/>
          <w:sz w:val="20"/>
          <w:szCs w:val="20"/>
        </w:rPr>
        <w:footnoteReference w:id="26"/>
      </w:r>
      <w:r w:rsidRPr="007D0545">
        <w:rPr>
          <w:rFonts w:ascii="Cambria" w:hAnsi="Cambria"/>
          <w:sz w:val="20"/>
          <w:szCs w:val="20"/>
        </w:rPr>
        <w:t xml:space="preserve"> </w:t>
      </w:r>
      <w:r w:rsidR="006D5D5D" w:rsidRPr="007D0545">
        <w:rPr>
          <w:rFonts w:ascii="Cambria" w:hAnsi="Cambria"/>
          <w:sz w:val="20"/>
          <w:szCs w:val="20"/>
        </w:rPr>
        <w:t>I</w:t>
      </w:r>
      <w:r w:rsidR="00E230FD" w:rsidRPr="007D0545">
        <w:rPr>
          <w:rFonts w:ascii="Cambria" w:hAnsi="Cambria"/>
          <w:sz w:val="20"/>
          <w:szCs w:val="20"/>
        </w:rPr>
        <w:t xml:space="preserve">n a hearing </w:t>
      </w:r>
      <w:r w:rsidR="000A0EF3" w:rsidRPr="007D0545">
        <w:rPr>
          <w:rFonts w:ascii="Cambria" w:hAnsi="Cambria"/>
          <w:sz w:val="20"/>
          <w:szCs w:val="20"/>
        </w:rPr>
        <w:t xml:space="preserve">conducted </w:t>
      </w:r>
      <w:r w:rsidR="00E230FD" w:rsidRPr="007D0545">
        <w:rPr>
          <w:rFonts w:ascii="Cambria" w:hAnsi="Cambria"/>
          <w:sz w:val="20"/>
          <w:szCs w:val="20"/>
        </w:rPr>
        <w:t xml:space="preserve">on October 29, 1991, </w:t>
      </w:r>
      <w:r w:rsidR="000A0EF3" w:rsidRPr="007D0545">
        <w:rPr>
          <w:rFonts w:ascii="Cambria" w:hAnsi="Cambria"/>
          <w:sz w:val="20"/>
          <w:szCs w:val="20"/>
        </w:rPr>
        <w:t>the judge</w:t>
      </w:r>
      <w:r w:rsidR="00CD36BA" w:rsidRPr="007D0545">
        <w:rPr>
          <w:rFonts w:ascii="Cambria" w:hAnsi="Cambria"/>
          <w:sz w:val="20"/>
          <w:szCs w:val="20"/>
        </w:rPr>
        <w:t xml:space="preserve"> stated</w:t>
      </w:r>
      <w:r w:rsidR="000A0EF3" w:rsidRPr="007D0545">
        <w:rPr>
          <w:rFonts w:ascii="Cambria" w:hAnsi="Cambria"/>
          <w:sz w:val="20"/>
          <w:szCs w:val="20"/>
        </w:rPr>
        <w:t>,</w:t>
      </w:r>
      <w:r w:rsidR="00CD36BA" w:rsidRPr="007D0545">
        <w:rPr>
          <w:rFonts w:ascii="Cambria" w:hAnsi="Cambria"/>
          <w:sz w:val="20"/>
          <w:szCs w:val="20"/>
        </w:rPr>
        <w:t xml:space="preserve"> with regard to Mr. </w:t>
      </w:r>
      <w:r w:rsidR="000A0EF3" w:rsidRPr="007D0545">
        <w:rPr>
          <w:rFonts w:ascii="Cambria" w:hAnsi="Cambria"/>
          <w:sz w:val="20"/>
          <w:szCs w:val="20"/>
        </w:rPr>
        <w:t xml:space="preserve"> Sequoyah, “not that I have any question for a moment about your competency, but I think it’s obvious that you have some disabilities that you’re contending with that I thin</w:t>
      </w:r>
      <w:r w:rsidR="00404A51" w:rsidRPr="007D0545">
        <w:rPr>
          <w:rFonts w:ascii="Cambria" w:hAnsi="Cambria"/>
          <w:sz w:val="20"/>
          <w:szCs w:val="20"/>
        </w:rPr>
        <w:t>k</w:t>
      </w:r>
      <w:r w:rsidR="000A0EF3" w:rsidRPr="007D0545">
        <w:rPr>
          <w:rFonts w:ascii="Cambria" w:hAnsi="Cambria"/>
          <w:sz w:val="20"/>
          <w:szCs w:val="20"/>
        </w:rPr>
        <w:t xml:space="preserve"> get in the way of rational thought on your part.”</w:t>
      </w:r>
      <w:r w:rsidR="000A0EF3" w:rsidRPr="007D0545">
        <w:rPr>
          <w:rStyle w:val="FootnoteReference"/>
          <w:rFonts w:ascii="Cambria" w:hAnsi="Cambria"/>
          <w:sz w:val="20"/>
          <w:szCs w:val="20"/>
        </w:rPr>
        <w:footnoteReference w:id="27"/>
      </w:r>
      <w:r w:rsidR="000A0EF3" w:rsidRPr="007D0545">
        <w:rPr>
          <w:rFonts w:ascii="Cambria" w:hAnsi="Cambria"/>
          <w:sz w:val="20"/>
          <w:szCs w:val="20"/>
        </w:rPr>
        <w:t xml:space="preserve"> </w:t>
      </w:r>
    </w:p>
    <w:p w14:paraId="6FECB41D" w14:textId="77777777" w:rsidR="000A0EF3" w:rsidRPr="007D0545" w:rsidRDefault="000A0EF3" w:rsidP="000A0E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jc w:val="both"/>
        <w:textAlignment w:val="baseline"/>
        <w:rPr>
          <w:rFonts w:ascii="Cambria" w:hAnsi="Cambria"/>
          <w:sz w:val="20"/>
          <w:szCs w:val="20"/>
        </w:rPr>
      </w:pPr>
    </w:p>
    <w:p w14:paraId="66C69D6A" w14:textId="77777777" w:rsidR="004E4761" w:rsidRPr="007D0545" w:rsidRDefault="0026154C" w:rsidP="004E47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On</w:t>
      </w:r>
      <w:r w:rsidR="00CD36BA" w:rsidRPr="007D0545">
        <w:rPr>
          <w:rFonts w:ascii="Cambria" w:hAnsi="Cambria"/>
          <w:sz w:val="20"/>
          <w:szCs w:val="20"/>
        </w:rPr>
        <w:t xml:space="preserve"> November 1991</w:t>
      </w:r>
      <w:r w:rsidR="006D5D5D" w:rsidRPr="007D0545">
        <w:rPr>
          <w:rFonts w:ascii="Cambria" w:hAnsi="Cambria"/>
          <w:sz w:val="20"/>
          <w:szCs w:val="20"/>
        </w:rPr>
        <w:t>,</w:t>
      </w:r>
      <w:r w:rsidR="00CD36BA" w:rsidRPr="007D0545">
        <w:rPr>
          <w:rFonts w:ascii="Cambria" w:hAnsi="Cambria"/>
          <w:sz w:val="20"/>
          <w:szCs w:val="20"/>
        </w:rPr>
        <w:t xml:space="preserve"> Mr. Sequoyah was convicted of murder with special circumstances and on</w:t>
      </w:r>
      <w:r w:rsidRPr="007D0545">
        <w:rPr>
          <w:rFonts w:ascii="Cambria" w:hAnsi="Cambria"/>
          <w:sz w:val="20"/>
          <w:szCs w:val="20"/>
        </w:rPr>
        <w:t xml:space="preserve"> </w:t>
      </w:r>
      <w:r w:rsidR="004E4761" w:rsidRPr="007D0545">
        <w:rPr>
          <w:rFonts w:ascii="Cambria" w:hAnsi="Cambria"/>
          <w:sz w:val="20"/>
          <w:szCs w:val="20"/>
        </w:rPr>
        <w:t>March 2</w:t>
      </w:r>
      <w:r w:rsidRPr="007D0545">
        <w:rPr>
          <w:rFonts w:ascii="Cambria" w:hAnsi="Cambria"/>
          <w:sz w:val="20"/>
          <w:szCs w:val="20"/>
        </w:rPr>
        <w:t xml:space="preserve">, 1992, </w:t>
      </w:r>
      <w:r w:rsidR="00CD36BA" w:rsidRPr="007D0545">
        <w:rPr>
          <w:rFonts w:ascii="Cambria" w:hAnsi="Cambria"/>
          <w:sz w:val="20"/>
          <w:szCs w:val="20"/>
        </w:rPr>
        <w:t>he</w:t>
      </w:r>
      <w:r w:rsidRPr="007D0545">
        <w:rPr>
          <w:rFonts w:ascii="Cambria" w:hAnsi="Cambria"/>
          <w:sz w:val="20"/>
          <w:szCs w:val="20"/>
        </w:rPr>
        <w:t xml:space="preserve"> was sentenced to death.</w:t>
      </w:r>
      <w:r w:rsidR="004E4761" w:rsidRPr="007D0545">
        <w:rPr>
          <w:rFonts w:ascii="Cambria" w:hAnsi="Cambria"/>
          <w:sz w:val="20"/>
          <w:szCs w:val="20"/>
        </w:rPr>
        <w:t xml:space="preserve"> </w:t>
      </w:r>
      <w:r w:rsidRPr="007D0545">
        <w:rPr>
          <w:rFonts w:ascii="Cambria" w:hAnsi="Cambria"/>
          <w:sz w:val="20"/>
          <w:szCs w:val="20"/>
        </w:rPr>
        <w:t xml:space="preserve">On December 1, 1995, the Supreme Court of California appointed a State Public Defender to represent Mr. Sequoyah </w:t>
      </w:r>
      <w:r w:rsidR="006D5D5D" w:rsidRPr="007D0545">
        <w:rPr>
          <w:rFonts w:ascii="Cambria" w:hAnsi="Cambria"/>
          <w:sz w:val="20"/>
          <w:szCs w:val="20"/>
        </w:rPr>
        <w:t>i</w:t>
      </w:r>
      <w:r w:rsidRPr="007D0545">
        <w:rPr>
          <w:rFonts w:ascii="Cambria" w:hAnsi="Cambria"/>
          <w:sz w:val="20"/>
          <w:szCs w:val="20"/>
        </w:rPr>
        <w:t>n his automatic appeal, including any habeas proceedings.</w:t>
      </w:r>
      <w:r w:rsidRPr="007D0545">
        <w:rPr>
          <w:rStyle w:val="FootnoteReference"/>
          <w:rFonts w:ascii="Cambria" w:hAnsi="Cambria"/>
          <w:sz w:val="20"/>
          <w:szCs w:val="20"/>
        </w:rPr>
        <w:footnoteReference w:id="28"/>
      </w:r>
    </w:p>
    <w:p w14:paraId="6C91E676" w14:textId="77777777" w:rsidR="004E4761" w:rsidRPr="007D0545" w:rsidRDefault="004E4761" w:rsidP="004E4761">
      <w:pPr>
        <w:pStyle w:val="ListParagraph"/>
        <w:rPr>
          <w:sz w:val="20"/>
          <w:szCs w:val="20"/>
        </w:rPr>
      </w:pPr>
    </w:p>
    <w:p w14:paraId="34433FD8" w14:textId="77777777" w:rsidR="0026154C" w:rsidRPr="007D0545" w:rsidRDefault="004E4761" w:rsidP="004E47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 xml:space="preserve">On December 11, 1997, </w:t>
      </w:r>
      <w:r w:rsidR="00607F83" w:rsidRPr="007D0545">
        <w:rPr>
          <w:rFonts w:ascii="Cambria" w:hAnsi="Cambria"/>
          <w:sz w:val="20"/>
          <w:szCs w:val="20"/>
        </w:rPr>
        <w:t xml:space="preserve">the State Public Defender </w:t>
      </w:r>
      <w:r w:rsidR="0058343A" w:rsidRPr="007D0545">
        <w:rPr>
          <w:rFonts w:ascii="Cambria" w:hAnsi="Cambria"/>
          <w:sz w:val="20"/>
          <w:szCs w:val="20"/>
        </w:rPr>
        <w:t>fil</w:t>
      </w:r>
      <w:r w:rsidR="001C3032" w:rsidRPr="007D0545">
        <w:rPr>
          <w:rFonts w:ascii="Cambria" w:hAnsi="Cambria"/>
          <w:sz w:val="20"/>
          <w:szCs w:val="20"/>
        </w:rPr>
        <w:t>ed a request for correction of the C</w:t>
      </w:r>
      <w:r w:rsidR="0058343A" w:rsidRPr="007D0545">
        <w:rPr>
          <w:rFonts w:ascii="Cambria" w:hAnsi="Cambria"/>
          <w:sz w:val="20"/>
          <w:szCs w:val="20"/>
        </w:rPr>
        <w:t>lerk’</w:t>
      </w:r>
      <w:r w:rsidR="001C3032" w:rsidRPr="007D0545">
        <w:rPr>
          <w:rFonts w:ascii="Cambria" w:hAnsi="Cambria"/>
          <w:sz w:val="20"/>
          <w:szCs w:val="20"/>
        </w:rPr>
        <w:t>s and R</w:t>
      </w:r>
      <w:r w:rsidR="0058343A" w:rsidRPr="007D0545">
        <w:rPr>
          <w:rFonts w:ascii="Cambria" w:hAnsi="Cambria"/>
          <w:sz w:val="20"/>
          <w:szCs w:val="20"/>
        </w:rPr>
        <w:t xml:space="preserve">eporter’s transcripts with </w:t>
      </w:r>
      <w:r w:rsidR="00607F83" w:rsidRPr="007D0545">
        <w:rPr>
          <w:rFonts w:ascii="Cambria" w:hAnsi="Cambria"/>
          <w:sz w:val="20"/>
          <w:szCs w:val="20"/>
        </w:rPr>
        <w:t>the Superior Court of San Diego</w:t>
      </w:r>
      <w:r w:rsidR="001C3032" w:rsidRPr="007D0545">
        <w:rPr>
          <w:rFonts w:ascii="Cambria" w:hAnsi="Cambria"/>
          <w:sz w:val="20"/>
          <w:szCs w:val="20"/>
        </w:rPr>
        <w:t xml:space="preserve">. </w:t>
      </w:r>
      <w:r w:rsidR="00FA2C1D" w:rsidRPr="007D0545">
        <w:rPr>
          <w:rFonts w:ascii="Cambria" w:hAnsi="Cambria"/>
          <w:sz w:val="20"/>
          <w:szCs w:val="20"/>
        </w:rPr>
        <w:t>Defense counsel stated that “it [was] important that the record on appeal, particularly in a capital case, be accurate and complete […] because a reviewing court will rely on the record as certified and may not go behind the testimony as it appears in the certified transcripts.”</w:t>
      </w:r>
      <w:r w:rsidR="00FA2C1D" w:rsidRPr="007D0545">
        <w:rPr>
          <w:rStyle w:val="FootnoteReference"/>
          <w:rFonts w:ascii="Cambria" w:hAnsi="Cambria"/>
          <w:sz w:val="20"/>
          <w:szCs w:val="20"/>
        </w:rPr>
        <w:footnoteReference w:id="29"/>
      </w:r>
      <w:r w:rsidR="00FA2C1D" w:rsidRPr="007D0545">
        <w:rPr>
          <w:rFonts w:ascii="Cambria" w:hAnsi="Cambria"/>
          <w:sz w:val="20"/>
          <w:szCs w:val="20"/>
        </w:rPr>
        <w:t xml:space="preserve"> </w:t>
      </w:r>
      <w:r w:rsidR="006D5D5D" w:rsidRPr="007D0545">
        <w:rPr>
          <w:rFonts w:ascii="Cambria" w:hAnsi="Cambria"/>
          <w:sz w:val="20"/>
          <w:szCs w:val="20"/>
        </w:rPr>
        <w:t>Defense counsel</w:t>
      </w:r>
      <w:r w:rsidR="00FA2C1D" w:rsidRPr="007D0545">
        <w:rPr>
          <w:rFonts w:ascii="Cambria" w:hAnsi="Cambria"/>
          <w:sz w:val="20"/>
          <w:szCs w:val="20"/>
        </w:rPr>
        <w:t xml:space="preserve"> further</w:t>
      </w:r>
      <w:r w:rsidR="001C3032" w:rsidRPr="007D0545">
        <w:rPr>
          <w:rFonts w:ascii="Cambria" w:hAnsi="Cambria"/>
          <w:sz w:val="20"/>
          <w:szCs w:val="20"/>
        </w:rPr>
        <w:t xml:space="preserve"> indicated that </w:t>
      </w:r>
      <w:r w:rsidR="006206FF" w:rsidRPr="007D0545">
        <w:rPr>
          <w:rFonts w:ascii="Cambria" w:hAnsi="Cambria"/>
          <w:sz w:val="20"/>
          <w:szCs w:val="20"/>
        </w:rPr>
        <w:t>neither</w:t>
      </w:r>
      <w:r w:rsidR="001C3032" w:rsidRPr="007D0545">
        <w:rPr>
          <w:rFonts w:ascii="Cambria" w:hAnsi="Cambria"/>
          <w:sz w:val="20"/>
          <w:szCs w:val="20"/>
        </w:rPr>
        <w:t xml:space="preserve"> transcript</w:t>
      </w:r>
      <w:r w:rsidR="006206FF" w:rsidRPr="007D0545">
        <w:rPr>
          <w:rFonts w:ascii="Cambria" w:hAnsi="Cambria"/>
          <w:sz w:val="20"/>
          <w:szCs w:val="20"/>
        </w:rPr>
        <w:t xml:space="preserve"> followed Rule 9(d) of the California Rules of Court in </w:t>
      </w:r>
      <w:r w:rsidR="006D5D5D" w:rsidRPr="007D0545">
        <w:rPr>
          <w:rFonts w:ascii="Cambria" w:hAnsi="Cambria"/>
          <w:sz w:val="20"/>
          <w:szCs w:val="20"/>
        </w:rPr>
        <w:t xml:space="preserve">its </w:t>
      </w:r>
      <w:r w:rsidR="006206FF" w:rsidRPr="007D0545">
        <w:rPr>
          <w:rFonts w:ascii="Cambria" w:hAnsi="Cambria"/>
          <w:sz w:val="20"/>
          <w:szCs w:val="20"/>
        </w:rPr>
        <w:t>organization and indexing. He also stated that “in many instances throughout the CT, there are documents with multiple parts which have not been kept together. Instead, they are separated by other unrelated documents within the same volume or they appear in totally separate volumes of the CT.”</w:t>
      </w:r>
      <w:r w:rsidR="006206FF" w:rsidRPr="007D0545">
        <w:rPr>
          <w:rStyle w:val="FootnoteReference"/>
          <w:rFonts w:ascii="Cambria" w:hAnsi="Cambria"/>
          <w:sz w:val="20"/>
          <w:szCs w:val="20"/>
        </w:rPr>
        <w:footnoteReference w:id="30"/>
      </w:r>
      <w:r w:rsidR="001C3032" w:rsidRPr="007D0545">
        <w:rPr>
          <w:rFonts w:ascii="Cambria" w:hAnsi="Cambria"/>
          <w:sz w:val="20"/>
          <w:szCs w:val="20"/>
        </w:rPr>
        <w:t xml:space="preserve"> </w:t>
      </w:r>
    </w:p>
    <w:p w14:paraId="12F5086E" w14:textId="77777777" w:rsidR="000D68F4" w:rsidRPr="007D0545" w:rsidRDefault="000D68F4" w:rsidP="000D68F4">
      <w:pPr>
        <w:pStyle w:val="ListParagraph"/>
        <w:rPr>
          <w:sz w:val="20"/>
          <w:szCs w:val="20"/>
        </w:rPr>
      </w:pPr>
    </w:p>
    <w:p w14:paraId="5D5117F6" w14:textId="77777777" w:rsidR="000D68F4" w:rsidRPr="007D0545" w:rsidRDefault="000D68F4" w:rsidP="004E47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0" w:firstLine="0"/>
        <w:jc w:val="both"/>
        <w:textAlignment w:val="baseline"/>
        <w:rPr>
          <w:rFonts w:ascii="Cambria" w:hAnsi="Cambria"/>
          <w:sz w:val="20"/>
          <w:szCs w:val="20"/>
        </w:rPr>
      </w:pPr>
      <w:r w:rsidRPr="007D0545">
        <w:rPr>
          <w:rFonts w:ascii="Cambria" w:hAnsi="Cambria"/>
          <w:sz w:val="20"/>
          <w:szCs w:val="20"/>
        </w:rPr>
        <w:t xml:space="preserve">On February </w:t>
      </w:r>
      <w:r w:rsidR="003F0B2B" w:rsidRPr="007D0545">
        <w:rPr>
          <w:rFonts w:ascii="Cambria" w:hAnsi="Cambria"/>
          <w:sz w:val="20"/>
          <w:szCs w:val="20"/>
        </w:rPr>
        <w:t>6</w:t>
      </w:r>
      <w:r w:rsidRPr="007D0545">
        <w:rPr>
          <w:rFonts w:ascii="Cambria" w:hAnsi="Cambria"/>
          <w:sz w:val="20"/>
          <w:szCs w:val="20"/>
        </w:rPr>
        <w:t>, 2001</w:t>
      </w:r>
      <w:r w:rsidR="00FA2C1D" w:rsidRPr="007D0545">
        <w:rPr>
          <w:rFonts w:ascii="Cambria" w:hAnsi="Cambria"/>
          <w:sz w:val="20"/>
          <w:szCs w:val="20"/>
        </w:rPr>
        <w:t>, defense counsel filed a renewed request for correction of record,</w:t>
      </w:r>
      <w:r w:rsidR="006A7764" w:rsidRPr="007D0545">
        <w:rPr>
          <w:rFonts w:ascii="Cambria" w:hAnsi="Cambria"/>
          <w:sz w:val="20"/>
          <w:szCs w:val="20"/>
        </w:rPr>
        <w:t xml:space="preserve"> an</w:t>
      </w:r>
      <w:r w:rsidR="00FA2C1D" w:rsidRPr="007D0545">
        <w:rPr>
          <w:rFonts w:ascii="Cambria" w:hAnsi="Cambria"/>
          <w:sz w:val="20"/>
          <w:szCs w:val="20"/>
        </w:rPr>
        <w:t xml:space="preserve"> application to augment the record on appeal, and </w:t>
      </w:r>
      <w:r w:rsidR="006A7764" w:rsidRPr="007D0545">
        <w:rPr>
          <w:rFonts w:ascii="Cambria" w:hAnsi="Cambria"/>
          <w:sz w:val="20"/>
          <w:szCs w:val="20"/>
        </w:rPr>
        <w:t xml:space="preserve">a </w:t>
      </w:r>
      <w:r w:rsidR="00FA2C1D" w:rsidRPr="007D0545">
        <w:rPr>
          <w:rFonts w:ascii="Cambria" w:hAnsi="Cambria"/>
          <w:sz w:val="20"/>
          <w:szCs w:val="20"/>
        </w:rPr>
        <w:t>request for correction of Court Reporter’s certificates</w:t>
      </w:r>
      <w:r w:rsidR="006A7764" w:rsidRPr="007D0545">
        <w:rPr>
          <w:rFonts w:ascii="Cambria" w:hAnsi="Cambria"/>
          <w:sz w:val="20"/>
          <w:szCs w:val="20"/>
        </w:rPr>
        <w:t>, asserting</w:t>
      </w:r>
      <w:r w:rsidR="00031A82" w:rsidRPr="007D0545">
        <w:rPr>
          <w:rFonts w:ascii="Cambria" w:hAnsi="Cambria"/>
          <w:sz w:val="20"/>
          <w:szCs w:val="20"/>
        </w:rPr>
        <w:t xml:space="preserve"> that:</w:t>
      </w:r>
    </w:p>
    <w:p w14:paraId="0B111475" w14:textId="77777777" w:rsidR="00031A82" w:rsidRPr="007D0545" w:rsidRDefault="00031A82" w:rsidP="00031A82">
      <w:pPr>
        <w:pStyle w:val="ListParagraph"/>
        <w:rPr>
          <w:sz w:val="20"/>
          <w:szCs w:val="20"/>
        </w:rPr>
      </w:pPr>
    </w:p>
    <w:p w14:paraId="294A890C" w14:textId="77777777" w:rsidR="00031A82" w:rsidRPr="007D0545" w:rsidRDefault="00031A82" w:rsidP="00E81A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720" w:right="720"/>
        <w:jc w:val="both"/>
        <w:textAlignment w:val="baseline"/>
        <w:rPr>
          <w:rFonts w:ascii="Cambria" w:hAnsi="Cambria"/>
          <w:sz w:val="18"/>
          <w:szCs w:val="18"/>
        </w:rPr>
      </w:pPr>
      <w:r w:rsidRPr="007D0545">
        <w:rPr>
          <w:rFonts w:ascii="Cambria" w:hAnsi="Cambria"/>
          <w:sz w:val="18"/>
          <w:szCs w:val="18"/>
        </w:rPr>
        <w:lastRenderedPageBreak/>
        <w:t xml:space="preserve">“Appellant’s initial record correction </w:t>
      </w:r>
      <w:r w:rsidR="00DA4E4E" w:rsidRPr="007D0545">
        <w:rPr>
          <w:rFonts w:ascii="Cambria" w:hAnsi="Cambria"/>
          <w:sz w:val="18"/>
          <w:szCs w:val="18"/>
        </w:rPr>
        <w:t>and augmentations motion was filed in December 1997. That motion was 230 pages long, with approximately 220 pages of exhibits. On or about March 15, 1999, Respondent responded thereto. On March 3, 2000, this Court entered its Order Granting in Part and Denying In Part Appellant’s Application to Augment and Correct the Record. That Order generally granted Appellant’s requests that the Clerk’s Transcript be reorganized and indices prepared, and generally denied most of Appellant’s other requests, in most cases without prejudice to them being reasserted after delivery of the reorganized Clerk’s Transcript. Appellate counsel has now completed his review of that partially corrected Clerk’s Transcript and, pursuant to California Rules of Court, rule 35(c), submits the following Renewed Request for Correction of the transcripts and Application to Augment the record on appeal.</w:t>
      </w:r>
      <w:r w:rsidR="006F672E" w:rsidRPr="007D0545">
        <w:rPr>
          <w:rFonts w:ascii="Cambria" w:hAnsi="Cambria"/>
          <w:sz w:val="18"/>
          <w:szCs w:val="18"/>
        </w:rPr>
        <w:t>”</w:t>
      </w:r>
      <w:r w:rsidR="006F672E" w:rsidRPr="007D0545">
        <w:rPr>
          <w:rStyle w:val="FootnoteReference"/>
          <w:rFonts w:ascii="Cambria" w:hAnsi="Cambria"/>
          <w:sz w:val="18"/>
          <w:szCs w:val="18"/>
        </w:rPr>
        <w:footnoteReference w:id="31"/>
      </w:r>
    </w:p>
    <w:p w14:paraId="2B786235" w14:textId="77777777" w:rsidR="00562E4A" w:rsidRPr="007D0545" w:rsidRDefault="00562E4A" w:rsidP="006A70B4">
      <w:pPr>
        <w:pStyle w:val="ListParagraph"/>
        <w:rPr>
          <w:rFonts w:eastAsia="Arial Unicode MS"/>
          <w:sz w:val="20"/>
          <w:szCs w:val="20"/>
        </w:rPr>
      </w:pPr>
    </w:p>
    <w:p w14:paraId="445C64B8" w14:textId="77777777" w:rsidR="003A7BFE" w:rsidRPr="007D0545" w:rsidRDefault="003A27F4" w:rsidP="003A7BFE">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7D0545">
        <w:rPr>
          <w:rFonts w:ascii="Cambria" w:eastAsia="Arial Unicode MS" w:hAnsi="Cambria"/>
          <w:sz w:val="20"/>
          <w:szCs w:val="20"/>
          <w:bdr w:val="nil"/>
        </w:rPr>
        <w:t xml:space="preserve">On </w:t>
      </w:r>
      <w:r w:rsidR="003F0B2B" w:rsidRPr="007D0545">
        <w:rPr>
          <w:rFonts w:ascii="Cambria" w:eastAsia="Arial Unicode MS" w:hAnsi="Cambria"/>
          <w:sz w:val="20"/>
          <w:szCs w:val="20"/>
          <w:bdr w:val="nil"/>
        </w:rPr>
        <w:t>November 20, 2001, the Superior Court of San Diego entered an order granting the request for time to prepare proposed settled statements. On August 9, 2002, defense counsel received three boxes full of additional and corrected record. On May 8, 2003, the Court extended the deadline to August 4, 2003.</w:t>
      </w:r>
      <w:r w:rsidR="00B37C3B" w:rsidRPr="007D0545">
        <w:rPr>
          <w:rFonts w:ascii="Cambria" w:eastAsia="Arial Unicode MS" w:hAnsi="Cambria"/>
          <w:sz w:val="20"/>
          <w:szCs w:val="20"/>
          <w:bdr w:val="nil"/>
        </w:rPr>
        <w:t xml:space="preserve"> </w:t>
      </w:r>
      <w:r w:rsidR="003F0B2B" w:rsidRPr="007D0545">
        <w:rPr>
          <w:rFonts w:ascii="Cambria" w:eastAsia="Arial Unicode MS" w:hAnsi="Cambria"/>
          <w:sz w:val="20"/>
          <w:szCs w:val="20"/>
          <w:bdr w:val="nil"/>
        </w:rPr>
        <w:t xml:space="preserve">On </w:t>
      </w:r>
      <w:r w:rsidRPr="007D0545">
        <w:rPr>
          <w:rFonts w:ascii="Cambria" w:eastAsia="Arial Unicode MS" w:hAnsi="Cambria"/>
          <w:sz w:val="20"/>
          <w:szCs w:val="20"/>
          <w:bdr w:val="nil"/>
        </w:rPr>
        <w:t>August 18, 2003,</w:t>
      </w:r>
      <w:r w:rsidR="003F0B2B" w:rsidRPr="007D0545">
        <w:rPr>
          <w:rFonts w:ascii="Cambria" w:eastAsia="Arial Unicode MS" w:hAnsi="Cambria"/>
          <w:sz w:val="20"/>
          <w:szCs w:val="20"/>
          <w:bdr w:val="nil"/>
        </w:rPr>
        <w:t xml:space="preserve"> defense counsel submitted an additional “request of time to prepare proposed settled statements and file pleadings” </w:t>
      </w:r>
      <w:r w:rsidR="00B37C3B" w:rsidRPr="007D0545">
        <w:rPr>
          <w:rFonts w:ascii="Cambria" w:eastAsia="Arial Unicode MS" w:hAnsi="Cambria"/>
          <w:sz w:val="20"/>
          <w:szCs w:val="20"/>
          <w:bdr w:val="nil"/>
        </w:rPr>
        <w:t>for medical reasons.</w:t>
      </w:r>
      <w:r w:rsidR="00B37C3B" w:rsidRPr="007D0545">
        <w:rPr>
          <w:rStyle w:val="FootnoteReference"/>
          <w:rFonts w:ascii="Cambria" w:eastAsia="Arial Unicode MS" w:hAnsi="Cambria"/>
          <w:sz w:val="20"/>
          <w:szCs w:val="20"/>
          <w:bdr w:val="nil"/>
        </w:rPr>
        <w:footnoteReference w:id="32"/>
      </w:r>
      <w:r w:rsidR="006B4324" w:rsidRPr="007D0545">
        <w:rPr>
          <w:rFonts w:ascii="Cambria" w:eastAsia="Arial Unicode MS" w:hAnsi="Cambria"/>
          <w:sz w:val="20"/>
          <w:szCs w:val="20"/>
          <w:bdr w:val="nil"/>
        </w:rPr>
        <w:t xml:space="preserve"> </w:t>
      </w:r>
      <w:r w:rsidR="00DD2C54" w:rsidRPr="007D0545">
        <w:rPr>
          <w:rFonts w:ascii="Cambria" w:eastAsia="Arial Unicode MS" w:hAnsi="Cambria"/>
          <w:sz w:val="20"/>
          <w:szCs w:val="20"/>
          <w:bdr w:val="nil"/>
        </w:rPr>
        <w:t xml:space="preserve">On July 23, 2004, </w:t>
      </w:r>
      <w:r w:rsidR="003675B8" w:rsidRPr="007D0545">
        <w:rPr>
          <w:rFonts w:ascii="Cambria" w:eastAsia="Arial Unicode MS" w:hAnsi="Cambria"/>
          <w:sz w:val="20"/>
          <w:szCs w:val="20"/>
          <w:bdr w:val="nil"/>
        </w:rPr>
        <w:t>in a new request of time, counsel stated th</w:t>
      </w:r>
      <w:r w:rsidR="00F74B0B" w:rsidRPr="007D0545">
        <w:rPr>
          <w:rFonts w:ascii="Cambria" w:eastAsia="Arial Unicode MS" w:hAnsi="Cambria"/>
          <w:sz w:val="20"/>
          <w:szCs w:val="20"/>
          <w:bdr w:val="nil"/>
        </w:rPr>
        <w:t>at</w:t>
      </w:r>
      <w:r w:rsidR="003675B8" w:rsidRPr="007D0545">
        <w:rPr>
          <w:rFonts w:ascii="Cambria" w:eastAsia="Arial Unicode MS" w:hAnsi="Cambria"/>
          <w:sz w:val="20"/>
          <w:szCs w:val="20"/>
          <w:bdr w:val="nil"/>
        </w:rPr>
        <w:t xml:space="preserve"> he was “continuing the necessary inventory of the thousands of pages of records previously received from [the] Court, as well as tens of thousands of pages gathered from other sources” and that the process was “extremely time-consuming because [he had] to review each of these documents for content relevant to these settled statements and/or further requests for additions to the record on appeal.”</w:t>
      </w:r>
      <w:r w:rsidR="006B4324" w:rsidRPr="007D0545">
        <w:rPr>
          <w:rStyle w:val="FootnoteReference"/>
          <w:rFonts w:ascii="Cambria" w:eastAsia="Arial Unicode MS" w:hAnsi="Cambria"/>
          <w:sz w:val="20"/>
          <w:szCs w:val="20"/>
          <w:bdr w:val="nil"/>
        </w:rPr>
        <w:footnoteReference w:id="33"/>
      </w:r>
      <w:r w:rsidR="003D3507" w:rsidRPr="007D0545">
        <w:rPr>
          <w:rFonts w:ascii="Cambria" w:eastAsia="Arial Unicode MS" w:hAnsi="Cambria"/>
          <w:sz w:val="20"/>
          <w:szCs w:val="20"/>
          <w:bdr w:val="nil"/>
        </w:rPr>
        <w:t xml:space="preserve"> According to the petitioners, the final record on appeal was delivered to the California Supreme Court in February 2007. The State did not contradict this allegation.</w:t>
      </w:r>
    </w:p>
    <w:p w14:paraId="2790BC0A" w14:textId="77777777" w:rsidR="003A7BFE" w:rsidRPr="007D0545" w:rsidRDefault="003A7BFE" w:rsidP="003A7BFE">
      <w:pPr>
        <w:pStyle w:val="NormalWeb"/>
        <w:shd w:val="clear" w:color="auto" w:fill="FFFFFF"/>
        <w:spacing w:before="0" w:beforeAutospacing="0" w:after="0" w:afterAutospacing="0"/>
        <w:jc w:val="both"/>
        <w:rPr>
          <w:rFonts w:ascii="Cambria" w:eastAsia="Arial Unicode MS" w:hAnsi="Cambria"/>
          <w:sz w:val="20"/>
          <w:szCs w:val="20"/>
          <w:bdr w:val="nil"/>
        </w:rPr>
      </w:pPr>
    </w:p>
    <w:p w14:paraId="768A9343" w14:textId="77777777" w:rsidR="003E366F" w:rsidRPr="007D0545" w:rsidRDefault="00E6364D" w:rsidP="003A7BFE">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7D0545">
        <w:rPr>
          <w:rFonts w:ascii="Cambria" w:eastAsia="Arial Unicode MS" w:hAnsi="Cambria"/>
          <w:sz w:val="20"/>
          <w:szCs w:val="20"/>
          <w:bdr w:val="nil"/>
        </w:rPr>
        <w:t>T</w:t>
      </w:r>
      <w:r w:rsidR="00E94203" w:rsidRPr="007D0545">
        <w:rPr>
          <w:rFonts w:ascii="Cambria" w:eastAsia="Arial Unicode MS" w:hAnsi="Cambria"/>
          <w:sz w:val="20"/>
          <w:szCs w:val="20"/>
          <w:bdr w:val="nil"/>
        </w:rPr>
        <w:t>he appellant’s opening brief consisting of 849 pages was</w:t>
      </w:r>
      <w:r w:rsidR="003A7BFE" w:rsidRPr="007D0545">
        <w:rPr>
          <w:rFonts w:ascii="Cambria" w:eastAsia="Arial Unicode MS" w:hAnsi="Cambria"/>
          <w:sz w:val="20"/>
          <w:szCs w:val="20"/>
          <w:bdr w:val="nil"/>
        </w:rPr>
        <w:t xml:space="preserve"> filed</w:t>
      </w:r>
      <w:r w:rsidR="00E94203" w:rsidRPr="007D0545">
        <w:rPr>
          <w:rFonts w:ascii="Cambria" w:eastAsia="Arial Unicode MS" w:hAnsi="Cambria"/>
          <w:sz w:val="20"/>
          <w:szCs w:val="20"/>
          <w:bdr w:val="nil"/>
        </w:rPr>
        <w:t xml:space="preserve"> on October 25, 2012</w:t>
      </w:r>
      <w:r w:rsidR="003A7BFE" w:rsidRPr="007D0545">
        <w:rPr>
          <w:rFonts w:ascii="Cambria" w:eastAsia="Arial Unicode MS" w:hAnsi="Cambria"/>
          <w:sz w:val="20"/>
          <w:szCs w:val="20"/>
          <w:bdr w:val="nil"/>
        </w:rPr>
        <w:t>.</w:t>
      </w:r>
      <w:r w:rsidR="00C4793D" w:rsidRPr="007D0545">
        <w:rPr>
          <w:rStyle w:val="FootnoteReference"/>
          <w:rFonts w:ascii="Cambria" w:eastAsia="Arial Unicode MS" w:hAnsi="Cambria"/>
          <w:sz w:val="20"/>
          <w:szCs w:val="20"/>
          <w:bdr w:val="nil"/>
        </w:rPr>
        <w:footnoteReference w:id="34"/>
      </w:r>
      <w:r w:rsidRPr="007D0545">
        <w:rPr>
          <w:rFonts w:ascii="Cambria" w:eastAsia="Arial Unicode MS" w:hAnsi="Cambria"/>
          <w:sz w:val="20"/>
          <w:szCs w:val="20"/>
          <w:bdr w:val="nil"/>
        </w:rPr>
        <w:t xml:space="preserve"> </w:t>
      </w:r>
      <w:r w:rsidR="003E366F" w:rsidRPr="007D0545">
        <w:rPr>
          <w:rFonts w:ascii="Cambria" w:eastAsia="Arial Unicode MS" w:hAnsi="Cambria"/>
          <w:sz w:val="20"/>
          <w:szCs w:val="20"/>
          <w:bdr w:val="nil"/>
        </w:rPr>
        <w:t>According to publicly available information, on June 9, 2015, the 4</w:t>
      </w:r>
      <w:r w:rsidR="003E366F" w:rsidRPr="007D0545">
        <w:rPr>
          <w:rFonts w:ascii="Cambria" w:eastAsia="Arial Unicode MS" w:hAnsi="Cambria"/>
          <w:sz w:val="20"/>
          <w:szCs w:val="20"/>
          <w:bdr w:val="nil"/>
          <w:vertAlign w:val="superscript"/>
        </w:rPr>
        <w:t>th</w:t>
      </w:r>
      <w:r w:rsidR="003E366F" w:rsidRPr="007D0545">
        <w:rPr>
          <w:rFonts w:ascii="Cambria" w:eastAsia="Arial Unicode MS" w:hAnsi="Cambria"/>
          <w:sz w:val="20"/>
          <w:szCs w:val="20"/>
          <w:bdr w:val="nil"/>
        </w:rPr>
        <w:t xml:space="preserve"> District Court of Appeal, Division One, of California denied </w:t>
      </w:r>
      <w:r w:rsidR="00796E7A" w:rsidRPr="007D0545">
        <w:rPr>
          <w:rFonts w:ascii="Cambria" w:eastAsia="Arial Unicode MS" w:hAnsi="Cambria"/>
          <w:sz w:val="20"/>
          <w:szCs w:val="20"/>
          <w:bdr w:val="nil"/>
        </w:rPr>
        <w:t>a</w:t>
      </w:r>
      <w:r w:rsidR="003E366F" w:rsidRPr="007D0545">
        <w:rPr>
          <w:rFonts w:ascii="Cambria" w:eastAsia="Arial Unicode MS" w:hAnsi="Cambria"/>
          <w:sz w:val="20"/>
          <w:szCs w:val="20"/>
          <w:bdr w:val="nil"/>
        </w:rPr>
        <w:t xml:space="preserve"> petition for writ of mandate and request for stay.</w:t>
      </w:r>
      <w:r w:rsidR="003E366F" w:rsidRPr="007D0545">
        <w:rPr>
          <w:rStyle w:val="FootnoteReference"/>
          <w:rFonts w:ascii="Cambria" w:eastAsia="Arial Unicode MS" w:hAnsi="Cambria"/>
          <w:sz w:val="20"/>
          <w:szCs w:val="20"/>
          <w:bdr w:val="nil"/>
        </w:rPr>
        <w:footnoteReference w:id="35"/>
      </w:r>
      <w:r w:rsidR="003E366F" w:rsidRPr="007D0545">
        <w:rPr>
          <w:rFonts w:ascii="Cambria" w:eastAsia="Arial Unicode MS" w:hAnsi="Cambria"/>
          <w:sz w:val="20"/>
          <w:szCs w:val="20"/>
          <w:bdr w:val="nil"/>
        </w:rPr>
        <w:t xml:space="preserve"> A petition for review was denied by the Supreme Court of California on August 12, 2015.</w:t>
      </w:r>
      <w:r w:rsidR="00796E7A" w:rsidRPr="007D0545">
        <w:rPr>
          <w:rFonts w:ascii="Cambria" w:eastAsia="Arial Unicode MS" w:hAnsi="Cambria"/>
          <w:sz w:val="20"/>
          <w:szCs w:val="20"/>
          <w:bdr w:val="nil"/>
        </w:rPr>
        <w:t xml:space="preserve"> On February 22, 2016, a habeas petition was filed with the Supreme Court of California.</w:t>
      </w:r>
      <w:r w:rsidR="008D6249" w:rsidRPr="007D0545">
        <w:rPr>
          <w:rFonts w:ascii="Cambria" w:eastAsia="Arial Unicode MS" w:hAnsi="Cambria"/>
          <w:sz w:val="20"/>
          <w:szCs w:val="20"/>
          <w:bdr w:val="nil"/>
        </w:rPr>
        <w:t xml:space="preserve"> According to publicly available information, at the date of adoption of this report, the petition is pending a decision.</w:t>
      </w:r>
      <w:r w:rsidR="008D6249" w:rsidRPr="007D0545">
        <w:rPr>
          <w:rStyle w:val="FootnoteReference"/>
          <w:rFonts w:ascii="Cambria" w:eastAsia="Arial Unicode MS" w:hAnsi="Cambria"/>
          <w:sz w:val="20"/>
          <w:szCs w:val="20"/>
          <w:bdr w:val="nil"/>
        </w:rPr>
        <w:footnoteReference w:id="36"/>
      </w:r>
    </w:p>
    <w:p w14:paraId="3D40640E" w14:textId="77777777" w:rsidR="003A27F4" w:rsidRPr="007D0545" w:rsidRDefault="003A27F4" w:rsidP="003A27F4">
      <w:pPr>
        <w:pStyle w:val="NormalWeb"/>
        <w:shd w:val="clear" w:color="auto" w:fill="FFFFFF"/>
        <w:spacing w:before="0" w:beforeAutospacing="0" w:after="0" w:afterAutospacing="0"/>
        <w:jc w:val="both"/>
        <w:rPr>
          <w:rFonts w:ascii="Cambria" w:eastAsia="Arial Unicode MS" w:hAnsi="Cambria"/>
          <w:sz w:val="20"/>
          <w:szCs w:val="20"/>
          <w:bdr w:val="nil"/>
        </w:rPr>
      </w:pPr>
    </w:p>
    <w:p w14:paraId="6A4B4A85" w14:textId="77777777" w:rsidR="00562E4A" w:rsidRPr="007D0545" w:rsidRDefault="006A70B4" w:rsidP="0026154C">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7D0545">
        <w:rPr>
          <w:rFonts w:ascii="Cambria" w:eastAsia="Arial Unicode MS" w:hAnsi="Cambria"/>
          <w:sz w:val="20"/>
          <w:szCs w:val="20"/>
          <w:bdr w:val="nil"/>
        </w:rPr>
        <w:t xml:space="preserve">Mr. </w:t>
      </w:r>
      <w:r w:rsidR="005D5DED" w:rsidRPr="007D0545">
        <w:rPr>
          <w:rFonts w:ascii="Cambria" w:eastAsia="Arial Unicode MS" w:hAnsi="Cambria"/>
          <w:sz w:val="20"/>
          <w:szCs w:val="20"/>
          <w:bdr w:val="nil"/>
        </w:rPr>
        <w:t>Sequoyah</w:t>
      </w:r>
      <w:r w:rsidRPr="007D0545">
        <w:rPr>
          <w:rFonts w:ascii="Cambria" w:eastAsia="Arial Unicode MS" w:hAnsi="Cambria"/>
          <w:sz w:val="20"/>
          <w:szCs w:val="20"/>
          <w:bdr w:val="nil"/>
        </w:rPr>
        <w:t xml:space="preserve"> has been </w:t>
      </w:r>
      <w:r w:rsidR="003C6480" w:rsidRPr="007D0545">
        <w:rPr>
          <w:rFonts w:ascii="Cambria" w:eastAsia="Arial Unicode MS" w:hAnsi="Cambria"/>
          <w:sz w:val="20"/>
          <w:szCs w:val="20"/>
          <w:bdr w:val="nil"/>
        </w:rPr>
        <w:t xml:space="preserve">incarcerated </w:t>
      </w:r>
      <w:r w:rsidRPr="007D0545">
        <w:rPr>
          <w:rFonts w:ascii="Cambria" w:eastAsia="Arial Unicode MS" w:hAnsi="Cambria"/>
          <w:sz w:val="20"/>
          <w:szCs w:val="20"/>
          <w:bdr w:val="nil"/>
        </w:rPr>
        <w:t xml:space="preserve">on death row </w:t>
      </w:r>
      <w:r w:rsidR="002A7A01" w:rsidRPr="007D0545">
        <w:rPr>
          <w:rFonts w:ascii="Cambria" w:hAnsi="Cambria"/>
          <w:sz w:val="20"/>
          <w:szCs w:val="20"/>
        </w:rPr>
        <w:t xml:space="preserve">at the San Quentin Prison </w:t>
      </w:r>
      <w:r w:rsidRPr="007D0545">
        <w:rPr>
          <w:rFonts w:ascii="Cambria" w:eastAsia="Arial Unicode MS" w:hAnsi="Cambria"/>
          <w:sz w:val="20"/>
          <w:szCs w:val="20"/>
          <w:bdr w:val="nil"/>
        </w:rPr>
        <w:t xml:space="preserve">in </w:t>
      </w:r>
      <w:r w:rsidR="005D5DED" w:rsidRPr="007D0545">
        <w:rPr>
          <w:rFonts w:asciiTheme="majorHAnsi" w:eastAsia="Arial Unicode MS" w:hAnsiTheme="majorHAnsi"/>
          <w:sz w:val="20"/>
          <w:szCs w:val="20"/>
        </w:rPr>
        <w:t>California for</w:t>
      </w:r>
      <w:r w:rsidRPr="007D0545">
        <w:rPr>
          <w:rFonts w:ascii="Cambria" w:eastAsia="Arial Unicode MS" w:hAnsi="Cambria"/>
          <w:sz w:val="20"/>
          <w:szCs w:val="20"/>
          <w:bdr w:val="nil"/>
        </w:rPr>
        <w:t xml:space="preserve"> </w:t>
      </w:r>
      <w:r w:rsidR="00562E4A" w:rsidRPr="007D0545">
        <w:rPr>
          <w:rFonts w:ascii="Cambria" w:eastAsia="Arial Unicode MS" w:hAnsi="Cambria"/>
          <w:sz w:val="20"/>
          <w:szCs w:val="20"/>
          <w:bdr w:val="nil"/>
        </w:rPr>
        <w:t>2</w:t>
      </w:r>
      <w:r w:rsidR="005D5DED" w:rsidRPr="007D0545">
        <w:rPr>
          <w:rFonts w:ascii="Cambria" w:eastAsia="Arial Unicode MS" w:hAnsi="Cambria"/>
          <w:sz w:val="20"/>
          <w:szCs w:val="20"/>
          <w:bdr w:val="nil"/>
        </w:rPr>
        <w:t>7</w:t>
      </w:r>
      <w:r w:rsidR="00562E4A" w:rsidRPr="007D0545">
        <w:rPr>
          <w:rFonts w:ascii="Cambria" w:eastAsia="Arial Unicode MS" w:hAnsi="Cambria"/>
          <w:sz w:val="20"/>
          <w:szCs w:val="20"/>
          <w:bdr w:val="nil"/>
        </w:rPr>
        <w:t xml:space="preserve"> </w:t>
      </w:r>
      <w:r w:rsidRPr="007D0545">
        <w:rPr>
          <w:rFonts w:ascii="Cambria" w:eastAsia="Arial Unicode MS" w:hAnsi="Cambria"/>
          <w:sz w:val="20"/>
          <w:szCs w:val="20"/>
          <w:bdr w:val="nil"/>
        </w:rPr>
        <w:t>years.</w:t>
      </w:r>
    </w:p>
    <w:p w14:paraId="6576BD8F" w14:textId="77777777" w:rsidR="001E53FB" w:rsidRPr="007D0545" w:rsidRDefault="001E53FB" w:rsidP="001E53FB">
      <w:pPr>
        <w:pStyle w:val="Heading1"/>
        <w:numPr>
          <w:ilvl w:val="0"/>
          <w:numId w:val="0"/>
        </w:numPr>
        <w:spacing w:before="0"/>
        <w:ind w:left="1440"/>
        <w:rPr>
          <w:color w:val="auto"/>
          <w:sz w:val="20"/>
          <w:szCs w:val="20"/>
        </w:rPr>
      </w:pPr>
    </w:p>
    <w:p w14:paraId="175310B6" w14:textId="77777777" w:rsidR="001C4006" w:rsidRPr="007D0545" w:rsidRDefault="001C4006" w:rsidP="00090720">
      <w:pPr>
        <w:pStyle w:val="Heading1"/>
        <w:spacing w:before="0"/>
        <w:ind w:left="1440" w:hanging="720"/>
        <w:rPr>
          <w:color w:val="auto"/>
          <w:sz w:val="20"/>
          <w:szCs w:val="20"/>
        </w:rPr>
      </w:pPr>
      <w:bookmarkStart w:id="8" w:name="_Toc26556087"/>
      <w:r w:rsidRPr="007D0545">
        <w:rPr>
          <w:color w:val="auto"/>
          <w:sz w:val="20"/>
          <w:szCs w:val="20"/>
        </w:rPr>
        <w:t>ANALYSIS OF LAW</w:t>
      </w:r>
      <w:bookmarkEnd w:id="8"/>
    </w:p>
    <w:p w14:paraId="68B4CFF6" w14:textId="77777777" w:rsidR="001C4006" w:rsidRPr="007D0545" w:rsidRDefault="001C4006" w:rsidP="00090720">
      <w:pPr>
        <w:suppressAutoHyphens/>
        <w:rPr>
          <w:rFonts w:asciiTheme="majorHAnsi" w:hAnsiTheme="majorHAnsi"/>
          <w:b/>
          <w:sz w:val="20"/>
          <w:szCs w:val="20"/>
        </w:rPr>
      </w:pPr>
    </w:p>
    <w:p w14:paraId="7B9AF2E5" w14:textId="77777777" w:rsidR="007D2FEE" w:rsidRPr="007D0545" w:rsidRDefault="007D2FEE" w:rsidP="00090720">
      <w:pPr>
        <w:pStyle w:val="Heading2"/>
        <w:spacing w:before="0"/>
        <w:ind w:left="1440" w:hanging="720"/>
        <w:rPr>
          <w:color w:val="auto"/>
          <w:sz w:val="20"/>
          <w:szCs w:val="20"/>
        </w:rPr>
      </w:pPr>
      <w:bookmarkStart w:id="9" w:name="_Toc412815742"/>
      <w:bookmarkStart w:id="10" w:name="_Toc26556088"/>
      <w:r w:rsidRPr="007D0545">
        <w:rPr>
          <w:color w:val="auto"/>
          <w:sz w:val="20"/>
          <w:szCs w:val="20"/>
        </w:rPr>
        <w:t>A.</w:t>
      </w:r>
      <w:r w:rsidRPr="007D0545">
        <w:rPr>
          <w:color w:val="auto"/>
          <w:sz w:val="20"/>
          <w:szCs w:val="20"/>
        </w:rPr>
        <w:tab/>
        <w:t xml:space="preserve">Preliminary </w:t>
      </w:r>
      <w:bookmarkEnd w:id="9"/>
      <w:r w:rsidRPr="007D0545">
        <w:rPr>
          <w:color w:val="auto"/>
          <w:sz w:val="20"/>
          <w:szCs w:val="20"/>
        </w:rPr>
        <w:t>considerations</w:t>
      </w:r>
      <w:bookmarkEnd w:id="10"/>
    </w:p>
    <w:p w14:paraId="026535EE" w14:textId="77777777" w:rsidR="007D2FEE" w:rsidRPr="007D0545" w:rsidRDefault="007D2FEE" w:rsidP="00090720">
      <w:pPr>
        <w:ind w:left="720"/>
        <w:jc w:val="both"/>
        <w:rPr>
          <w:rFonts w:ascii="Cambria" w:hAnsi="Cambria"/>
          <w:sz w:val="20"/>
          <w:szCs w:val="20"/>
        </w:rPr>
      </w:pPr>
    </w:p>
    <w:p w14:paraId="7FD28CF3" w14:textId="77777777" w:rsidR="007D2FEE" w:rsidRPr="007D0545" w:rsidRDefault="007D2FEE" w:rsidP="00C77F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7D0545">
        <w:rPr>
          <w:rFonts w:ascii="Cambria" w:hAnsi="Cambria"/>
          <w:sz w:val="20"/>
          <w:szCs w:val="20"/>
        </w:rPr>
        <w:t xml:space="preserve">Before embarking on its analysis of the merits in the case of </w:t>
      </w:r>
      <w:r w:rsidR="001063FA" w:rsidRPr="007D0545">
        <w:rPr>
          <w:rFonts w:asciiTheme="majorHAnsi" w:hAnsiTheme="majorHAnsi"/>
          <w:color w:val="000000" w:themeColor="text1"/>
          <w:sz w:val="20"/>
          <w:szCs w:val="20"/>
        </w:rPr>
        <w:t>Nvwtohiyada Idehesdi Sequoyah</w:t>
      </w:r>
      <w:r w:rsidRPr="007D0545">
        <w:rPr>
          <w:rFonts w:ascii="Cambria" w:hAnsi="Cambria"/>
          <w:sz w:val="20"/>
          <w:szCs w:val="20"/>
        </w:rPr>
        <w:t xml:space="preserve">, the Inter-American Commission believes it should reiterate its previous rulings regarding the heightened scrutiny to be used in cases involving the death penalty. The right to life has received broad recognition as the supreme human right and as a </w:t>
      </w:r>
      <w:r w:rsidRPr="007D0545">
        <w:rPr>
          <w:rFonts w:ascii="Cambria" w:hAnsi="Cambria"/>
          <w:i/>
          <w:iCs/>
          <w:sz w:val="20"/>
          <w:szCs w:val="20"/>
        </w:rPr>
        <w:t>sine qua non</w:t>
      </w:r>
      <w:r w:rsidRPr="007D0545">
        <w:rPr>
          <w:rFonts w:ascii="Cambria" w:hAnsi="Cambria"/>
          <w:sz w:val="20"/>
          <w:szCs w:val="20"/>
        </w:rPr>
        <w:t xml:space="preserve"> for the enjoyment of all other rights. </w:t>
      </w:r>
    </w:p>
    <w:p w14:paraId="4B764DE6" w14:textId="77777777" w:rsidR="007D2FEE" w:rsidRPr="007D0545" w:rsidRDefault="007D2FEE" w:rsidP="00C77F47">
      <w:pPr>
        <w:pStyle w:val="NormalWeb"/>
        <w:shd w:val="clear" w:color="auto" w:fill="FFFFFF"/>
        <w:spacing w:before="0" w:beforeAutospacing="0" w:after="0" w:afterAutospacing="0"/>
        <w:ind w:left="720"/>
        <w:jc w:val="both"/>
        <w:rPr>
          <w:rFonts w:ascii="Cambria" w:eastAsia="Arial Unicode MS" w:hAnsi="Cambria"/>
          <w:sz w:val="20"/>
          <w:szCs w:val="20"/>
          <w:bdr w:val="nil"/>
        </w:rPr>
      </w:pPr>
    </w:p>
    <w:p w14:paraId="149758A2" w14:textId="77777777" w:rsidR="007D2FEE" w:rsidRPr="007D0545" w:rsidRDefault="007D2FEE" w:rsidP="00C77F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7D0545">
        <w:rPr>
          <w:rFonts w:ascii="Cambria" w:hAnsi="Cambria"/>
          <w:sz w:val="20"/>
          <w:szCs w:val="20"/>
        </w:rPr>
        <w:t xml:space="preserve">That gives rise to the particular importance of the IACHR’s obligation to ensure that any denial of life that may arise from the enforcement of the death penalty strictly abides by the requirements set forth in the </w:t>
      </w:r>
      <w:r w:rsidRPr="007D0545">
        <w:rPr>
          <w:rFonts w:ascii="Cambria" w:hAnsi="Cambria"/>
          <w:sz w:val="20"/>
          <w:szCs w:val="20"/>
        </w:rPr>
        <w:lastRenderedPageBreak/>
        <w:t xml:space="preserve">applicable instruments of the </w:t>
      </w:r>
      <w:r w:rsidR="008F7F3F" w:rsidRPr="007D0545">
        <w:rPr>
          <w:rFonts w:ascii="Cambria" w:hAnsi="Cambria"/>
          <w:sz w:val="20"/>
          <w:szCs w:val="20"/>
        </w:rPr>
        <w:t>I</w:t>
      </w:r>
      <w:r w:rsidRPr="007D0545">
        <w:rPr>
          <w:rFonts w:ascii="Cambria" w:hAnsi="Cambria"/>
          <w:sz w:val="20"/>
          <w:szCs w:val="20"/>
        </w:rPr>
        <w:t>nter-American human rights system, including the American Declaration. That heightened scrutiny is consistent with the restrictive approach adopted by other international human rights bodies in cases involving the imposition of the death penalty,</w:t>
      </w:r>
      <w:r w:rsidRPr="007D0545">
        <w:rPr>
          <w:rStyle w:val="FootnoteReference"/>
          <w:rFonts w:ascii="Cambria" w:eastAsia="Trebuchet MS" w:hAnsi="Cambria"/>
          <w:sz w:val="20"/>
          <w:szCs w:val="20"/>
        </w:rPr>
        <w:footnoteReference w:id="37"/>
      </w:r>
      <w:r w:rsidRPr="007D0545">
        <w:rPr>
          <w:rFonts w:ascii="Cambria" w:hAnsi="Cambria"/>
          <w:sz w:val="20"/>
          <w:szCs w:val="20"/>
        </w:rPr>
        <w:t xml:space="preserve"> and it has been set out and applied by the Inter-American Commission in previous capital cases brought before it.</w:t>
      </w:r>
      <w:r w:rsidRPr="007D0545">
        <w:rPr>
          <w:rStyle w:val="FootnoteReference"/>
          <w:rFonts w:ascii="Cambria" w:eastAsia="Trebuchet MS" w:hAnsi="Cambria"/>
          <w:sz w:val="20"/>
          <w:szCs w:val="20"/>
        </w:rPr>
        <w:t xml:space="preserve"> </w:t>
      </w:r>
      <w:r w:rsidRPr="007D0545">
        <w:rPr>
          <w:rStyle w:val="FootnoteReference"/>
          <w:rFonts w:ascii="Cambria" w:eastAsia="Trebuchet MS" w:hAnsi="Cambria"/>
          <w:sz w:val="20"/>
          <w:szCs w:val="20"/>
        </w:rPr>
        <w:footnoteReference w:id="38"/>
      </w:r>
      <w:r w:rsidR="00C01451" w:rsidRPr="007D0545">
        <w:rPr>
          <w:rStyle w:val="FootnoteReference"/>
          <w:rFonts w:ascii="Cambria" w:eastAsia="Arial Unicode MS" w:hAnsi="Cambria"/>
          <w:sz w:val="20"/>
          <w:szCs w:val="20"/>
          <w:bdr w:val="nil"/>
          <w:vertAlign w:val="baseline"/>
        </w:rPr>
        <w:t xml:space="preserve"> </w:t>
      </w:r>
      <w:r w:rsidRPr="007D0545">
        <w:rPr>
          <w:rFonts w:ascii="Cambria" w:hAnsi="Cambria"/>
          <w:sz w:val="20"/>
          <w:szCs w:val="20"/>
        </w:rPr>
        <w:t>As the Inter-American Commission has explained, this standard of review is the necessary consequence of the specific penalty at issue and the right to a fair trial and all attendant due process guarantees, among others.</w:t>
      </w:r>
      <w:r w:rsidRPr="007D0545">
        <w:rPr>
          <w:rStyle w:val="FootnoteReference"/>
          <w:rFonts w:ascii="Cambria" w:eastAsia="Trebuchet MS" w:hAnsi="Cambria"/>
          <w:sz w:val="20"/>
          <w:szCs w:val="20"/>
        </w:rPr>
        <w:footnoteReference w:id="39"/>
      </w:r>
      <w:r w:rsidRPr="007D0545">
        <w:rPr>
          <w:rFonts w:ascii="Cambria" w:hAnsi="Cambria"/>
          <w:sz w:val="20"/>
          <w:szCs w:val="20"/>
        </w:rPr>
        <w:t xml:space="preserve"> In the words of the Commission:</w:t>
      </w:r>
    </w:p>
    <w:p w14:paraId="0D2FFDCB" w14:textId="77777777" w:rsidR="007D2FEE" w:rsidRPr="007D0545" w:rsidRDefault="007D2FEE" w:rsidP="007D2FEE">
      <w:pPr>
        <w:pStyle w:val="ListParagraph"/>
        <w:rPr>
          <w:sz w:val="20"/>
          <w:szCs w:val="20"/>
        </w:rPr>
      </w:pPr>
    </w:p>
    <w:p w14:paraId="05281E68" w14:textId="77777777" w:rsidR="007D2FEE" w:rsidRPr="007D0545" w:rsidRDefault="007D2FEE" w:rsidP="007D2FEE">
      <w:pPr>
        <w:autoSpaceDE w:val="0"/>
        <w:autoSpaceDN w:val="0"/>
        <w:adjustRightInd w:val="0"/>
        <w:ind w:left="720" w:right="720"/>
        <w:jc w:val="both"/>
        <w:rPr>
          <w:rFonts w:ascii="Cambria" w:hAnsi="Cambria" w:cs="Calibri"/>
          <w:sz w:val="18"/>
          <w:szCs w:val="18"/>
        </w:rPr>
      </w:pPr>
      <w:r w:rsidRPr="007D0545">
        <w:rPr>
          <w:rFonts w:ascii="Cambria" w:hAnsi="Cambria" w:cs="Calibri"/>
          <w:sz w:val="18"/>
          <w:szCs w:val="18"/>
        </w:rPr>
        <w:t>due in part to its irrevocable and irreversible nature, the death penalty is a form of punishment that differs in substance as well as in degree in comparison with other means of punishment, and therefore</w:t>
      </w:r>
      <w:r w:rsidR="006D5D5D" w:rsidRPr="007D0545">
        <w:rPr>
          <w:rFonts w:ascii="Cambria" w:hAnsi="Cambria" w:cs="Calibri"/>
          <w:sz w:val="18"/>
          <w:szCs w:val="18"/>
        </w:rPr>
        <w:t>,</w:t>
      </w:r>
      <w:r w:rsidRPr="007D0545">
        <w:rPr>
          <w:rFonts w:ascii="Cambria" w:hAnsi="Cambria" w:cs="Calibri"/>
          <w:sz w:val="18"/>
          <w:szCs w:val="18"/>
        </w:rPr>
        <w:t xml:space="preserve"> warrants a particularly stringent need for reliability in determining whether a person is responsible for a crime that carries a penalty of death.</w:t>
      </w:r>
      <w:r w:rsidRPr="007D0545">
        <w:rPr>
          <w:rStyle w:val="FootnoteReference"/>
          <w:rFonts w:ascii="Cambria" w:hAnsi="Cambria"/>
          <w:sz w:val="18"/>
          <w:szCs w:val="18"/>
        </w:rPr>
        <w:footnoteReference w:id="40"/>
      </w:r>
    </w:p>
    <w:p w14:paraId="6F231E19" w14:textId="77777777" w:rsidR="007D2FEE" w:rsidRPr="007D0545" w:rsidRDefault="007D2FEE" w:rsidP="007D2FEE">
      <w:pPr>
        <w:jc w:val="both"/>
        <w:rPr>
          <w:rFonts w:ascii="Cambria" w:hAnsi="Cambria"/>
          <w:sz w:val="20"/>
          <w:szCs w:val="20"/>
        </w:rPr>
      </w:pPr>
    </w:p>
    <w:p w14:paraId="31468644" w14:textId="77777777" w:rsidR="009D15C7" w:rsidRPr="007D0545" w:rsidRDefault="007D2FEE" w:rsidP="00C77F47">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7D0545">
        <w:rPr>
          <w:rFonts w:ascii="Cambria" w:hAnsi="Cambria" w:cs="Calibri"/>
          <w:sz w:val="20"/>
          <w:szCs w:val="20"/>
        </w:rPr>
        <w:t>The Inter-American Commission will therefore review the petitioners’ allegations in the present case with a heightened level of scrutiny, to ensure in particular that the rights to life, due process, and to a fair trial as prescribed under the American Declaration have been respected by the State.</w:t>
      </w:r>
      <w:r w:rsidR="009D15C7" w:rsidRPr="007D0545">
        <w:rPr>
          <w:rFonts w:ascii="Cambria" w:hAnsi="Cambria" w:cs="Calibri"/>
          <w:sz w:val="20"/>
          <w:szCs w:val="20"/>
        </w:rPr>
        <w:t xml:space="preserve"> </w:t>
      </w:r>
      <w:r w:rsidR="009D15C7" w:rsidRPr="007D0545">
        <w:rPr>
          <w:rFonts w:ascii="Cambria" w:hAnsi="Cambria"/>
          <w:sz w:val="20"/>
        </w:rPr>
        <w:t>With regard to the legal status of the American Declaration, the IACHR reiterates that:</w:t>
      </w:r>
      <w:r w:rsidR="009D15C7" w:rsidRPr="007D0545">
        <w:rPr>
          <w:rFonts w:ascii="Cambria" w:hAnsi="Cambria" w:cs="Tahoma"/>
          <w:color w:val="262626"/>
          <w:sz w:val="20"/>
          <w:szCs w:val="20"/>
        </w:rPr>
        <w:t xml:space="preserve"> </w:t>
      </w:r>
    </w:p>
    <w:p w14:paraId="7999A8CE" w14:textId="77777777" w:rsidR="009D15C7" w:rsidRPr="007D0545" w:rsidRDefault="009D15C7" w:rsidP="009D15C7">
      <w:pPr>
        <w:tabs>
          <w:tab w:val="left" w:pos="630"/>
          <w:tab w:val="left" w:pos="810"/>
        </w:tabs>
        <w:autoSpaceDE w:val="0"/>
        <w:autoSpaceDN w:val="0"/>
        <w:adjustRightInd w:val="0"/>
        <w:jc w:val="both"/>
        <w:rPr>
          <w:rFonts w:ascii="Cambria" w:hAnsi="Cambria" w:cs="Calibri"/>
          <w:sz w:val="20"/>
          <w:szCs w:val="20"/>
        </w:rPr>
      </w:pPr>
    </w:p>
    <w:p w14:paraId="16EDD954" w14:textId="77777777" w:rsidR="009D15C7" w:rsidRPr="007D0545" w:rsidRDefault="009D15C7" w:rsidP="009D15C7">
      <w:pPr>
        <w:tabs>
          <w:tab w:val="left" w:pos="630"/>
          <w:tab w:val="left" w:pos="810"/>
        </w:tabs>
        <w:autoSpaceDE w:val="0"/>
        <w:autoSpaceDN w:val="0"/>
        <w:adjustRightInd w:val="0"/>
        <w:ind w:left="720" w:right="720"/>
        <w:jc w:val="both"/>
        <w:rPr>
          <w:rFonts w:ascii="Cambria" w:hAnsi="Cambria" w:cs="Calibri"/>
          <w:sz w:val="18"/>
          <w:szCs w:val="18"/>
        </w:rPr>
      </w:pPr>
      <w:r w:rsidRPr="007D0545">
        <w:rPr>
          <w:rFonts w:ascii="Cambria" w:hAnsi="Cambria"/>
          <w:sz w:val="18"/>
          <w:szCs w:val="18"/>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r w:rsidRPr="007D0545">
        <w:rPr>
          <w:rStyle w:val="FootnoteReference"/>
          <w:rFonts w:ascii="Cambria" w:hAnsi="Cambria"/>
          <w:sz w:val="18"/>
          <w:szCs w:val="18"/>
        </w:rPr>
        <w:footnoteReference w:id="41"/>
      </w:r>
    </w:p>
    <w:p w14:paraId="3DB733F9" w14:textId="77777777" w:rsidR="007D2FEE" w:rsidRPr="007D0545" w:rsidRDefault="007D2FEE" w:rsidP="007D2FEE">
      <w:pPr>
        <w:pStyle w:val="ListParagraph"/>
        <w:rPr>
          <w:sz w:val="20"/>
          <w:szCs w:val="20"/>
        </w:rPr>
      </w:pPr>
    </w:p>
    <w:p w14:paraId="3851A3BC" w14:textId="77777777" w:rsidR="00291C7D" w:rsidRPr="00DC78FC" w:rsidRDefault="00C423E4" w:rsidP="00291C7D">
      <w:pPr>
        <w:pStyle w:val="NormalWeb"/>
        <w:numPr>
          <w:ilvl w:val="0"/>
          <w:numId w:val="55"/>
        </w:numPr>
        <w:shd w:val="clear" w:color="auto" w:fill="FFFFFF"/>
        <w:spacing w:before="0" w:beforeAutospacing="0" w:after="0" w:afterAutospacing="0"/>
        <w:ind w:left="0" w:firstLine="0"/>
        <w:jc w:val="both"/>
        <w:rPr>
          <w:rFonts w:ascii="Cambria" w:eastAsia="Arial Unicode MS" w:hAnsi="Cambria"/>
          <w:sz w:val="20"/>
          <w:szCs w:val="20"/>
          <w:bdr w:val="nil"/>
        </w:rPr>
      </w:pPr>
      <w:r w:rsidRPr="007D0545">
        <w:rPr>
          <w:rFonts w:ascii="Cambria" w:hAnsi="Cambria"/>
          <w:sz w:val="20"/>
        </w:rPr>
        <w:t xml:space="preserve">Finally, the Commission recalls that its review does not consist of determining that the death penalty </w:t>
      </w:r>
      <w:r w:rsidR="005744A4" w:rsidRPr="007D0545">
        <w:rPr>
          <w:rFonts w:ascii="Cambria" w:hAnsi="Cambria"/>
          <w:sz w:val="20"/>
        </w:rPr>
        <w:t xml:space="preserve">in </w:t>
      </w:r>
      <w:r w:rsidRPr="007D0545">
        <w:rPr>
          <w:rFonts w:ascii="Cambria" w:hAnsi="Cambria"/>
          <w:sz w:val="20"/>
        </w:rPr>
        <w:t>and of itself violates the American Declaration. What this section addresses is the standard of review of the alleged human rights violations in the context of a trial culminating in the death penalty.</w:t>
      </w:r>
    </w:p>
    <w:p w14:paraId="2F0339B1"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29C8FF56"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1EF85D63"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39235BF5"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1C8B9A4D"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32AB3CB6"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6E44E98E"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64C0EBD0"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582374E2"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6347F8A3" w14:textId="77777777" w:rsidR="00DC78FC" w:rsidRDefault="00DC78FC" w:rsidP="00DC78FC">
      <w:pPr>
        <w:pStyle w:val="NormalWeb"/>
        <w:shd w:val="clear" w:color="auto" w:fill="FFFFFF"/>
        <w:spacing w:before="0" w:beforeAutospacing="0" w:after="0" w:afterAutospacing="0"/>
        <w:jc w:val="both"/>
        <w:rPr>
          <w:rFonts w:ascii="Cambria" w:hAnsi="Cambria"/>
          <w:sz w:val="20"/>
        </w:rPr>
      </w:pPr>
    </w:p>
    <w:p w14:paraId="5B1A6CB1" w14:textId="77777777" w:rsidR="001D1343" w:rsidRPr="007D0545" w:rsidRDefault="000973C5" w:rsidP="00376244">
      <w:pPr>
        <w:pStyle w:val="Heading2"/>
        <w:ind w:left="1440" w:hanging="720"/>
        <w:rPr>
          <w:rFonts w:eastAsia="Arial Unicode MS"/>
          <w:color w:val="auto"/>
          <w:sz w:val="20"/>
          <w:szCs w:val="20"/>
        </w:rPr>
      </w:pPr>
      <w:bookmarkStart w:id="11" w:name="_Toc26556089"/>
      <w:r w:rsidRPr="007D0545">
        <w:rPr>
          <w:rFonts w:eastAsia="Arial Unicode MS"/>
          <w:color w:val="auto"/>
          <w:sz w:val="20"/>
          <w:szCs w:val="20"/>
        </w:rPr>
        <w:lastRenderedPageBreak/>
        <w:t>B.</w:t>
      </w:r>
      <w:r w:rsidRPr="007D0545">
        <w:rPr>
          <w:rFonts w:eastAsia="Arial Unicode MS"/>
          <w:color w:val="auto"/>
          <w:sz w:val="20"/>
          <w:szCs w:val="20"/>
        </w:rPr>
        <w:tab/>
      </w:r>
      <w:r w:rsidR="00C04473" w:rsidRPr="007D0545">
        <w:rPr>
          <w:rFonts w:eastAsia="Arial Unicode MS"/>
          <w:color w:val="auto"/>
          <w:sz w:val="20"/>
          <w:szCs w:val="20"/>
        </w:rPr>
        <w:t xml:space="preserve">Right to a fair </w:t>
      </w:r>
      <w:r w:rsidR="000F4547" w:rsidRPr="007D0545">
        <w:rPr>
          <w:rFonts w:eastAsia="Arial Unicode MS"/>
          <w:color w:val="auto"/>
          <w:sz w:val="20"/>
          <w:szCs w:val="20"/>
        </w:rPr>
        <w:t>trial</w:t>
      </w:r>
      <w:r w:rsidR="00EE36D7" w:rsidRPr="007D0545">
        <w:rPr>
          <w:rStyle w:val="FootnoteReference"/>
          <w:rFonts w:eastAsia="Arial Unicode MS"/>
          <w:b w:val="0"/>
          <w:color w:val="auto"/>
          <w:sz w:val="20"/>
          <w:szCs w:val="20"/>
        </w:rPr>
        <w:footnoteReference w:id="42"/>
      </w:r>
      <w:r w:rsidR="000F4547" w:rsidRPr="007D0545">
        <w:rPr>
          <w:rFonts w:eastAsia="Arial Unicode MS"/>
          <w:color w:val="auto"/>
          <w:sz w:val="20"/>
          <w:szCs w:val="20"/>
        </w:rPr>
        <w:t xml:space="preserve"> and to due process of law</w:t>
      </w:r>
      <w:r w:rsidR="00EE36D7" w:rsidRPr="007D0545">
        <w:rPr>
          <w:rStyle w:val="FootnoteReference"/>
          <w:rFonts w:eastAsia="Arial Unicode MS"/>
          <w:b w:val="0"/>
          <w:color w:val="auto"/>
          <w:sz w:val="20"/>
          <w:szCs w:val="20"/>
        </w:rPr>
        <w:footnoteReference w:id="43"/>
      </w:r>
      <w:bookmarkEnd w:id="11"/>
      <w:r w:rsidR="00C04473" w:rsidRPr="007D0545">
        <w:rPr>
          <w:rFonts w:eastAsia="Arial Unicode MS"/>
          <w:color w:val="auto"/>
          <w:sz w:val="20"/>
          <w:szCs w:val="20"/>
        </w:rPr>
        <w:t xml:space="preserve">   </w:t>
      </w:r>
    </w:p>
    <w:p w14:paraId="1FC89639" w14:textId="77777777" w:rsidR="00376244" w:rsidRPr="007D0545" w:rsidRDefault="00376244" w:rsidP="00376244">
      <w:pPr>
        <w:pStyle w:val="Heading3"/>
        <w:spacing w:before="0"/>
        <w:ind w:left="1440"/>
        <w:rPr>
          <w:rFonts w:eastAsia="Arial Unicode MS"/>
          <w:color w:val="auto"/>
          <w:sz w:val="20"/>
          <w:szCs w:val="20"/>
        </w:rPr>
      </w:pPr>
    </w:p>
    <w:p w14:paraId="6D37CCF7" w14:textId="77777777" w:rsidR="00754E95" w:rsidRPr="007D0545" w:rsidRDefault="00754E95" w:rsidP="004010E9">
      <w:pPr>
        <w:pStyle w:val="Heading3"/>
        <w:numPr>
          <w:ilvl w:val="1"/>
          <w:numId w:val="53"/>
        </w:numPr>
        <w:spacing w:before="0"/>
        <w:ind w:hanging="720"/>
        <w:jc w:val="both"/>
        <w:rPr>
          <w:color w:val="auto"/>
          <w:sz w:val="20"/>
          <w:szCs w:val="20"/>
        </w:rPr>
      </w:pPr>
      <w:bookmarkStart w:id="12" w:name="_Toc26556090"/>
      <w:r w:rsidRPr="007D0545">
        <w:rPr>
          <w:color w:val="auto"/>
          <w:sz w:val="20"/>
          <w:szCs w:val="20"/>
        </w:rPr>
        <w:t>General considerations regarding t</w:t>
      </w:r>
      <w:r w:rsidR="00535135" w:rsidRPr="007D0545">
        <w:rPr>
          <w:color w:val="auto"/>
          <w:sz w:val="20"/>
          <w:szCs w:val="20"/>
        </w:rPr>
        <w:t xml:space="preserve">he right </w:t>
      </w:r>
      <w:r w:rsidR="00692996" w:rsidRPr="007D0545">
        <w:rPr>
          <w:color w:val="auto"/>
          <w:sz w:val="20"/>
          <w:szCs w:val="20"/>
        </w:rPr>
        <w:t>to</w:t>
      </w:r>
      <w:r w:rsidR="00535135" w:rsidRPr="007D0545">
        <w:rPr>
          <w:color w:val="auto"/>
          <w:sz w:val="20"/>
          <w:szCs w:val="20"/>
        </w:rPr>
        <w:t xml:space="preserve"> self-representation</w:t>
      </w:r>
      <w:r w:rsidR="00630C75" w:rsidRPr="007D0545">
        <w:rPr>
          <w:color w:val="auto"/>
          <w:sz w:val="20"/>
          <w:szCs w:val="20"/>
        </w:rPr>
        <w:t xml:space="preserve"> and its limitations</w:t>
      </w:r>
      <w:bookmarkEnd w:id="12"/>
      <w:r w:rsidR="00535135" w:rsidRPr="007D0545">
        <w:rPr>
          <w:color w:val="auto"/>
          <w:sz w:val="20"/>
          <w:szCs w:val="20"/>
        </w:rPr>
        <w:t xml:space="preserve"> </w:t>
      </w:r>
    </w:p>
    <w:p w14:paraId="10BF0BC8" w14:textId="77777777" w:rsidR="00754E95" w:rsidRPr="007D0545" w:rsidRDefault="00754E95" w:rsidP="00754E95">
      <w:pPr>
        <w:rPr>
          <w:rFonts w:ascii="Cambria" w:eastAsia="Times New Roman" w:hAnsi="Cambria"/>
          <w:sz w:val="20"/>
          <w:bdr w:val="none" w:sz="0" w:space="0" w:color="auto"/>
        </w:rPr>
      </w:pPr>
    </w:p>
    <w:p w14:paraId="0C33A870" w14:textId="77777777" w:rsidR="006A538E" w:rsidRPr="007D0545" w:rsidRDefault="009668E5" w:rsidP="00FF1B5F">
      <w:pPr>
        <w:pStyle w:val="ListParagraph"/>
        <w:numPr>
          <w:ilvl w:val="0"/>
          <w:numId w:val="55"/>
        </w:numPr>
        <w:ind w:left="0" w:firstLine="0"/>
        <w:jc w:val="both"/>
        <w:rPr>
          <w:rFonts w:eastAsia="Times New Roman"/>
          <w:sz w:val="20"/>
          <w:bdr w:val="none" w:sz="0" w:space="0" w:color="auto"/>
        </w:rPr>
      </w:pPr>
      <w:r w:rsidRPr="007D0545">
        <w:rPr>
          <w:rFonts w:eastAsia="Times New Roman"/>
          <w:sz w:val="20"/>
          <w:bdr w:val="none" w:sz="0" w:space="0" w:color="auto"/>
        </w:rPr>
        <w:t xml:space="preserve">The right of an accused to represent himself or herself has been widely recognized at the international and national levels. Although </w:t>
      </w:r>
      <w:r w:rsidR="00291C7D" w:rsidRPr="007D0545">
        <w:rPr>
          <w:rFonts w:eastAsia="Times New Roman"/>
          <w:sz w:val="20"/>
          <w:bdr w:val="none" w:sz="0" w:space="0" w:color="auto"/>
        </w:rPr>
        <w:t>Article</w:t>
      </w:r>
      <w:r w:rsidR="000C0149" w:rsidRPr="007D0545">
        <w:rPr>
          <w:rFonts w:eastAsia="Times New Roman"/>
          <w:sz w:val="20"/>
          <w:bdr w:val="none" w:sz="0" w:space="0" w:color="auto"/>
        </w:rPr>
        <w:t xml:space="preserve"> XXVI of the American Declaration do</w:t>
      </w:r>
      <w:r w:rsidR="009E3C23" w:rsidRPr="007D0545">
        <w:rPr>
          <w:rFonts w:eastAsia="Times New Roman"/>
          <w:sz w:val="20"/>
          <w:bdr w:val="none" w:sz="0" w:space="0" w:color="auto"/>
        </w:rPr>
        <w:t>es</w:t>
      </w:r>
      <w:r w:rsidR="000C0149" w:rsidRPr="007D0545">
        <w:rPr>
          <w:rFonts w:eastAsia="Times New Roman"/>
          <w:sz w:val="20"/>
          <w:bdr w:val="none" w:sz="0" w:space="0" w:color="auto"/>
        </w:rPr>
        <w:t xml:space="preserve"> not </w:t>
      </w:r>
      <w:r w:rsidRPr="007D0545">
        <w:rPr>
          <w:rFonts w:eastAsia="Times New Roman"/>
          <w:sz w:val="20"/>
          <w:bdr w:val="none" w:sz="0" w:space="0" w:color="auto"/>
        </w:rPr>
        <w:t xml:space="preserve">expressly </w:t>
      </w:r>
      <w:r w:rsidR="000C0149" w:rsidRPr="007D0545">
        <w:rPr>
          <w:rFonts w:eastAsia="Times New Roman"/>
          <w:sz w:val="20"/>
          <w:bdr w:val="none" w:sz="0" w:space="0" w:color="auto"/>
        </w:rPr>
        <w:t xml:space="preserve">provide for self-representation </w:t>
      </w:r>
      <w:r w:rsidR="009E3C23" w:rsidRPr="007D0545">
        <w:rPr>
          <w:rFonts w:eastAsia="Times New Roman"/>
          <w:sz w:val="20"/>
          <w:bdr w:val="none" w:sz="0" w:space="0" w:color="auto"/>
        </w:rPr>
        <w:t>among the rights of the accused</w:t>
      </w:r>
      <w:r w:rsidRPr="007D0545">
        <w:rPr>
          <w:rFonts w:eastAsia="Times New Roman"/>
          <w:sz w:val="20"/>
          <w:bdr w:val="none" w:sz="0" w:space="0" w:color="auto"/>
        </w:rPr>
        <w:t>, this right is set out in Article 8.2(d) of the American Convention</w:t>
      </w:r>
      <w:r w:rsidR="00FF5724" w:rsidRPr="007D0545">
        <w:rPr>
          <w:rFonts w:eastAsia="Times New Roman"/>
          <w:sz w:val="20"/>
          <w:bdr w:val="none" w:sz="0" w:space="0" w:color="auto"/>
        </w:rPr>
        <w:t xml:space="preserve"> on Human Rights</w:t>
      </w:r>
      <w:r w:rsidRPr="007D0545">
        <w:rPr>
          <w:rFonts w:eastAsia="Times New Roman"/>
          <w:sz w:val="20"/>
          <w:bdr w:val="none" w:sz="0" w:space="0" w:color="auto"/>
        </w:rPr>
        <w:t xml:space="preserve"> as one of the minimum guarantees</w:t>
      </w:r>
      <w:r w:rsidR="00467542" w:rsidRPr="007D0545">
        <w:rPr>
          <w:rFonts w:eastAsia="Times New Roman"/>
          <w:sz w:val="20"/>
          <w:bdr w:val="none" w:sz="0" w:space="0" w:color="auto"/>
        </w:rPr>
        <w:t xml:space="preserve"> in criminal proceedings</w:t>
      </w:r>
      <w:r w:rsidR="000C0149" w:rsidRPr="007D0545">
        <w:rPr>
          <w:rFonts w:eastAsia="Times New Roman"/>
          <w:sz w:val="20"/>
          <w:bdr w:val="none" w:sz="0" w:space="0" w:color="auto"/>
        </w:rPr>
        <w:t>.</w:t>
      </w:r>
      <w:r w:rsidR="00467542" w:rsidRPr="007D0545">
        <w:rPr>
          <w:rFonts w:eastAsia="Times New Roman"/>
          <w:sz w:val="20"/>
          <w:bdr w:val="none" w:sz="0" w:space="0" w:color="auto"/>
        </w:rPr>
        <w:t xml:space="preserve"> </w:t>
      </w:r>
      <w:r w:rsidR="00F57538" w:rsidRPr="007D0545">
        <w:rPr>
          <w:rFonts w:eastAsia="Times New Roman"/>
          <w:sz w:val="20"/>
          <w:bdr w:val="none" w:sz="0" w:space="0" w:color="auto"/>
        </w:rPr>
        <w:t xml:space="preserve">Articles 6.3(c) of the European Convention on Human Rights, 14.3(d) of the International Covenant on Civil and Political Rights, </w:t>
      </w:r>
      <w:r w:rsidR="00024BB7" w:rsidRPr="007D0545">
        <w:rPr>
          <w:rFonts w:eastAsia="Times New Roman"/>
          <w:sz w:val="20"/>
          <w:bdr w:val="none" w:sz="0" w:space="0" w:color="auto"/>
        </w:rPr>
        <w:t xml:space="preserve">67 of the Rome Statute of the International Criminal Court, </w:t>
      </w:r>
      <w:r w:rsidR="00F57538" w:rsidRPr="007D0545">
        <w:rPr>
          <w:rFonts w:eastAsia="Times New Roman"/>
          <w:sz w:val="20"/>
          <w:bdr w:val="none" w:sz="0" w:space="0" w:color="auto"/>
        </w:rPr>
        <w:t>2</w:t>
      </w:r>
      <w:r w:rsidR="008A1C4B" w:rsidRPr="007D0545">
        <w:rPr>
          <w:rFonts w:eastAsia="Times New Roman"/>
          <w:sz w:val="20"/>
          <w:bdr w:val="none" w:sz="0" w:space="0" w:color="auto"/>
        </w:rPr>
        <w:t>1.4(d)</w:t>
      </w:r>
      <w:r w:rsidR="00F57538" w:rsidRPr="007D0545">
        <w:rPr>
          <w:rFonts w:eastAsia="Times New Roman"/>
          <w:sz w:val="20"/>
          <w:bdr w:val="none" w:sz="0" w:space="0" w:color="auto"/>
        </w:rPr>
        <w:t xml:space="preserve"> of the Statu</w:t>
      </w:r>
      <w:r w:rsidR="00DB18A8" w:rsidRPr="007D0545">
        <w:rPr>
          <w:rFonts w:eastAsia="Times New Roman"/>
          <w:sz w:val="20"/>
          <w:bdr w:val="none" w:sz="0" w:space="0" w:color="auto"/>
        </w:rPr>
        <w:t>t</w:t>
      </w:r>
      <w:r w:rsidR="00F57538" w:rsidRPr="007D0545">
        <w:rPr>
          <w:rFonts w:eastAsia="Times New Roman"/>
          <w:sz w:val="20"/>
          <w:bdr w:val="none" w:sz="0" w:space="0" w:color="auto"/>
        </w:rPr>
        <w:t>es of the International Criminal T</w:t>
      </w:r>
      <w:r w:rsidR="00DB18A8" w:rsidRPr="007D0545">
        <w:rPr>
          <w:rFonts w:eastAsia="Times New Roman"/>
          <w:sz w:val="20"/>
          <w:bdr w:val="none" w:sz="0" w:space="0" w:color="auto"/>
        </w:rPr>
        <w:t>ribunal for the f</w:t>
      </w:r>
      <w:r w:rsidR="00F57538" w:rsidRPr="007D0545">
        <w:rPr>
          <w:rFonts w:eastAsia="Times New Roman"/>
          <w:sz w:val="20"/>
          <w:bdr w:val="none" w:sz="0" w:space="0" w:color="auto"/>
        </w:rPr>
        <w:t xml:space="preserve">ormer Yugoslavia </w:t>
      </w:r>
      <w:r w:rsidR="00337961" w:rsidRPr="007D0545">
        <w:rPr>
          <w:rFonts w:eastAsia="Times New Roman"/>
          <w:sz w:val="20"/>
          <w:bdr w:val="none" w:sz="0" w:space="0" w:color="auto"/>
        </w:rPr>
        <w:t xml:space="preserve">(ICTY) </w:t>
      </w:r>
      <w:r w:rsidR="00F57538" w:rsidRPr="007D0545">
        <w:rPr>
          <w:rFonts w:eastAsia="Times New Roman"/>
          <w:sz w:val="20"/>
          <w:bdr w:val="none" w:sz="0" w:space="0" w:color="auto"/>
        </w:rPr>
        <w:t>and the International Criminal Tribunal for Rwanda</w:t>
      </w:r>
      <w:r w:rsidR="00337961" w:rsidRPr="007D0545">
        <w:rPr>
          <w:rFonts w:eastAsia="Times New Roman"/>
          <w:sz w:val="20"/>
          <w:bdr w:val="none" w:sz="0" w:space="0" w:color="auto"/>
        </w:rPr>
        <w:t xml:space="preserve"> (ICTR)</w:t>
      </w:r>
      <w:r w:rsidR="00024BB7" w:rsidRPr="007D0545">
        <w:rPr>
          <w:rFonts w:eastAsia="Times New Roman"/>
          <w:sz w:val="20"/>
          <w:bdr w:val="none" w:sz="0" w:space="0" w:color="auto"/>
        </w:rPr>
        <w:t xml:space="preserve">, </w:t>
      </w:r>
      <w:r w:rsidR="00366DBE" w:rsidRPr="007D0545">
        <w:rPr>
          <w:rFonts w:eastAsia="Times New Roman"/>
          <w:sz w:val="20"/>
          <w:bdr w:val="none" w:sz="0" w:space="0" w:color="auto"/>
        </w:rPr>
        <w:t xml:space="preserve">and 17 of the Statute of the </w:t>
      </w:r>
      <w:r w:rsidR="00366DBE" w:rsidRPr="007D0545">
        <w:rPr>
          <w:rFonts w:asciiTheme="majorHAnsi" w:hAnsiTheme="majorHAnsi"/>
          <w:sz w:val="20"/>
          <w:szCs w:val="20"/>
        </w:rPr>
        <w:t>Special Court for Sierra Leone</w:t>
      </w:r>
      <w:r w:rsidR="00366DBE" w:rsidRPr="007D0545">
        <w:rPr>
          <w:rFonts w:eastAsia="Times New Roman"/>
          <w:sz w:val="20"/>
          <w:bdr w:val="none" w:sz="0" w:space="0" w:color="auto"/>
        </w:rPr>
        <w:t xml:space="preserve"> </w:t>
      </w:r>
      <w:r w:rsidR="00B920B7" w:rsidRPr="007D0545">
        <w:rPr>
          <w:rFonts w:eastAsia="Times New Roman"/>
          <w:sz w:val="20"/>
          <w:bdr w:val="none" w:sz="0" w:space="0" w:color="auto"/>
        </w:rPr>
        <w:t>(</w:t>
      </w:r>
      <w:r w:rsidR="00B920B7" w:rsidRPr="007D0545">
        <w:rPr>
          <w:rFonts w:asciiTheme="majorHAnsi" w:hAnsiTheme="majorHAnsi"/>
          <w:sz w:val="20"/>
          <w:szCs w:val="20"/>
        </w:rPr>
        <w:t>SCSL</w:t>
      </w:r>
      <w:r w:rsidR="00B920B7" w:rsidRPr="007D0545">
        <w:rPr>
          <w:rFonts w:eastAsia="Times New Roman"/>
          <w:sz w:val="20"/>
          <w:bdr w:val="none" w:sz="0" w:space="0" w:color="auto"/>
        </w:rPr>
        <w:t xml:space="preserve">) </w:t>
      </w:r>
      <w:r w:rsidR="007451C8" w:rsidRPr="007D0545">
        <w:rPr>
          <w:rFonts w:eastAsia="Times New Roman"/>
          <w:sz w:val="20"/>
          <w:bdr w:val="none" w:sz="0" w:space="0" w:color="auto"/>
        </w:rPr>
        <w:t xml:space="preserve">also set out this right as one of the minimal guarantees of a fair trial. </w:t>
      </w:r>
      <w:r w:rsidR="00F57538" w:rsidRPr="007D0545">
        <w:rPr>
          <w:rFonts w:eastAsia="Times New Roman"/>
          <w:sz w:val="20"/>
          <w:bdr w:val="none" w:sz="0" w:space="0" w:color="auto"/>
        </w:rPr>
        <w:t xml:space="preserve"> </w:t>
      </w:r>
    </w:p>
    <w:p w14:paraId="34D18DAE" w14:textId="77777777" w:rsidR="006A538E" w:rsidRPr="007D0545" w:rsidRDefault="006A538E" w:rsidP="006A538E">
      <w:pPr>
        <w:pStyle w:val="ListParagraph"/>
        <w:ind w:left="0"/>
        <w:jc w:val="both"/>
        <w:rPr>
          <w:rFonts w:eastAsia="Times New Roman"/>
          <w:sz w:val="20"/>
          <w:bdr w:val="none" w:sz="0" w:space="0" w:color="auto"/>
        </w:rPr>
      </w:pPr>
    </w:p>
    <w:p w14:paraId="66352081" w14:textId="77777777" w:rsidR="00291C7D" w:rsidRPr="007D0545" w:rsidRDefault="00C45555" w:rsidP="002B5F8A">
      <w:pPr>
        <w:pStyle w:val="ListParagraph"/>
        <w:numPr>
          <w:ilvl w:val="0"/>
          <w:numId w:val="55"/>
        </w:numPr>
        <w:shd w:val="clear" w:color="auto" w:fill="FFFFFF"/>
        <w:ind w:left="0" w:firstLine="0"/>
        <w:jc w:val="both"/>
        <w:rPr>
          <w:sz w:val="20"/>
        </w:rPr>
      </w:pPr>
      <w:r w:rsidRPr="007D0545">
        <w:rPr>
          <w:rFonts w:eastAsia="Times New Roman"/>
          <w:sz w:val="20"/>
          <w:bdr w:val="none" w:sz="0" w:space="0" w:color="auto"/>
        </w:rPr>
        <w:t xml:space="preserve">At the national level, </w:t>
      </w:r>
      <w:r w:rsidR="003B640E" w:rsidRPr="007D0545">
        <w:rPr>
          <w:rFonts w:eastAsia="Times New Roman"/>
          <w:sz w:val="20"/>
          <w:bdr w:val="none" w:sz="0" w:space="0" w:color="auto"/>
        </w:rPr>
        <w:t xml:space="preserve">in </w:t>
      </w:r>
      <w:r w:rsidR="003B640E" w:rsidRPr="007D0545">
        <w:rPr>
          <w:rFonts w:eastAsia="Times New Roman"/>
          <w:i/>
          <w:sz w:val="20"/>
          <w:bdr w:val="none" w:sz="0" w:space="0" w:color="auto"/>
        </w:rPr>
        <w:t>Faretta v. California</w:t>
      </w:r>
      <w:r w:rsidR="00801B96" w:rsidRPr="007D0545">
        <w:rPr>
          <w:rFonts w:eastAsia="Times New Roman"/>
          <w:sz w:val="20"/>
          <w:bdr w:val="none" w:sz="0" w:space="0" w:color="auto"/>
        </w:rPr>
        <w:t>,</w:t>
      </w:r>
      <w:r w:rsidR="003B640E" w:rsidRPr="007D0545">
        <w:rPr>
          <w:rFonts w:eastAsia="Times New Roman"/>
          <w:sz w:val="20"/>
          <w:bdr w:val="none" w:sz="0" w:space="0" w:color="auto"/>
        </w:rPr>
        <w:t xml:space="preserve"> </w:t>
      </w:r>
      <w:r w:rsidRPr="007D0545">
        <w:rPr>
          <w:rFonts w:eastAsia="Times New Roman"/>
          <w:sz w:val="20"/>
          <w:bdr w:val="none" w:sz="0" w:space="0" w:color="auto"/>
        </w:rPr>
        <w:t xml:space="preserve">the Supreme Court of the Unites States </w:t>
      </w:r>
      <w:r w:rsidR="003B640E" w:rsidRPr="007D0545">
        <w:rPr>
          <w:rFonts w:eastAsia="Times New Roman"/>
          <w:sz w:val="20"/>
          <w:bdr w:val="none" w:sz="0" w:space="0" w:color="auto"/>
        </w:rPr>
        <w:t>recognized a defendant’s constitutional right to represent himself or herself at tria</w:t>
      </w:r>
      <w:r w:rsidR="002B5F8A" w:rsidRPr="007D0545">
        <w:rPr>
          <w:rFonts w:eastAsia="Times New Roman"/>
          <w:sz w:val="20"/>
          <w:bdr w:val="none" w:sz="0" w:space="0" w:color="auto"/>
        </w:rPr>
        <w:t>l under the Sixth Amendment</w:t>
      </w:r>
      <w:r w:rsidR="003B640E" w:rsidRPr="007D0545">
        <w:rPr>
          <w:rFonts w:eastAsia="Times New Roman"/>
          <w:sz w:val="20"/>
          <w:bdr w:val="none" w:sz="0" w:space="0" w:color="auto"/>
        </w:rPr>
        <w:t>.</w:t>
      </w:r>
      <w:r w:rsidR="002B5F8A" w:rsidRPr="007D0545">
        <w:rPr>
          <w:rStyle w:val="FootnoteReference"/>
          <w:rFonts w:asciiTheme="majorHAnsi" w:hAnsiTheme="majorHAnsi"/>
          <w:sz w:val="20"/>
          <w:szCs w:val="20"/>
        </w:rPr>
        <w:footnoteReference w:id="44"/>
      </w:r>
      <w:r w:rsidR="003B640E" w:rsidRPr="007D0545">
        <w:rPr>
          <w:rFonts w:eastAsia="Times New Roman"/>
          <w:sz w:val="20"/>
          <w:bdr w:val="none" w:sz="0" w:space="0" w:color="auto"/>
        </w:rPr>
        <w:t xml:space="preserve"> The </w:t>
      </w:r>
      <w:r w:rsidR="003B640E" w:rsidRPr="007D0545">
        <w:rPr>
          <w:rFonts w:asciiTheme="majorHAnsi" w:hAnsiTheme="majorHAnsi"/>
          <w:sz w:val="20"/>
          <w:szCs w:val="20"/>
        </w:rPr>
        <w:t>Court held that forcing a lawyer upon an accused who is literate, competent, and understanding, and who voluntarily exercises his</w:t>
      </w:r>
      <w:r w:rsidR="00BA31DF" w:rsidRPr="007D0545">
        <w:rPr>
          <w:rFonts w:asciiTheme="majorHAnsi" w:hAnsiTheme="majorHAnsi"/>
          <w:sz w:val="20"/>
          <w:szCs w:val="20"/>
        </w:rPr>
        <w:t>/her</w:t>
      </w:r>
      <w:r w:rsidR="003B640E" w:rsidRPr="007D0545">
        <w:rPr>
          <w:rFonts w:asciiTheme="majorHAnsi" w:hAnsiTheme="majorHAnsi"/>
          <w:sz w:val="20"/>
          <w:szCs w:val="20"/>
        </w:rPr>
        <w:t xml:space="preserve"> informed free will to represent himself </w:t>
      </w:r>
      <w:r w:rsidR="00DD759E" w:rsidRPr="007D0545">
        <w:rPr>
          <w:rFonts w:asciiTheme="majorHAnsi" w:hAnsiTheme="majorHAnsi"/>
          <w:sz w:val="20"/>
          <w:szCs w:val="20"/>
        </w:rPr>
        <w:t xml:space="preserve">or herself </w:t>
      </w:r>
      <w:r w:rsidR="003B640E" w:rsidRPr="007D0545">
        <w:rPr>
          <w:rFonts w:asciiTheme="majorHAnsi" w:hAnsiTheme="majorHAnsi"/>
          <w:sz w:val="20"/>
          <w:szCs w:val="20"/>
        </w:rPr>
        <w:t xml:space="preserve">by waiving </w:t>
      </w:r>
      <w:r w:rsidR="00BE60A3" w:rsidRPr="007D0545">
        <w:rPr>
          <w:rFonts w:asciiTheme="majorHAnsi" w:hAnsiTheme="majorHAnsi"/>
          <w:sz w:val="20"/>
          <w:szCs w:val="20"/>
        </w:rPr>
        <w:t xml:space="preserve">the </w:t>
      </w:r>
      <w:r w:rsidR="003B640E" w:rsidRPr="007D0545">
        <w:rPr>
          <w:rFonts w:asciiTheme="majorHAnsi" w:hAnsiTheme="majorHAnsi"/>
          <w:sz w:val="20"/>
          <w:szCs w:val="20"/>
        </w:rPr>
        <w:t xml:space="preserve">right to assistance of counsel, would be a breach of </w:t>
      </w:r>
      <w:r w:rsidR="00A7605D" w:rsidRPr="007D0545">
        <w:rPr>
          <w:rFonts w:asciiTheme="majorHAnsi" w:hAnsiTheme="majorHAnsi"/>
          <w:sz w:val="20"/>
          <w:szCs w:val="20"/>
        </w:rPr>
        <w:t xml:space="preserve">the </w:t>
      </w:r>
      <w:r w:rsidR="003B640E" w:rsidRPr="007D0545">
        <w:rPr>
          <w:rFonts w:asciiTheme="majorHAnsi" w:hAnsiTheme="majorHAnsi"/>
          <w:sz w:val="20"/>
          <w:szCs w:val="20"/>
        </w:rPr>
        <w:t>constitutional right to conduct his</w:t>
      </w:r>
      <w:r w:rsidR="00A7605D" w:rsidRPr="007D0545">
        <w:rPr>
          <w:rFonts w:asciiTheme="majorHAnsi" w:hAnsiTheme="majorHAnsi"/>
          <w:sz w:val="20"/>
          <w:szCs w:val="20"/>
        </w:rPr>
        <w:t>/her</w:t>
      </w:r>
      <w:r w:rsidR="003B640E" w:rsidRPr="007D0545">
        <w:rPr>
          <w:rFonts w:asciiTheme="majorHAnsi" w:hAnsiTheme="majorHAnsi"/>
          <w:sz w:val="20"/>
          <w:szCs w:val="20"/>
        </w:rPr>
        <w:t xml:space="preserve"> own </w:t>
      </w:r>
      <w:r w:rsidR="002B5F8A" w:rsidRPr="007D0545">
        <w:rPr>
          <w:rFonts w:asciiTheme="majorHAnsi" w:hAnsiTheme="majorHAnsi"/>
          <w:sz w:val="20"/>
          <w:szCs w:val="20"/>
        </w:rPr>
        <w:t>defense</w:t>
      </w:r>
      <w:r w:rsidR="003B640E" w:rsidRPr="007D0545">
        <w:rPr>
          <w:rFonts w:asciiTheme="majorHAnsi" w:hAnsiTheme="majorHAnsi"/>
          <w:sz w:val="20"/>
          <w:szCs w:val="20"/>
        </w:rPr>
        <w:t>.</w:t>
      </w:r>
      <w:r w:rsidR="003B640E" w:rsidRPr="007D0545">
        <w:rPr>
          <w:sz w:val="20"/>
        </w:rPr>
        <w:t xml:space="preserve"> </w:t>
      </w:r>
      <w:r w:rsidR="00DD759E" w:rsidRPr="007D0545">
        <w:rPr>
          <w:sz w:val="20"/>
        </w:rPr>
        <w:t>The Court also stated that, in order to represent himself or herself, the accused must “knowingly and intelligently” forgo many of the relinquished benefits associated with the right to counsel.</w:t>
      </w:r>
    </w:p>
    <w:p w14:paraId="1F2CDBF8" w14:textId="77777777" w:rsidR="00DD759E" w:rsidRPr="007D0545" w:rsidRDefault="00DD759E" w:rsidP="00DD759E">
      <w:pPr>
        <w:pStyle w:val="ListParagraph"/>
        <w:rPr>
          <w:sz w:val="20"/>
        </w:rPr>
      </w:pPr>
    </w:p>
    <w:p w14:paraId="16FF6A2D" w14:textId="77777777" w:rsidR="006A538E" w:rsidRPr="007D0545" w:rsidRDefault="002626F5" w:rsidP="006A538E">
      <w:pPr>
        <w:pStyle w:val="ListParagraph"/>
        <w:numPr>
          <w:ilvl w:val="0"/>
          <w:numId w:val="55"/>
        </w:numPr>
        <w:ind w:left="0" w:firstLine="0"/>
        <w:jc w:val="both"/>
        <w:rPr>
          <w:rFonts w:eastAsia="Times New Roman"/>
          <w:sz w:val="20"/>
          <w:bdr w:val="none" w:sz="0" w:space="0" w:color="auto"/>
        </w:rPr>
      </w:pPr>
      <w:r w:rsidRPr="007D0545">
        <w:rPr>
          <w:sz w:val="20"/>
        </w:rPr>
        <w:t>Th</w:t>
      </w:r>
      <w:r w:rsidR="00D36A2C" w:rsidRPr="007D0545">
        <w:rPr>
          <w:sz w:val="20"/>
        </w:rPr>
        <w:t>e</w:t>
      </w:r>
      <w:r w:rsidRPr="007D0545">
        <w:rPr>
          <w:sz w:val="20"/>
        </w:rPr>
        <w:t xml:space="preserve"> right</w:t>
      </w:r>
      <w:r w:rsidR="00D36A2C" w:rsidRPr="007D0545">
        <w:rPr>
          <w:sz w:val="20"/>
        </w:rPr>
        <w:t xml:space="preserve"> </w:t>
      </w:r>
      <w:r w:rsidR="00E74123" w:rsidRPr="007D0545">
        <w:rPr>
          <w:sz w:val="20"/>
        </w:rPr>
        <w:t>to represent on</w:t>
      </w:r>
      <w:r w:rsidR="00801B96" w:rsidRPr="007D0545">
        <w:rPr>
          <w:sz w:val="20"/>
        </w:rPr>
        <w:t>e</w:t>
      </w:r>
      <w:r w:rsidR="00E74123" w:rsidRPr="007D0545">
        <w:rPr>
          <w:sz w:val="20"/>
        </w:rPr>
        <w:t>self</w:t>
      </w:r>
      <w:r w:rsidRPr="007D0545">
        <w:rPr>
          <w:sz w:val="20"/>
        </w:rPr>
        <w:t xml:space="preserve">, however, is not absolute. </w:t>
      </w:r>
      <w:r w:rsidR="00E74123" w:rsidRPr="007D0545">
        <w:rPr>
          <w:sz w:val="20"/>
        </w:rPr>
        <w:t xml:space="preserve">There are </w:t>
      </w:r>
      <w:r w:rsidR="00E74123" w:rsidRPr="007D0545">
        <w:rPr>
          <w:rFonts w:asciiTheme="majorHAnsi" w:hAnsiTheme="majorHAnsi"/>
          <w:sz w:val="20"/>
          <w:szCs w:val="20"/>
        </w:rPr>
        <w:t>circumstances in which the right must yield to the overarching right to a fair trial</w:t>
      </w:r>
      <w:r w:rsidR="00FD5518" w:rsidRPr="007D0545">
        <w:rPr>
          <w:rFonts w:asciiTheme="majorHAnsi" w:hAnsiTheme="majorHAnsi"/>
          <w:sz w:val="20"/>
          <w:szCs w:val="20"/>
        </w:rPr>
        <w:t>.</w:t>
      </w:r>
      <w:r w:rsidR="00337961" w:rsidRPr="007D0545">
        <w:rPr>
          <w:rFonts w:asciiTheme="majorHAnsi" w:hAnsiTheme="majorHAnsi"/>
          <w:sz w:val="20"/>
          <w:szCs w:val="20"/>
        </w:rPr>
        <w:t xml:space="preserve"> </w:t>
      </w:r>
      <w:r w:rsidR="006A538E" w:rsidRPr="007D0545">
        <w:rPr>
          <w:rFonts w:asciiTheme="majorHAnsi" w:hAnsiTheme="majorHAnsi"/>
          <w:sz w:val="20"/>
          <w:szCs w:val="20"/>
        </w:rPr>
        <w:t>The Inter-American Court of Human Rights, when considering the right to counsel, has established that “the circumstances of a particular case or proceeding -its significance, its legal character, and its context in a particular legal system- are among the factors that bear on the determination of whether legal representation is or is not necessary for a fair hearing.”</w:t>
      </w:r>
      <w:r w:rsidR="006A538E" w:rsidRPr="007D0545">
        <w:rPr>
          <w:rStyle w:val="FootnoteReference"/>
          <w:rFonts w:asciiTheme="majorHAnsi" w:hAnsiTheme="majorHAnsi"/>
          <w:sz w:val="20"/>
          <w:szCs w:val="20"/>
        </w:rPr>
        <w:footnoteReference w:id="45"/>
      </w:r>
    </w:p>
    <w:p w14:paraId="5F98F2D9" w14:textId="77777777" w:rsidR="006A538E" w:rsidRPr="007D0545" w:rsidRDefault="006A538E" w:rsidP="006A538E">
      <w:pPr>
        <w:pStyle w:val="ListParagraph"/>
        <w:rPr>
          <w:rFonts w:asciiTheme="majorHAnsi" w:hAnsiTheme="majorHAnsi"/>
          <w:sz w:val="20"/>
          <w:szCs w:val="20"/>
        </w:rPr>
      </w:pPr>
    </w:p>
    <w:p w14:paraId="09A95902" w14:textId="77777777" w:rsidR="00587964" w:rsidRPr="007D0545" w:rsidRDefault="00AF2782" w:rsidP="00587964">
      <w:pPr>
        <w:pStyle w:val="ListParagraph"/>
        <w:numPr>
          <w:ilvl w:val="0"/>
          <w:numId w:val="55"/>
        </w:numPr>
        <w:shd w:val="clear" w:color="auto" w:fill="FFFFFF"/>
        <w:ind w:left="0" w:firstLine="0"/>
        <w:jc w:val="both"/>
        <w:rPr>
          <w:rFonts w:asciiTheme="majorHAnsi" w:hAnsiTheme="majorHAnsi"/>
          <w:sz w:val="20"/>
          <w:szCs w:val="20"/>
        </w:rPr>
      </w:pPr>
      <w:r w:rsidRPr="007D0545">
        <w:rPr>
          <w:rFonts w:asciiTheme="majorHAnsi" w:hAnsiTheme="majorHAnsi"/>
          <w:sz w:val="20"/>
          <w:szCs w:val="20"/>
        </w:rPr>
        <w:t>In </w:t>
      </w:r>
      <w:r w:rsidRPr="007D0545">
        <w:rPr>
          <w:rFonts w:asciiTheme="majorHAnsi" w:eastAsia="Times New Roman" w:hAnsiTheme="majorHAnsi"/>
          <w:i/>
          <w:sz w:val="20"/>
          <w:bdr w:val="none" w:sz="0" w:space="0" w:color="auto"/>
        </w:rPr>
        <w:t>Faretta v. California</w:t>
      </w:r>
      <w:r w:rsidR="00F548A6" w:rsidRPr="007D0545">
        <w:rPr>
          <w:rFonts w:asciiTheme="majorHAnsi" w:eastAsia="Times New Roman" w:hAnsiTheme="majorHAnsi"/>
          <w:sz w:val="20"/>
          <w:bdr w:val="none" w:sz="0" w:space="0" w:color="auto"/>
        </w:rPr>
        <w:t>,</w:t>
      </w:r>
      <w:r w:rsidRPr="007D0545">
        <w:rPr>
          <w:rFonts w:asciiTheme="majorHAnsi" w:hAnsiTheme="majorHAnsi"/>
          <w:sz w:val="20"/>
          <w:szCs w:val="20"/>
        </w:rPr>
        <w:t xml:space="preserve"> the Court recognized that “the trial judge may terminate self-representation by a defendant who deliberately engages in serious and obstructionist misconduct” and “a State may – even over objection by the accused – appoint ‘standby counsel’ to aid the accused if and when the accused requests help, and to be able to represent the accused in the event that termination of the defendant’s self-representation is necessary”.</w:t>
      </w:r>
      <w:r w:rsidRPr="007D0545">
        <w:rPr>
          <w:rStyle w:val="FootnoteReference"/>
          <w:rFonts w:asciiTheme="majorHAnsi" w:hAnsiTheme="majorHAnsi"/>
          <w:sz w:val="20"/>
          <w:szCs w:val="20"/>
        </w:rPr>
        <w:footnoteReference w:id="46"/>
      </w:r>
      <w:r w:rsidR="00337961" w:rsidRPr="007D0545">
        <w:rPr>
          <w:rFonts w:asciiTheme="majorHAnsi" w:hAnsiTheme="majorHAnsi"/>
          <w:sz w:val="20"/>
          <w:szCs w:val="20"/>
        </w:rPr>
        <w:t xml:space="preserve"> </w:t>
      </w:r>
      <w:r w:rsidR="00587964" w:rsidRPr="007D0545">
        <w:rPr>
          <w:rFonts w:asciiTheme="majorHAnsi" w:hAnsiTheme="majorHAnsi"/>
          <w:sz w:val="20"/>
          <w:szCs w:val="20"/>
        </w:rPr>
        <w:t>In </w:t>
      </w:r>
      <w:r w:rsidR="00587964" w:rsidRPr="007D0545">
        <w:rPr>
          <w:rFonts w:asciiTheme="majorHAnsi" w:hAnsiTheme="majorHAnsi"/>
          <w:i/>
          <w:iCs/>
          <w:sz w:val="20"/>
          <w:szCs w:val="20"/>
        </w:rPr>
        <w:t>Martinez v. Court of Appeal of California</w:t>
      </w:r>
      <w:r w:rsidR="00587964" w:rsidRPr="007D0545">
        <w:rPr>
          <w:rFonts w:asciiTheme="majorHAnsi" w:hAnsiTheme="majorHAnsi"/>
          <w:sz w:val="20"/>
          <w:szCs w:val="20"/>
        </w:rPr>
        <w:t>, the Supreme Court</w:t>
      </w:r>
      <w:r w:rsidR="00630C75" w:rsidRPr="007D0545">
        <w:rPr>
          <w:rFonts w:asciiTheme="majorHAnsi" w:hAnsiTheme="majorHAnsi"/>
          <w:sz w:val="20"/>
          <w:szCs w:val="20"/>
        </w:rPr>
        <w:t xml:space="preserve"> weighed the right to self-representation against other interests </w:t>
      </w:r>
      <w:r w:rsidR="00294727" w:rsidRPr="007D0545">
        <w:rPr>
          <w:rFonts w:asciiTheme="majorHAnsi" w:hAnsiTheme="majorHAnsi"/>
          <w:sz w:val="20"/>
          <w:szCs w:val="20"/>
        </w:rPr>
        <w:t xml:space="preserve">of justice </w:t>
      </w:r>
      <w:r w:rsidR="00630C75" w:rsidRPr="007D0545">
        <w:rPr>
          <w:rFonts w:asciiTheme="majorHAnsi" w:hAnsiTheme="majorHAnsi"/>
          <w:sz w:val="20"/>
          <w:szCs w:val="20"/>
        </w:rPr>
        <w:t>and</w:t>
      </w:r>
      <w:r w:rsidR="00587964" w:rsidRPr="007D0545">
        <w:rPr>
          <w:rFonts w:asciiTheme="majorHAnsi" w:hAnsiTheme="majorHAnsi"/>
          <w:sz w:val="20"/>
          <w:szCs w:val="20"/>
        </w:rPr>
        <w:t xml:space="preserve"> held that a defendant did not have a constitutional right to represent himself or herself on appeal. In this decision the Court reasoned that, “the right to self-representation is not absolute” and that</w:t>
      </w:r>
      <w:r w:rsidR="00287642" w:rsidRPr="007D0545">
        <w:rPr>
          <w:rFonts w:asciiTheme="majorHAnsi" w:hAnsiTheme="majorHAnsi"/>
          <w:sz w:val="20"/>
          <w:szCs w:val="20"/>
        </w:rPr>
        <w:t>,</w:t>
      </w:r>
      <w:r w:rsidR="00587964" w:rsidRPr="007D0545">
        <w:rPr>
          <w:rFonts w:asciiTheme="majorHAnsi" w:hAnsiTheme="majorHAnsi"/>
          <w:sz w:val="20"/>
          <w:szCs w:val="20"/>
        </w:rPr>
        <w:t xml:space="preserve"> </w:t>
      </w:r>
      <w:r w:rsidR="00287642" w:rsidRPr="007D0545">
        <w:rPr>
          <w:rFonts w:asciiTheme="majorHAnsi" w:hAnsiTheme="majorHAnsi"/>
          <w:sz w:val="20"/>
          <w:szCs w:val="20"/>
        </w:rPr>
        <w:t>e</w:t>
      </w:r>
      <w:r w:rsidR="00587964" w:rsidRPr="007D0545">
        <w:rPr>
          <w:rFonts w:asciiTheme="majorHAnsi" w:hAnsiTheme="majorHAnsi"/>
          <w:sz w:val="20"/>
          <w:szCs w:val="20"/>
        </w:rPr>
        <w:t xml:space="preserve">ven at the trial level, </w:t>
      </w:r>
      <w:r w:rsidR="00287642" w:rsidRPr="007D0545">
        <w:rPr>
          <w:rFonts w:asciiTheme="majorHAnsi" w:hAnsiTheme="majorHAnsi"/>
          <w:sz w:val="20"/>
          <w:szCs w:val="20"/>
        </w:rPr>
        <w:t>“</w:t>
      </w:r>
      <w:r w:rsidR="00587964" w:rsidRPr="007D0545">
        <w:rPr>
          <w:rFonts w:asciiTheme="majorHAnsi" w:hAnsiTheme="majorHAnsi"/>
          <w:sz w:val="20"/>
          <w:szCs w:val="20"/>
        </w:rPr>
        <w:t>the government’s interest in ensuring the integrity and efficiency of the trial at times outweighs the defendant’s interest in acting as his own lawyer.”</w:t>
      </w:r>
      <w:r w:rsidR="00587964" w:rsidRPr="007D0545">
        <w:rPr>
          <w:rStyle w:val="FootnoteReference"/>
          <w:rFonts w:asciiTheme="majorHAnsi" w:hAnsiTheme="majorHAnsi"/>
          <w:sz w:val="20"/>
          <w:szCs w:val="20"/>
        </w:rPr>
        <w:footnoteReference w:id="47"/>
      </w:r>
      <w:r w:rsidR="00587964" w:rsidRPr="007D0545">
        <w:rPr>
          <w:rFonts w:asciiTheme="majorHAnsi" w:hAnsiTheme="majorHAnsi"/>
          <w:sz w:val="20"/>
          <w:szCs w:val="20"/>
        </w:rPr>
        <w:t xml:space="preserve"> </w:t>
      </w:r>
    </w:p>
    <w:p w14:paraId="40C863F7" w14:textId="77777777" w:rsidR="00587964" w:rsidRDefault="00587964" w:rsidP="00B920B7">
      <w:pPr>
        <w:pStyle w:val="ListParagraph"/>
        <w:rPr>
          <w:rFonts w:asciiTheme="majorHAnsi" w:hAnsiTheme="majorHAnsi"/>
          <w:sz w:val="20"/>
          <w:szCs w:val="20"/>
        </w:rPr>
      </w:pPr>
    </w:p>
    <w:p w14:paraId="62AFC415" w14:textId="77777777" w:rsidR="00DC78FC" w:rsidRDefault="00DC78FC" w:rsidP="00B920B7">
      <w:pPr>
        <w:pStyle w:val="ListParagraph"/>
        <w:rPr>
          <w:rFonts w:asciiTheme="majorHAnsi" w:hAnsiTheme="majorHAnsi"/>
          <w:sz w:val="20"/>
          <w:szCs w:val="20"/>
        </w:rPr>
      </w:pPr>
    </w:p>
    <w:p w14:paraId="0C02532B" w14:textId="77777777" w:rsidR="00DC78FC" w:rsidRDefault="00DC78FC" w:rsidP="00B920B7">
      <w:pPr>
        <w:pStyle w:val="ListParagraph"/>
        <w:rPr>
          <w:rFonts w:asciiTheme="majorHAnsi" w:hAnsiTheme="majorHAnsi"/>
          <w:sz w:val="20"/>
          <w:szCs w:val="20"/>
        </w:rPr>
      </w:pPr>
    </w:p>
    <w:p w14:paraId="503D3D8F" w14:textId="77777777" w:rsidR="00DC78FC" w:rsidRDefault="00DC78FC" w:rsidP="00B920B7">
      <w:pPr>
        <w:pStyle w:val="ListParagraph"/>
        <w:rPr>
          <w:rFonts w:asciiTheme="majorHAnsi" w:hAnsiTheme="majorHAnsi"/>
          <w:sz w:val="20"/>
          <w:szCs w:val="20"/>
        </w:rPr>
      </w:pPr>
    </w:p>
    <w:p w14:paraId="586F85D8" w14:textId="77777777" w:rsidR="00DC78FC" w:rsidRDefault="00DC78FC" w:rsidP="00B920B7">
      <w:pPr>
        <w:pStyle w:val="ListParagraph"/>
        <w:rPr>
          <w:rFonts w:asciiTheme="majorHAnsi" w:hAnsiTheme="majorHAnsi"/>
          <w:sz w:val="20"/>
          <w:szCs w:val="20"/>
        </w:rPr>
      </w:pPr>
    </w:p>
    <w:p w14:paraId="496E82B7" w14:textId="77777777" w:rsidR="00DC78FC" w:rsidRDefault="00DC78FC" w:rsidP="00B920B7">
      <w:pPr>
        <w:pStyle w:val="ListParagraph"/>
        <w:rPr>
          <w:rFonts w:asciiTheme="majorHAnsi" w:hAnsiTheme="majorHAnsi"/>
          <w:sz w:val="20"/>
          <w:szCs w:val="20"/>
        </w:rPr>
      </w:pPr>
    </w:p>
    <w:p w14:paraId="2F9978C1" w14:textId="77777777" w:rsidR="00DC78FC" w:rsidRPr="007D0545" w:rsidRDefault="00DC78FC" w:rsidP="00B920B7">
      <w:pPr>
        <w:pStyle w:val="ListParagraph"/>
        <w:rPr>
          <w:rFonts w:asciiTheme="majorHAnsi" w:hAnsiTheme="majorHAnsi"/>
          <w:sz w:val="20"/>
          <w:szCs w:val="20"/>
        </w:rPr>
      </w:pPr>
    </w:p>
    <w:p w14:paraId="2DBA4886" w14:textId="77777777" w:rsidR="008373B6" w:rsidRPr="007D0545" w:rsidRDefault="007A3293" w:rsidP="008373B6">
      <w:pPr>
        <w:pStyle w:val="ListParagraph"/>
        <w:numPr>
          <w:ilvl w:val="0"/>
          <w:numId w:val="55"/>
        </w:numPr>
        <w:shd w:val="clear" w:color="auto" w:fill="FFFFFF"/>
        <w:ind w:left="0" w:firstLine="0"/>
        <w:jc w:val="both"/>
        <w:rPr>
          <w:rFonts w:asciiTheme="majorHAnsi" w:eastAsia="Arial Unicode MS" w:hAnsiTheme="majorHAnsi"/>
          <w:sz w:val="20"/>
          <w:szCs w:val="20"/>
        </w:rPr>
      </w:pPr>
      <w:r w:rsidRPr="007D0545">
        <w:rPr>
          <w:rFonts w:asciiTheme="majorHAnsi" w:hAnsiTheme="majorHAnsi"/>
          <w:sz w:val="20"/>
          <w:szCs w:val="20"/>
        </w:rPr>
        <w:lastRenderedPageBreak/>
        <w:t xml:space="preserve">The ICTY has recognized that the wording of Article 21 of </w:t>
      </w:r>
      <w:r w:rsidR="00EC20C2" w:rsidRPr="007D0545">
        <w:rPr>
          <w:rFonts w:asciiTheme="majorHAnsi" w:hAnsiTheme="majorHAnsi"/>
          <w:sz w:val="20"/>
          <w:szCs w:val="20"/>
        </w:rPr>
        <w:t xml:space="preserve">its </w:t>
      </w:r>
      <w:r w:rsidRPr="007D0545">
        <w:rPr>
          <w:rFonts w:asciiTheme="majorHAnsi" w:hAnsiTheme="majorHAnsi"/>
          <w:sz w:val="20"/>
          <w:szCs w:val="20"/>
        </w:rPr>
        <w:t>Statute “leave[s] open the possibility of assigning counsel to an accused on a case by case bas</w:t>
      </w:r>
      <w:r w:rsidR="001D4D75" w:rsidRPr="007D0545">
        <w:rPr>
          <w:rFonts w:asciiTheme="majorHAnsi" w:hAnsiTheme="majorHAnsi"/>
          <w:sz w:val="20"/>
          <w:szCs w:val="20"/>
        </w:rPr>
        <w:t>is in the interests of justice.”</w:t>
      </w:r>
      <w:r w:rsidR="001D4D75" w:rsidRPr="007D0545">
        <w:rPr>
          <w:rStyle w:val="FootnoteReference"/>
          <w:rFonts w:asciiTheme="majorHAnsi" w:hAnsiTheme="majorHAnsi"/>
          <w:sz w:val="20"/>
          <w:szCs w:val="20"/>
        </w:rPr>
        <w:footnoteReference w:id="48"/>
      </w:r>
      <w:r w:rsidRPr="007D0545">
        <w:rPr>
          <w:rFonts w:asciiTheme="majorHAnsi" w:hAnsiTheme="majorHAnsi"/>
          <w:sz w:val="20"/>
          <w:szCs w:val="20"/>
        </w:rPr>
        <w:t> </w:t>
      </w:r>
      <w:r w:rsidR="001D4D75" w:rsidRPr="007D0545">
        <w:rPr>
          <w:rFonts w:asciiTheme="majorHAnsi" w:hAnsiTheme="majorHAnsi"/>
          <w:sz w:val="20"/>
          <w:szCs w:val="20"/>
        </w:rPr>
        <w:t>The Tribunal</w:t>
      </w:r>
      <w:r w:rsidR="00D73376" w:rsidRPr="007D0545">
        <w:rPr>
          <w:rFonts w:asciiTheme="majorHAnsi" w:hAnsiTheme="majorHAnsi"/>
          <w:sz w:val="20"/>
          <w:szCs w:val="20"/>
        </w:rPr>
        <w:t xml:space="preserve"> has ruled that</w:t>
      </w:r>
      <w:r w:rsidR="003A187E" w:rsidRPr="007D0545">
        <w:rPr>
          <w:rFonts w:asciiTheme="majorHAnsi" w:hAnsiTheme="majorHAnsi"/>
          <w:sz w:val="20"/>
          <w:szCs w:val="20"/>
        </w:rPr>
        <w:t xml:space="preserve"> “in the event that self-representation gives rise to the risk of unfairness to the accused […] steps must be taken […]; otherwise, the purpose of securing for the accused the right to a defense will </w:t>
      </w:r>
      <w:r w:rsidR="00F11242" w:rsidRPr="007D0545">
        <w:rPr>
          <w:rFonts w:asciiTheme="majorHAnsi" w:hAnsiTheme="majorHAnsi"/>
          <w:sz w:val="20"/>
          <w:szCs w:val="20"/>
        </w:rPr>
        <w:t>b</w:t>
      </w:r>
      <w:r w:rsidR="003A187E" w:rsidRPr="007D0545">
        <w:rPr>
          <w:rFonts w:asciiTheme="majorHAnsi" w:hAnsiTheme="majorHAnsi"/>
          <w:sz w:val="20"/>
          <w:szCs w:val="20"/>
        </w:rPr>
        <w:t>e nullified”</w:t>
      </w:r>
      <w:r w:rsidR="00A91C87" w:rsidRPr="007D0545">
        <w:rPr>
          <w:rFonts w:asciiTheme="majorHAnsi" w:hAnsiTheme="majorHAnsi"/>
          <w:sz w:val="20"/>
          <w:szCs w:val="20"/>
        </w:rPr>
        <w:t>.</w:t>
      </w:r>
      <w:r w:rsidR="00A91C87" w:rsidRPr="007D0545">
        <w:rPr>
          <w:rStyle w:val="FootnoteReference"/>
          <w:rFonts w:asciiTheme="majorHAnsi" w:hAnsiTheme="majorHAnsi"/>
          <w:sz w:val="20"/>
          <w:szCs w:val="20"/>
        </w:rPr>
        <w:t xml:space="preserve"> </w:t>
      </w:r>
      <w:r w:rsidR="00A91C87" w:rsidRPr="007D0545">
        <w:rPr>
          <w:rStyle w:val="FootnoteReference"/>
          <w:rFonts w:asciiTheme="majorHAnsi" w:hAnsiTheme="majorHAnsi"/>
          <w:sz w:val="20"/>
          <w:szCs w:val="20"/>
        </w:rPr>
        <w:footnoteReference w:id="49"/>
      </w:r>
      <w:r w:rsidR="0083716D" w:rsidRPr="007D0545">
        <w:rPr>
          <w:rFonts w:asciiTheme="majorHAnsi" w:hAnsiTheme="majorHAnsi"/>
          <w:sz w:val="20"/>
          <w:szCs w:val="20"/>
        </w:rPr>
        <w:t xml:space="preserve"> </w:t>
      </w:r>
      <w:r w:rsidR="00A91C87" w:rsidRPr="007D0545">
        <w:rPr>
          <w:rFonts w:asciiTheme="majorHAnsi" w:hAnsiTheme="majorHAnsi"/>
          <w:sz w:val="20"/>
          <w:szCs w:val="20"/>
        </w:rPr>
        <w:t>Also, according to the ICTY,</w:t>
      </w:r>
      <w:r w:rsidR="0083716D" w:rsidRPr="007D0545">
        <w:rPr>
          <w:rFonts w:asciiTheme="majorHAnsi" w:hAnsiTheme="majorHAnsi"/>
          <w:sz w:val="20"/>
          <w:szCs w:val="20"/>
        </w:rPr>
        <w:t xml:space="preserve"> the Trial Chamber is not obliged “to indulge the wish of an accused to conduct his own defense where his capacity to do so is so impaired that, were he </w:t>
      </w:r>
      <w:r w:rsidR="009B07BE" w:rsidRPr="007D0545">
        <w:rPr>
          <w:rFonts w:asciiTheme="majorHAnsi" w:hAnsiTheme="majorHAnsi"/>
          <w:sz w:val="20"/>
          <w:szCs w:val="20"/>
        </w:rPr>
        <w:t xml:space="preserve">to </w:t>
      </w:r>
      <w:r w:rsidR="0083716D" w:rsidRPr="007D0545">
        <w:rPr>
          <w:rFonts w:asciiTheme="majorHAnsi" w:hAnsiTheme="majorHAnsi"/>
          <w:sz w:val="20"/>
          <w:szCs w:val="20"/>
        </w:rPr>
        <w:t>continue to do so, there would be a material risk that he would not receive a fair trial.”</w:t>
      </w:r>
      <w:r w:rsidR="0083716D" w:rsidRPr="007D0545">
        <w:rPr>
          <w:rStyle w:val="FootnoteReference"/>
          <w:rFonts w:asciiTheme="majorHAnsi" w:hAnsiTheme="majorHAnsi"/>
          <w:sz w:val="20"/>
          <w:szCs w:val="20"/>
        </w:rPr>
        <w:footnoteReference w:id="50"/>
      </w:r>
      <w:r w:rsidR="008373B6" w:rsidRPr="007D0545">
        <w:rPr>
          <w:rFonts w:asciiTheme="majorHAnsi" w:hAnsiTheme="majorHAnsi"/>
          <w:sz w:val="20"/>
          <w:szCs w:val="20"/>
        </w:rPr>
        <w:t xml:space="preserve"> The Trial Chamber has decided that “standby counsel” should be appointed with various responsibilities, including the possibility of taking over the conduct of the </w:t>
      </w:r>
      <w:r w:rsidR="00762A2F" w:rsidRPr="007D0545">
        <w:rPr>
          <w:rFonts w:asciiTheme="majorHAnsi" w:hAnsiTheme="majorHAnsi"/>
          <w:sz w:val="20"/>
          <w:szCs w:val="20"/>
        </w:rPr>
        <w:t>defense</w:t>
      </w:r>
      <w:r w:rsidR="008373B6" w:rsidRPr="007D0545">
        <w:rPr>
          <w:rFonts w:asciiTheme="majorHAnsi" w:hAnsiTheme="majorHAnsi"/>
          <w:sz w:val="20"/>
          <w:szCs w:val="20"/>
        </w:rPr>
        <w:t xml:space="preserve"> case against the will of the accused.</w:t>
      </w:r>
      <w:r w:rsidR="00762A2F" w:rsidRPr="007D0545">
        <w:rPr>
          <w:rStyle w:val="FootnoteReference"/>
          <w:rFonts w:asciiTheme="majorHAnsi" w:hAnsiTheme="majorHAnsi"/>
          <w:sz w:val="20"/>
          <w:szCs w:val="20"/>
        </w:rPr>
        <w:footnoteReference w:id="51"/>
      </w:r>
      <w:r w:rsidR="00762A2F" w:rsidRPr="007D0545">
        <w:rPr>
          <w:rFonts w:asciiTheme="majorHAnsi" w:hAnsiTheme="majorHAnsi"/>
          <w:sz w:val="20"/>
          <w:szCs w:val="20"/>
        </w:rPr>
        <w:t xml:space="preserve"> </w:t>
      </w:r>
      <w:r w:rsidR="00C4068A" w:rsidRPr="007D0545">
        <w:rPr>
          <w:rFonts w:asciiTheme="majorHAnsi" w:hAnsiTheme="majorHAnsi"/>
          <w:sz w:val="20"/>
          <w:szCs w:val="20"/>
        </w:rPr>
        <w:t>The SCSL has also held that the right to self-representation enshrined in its Statute “is not absolute but rather, a qualified right.”</w:t>
      </w:r>
      <w:r w:rsidR="00C4068A" w:rsidRPr="007D0545">
        <w:rPr>
          <w:rStyle w:val="FootnoteReference"/>
          <w:rFonts w:asciiTheme="majorHAnsi" w:hAnsiTheme="majorHAnsi"/>
          <w:sz w:val="20"/>
          <w:szCs w:val="20"/>
        </w:rPr>
        <w:footnoteReference w:id="52"/>
      </w:r>
      <w:r w:rsidR="00C4068A" w:rsidRPr="007D0545">
        <w:rPr>
          <w:rFonts w:asciiTheme="majorHAnsi" w:hAnsiTheme="majorHAnsi"/>
          <w:sz w:val="20"/>
          <w:szCs w:val="20"/>
        </w:rPr>
        <w:t> </w:t>
      </w:r>
    </w:p>
    <w:p w14:paraId="5E7D104C" w14:textId="77777777" w:rsidR="00AF0440" w:rsidRPr="007D0545" w:rsidRDefault="00AF0440" w:rsidP="00AF0440">
      <w:pPr>
        <w:pStyle w:val="ListParagraph"/>
        <w:rPr>
          <w:rFonts w:asciiTheme="majorHAnsi" w:eastAsia="Arial Unicode MS" w:hAnsiTheme="majorHAnsi"/>
          <w:sz w:val="20"/>
          <w:szCs w:val="20"/>
        </w:rPr>
      </w:pPr>
    </w:p>
    <w:p w14:paraId="7EE728B8" w14:textId="77777777" w:rsidR="00754E95" w:rsidRPr="007D0545" w:rsidRDefault="00754E95" w:rsidP="00527461">
      <w:pPr>
        <w:pStyle w:val="Heading3"/>
        <w:numPr>
          <w:ilvl w:val="1"/>
          <w:numId w:val="53"/>
        </w:numPr>
        <w:spacing w:before="0"/>
        <w:ind w:hanging="720"/>
        <w:jc w:val="both"/>
        <w:rPr>
          <w:color w:val="auto"/>
          <w:sz w:val="20"/>
          <w:szCs w:val="20"/>
        </w:rPr>
      </w:pPr>
      <w:bookmarkStart w:id="13" w:name="_Toc26556091"/>
      <w:r w:rsidRPr="007D0545">
        <w:rPr>
          <w:color w:val="auto"/>
          <w:sz w:val="20"/>
          <w:szCs w:val="20"/>
        </w:rPr>
        <w:t xml:space="preserve">The right </w:t>
      </w:r>
      <w:r w:rsidR="00692996" w:rsidRPr="007D0545">
        <w:rPr>
          <w:color w:val="auto"/>
          <w:sz w:val="20"/>
          <w:szCs w:val="20"/>
        </w:rPr>
        <w:t>to</w:t>
      </w:r>
      <w:r w:rsidRPr="007D0545">
        <w:rPr>
          <w:color w:val="auto"/>
          <w:sz w:val="20"/>
          <w:szCs w:val="20"/>
        </w:rPr>
        <w:t xml:space="preserve"> self-representation </w:t>
      </w:r>
      <w:r w:rsidR="00535135" w:rsidRPr="007D0545">
        <w:rPr>
          <w:color w:val="auto"/>
          <w:sz w:val="20"/>
          <w:szCs w:val="20"/>
        </w:rPr>
        <w:t>in</w:t>
      </w:r>
      <w:r w:rsidR="001E53FB" w:rsidRPr="007D0545">
        <w:rPr>
          <w:color w:val="auto"/>
          <w:sz w:val="20"/>
          <w:szCs w:val="20"/>
        </w:rPr>
        <w:t xml:space="preserve"> death penalty cases</w:t>
      </w:r>
      <w:bookmarkEnd w:id="13"/>
    </w:p>
    <w:p w14:paraId="05121761" w14:textId="77777777" w:rsidR="00754E95" w:rsidRPr="007D0545" w:rsidRDefault="00754E95" w:rsidP="00754E95"/>
    <w:p w14:paraId="22179385" w14:textId="77777777" w:rsidR="00DB4D80" w:rsidRPr="007D0545" w:rsidRDefault="0087014C" w:rsidP="00DB4D80">
      <w:pPr>
        <w:pStyle w:val="ListParagraph"/>
        <w:numPr>
          <w:ilvl w:val="0"/>
          <w:numId w:val="55"/>
        </w:numPr>
        <w:shd w:val="clear" w:color="auto" w:fill="FFFFFF"/>
        <w:ind w:left="0" w:firstLine="0"/>
        <w:jc w:val="both"/>
        <w:rPr>
          <w:rFonts w:asciiTheme="majorHAnsi" w:hAnsiTheme="majorHAnsi"/>
          <w:sz w:val="20"/>
          <w:szCs w:val="20"/>
        </w:rPr>
      </w:pPr>
      <w:r w:rsidRPr="007D0545">
        <w:rPr>
          <w:rFonts w:asciiTheme="majorHAnsi" w:hAnsiTheme="majorHAnsi"/>
          <w:sz w:val="20"/>
          <w:szCs w:val="20"/>
        </w:rPr>
        <w:t xml:space="preserve">As previously established, the right to self-representation is an internationally recognized human right that can be limited in the interest of justice </w:t>
      </w:r>
      <w:r w:rsidR="0086147D" w:rsidRPr="007D0545">
        <w:rPr>
          <w:rFonts w:asciiTheme="majorHAnsi" w:hAnsiTheme="majorHAnsi"/>
          <w:sz w:val="20"/>
          <w:szCs w:val="20"/>
        </w:rPr>
        <w:t>and a fair trial.</w:t>
      </w:r>
      <w:r w:rsidR="00540AEC" w:rsidRPr="007D0545">
        <w:rPr>
          <w:rFonts w:asciiTheme="majorHAnsi" w:hAnsiTheme="majorHAnsi"/>
          <w:sz w:val="20"/>
          <w:szCs w:val="20"/>
        </w:rPr>
        <w:t xml:space="preserve"> In this section</w:t>
      </w:r>
      <w:r w:rsidR="00EC20C2" w:rsidRPr="007D0545">
        <w:rPr>
          <w:rFonts w:asciiTheme="majorHAnsi" w:hAnsiTheme="majorHAnsi"/>
          <w:sz w:val="20"/>
          <w:szCs w:val="20"/>
        </w:rPr>
        <w:t>,</w:t>
      </w:r>
      <w:r w:rsidR="00540AEC" w:rsidRPr="007D0545">
        <w:rPr>
          <w:rFonts w:asciiTheme="majorHAnsi" w:hAnsiTheme="majorHAnsi"/>
          <w:sz w:val="20"/>
          <w:szCs w:val="20"/>
        </w:rPr>
        <w:t xml:space="preserve"> the IACHR will make some considerations regarding the application of this right in death penalty cases.</w:t>
      </w:r>
      <w:r w:rsidR="003E7380" w:rsidRPr="007D0545">
        <w:rPr>
          <w:rFonts w:asciiTheme="majorHAnsi" w:hAnsiTheme="majorHAnsi"/>
          <w:sz w:val="20"/>
          <w:szCs w:val="20"/>
        </w:rPr>
        <w:t xml:space="preserve"> </w:t>
      </w:r>
      <w:r w:rsidR="00C81FBE" w:rsidRPr="007D0545">
        <w:rPr>
          <w:rFonts w:asciiTheme="majorHAnsi" w:hAnsiTheme="majorHAnsi"/>
          <w:sz w:val="20"/>
          <w:szCs w:val="20"/>
        </w:rPr>
        <w:t xml:space="preserve"> </w:t>
      </w:r>
    </w:p>
    <w:p w14:paraId="7D832064" w14:textId="77777777" w:rsidR="00DB4D80" w:rsidRPr="007D0545" w:rsidRDefault="00DB4D80" w:rsidP="00DB4D80">
      <w:pPr>
        <w:pStyle w:val="ListParagraph"/>
        <w:shd w:val="clear" w:color="auto" w:fill="FFFFFF"/>
        <w:ind w:left="0"/>
        <w:jc w:val="both"/>
        <w:rPr>
          <w:rFonts w:asciiTheme="majorHAnsi" w:hAnsiTheme="majorHAnsi"/>
          <w:sz w:val="20"/>
          <w:szCs w:val="20"/>
        </w:rPr>
      </w:pPr>
    </w:p>
    <w:p w14:paraId="2A7E9CAF" w14:textId="77777777" w:rsidR="00F55F3B" w:rsidRPr="007D0545" w:rsidRDefault="00DB4D80" w:rsidP="00C81FBE">
      <w:pPr>
        <w:pStyle w:val="ListParagraph"/>
        <w:numPr>
          <w:ilvl w:val="0"/>
          <w:numId w:val="55"/>
        </w:numPr>
        <w:shd w:val="clear" w:color="auto" w:fill="FFFFFF"/>
        <w:ind w:left="0" w:firstLine="0"/>
        <w:jc w:val="both"/>
        <w:rPr>
          <w:rFonts w:asciiTheme="majorHAnsi" w:hAnsiTheme="majorHAnsi"/>
          <w:sz w:val="20"/>
          <w:szCs w:val="20"/>
        </w:rPr>
      </w:pPr>
      <w:r w:rsidRPr="007D0545">
        <w:rPr>
          <w:rFonts w:asciiTheme="majorHAnsi" w:hAnsiTheme="majorHAnsi"/>
          <w:sz w:val="20"/>
          <w:szCs w:val="20"/>
        </w:rPr>
        <w:t xml:space="preserve">The Inter-American Commission has </w:t>
      </w:r>
      <w:r w:rsidR="00152085" w:rsidRPr="007D0545">
        <w:rPr>
          <w:rFonts w:asciiTheme="majorHAnsi" w:hAnsiTheme="majorHAnsi"/>
          <w:sz w:val="20"/>
          <w:szCs w:val="20"/>
        </w:rPr>
        <w:t xml:space="preserve">not ruled on the applicability of the right to self-representation in death penalty cases. However, it has </w:t>
      </w:r>
      <w:r w:rsidRPr="007D0545">
        <w:rPr>
          <w:rFonts w:eastAsia="Times New Roman"/>
          <w:sz w:val="20"/>
          <w:szCs w:val="20"/>
          <w:bdr w:val="none" w:sz="0" w:space="0" w:color="auto"/>
        </w:rPr>
        <w:t>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7D0545">
        <w:rPr>
          <w:rStyle w:val="FootnoteReference"/>
          <w:rFonts w:asciiTheme="majorHAnsi" w:hAnsiTheme="majorHAnsi"/>
          <w:sz w:val="20"/>
          <w:szCs w:val="20"/>
        </w:rPr>
        <w:footnoteReference w:id="53"/>
      </w:r>
      <w:r w:rsidRPr="007D0545">
        <w:rPr>
          <w:rFonts w:eastAsia="Times New Roman"/>
          <w:sz w:val="20"/>
          <w:szCs w:val="20"/>
          <w:bdr w:val="none" w:sz="0" w:space="0" w:color="auto"/>
        </w:rPr>
        <w:t xml:space="preserve"> It has also held that “t</w:t>
      </w:r>
      <w:r w:rsidRPr="007D0545">
        <w:rPr>
          <w:rFonts w:eastAsia="Times New Roman" w:cs="Arial"/>
          <w:sz w:val="20"/>
          <w:szCs w:val="20"/>
          <w:bdr w:val="none" w:sz="0" w:space="0" w:color="auto"/>
        </w:rPr>
        <w:t>he right to due process and to a fair trial includes the right to adequate means for the preparation of a defense, assisted by adequate legal counsel” and that “adequate legal representation is a fundamental component of the right to a fair trial.”</w:t>
      </w:r>
      <w:r w:rsidRPr="007D0545">
        <w:rPr>
          <w:rFonts w:eastAsia="Times New Roman"/>
          <w:sz w:val="20"/>
          <w:szCs w:val="20"/>
          <w:bdr w:val="none" w:sz="0" w:space="0" w:color="auto"/>
          <w:vertAlign w:val="superscript"/>
        </w:rPr>
        <w:footnoteReference w:id="54"/>
      </w:r>
      <w:r w:rsidRPr="007D0545">
        <w:rPr>
          <w:rFonts w:eastAsia="Times New Roman" w:cs="Arial"/>
          <w:sz w:val="20"/>
          <w:szCs w:val="20"/>
          <w:bdr w:val="none" w:sz="0" w:space="0" w:color="auto"/>
        </w:rPr>
        <w:t xml:space="preserve"> </w:t>
      </w:r>
      <w:r w:rsidR="00A32D38" w:rsidRPr="007D0545">
        <w:rPr>
          <w:rFonts w:asciiTheme="majorHAnsi" w:hAnsiTheme="majorHAnsi"/>
          <w:sz w:val="20"/>
          <w:szCs w:val="20"/>
        </w:rPr>
        <w:t xml:space="preserve">The IACHR has </w:t>
      </w:r>
      <w:r w:rsidR="0029466E" w:rsidRPr="007D0545">
        <w:rPr>
          <w:rFonts w:asciiTheme="majorHAnsi" w:hAnsiTheme="majorHAnsi"/>
          <w:sz w:val="20"/>
          <w:szCs w:val="20"/>
        </w:rPr>
        <w:t>further</w:t>
      </w:r>
      <w:r w:rsidR="00A32D38" w:rsidRPr="007D0545">
        <w:rPr>
          <w:rFonts w:asciiTheme="majorHAnsi" w:hAnsiTheme="majorHAnsi"/>
          <w:sz w:val="20"/>
          <w:szCs w:val="20"/>
        </w:rPr>
        <w:t xml:space="preserve"> highlighted the importance of penalty phase preparation in capital cases which requires extensive and generally unparalleled investigation.</w:t>
      </w:r>
      <w:r w:rsidR="00A32D38" w:rsidRPr="007D0545">
        <w:rPr>
          <w:rStyle w:val="FootnoteReference"/>
          <w:rFonts w:asciiTheme="majorHAnsi" w:hAnsiTheme="majorHAnsi"/>
          <w:sz w:val="20"/>
          <w:szCs w:val="20"/>
        </w:rPr>
        <w:footnoteReference w:id="55"/>
      </w:r>
    </w:p>
    <w:p w14:paraId="564D9EE5" w14:textId="77777777" w:rsidR="0019748D" w:rsidRPr="007D0545" w:rsidRDefault="0019748D" w:rsidP="0019748D">
      <w:pPr>
        <w:pStyle w:val="ListParagraph"/>
        <w:rPr>
          <w:rFonts w:asciiTheme="majorHAnsi" w:hAnsiTheme="majorHAnsi"/>
          <w:sz w:val="20"/>
          <w:szCs w:val="20"/>
        </w:rPr>
      </w:pPr>
    </w:p>
    <w:p w14:paraId="7AD58F4E" w14:textId="77777777" w:rsidR="00912171" w:rsidRPr="007D0545" w:rsidRDefault="00045601" w:rsidP="00C81FBE">
      <w:pPr>
        <w:pStyle w:val="ListParagraph"/>
        <w:numPr>
          <w:ilvl w:val="0"/>
          <w:numId w:val="55"/>
        </w:numPr>
        <w:shd w:val="clear" w:color="auto" w:fill="FFFFFF"/>
        <w:ind w:left="0" w:firstLine="0"/>
        <w:jc w:val="both"/>
        <w:rPr>
          <w:rFonts w:asciiTheme="majorHAnsi" w:hAnsiTheme="majorHAnsi"/>
          <w:sz w:val="20"/>
          <w:szCs w:val="20"/>
        </w:rPr>
      </w:pPr>
      <w:r w:rsidRPr="007D0545">
        <w:rPr>
          <w:rFonts w:asciiTheme="majorHAnsi" w:hAnsiTheme="majorHAnsi"/>
          <w:sz w:val="20"/>
          <w:szCs w:val="20"/>
        </w:rPr>
        <w:t xml:space="preserve">Therefore, the right to self-representation </w:t>
      </w:r>
      <w:r w:rsidR="00AE4C43" w:rsidRPr="007D0545">
        <w:rPr>
          <w:rFonts w:asciiTheme="majorHAnsi" w:hAnsiTheme="majorHAnsi"/>
          <w:sz w:val="20"/>
          <w:szCs w:val="20"/>
        </w:rPr>
        <w:t>might be in tension with</w:t>
      </w:r>
      <w:r w:rsidRPr="007D0545">
        <w:rPr>
          <w:rFonts w:asciiTheme="majorHAnsi" w:hAnsiTheme="majorHAnsi"/>
          <w:sz w:val="20"/>
          <w:szCs w:val="20"/>
        </w:rPr>
        <w:t xml:space="preserve"> the </w:t>
      </w:r>
      <w:r w:rsidR="00702DE6" w:rsidRPr="007D0545">
        <w:rPr>
          <w:sz w:val="20"/>
          <w:szCs w:val="20"/>
        </w:rPr>
        <w:t>heightened scrutiny used in cases involving the death penalty</w:t>
      </w:r>
      <w:r w:rsidR="00B86577" w:rsidRPr="007D0545">
        <w:rPr>
          <w:sz w:val="20"/>
          <w:szCs w:val="20"/>
        </w:rPr>
        <w:t xml:space="preserve"> given their generally complex nature</w:t>
      </w:r>
      <w:r w:rsidR="006E7EA4" w:rsidRPr="007D0545">
        <w:rPr>
          <w:sz w:val="20"/>
          <w:szCs w:val="20"/>
        </w:rPr>
        <w:t xml:space="preserve"> and the interests at stake</w:t>
      </w:r>
      <w:r w:rsidR="00702DE6" w:rsidRPr="007D0545">
        <w:rPr>
          <w:sz w:val="20"/>
          <w:szCs w:val="20"/>
        </w:rPr>
        <w:t xml:space="preserve">. </w:t>
      </w:r>
      <w:r w:rsidR="00B86577" w:rsidRPr="007D0545">
        <w:rPr>
          <w:sz w:val="20"/>
          <w:szCs w:val="20"/>
        </w:rPr>
        <w:t xml:space="preserve">In order to safeguard the right to </w:t>
      </w:r>
      <w:r w:rsidR="001267FB" w:rsidRPr="007D0545">
        <w:rPr>
          <w:sz w:val="20"/>
          <w:szCs w:val="20"/>
        </w:rPr>
        <w:t>an adequate defense, which is an essential component of the right to</w:t>
      </w:r>
      <w:r w:rsidR="003C3722" w:rsidRPr="007D0545">
        <w:rPr>
          <w:sz w:val="20"/>
          <w:szCs w:val="20"/>
        </w:rPr>
        <w:t xml:space="preserve"> </w:t>
      </w:r>
      <w:r w:rsidR="00B86577" w:rsidRPr="007D0545">
        <w:rPr>
          <w:sz w:val="20"/>
          <w:szCs w:val="20"/>
        </w:rPr>
        <w:t>a fair trial</w:t>
      </w:r>
      <w:r w:rsidR="001267FB" w:rsidRPr="007D0545">
        <w:rPr>
          <w:sz w:val="20"/>
          <w:szCs w:val="20"/>
        </w:rPr>
        <w:t xml:space="preserve">, </w:t>
      </w:r>
      <w:r w:rsidR="00912171" w:rsidRPr="007D0545">
        <w:rPr>
          <w:sz w:val="20"/>
          <w:szCs w:val="20"/>
        </w:rPr>
        <w:t xml:space="preserve">the State </w:t>
      </w:r>
      <w:r w:rsidR="0048701C" w:rsidRPr="007D0545">
        <w:rPr>
          <w:sz w:val="20"/>
          <w:szCs w:val="20"/>
        </w:rPr>
        <w:t>has a reinforced obligation to</w:t>
      </w:r>
      <w:r w:rsidR="00912171" w:rsidRPr="007D0545">
        <w:rPr>
          <w:sz w:val="20"/>
          <w:szCs w:val="20"/>
        </w:rPr>
        <w:t xml:space="preserve"> apply a heightened scrutiny </w:t>
      </w:r>
      <w:r w:rsidR="004F04A5" w:rsidRPr="007D0545">
        <w:rPr>
          <w:sz w:val="20"/>
          <w:szCs w:val="20"/>
        </w:rPr>
        <w:t>when</w:t>
      </w:r>
      <w:r w:rsidR="00912171" w:rsidRPr="007D0545">
        <w:rPr>
          <w:sz w:val="20"/>
          <w:szCs w:val="20"/>
        </w:rPr>
        <w:t xml:space="preserve"> deciding whether an accused is </w:t>
      </w:r>
      <w:r w:rsidR="00E82F32" w:rsidRPr="007D0545">
        <w:rPr>
          <w:sz w:val="20"/>
          <w:szCs w:val="20"/>
        </w:rPr>
        <w:t xml:space="preserve">able to </w:t>
      </w:r>
      <w:r w:rsidR="004F04A5" w:rsidRPr="007D0545">
        <w:rPr>
          <w:sz w:val="20"/>
          <w:szCs w:val="20"/>
        </w:rPr>
        <w:t xml:space="preserve">adequately and effectively </w:t>
      </w:r>
      <w:r w:rsidR="00E82F32" w:rsidRPr="007D0545">
        <w:rPr>
          <w:sz w:val="20"/>
          <w:szCs w:val="20"/>
        </w:rPr>
        <w:t xml:space="preserve">represent himself or herself in a </w:t>
      </w:r>
      <w:r w:rsidR="0048701C" w:rsidRPr="007D0545">
        <w:rPr>
          <w:sz w:val="20"/>
          <w:szCs w:val="20"/>
        </w:rPr>
        <w:t xml:space="preserve">death penalty </w:t>
      </w:r>
      <w:r w:rsidR="00E82F32" w:rsidRPr="007D0545">
        <w:rPr>
          <w:sz w:val="20"/>
          <w:szCs w:val="20"/>
        </w:rPr>
        <w:t>case.</w:t>
      </w:r>
      <w:r w:rsidR="0048701C" w:rsidRPr="007D0545">
        <w:rPr>
          <w:sz w:val="20"/>
          <w:szCs w:val="20"/>
        </w:rPr>
        <w:t xml:space="preserve"> </w:t>
      </w:r>
      <w:r w:rsidR="00E82F32" w:rsidRPr="007D0545">
        <w:rPr>
          <w:sz w:val="20"/>
          <w:szCs w:val="20"/>
        </w:rPr>
        <w:t xml:space="preserve"> </w:t>
      </w:r>
    </w:p>
    <w:p w14:paraId="6DE7948D" w14:textId="77777777" w:rsidR="00BB53AD" w:rsidRPr="007D0545" w:rsidRDefault="00BB53AD" w:rsidP="00BB53AD">
      <w:pPr>
        <w:pStyle w:val="ListParagraph"/>
        <w:rPr>
          <w:rFonts w:asciiTheme="majorHAnsi" w:hAnsiTheme="majorHAnsi"/>
          <w:sz w:val="20"/>
          <w:szCs w:val="20"/>
        </w:rPr>
      </w:pPr>
    </w:p>
    <w:p w14:paraId="683AD0BE" w14:textId="77777777" w:rsidR="007F42BF" w:rsidRPr="007D0545" w:rsidRDefault="00754E95" w:rsidP="008426FE">
      <w:pPr>
        <w:pStyle w:val="Heading3"/>
        <w:numPr>
          <w:ilvl w:val="1"/>
          <w:numId w:val="53"/>
        </w:numPr>
        <w:spacing w:before="0"/>
        <w:ind w:hanging="720"/>
        <w:jc w:val="both"/>
        <w:rPr>
          <w:rFonts w:eastAsia="Arial Unicode MS"/>
          <w:color w:val="auto"/>
          <w:sz w:val="20"/>
          <w:szCs w:val="20"/>
        </w:rPr>
      </w:pPr>
      <w:bookmarkStart w:id="14" w:name="_Toc26556092"/>
      <w:r w:rsidRPr="007D0545">
        <w:rPr>
          <w:rFonts w:eastAsia="Arial Unicode MS"/>
          <w:color w:val="auto"/>
          <w:sz w:val="20"/>
          <w:szCs w:val="20"/>
        </w:rPr>
        <w:t>Analysis of the case</w:t>
      </w:r>
      <w:bookmarkEnd w:id="14"/>
    </w:p>
    <w:p w14:paraId="3366FC0A" w14:textId="77777777" w:rsidR="00DF1DF9" w:rsidRPr="007D0545" w:rsidRDefault="00DF1DF9" w:rsidP="00DF1DF9">
      <w:pPr>
        <w:rPr>
          <w:rFonts w:asciiTheme="majorHAnsi" w:hAnsiTheme="majorHAnsi"/>
          <w:sz w:val="20"/>
          <w:szCs w:val="20"/>
        </w:rPr>
      </w:pPr>
    </w:p>
    <w:p w14:paraId="10DFDE82" w14:textId="77777777" w:rsidR="00483974" w:rsidRPr="007D0545" w:rsidRDefault="00BB53AD" w:rsidP="00BB53AD">
      <w:pPr>
        <w:pStyle w:val="NormalWeb"/>
        <w:numPr>
          <w:ilvl w:val="0"/>
          <w:numId w:val="55"/>
        </w:numPr>
        <w:shd w:val="clear" w:color="auto" w:fill="FFFFFF"/>
        <w:spacing w:before="0" w:beforeAutospacing="0" w:after="0" w:afterAutospacing="0"/>
        <w:ind w:left="0" w:firstLine="0"/>
        <w:jc w:val="both"/>
        <w:rPr>
          <w:rFonts w:asciiTheme="majorHAnsi" w:eastAsia="Arial Unicode MS" w:hAnsiTheme="majorHAnsi"/>
          <w:sz w:val="20"/>
          <w:szCs w:val="20"/>
          <w:bdr w:val="nil"/>
        </w:rPr>
      </w:pPr>
      <w:r w:rsidRPr="007D0545">
        <w:rPr>
          <w:rFonts w:asciiTheme="majorHAnsi" w:eastAsia="Arial Unicode MS" w:hAnsiTheme="majorHAnsi"/>
          <w:sz w:val="20"/>
          <w:szCs w:val="20"/>
          <w:bdr w:val="nil"/>
        </w:rPr>
        <w:t xml:space="preserve">According to the facts established in this report, after being charged, Mr. Sequoyah asked to represent himself and the Superior Court of San Diego requested Dr. Kalish, a psychiatrist, to assess him. Dr. Kalish concluded that Mr. Sequoyah was not capable of being </w:t>
      </w:r>
      <w:r w:rsidRPr="007D0545">
        <w:rPr>
          <w:rFonts w:asciiTheme="majorHAnsi" w:eastAsia="Arial Unicode MS" w:hAnsiTheme="majorHAnsi"/>
          <w:i/>
          <w:sz w:val="20"/>
          <w:szCs w:val="20"/>
          <w:bdr w:val="nil"/>
        </w:rPr>
        <w:t>pro per</w:t>
      </w:r>
      <w:r w:rsidRPr="007D0545">
        <w:rPr>
          <w:rFonts w:asciiTheme="majorHAnsi" w:eastAsia="Arial Unicode MS" w:hAnsiTheme="majorHAnsi"/>
          <w:sz w:val="20"/>
          <w:szCs w:val="20"/>
          <w:bdr w:val="nil"/>
        </w:rPr>
        <w:t xml:space="preserve"> and also expressed his doubt as to his competency to stand trial. The court thus ordered proceedings to establish whether Mr. Sequoyah was competent to stand trial. </w:t>
      </w:r>
      <w:r w:rsidR="00AE1F0C" w:rsidRPr="007D0545">
        <w:rPr>
          <w:rFonts w:asciiTheme="majorHAnsi" w:eastAsia="Arial Unicode MS" w:hAnsiTheme="majorHAnsi"/>
          <w:sz w:val="20"/>
          <w:szCs w:val="20"/>
          <w:bdr w:val="nil"/>
        </w:rPr>
        <w:t xml:space="preserve">During these proceedings, some considerations regarding Mr. Sequoyah’s ability to represent himself were made. Dr. Kalish concluded that Mr. Sequoyah’s “ability to </w:t>
      </w:r>
      <w:r w:rsidR="00ED18FD" w:rsidRPr="007D0545">
        <w:rPr>
          <w:rFonts w:asciiTheme="majorHAnsi" w:eastAsia="Arial Unicode MS" w:hAnsiTheme="majorHAnsi"/>
          <w:sz w:val="20"/>
          <w:szCs w:val="20"/>
          <w:bdr w:val="nil"/>
        </w:rPr>
        <w:t xml:space="preserve">relate to his attorney” and “to </w:t>
      </w:r>
      <w:r w:rsidR="00AE1F0C" w:rsidRPr="007D0545">
        <w:rPr>
          <w:rFonts w:asciiTheme="majorHAnsi" w:eastAsia="Arial Unicode MS" w:hAnsiTheme="majorHAnsi"/>
          <w:sz w:val="20"/>
          <w:szCs w:val="20"/>
          <w:bdr w:val="nil"/>
        </w:rPr>
        <w:t>think clearly and assess the proceedings against him” w</w:t>
      </w:r>
      <w:r w:rsidR="00600A96" w:rsidRPr="007D0545">
        <w:rPr>
          <w:rFonts w:asciiTheme="majorHAnsi" w:eastAsia="Arial Unicode MS" w:hAnsiTheme="majorHAnsi"/>
          <w:sz w:val="20"/>
          <w:szCs w:val="20"/>
          <w:bdr w:val="nil"/>
        </w:rPr>
        <w:t>ere</w:t>
      </w:r>
      <w:r w:rsidR="00AE1F0C" w:rsidRPr="007D0545">
        <w:rPr>
          <w:rFonts w:asciiTheme="majorHAnsi" w:eastAsia="Arial Unicode MS" w:hAnsiTheme="majorHAnsi"/>
          <w:sz w:val="20"/>
          <w:szCs w:val="20"/>
          <w:bdr w:val="nil"/>
        </w:rPr>
        <w:t xml:space="preserve"> impaired</w:t>
      </w:r>
      <w:r w:rsidR="00600A96" w:rsidRPr="007D0545">
        <w:rPr>
          <w:rFonts w:asciiTheme="majorHAnsi" w:eastAsia="Arial Unicode MS" w:hAnsiTheme="majorHAnsi"/>
          <w:sz w:val="20"/>
          <w:szCs w:val="20"/>
          <w:bdr w:val="nil"/>
        </w:rPr>
        <w:t xml:space="preserve">. </w:t>
      </w:r>
      <w:r w:rsidR="00AE1F0C" w:rsidRPr="007D0545">
        <w:rPr>
          <w:rFonts w:asciiTheme="majorHAnsi" w:eastAsia="Arial Unicode MS" w:hAnsiTheme="majorHAnsi"/>
          <w:sz w:val="20"/>
          <w:szCs w:val="20"/>
          <w:bdr w:val="nil"/>
        </w:rPr>
        <w:t>Dr.</w:t>
      </w:r>
      <w:r w:rsidR="003B349D" w:rsidRPr="007D0545">
        <w:rPr>
          <w:rFonts w:asciiTheme="majorHAnsi" w:eastAsia="Arial Unicode MS" w:hAnsiTheme="majorHAnsi"/>
          <w:sz w:val="20"/>
          <w:szCs w:val="20"/>
          <w:bdr w:val="nil"/>
        </w:rPr>
        <w:t xml:space="preserve"> Ebert, a clinical psychologist, considered that Mr. Sequoyah’s “distrust and paranoia […] impa[ired] his capacity to disclose to his attorney </w:t>
      </w:r>
      <w:r w:rsidR="003B349D" w:rsidRPr="007D0545">
        <w:rPr>
          <w:rFonts w:asciiTheme="majorHAnsi" w:eastAsia="Arial Unicode MS" w:hAnsiTheme="majorHAnsi"/>
          <w:sz w:val="20"/>
          <w:szCs w:val="20"/>
          <w:bdr w:val="nil"/>
        </w:rPr>
        <w:lastRenderedPageBreak/>
        <w:t>available and pertinent facts surrounding the events” of the case. T</w:t>
      </w:r>
      <w:r w:rsidRPr="007D0545">
        <w:rPr>
          <w:rFonts w:asciiTheme="majorHAnsi" w:eastAsia="Arial Unicode MS" w:hAnsiTheme="majorHAnsi"/>
          <w:sz w:val="20"/>
          <w:szCs w:val="20"/>
          <w:bdr w:val="nil"/>
        </w:rPr>
        <w:t>he jury</w:t>
      </w:r>
      <w:r w:rsidR="003B349D" w:rsidRPr="007D0545">
        <w:rPr>
          <w:rFonts w:asciiTheme="majorHAnsi" w:eastAsia="Arial Unicode MS" w:hAnsiTheme="majorHAnsi"/>
          <w:sz w:val="20"/>
          <w:szCs w:val="20"/>
          <w:bdr w:val="nil"/>
        </w:rPr>
        <w:t>, however,</w:t>
      </w:r>
      <w:r w:rsidRPr="007D0545">
        <w:rPr>
          <w:rFonts w:asciiTheme="majorHAnsi" w:eastAsia="Arial Unicode MS" w:hAnsiTheme="majorHAnsi"/>
          <w:sz w:val="20"/>
          <w:szCs w:val="20"/>
          <w:bdr w:val="nil"/>
        </w:rPr>
        <w:t xml:space="preserve"> found him competent to stand trial</w:t>
      </w:r>
      <w:r w:rsidR="00483974" w:rsidRPr="007D0545">
        <w:rPr>
          <w:rFonts w:asciiTheme="majorHAnsi" w:eastAsia="Arial Unicode MS" w:hAnsiTheme="majorHAnsi"/>
          <w:sz w:val="20"/>
          <w:szCs w:val="20"/>
          <w:bdr w:val="nil"/>
        </w:rPr>
        <w:t>.</w:t>
      </w:r>
    </w:p>
    <w:p w14:paraId="7767D0A7" w14:textId="77777777" w:rsidR="00483974" w:rsidRPr="007D0545" w:rsidRDefault="00483974" w:rsidP="00483974">
      <w:pPr>
        <w:pStyle w:val="NormalWeb"/>
        <w:shd w:val="clear" w:color="auto" w:fill="FFFFFF"/>
        <w:spacing w:before="0" w:beforeAutospacing="0" w:after="0" w:afterAutospacing="0"/>
        <w:jc w:val="both"/>
        <w:rPr>
          <w:rFonts w:asciiTheme="majorHAnsi" w:eastAsia="Arial Unicode MS" w:hAnsiTheme="majorHAnsi"/>
          <w:sz w:val="20"/>
          <w:szCs w:val="20"/>
          <w:bdr w:val="nil"/>
        </w:rPr>
      </w:pPr>
    </w:p>
    <w:p w14:paraId="64BC960B" w14:textId="77777777" w:rsidR="00BB53AD" w:rsidRPr="007D0545" w:rsidRDefault="00483974" w:rsidP="00BB53AD">
      <w:pPr>
        <w:pStyle w:val="NormalWeb"/>
        <w:numPr>
          <w:ilvl w:val="0"/>
          <w:numId w:val="55"/>
        </w:numPr>
        <w:shd w:val="clear" w:color="auto" w:fill="FFFFFF"/>
        <w:spacing w:before="0" w:beforeAutospacing="0" w:after="0" w:afterAutospacing="0"/>
        <w:ind w:left="0" w:firstLine="0"/>
        <w:jc w:val="both"/>
        <w:rPr>
          <w:rFonts w:asciiTheme="majorHAnsi" w:eastAsia="Arial Unicode MS" w:hAnsiTheme="majorHAnsi"/>
          <w:sz w:val="20"/>
          <w:szCs w:val="20"/>
          <w:bdr w:val="nil"/>
        </w:rPr>
      </w:pPr>
      <w:r w:rsidRPr="007D0545">
        <w:rPr>
          <w:rFonts w:asciiTheme="majorHAnsi" w:eastAsia="Arial Unicode MS" w:hAnsiTheme="majorHAnsi"/>
          <w:sz w:val="20"/>
          <w:szCs w:val="20"/>
          <w:bdr w:val="nil"/>
        </w:rPr>
        <w:t>Later</w:t>
      </w:r>
      <w:r w:rsidR="00BB53AD" w:rsidRPr="007D0545">
        <w:rPr>
          <w:rFonts w:asciiTheme="majorHAnsi" w:eastAsia="Arial Unicode MS" w:hAnsiTheme="majorHAnsi"/>
          <w:sz w:val="20"/>
          <w:szCs w:val="20"/>
          <w:bdr w:val="nil"/>
        </w:rPr>
        <w:t>,</w:t>
      </w:r>
      <w:r w:rsidR="0033161A" w:rsidRPr="007D0545">
        <w:rPr>
          <w:rFonts w:asciiTheme="majorHAnsi" w:eastAsia="Arial Unicode MS" w:hAnsiTheme="majorHAnsi"/>
          <w:sz w:val="20"/>
          <w:szCs w:val="20"/>
          <w:bdr w:val="nil"/>
        </w:rPr>
        <w:t xml:space="preserve"> </w:t>
      </w:r>
      <w:r w:rsidR="00BB53AD" w:rsidRPr="007D0545">
        <w:rPr>
          <w:rFonts w:asciiTheme="majorHAnsi" w:eastAsia="Arial Unicode MS" w:hAnsiTheme="majorHAnsi"/>
          <w:sz w:val="20"/>
          <w:szCs w:val="20"/>
          <w:bdr w:val="nil"/>
        </w:rPr>
        <w:t xml:space="preserve">Mr. Sequoyah filed a motion to represent himself, which was denied. The court found that </w:t>
      </w:r>
      <w:r w:rsidR="00BB53AD" w:rsidRPr="007D0545">
        <w:rPr>
          <w:rFonts w:ascii="Cambria" w:hAnsi="Cambria"/>
          <w:sz w:val="20"/>
          <w:szCs w:val="20"/>
        </w:rPr>
        <w:t>Mr. Sequoyah was “incapable of voluntarily exercising an informed waiver of his right to counsel, further, his request to the court to represent himself only on certain conditions shows he does not rationally perceive his situation.”</w:t>
      </w:r>
      <w:r w:rsidR="00130DE9" w:rsidRPr="007D0545">
        <w:rPr>
          <w:rFonts w:ascii="Cambria" w:hAnsi="Cambria"/>
          <w:sz w:val="20"/>
          <w:szCs w:val="20"/>
        </w:rPr>
        <w:t xml:space="preserve"> After an appeal was filed, the motion was granted. According to the presiding </w:t>
      </w:r>
      <w:r w:rsidR="00D05066" w:rsidRPr="007D0545">
        <w:rPr>
          <w:rFonts w:ascii="Cambria" w:hAnsi="Cambria"/>
          <w:sz w:val="20"/>
          <w:szCs w:val="20"/>
        </w:rPr>
        <w:t xml:space="preserve">appeal </w:t>
      </w:r>
      <w:r w:rsidR="00130DE9" w:rsidRPr="007D0545">
        <w:rPr>
          <w:rFonts w:ascii="Cambria" w:hAnsi="Cambria"/>
          <w:sz w:val="20"/>
          <w:szCs w:val="20"/>
        </w:rPr>
        <w:t xml:space="preserve">judge, he </w:t>
      </w:r>
      <w:r w:rsidR="0091728F" w:rsidRPr="007D0545">
        <w:rPr>
          <w:rFonts w:ascii="Cambria" w:hAnsi="Cambria"/>
          <w:sz w:val="20"/>
          <w:szCs w:val="20"/>
        </w:rPr>
        <w:t xml:space="preserve">had </w:t>
      </w:r>
      <w:r w:rsidR="00130DE9" w:rsidRPr="007D0545">
        <w:rPr>
          <w:rFonts w:ascii="Cambria" w:hAnsi="Cambria"/>
          <w:sz w:val="20"/>
          <w:szCs w:val="20"/>
        </w:rPr>
        <w:t>“inherited th</w:t>
      </w:r>
      <w:r w:rsidR="0091728F" w:rsidRPr="007D0545">
        <w:rPr>
          <w:rFonts w:ascii="Cambria" w:hAnsi="Cambria"/>
          <w:sz w:val="20"/>
          <w:szCs w:val="20"/>
        </w:rPr>
        <w:t>[e]</w:t>
      </w:r>
      <w:r w:rsidR="00130DE9" w:rsidRPr="007D0545">
        <w:rPr>
          <w:rFonts w:ascii="Cambria" w:hAnsi="Cambria"/>
          <w:sz w:val="20"/>
          <w:szCs w:val="20"/>
        </w:rPr>
        <w:t xml:space="preserve"> case and was requested by the defense and Mr. Sequoyah personally to not review the file so that [he] would focus narrowly on [the] issue of his </w:t>
      </w:r>
      <w:r w:rsidR="00130DE9" w:rsidRPr="007D0545">
        <w:rPr>
          <w:rFonts w:ascii="Cambria" w:hAnsi="Cambria"/>
          <w:i/>
          <w:sz w:val="20"/>
          <w:szCs w:val="20"/>
        </w:rPr>
        <w:t>pro per</w:t>
      </w:r>
      <w:r w:rsidR="00130DE9" w:rsidRPr="007D0545">
        <w:rPr>
          <w:rFonts w:ascii="Cambria" w:hAnsi="Cambria"/>
          <w:sz w:val="20"/>
          <w:szCs w:val="20"/>
        </w:rPr>
        <w:t xml:space="preserve"> status.”</w:t>
      </w:r>
      <w:r w:rsidR="001733D5" w:rsidRPr="007D0545">
        <w:rPr>
          <w:rFonts w:ascii="Cambria" w:hAnsi="Cambria"/>
          <w:sz w:val="20"/>
          <w:szCs w:val="20"/>
        </w:rPr>
        <w:t xml:space="preserve"> An appeal against the decision to grant the motion was denied. However, </w:t>
      </w:r>
      <w:r w:rsidR="00C949E2" w:rsidRPr="007D0545">
        <w:rPr>
          <w:rFonts w:ascii="Cambria" w:hAnsi="Cambria"/>
          <w:sz w:val="20"/>
          <w:szCs w:val="20"/>
        </w:rPr>
        <w:t>in the appeal hearing, the judge expressed doubts “as to whether or not [Mr. Sequoyah was] mentally competent.”</w:t>
      </w:r>
    </w:p>
    <w:p w14:paraId="31D51C1B" w14:textId="77777777" w:rsidR="00C949E2" w:rsidRPr="007D0545" w:rsidRDefault="00C949E2" w:rsidP="00C949E2">
      <w:pPr>
        <w:pStyle w:val="ListParagraph"/>
        <w:rPr>
          <w:rFonts w:asciiTheme="majorHAnsi" w:eastAsia="Arial Unicode MS" w:hAnsiTheme="majorHAnsi"/>
          <w:sz w:val="20"/>
          <w:szCs w:val="20"/>
        </w:rPr>
      </w:pPr>
    </w:p>
    <w:p w14:paraId="57A4182A" w14:textId="77777777" w:rsidR="000F0A25" w:rsidRPr="007D0545" w:rsidRDefault="00D05066" w:rsidP="000F0A25">
      <w:pPr>
        <w:pStyle w:val="NormalWeb"/>
        <w:numPr>
          <w:ilvl w:val="0"/>
          <w:numId w:val="55"/>
        </w:numPr>
        <w:shd w:val="clear" w:color="auto" w:fill="FFFFFF"/>
        <w:spacing w:before="0" w:beforeAutospacing="0" w:after="0" w:afterAutospacing="0"/>
        <w:ind w:left="0" w:firstLine="0"/>
        <w:jc w:val="both"/>
        <w:rPr>
          <w:rFonts w:asciiTheme="majorHAnsi" w:eastAsia="Arial Unicode MS" w:hAnsiTheme="majorHAnsi"/>
          <w:sz w:val="20"/>
          <w:szCs w:val="20"/>
          <w:bdr w:val="nil"/>
        </w:rPr>
      </w:pPr>
      <w:r w:rsidRPr="007D0545">
        <w:rPr>
          <w:rFonts w:asciiTheme="majorHAnsi" w:eastAsia="Arial Unicode MS" w:hAnsiTheme="majorHAnsi"/>
          <w:sz w:val="20"/>
          <w:szCs w:val="20"/>
          <w:bdr w:val="nil"/>
        </w:rPr>
        <w:t>Based on the fact</w:t>
      </w:r>
      <w:r w:rsidR="001E477E" w:rsidRPr="007D0545">
        <w:rPr>
          <w:rFonts w:asciiTheme="majorHAnsi" w:eastAsia="Arial Unicode MS" w:hAnsiTheme="majorHAnsi"/>
          <w:sz w:val="20"/>
          <w:szCs w:val="20"/>
          <w:bdr w:val="nil"/>
        </w:rPr>
        <w:t xml:space="preserve">s described above, </w:t>
      </w:r>
      <w:r w:rsidR="000F0A25" w:rsidRPr="007D0545">
        <w:rPr>
          <w:rFonts w:asciiTheme="majorHAnsi" w:eastAsia="Arial Unicode MS" w:hAnsiTheme="majorHAnsi"/>
          <w:sz w:val="20"/>
          <w:szCs w:val="20"/>
          <w:bdr w:val="nil"/>
        </w:rPr>
        <w:t xml:space="preserve">the IACHR notes that </w:t>
      </w:r>
      <w:r w:rsidR="001E477E" w:rsidRPr="007D0545">
        <w:rPr>
          <w:rFonts w:asciiTheme="majorHAnsi" w:eastAsia="Arial Unicode MS" w:hAnsiTheme="majorHAnsi"/>
          <w:sz w:val="20"/>
          <w:szCs w:val="20"/>
          <w:bdr w:val="nil"/>
        </w:rPr>
        <w:t xml:space="preserve">at several stages of the proceedings doubts </w:t>
      </w:r>
      <w:r w:rsidR="00BA6FFA" w:rsidRPr="007D0545">
        <w:rPr>
          <w:rFonts w:asciiTheme="majorHAnsi" w:eastAsia="Arial Unicode MS" w:hAnsiTheme="majorHAnsi"/>
          <w:sz w:val="20"/>
          <w:szCs w:val="20"/>
          <w:bdr w:val="nil"/>
        </w:rPr>
        <w:t xml:space="preserve">arouse </w:t>
      </w:r>
      <w:r w:rsidR="001E477E" w:rsidRPr="007D0545">
        <w:rPr>
          <w:rFonts w:asciiTheme="majorHAnsi" w:eastAsia="Arial Unicode MS" w:hAnsiTheme="majorHAnsi"/>
          <w:sz w:val="20"/>
          <w:szCs w:val="20"/>
          <w:bdr w:val="nil"/>
        </w:rPr>
        <w:t xml:space="preserve">regarding the ability of Mr. Sequoyah to represent himself. These doubts were expressed by jurors, psychiatrists and judges. However, the motion was finally granted without a thorough review of the file and focusing “narrowly” on the issue of self-representation. </w:t>
      </w:r>
      <w:r w:rsidR="00DA6AB3" w:rsidRPr="007D0545">
        <w:rPr>
          <w:rFonts w:asciiTheme="majorHAnsi" w:eastAsia="Arial Unicode MS" w:hAnsiTheme="majorHAnsi"/>
          <w:sz w:val="20"/>
          <w:szCs w:val="20"/>
          <w:bdr w:val="nil"/>
        </w:rPr>
        <w:t>T</w:t>
      </w:r>
      <w:r w:rsidR="00EA26BA" w:rsidRPr="007D0545">
        <w:rPr>
          <w:rFonts w:asciiTheme="majorHAnsi" w:eastAsia="Arial Unicode MS" w:hAnsiTheme="majorHAnsi"/>
          <w:sz w:val="20"/>
          <w:szCs w:val="20"/>
          <w:bdr w:val="nil"/>
        </w:rPr>
        <w:t>he United States has not demonstrated</w:t>
      </w:r>
      <w:r w:rsidR="0029615A" w:rsidRPr="007D0545">
        <w:rPr>
          <w:rFonts w:asciiTheme="majorHAnsi" w:eastAsia="Arial Unicode MS" w:hAnsiTheme="majorHAnsi"/>
          <w:sz w:val="20"/>
          <w:szCs w:val="20"/>
          <w:bdr w:val="nil"/>
        </w:rPr>
        <w:t xml:space="preserve"> that national courts rigorously substantiated their decision to allow Mr. Sequoyah to represent himself.</w:t>
      </w:r>
      <w:r w:rsidR="00DA6AB3" w:rsidRPr="007D0545">
        <w:rPr>
          <w:rFonts w:asciiTheme="majorHAnsi" w:eastAsia="Arial Unicode MS" w:hAnsiTheme="majorHAnsi"/>
          <w:sz w:val="20"/>
          <w:szCs w:val="20"/>
          <w:bdr w:val="nil"/>
        </w:rPr>
        <w:t xml:space="preserve"> </w:t>
      </w:r>
      <w:r w:rsidR="00AA7A2C" w:rsidRPr="007D0545">
        <w:rPr>
          <w:rFonts w:asciiTheme="majorHAnsi" w:eastAsia="Arial Unicode MS" w:hAnsiTheme="majorHAnsi"/>
          <w:sz w:val="20"/>
          <w:szCs w:val="20"/>
          <w:bdr w:val="nil"/>
        </w:rPr>
        <w:t>The IACHR notes that the State did not demonstrate that in the present case, which required a more rigorous motivation</w:t>
      </w:r>
      <w:r w:rsidR="004332C3" w:rsidRPr="007D0545">
        <w:rPr>
          <w:rFonts w:asciiTheme="majorHAnsi" w:eastAsia="Arial Unicode MS" w:hAnsiTheme="majorHAnsi"/>
          <w:sz w:val="20"/>
          <w:szCs w:val="20"/>
          <w:bdr w:val="nil"/>
        </w:rPr>
        <w:t xml:space="preserve"> due to the possible application of the death penalty</w:t>
      </w:r>
      <w:r w:rsidR="00DA6AB3" w:rsidRPr="007D0545">
        <w:rPr>
          <w:rFonts w:asciiTheme="majorHAnsi" w:eastAsia="Arial Unicode MS" w:hAnsiTheme="majorHAnsi"/>
          <w:sz w:val="20"/>
          <w:szCs w:val="20"/>
          <w:bdr w:val="nil"/>
        </w:rPr>
        <w:t xml:space="preserve">, </w:t>
      </w:r>
      <w:r w:rsidR="004332C3" w:rsidRPr="007D0545">
        <w:rPr>
          <w:rFonts w:asciiTheme="majorHAnsi" w:eastAsia="Arial Unicode MS" w:hAnsiTheme="majorHAnsi"/>
          <w:sz w:val="20"/>
          <w:szCs w:val="20"/>
          <w:bdr w:val="nil"/>
        </w:rPr>
        <w:t xml:space="preserve">the courts applied </w:t>
      </w:r>
      <w:r w:rsidR="00AA7A2C" w:rsidRPr="007D0545">
        <w:rPr>
          <w:rFonts w:asciiTheme="majorHAnsi" w:eastAsia="Arial Unicode MS" w:hAnsiTheme="majorHAnsi"/>
          <w:sz w:val="20"/>
          <w:szCs w:val="20"/>
          <w:bdr w:val="nil"/>
        </w:rPr>
        <w:t>a differentiated standard</w:t>
      </w:r>
      <w:r w:rsidR="004332C3" w:rsidRPr="007D0545">
        <w:rPr>
          <w:rFonts w:asciiTheme="majorHAnsi" w:eastAsia="Arial Unicode MS" w:hAnsiTheme="majorHAnsi"/>
          <w:sz w:val="20"/>
          <w:szCs w:val="20"/>
          <w:bdr w:val="nil"/>
        </w:rPr>
        <w:t xml:space="preserve"> regarding the right to self-representation,</w:t>
      </w:r>
      <w:r w:rsidR="00AA7A2C" w:rsidRPr="007D0545">
        <w:rPr>
          <w:rFonts w:asciiTheme="majorHAnsi" w:eastAsia="Arial Unicode MS" w:hAnsiTheme="majorHAnsi"/>
          <w:sz w:val="20"/>
          <w:szCs w:val="20"/>
          <w:bdr w:val="nil"/>
        </w:rPr>
        <w:t xml:space="preserve"> </w:t>
      </w:r>
      <w:r w:rsidR="004332C3" w:rsidRPr="007D0545">
        <w:rPr>
          <w:rFonts w:asciiTheme="majorHAnsi" w:eastAsia="Arial Unicode MS" w:hAnsiTheme="majorHAnsi"/>
          <w:sz w:val="20"/>
          <w:szCs w:val="20"/>
          <w:bdr w:val="nil"/>
        </w:rPr>
        <w:t xml:space="preserve">that is, </w:t>
      </w:r>
      <w:r w:rsidR="00AA7A2C" w:rsidRPr="007D0545">
        <w:rPr>
          <w:rFonts w:asciiTheme="majorHAnsi" w:eastAsia="Arial Unicode MS" w:hAnsiTheme="majorHAnsi"/>
          <w:sz w:val="20"/>
          <w:szCs w:val="20"/>
          <w:bdr w:val="nil"/>
        </w:rPr>
        <w:t>distinguish</w:t>
      </w:r>
      <w:r w:rsidR="004332C3" w:rsidRPr="007D0545">
        <w:rPr>
          <w:rFonts w:asciiTheme="majorHAnsi" w:eastAsia="Arial Unicode MS" w:hAnsiTheme="majorHAnsi"/>
          <w:sz w:val="20"/>
          <w:szCs w:val="20"/>
          <w:bdr w:val="nil"/>
        </w:rPr>
        <w:t>ing</w:t>
      </w:r>
      <w:r w:rsidR="00AA7A2C" w:rsidRPr="007D0545">
        <w:rPr>
          <w:rFonts w:asciiTheme="majorHAnsi" w:eastAsia="Arial Unicode MS" w:hAnsiTheme="majorHAnsi"/>
          <w:sz w:val="20"/>
          <w:szCs w:val="20"/>
          <w:bdr w:val="nil"/>
        </w:rPr>
        <w:t xml:space="preserve"> the analysis in the </w:t>
      </w:r>
      <w:r w:rsidR="004332C3" w:rsidRPr="007D0545">
        <w:rPr>
          <w:rFonts w:asciiTheme="majorHAnsi" w:eastAsia="Arial Unicode MS" w:hAnsiTheme="majorHAnsi"/>
          <w:sz w:val="20"/>
          <w:szCs w:val="20"/>
          <w:bdr w:val="nil"/>
        </w:rPr>
        <w:t>present</w:t>
      </w:r>
      <w:r w:rsidR="00AA7A2C" w:rsidRPr="007D0545">
        <w:rPr>
          <w:rFonts w:asciiTheme="majorHAnsi" w:eastAsia="Arial Unicode MS" w:hAnsiTheme="majorHAnsi"/>
          <w:sz w:val="20"/>
          <w:szCs w:val="20"/>
          <w:bdr w:val="nil"/>
        </w:rPr>
        <w:t xml:space="preserve"> case </w:t>
      </w:r>
      <w:r w:rsidR="00347742" w:rsidRPr="007D0545">
        <w:rPr>
          <w:rFonts w:asciiTheme="majorHAnsi" w:eastAsia="Arial Unicode MS" w:hAnsiTheme="majorHAnsi"/>
          <w:sz w:val="20"/>
          <w:szCs w:val="20"/>
          <w:bdr w:val="nil"/>
        </w:rPr>
        <w:t>from</w:t>
      </w:r>
      <w:r w:rsidR="00AA7A2C" w:rsidRPr="007D0545">
        <w:rPr>
          <w:rFonts w:asciiTheme="majorHAnsi" w:eastAsia="Arial Unicode MS" w:hAnsiTheme="majorHAnsi"/>
          <w:sz w:val="20"/>
          <w:szCs w:val="20"/>
          <w:bdr w:val="nil"/>
        </w:rPr>
        <w:t xml:space="preserve"> other cases</w:t>
      </w:r>
      <w:r w:rsidR="004332C3" w:rsidRPr="007D0545">
        <w:rPr>
          <w:rFonts w:asciiTheme="majorHAnsi" w:eastAsia="Arial Unicode MS" w:hAnsiTheme="majorHAnsi"/>
          <w:sz w:val="20"/>
          <w:szCs w:val="20"/>
          <w:bdr w:val="nil"/>
        </w:rPr>
        <w:t xml:space="preserve"> that do not involve the death penalty</w:t>
      </w:r>
      <w:r w:rsidR="00AA7A2C" w:rsidRPr="007D0545">
        <w:rPr>
          <w:rFonts w:asciiTheme="majorHAnsi" w:eastAsia="Arial Unicode MS" w:hAnsiTheme="majorHAnsi"/>
          <w:sz w:val="20"/>
          <w:szCs w:val="20"/>
          <w:bdr w:val="nil"/>
        </w:rPr>
        <w:t>.</w:t>
      </w:r>
      <w:r w:rsidR="00DA6AB3" w:rsidRPr="007D0545">
        <w:rPr>
          <w:rFonts w:asciiTheme="majorHAnsi" w:eastAsia="Arial Unicode MS" w:hAnsiTheme="majorHAnsi"/>
          <w:sz w:val="20"/>
          <w:szCs w:val="20"/>
          <w:bdr w:val="nil"/>
        </w:rPr>
        <w:t xml:space="preserve"> </w:t>
      </w:r>
    </w:p>
    <w:p w14:paraId="4D3FF3BA" w14:textId="77777777" w:rsidR="000F0A25" w:rsidRPr="007D0545" w:rsidRDefault="000F0A25" w:rsidP="000F0A25">
      <w:pPr>
        <w:pStyle w:val="ListParagraph"/>
        <w:rPr>
          <w:rFonts w:asciiTheme="majorHAnsi" w:hAnsiTheme="majorHAnsi"/>
          <w:bCs/>
          <w:sz w:val="20"/>
          <w:szCs w:val="20"/>
        </w:rPr>
      </w:pPr>
    </w:p>
    <w:p w14:paraId="2975F2B3" w14:textId="77777777" w:rsidR="00290094" w:rsidRPr="007D0545" w:rsidRDefault="000F0A25" w:rsidP="00A37DA9">
      <w:pPr>
        <w:pStyle w:val="ListParagraph"/>
        <w:numPr>
          <w:ilvl w:val="0"/>
          <w:numId w:val="55"/>
        </w:numPr>
        <w:shd w:val="clear" w:color="auto" w:fill="FFFFFF"/>
        <w:ind w:left="0" w:firstLine="0"/>
        <w:jc w:val="both"/>
        <w:rPr>
          <w:rFonts w:asciiTheme="majorHAnsi" w:eastAsia="Arial Unicode MS" w:hAnsiTheme="majorHAnsi"/>
          <w:sz w:val="20"/>
          <w:szCs w:val="20"/>
        </w:rPr>
      </w:pPr>
      <w:r w:rsidRPr="007D0545">
        <w:rPr>
          <w:rFonts w:asciiTheme="majorHAnsi" w:hAnsiTheme="majorHAnsi"/>
          <w:bCs/>
          <w:sz w:val="20"/>
          <w:szCs w:val="20"/>
        </w:rPr>
        <w:t xml:space="preserve">As previously established, </w:t>
      </w:r>
      <w:r w:rsidRPr="007D0545">
        <w:rPr>
          <w:sz w:val="20"/>
          <w:szCs w:val="20"/>
        </w:rPr>
        <w:t xml:space="preserve">a heightened and rigorous scrutiny must be applied when deciding whether an accused is able to adequately and effectively represent himself or herself in a death penalty case. A motion for self-representation cannot be granted </w:t>
      </w:r>
      <w:r w:rsidR="001600A4" w:rsidRPr="007D0545">
        <w:rPr>
          <w:sz w:val="20"/>
          <w:szCs w:val="20"/>
        </w:rPr>
        <w:t xml:space="preserve">when there are important doubts as to the capacity of the accused to adequately and effectively represent himself </w:t>
      </w:r>
      <w:r w:rsidR="00347742" w:rsidRPr="007D0545">
        <w:rPr>
          <w:sz w:val="20"/>
          <w:szCs w:val="20"/>
        </w:rPr>
        <w:t xml:space="preserve">or herself </w:t>
      </w:r>
      <w:r w:rsidR="001600A4" w:rsidRPr="007D0545">
        <w:rPr>
          <w:sz w:val="20"/>
          <w:szCs w:val="20"/>
        </w:rPr>
        <w:t>in a case in which his</w:t>
      </w:r>
      <w:r w:rsidR="00347742" w:rsidRPr="007D0545">
        <w:rPr>
          <w:sz w:val="20"/>
          <w:szCs w:val="20"/>
        </w:rPr>
        <w:t>/her</w:t>
      </w:r>
      <w:r w:rsidR="001600A4" w:rsidRPr="007D0545">
        <w:rPr>
          <w:sz w:val="20"/>
          <w:szCs w:val="20"/>
        </w:rPr>
        <w:t xml:space="preserve"> life is at stake. </w:t>
      </w:r>
      <w:r w:rsidRPr="007D0545">
        <w:rPr>
          <w:sz w:val="20"/>
          <w:szCs w:val="20"/>
        </w:rPr>
        <w:t xml:space="preserve">Therefore, the IACHR finds that the </w:t>
      </w:r>
      <w:r w:rsidR="00D27FBF" w:rsidRPr="007D0545">
        <w:rPr>
          <w:sz w:val="20"/>
          <w:szCs w:val="20"/>
        </w:rPr>
        <w:t>lack of rigorous scrutiny at the time of deciding on the motion for</w:t>
      </w:r>
      <w:r w:rsidR="00347742" w:rsidRPr="007D0545">
        <w:rPr>
          <w:sz w:val="20"/>
          <w:szCs w:val="20"/>
        </w:rPr>
        <w:t xml:space="preserve"> </w:t>
      </w:r>
      <w:r w:rsidR="00D27FBF" w:rsidRPr="007D0545">
        <w:rPr>
          <w:sz w:val="20"/>
          <w:szCs w:val="20"/>
        </w:rPr>
        <w:t>self</w:t>
      </w:r>
      <w:r w:rsidR="00347742" w:rsidRPr="007D0545">
        <w:rPr>
          <w:sz w:val="20"/>
          <w:szCs w:val="20"/>
        </w:rPr>
        <w:t>-</w:t>
      </w:r>
      <w:r w:rsidR="00A37DA9" w:rsidRPr="007D0545">
        <w:rPr>
          <w:sz w:val="20"/>
          <w:szCs w:val="20"/>
        </w:rPr>
        <w:t>representation</w:t>
      </w:r>
      <w:r w:rsidR="00D27FBF" w:rsidRPr="007D0545">
        <w:rPr>
          <w:sz w:val="20"/>
          <w:szCs w:val="20"/>
        </w:rPr>
        <w:t xml:space="preserve"> </w:t>
      </w:r>
      <w:r w:rsidR="00A37DA9" w:rsidRPr="007D0545">
        <w:rPr>
          <w:sz w:val="20"/>
          <w:szCs w:val="20"/>
        </w:rPr>
        <w:t>amounts to a violation of the right to a</w:t>
      </w:r>
      <w:r w:rsidR="00D27FBF" w:rsidRPr="007D0545">
        <w:rPr>
          <w:sz w:val="20"/>
          <w:szCs w:val="20"/>
        </w:rPr>
        <w:t xml:space="preserve"> </w:t>
      </w:r>
      <w:r w:rsidR="00FA3BDF" w:rsidRPr="007D0545">
        <w:rPr>
          <w:sz w:val="20"/>
          <w:szCs w:val="20"/>
        </w:rPr>
        <w:t xml:space="preserve">fair trial and </w:t>
      </w:r>
      <w:r w:rsidR="00A37DA9" w:rsidRPr="007D0545">
        <w:rPr>
          <w:sz w:val="20"/>
          <w:szCs w:val="20"/>
        </w:rPr>
        <w:t xml:space="preserve">to </w:t>
      </w:r>
      <w:r w:rsidR="00FA3BDF" w:rsidRPr="007D0545">
        <w:rPr>
          <w:sz w:val="20"/>
          <w:szCs w:val="20"/>
        </w:rPr>
        <w:t>due process of law</w:t>
      </w:r>
      <w:r w:rsidR="00A37DA9" w:rsidRPr="007D0545">
        <w:rPr>
          <w:sz w:val="20"/>
          <w:szCs w:val="20"/>
        </w:rPr>
        <w:t>.</w:t>
      </w:r>
    </w:p>
    <w:p w14:paraId="2CEC857C" w14:textId="77777777" w:rsidR="00C24049" w:rsidRPr="007D0545" w:rsidRDefault="000973C5" w:rsidP="00376244">
      <w:pPr>
        <w:pStyle w:val="Heading2"/>
        <w:ind w:left="1440" w:hanging="720"/>
        <w:jc w:val="both"/>
        <w:rPr>
          <w:rFonts w:eastAsia="Arial Unicode MS"/>
          <w:color w:val="auto"/>
          <w:sz w:val="20"/>
          <w:szCs w:val="20"/>
        </w:rPr>
      </w:pPr>
      <w:bookmarkStart w:id="15" w:name="_Toc26556093"/>
      <w:r w:rsidRPr="007D0545">
        <w:rPr>
          <w:rFonts w:eastAsia="Arial Unicode MS"/>
          <w:color w:val="auto"/>
          <w:sz w:val="20"/>
          <w:szCs w:val="20"/>
        </w:rPr>
        <w:t xml:space="preserve">C. </w:t>
      </w:r>
      <w:r w:rsidR="009724C3" w:rsidRPr="007D0545">
        <w:rPr>
          <w:rFonts w:eastAsia="Arial Unicode MS"/>
          <w:color w:val="auto"/>
          <w:sz w:val="20"/>
          <w:szCs w:val="20"/>
        </w:rPr>
        <w:tab/>
        <w:t xml:space="preserve">Right </w:t>
      </w:r>
      <w:r w:rsidR="00C24049" w:rsidRPr="007D0545">
        <w:rPr>
          <w:rFonts w:eastAsia="Arial Unicode MS"/>
          <w:color w:val="auto"/>
          <w:sz w:val="20"/>
          <w:szCs w:val="20"/>
        </w:rPr>
        <w:t>not to receive cruel, infamous or unusual punishment</w:t>
      </w:r>
      <w:r w:rsidR="00C24049" w:rsidRPr="007D0545">
        <w:rPr>
          <w:rStyle w:val="FootnoteReference"/>
          <w:rFonts w:eastAsia="Arial Unicode MS"/>
          <w:b w:val="0"/>
          <w:color w:val="auto"/>
          <w:sz w:val="20"/>
          <w:szCs w:val="20"/>
        </w:rPr>
        <w:footnoteReference w:id="56"/>
      </w:r>
      <w:bookmarkEnd w:id="15"/>
    </w:p>
    <w:p w14:paraId="08C9B254" w14:textId="77777777" w:rsidR="00C24049" w:rsidRPr="007D0545" w:rsidRDefault="00C24049" w:rsidP="000973C5">
      <w:pPr>
        <w:pStyle w:val="NormalWeb"/>
        <w:shd w:val="clear" w:color="auto" w:fill="FFFFFF"/>
        <w:spacing w:before="0" w:beforeAutospacing="0" w:after="0" w:afterAutospacing="0"/>
        <w:ind w:left="720"/>
        <w:jc w:val="both"/>
        <w:rPr>
          <w:rFonts w:asciiTheme="majorHAnsi" w:eastAsia="Arial Unicode MS" w:hAnsiTheme="majorHAnsi"/>
          <w:b/>
          <w:sz w:val="20"/>
          <w:szCs w:val="20"/>
          <w:bdr w:val="nil"/>
        </w:rPr>
      </w:pPr>
    </w:p>
    <w:p w14:paraId="3CCAF08C" w14:textId="77777777" w:rsidR="00535135" w:rsidRPr="007D0545" w:rsidRDefault="007F42BF" w:rsidP="00390D19">
      <w:pPr>
        <w:pStyle w:val="Heading3"/>
        <w:numPr>
          <w:ilvl w:val="0"/>
          <w:numId w:val="60"/>
        </w:numPr>
        <w:spacing w:before="0"/>
        <w:ind w:left="1440" w:hanging="720"/>
        <w:rPr>
          <w:rFonts w:eastAsia="Arial Unicode MS"/>
          <w:color w:val="auto"/>
          <w:sz w:val="20"/>
          <w:szCs w:val="20"/>
        </w:rPr>
      </w:pPr>
      <w:bookmarkStart w:id="16" w:name="_Toc26556094"/>
      <w:r w:rsidRPr="007D0545">
        <w:rPr>
          <w:rFonts w:eastAsia="Arial Unicode MS"/>
          <w:color w:val="auto"/>
          <w:sz w:val="20"/>
          <w:szCs w:val="20"/>
        </w:rPr>
        <w:t xml:space="preserve">Right </w:t>
      </w:r>
      <w:r w:rsidR="009724C3" w:rsidRPr="007D0545">
        <w:rPr>
          <w:rFonts w:eastAsia="Arial Unicode MS"/>
          <w:color w:val="auto"/>
          <w:sz w:val="20"/>
          <w:szCs w:val="20"/>
        </w:rPr>
        <w:t>of every person with mental disabilities not to be subjected to the death penalty</w:t>
      </w:r>
      <w:bookmarkEnd w:id="16"/>
    </w:p>
    <w:p w14:paraId="507AEEE5" w14:textId="77777777" w:rsidR="003F03FA" w:rsidRPr="007D0545" w:rsidRDefault="003F03FA" w:rsidP="003F03FA"/>
    <w:p w14:paraId="172B9E56" w14:textId="77777777" w:rsidR="006E1163" w:rsidRPr="007D0545" w:rsidRDefault="008D0556" w:rsidP="006E1163">
      <w:pPr>
        <w:pStyle w:val="ListParagraph"/>
        <w:numPr>
          <w:ilvl w:val="0"/>
          <w:numId w:val="55"/>
        </w:numPr>
        <w:shd w:val="clear" w:color="auto" w:fill="FFFFFF"/>
        <w:ind w:left="0" w:firstLine="0"/>
        <w:jc w:val="both"/>
        <w:rPr>
          <w:rFonts w:asciiTheme="majorHAnsi" w:hAnsiTheme="majorHAnsi"/>
          <w:bCs/>
          <w:sz w:val="20"/>
          <w:szCs w:val="20"/>
        </w:rPr>
      </w:pPr>
      <w:r w:rsidRPr="007D0545">
        <w:rPr>
          <w:rFonts w:asciiTheme="majorHAnsi" w:hAnsiTheme="majorHAnsi"/>
          <w:bCs/>
          <w:sz w:val="20"/>
          <w:szCs w:val="20"/>
        </w:rPr>
        <w:t>The IACHR has established that, while the American Declaration does not expressly prohibit the imposition of the death penalty in the case of persons with mental and intellectual disabilities, such a practice is in violation of the rights and basic principles recognized in Articles I and XXVI of the American Declaration.</w:t>
      </w:r>
      <w:r w:rsidRPr="007D0545">
        <w:rPr>
          <w:rStyle w:val="FootnoteReference"/>
          <w:rFonts w:asciiTheme="majorHAnsi" w:hAnsiTheme="majorHAnsi"/>
          <w:bCs/>
          <w:sz w:val="20"/>
          <w:szCs w:val="20"/>
        </w:rPr>
        <w:footnoteReference w:id="57"/>
      </w:r>
      <w:r w:rsidR="006E1163" w:rsidRPr="007D0545">
        <w:rPr>
          <w:rFonts w:asciiTheme="majorHAnsi" w:hAnsiTheme="majorHAnsi"/>
          <w:bCs/>
          <w:sz w:val="20"/>
          <w:szCs w:val="20"/>
        </w:rPr>
        <w:t xml:space="preserve"> The IACHR has also ruled that:</w:t>
      </w:r>
    </w:p>
    <w:p w14:paraId="7F66063B" w14:textId="77777777" w:rsidR="006E1163" w:rsidRPr="007D0545" w:rsidRDefault="006E1163" w:rsidP="006E1163">
      <w:pPr>
        <w:pStyle w:val="ListParagraph"/>
        <w:shd w:val="clear" w:color="auto" w:fill="FFFFFF"/>
        <w:ind w:left="0"/>
        <w:jc w:val="both"/>
        <w:rPr>
          <w:rFonts w:asciiTheme="majorHAnsi" w:hAnsiTheme="majorHAnsi"/>
          <w:bCs/>
          <w:sz w:val="20"/>
          <w:szCs w:val="20"/>
        </w:rPr>
      </w:pPr>
    </w:p>
    <w:p w14:paraId="080A0018" w14:textId="77777777" w:rsidR="006E1163" w:rsidRPr="007D0545" w:rsidRDefault="006E1163" w:rsidP="006E1163">
      <w:pPr>
        <w:pStyle w:val="ListParagraph"/>
        <w:shd w:val="clear" w:color="auto" w:fill="FFFFFF"/>
        <w:ind w:right="720"/>
        <w:jc w:val="both"/>
        <w:rPr>
          <w:rFonts w:asciiTheme="majorHAnsi" w:hAnsiTheme="majorHAnsi"/>
          <w:bCs/>
          <w:sz w:val="18"/>
          <w:szCs w:val="18"/>
        </w:rPr>
      </w:pPr>
      <w:r w:rsidRPr="007D0545">
        <w:rPr>
          <w:rFonts w:eastAsia="Times New Roman"/>
          <w:sz w:val="18"/>
          <w:szCs w:val="18"/>
          <w:bdr w:val="none" w:sz="0" w:space="0" w:color="auto"/>
        </w:rPr>
        <w:t>States have a special duty to protect persons with mental and intellectual disabilities, a duty that is reinforced in the case of persons under State custody.  Moreover, it is a principle of international law that persons with mental and intellectual disabilities, either at the time of the commission of the crime or during trial, cannot be sentenced to the death penalty.  Likewise, international law also prohibits the execution of a person sentenced to death if that person has a mental or intellectual disability at the time of the execution.</w:t>
      </w:r>
      <w:r w:rsidRPr="007D0545">
        <w:rPr>
          <w:rFonts w:eastAsia="Times New Roman"/>
          <w:sz w:val="18"/>
          <w:szCs w:val="18"/>
          <w:bdr w:val="none" w:sz="0" w:space="0" w:color="auto"/>
          <w:vertAlign w:val="superscript"/>
        </w:rPr>
        <w:footnoteReference w:id="58"/>
      </w:r>
    </w:p>
    <w:p w14:paraId="02B25989" w14:textId="77777777" w:rsidR="006E1163" w:rsidRPr="007D0545" w:rsidRDefault="006E1163" w:rsidP="006E116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bCs/>
          <w:sz w:val="20"/>
          <w:szCs w:val="20"/>
          <w:bdr w:val="none" w:sz="0" w:space="0" w:color="auto"/>
        </w:rPr>
      </w:pPr>
    </w:p>
    <w:p w14:paraId="0F2194D2" w14:textId="77777777" w:rsidR="007A13D7" w:rsidRPr="007D0545" w:rsidRDefault="006E1163" w:rsidP="007A13D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sz w:val="20"/>
          <w:szCs w:val="20"/>
          <w:bdr w:val="none" w:sz="0" w:space="0" w:color="auto"/>
        </w:rPr>
        <w:t>In a case involving Trinidad and Tobago, the Human Rights Committee held that the reading of a death warrant to a person with a mental disability, even if that person had been competent at the time of his or her conviction, is a violation of the right not to be subjected to torture or to cruel, inhuman or degrading treatment or punishment.</w:t>
      </w:r>
      <w:r w:rsidRPr="007D0545">
        <w:rPr>
          <w:rStyle w:val="FootnoteReference"/>
          <w:rFonts w:asciiTheme="majorHAnsi" w:hAnsiTheme="majorHAnsi"/>
          <w:bCs/>
          <w:sz w:val="20"/>
          <w:szCs w:val="20"/>
        </w:rPr>
        <w:footnoteReference w:id="59"/>
      </w:r>
      <w:r w:rsidRPr="007D0545">
        <w:rPr>
          <w:rFonts w:eastAsia="Times New Roman"/>
          <w:sz w:val="20"/>
          <w:szCs w:val="20"/>
          <w:bdr w:val="none" w:sz="0" w:space="0" w:color="auto"/>
        </w:rPr>
        <w:t xml:space="preserve"> The United Nations “Safeguards Guaranteeing Protection of the Rights of Those Facing the </w:t>
      </w:r>
      <w:r w:rsidRPr="007D0545">
        <w:rPr>
          <w:rFonts w:eastAsia="Times New Roman"/>
          <w:sz w:val="20"/>
          <w:szCs w:val="20"/>
          <w:bdr w:val="none" w:sz="0" w:space="0" w:color="auto"/>
        </w:rPr>
        <w:lastRenderedPageBreak/>
        <w:t>Death Penalty” provide that a death sentence shall not be carried out on […] “persons who have become insane.”</w:t>
      </w:r>
      <w:r w:rsidRPr="007D0545">
        <w:rPr>
          <w:rStyle w:val="FootnoteReference"/>
          <w:rFonts w:asciiTheme="majorHAnsi" w:hAnsiTheme="majorHAnsi"/>
          <w:bCs/>
          <w:sz w:val="20"/>
          <w:szCs w:val="20"/>
        </w:rPr>
        <w:footnoteReference w:id="60"/>
      </w:r>
      <w:r w:rsidRPr="007D0545">
        <w:rPr>
          <w:rFonts w:eastAsia="Times New Roman"/>
          <w:sz w:val="20"/>
          <w:szCs w:val="20"/>
          <w:bdr w:val="none" w:sz="0" w:space="0" w:color="auto"/>
        </w:rPr>
        <w:t xml:space="preserve"> The United Nations Commission on Human Rights called upon all States that still have the death penalty “[n]ot to impose the death penalty on a person suffering from any mental or intellectual disabilities or to execute any such person.”</w:t>
      </w:r>
      <w:r w:rsidRPr="007D0545">
        <w:rPr>
          <w:rStyle w:val="FootnoteReference"/>
          <w:rFonts w:asciiTheme="majorHAnsi" w:hAnsiTheme="majorHAnsi"/>
          <w:bCs/>
          <w:sz w:val="20"/>
          <w:szCs w:val="20"/>
        </w:rPr>
        <w:footnoteReference w:id="61"/>
      </w:r>
    </w:p>
    <w:p w14:paraId="1656EAAD" w14:textId="77777777" w:rsidR="007A13D7" w:rsidRPr="007D0545" w:rsidRDefault="007A13D7" w:rsidP="007A13D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rPr>
      </w:pPr>
    </w:p>
    <w:p w14:paraId="1F75A3AD" w14:textId="77777777" w:rsidR="00F427E6" w:rsidRPr="007D0545" w:rsidRDefault="007A13D7" w:rsidP="00F427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sz w:val="20"/>
          <w:szCs w:val="20"/>
          <w:bdr w:val="none" w:sz="0" w:space="0" w:color="auto"/>
        </w:rPr>
        <w:t>Also</w:t>
      </w:r>
      <w:r w:rsidR="006E1163" w:rsidRPr="007D0545">
        <w:rPr>
          <w:rFonts w:eastAsia="Times New Roman"/>
          <w:sz w:val="20"/>
          <w:szCs w:val="20"/>
          <w:bdr w:val="none" w:sz="0" w:space="0" w:color="auto"/>
        </w:rPr>
        <w:t>, the U.N. Special Rapporteur on torture and other cruel, inhuman or degrading treatment or punishment indicated that international law considers the imposition and enforcement of the death penalty in the case of persons with mental disabilities as particularly cruel, inhuman and degrading</w:t>
      </w:r>
      <w:r w:rsidR="00BD3469" w:rsidRPr="007D0545">
        <w:rPr>
          <w:rFonts w:eastAsia="Times New Roman"/>
          <w:sz w:val="20"/>
          <w:szCs w:val="20"/>
          <w:bdr w:val="none" w:sz="0" w:space="0" w:color="auto"/>
        </w:rPr>
        <w:t>,</w:t>
      </w:r>
      <w:r w:rsidR="006E1163" w:rsidRPr="007D0545">
        <w:rPr>
          <w:rFonts w:eastAsia="Times New Roman"/>
          <w:sz w:val="20"/>
          <w:szCs w:val="20"/>
          <w:bdr w:val="none" w:sz="0" w:space="0" w:color="auto"/>
        </w:rPr>
        <w:t xml:space="preserve"> and in violation of Article 7 of the International Covenant on Civil and Political Rights and Articles 1 and 16 of the Convention against Torture.</w:t>
      </w:r>
      <w:r w:rsidR="006E1163" w:rsidRPr="007D0545">
        <w:rPr>
          <w:rStyle w:val="FootnoteReference"/>
          <w:rFonts w:asciiTheme="majorHAnsi" w:hAnsiTheme="majorHAnsi"/>
          <w:bCs/>
          <w:sz w:val="20"/>
          <w:szCs w:val="20"/>
        </w:rPr>
        <w:footnoteReference w:id="62"/>
      </w:r>
      <w:r w:rsidR="006E1163" w:rsidRPr="007D0545">
        <w:rPr>
          <w:rFonts w:eastAsia="Times New Roman"/>
          <w:sz w:val="20"/>
          <w:szCs w:val="20"/>
          <w:bdr w:val="none" w:sz="0" w:space="0" w:color="auto"/>
        </w:rPr>
        <w:t xml:space="preserve"> Likewise, the U.N. Special Rapporteur on arbitrary executions stated that “[i]</w:t>
      </w:r>
      <w:r w:rsidR="006E1163" w:rsidRPr="007D0545">
        <w:rPr>
          <w:rFonts w:eastAsia="Times New Roman"/>
          <w:sz w:val="20"/>
          <w:szCs w:val="20"/>
          <w:bdr w:val="none" w:sz="0" w:space="0" w:color="auto"/>
          <w:shd w:val="clear" w:color="auto" w:fill="FFFFFF"/>
        </w:rPr>
        <w:t>t is a violation of death penalty safeguards to impose capital punishment on individuals suffering from psychosocial disabilities.”</w:t>
      </w:r>
      <w:r w:rsidR="006E1163" w:rsidRPr="007D0545">
        <w:rPr>
          <w:rStyle w:val="FootnoteReference"/>
          <w:rFonts w:asciiTheme="majorHAnsi" w:hAnsiTheme="majorHAnsi"/>
          <w:bCs/>
          <w:sz w:val="20"/>
          <w:szCs w:val="20"/>
        </w:rPr>
        <w:footnoteReference w:id="63"/>
      </w:r>
    </w:p>
    <w:p w14:paraId="7F14D97E" w14:textId="77777777" w:rsidR="00F427E6" w:rsidRPr="007D0545" w:rsidRDefault="00F427E6" w:rsidP="00F427E6">
      <w:pPr>
        <w:pStyle w:val="ListParagraph"/>
        <w:rPr>
          <w:rFonts w:eastAsia="Times New Roman"/>
          <w:sz w:val="20"/>
          <w:szCs w:val="20"/>
          <w:bdr w:val="none" w:sz="0" w:space="0" w:color="auto"/>
        </w:rPr>
      </w:pPr>
    </w:p>
    <w:p w14:paraId="5DE8B912" w14:textId="77777777" w:rsidR="00F427E6" w:rsidRPr="007D0545" w:rsidRDefault="006E1163" w:rsidP="00F427E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sz w:val="20"/>
          <w:szCs w:val="20"/>
          <w:bdr w:val="none" w:sz="0" w:space="0" w:color="auto"/>
        </w:rPr>
        <w:t xml:space="preserve">In </w:t>
      </w:r>
      <w:r w:rsidRPr="007D0545">
        <w:rPr>
          <w:rFonts w:eastAsia="Times New Roman"/>
          <w:i/>
          <w:sz w:val="20"/>
          <w:szCs w:val="20"/>
          <w:bdr w:val="none" w:sz="0" w:space="0" w:color="auto"/>
        </w:rPr>
        <w:t>Atkins v. Virginia</w:t>
      </w:r>
      <w:r w:rsidRPr="007D0545">
        <w:rPr>
          <w:rFonts w:eastAsia="Times New Roman"/>
          <w:sz w:val="20"/>
          <w:szCs w:val="20"/>
          <w:bdr w:val="none" w:sz="0" w:space="0" w:color="auto"/>
        </w:rPr>
        <w:t>,</w:t>
      </w:r>
      <w:r w:rsidRPr="007D0545">
        <w:rPr>
          <w:rStyle w:val="FootnoteReference"/>
          <w:rFonts w:asciiTheme="majorHAnsi" w:hAnsiTheme="majorHAnsi"/>
          <w:bCs/>
          <w:sz w:val="20"/>
          <w:szCs w:val="20"/>
        </w:rPr>
        <w:footnoteReference w:id="64"/>
      </w:r>
      <w:r w:rsidRPr="007D0545">
        <w:rPr>
          <w:rFonts w:eastAsia="Times New Roman"/>
          <w:sz w:val="20"/>
          <w:szCs w:val="20"/>
          <w:bdr w:val="none" w:sz="0" w:space="0" w:color="auto"/>
        </w:rPr>
        <w:t xml:space="preserve"> the United States Supreme Court held that “</w:t>
      </w:r>
      <w:r w:rsidRPr="007D0545">
        <w:rPr>
          <w:rFonts w:eastAsia="Times New Roman"/>
          <w:sz w:val="20"/>
          <w:szCs w:val="20"/>
          <w:bdr w:val="none" w:sz="0" w:space="0" w:color="auto"/>
          <w:shd w:val="clear" w:color="auto" w:fill="FFFFFF"/>
        </w:rPr>
        <w:t>executions of mentally retarded criminals are cruel and unusual punishments prohibited by the Eighth Amendment” of the U.S. Constitution.  In its ruling, the Supreme Court traced the history of the concept of “excessive” sanctions and underscored the fact that the consensus today unquestionably reflects widespread judgment about the relative culpability of “mentally retarded offenders.”</w:t>
      </w:r>
      <w:r w:rsidRPr="007D0545">
        <w:rPr>
          <w:rStyle w:val="FootnoteReference"/>
          <w:rFonts w:asciiTheme="majorHAnsi" w:hAnsiTheme="majorHAnsi"/>
          <w:bCs/>
          <w:sz w:val="20"/>
          <w:szCs w:val="20"/>
        </w:rPr>
        <w:footnoteReference w:id="65"/>
      </w:r>
      <w:r w:rsidRPr="007D0545">
        <w:rPr>
          <w:rFonts w:eastAsia="Times New Roman"/>
          <w:sz w:val="20"/>
          <w:szCs w:val="20"/>
          <w:bdr w:val="none" w:sz="0" w:space="0" w:color="auto"/>
        </w:rPr>
        <w:t xml:space="preserve"> </w:t>
      </w:r>
    </w:p>
    <w:p w14:paraId="4410E2F2" w14:textId="77777777" w:rsidR="00630F01" w:rsidRPr="007D0545" w:rsidRDefault="00630F01" w:rsidP="003F03FA">
      <w:pPr>
        <w:rPr>
          <w:rFonts w:asciiTheme="majorHAnsi" w:hAnsiTheme="majorHAnsi"/>
          <w:sz w:val="20"/>
          <w:szCs w:val="20"/>
        </w:rPr>
      </w:pPr>
    </w:p>
    <w:p w14:paraId="56DF3DF9" w14:textId="77777777" w:rsidR="003F03FA" w:rsidRPr="007D0545" w:rsidRDefault="003F03FA" w:rsidP="00390D19">
      <w:pPr>
        <w:pStyle w:val="Heading3"/>
        <w:numPr>
          <w:ilvl w:val="0"/>
          <w:numId w:val="60"/>
        </w:numPr>
        <w:spacing w:before="0"/>
        <w:ind w:left="1440" w:hanging="720"/>
        <w:rPr>
          <w:rFonts w:eastAsia="Arial Unicode MS"/>
          <w:color w:val="auto"/>
          <w:sz w:val="20"/>
          <w:szCs w:val="20"/>
        </w:rPr>
      </w:pPr>
      <w:bookmarkStart w:id="17" w:name="_Toc26556095"/>
      <w:r w:rsidRPr="007D0545">
        <w:rPr>
          <w:rFonts w:eastAsia="Arial Unicode MS"/>
          <w:color w:val="auto"/>
          <w:sz w:val="20"/>
          <w:szCs w:val="20"/>
        </w:rPr>
        <w:t>Analysis of the case</w:t>
      </w:r>
      <w:bookmarkEnd w:id="17"/>
    </w:p>
    <w:p w14:paraId="4D594E0D" w14:textId="77777777" w:rsidR="00516BBE" w:rsidRPr="007D0545" w:rsidRDefault="00516BBE" w:rsidP="00F427E6">
      <w:pPr>
        <w:pStyle w:val="NormalWeb"/>
        <w:shd w:val="clear" w:color="auto" w:fill="FFFFFF"/>
        <w:spacing w:before="0" w:beforeAutospacing="0" w:after="0" w:afterAutospacing="0"/>
        <w:jc w:val="both"/>
        <w:rPr>
          <w:rFonts w:asciiTheme="majorHAnsi" w:eastAsia="Arial Unicode MS" w:hAnsiTheme="majorHAnsi"/>
          <w:sz w:val="20"/>
          <w:szCs w:val="20"/>
          <w:bdr w:val="nil"/>
        </w:rPr>
      </w:pPr>
    </w:p>
    <w:p w14:paraId="76142555" w14:textId="77777777" w:rsidR="008472FB" w:rsidRPr="007D0545" w:rsidRDefault="00F427E6" w:rsidP="008472F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asciiTheme="majorHAnsi" w:eastAsia="Arial Unicode MS" w:hAnsiTheme="majorHAnsi"/>
          <w:sz w:val="20"/>
          <w:szCs w:val="20"/>
        </w:rPr>
        <w:t xml:space="preserve">The Superior Court of San Diego ordered proceedings under </w:t>
      </w:r>
      <w:r w:rsidRPr="007D0545">
        <w:rPr>
          <w:sz w:val="20"/>
          <w:szCs w:val="20"/>
        </w:rPr>
        <w:t xml:space="preserve">California Penal Code Section 1368 </w:t>
      </w:r>
      <w:r w:rsidRPr="007D0545">
        <w:rPr>
          <w:rFonts w:asciiTheme="majorHAnsi" w:eastAsia="Arial Unicode MS" w:hAnsiTheme="majorHAnsi"/>
          <w:sz w:val="20"/>
          <w:szCs w:val="20"/>
        </w:rPr>
        <w:t>after Dr. Kalish expressed his doubt as to Mr. Sequoyah</w:t>
      </w:r>
      <w:r w:rsidR="000A7A76" w:rsidRPr="007D0545">
        <w:rPr>
          <w:rFonts w:asciiTheme="majorHAnsi" w:eastAsia="Arial Unicode MS" w:hAnsiTheme="majorHAnsi"/>
          <w:sz w:val="20"/>
          <w:szCs w:val="20"/>
        </w:rPr>
        <w:t>’s</w:t>
      </w:r>
      <w:r w:rsidRPr="007D0545">
        <w:rPr>
          <w:rFonts w:asciiTheme="majorHAnsi" w:eastAsia="Arial Unicode MS" w:hAnsiTheme="majorHAnsi"/>
          <w:sz w:val="20"/>
          <w:szCs w:val="20"/>
        </w:rPr>
        <w:t xml:space="preserve"> competency to stand trial. </w:t>
      </w:r>
      <w:r w:rsidR="004A4A3E" w:rsidRPr="007D0545">
        <w:rPr>
          <w:rFonts w:asciiTheme="majorHAnsi" w:eastAsia="Arial Unicode MS" w:hAnsiTheme="majorHAnsi"/>
          <w:sz w:val="20"/>
          <w:szCs w:val="20"/>
        </w:rPr>
        <w:t>In the hearing held on August 19 and 20, 1987</w:t>
      </w:r>
      <w:r w:rsidR="00F1005F" w:rsidRPr="007D0545">
        <w:rPr>
          <w:rFonts w:asciiTheme="majorHAnsi" w:eastAsia="Arial Unicode MS" w:hAnsiTheme="majorHAnsi"/>
          <w:sz w:val="20"/>
          <w:szCs w:val="20"/>
        </w:rPr>
        <w:t>,</w:t>
      </w:r>
      <w:r w:rsidR="004A4A3E" w:rsidRPr="007D0545">
        <w:rPr>
          <w:rFonts w:asciiTheme="majorHAnsi" w:eastAsia="Arial Unicode MS" w:hAnsiTheme="majorHAnsi"/>
          <w:sz w:val="20"/>
          <w:szCs w:val="20"/>
        </w:rPr>
        <w:t xml:space="preserve"> Dr. Kalish testified that </w:t>
      </w:r>
      <w:r w:rsidR="00157A9F" w:rsidRPr="007D0545">
        <w:rPr>
          <w:rFonts w:asciiTheme="majorHAnsi" w:eastAsia="Arial Unicode MS" w:hAnsiTheme="majorHAnsi"/>
          <w:sz w:val="20"/>
          <w:szCs w:val="20"/>
        </w:rPr>
        <w:t xml:space="preserve">Mr. Sequoyah </w:t>
      </w:r>
      <w:r w:rsidR="00707BAF" w:rsidRPr="007D0545">
        <w:rPr>
          <w:rFonts w:asciiTheme="majorHAnsi" w:eastAsia="Arial Unicode MS" w:hAnsiTheme="majorHAnsi"/>
          <w:sz w:val="20"/>
          <w:szCs w:val="20"/>
        </w:rPr>
        <w:t xml:space="preserve">appeared to be </w:t>
      </w:r>
      <w:r w:rsidR="00157A9F" w:rsidRPr="007D0545">
        <w:rPr>
          <w:rFonts w:asciiTheme="majorHAnsi" w:eastAsia="Arial Unicode MS" w:hAnsiTheme="majorHAnsi"/>
          <w:sz w:val="20"/>
          <w:szCs w:val="20"/>
        </w:rPr>
        <w:t>“</w:t>
      </w:r>
      <w:r w:rsidR="00707BAF" w:rsidRPr="007D0545">
        <w:rPr>
          <w:rFonts w:asciiTheme="majorHAnsi" w:eastAsia="Arial Unicode MS" w:hAnsiTheme="majorHAnsi"/>
          <w:sz w:val="20"/>
          <w:szCs w:val="20"/>
        </w:rPr>
        <w:t xml:space="preserve">paranoid and had some thought disorder.” </w:t>
      </w:r>
      <w:r w:rsidR="00B0667E" w:rsidRPr="007D0545">
        <w:rPr>
          <w:rFonts w:asciiTheme="majorHAnsi" w:eastAsia="Arial Unicode MS" w:hAnsiTheme="majorHAnsi"/>
          <w:sz w:val="20"/>
          <w:szCs w:val="20"/>
        </w:rPr>
        <w:t xml:space="preserve">Dr. Javid, Mr. Sequoyah’s supervising psychiatrist </w:t>
      </w:r>
      <w:r w:rsidR="00F1005F" w:rsidRPr="007D0545">
        <w:rPr>
          <w:rFonts w:asciiTheme="majorHAnsi" w:eastAsia="Arial Unicode MS" w:hAnsiTheme="majorHAnsi"/>
          <w:sz w:val="20"/>
          <w:szCs w:val="20"/>
        </w:rPr>
        <w:t>at the U.S. Navy,</w:t>
      </w:r>
      <w:r w:rsidR="00B0667E" w:rsidRPr="007D0545">
        <w:rPr>
          <w:rFonts w:asciiTheme="majorHAnsi" w:eastAsia="Arial Unicode MS" w:hAnsiTheme="majorHAnsi"/>
          <w:sz w:val="20"/>
          <w:szCs w:val="20"/>
        </w:rPr>
        <w:t xml:space="preserve"> testified that </w:t>
      </w:r>
      <w:r w:rsidR="00F1005F" w:rsidRPr="007D0545">
        <w:rPr>
          <w:rFonts w:asciiTheme="majorHAnsi" w:eastAsia="Arial Unicode MS" w:hAnsiTheme="majorHAnsi"/>
          <w:sz w:val="20"/>
          <w:szCs w:val="20"/>
        </w:rPr>
        <w:t xml:space="preserve">in 1984 </w:t>
      </w:r>
      <w:r w:rsidR="00B0667E" w:rsidRPr="007D0545">
        <w:rPr>
          <w:rFonts w:asciiTheme="majorHAnsi" w:eastAsia="Arial Unicode MS" w:hAnsiTheme="majorHAnsi"/>
          <w:sz w:val="20"/>
          <w:szCs w:val="20"/>
        </w:rPr>
        <w:t xml:space="preserve">he diagnosed </w:t>
      </w:r>
      <w:r w:rsidR="00F1005F" w:rsidRPr="007D0545">
        <w:rPr>
          <w:rFonts w:asciiTheme="majorHAnsi" w:eastAsia="Arial Unicode MS" w:hAnsiTheme="majorHAnsi"/>
          <w:sz w:val="20"/>
          <w:szCs w:val="20"/>
        </w:rPr>
        <w:t>Mr. Sequoyah</w:t>
      </w:r>
      <w:r w:rsidR="00B0667E" w:rsidRPr="007D0545">
        <w:rPr>
          <w:rFonts w:asciiTheme="majorHAnsi" w:eastAsia="Arial Unicode MS" w:hAnsiTheme="majorHAnsi"/>
          <w:sz w:val="20"/>
          <w:szCs w:val="20"/>
        </w:rPr>
        <w:t xml:space="preserve"> with </w:t>
      </w:r>
      <w:r w:rsidR="00BC04F8" w:rsidRPr="007D0545">
        <w:rPr>
          <w:rFonts w:asciiTheme="majorHAnsi" w:eastAsia="Arial Unicode MS" w:hAnsiTheme="majorHAnsi"/>
          <w:sz w:val="20"/>
          <w:szCs w:val="20"/>
        </w:rPr>
        <w:t>“</w:t>
      </w:r>
      <w:r w:rsidR="00B0667E" w:rsidRPr="007D0545">
        <w:rPr>
          <w:rFonts w:asciiTheme="majorHAnsi" w:eastAsia="Arial Unicode MS" w:hAnsiTheme="majorHAnsi"/>
          <w:sz w:val="20"/>
          <w:szCs w:val="20"/>
        </w:rPr>
        <w:t>major depression with psychosis</w:t>
      </w:r>
      <w:r w:rsidR="00BC04F8" w:rsidRPr="007D0545">
        <w:rPr>
          <w:rFonts w:asciiTheme="majorHAnsi" w:eastAsia="Arial Unicode MS" w:hAnsiTheme="majorHAnsi"/>
          <w:sz w:val="20"/>
          <w:szCs w:val="20"/>
        </w:rPr>
        <w:t>”</w:t>
      </w:r>
      <w:r w:rsidR="00B0667E" w:rsidRPr="007D0545">
        <w:rPr>
          <w:rFonts w:asciiTheme="majorHAnsi" w:eastAsia="Arial Unicode MS" w:hAnsiTheme="majorHAnsi"/>
          <w:sz w:val="20"/>
          <w:szCs w:val="20"/>
        </w:rPr>
        <w:t xml:space="preserve"> and that </w:t>
      </w:r>
      <w:r w:rsidR="00F1005F" w:rsidRPr="007D0545">
        <w:rPr>
          <w:rFonts w:asciiTheme="majorHAnsi" w:eastAsia="Arial Unicode MS" w:hAnsiTheme="majorHAnsi"/>
          <w:sz w:val="20"/>
          <w:szCs w:val="20"/>
        </w:rPr>
        <w:t>he</w:t>
      </w:r>
      <w:r w:rsidR="00B0667E" w:rsidRPr="007D0545">
        <w:rPr>
          <w:rFonts w:asciiTheme="majorHAnsi" w:eastAsia="Arial Unicode MS" w:hAnsiTheme="majorHAnsi"/>
          <w:sz w:val="20"/>
          <w:szCs w:val="20"/>
        </w:rPr>
        <w:t xml:space="preserve"> </w:t>
      </w:r>
      <w:r w:rsidR="00F1005F" w:rsidRPr="007D0545">
        <w:rPr>
          <w:sz w:val="20"/>
          <w:szCs w:val="20"/>
        </w:rPr>
        <w:t>“was having auditory hallucinations […] hearing voices in different languages [and] the voices were telling him to hurt himself or hurt someone else.”</w:t>
      </w:r>
      <w:r w:rsidR="00B0667E" w:rsidRPr="007D0545">
        <w:rPr>
          <w:rFonts w:asciiTheme="majorHAnsi" w:eastAsia="Arial Unicode MS" w:hAnsiTheme="majorHAnsi"/>
          <w:sz w:val="20"/>
          <w:szCs w:val="20"/>
        </w:rPr>
        <w:t xml:space="preserve"> </w:t>
      </w:r>
      <w:r w:rsidR="00C46A80" w:rsidRPr="007D0545">
        <w:rPr>
          <w:rFonts w:asciiTheme="majorHAnsi" w:eastAsia="Arial Unicode MS" w:hAnsiTheme="majorHAnsi"/>
          <w:sz w:val="20"/>
          <w:szCs w:val="20"/>
        </w:rPr>
        <w:t>Dr. Ebert, clinical psychologist at the Air Force</w:t>
      </w:r>
      <w:r w:rsidR="00272596" w:rsidRPr="007D0545">
        <w:rPr>
          <w:rFonts w:asciiTheme="majorHAnsi" w:eastAsia="Arial Unicode MS" w:hAnsiTheme="majorHAnsi"/>
          <w:sz w:val="20"/>
          <w:szCs w:val="20"/>
        </w:rPr>
        <w:t xml:space="preserve"> who at the time performed vario</w:t>
      </w:r>
      <w:r w:rsidR="00C46A80" w:rsidRPr="007D0545">
        <w:rPr>
          <w:rFonts w:asciiTheme="majorHAnsi" w:eastAsia="Arial Unicode MS" w:hAnsiTheme="majorHAnsi"/>
          <w:sz w:val="20"/>
          <w:szCs w:val="20"/>
        </w:rPr>
        <w:t xml:space="preserve">us psychological tests </w:t>
      </w:r>
      <w:r w:rsidR="00272596" w:rsidRPr="007D0545">
        <w:rPr>
          <w:rFonts w:asciiTheme="majorHAnsi" w:eastAsia="Arial Unicode MS" w:hAnsiTheme="majorHAnsi"/>
          <w:sz w:val="20"/>
          <w:szCs w:val="20"/>
        </w:rPr>
        <w:t>on</w:t>
      </w:r>
      <w:r w:rsidR="00C46A80" w:rsidRPr="007D0545">
        <w:rPr>
          <w:rFonts w:asciiTheme="majorHAnsi" w:eastAsia="Arial Unicode MS" w:hAnsiTheme="majorHAnsi"/>
          <w:sz w:val="20"/>
          <w:szCs w:val="20"/>
        </w:rPr>
        <w:t xml:space="preserve"> Mr. Sequoyah</w:t>
      </w:r>
      <w:r w:rsidR="00272596" w:rsidRPr="007D0545">
        <w:rPr>
          <w:rFonts w:asciiTheme="majorHAnsi" w:eastAsia="Arial Unicode MS" w:hAnsiTheme="majorHAnsi"/>
          <w:sz w:val="20"/>
          <w:szCs w:val="20"/>
        </w:rPr>
        <w:t>, testified that he</w:t>
      </w:r>
      <w:r w:rsidR="00C46A80" w:rsidRPr="007D0545">
        <w:rPr>
          <w:rFonts w:asciiTheme="majorHAnsi" w:eastAsia="Arial Unicode MS" w:hAnsiTheme="majorHAnsi"/>
          <w:sz w:val="20"/>
          <w:szCs w:val="20"/>
        </w:rPr>
        <w:t xml:space="preserve"> was “mentally ill” and “had extreme difficulty in solving even the simplest of basic logic problems following a sequential reasoning train of thought.”</w:t>
      </w:r>
      <w:r w:rsidR="00272596" w:rsidRPr="007D0545">
        <w:rPr>
          <w:rFonts w:asciiTheme="majorHAnsi" w:eastAsia="Arial Unicode MS" w:hAnsiTheme="majorHAnsi"/>
          <w:sz w:val="20"/>
          <w:szCs w:val="20"/>
        </w:rPr>
        <w:t xml:space="preserve"> Mr. Sequoyah was </w:t>
      </w:r>
      <w:r w:rsidR="00077A87" w:rsidRPr="007D0545">
        <w:rPr>
          <w:rFonts w:asciiTheme="majorHAnsi" w:eastAsia="Arial Unicode MS" w:hAnsiTheme="majorHAnsi"/>
          <w:sz w:val="20"/>
          <w:szCs w:val="20"/>
        </w:rPr>
        <w:t xml:space="preserve">finally </w:t>
      </w:r>
      <w:r w:rsidR="00C74AAA" w:rsidRPr="007D0545">
        <w:rPr>
          <w:rFonts w:asciiTheme="majorHAnsi" w:eastAsia="Arial Unicode MS" w:hAnsiTheme="majorHAnsi"/>
          <w:sz w:val="20"/>
          <w:szCs w:val="20"/>
        </w:rPr>
        <w:t>discharged from the Navy due to his mental condition</w:t>
      </w:r>
      <w:r w:rsidR="0072472F" w:rsidRPr="007D0545">
        <w:rPr>
          <w:rFonts w:asciiTheme="majorHAnsi" w:eastAsia="Arial Unicode MS" w:hAnsiTheme="majorHAnsi"/>
          <w:sz w:val="20"/>
          <w:szCs w:val="20"/>
        </w:rPr>
        <w:t>.</w:t>
      </w:r>
      <w:r w:rsidR="00C74AAA" w:rsidRPr="007D0545">
        <w:rPr>
          <w:rFonts w:asciiTheme="majorHAnsi" w:eastAsia="Arial Unicode MS" w:hAnsiTheme="majorHAnsi"/>
          <w:sz w:val="20"/>
          <w:szCs w:val="20"/>
        </w:rPr>
        <w:t xml:space="preserve"> </w:t>
      </w:r>
    </w:p>
    <w:p w14:paraId="7DE91B32" w14:textId="77777777" w:rsidR="00082CBB" w:rsidRPr="007D0545" w:rsidRDefault="00082CBB" w:rsidP="00082CB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rPr>
      </w:pPr>
    </w:p>
    <w:p w14:paraId="72C54DF7" w14:textId="77777777" w:rsidR="00B316A7" w:rsidRPr="007D0545" w:rsidRDefault="00077A87" w:rsidP="008472F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bCs/>
          <w:sz w:val="20"/>
          <w:szCs w:val="20"/>
          <w:bdr w:val="none" w:sz="0" w:space="0" w:color="auto"/>
        </w:rPr>
        <w:t xml:space="preserve">There is no information </w:t>
      </w:r>
      <w:r w:rsidR="00BD3469" w:rsidRPr="007D0545">
        <w:rPr>
          <w:rFonts w:eastAsia="Times New Roman"/>
          <w:bCs/>
          <w:sz w:val="20"/>
          <w:szCs w:val="20"/>
          <w:bdr w:val="none" w:sz="0" w:space="0" w:color="auto"/>
        </w:rPr>
        <w:t>i</w:t>
      </w:r>
      <w:r w:rsidRPr="007D0545">
        <w:rPr>
          <w:rFonts w:eastAsia="Times New Roman"/>
          <w:bCs/>
          <w:sz w:val="20"/>
          <w:szCs w:val="20"/>
          <w:bdr w:val="none" w:sz="0" w:space="0" w:color="auto"/>
        </w:rPr>
        <w:t>n the file before the IACHR regarding the reasons that led the jury to conclude that Mr. Sequoyah was competent to stand trial. However, t</w:t>
      </w:r>
      <w:r w:rsidR="008472FB" w:rsidRPr="007D0545">
        <w:rPr>
          <w:rFonts w:asciiTheme="majorHAnsi" w:eastAsia="Arial Unicode MS" w:hAnsiTheme="majorHAnsi"/>
          <w:sz w:val="20"/>
          <w:szCs w:val="20"/>
        </w:rPr>
        <w:t>he Commission notes that</w:t>
      </w:r>
      <w:r w:rsidR="000C04CF" w:rsidRPr="007D0545">
        <w:rPr>
          <w:rFonts w:asciiTheme="majorHAnsi" w:eastAsia="Arial Unicode MS" w:hAnsiTheme="majorHAnsi"/>
          <w:sz w:val="20"/>
          <w:szCs w:val="20"/>
        </w:rPr>
        <w:t xml:space="preserve"> </w:t>
      </w:r>
      <w:r w:rsidR="00A31451" w:rsidRPr="007D0545">
        <w:rPr>
          <w:rFonts w:asciiTheme="majorHAnsi" w:eastAsia="Arial Unicode MS" w:hAnsiTheme="majorHAnsi"/>
          <w:sz w:val="20"/>
          <w:szCs w:val="20"/>
        </w:rPr>
        <w:t>Mr. Sequoyah was discharged from service due to his mental condition</w:t>
      </w:r>
      <w:r w:rsidR="000C04CF" w:rsidRPr="007D0545">
        <w:rPr>
          <w:rFonts w:asciiTheme="majorHAnsi" w:eastAsia="Arial Unicode MS" w:hAnsiTheme="majorHAnsi"/>
          <w:sz w:val="20"/>
          <w:szCs w:val="20"/>
        </w:rPr>
        <w:t xml:space="preserve"> in 1984</w:t>
      </w:r>
      <w:r w:rsidR="0075164B" w:rsidRPr="007D0545">
        <w:rPr>
          <w:rFonts w:asciiTheme="majorHAnsi" w:eastAsia="Arial Unicode MS" w:hAnsiTheme="majorHAnsi"/>
          <w:sz w:val="20"/>
          <w:szCs w:val="20"/>
        </w:rPr>
        <w:t xml:space="preserve"> and</w:t>
      </w:r>
      <w:r w:rsidR="000C04CF" w:rsidRPr="007D0545">
        <w:rPr>
          <w:rFonts w:asciiTheme="majorHAnsi" w:eastAsia="Arial Unicode MS" w:hAnsiTheme="majorHAnsi"/>
          <w:sz w:val="20"/>
          <w:szCs w:val="20"/>
        </w:rPr>
        <w:t xml:space="preserve"> the crime for which he was convicted took place in 1985. </w:t>
      </w:r>
      <w:r w:rsidR="00EC68B2" w:rsidRPr="007D0545">
        <w:rPr>
          <w:rFonts w:asciiTheme="majorHAnsi" w:eastAsia="Arial Unicode MS" w:hAnsiTheme="majorHAnsi"/>
          <w:sz w:val="20"/>
          <w:szCs w:val="20"/>
        </w:rPr>
        <w:t>Further, a</w:t>
      </w:r>
      <w:r w:rsidR="005C1A8D" w:rsidRPr="007D0545">
        <w:rPr>
          <w:rFonts w:asciiTheme="majorHAnsi" w:eastAsia="Arial Unicode MS" w:hAnsiTheme="majorHAnsi"/>
          <w:sz w:val="20"/>
          <w:szCs w:val="20"/>
        </w:rPr>
        <w:t xml:space="preserve">t the August 1987 hearing, in addition to </w:t>
      </w:r>
      <w:r w:rsidR="0075164B" w:rsidRPr="007D0545">
        <w:rPr>
          <w:rFonts w:asciiTheme="majorHAnsi" w:eastAsia="Arial Unicode MS" w:hAnsiTheme="majorHAnsi"/>
          <w:sz w:val="20"/>
          <w:szCs w:val="20"/>
        </w:rPr>
        <w:t xml:space="preserve">the testimonies regarding Mr. Sequoyah’s mental health during his time </w:t>
      </w:r>
      <w:r w:rsidR="00BD3469" w:rsidRPr="007D0545">
        <w:rPr>
          <w:rFonts w:asciiTheme="majorHAnsi" w:eastAsia="Arial Unicode MS" w:hAnsiTheme="majorHAnsi"/>
          <w:sz w:val="20"/>
          <w:szCs w:val="20"/>
        </w:rPr>
        <w:t xml:space="preserve">in </w:t>
      </w:r>
      <w:r w:rsidR="0075164B" w:rsidRPr="007D0545">
        <w:rPr>
          <w:rFonts w:asciiTheme="majorHAnsi" w:eastAsia="Arial Unicode MS" w:hAnsiTheme="majorHAnsi"/>
          <w:sz w:val="20"/>
          <w:szCs w:val="20"/>
        </w:rPr>
        <w:t xml:space="preserve">the Navy, the Court received information about his </w:t>
      </w:r>
      <w:r w:rsidR="00B92DC9" w:rsidRPr="007D0545">
        <w:rPr>
          <w:rFonts w:asciiTheme="majorHAnsi" w:eastAsia="Arial Unicode MS" w:hAnsiTheme="majorHAnsi"/>
          <w:sz w:val="20"/>
          <w:szCs w:val="20"/>
        </w:rPr>
        <w:t>condition</w:t>
      </w:r>
      <w:r w:rsidR="001C6F52" w:rsidRPr="007D0545">
        <w:rPr>
          <w:rFonts w:asciiTheme="majorHAnsi" w:eastAsia="Arial Unicode MS" w:hAnsiTheme="majorHAnsi"/>
          <w:sz w:val="20"/>
          <w:szCs w:val="20"/>
        </w:rPr>
        <w:t xml:space="preserve"> at the time</w:t>
      </w:r>
      <w:r w:rsidR="00BD3469" w:rsidRPr="007D0545">
        <w:rPr>
          <w:rFonts w:asciiTheme="majorHAnsi" w:eastAsia="Arial Unicode MS" w:hAnsiTheme="majorHAnsi"/>
          <w:sz w:val="20"/>
          <w:szCs w:val="20"/>
        </w:rPr>
        <w:t xml:space="preserve"> of the hearing</w:t>
      </w:r>
      <w:r w:rsidR="00B92DC9" w:rsidRPr="007D0545">
        <w:rPr>
          <w:rFonts w:asciiTheme="majorHAnsi" w:eastAsia="Arial Unicode MS" w:hAnsiTheme="majorHAnsi"/>
          <w:sz w:val="20"/>
          <w:szCs w:val="20"/>
        </w:rPr>
        <w:t>.</w:t>
      </w:r>
      <w:r w:rsidR="001C6F52" w:rsidRPr="007D0545">
        <w:rPr>
          <w:rFonts w:asciiTheme="majorHAnsi" w:eastAsia="Arial Unicode MS" w:hAnsiTheme="majorHAnsi"/>
          <w:sz w:val="20"/>
          <w:szCs w:val="20"/>
        </w:rPr>
        <w:t xml:space="preserve"> As established above, Dr. Kalish </w:t>
      </w:r>
      <w:r w:rsidR="001357AD" w:rsidRPr="007D0545">
        <w:rPr>
          <w:rFonts w:asciiTheme="majorHAnsi" w:eastAsia="Arial Unicode MS" w:hAnsiTheme="majorHAnsi"/>
          <w:sz w:val="20"/>
          <w:szCs w:val="20"/>
        </w:rPr>
        <w:t>considered that Mr. Sequoyah’s depression, paranoia and thought disorder “severely impair[ed] his ability to relate to his attorney.”</w:t>
      </w:r>
      <w:r w:rsidR="00400E6B" w:rsidRPr="007D0545">
        <w:rPr>
          <w:rFonts w:asciiTheme="majorHAnsi" w:eastAsia="Arial Unicode MS" w:hAnsiTheme="majorHAnsi"/>
          <w:sz w:val="20"/>
          <w:szCs w:val="20"/>
        </w:rPr>
        <w:t xml:space="preserve"> Dr. Ebert reached a similar conclusion.</w:t>
      </w:r>
      <w:r w:rsidRPr="007D0545">
        <w:rPr>
          <w:rFonts w:asciiTheme="majorHAnsi" w:eastAsia="Arial Unicode MS" w:hAnsiTheme="majorHAnsi"/>
          <w:sz w:val="20"/>
          <w:szCs w:val="20"/>
        </w:rPr>
        <w:t xml:space="preserve"> </w:t>
      </w:r>
    </w:p>
    <w:p w14:paraId="164CDFDD" w14:textId="77777777" w:rsidR="00B316A7" w:rsidRPr="007D0545" w:rsidRDefault="00B316A7" w:rsidP="00B316A7">
      <w:pPr>
        <w:pStyle w:val="ListParagraph"/>
        <w:rPr>
          <w:rFonts w:asciiTheme="majorHAnsi" w:eastAsia="Arial Unicode MS" w:hAnsiTheme="majorHAnsi"/>
          <w:sz w:val="20"/>
          <w:szCs w:val="20"/>
        </w:rPr>
      </w:pPr>
    </w:p>
    <w:p w14:paraId="1E34E0C0" w14:textId="77777777" w:rsidR="0033161A" w:rsidRPr="007D0545" w:rsidRDefault="00D57019" w:rsidP="0033161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asciiTheme="majorHAnsi" w:eastAsia="Arial Unicode MS" w:hAnsiTheme="majorHAnsi"/>
          <w:sz w:val="20"/>
          <w:szCs w:val="20"/>
        </w:rPr>
        <w:t>Therefore,</w:t>
      </w:r>
      <w:r w:rsidR="001C3B2D" w:rsidRPr="007D0545">
        <w:rPr>
          <w:rFonts w:asciiTheme="majorHAnsi" w:eastAsia="Arial Unicode MS" w:hAnsiTheme="majorHAnsi"/>
          <w:sz w:val="20"/>
          <w:szCs w:val="20"/>
        </w:rPr>
        <w:t xml:space="preserve"> </w:t>
      </w:r>
      <w:r w:rsidR="008509CC" w:rsidRPr="007D0545">
        <w:rPr>
          <w:rFonts w:asciiTheme="majorHAnsi" w:eastAsia="Arial Unicode MS" w:hAnsiTheme="majorHAnsi"/>
          <w:sz w:val="20"/>
          <w:szCs w:val="20"/>
        </w:rPr>
        <w:t>there is evidence that</w:t>
      </w:r>
      <w:r w:rsidR="00EC0BA4" w:rsidRPr="007D0545">
        <w:rPr>
          <w:rFonts w:asciiTheme="majorHAnsi" w:eastAsia="Arial Unicode MS" w:hAnsiTheme="majorHAnsi"/>
          <w:sz w:val="20"/>
          <w:szCs w:val="20"/>
        </w:rPr>
        <w:t>,</w:t>
      </w:r>
      <w:r w:rsidR="008509CC" w:rsidRPr="007D0545">
        <w:rPr>
          <w:rFonts w:asciiTheme="majorHAnsi" w:eastAsia="Arial Unicode MS" w:hAnsiTheme="majorHAnsi"/>
          <w:sz w:val="20"/>
          <w:szCs w:val="20"/>
        </w:rPr>
        <w:t xml:space="preserve"> the year before the crime</w:t>
      </w:r>
      <w:r w:rsidR="00EC0BA4" w:rsidRPr="007D0545">
        <w:rPr>
          <w:rFonts w:asciiTheme="majorHAnsi" w:eastAsia="Arial Unicode MS" w:hAnsiTheme="majorHAnsi"/>
          <w:sz w:val="20"/>
          <w:szCs w:val="20"/>
        </w:rPr>
        <w:t>,</w:t>
      </w:r>
      <w:r w:rsidR="008509CC" w:rsidRPr="007D0545">
        <w:rPr>
          <w:rFonts w:asciiTheme="majorHAnsi" w:eastAsia="Arial Unicode MS" w:hAnsiTheme="majorHAnsi"/>
          <w:sz w:val="20"/>
          <w:szCs w:val="20"/>
        </w:rPr>
        <w:t xml:space="preserve"> Mr. Sequoyah had been diagnosed with a psychiatric illness and that at the beginning of the </w:t>
      </w:r>
      <w:r w:rsidR="002F097A" w:rsidRPr="007D0545">
        <w:rPr>
          <w:rFonts w:asciiTheme="majorHAnsi" w:eastAsia="Arial Unicode MS" w:hAnsiTheme="majorHAnsi"/>
          <w:sz w:val="20"/>
          <w:szCs w:val="20"/>
        </w:rPr>
        <w:t>criminal proceedings</w:t>
      </w:r>
      <w:r w:rsidR="008509CC" w:rsidRPr="007D0545">
        <w:rPr>
          <w:rFonts w:asciiTheme="majorHAnsi" w:eastAsia="Arial Unicode MS" w:hAnsiTheme="majorHAnsi"/>
          <w:sz w:val="20"/>
          <w:szCs w:val="20"/>
        </w:rPr>
        <w:t xml:space="preserve"> there were indications </w:t>
      </w:r>
      <w:r w:rsidR="002F097A" w:rsidRPr="007D0545">
        <w:rPr>
          <w:rFonts w:asciiTheme="majorHAnsi" w:eastAsia="Arial Unicode MS" w:hAnsiTheme="majorHAnsi"/>
          <w:sz w:val="20"/>
          <w:szCs w:val="20"/>
        </w:rPr>
        <w:t xml:space="preserve">that </w:t>
      </w:r>
      <w:r w:rsidR="00272A02" w:rsidRPr="007D0545">
        <w:rPr>
          <w:rFonts w:asciiTheme="majorHAnsi" w:eastAsia="Arial Unicode MS" w:hAnsiTheme="majorHAnsi"/>
          <w:sz w:val="20"/>
          <w:szCs w:val="20"/>
        </w:rPr>
        <w:t xml:space="preserve">the condition </w:t>
      </w:r>
      <w:r w:rsidR="00EC68B2" w:rsidRPr="007D0545">
        <w:rPr>
          <w:rFonts w:asciiTheme="majorHAnsi" w:eastAsia="Arial Unicode MS" w:hAnsiTheme="majorHAnsi"/>
          <w:sz w:val="20"/>
          <w:szCs w:val="20"/>
        </w:rPr>
        <w:t>persisted</w:t>
      </w:r>
      <w:r w:rsidR="00272A02" w:rsidRPr="007D0545">
        <w:rPr>
          <w:rFonts w:asciiTheme="majorHAnsi" w:eastAsia="Arial Unicode MS" w:hAnsiTheme="majorHAnsi"/>
          <w:sz w:val="20"/>
          <w:szCs w:val="20"/>
        </w:rPr>
        <w:t xml:space="preserve">. The State has not </w:t>
      </w:r>
      <w:r w:rsidR="00E86ABD" w:rsidRPr="007D0545">
        <w:rPr>
          <w:rFonts w:asciiTheme="majorHAnsi" w:eastAsia="Arial Unicode MS" w:hAnsiTheme="majorHAnsi"/>
          <w:sz w:val="20"/>
          <w:szCs w:val="20"/>
        </w:rPr>
        <w:t xml:space="preserve">demonstrated </w:t>
      </w:r>
      <w:r w:rsidR="00EC0BA4" w:rsidRPr="007D0545">
        <w:rPr>
          <w:rFonts w:asciiTheme="majorHAnsi" w:eastAsia="Arial Unicode MS" w:hAnsiTheme="majorHAnsi"/>
          <w:sz w:val="20"/>
          <w:szCs w:val="20"/>
        </w:rPr>
        <w:t>otherwise</w:t>
      </w:r>
      <w:r w:rsidR="00E86ABD" w:rsidRPr="007D0545">
        <w:rPr>
          <w:rFonts w:asciiTheme="majorHAnsi" w:eastAsia="Arial Unicode MS" w:hAnsiTheme="majorHAnsi"/>
          <w:sz w:val="20"/>
          <w:szCs w:val="20"/>
        </w:rPr>
        <w:t>.</w:t>
      </w:r>
      <w:r w:rsidR="00B316A7" w:rsidRPr="007D0545">
        <w:rPr>
          <w:rFonts w:asciiTheme="majorHAnsi" w:eastAsia="Arial Unicode MS" w:hAnsiTheme="majorHAnsi"/>
          <w:sz w:val="20"/>
          <w:szCs w:val="20"/>
        </w:rPr>
        <w:t xml:space="preserve"> </w:t>
      </w:r>
      <w:r w:rsidR="00570AF2" w:rsidRPr="007D0545">
        <w:rPr>
          <w:rFonts w:asciiTheme="majorHAnsi" w:eastAsia="Arial Unicode MS" w:hAnsiTheme="majorHAnsi"/>
          <w:sz w:val="20"/>
          <w:szCs w:val="20"/>
        </w:rPr>
        <w:t>Further</w:t>
      </w:r>
      <w:r w:rsidR="00C47791" w:rsidRPr="007D0545">
        <w:rPr>
          <w:rFonts w:asciiTheme="majorHAnsi" w:eastAsia="Arial Unicode MS" w:hAnsiTheme="majorHAnsi"/>
          <w:sz w:val="20"/>
          <w:szCs w:val="20"/>
        </w:rPr>
        <w:t xml:space="preserve">, </w:t>
      </w:r>
      <w:r w:rsidR="00570AF2" w:rsidRPr="007D0545">
        <w:rPr>
          <w:rFonts w:asciiTheme="majorHAnsi" w:eastAsia="Arial Unicode MS" w:hAnsiTheme="majorHAnsi"/>
          <w:sz w:val="20"/>
          <w:szCs w:val="20"/>
        </w:rPr>
        <w:t xml:space="preserve">Mr. Sequoyah was not only declared competent to stand trial but </w:t>
      </w:r>
      <w:r w:rsidR="00B16FF4" w:rsidRPr="007D0545">
        <w:rPr>
          <w:rFonts w:asciiTheme="majorHAnsi" w:eastAsia="Arial Unicode MS" w:hAnsiTheme="majorHAnsi"/>
          <w:sz w:val="20"/>
          <w:szCs w:val="20"/>
        </w:rPr>
        <w:t>later</w:t>
      </w:r>
      <w:r w:rsidR="00570AF2" w:rsidRPr="007D0545">
        <w:rPr>
          <w:rFonts w:asciiTheme="majorHAnsi" w:eastAsia="Arial Unicode MS" w:hAnsiTheme="majorHAnsi"/>
          <w:sz w:val="20"/>
          <w:szCs w:val="20"/>
        </w:rPr>
        <w:t xml:space="preserve"> convicted and sentenced to death despite</w:t>
      </w:r>
      <w:r w:rsidR="00B16FF4" w:rsidRPr="007D0545">
        <w:rPr>
          <w:rFonts w:asciiTheme="majorHAnsi" w:eastAsia="Arial Unicode MS" w:hAnsiTheme="majorHAnsi"/>
          <w:sz w:val="20"/>
          <w:szCs w:val="20"/>
        </w:rPr>
        <w:t xml:space="preserve"> available information regarding his mental condition</w:t>
      </w:r>
      <w:r w:rsidR="00053172" w:rsidRPr="007D0545">
        <w:rPr>
          <w:rFonts w:asciiTheme="majorHAnsi" w:eastAsia="Arial Unicode MS" w:hAnsiTheme="majorHAnsi"/>
          <w:sz w:val="20"/>
          <w:szCs w:val="20"/>
        </w:rPr>
        <w:t xml:space="preserve">. </w:t>
      </w:r>
      <w:r w:rsidR="00EC0BA4" w:rsidRPr="007D0545">
        <w:rPr>
          <w:rFonts w:eastAsia="Times New Roman"/>
          <w:bCs/>
          <w:sz w:val="20"/>
          <w:szCs w:val="20"/>
          <w:bdr w:val="none" w:sz="0" w:space="0" w:color="auto"/>
        </w:rPr>
        <w:t>Based on the above considerations</w:t>
      </w:r>
      <w:r w:rsidR="00B316A7" w:rsidRPr="007D0545">
        <w:rPr>
          <w:rFonts w:eastAsia="Times New Roman"/>
          <w:bCs/>
          <w:sz w:val="20"/>
          <w:szCs w:val="20"/>
          <w:bdr w:val="none" w:sz="0" w:space="0" w:color="auto"/>
        </w:rPr>
        <w:t xml:space="preserve">, </w:t>
      </w:r>
      <w:r w:rsidR="00EC0BA4" w:rsidRPr="007D0545">
        <w:rPr>
          <w:rFonts w:eastAsia="Times New Roman"/>
          <w:bCs/>
          <w:sz w:val="20"/>
          <w:szCs w:val="20"/>
          <w:bdr w:val="none" w:sz="0" w:space="0" w:color="auto"/>
        </w:rPr>
        <w:t>the available information,</w:t>
      </w:r>
      <w:r w:rsidR="00B316A7" w:rsidRPr="007D0545">
        <w:rPr>
          <w:rFonts w:eastAsia="Times New Roman"/>
          <w:bCs/>
          <w:sz w:val="20"/>
          <w:szCs w:val="20"/>
          <w:bdr w:val="none" w:sz="0" w:space="0" w:color="auto"/>
        </w:rPr>
        <w:t xml:space="preserve"> </w:t>
      </w:r>
      <w:r w:rsidR="00B316A7" w:rsidRPr="007D0545">
        <w:rPr>
          <w:rFonts w:eastAsia="Times New Roman"/>
          <w:sz w:val="20"/>
          <w:szCs w:val="20"/>
          <w:bdr w:val="none" w:sz="0" w:space="0" w:color="auto"/>
        </w:rPr>
        <w:t xml:space="preserve">and given the heightened </w:t>
      </w:r>
      <w:r w:rsidR="00B316A7" w:rsidRPr="007D0545">
        <w:rPr>
          <w:rFonts w:eastAsia="Times New Roman"/>
          <w:sz w:val="20"/>
          <w:szCs w:val="20"/>
          <w:bdr w:val="none" w:sz="0" w:space="0" w:color="auto"/>
        </w:rPr>
        <w:lastRenderedPageBreak/>
        <w:t>degree of scrutiny that it has applied in death penalty cases,</w:t>
      </w:r>
      <w:r w:rsidR="00EC0BA4" w:rsidRPr="007D0545">
        <w:rPr>
          <w:rFonts w:eastAsia="Times New Roman"/>
          <w:bCs/>
          <w:sz w:val="20"/>
          <w:szCs w:val="20"/>
          <w:bdr w:val="none" w:sz="0" w:space="0" w:color="auto"/>
        </w:rPr>
        <w:t xml:space="preserve"> </w:t>
      </w:r>
      <w:r w:rsidR="00773C5A" w:rsidRPr="007D0545">
        <w:rPr>
          <w:rFonts w:eastAsia="Times New Roman"/>
          <w:bCs/>
          <w:sz w:val="20"/>
          <w:szCs w:val="20"/>
          <w:bdr w:val="none" w:sz="0" w:space="0" w:color="auto"/>
        </w:rPr>
        <w:t>the IACHR concludes that the United States</w:t>
      </w:r>
      <w:r w:rsidR="00B316A7" w:rsidRPr="007D0545">
        <w:rPr>
          <w:rFonts w:eastAsia="Times New Roman"/>
          <w:bCs/>
          <w:sz w:val="20"/>
          <w:szCs w:val="20"/>
          <w:bdr w:val="none" w:sz="0" w:space="0" w:color="auto"/>
        </w:rPr>
        <w:t xml:space="preserve"> </w:t>
      </w:r>
      <w:r w:rsidR="00B316A7" w:rsidRPr="007D0545">
        <w:rPr>
          <w:rFonts w:eastAsia="Times New Roman"/>
          <w:sz w:val="20"/>
          <w:szCs w:val="20"/>
          <w:bdr w:val="none" w:sz="0" w:space="0" w:color="auto"/>
        </w:rPr>
        <w:t xml:space="preserve">violated Articles I and XXVI of the American Declaration to the detriment of Mr. </w:t>
      </w:r>
      <w:r w:rsidR="00B316A7" w:rsidRPr="007D0545">
        <w:rPr>
          <w:rFonts w:eastAsia="Times New Roman"/>
          <w:bCs/>
          <w:sz w:val="20"/>
          <w:szCs w:val="20"/>
          <w:bdr w:val="none" w:sz="0" w:space="0" w:color="auto"/>
        </w:rPr>
        <w:t>Sequoyah.</w:t>
      </w:r>
    </w:p>
    <w:p w14:paraId="6D9EF9D1" w14:textId="77777777" w:rsidR="00272DEF" w:rsidRPr="007D0545" w:rsidRDefault="006D2C28" w:rsidP="00390D19">
      <w:pPr>
        <w:pStyle w:val="Heading2"/>
        <w:numPr>
          <w:ilvl w:val="0"/>
          <w:numId w:val="59"/>
        </w:numPr>
        <w:ind w:left="1440" w:hanging="720"/>
        <w:rPr>
          <w:rFonts w:eastAsia="Arial Unicode MS"/>
          <w:color w:val="auto"/>
          <w:sz w:val="20"/>
          <w:szCs w:val="20"/>
        </w:rPr>
      </w:pPr>
      <w:bookmarkStart w:id="18" w:name="_Toc26556096"/>
      <w:r w:rsidRPr="007D0545">
        <w:rPr>
          <w:rFonts w:eastAsia="Arial Unicode MS"/>
          <w:color w:val="auto"/>
          <w:sz w:val="20"/>
          <w:szCs w:val="20"/>
        </w:rPr>
        <w:t>Right to be tried without undue delay</w:t>
      </w:r>
      <w:r w:rsidRPr="007D0545">
        <w:rPr>
          <w:rStyle w:val="FootnoteReference"/>
          <w:rFonts w:eastAsia="Arial Unicode MS"/>
          <w:b w:val="0"/>
          <w:color w:val="auto"/>
          <w:sz w:val="20"/>
          <w:szCs w:val="20"/>
        </w:rPr>
        <w:footnoteReference w:id="66"/>
      </w:r>
      <w:bookmarkEnd w:id="18"/>
    </w:p>
    <w:p w14:paraId="06E2BF7D" w14:textId="77777777" w:rsidR="00272DEF" w:rsidRPr="007D0545" w:rsidRDefault="00272DEF" w:rsidP="00272DEF">
      <w:pPr>
        <w:pStyle w:val="NormalWeb"/>
        <w:shd w:val="clear" w:color="auto" w:fill="FFFFFF"/>
        <w:spacing w:before="0" w:beforeAutospacing="0" w:after="0" w:afterAutospacing="0"/>
        <w:jc w:val="both"/>
        <w:rPr>
          <w:rFonts w:asciiTheme="majorHAnsi" w:eastAsia="Arial Unicode MS" w:hAnsiTheme="majorHAnsi"/>
          <w:b/>
          <w:sz w:val="20"/>
          <w:szCs w:val="20"/>
          <w:bdr w:val="nil"/>
        </w:rPr>
      </w:pPr>
    </w:p>
    <w:p w14:paraId="43D8DBED" w14:textId="77777777" w:rsidR="00B21064" w:rsidRPr="007D0545" w:rsidRDefault="00BF2939" w:rsidP="00390D19">
      <w:pPr>
        <w:pStyle w:val="Heading3"/>
        <w:numPr>
          <w:ilvl w:val="0"/>
          <w:numId w:val="62"/>
        </w:numPr>
        <w:spacing w:before="0"/>
        <w:ind w:left="1440" w:hanging="720"/>
        <w:rPr>
          <w:rFonts w:eastAsia="Arial Unicode MS"/>
          <w:color w:val="auto"/>
          <w:sz w:val="20"/>
          <w:szCs w:val="20"/>
        </w:rPr>
      </w:pPr>
      <w:bookmarkStart w:id="19" w:name="_Toc26556097"/>
      <w:r w:rsidRPr="007D0545">
        <w:rPr>
          <w:rFonts w:eastAsia="Arial Unicode MS"/>
          <w:color w:val="auto"/>
          <w:sz w:val="20"/>
          <w:szCs w:val="20"/>
        </w:rPr>
        <w:t>General considerations on the r</w:t>
      </w:r>
      <w:r w:rsidR="00B21064" w:rsidRPr="007D0545">
        <w:rPr>
          <w:rFonts w:eastAsia="Arial Unicode MS"/>
          <w:color w:val="auto"/>
          <w:sz w:val="20"/>
          <w:szCs w:val="20"/>
        </w:rPr>
        <w:t xml:space="preserve">ight </w:t>
      </w:r>
      <w:r w:rsidRPr="007D0545">
        <w:rPr>
          <w:rFonts w:eastAsia="Arial Unicode MS"/>
          <w:color w:val="auto"/>
          <w:sz w:val="20"/>
          <w:szCs w:val="20"/>
        </w:rPr>
        <w:t>to be tried without undue delay</w:t>
      </w:r>
      <w:bookmarkEnd w:id="19"/>
    </w:p>
    <w:p w14:paraId="7179F1CE" w14:textId="77777777" w:rsidR="00B21064" w:rsidRPr="007D0545" w:rsidRDefault="00B21064" w:rsidP="00B21064">
      <w:pPr>
        <w:pStyle w:val="Heading3"/>
        <w:spacing w:before="0"/>
        <w:ind w:left="1440" w:hanging="720"/>
        <w:rPr>
          <w:rFonts w:eastAsia="Arial Unicode MS"/>
          <w:color w:val="auto"/>
          <w:sz w:val="20"/>
          <w:szCs w:val="20"/>
        </w:rPr>
      </w:pPr>
    </w:p>
    <w:p w14:paraId="6E3E5C73" w14:textId="77777777" w:rsidR="004E3A16" w:rsidRPr="007D0545" w:rsidRDefault="0033161A" w:rsidP="0033161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sz w:val="20"/>
        </w:rPr>
        <w:t>According to the standards developed by the Inter-American human rights system, a remedy must be effective, i.e., it must provide results or responses consistent with the objectives that it was intended to serve, which is to avoid the consolidation of an unjust situation.</w:t>
      </w:r>
      <w:r w:rsidR="004C7257" w:rsidRPr="007D0545">
        <w:rPr>
          <w:sz w:val="20"/>
        </w:rPr>
        <w:t xml:space="preserve"> Also, the right of access to justice requires that the facts investigated in criminal proceedings be resolved within a reasonable period of time, since a prolonged delay may, in certain cases, constitute in itself a violation of j</w:t>
      </w:r>
      <w:r w:rsidR="004E3A16" w:rsidRPr="007D0545">
        <w:rPr>
          <w:sz w:val="20"/>
        </w:rPr>
        <w:t>udicial guarantees.</w:t>
      </w:r>
      <w:r w:rsidR="00D16299" w:rsidRPr="007D0545">
        <w:rPr>
          <w:rStyle w:val="FootnoteReference"/>
          <w:sz w:val="20"/>
        </w:rPr>
        <w:footnoteReference w:id="67"/>
      </w:r>
      <w:r w:rsidR="004E3A16" w:rsidRPr="007D0545">
        <w:rPr>
          <w:sz w:val="20"/>
        </w:rPr>
        <w:t xml:space="preserve"> </w:t>
      </w:r>
    </w:p>
    <w:p w14:paraId="696DA847" w14:textId="77777777" w:rsidR="00D11349" w:rsidRPr="007D0545" w:rsidRDefault="00D11349" w:rsidP="00D1134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rPr>
      </w:pPr>
    </w:p>
    <w:p w14:paraId="2EDD996A" w14:textId="77777777" w:rsidR="008A5A80" w:rsidRPr="007D0545" w:rsidRDefault="00D11349" w:rsidP="008A5A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bCs/>
          <w:sz w:val="20"/>
          <w:szCs w:val="20"/>
          <w:bdr w:val="none" w:sz="0" w:space="0" w:color="auto"/>
        </w:rPr>
        <w:t>The IACHR has also considered that the burden of proof ought to be on the State to justify the d</w:t>
      </w:r>
      <w:r w:rsidR="00264944" w:rsidRPr="007D0545">
        <w:rPr>
          <w:rFonts w:eastAsia="Times New Roman"/>
          <w:bCs/>
          <w:sz w:val="20"/>
          <w:szCs w:val="20"/>
          <w:bdr w:val="none" w:sz="0" w:space="0" w:color="auto"/>
        </w:rPr>
        <w:t xml:space="preserve">elay in light of the following </w:t>
      </w:r>
      <w:r w:rsidR="009C1615" w:rsidRPr="007D0545">
        <w:rPr>
          <w:rFonts w:eastAsia="Times New Roman"/>
          <w:bCs/>
          <w:sz w:val="20"/>
          <w:szCs w:val="20"/>
          <w:bdr w:val="none" w:sz="0" w:space="0" w:color="auto"/>
        </w:rPr>
        <w:t>elements</w:t>
      </w:r>
      <w:r w:rsidR="00264944" w:rsidRPr="007D0545">
        <w:rPr>
          <w:rFonts w:eastAsia="Times New Roman"/>
          <w:bCs/>
          <w:sz w:val="20"/>
          <w:szCs w:val="20"/>
          <w:bdr w:val="none" w:sz="0" w:space="0" w:color="auto"/>
        </w:rPr>
        <w:t>:</w:t>
      </w:r>
      <w:r w:rsidR="00866D7E" w:rsidRPr="007D0545">
        <w:rPr>
          <w:rFonts w:eastAsia="Times New Roman"/>
          <w:bCs/>
          <w:sz w:val="20"/>
          <w:szCs w:val="20"/>
          <w:bdr w:val="none" w:sz="0" w:space="0" w:color="auto"/>
        </w:rPr>
        <w:t xml:space="preserve"> a) the complexity of the matter; b) the procedural activity of the interested party; c) the conduct of the </w:t>
      </w:r>
      <w:r w:rsidR="0045524E" w:rsidRPr="007D0545">
        <w:rPr>
          <w:rFonts w:eastAsia="Times New Roman"/>
          <w:bCs/>
          <w:sz w:val="20"/>
          <w:szCs w:val="20"/>
          <w:bdr w:val="none" w:sz="0" w:space="0" w:color="auto"/>
        </w:rPr>
        <w:t xml:space="preserve">judicial </w:t>
      </w:r>
      <w:r w:rsidR="00866D7E" w:rsidRPr="007D0545">
        <w:rPr>
          <w:rFonts w:eastAsia="Times New Roman"/>
          <w:bCs/>
          <w:sz w:val="20"/>
          <w:szCs w:val="20"/>
          <w:bdr w:val="none" w:sz="0" w:space="0" w:color="auto"/>
        </w:rPr>
        <w:t xml:space="preserve">authorities; and d) the </w:t>
      </w:r>
      <w:r w:rsidR="00D37539" w:rsidRPr="007D0545">
        <w:rPr>
          <w:rFonts w:eastAsia="Times New Roman"/>
          <w:bCs/>
          <w:sz w:val="20"/>
          <w:szCs w:val="20"/>
          <w:bdr w:val="none" w:sz="0" w:space="0" w:color="auto"/>
        </w:rPr>
        <w:t>impact of</w:t>
      </w:r>
      <w:r w:rsidR="0059670F" w:rsidRPr="007D0545">
        <w:rPr>
          <w:rFonts w:eastAsia="Times New Roman"/>
          <w:bCs/>
          <w:sz w:val="20"/>
          <w:szCs w:val="20"/>
          <w:bdr w:val="none" w:sz="0" w:space="0" w:color="auto"/>
        </w:rPr>
        <w:t xml:space="preserve"> the legal situation </w:t>
      </w:r>
      <w:r w:rsidR="00D37539" w:rsidRPr="007D0545">
        <w:rPr>
          <w:rFonts w:eastAsia="Times New Roman"/>
          <w:bCs/>
          <w:sz w:val="20"/>
          <w:szCs w:val="20"/>
          <w:bdr w:val="none" w:sz="0" w:space="0" w:color="auto"/>
        </w:rPr>
        <w:t>on</w:t>
      </w:r>
      <w:r w:rsidR="0045524E" w:rsidRPr="007D0545">
        <w:rPr>
          <w:rFonts w:eastAsia="Times New Roman"/>
          <w:bCs/>
          <w:sz w:val="20"/>
          <w:szCs w:val="20"/>
          <w:bdr w:val="none" w:sz="0" w:space="0" w:color="auto"/>
        </w:rPr>
        <w:t xml:space="preserve"> </w:t>
      </w:r>
      <w:r w:rsidR="00866D7E" w:rsidRPr="007D0545">
        <w:rPr>
          <w:rFonts w:eastAsia="Times New Roman"/>
          <w:bCs/>
          <w:sz w:val="20"/>
          <w:szCs w:val="20"/>
          <w:bdr w:val="none" w:sz="0" w:space="0" w:color="auto"/>
        </w:rPr>
        <w:t>the person involved in the proce</w:t>
      </w:r>
      <w:r w:rsidR="0045524E" w:rsidRPr="007D0545">
        <w:rPr>
          <w:rFonts w:eastAsia="Times New Roman"/>
          <w:bCs/>
          <w:sz w:val="20"/>
          <w:szCs w:val="20"/>
          <w:bdr w:val="none" w:sz="0" w:space="0" w:color="auto"/>
        </w:rPr>
        <w:t>edings</w:t>
      </w:r>
      <w:r w:rsidR="00866D7E" w:rsidRPr="007D0545">
        <w:rPr>
          <w:rFonts w:eastAsia="Times New Roman"/>
          <w:bCs/>
          <w:sz w:val="20"/>
          <w:szCs w:val="20"/>
          <w:bdr w:val="none" w:sz="0" w:space="0" w:color="auto"/>
        </w:rPr>
        <w:t>.</w:t>
      </w:r>
      <w:r w:rsidR="0045524E" w:rsidRPr="007D0545">
        <w:rPr>
          <w:rStyle w:val="FootnoteReference"/>
          <w:rFonts w:eastAsia="Times New Roman"/>
          <w:bCs/>
          <w:sz w:val="20"/>
          <w:szCs w:val="20"/>
          <w:bdr w:val="none" w:sz="0" w:space="0" w:color="auto"/>
        </w:rPr>
        <w:footnoteReference w:id="68"/>
      </w:r>
      <w:r w:rsidR="00866D7E" w:rsidRPr="007D0545">
        <w:rPr>
          <w:rFonts w:eastAsia="Times New Roman"/>
          <w:bCs/>
          <w:sz w:val="20"/>
          <w:szCs w:val="20"/>
          <w:bdr w:val="none" w:sz="0" w:space="0" w:color="auto"/>
        </w:rPr>
        <w:t xml:space="preserve"> </w:t>
      </w:r>
    </w:p>
    <w:p w14:paraId="06534763" w14:textId="77777777" w:rsidR="008A5A80" w:rsidRPr="007D0545" w:rsidRDefault="008A5A80" w:rsidP="008A5A80">
      <w:pPr>
        <w:pStyle w:val="ListParagraph"/>
        <w:rPr>
          <w:sz w:val="20"/>
        </w:rPr>
      </w:pPr>
    </w:p>
    <w:p w14:paraId="43E64634" w14:textId="77777777" w:rsidR="00B21064" w:rsidRPr="007D0545" w:rsidRDefault="00B21064" w:rsidP="00390D19">
      <w:pPr>
        <w:pStyle w:val="Heading3"/>
        <w:numPr>
          <w:ilvl w:val="0"/>
          <w:numId w:val="62"/>
        </w:numPr>
        <w:spacing w:before="0"/>
        <w:ind w:left="1440" w:hanging="720"/>
        <w:rPr>
          <w:rFonts w:eastAsia="Arial Unicode MS"/>
          <w:color w:val="auto"/>
          <w:sz w:val="20"/>
          <w:szCs w:val="20"/>
        </w:rPr>
      </w:pPr>
      <w:bookmarkStart w:id="20" w:name="_Toc26556098"/>
      <w:r w:rsidRPr="007D0545">
        <w:rPr>
          <w:rFonts w:eastAsia="Arial Unicode MS"/>
          <w:color w:val="auto"/>
          <w:sz w:val="20"/>
          <w:szCs w:val="20"/>
        </w:rPr>
        <w:t>Analysis of the case</w:t>
      </w:r>
      <w:bookmarkEnd w:id="20"/>
    </w:p>
    <w:p w14:paraId="74201D4B" w14:textId="77777777" w:rsidR="00B21064" w:rsidRPr="007D0545" w:rsidRDefault="00B21064" w:rsidP="00272DEF">
      <w:pPr>
        <w:pStyle w:val="NormalWeb"/>
        <w:shd w:val="clear" w:color="auto" w:fill="FFFFFF"/>
        <w:spacing w:before="0" w:beforeAutospacing="0" w:after="0" w:afterAutospacing="0"/>
        <w:jc w:val="both"/>
        <w:rPr>
          <w:rFonts w:asciiTheme="majorHAnsi" w:eastAsia="Arial Unicode MS" w:hAnsiTheme="majorHAnsi"/>
          <w:b/>
          <w:sz w:val="20"/>
          <w:szCs w:val="20"/>
          <w:bdr w:val="nil"/>
        </w:rPr>
      </w:pPr>
    </w:p>
    <w:p w14:paraId="0F10AF60" w14:textId="77777777" w:rsidR="00B016EF" w:rsidRPr="007D0545" w:rsidRDefault="00D23785" w:rsidP="008A5A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sz w:val="20"/>
        </w:rPr>
        <w:t>In this section</w:t>
      </w:r>
      <w:r w:rsidR="00380B68" w:rsidRPr="007D0545">
        <w:rPr>
          <w:sz w:val="20"/>
        </w:rPr>
        <w:t>,</w:t>
      </w:r>
      <w:r w:rsidRPr="007D0545">
        <w:rPr>
          <w:sz w:val="20"/>
        </w:rPr>
        <w:t xml:space="preserve"> the IACHR will assess </w:t>
      </w:r>
      <w:r w:rsidR="00620B75" w:rsidRPr="007D0545">
        <w:rPr>
          <w:sz w:val="20"/>
        </w:rPr>
        <w:t xml:space="preserve">the four elements mentioned above in order to establish whether Mr. Sequoyah’s right to be tried without undue delay was respected. </w:t>
      </w:r>
    </w:p>
    <w:p w14:paraId="0E24A35C" w14:textId="77777777" w:rsidR="00B016EF" w:rsidRPr="007D0545" w:rsidRDefault="00B016EF" w:rsidP="00B016E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rPr>
      </w:pPr>
    </w:p>
    <w:p w14:paraId="2E9BBDB7" w14:textId="77777777" w:rsidR="00D23785" w:rsidRPr="007D0545" w:rsidRDefault="00B016EF" w:rsidP="008A5A8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sz w:val="20"/>
        </w:rPr>
        <w:t xml:space="preserve">According to the facts established in this report, </w:t>
      </w:r>
      <w:r w:rsidR="009B351F" w:rsidRPr="007D0545">
        <w:rPr>
          <w:sz w:val="20"/>
        </w:rPr>
        <w:t xml:space="preserve">Mr. Sequoyah was arrested in June 1986, </w:t>
      </w:r>
      <w:r w:rsidRPr="007D0545">
        <w:rPr>
          <w:sz w:val="20"/>
        </w:rPr>
        <w:t xml:space="preserve">and </w:t>
      </w:r>
      <w:r w:rsidR="004122AE" w:rsidRPr="007D0545">
        <w:rPr>
          <w:sz w:val="20"/>
        </w:rPr>
        <w:t>on May 6, 1991, he entered a plea of not guilty and the trial began. On November 1991</w:t>
      </w:r>
      <w:r w:rsidR="00380B68" w:rsidRPr="007D0545">
        <w:rPr>
          <w:sz w:val="20"/>
        </w:rPr>
        <w:t>,</w:t>
      </w:r>
      <w:r w:rsidR="004122AE" w:rsidRPr="007D0545">
        <w:rPr>
          <w:sz w:val="20"/>
        </w:rPr>
        <w:t xml:space="preserve"> Mr. Sequoyah was convicted and on March 2, </w:t>
      </w:r>
      <w:r w:rsidRPr="007D0545">
        <w:rPr>
          <w:sz w:val="20"/>
        </w:rPr>
        <w:t xml:space="preserve">1992 </w:t>
      </w:r>
      <w:r w:rsidR="004122AE" w:rsidRPr="007D0545">
        <w:rPr>
          <w:sz w:val="20"/>
        </w:rPr>
        <w:t>was sentenced to death. On December 1, 1995</w:t>
      </w:r>
      <w:r w:rsidR="00380B68" w:rsidRPr="007D0545">
        <w:rPr>
          <w:sz w:val="20"/>
        </w:rPr>
        <w:t>,</w:t>
      </w:r>
      <w:r w:rsidR="004122AE" w:rsidRPr="007D0545">
        <w:rPr>
          <w:sz w:val="20"/>
        </w:rPr>
        <w:t xml:space="preserve"> the Supreme Court of California appointed a State Public Defender to represent him on his automatic appeal.</w:t>
      </w:r>
      <w:r w:rsidR="0017348C" w:rsidRPr="007D0545">
        <w:rPr>
          <w:sz w:val="20"/>
        </w:rPr>
        <w:t xml:space="preserve"> </w:t>
      </w:r>
      <w:r w:rsidR="000B50C3" w:rsidRPr="007D0545">
        <w:rPr>
          <w:sz w:val="20"/>
        </w:rPr>
        <w:t xml:space="preserve">On December 11, 1997 </w:t>
      </w:r>
      <w:r w:rsidR="00FA1759" w:rsidRPr="007D0545">
        <w:rPr>
          <w:sz w:val="20"/>
        </w:rPr>
        <w:t xml:space="preserve">and February 6, 2001, </w:t>
      </w:r>
      <w:r w:rsidRPr="007D0545">
        <w:rPr>
          <w:sz w:val="20"/>
        </w:rPr>
        <w:t>defense counsel</w:t>
      </w:r>
      <w:r w:rsidR="000B50C3" w:rsidRPr="007D0545">
        <w:rPr>
          <w:sz w:val="20"/>
        </w:rPr>
        <w:t xml:space="preserve"> filed a request </w:t>
      </w:r>
      <w:r w:rsidR="00FA1759" w:rsidRPr="007D0545">
        <w:rPr>
          <w:sz w:val="20"/>
        </w:rPr>
        <w:t xml:space="preserve">and renewed request </w:t>
      </w:r>
      <w:r w:rsidR="000B50C3" w:rsidRPr="007D0545">
        <w:rPr>
          <w:sz w:val="20"/>
        </w:rPr>
        <w:t xml:space="preserve">for correction </w:t>
      </w:r>
      <w:r w:rsidR="00FA1759" w:rsidRPr="007D0545">
        <w:rPr>
          <w:sz w:val="20"/>
        </w:rPr>
        <w:t xml:space="preserve">of the Clerk’s </w:t>
      </w:r>
      <w:r w:rsidR="000B50C3" w:rsidRPr="007D0545">
        <w:rPr>
          <w:sz w:val="20"/>
        </w:rPr>
        <w:t>and Reporter’s transcripts</w:t>
      </w:r>
      <w:r w:rsidR="00FA1759" w:rsidRPr="007D0545">
        <w:rPr>
          <w:sz w:val="20"/>
        </w:rPr>
        <w:t>, respectively</w:t>
      </w:r>
      <w:r w:rsidR="000B50C3" w:rsidRPr="007D0545">
        <w:rPr>
          <w:sz w:val="20"/>
        </w:rPr>
        <w:t xml:space="preserve">. </w:t>
      </w:r>
      <w:r w:rsidRPr="007D0545">
        <w:rPr>
          <w:sz w:val="20"/>
        </w:rPr>
        <w:t>On August 9, 2002, defense counsel received three boxes full of additional and corrected record.</w:t>
      </w:r>
      <w:r w:rsidR="004122AE" w:rsidRPr="007D0545">
        <w:rPr>
          <w:sz w:val="20"/>
        </w:rPr>
        <w:t xml:space="preserve"> </w:t>
      </w:r>
      <w:r w:rsidR="00C957E5" w:rsidRPr="007D0545">
        <w:rPr>
          <w:rFonts w:eastAsia="Arial Unicode MS"/>
          <w:sz w:val="20"/>
          <w:szCs w:val="20"/>
        </w:rPr>
        <w:t xml:space="preserve">The final record on appeal was delivered in February 2007. </w:t>
      </w:r>
      <w:r w:rsidR="007F05E6" w:rsidRPr="007D0545">
        <w:rPr>
          <w:sz w:val="20"/>
        </w:rPr>
        <w:t xml:space="preserve">After </w:t>
      </w:r>
      <w:r w:rsidR="00C957E5" w:rsidRPr="007D0545">
        <w:rPr>
          <w:sz w:val="20"/>
        </w:rPr>
        <w:t>some</w:t>
      </w:r>
      <w:r w:rsidR="007F05E6" w:rsidRPr="007D0545">
        <w:rPr>
          <w:sz w:val="20"/>
        </w:rPr>
        <w:t xml:space="preserve"> requests of time extensions, </w:t>
      </w:r>
      <w:r w:rsidR="007561AD" w:rsidRPr="007D0545">
        <w:rPr>
          <w:sz w:val="20"/>
        </w:rPr>
        <w:t xml:space="preserve">the appellant’s opening brief was filed on October 25, 2012. </w:t>
      </w:r>
      <w:r w:rsidR="00F5694D" w:rsidRPr="007D0545">
        <w:rPr>
          <w:sz w:val="20"/>
        </w:rPr>
        <w:t xml:space="preserve">The parties did not inform the IACHR of the outcome of the appeal. However, according to publicly available information, </w:t>
      </w:r>
      <w:r w:rsidR="00FA7CCD" w:rsidRPr="007D0545">
        <w:rPr>
          <w:rFonts w:eastAsia="Arial Unicode MS"/>
          <w:sz w:val="20"/>
          <w:szCs w:val="20"/>
        </w:rPr>
        <w:t>on June 9, 2015, the 4</w:t>
      </w:r>
      <w:r w:rsidR="00FA7CCD" w:rsidRPr="007D0545">
        <w:rPr>
          <w:rFonts w:eastAsia="Arial Unicode MS"/>
          <w:sz w:val="20"/>
          <w:szCs w:val="20"/>
          <w:vertAlign w:val="superscript"/>
        </w:rPr>
        <w:t>th</w:t>
      </w:r>
      <w:r w:rsidR="00FA7CCD" w:rsidRPr="007D0545">
        <w:rPr>
          <w:rFonts w:eastAsia="Arial Unicode MS"/>
          <w:sz w:val="20"/>
          <w:szCs w:val="20"/>
        </w:rPr>
        <w:t xml:space="preserve"> District Court of Appeal denied a petition for writ of mandate and request for stay</w:t>
      </w:r>
      <w:r w:rsidR="00380B68" w:rsidRPr="007D0545">
        <w:rPr>
          <w:rFonts w:eastAsia="Arial Unicode MS"/>
          <w:sz w:val="20"/>
          <w:szCs w:val="20"/>
        </w:rPr>
        <w:t>,</w:t>
      </w:r>
      <w:r w:rsidR="00FA7CCD" w:rsidRPr="007D0545">
        <w:rPr>
          <w:rFonts w:eastAsia="Arial Unicode MS"/>
          <w:sz w:val="20"/>
          <w:szCs w:val="20"/>
        </w:rPr>
        <w:t xml:space="preserve"> and a petition for review was denied by the Supreme Court of California on August 12, 2015. A petition filed with the Supreme Court of California on February 22, 2016 appears to be pending a decision.</w:t>
      </w:r>
    </w:p>
    <w:p w14:paraId="27C9DF49" w14:textId="77777777" w:rsidR="009C1615" w:rsidRPr="007D0545" w:rsidRDefault="009C1615" w:rsidP="009C161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rPr>
      </w:pPr>
    </w:p>
    <w:p w14:paraId="0687CA24" w14:textId="77777777" w:rsidR="00D23785" w:rsidRPr="007D0545" w:rsidRDefault="009C1615" w:rsidP="00D2378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sz w:val="20"/>
        </w:rPr>
        <w:t xml:space="preserve">With regard to the first element, the criteria to determine the complexity of the case include </w:t>
      </w:r>
      <w:r w:rsidR="003B2C86" w:rsidRPr="007D0545">
        <w:rPr>
          <w:sz w:val="20"/>
        </w:rPr>
        <w:t>the complexity of the evidence; the plurality of subjects in the proceedings or the number of victims; the time elapsed since the facts; the characteristics of the remedies provided for in domestic legislation; and the context in which the facts occurred.</w:t>
      </w:r>
      <w:r w:rsidRPr="007D0545">
        <w:rPr>
          <w:sz w:val="20"/>
        </w:rPr>
        <w:t xml:space="preserve"> </w:t>
      </w:r>
      <w:r w:rsidR="003B2C86" w:rsidRPr="007D0545">
        <w:rPr>
          <w:sz w:val="20"/>
        </w:rPr>
        <w:t>The IACHR observes that</w:t>
      </w:r>
      <w:r w:rsidR="00F37481" w:rsidRPr="007D0545">
        <w:rPr>
          <w:sz w:val="20"/>
        </w:rPr>
        <w:t xml:space="preserve"> Mr. Sequoyah was the only person charged and </w:t>
      </w:r>
      <w:r w:rsidR="003C7061" w:rsidRPr="007D0545">
        <w:rPr>
          <w:sz w:val="20"/>
        </w:rPr>
        <w:t>convicted</w:t>
      </w:r>
      <w:r w:rsidR="00F37481" w:rsidRPr="007D0545">
        <w:rPr>
          <w:sz w:val="20"/>
        </w:rPr>
        <w:t xml:space="preserve"> i</w:t>
      </w:r>
      <w:r w:rsidR="00555A6E" w:rsidRPr="007D0545">
        <w:rPr>
          <w:sz w:val="20"/>
        </w:rPr>
        <w:t xml:space="preserve">n the criminal proceedings, </w:t>
      </w:r>
      <w:r w:rsidR="00F37481" w:rsidRPr="007D0545">
        <w:rPr>
          <w:sz w:val="20"/>
        </w:rPr>
        <w:t xml:space="preserve">that the </w:t>
      </w:r>
      <w:r w:rsidR="003C7061" w:rsidRPr="007D0545">
        <w:rPr>
          <w:sz w:val="20"/>
        </w:rPr>
        <w:t xml:space="preserve">crimes for which he was convicted and sentenced, according to publicly available information, </w:t>
      </w:r>
      <w:r w:rsidR="009B351F" w:rsidRPr="007D0545">
        <w:rPr>
          <w:sz w:val="20"/>
        </w:rPr>
        <w:t xml:space="preserve">occurred </w:t>
      </w:r>
      <w:r w:rsidR="00555A6E" w:rsidRPr="007D0545">
        <w:rPr>
          <w:sz w:val="20"/>
        </w:rPr>
        <w:t xml:space="preserve">just months before </w:t>
      </w:r>
      <w:r w:rsidR="00A438C4" w:rsidRPr="007D0545">
        <w:rPr>
          <w:sz w:val="20"/>
        </w:rPr>
        <w:t>the</w:t>
      </w:r>
      <w:r w:rsidR="009B351F" w:rsidRPr="007D0545">
        <w:rPr>
          <w:sz w:val="20"/>
        </w:rPr>
        <w:t xml:space="preserve"> arrest and </w:t>
      </w:r>
      <w:r w:rsidR="003C7061" w:rsidRPr="007D0545">
        <w:rPr>
          <w:sz w:val="20"/>
        </w:rPr>
        <w:t xml:space="preserve">involved the death of three persons in two different incidents. </w:t>
      </w:r>
      <w:r w:rsidR="00D677D5" w:rsidRPr="007D0545">
        <w:rPr>
          <w:sz w:val="20"/>
        </w:rPr>
        <w:t xml:space="preserve">The State </w:t>
      </w:r>
      <w:r w:rsidR="009B351F" w:rsidRPr="007D0545">
        <w:rPr>
          <w:sz w:val="20"/>
        </w:rPr>
        <w:t>does not refer to the existence of some kind of complexity related to the case or the evidence. Therefore, the</w:t>
      </w:r>
      <w:r w:rsidR="00A438C4" w:rsidRPr="007D0545">
        <w:rPr>
          <w:sz w:val="20"/>
        </w:rPr>
        <w:t xml:space="preserve">re are no elements to conclude that the </w:t>
      </w:r>
      <w:r w:rsidR="00B55E95" w:rsidRPr="007D0545">
        <w:rPr>
          <w:sz w:val="20"/>
        </w:rPr>
        <w:t xml:space="preserve">delay in the proceedings was due to the </w:t>
      </w:r>
      <w:r w:rsidR="00A438C4" w:rsidRPr="007D0545">
        <w:rPr>
          <w:sz w:val="20"/>
        </w:rPr>
        <w:t>complexity of the matter</w:t>
      </w:r>
      <w:r w:rsidR="00B55E95" w:rsidRPr="007D0545">
        <w:rPr>
          <w:sz w:val="20"/>
        </w:rPr>
        <w:t>.</w:t>
      </w:r>
    </w:p>
    <w:p w14:paraId="226279A8" w14:textId="77777777" w:rsidR="00B55E95" w:rsidRPr="007D0545" w:rsidRDefault="00B55E95" w:rsidP="00B55E95">
      <w:pPr>
        <w:pStyle w:val="ListParagraph"/>
        <w:rPr>
          <w:rFonts w:eastAsia="Times New Roman"/>
          <w:bCs/>
          <w:sz w:val="20"/>
          <w:szCs w:val="20"/>
          <w:bdr w:val="none" w:sz="0" w:space="0" w:color="auto"/>
        </w:rPr>
      </w:pPr>
    </w:p>
    <w:p w14:paraId="36E1ECD0" w14:textId="77777777" w:rsidR="007B6C22" w:rsidRPr="007D0545" w:rsidRDefault="0022169F" w:rsidP="00D375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bCs/>
          <w:sz w:val="20"/>
          <w:szCs w:val="20"/>
          <w:bdr w:val="none" w:sz="0" w:space="0" w:color="auto"/>
        </w:rPr>
        <w:lastRenderedPageBreak/>
        <w:t>Regarding the procedural activity of the defense</w:t>
      </w:r>
      <w:r w:rsidR="00085F60" w:rsidRPr="007D0545">
        <w:rPr>
          <w:rFonts w:eastAsia="Times New Roman"/>
          <w:bCs/>
          <w:sz w:val="20"/>
          <w:szCs w:val="20"/>
          <w:bdr w:val="none" w:sz="0" w:space="0" w:color="auto"/>
        </w:rPr>
        <w:t xml:space="preserve"> and the conduct of the judicial authorities</w:t>
      </w:r>
      <w:r w:rsidR="00D37539" w:rsidRPr="007D0545">
        <w:rPr>
          <w:rFonts w:eastAsia="Times New Roman"/>
          <w:bCs/>
          <w:sz w:val="20"/>
          <w:szCs w:val="20"/>
          <w:bdr w:val="none" w:sz="0" w:space="0" w:color="auto"/>
        </w:rPr>
        <w:t xml:space="preserve"> (second and third elements)</w:t>
      </w:r>
      <w:r w:rsidRPr="007D0545">
        <w:rPr>
          <w:rFonts w:eastAsia="Times New Roman"/>
          <w:bCs/>
          <w:sz w:val="20"/>
          <w:szCs w:val="20"/>
          <w:bdr w:val="none" w:sz="0" w:space="0" w:color="auto"/>
        </w:rPr>
        <w:t xml:space="preserve">, the IACHR notes that </w:t>
      </w:r>
      <w:r w:rsidR="00D37539" w:rsidRPr="007D0545">
        <w:rPr>
          <w:rFonts w:eastAsia="Times New Roman"/>
          <w:bCs/>
          <w:sz w:val="20"/>
          <w:szCs w:val="20"/>
          <w:bdr w:val="none" w:sz="0" w:space="0" w:color="auto"/>
        </w:rPr>
        <w:t>Mr. Sequoyah was sentenced to death on March 2, 1992, and th</w:t>
      </w:r>
      <w:r w:rsidR="00380B68" w:rsidRPr="007D0545">
        <w:rPr>
          <w:rFonts w:eastAsia="Times New Roman"/>
          <w:bCs/>
          <w:sz w:val="20"/>
          <w:szCs w:val="20"/>
          <w:bdr w:val="none" w:sz="0" w:space="0" w:color="auto"/>
        </w:rPr>
        <w:t>at</w:t>
      </w:r>
      <w:r w:rsidR="00D37539" w:rsidRPr="007D0545">
        <w:rPr>
          <w:rFonts w:eastAsia="Times New Roman"/>
          <w:bCs/>
          <w:sz w:val="20"/>
          <w:szCs w:val="20"/>
          <w:bdr w:val="none" w:sz="0" w:space="0" w:color="auto"/>
        </w:rPr>
        <w:t xml:space="preserve"> appellate defense counsel was </w:t>
      </w:r>
      <w:r w:rsidR="00D6144B" w:rsidRPr="007D0545">
        <w:rPr>
          <w:rFonts w:eastAsia="Times New Roman"/>
          <w:bCs/>
          <w:sz w:val="20"/>
          <w:szCs w:val="20"/>
          <w:bdr w:val="none" w:sz="0" w:space="0" w:color="auto"/>
        </w:rPr>
        <w:t xml:space="preserve">only </w:t>
      </w:r>
      <w:r w:rsidR="00D37539" w:rsidRPr="007D0545">
        <w:rPr>
          <w:rFonts w:eastAsia="Times New Roman"/>
          <w:bCs/>
          <w:sz w:val="20"/>
          <w:szCs w:val="20"/>
          <w:bdr w:val="none" w:sz="0" w:space="0" w:color="auto"/>
        </w:rPr>
        <w:t xml:space="preserve">appointed by the court on December 1, 1995. Therefore, Mr. Sequoyah </w:t>
      </w:r>
      <w:r w:rsidR="00D6144B" w:rsidRPr="007D0545">
        <w:rPr>
          <w:rFonts w:eastAsia="Times New Roman"/>
          <w:bCs/>
          <w:sz w:val="20"/>
          <w:szCs w:val="20"/>
          <w:bdr w:val="none" w:sz="0" w:space="0" w:color="auto"/>
        </w:rPr>
        <w:t>spent</w:t>
      </w:r>
      <w:r w:rsidR="00D37539" w:rsidRPr="007D0545">
        <w:rPr>
          <w:rFonts w:eastAsia="Times New Roman"/>
          <w:bCs/>
          <w:sz w:val="20"/>
          <w:szCs w:val="20"/>
          <w:bdr w:val="none" w:sz="0" w:space="0" w:color="auto"/>
        </w:rPr>
        <w:t xml:space="preserve"> three years and nine months on death row without legal representation to file an appeal</w:t>
      </w:r>
      <w:r w:rsidR="00D6144B" w:rsidRPr="007D0545">
        <w:rPr>
          <w:rFonts w:eastAsia="Times New Roman"/>
          <w:bCs/>
          <w:sz w:val="20"/>
          <w:szCs w:val="20"/>
          <w:bdr w:val="none" w:sz="0" w:space="0" w:color="auto"/>
        </w:rPr>
        <w:t xml:space="preserve"> of his conviction and sentence</w:t>
      </w:r>
      <w:r w:rsidR="00D37539" w:rsidRPr="007D0545">
        <w:rPr>
          <w:rFonts w:eastAsia="Times New Roman"/>
          <w:bCs/>
          <w:sz w:val="20"/>
          <w:szCs w:val="20"/>
          <w:bdr w:val="none" w:sz="0" w:space="0" w:color="auto"/>
        </w:rPr>
        <w:t xml:space="preserve">. </w:t>
      </w:r>
      <w:r w:rsidR="00A40463" w:rsidRPr="007D0545">
        <w:rPr>
          <w:sz w:val="20"/>
        </w:rPr>
        <w:t xml:space="preserve">The State has provided no justification for this extensive delay. </w:t>
      </w:r>
      <w:r w:rsidR="00D37539" w:rsidRPr="007D0545">
        <w:rPr>
          <w:rFonts w:eastAsia="Times New Roman"/>
          <w:bCs/>
          <w:sz w:val="20"/>
          <w:szCs w:val="20"/>
          <w:bdr w:val="none" w:sz="0" w:space="0" w:color="auto"/>
        </w:rPr>
        <w:t xml:space="preserve">The IACHR finds that this </w:t>
      </w:r>
      <w:r w:rsidR="00D6144B" w:rsidRPr="007D0545">
        <w:rPr>
          <w:rFonts w:eastAsia="Times New Roman"/>
          <w:bCs/>
          <w:sz w:val="20"/>
          <w:szCs w:val="20"/>
          <w:bdr w:val="none" w:sz="0" w:space="0" w:color="auto"/>
        </w:rPr>
        <w:t>constitutes a grossly unreasonable delay</w:t>
      </w:r>
      <w:r w:rsidR="000A584B" w:rsidRPr="007D0545">
        <w:rPr>
          <w:rFonts w:eastAsia="Times New Roman"/>
          <w:bCs/>
          <w:sz w:val="20"/>
          <w:szCs w:val="20"/>
          <w:bdr w:val="none" w:sz="0" w:space="0" w:color="auto"/>
        </w:rPr>
        <w:t xml:space="preserve"> and </w:t>
      </w:r>
      <w:r w:rsidR="00DE0266" w:rsidRPr="007D0545">
        <w:rPr>
          <w:rFonts w:eastAsia="Times New Roman"/>
          <w:bCs/>
          <w:sz w:val="20"/>
          <w:szCs w:val="20"/>
          <w:bdr w:val="none" w:sz="0" w:space="0" w:color="auto"/>
        </w:rPr>
        <w:t xml:space="preserve">also </w:t>
      </w:r>
      <w:r w:rsidR="000A584B" w:rsidRPr="007D0545">
        <w:rPr>
          <w:rFonts w:eastAsia="Times New Roman"/>
          <w:bCs/>
          <w:sz w:val="20"/>
          <w:szCs w:val="20"/>
          <w:bdr w:val="none" w:sz="0" w:space="0" w:color="auto"/>
        </w:rPr>
        <w:t>a violation of the right to counsel throughout this critical</w:t>
      </w:r>
      <w:r w:rsidR="00DE0266" w:rsidRPr="007D0545">
        <w:rPr>
          <w:rFonts w:eastAsia="Times New Roman"/>
          <w:bCs/>
          <w:sz w:val="20"/>
          <w:szCs w:val="20"/>
          <w:bdr w:val="none" w:sz="0" w:space="0" w:color="auto"/>
        </w:rPr>
        <w:t xml:space="preserve"> stage</w:t>
      </w:r>
      <w:r w:rsidR="000A584B" w:rsidRPr="007D0545">
        <w:rPr>
          <w:rFonts w:eastAsia="Times New Roman"/>
          <w:bCs/>
          <w:sz w:val="20"/>
          <w:szCs w:val="20"/>
          <w:bdr w:val="none" w:sz="0" w:space="0" w:color="auto"/>
        </w:rPr>
        <w:t xml:space="preserve"> </w:t>
      </w:r>
      <w:r w:rsidR="00DE0266" w:rsidRPr="007D0545">
        <w:rPr>
          <w:rFonts w:eastAsia="Times New Roman"/>
          <w:bCs/>
          <w:sz w:val="20"/>
          <w:szCs w:val="20"/>
          <w:bdr w:val="none" w:sz="0" w:space="0" w:color="auto"/>
        </w:rPr>
        <w:t>in the appellate proceedings</w:t>
      </w:r>
      <w:r w:rsidR="00D6144B" w:rsidRPr="007D0545">
        <w:rPr>
          <w:rFonts w:eastAsia="Times New Roman"/>
          <w:bCs/>
          <w:sz w:val="20"/>
          <w:szCs w:val="20"/>
          <w:bdr w:val="none" w:sz="0" w:space="0" w:color="auto"/>
        </w:rPr>
        <w:t xml:space="preserve">. </w:t>
      </w:r>
      <w:r w:rsidR="00223245" w:rsidRPr="007D0545">
        <w:rPr>
          <w:rFonts w:eastAsia="Times New Roman"/>
          <w:bCs/>
          <w:sz w:val="20"/>
          <w:szCs w:val="20"/>
          <w:bdr w:val="none" w:sz="0" w:space="0" w:color="auto"/>
        </w:rPr>
        <w:t xml:space="preserve"> </w:t>
      </w:r>
    </w:p>
    <w:p w14:paraId="1446A5AE" w14:textId="77777777" w:rsidR="007B6C22" w:rsidRPr="007D0545" w:rsidRDefault="007B6C22" w:rsidP="007B6C22">
      <w:pPr>
        <w:pStyle w:val="ListParagraph"/>
        <w:rPr>
          <w:sz w:val="20"/>
        </w:rPr>
      </w:pPr>
    </w:p>
    <w:p w14:paraId="754ECDF0" w14:textId="77777777" w:rsidR="008560E1" w:rsidRPr="007D0545" w:rsidRDefault="007B6C22" w:rsidP="00D375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sz w:val="20"/>
        </w:rPr>
        <w:t>T</w:t>
      </w:r>
      <w:r w:rsidR="00AF3344" w:rsidRPr="007D0545">
        <w:rPr>
          <w:sz w:val="20"/>
        </w:rPr>
        <w:t>he</w:t>
      </w:r>
      <w:r w:rsidRPr="007D0545">
        <w:rPr>
          <w:sz w:val="20"/>
        </w:rPr>
        <w:t xml:space="preserve"> Commission also notes that the</w:t>
      </w:r>
      <w:r w:rsidR="00AF3344" w:rsidRPr="007D0545">
        <w:rPr>
          <w:sz w:val="20"/>
        </w:rPr>
        <w:t xml:space="preserve"> appellant’s opening brief was filed </w:t>
      </w:r>
      <w:r w:rsidR="000A7A76" w:rsidRPr="007D0545">
        <w:rPr>
          <w:rFonts w:eastAsia="Times New Roman"/>
          <w:bCs/>
          <w:sz w:val="20"/>
          <w:szCs w:val="20"/>
          <w:bdr w:val="none" w:sz="0" w:space="0" w:color="auto"/>
        </w:rPr>
        <w:t>five</w:t>
      </w:r>
      <w:r w:rsidR="00973E1D" w:rsidRPr="007D0545">
        <w:rPr>
          <w:rFonts w:eastAsia="Times New Roman"/>
          <w:bCs/>
          <w:sz w:val="20"/>
          <w:szCs w:val="20"/>
          <w:bdr w:val="none" w:sz="0" w:space="0" w:color="auto"/>
        </w:rPr>
        <w:t xml:space="preserve"> years </w:t>
      </w:r>
      <w:r w:rsidR="000A7A76" w:rsidRPr="007D0545">
        <w:rPr>
          <w:rFonts w:eastAsia="Times New Roman"/>
          <w:bCs/>
          <w:sz w:val="20"/>
          <w:szCs w:val="20"/>
          <w:bdr w:val="none" w:sz="0" w:space="0" w:color="auto"/>
        </w:rPr>
        <w:t xml:space="preserve">and eight months </w:t>
      </w:r>
      <w:r w:rsidR="00973E1D" w:rsidRPr="007D0545">
        <w:rPr>
          <w:rFonts w:eastAsia="Times New Roman"/>
          <w:bCs/>
          <w:sz w:val="20"/>
          <w:szCs w:val="20"/>
          <w:bdr w:val="none" w:sz="0" w:space="0" w:color="auto"/>
        </w:rPr>
        <w:t>after defense counsel received the additional and corrected record. In this regard, t</w:t>
      </w:r>
      <w:r w:rsidR="008560E1" w:rsidRPr="007D0545">
        <w:rPr>
          <w:rFonts w:eastAsia="Times New Roman"/>
          <w:bCs/>
          <w:sz w:val="20"/>
          <w:szCs w:val="20"/>
          <w:bdr w:val="none" w:sz="0" w:space="0" w:color="auto"/>
        </w:rPr>
        <w:t>he State submits that</w:t>
      </w:r>
      <w:r w:rsidR="00AF3344" w:rsidRPr="007D0545">
        <w:rPr>
          <w:rFonts w:eastAsia="Times New Roman"/>
          <w:bCs/>
          <w:sz w:val="20"/>
          <w:szCs w:val="20"/>
          <w:bdr w:val="none" w:sz="0" w:space="0" w:color="auto"/>
        </w:rPr>
        <w:t xml:space="preserve">, given the many extensions of time requested </w:t>
      </w:r>
      <w:r w:rsidR="007E13CE" w:rsidRPr="007D0545">
        <w:rPr>
          <w:rFonts w:eastAsia="Times New Roman"/>
          <w:bCs/>
          <w:sz w:val="20"/>
          <w:szCs w:val="20"/>
          <w:bdr w:val="none" w:sz="0" w:space="0" w:color="auto"/>
        </w:rPr>
        <w:t xml:space="preserve">by the defense </w:t>
      </w:r>
      <w:r w:rsidR="00AF3344" w:rsidRPr="007D0545">
        <w:rPr>
          <w:rFonts w:eastAsia="Times New Roman"/>
          <w:bCs/>
          <w:sz w:val="20"/>
          <w:szCs w:val="20"/>
          <w:bdr w:val="none" w:sz="0" w:space="0" w:color="auto"/>
        </w:rPr>
        <w:t>to file the appellate brief, Mr. S</w:t>
      </w:r>
      <w:r w:rsidR="007E13CE" w:rsidRPr="007D0545">
        <w:rPr>
          <w:rFonts w:eastAsia="Times New Roman"/>
          <w:bCs/>
          <w:sz w:val="20"/>
          <w:szCs w:val="20"/>
          <w:bdr w:val="none" w:sz="0" w:space="0" w:color="auto"/>
        </w:rPr>
        <w:t xml:space="preserve">equoyah cannot now claim </w:t>
      </w:r>
      <w:r w:rsidR="00AF3344" w:rsidRPr="007D0545">
        <w:rPr>
          <w:rFonts w:eastAsia="Times New Roman"/>
          <w:bCs/>
          <w:sz w:val="20"/>
          <w:szCs w:val="20"/>
          <w:bdr w:val="none" w:sz="0" w:space="0" w:color="auto"/>
        </w:rPr>
        <w:t xml:space="preserve">undue delay. </w:t>
      </w:r>
      <w:r w:rsidR="002F503E" w:rsidRPr="007D0545">
        <w:rPr>
          <w:rFonts w:eastAsia="Times New Roman"/>
          <w:bCs/>
          <w:sz w:val="20"/>
          <w:szCs w:val="20"/>
          <w:bdr w:val="none" w:sz="0" w:space="0" w:color="auto"/>
        </w:rPr>
        <w:t xml:space="preserve">The IACHR must then analyze the reasons for the delay in the </w:t>
      </w:r>
      <w:r w:rsidR="007E13CE" w:rsidRPr="007D0545">
        <w:rPr>
          <w:rFonts w:eastAsia="Times New Roman"/>
          <w:bCs/>
          <w:sz w:val="20"/>
          <w:szCs w:val="20"/>
          <w:bdr w:val="none" w:sz="0" w:space="0" w:color="auto"/>
        </w:rPr>
        <w:t>filing</w:t>
      </w:r>
      <w:r w:rsidR="002F503E" w:rsidRPr="007D0545">
        <w:rPr>
          <w:rFonts w:eastAsia="Times New Roman"/>
          <w:bCs/>
          <w:sz w:val="20"/>
          <w:szCs w:val="20"/>
          <w:bdr w:val="none" w:sz="0" w:space="0" w:color="auto"/>
        </w:rPr>
        <w:t xml:space="preserve"> of the appellant’s brief and whether they were attributable to the defense or to the State.</w:t>
      </w:r>
    </w:p>
    <w:p w14:paraId="6B3F6632" w14:textId="77777777" w:rsidR="00C77013" w:rsidRPr="007D0545" w:rsidRDefault="00C77013" w:rsidP="00C77013">
      <w:pPr>
        <w:pStyle w:val="ListParagraph"/>
        <w:rPr>
          <w:rFonts w:eastAsia="Times New Roman"/>
          <w:bCs/>
          <w:sz w:val="20"/>
          <w:szCs w:val="20"/>
          <w:bdr w:val="none" w:sz="0" w:space="0" w:color="auto"/>
        </w:rPr>
      </w:pPr>
    </w:p>
    <w:p w14:paraId="7A408FA9" w14:textId="77777777" w:rsidR="00C77013" w:rsidRPr="007D0545" w:rsidRDefault="00FD746F" w:rsidP="00D2378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bCs/>
          <w:sz w:val="20"/>
          <w:szCs w:val="20"/>
          <w:bdr w:val="none" w:sz="0" w:space="0" w:color="auto"/>
        </w:rPr>
        <w:t xml:space="preserve">The </w:t>
      </w:r>
      <w:r w:rsidR="00140921" w:rsidRPr="007D0545">
        <w:rPr>
          <w:rFonts w:eastAsia="Times New Roman"/>
          <w:bCs/>
          <w:sz w:val="20"/>
          <w:szCs w:val="20"/>
          <w:bdr w:val="none" w:sz="0" w:space="0" w:color="auto"/>
        </w:rPr>
        <w:t>IACHR</w:t>
      </w:r>
      <w:r w:rsidRPr="007D0545">
        <w:rPr>
          <w:rFonts w:eastAsia="Times New Roman"/>
          <w:bCs/>
          <w:sz w:val="20"/>
          <w:szCs w:val="20"/>
          <w:bdr w:val="none" w:sz="0" w:space="0" w:color="auto"/>
        </w:rPr>
        <w:t xml:space="preserve"> notes in this regard that, as stated by defense counsel in the request for correction of transcripts, a reviewing court </w:t>
      </w:r>
      <w:r w:rsidR="00306D2A" w:rsidRPr="007D0545">
        <w:rPr>
          <w:rFonts w:eastAsia="Times New Roman"/>
          <w:bCs/>
          <w:sz w:val="20"/>
          <w:szCs w:val="20"/>
          <w:bdr w:val="none" w:sz="0" w:space="0" w:color="auto"/>
        </w:rPr>
        <w:t>“</w:t>
      </w:r>
      <w:r w:rsidRPr="007D0545">
        <w:rPr>
          <w:rFonts w:eastAsia="Times New Roman"/>
          <w:bCs/>
          <w:sz w:val="20"/>
          <w:szCs w:val="20"/>
          <w:bdr w:val="none" w:sz="0" w:space="0" w:color="auto"/>
        </w:rPr>
        <w:t xml:space="preserve">relies on the </w:t>
      </w:r>
      <w:r w:rsidR="00A014DA" w:rsidRPr="007D0545">
        <w:rPr>
          <w:rFonts w:eastAsia="Times New Roman"/>
          <w:bCs/>
          <w:sz w:val="20"/>
          <w:szCs w:val="20"/>
          <w:bdr w:val="none" w:sz="0" w:space="0" w:color="auto"/>
        </w:rPr>
        <w:t xml:space="preserve">court </w:t>
      </w:r>
      <w:r w:rsidRPr="007D0545">
        <w:rPr>
          <w:rFonts w:eastAsia="Times New Roman"/>
          <w:bCs/>
          <w:sz w:val="20"/>
          <w:szCs w:val="20"/>
          <w:bdr w:val="none" w:sz="0" w:space="0" w:color="auto"/>
        </w:rPr>
        <w:t>record as certified and may not go behind the testimony as it appears in the certified transcripts.</w:t>
      </w:r>
      <w:r w:rsidR="00306D2A" w:rsidRPr="007D0545">
        <w:rPr>
          <w:rFonts w:eastAsia="Times New Roman"/>
          <w:bCs/>
          <w:sz w:val="20"/>
          <w:szCs w:val="20"/>
          <w:bdr w:val="none" w:sz="0" w:space="0" w:color="auto"/>
        </w:rPr>
        <w:t>”</w:t>
      </w:r>
      <w:r w:rsidRPr="007D0545">
        <w:rPr>
          <w:rFonts w:eastAsia="Times New Roman"/>
          <w:bCs/>
          <w:sz w:val="20"/>
          <w:szCs w:val="20"/>
          <w:bdr w:val="none" w:sz="0" w:space="0" w:color="auto"/>
        </w:rPr>
        <w:t xml:space="preserve"> According to th</w:t>
      </w:r>
      <w:r w:rsidR="00A014DA" w:rsidRPr="007D0545">
        <w:rPr>
          <w:rFonts w:eastAsia="Times New Roman"/>
          <w:bCs/>
          <w:sz w:val="20"/>
          <w:szCs w:val="20"/>
          <w:bdr w:val="none" w:sz="0" w:space="0" w:color="auto"/>
        </w:rPr>
        <w:t xml:space="preserve">e defense, the organization and indexing of the record on appeal did not follow the California Rules of Court and in many instances throughout the Clerk’s transcripts there were documents with multiple parts which had not been kept together. </w:t>
      </w:r>
      <w:r w:rsidR="000E3937" w:rsidRPr="007D0545">
        <w:rPr>
          <w:rFonts w:eastAsia="Times New Roman"/>
          <w:bCs/>
          <w:sz w:val="20"/>
          <w:szCs w:val="20"/>
          <w:bdr w:val="none" w:sz="0" w:space="0" w:color="auto"/>
        </w:rPr>
        <w:t xml:space="preserve">The initial correction and augmentations motion filed </w:t>
      </w:r>
      <w:r w:rsidR="000A7A76" w:rsidRPr="007D0545">
        <w:rPr>
          <w:rFonts w:eastAsia="Times New Roman"/>
          <w:bCs/>
          <w:sz w:val="20"/>
          <w:szCs w:val="20"/>
          <w:bdr w:val="none" w:sz="0" w:space="0" w:color="auto"/>
        </w:rPr>
        <w:t xml:space="preserve">on </w:t>
      </w:r>
      <w:r w:rsidR="000E3937" w:rsidRPr="007D0545">
        <w:rPr>
          <w:sz w:val="20"/>
        </w:rPr>
        <w:t xml:space="preserve">December 11, 1997 was 230 pages long with approximately 220 pages of exhibits. </w:t>
      </w:r>
      <w:r w:rsidR="003D1E49" w:rsidRPr="007D0545">
        <w:rPr>
          <w:rFonts w:eastAsia="Times New Roman"/>
          <w:bCs/>
          <w:sz w:val="20"/>
          <w:szCs w:val="20"/>
          <w:bdr w:val="none" w:sz="0" w:space="0" w:color="auto"/>
        </w:rPr>
        <w:t>Once th</w:t>
      </w:r>
      <w:r w:rsidR="000E3937" w:rsidRPr="007D0545">
        <w:rPr>
          <w:rFonts w:eastAsia="Times New Roman"/>
          <w:bCs/>
          <w:sz w:val="20"/>
          <w:szCs w:val="20"/>
          <w:bdr w:val="none" w:sz="0" w:space="0" w:color="auto"/>
        </w:rPr>
        <w:t xml:space="preserve">is </w:t>
      </w:r>
      <w:r w:rsidR="003D1E49" w:rsidRPr="007D0545">
        <w:rPr>
          <w:rFonts w:eastAsia="Times New Roman"/>
          <w:bCs/>
          <w:sz w:val="20"/>
          <w:szCs w:val="20"/>
          <w:bdr w:val="none" w:sz="0" w:space="0" w:color="auto"/>
        </w:rPr>
        <w:t>initial motion was partially granted on March 3, 2000, counsel completed the review of the partially corrected transcripts and filed a renewed request</w:t>
      </w:r>
      <w:r w:rsidR="00306D2A" w:rsidRPr="007D0545">
        <w:rPr>
          <w:rFonts w:eastAsia="Times New Roman"/>
          <w:bCs/>
          <w:sz w:val="20"/>
          <w:szCs w:val="20"/>
          <w:bdr w:val="none" w:sz="0" w:space="0" w:color="auto"/>
        </w:rPr>
        <w:t xml:space="preserve"> for correction of transcripts</w:t>
      </w:r>
      <w:r w:rsidR="003D1E49" w:rsidRPr="007D0545">
        <w:rPr>
          <w:rFonts w:eastAsia="Times New Roman"/>
          <w:bCs/>
          <w:sz w:val="20"/>
          <w:szCs w:val="20"/>
          <w:bdr w:val="none" w:sz="0" w:space="0" w:color="auto"/>
        </w:rPr>
        <w:t>.</w:t>
      </w:r>
      <w:r w:rsidR="007A18EB" w:rsidRPr="007D0545">
        <w:rPr>
          <w:rFonts w:eastAsia="Times New Roman"/>
          <w:bCs/>
          <w:sz w:val="20"/>
          <w:szCs w:val="20"/>
          <w:bdr w:val="none" w:sz="0" w:space="0" w:color="auto"/>
        </w:rPr>
        <w:t xml:space="preserve"> </w:t>
      </w:r>
      <w:r w:rsidR="00A92714" w:rsidRPr="007D0545">
        <w:rPr>
          <w:rFonts w:eastAsia="Arial Unicode MS"/>
          <w:sz w:val="20"/>
          <w:szCs w:val="20"/>
        </w:rPr>
        <w:t>D</w:t>
      </w:r>
      <w:r w:rsidR="00A92714" w:rsidRPr="007D0545">
        <w:rPr>
          <w:rFonts w:eastAsia="Times New Roman"/>
          <w:bCs/>
          <w:sz w:val="20"/>
          <w:szCs w:val="20"/>
          <w:bdr w:val="none" w:sz="0" w:space="0" w:color="auto"/>
        </w:rPr>
        <w:t xml:space="preserve">efense counsel had to request time extensions to prepare the appellant’s brief either for medical reasons or because of the need to inventory thousands of pages of records received from the court as well as thousands of pages gathered from other sources. </w:t>
      </w:r>
      <w:r w:rsidR="00A92714" w:rsidRPr="007D0545">
        <w:rPr>
          <w:rFonts w:eastAsia="Arial Unicode MS"/>
          <w:sz w:val="20"/>
          <w:szCs w:val="20"/>
        </w:rPr>
        <w:t xml:space="preserve">The final record on appeal was delivered in February 2007. </w:t>
      </w:r>
    </w:p>
    <w:p w14:paraId="19D43E35" w14:textId="77777777" w:rsidR="00320A64" w:rsidRPr="007D0545" w:rsidRDefault="00320A64" w:rsidP="00320A6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rPr>
      </w:pPr>
    </w:p>
    <w:p w14:paraId="7E633BCF" w14:textId="77777777" w:rsidR="00320A64" w:rsidRPr="007D0545" w:rsidRDefault="000A7A76" w:rsidP="00D2378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bCs/>
          <w:sz w:val="20"/>
          <w:szCs w:val="20"/>
          <w:bdr w:val="none" w:sz="0" w:space="0" w:color="auto"/>
        </w:rPr>
        <w:t>T</w:t>
      </w:r>
      <w:r w:rsidR="00320A64" w:rsidRPr="007D0545">
        <w:rPr>
          <w:rFonts w:eastAsia="Times New Roman"/>
          <w:bCs/>
          <w:sz w:val="20"/>
          <w:szCs w:val="20"/>
          <w:bdr w:val="none" w:sz="0" w:space="0" w:color="auto"/>
        </w:rPr>
        <w:t xml:space="preserve">he information available </w:t>
      </w:r>
      <w:r w:rsidR="00103526" w:rsidRPr="007D0545">
        <w:rPr>
          <w:rFonts w:eastAsia="Times New Roman"/>
          <w:bCs/>
          <w:sz w:val="20"/>
          <w:szCs w:val="20"/>
          <w:bdr w:val="none" w:sz="0" w:space="0" w:color="auto"/>
        </w:rPr>
        <w:t>shows</w:t>
      </w:r>
      <w:r w:rsidR="00320A64" w:rsidRPr="007D0545">
        <w:rPr>
          <w:rFonts w:eastAsia="Times New Roman"/>
          <w:bCs/>
          <w:sz w:val="20"/>
          <w:szCs w:val="20"/>
          <w:bdr w:val="none" w:sz="0" w:space="0" w:color="auto"/>
        </w:rPr>
        <w:t xml:space="preserve"> that </w:t>
      </w:r>
      <w:r w:rsidR="006972FB" w:rsidRPr="007D0545">
        <w:rPr>
          <w:rFonts w:eastAsia="Times New Roman"/>
          <w:bCs/>
          <w:sz w:val="20"/>
          <w:szCs w:val="20"/>
          <w:bdr w:val="none" w:sz="0" w:space="0" w:color="auto"/>
        </w:rPr>
        <w:t xml:space="preserve">the </w:t>
      </w:r>
      <w:r w:rsidR="00320A64" w:rsidRPr="007D0545">
        <w:rPr>
          <w:rFonts w:eastAsia="Times New Roman"/>
          <w:bCs/>
          <w:sz w:val="20"/>
          <w:szCs w:val="20"/>
          <w:bdr w:val="none" w:sz="0" w:space="0" w:color="auto"/>
        </w:rPr>
        <w:t>delay in the filing of the appellant’s brief</w:t>
      </w:r>
      <w:r w:rsidR="00B34D82" w:rsidRPr="007D0545">
        <w:rPr>
          <w:rFonts w:eastAsia="Times New Roman"/>
          <w:bCs/>
          <w:sz w:val="20"/>
          <w:szCs w:val="20"/>
          <w:bdr w:val="none" w:sz="0" w:space="0" w:color="auto"/>
        </w:rPr>
        <w:t xml:space="preserve"> </w:t>
      </w:r>
      <w:r w:rsidR="006972FB" w:rsidRPr="007D0545">
        <w:rPr>
          <w:rFonts w:eastAsia="Times New Roman"/>
          <w:bCs/>
          <w:sz w:val="20"/>
          <w:szCs w:val="20"/>
          <w:bdr w:val="none" w:sz="0" w:space="0" w:color="auto"/>
        </w:rPr>
        <w:t xml:space="preserve">was mainly due to </w:t>
      </w:r>
      <w:r w:rsidR="00A669C6" w:rsidRPr="007D0545">
        <w:rPr>
          <w:rFonts w:eastAsia="Times New Roman"/>
          <w:bCs/>
          <w:sz w:val="20"/>
          <w:szCs w:val="20"/>
          <w:bdr w:val="none" w:sz="0" w:space="0" w:color="auto"/>
        </w:rPr>
        <w:t>the loss and improper care of documentation</w:t>
      </w:r>
      <w:r w:rsidRPr="007D0545">
        <w:rPr>
          <w:rFonts w:eastAsia="Times New Roman"/>
          <w:bCs/>
          <w:sz w:val="20"/>
          <w:szCs w:val="20"/>
          <w:bdr w:val="none" w:sz="0" w:space="0" w:color="auto"/>
        </w:rPr>
        <w:t xml:space="preserve"> by the trial court</w:t>
      </w:r>
      <w:r w:rsidR="00A669C6" w:rsidRPr="007D0545">
        <w:rPr>
          <w:rFonts w:eastAsia="Times New Roman"/>
          <w:bCs/>
          <w:sz w:val="20"/>
          <w:szCs w:val="20"/>
          <w:bdr w:val="none" w:sz="0" w:space="0" w:color="auto"/>
        </w:rPr>
        <w:t xml:space="preserve">. </w:t>
      </w:r>
      <w:r w:rsidR="00BC243A" w:rsidRPr="007D0545">
        <w:rPr>
          <w:rFonts w:eastAsia="Times New Roman"/>
          <w:bCs/>
          <w:sz w:val="20"/>
          <w:szCs w:val="20"/>
          <w:bdr w:val="none" w:sz="0" w:space="0" w:color="auto"/>
        </w:rPr>
        <w:t xml:space="preserve">Defense counsel had to file several requests </w:t>
      </w:r>
      <w:r w:rsidR="00A669C6" w:rsidRPr="007D0545">
        <w:rPr>
          <w:rFonts w:eastAsia="Times New Roman"/>
          <w:bCs/>
          <w:sz w:val="20"/>
          <w:szCs w:val="20"/>
          <w:bdr w:val="none" w:sz="0" w:space="0" w:color="auto"/>
        </w:rPr>
        <w:t>to correct important deficiencies in the trial court record</w:t>
      </w:r>
      <w:r w:rsidR="00103526" w:rsidRPr="007D0545">
        <w:rPr>
          <w:rFonts w:eastAsia="Times New Roman"/>
          <w:bCs/>
          <w:sz w:val="20"/>
          <w:szCs w:val="20"/>
          <w:bdr w:val="none" w:sz="0" w:space="0" w:color="auto"/>
        </w:rPr>
        <w:t>, a record comprising</w:t>
      </w:r>
      <w:r w:rsidR="00A669C6" w:rsidRPr="007D0545">
        <w:rPr>
          <w:rFonts w:eastAsia="Times New Roman"/>
          <w:bCs/>
          <w:sz w:val="20"/>
          <w:szCs w:val="20"/>
          <w:bdr w:val="none" w:sz="0" w:space="0" w:color="auto"/>
        </w:rPr>
        <w:t xml:space="preserve"> six years of litigation. </w:t>
      </w:r>
      <w:r w:rsidR="00A92714" w:rsidRPr="007D0545">
        <w:rPr>
          <w:rFonts w:eastAsia="Times New Roman"/>
          <w:bCs/>
          <w:sz w:val="20"/>
          <w:szCs w:val="20"/>
          <w:bdr w:val="none" w:sz="0" w:space="0" w:color="auto"/>
        </w:rPr>
        <w:t xml:space="preserve">The final record was delivered ten years after the initial motion for corrected transcripts was filed. </w:t>
      </w:r>
      <w:r w:rsidR="006F374D" w:rsidRPr="007D0545">
        <w:rPr>
          <w:rFonts w:eastAsia="Times New Roman"/>
          <w:bCs/>
          <w:sz w:val="20"/>
          <w:szCs w:val="20"/>
          <w:bdr w:val="none" w:sz="0" w:space="0" w:color="auto"/>
        </w:rPr>
        <w:t xml:space="preserve">The </w:t>
      </w:r>
      <w:r w:rsidR="00103526" w:rsidRPr="007D0545">
        <w:rPr>
          <w:rFonts w:eastAsia="Times New Roman"/>
          <w:bCs/>
          <w:sz w:val="20"/>
          <w:szCs w:val="20"/>
          <w:bdr w:val="none" w:sz="0" w:space="0" w:color="auto"/>
        </w:rPr>
        <w:t xml:space="preserve">delay was also partly due to a serious illness of the defense attorney, who, according to the available information, </w:t>
      </w:r>
      <w:r w:rsidR="00A92714" w:rsidRPr="007D0545">
        <w:rPr>
          <w:rFonts w:eastAsia="Times New Roman"/>
          <w:bCs/>
          <w:sz w:val="20"/>
          <w:szCs w:val="20"/>
          <w:bdr w:val="none" w:sz="0" w:space="0" w:color="auto"/>
        </w:rPr>
        <w:t xml:space="preserve">died during the appellate proceedings. </w:t>
      </w:r>
      <w:r w:rsidR="00B160A4" w:rsidRPr="007D0545">
        <w:rPr>
          <w:rFonts w:eastAsia="Times New Roman"/>
          <w:bCs/>
          <w:sz w:val="20"/>
          <w:szCs w:val="20"/>
          <w:bdr w:val="none" w:sz="0" w:space="0" w:color="auto"/>
        </w:rPr>
        <w:t xml:space="preserve">None of these facts was Mr. Sequoyah’s responsibility. </w:t>
      </w:r>
    </w:p>
    <w:p w14:paraId="3FFA7C1F" w14:textId="77777777" w:rsidR="00582750" w:rsidRPr="007D0545" w:rsidRDefault="00582750" w:rsidP="00582750">
      <w:pPr>
        <w:pStyle w:val="ListParagraph"/>
        <w:rPr>
          <w:rFonts w:eastAsia="Times New Roman"/>
          <w:bCs/>
          <w:sz w:val="20"/>
          <w:szCs w:val="20"/>
          <w:bdr w:val="none" w:sz="0" w:space="0" w:color="auto"/>
        </w:rPr>
      </w:pPr>
    </w:p>
    <w:p w14:paraId="077877EC" w14:textId="77777777" w:rsidR="002C4070" w:rsidRPr="007D0545" w:rsidRDefault="00582750" w:rsidP="000A6C5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bCs/>
          <w:sz w:val="20"/>
          <w:szCs w:val="20"/>
          <w:bdr w:val="none" w:sz="0" w:space="0" w:color="auto"/>
        </w:rPr>
        <w:t xml:space="preserve">Finally, regarding the fourth element, </w:t>
      </w:r>
      <w:r w:rsidR="001D7B45" w:rsidRPr="007D0545">
        <w:rPr>
          <w:rFonts w:eastAsia="Times New Roman"/>
          <w:bCs/>
          <w:sz w:val="20"/>
          <w:szCs w:val="20"/>
          <w:bdr w:val="none" w:sz="0" w:space="0" w:color="auto"/>
        </w:rPr>
        <w:t xml:space="preserve">the </w:t>
      </w:r>
      <w:r w:rsidR="00D2250C" w:rsidRPr="007D0545">
        <w:rPr>
          <w:rFonts w:eastAsia="Times New Roman"/>
          <w:bCs/>
          <w:sz w:val="20"/>
          <w:szCs w:val="20"/>
          <w:bdr w:val="none" w:sz="0" w:space="0" w:color="auto"/>
        </w:rPr>
        <w:t>IACHR</w:t>
      </w:r>
      <w:r w:rsidR="001D7B45" w:rsidRPr="007D0545">
        <w:rPr>
          <w:rFonts w:eastAsia="Times New Roman"/>
          <w:bCs/>
          <w:sz w:val="20"/>
          <w:szCs w:val="20"/>
          <w:bdr w:val="none" w:sz="0" w:space="0" w:color="auto"/>
        </w:rPr>
        <w:t xml:space="preserve"> finds that </w:t>
      </w:r>
      <w:r w:rsidR="00D37539" w:rsidRPr="007D0545">
        <w:rPr>
          <w:rFonts w:eastAsia="Times New Roman"/>
          <w:bCs/>
          <w:sz w:val="20"/>
          <w:szCs w:val="20"/>
          <w:bdr w:val="none" w:sz="0" w:space="0" w:color="auto"/>
        </w:rPr>
        <w:t>the</w:t>
      </w:r>
      <w:r w:rsidR="001D7B45" w:rsidRPr="007D0545">
        <w:rPr>
          <w:rFonts w:eastAsia="Times New Roman"/>
          <w:bCs/>
          <w:sz w:val="20"/>
          <w:szCs w:val="20"/>
          <w:bdr w:val="none" w:sz="0" w:space="0" w:color="auto"/>
        </w:rPr>
        <w:t xml:space="preserve"> fact that Mr. Sequoyah </w:t>
      </w:r>
      <w:r w:rsidR="00D2250C" w:rsidRPr="007D0545">
        <w:rPr>
          <w:rFonts w:eastAsia="Times New Roman"/>
          <w:bCs/>
          <w:sz w:val="20"/>
          <w:szCs w:val="20"/>
          <w:bdr w:val="none" w:sz="0" w:space="0" w:color="auto"/>
        </w:rPr>
        <w:t>waited</w:t>
      </w:r>
      <w:r w:rsidR="001D7B45" w:rsidRPr="007D0545">
        <w:rPr>
          <w:rFonts w:eastAsia="Times New Roman"/>
          <w:bCs/>
          <w:sz w:val="20"/>
          <w:szCs w:val="20"/>
          <w:bdr w:val="none" w:sz="0" w:space="0" w:color="auto"/>
        </w:rPr>
        <w:t xml:space="preserve"> more than 20 years </w:t>
      </w:r>
      <w:r w:rsidR="00D2250C" w:rsidRPr="007D0545">
        <w:rPr>
          <w:rFonts w:eastAsia="Times New Roman"/>
          <w:bCs/>
          <w:sz w:val="20"/>
          <w:szCs w:val="20"/>
          <w:bdr w:val="none" w:sz="0" w:space="0" w:color="auto"/>
        </w:rPr>
        <w:t>from his death sentence to</w:t>
      </w:r>
      <w:r w:rsidR="001D7B45" w:rsidRPr="007D0545">
        <w:rPr>
          <w:rFonts w:eastAsia="Times New Roman"/>
          <w:bCs/>
          <w:sz w:val="20"/>
          <w:szCs w:val="20"/>
          <w:bdr w:val="none" w:sz="0" w:space="0" w:color="auto"/>
        </w:rPr>
        <w:t xml:space="preserve"> the filing of </w:t>
      </w:r>
      <w:r w:rsidR="00D2250C" w:rsidRPr="007D0545">
        <w:rPr>
          <w:rFonts w:eastAsia="Times New Roman"/>
          <w:bCs/>
          <w:sz w:val="20"/>
          <w:szCs w:val="20"/>
          <w:bdr w:val="none" w:sz="0" w:space="0" w:color="auto"/>
        </w:rPr>
        <w:t>the</w:t>
      </w:r>
      <w:r w:rsidR="001D7B45" w:rsidRPr="007D0545">
        <w:rPr>
          <w:rFonts w:eastAsia="Times New Roman"/>
          <w:bCs/>
          <w:sz w:val="20"/>
          <w:szCs w:val="20"/>
          <w:bdr w:val="none" w:sz="0" w:space="0" w:color="auto"/>
        </w:rPr>
        <w:t xml:space="preserve"> first appeal’s brief</w:t>
      </w:r>
      <w:r w:rsidR="009B26C8" w:rsidRPr="007D0545">
        <w:rPr>
          <w:rFonts w:eastAsia="Times New Roman"/>
          <w:bCs/>
          <w:sz w:val="20"/>
          <w:szCs w:val="20"/>
          <w:bdr w:val="none" w:sz="0" w:space="0" w:color="auto"/>
        </w:rPr>
        <w:t>,</w:t>
      </w:r>
      <w:r w:rsidR="001D7B45" w:rsidRPr="007D0545">
        <w:rPr>
          <w:rFonts w:eastAsia="Times New Roman"/>
          <w:bCs/>
          <w:sz w:val="20"/>
          <w:szCs w:val="20"/>
          <w:bdr w:val="none" w:sz="0" w:space="0" w:color="auto"/>
        </w:rPr>
        <w:t xml:space="preserve"> constitutes, </w:t>
      </w:r>
      <w:r w:rsidR="001D7B45" w:rsidRPr="007D0545">
        <w:rPr>
          <w:rFonts w:eastAsia="Times New Roman"/>
          <w:bCs/>
          <w:i/>
          <w:sz w:val="20"/>
          <w:szCs w:val="20"/>
          <w:bdr w:val="none" w:sz="0" w:space="0" w:color="auto"/>
        </w:rPr>
        <w:t>per se</w:t>
      </w:r>
      <w:r w:rsidR="001D7B45" w:rsidRPr="007D0545">
        <w:rPr>
          <w:rFonts w:eastAsia="Times New Roman"/>
          <w:bCs/>
          <w:sz w:val="20"/>
          <w:szCs w:val="20"/>
          <w:bdr w:val="none" w:sz="0" w:space="0" w:color="auto"/>
        </w:rPr>
        <w:t xml:space="preserve">, a violation of his right to be tried </w:t>
      </w:r>
      <w:r w:rsidR="00D2250C" w:rsidRPr="007D0545">
        <w:rPr>
          <w:sz w:val="20"/>
        </w:rPr>
        <w:t>without undue delay</w:t>
      </w:r>
      <w:r w:rsidR="003378E0" w:rsidRPr="007D0545">
        <w:rPr>
          <w:sz w:val="20"/>
        </w:rPr>
        <w:t>, which had a severe impact on his possibility of having a timely defense</w:t>
      </w:r>
      <w:r w:rsidR="00D2250C" w:rsidRPr="007D0545">
        <w:rPr>
          <w:sz w:val="20"/>
        </w:rPr>
        <w:t xml:space="preserve">. </w:t>
      </w:r>
      <w:r w:rsidR="002A3CD5" w:rsidRPr="007D0545">
        <w:rPr>
          <w:sz w:val="20"/>
        </w:rPr>
        <w:t xml:space="preserve">In addition, as </w:t>
      </w:r>
      <w:r w:rsidR="001024E3" w:rsidRPr="007D0545">
        <w:rPr>
          <w:sz w:val="20"/>
        </w:rPr>
        <w:t xml:space="preserve">it will be </w:t>
      </w:r>
      <w:r w:rsidR="002A3CD5" w:rsidRPr="007D0545">
        <w:rPr>
          <w:sz w:val="20"/>
        </w:rPr>
        <w:t xml:space="preserve">discussed below, the length of the proceedings since the conviction and sentence had an impact on the configuration of the death row phenomenon, aggravated by Mr. Sequoyah’s </w:t>
      </w:r>
      <w:r w:rsidR="001024E3" w:rsidRPr="007D0545">
        <w:rPr>
          <w:sz w:val="20"/>
        </w:rPr>
        <w:t xml:space="preserve">underlying mental condition. </w:t>
      </w:r>
    </w:p>
    <w:p w14:paraId="339D573A" w14:textId="77777777" w:rsidR="002C4070" w:rsidRPr="007D0545" w:rsidRDefault="002C4070" w:rsidP="002C4070">
      <w:pPr>
        <w:pStyle w:val="ListParagraph"/>
        <w:rPr>
          <w:sz w:val="20"/>
        </w:rPr>
      </w:pPr>
    </w:p>
    <w:p w14:paraId="36281247" w14:textId="77777777" w:rsidR="000A6C50" w:rsidRPr="007D0545" w:rsidRDefault="00D2250C" w:rsidP="000A6C5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sz w:val="20"/>
        </w:rPr>
        <w:t xml:space="preserve">The </w:t>
      </w:r>
      <w:r w:rsidR="00521909" w:rsidRPr="007D0545">
        <w:rPr>
          <w:sz w:val="20"/>
        </w:rPr>
        <w:t>United States</w:t>
      </w:r>
      <w:r w:rsidRPr="007D0545">
        <w:rPr>
          <w:sz w:val="20"/>
        </w:rPr>
        <w:t xml:space="preserve"> submits that </w:t>
      </w:r>
      <w:r w:rsidR="00955093" w:rsidRPr="007D0545">
        <w:rPr>
          <w:sz w:val="20"/>
        </w:rPr>
        <w:t xml:space="preserve">the “undue delay” provision of the </w:t>
      </w:r>
      <w:r w:rsidR="00536848" w:rsidRPr="007D0545">
        <w:rPr>
          <w:sz w:val="20"/>
        </w:rPr>
        <w:t xml:space="preserve">American </w:t>
      </w:r>
      <w:r w:rsidR="00955093" w:rsidRPr="007D0545">
        <w:rPr>
          <w:sz w:val="20"/>
        </w:rPr>
        <w:t xml:space="preserve">Declaration only applies to “pre-trial delay” and that </w:t>
      </w:r>
      <w:r w:rsidR="000A6C50" w:rsidRPr="007D0545">
        <w:rPr>
          <w:sz w:val="20"/>
        </w:rPr>
        <w:t>“</w:t>
      </w:r>
      <w:r w:rsidR="00955093" w:rsidRPr="007D0545">
        <w:rPr>
          <w:sz w:val="20"/>
        </w:rPr>
        <w:t>any perceived delays between sentence and execution</w:t>
      </w:r>
      <w:r w:rsidR="000A6C50" w:rsidRPr="007D0545">
        <w:rPr>
          <w:sz w:val="20"/>
        </w:rPr>
        <w:t>” do not</w:t>
      </w:r>
      <w:r w:rsidR="00955093" w:rsidRPr="007D0545">
        <w:rPr>
          <w:sz w:val="20"/>
        </w:rPr>
        <w:t xml:space="preserve"> constitute undue delay.</w:t>
      </w:r>
      <w:r w:rsidR="00D47631" w:rsidRPr="007D0545">
        <w:rPr>
          <w:sz w:val="20"/>
        </w:rPr>
        <w:t xml:space="preserve"> In this regard, the Commission </w:t>
      </w:r>
      <w:r w:rsidR="000A6C50" w:rsidRPr="007D0545">
        <w:rPr>
          <w:sz w:val="20"/>
        </w:rPr>
        <w:t>reiterates that</w:t>
      </w:r>
      <w:r w:rsidR="002E7E79" w:rsidRPr="007D0545">
        <w:rPr>
          <w:sz w:val="20"/>
        </w:rPr>
        <w:t>, according to</w:t>
      </w:r>
      <w:r w:rsidR="000A6C50" w:rsidRPr="007D0545">
        <w:rPr>
          <w:sz w:val="20"/>
        </w:rPr>
        <w:t xml:space="preserve"> the Inter-American human rights </w:t>
      </w:r>
      <w:r w:rsidR="00536848" w:rsidRPr="007D0545">
        <w:rPr>
          <w:sz w:val="20"/>
        </w:rPr>
        <w:t>standards</w:t>
      </w:r>
      <w:r w:rsidR="002E7E79" w:rsidRPr="007D0545">
        <w:rPr>
          <w:sz w:val="20"/>
        </w:rPr>
        <w:t>,</w:t>
      </w:r>
      <w:r w:rsidR="000A6C50" w:rsidRPr="007D0545">
        <w:rPr>
          <w:sz w:val="20"/>
        </w:rPr>
        <w:t xml:space="preserve"> the reasonable period of time must be assessed in relation to the total duration of the proceedings, from the first procedural act until the enforcement of the judgment.</w:t>
      </w:r>
      <w:r w:rsidR="000A6C50" w:rsidRPr="007D0545">
        <w:rPr>
          <w:rStyle w:val="FootnoteReference"/>
          <w:sz w:val="20"/>
        </w:rPr>
        <w:footnoteReference w:id="69"/>
      </w:r>
      <w:r w:rsidR="000A6C50" w:rsidRPr="007D0545">
        <w:rPr>
          <w:sz w:val="20"/>
        </w:rPr>
        <w:t xml:space="preserve"> </w:t>
      </w:r>
    </w:p>
    <w:p w14:paraId="3A520F33" w14:textId="77777777" w:rsidR="000A6C50" w:rsidRPr="007D0545" w:rsidRDefault="000A6C50" w:rsidP="000A6C5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rPr>
      </w:pPr>
    </w:p>
    <w:p w14:paraId="791DF675" w14:textId="77777777" w:rsidR="00EB51DC" w:rsidRDefault="009D16D3" w:rsidP="00D2378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eastAsia="Times New Roman"/>
          <w:bCs/>
          <w:sz w:val="20"/>
          <w:szCs w:val="20"/>
          <w:bdr w:val="none" w:sz="0" w:space="0" w:color="auto"/>
        </w:rPr>
      </w:pPr>
      <w:r w:rsidRPr="007D0545">
        <w:rPr>
          <w:rFonts w:eastAsia="Times New Roman"/>
          <w:bCs/>
          <w:sz w:val="20"/>
          <w:szCs w:val="20"/>
          <w:bdr w:val="none" w:sz="0" w:space="0" w:color="auto"/>
        </w:rPr>
        <w:t>In light of the above considerations, t</w:t>
      </w:r>
      <w:r w:rsidR="00F92CA1" w:rsidRPr="007D0545">
        <w:rPr>
          <w:rFonts w:eastAsia="Times New Roman"/>
          <w:bCs/>
          <w:sz w:val="20"/>
          <w:szCs w:val="20"/>
          <w:bdr w:val="none" w:sz="0" w:space="0" w:color="auto"/>
        </w:rPr>
        <w:t xml:space="preserve">he IACHR </w:t>
      </w:r>
      <w:r w:rsidR="000A6C50" w:rsidRPr="007D0545">
        <w:rPr>
          <w:rFonts w:eastAsia="Times New Roman"/>
          <w:bCs/>
          <w:sz w:val="20"/>
          <w:szCs w:val="20"/>
          <w:bdr w:val="none" w:sz="0" w:space="0" w:color="auto"/>
        </w:rPr>
        <w:t xml:space="preserve">concludes that </w:t>
      </w:r>
      <w:r w:rsidR="00EB51DC" w:rsidRPr="007D0545">
        <w:rPr>
          <w:rFonts w:eastAsia="Times New Roman"/>
          <w:bCs/>
          <w:sz w:val="20"/>
          <w:szCs w:val="20"/>
          <w:bdr w:val="none" w:sz="0" w:space="0" w:color="auto"/>
        </w:rPr>
        <w:t xml:space="preserve">the </w:t>
      </w:r>
      <w:r w:rsidRPr="007D0545">
        <w:rPr>
          <w:rFonts w:eastAsia="Times New Roman"/>
          <w:bCs/>
          <w:sz w:val="20"/>
          <w:szCs w:val="20"/>
          <w:bdr w:val="none" w:sz="0" w:space="0" w:color="auto"/>
        </w:rPr>
        <w:t xml:space="preserve">unwarranted </w:t>
      </w:r>
      <w:r w:rsidR="00EB51DC" w:rsidRPr="007D0545">
        <w:rPr>
          <w:rFonts w:eastAsia="Times New Roman"/>
          <w:bCs/>
          <w:sz w:val="20"/>
          <w:szCs w:val="20"/>
          <w:bdr w:val="none" w:sz="0" w:space="0" w:color="auto"/>
        </w:rPr>
        <w:t>delay in the appointment of the appellate defense counsel as well as the delay caused by serious deficiencies in the trial court record, amount to a violation of Mr. Sequoyah’s right</w:t>
      </w:r>
      <w:r w:rsidRPr="007D0545">
        <w:rPr>
          <w:rFonts w:eastAsia="Times New Roman"/>
          <w:bCs/>
          <w:sz w:val="20"/>
          <w:szCs w:val="20"/>
          <w:bdr w:val="none" w:sz="0" w:space="0" w:color="auto"/>
        </w:rPr>
        <w:t>s</w:t>
      </w:r>
      <w:r w:rsidR="00EB51DC" w:rsidRPr="007D0545">
        <w:rPr>
          <w:rFonts w:eastAsia="Times New Roman"/>
          <w:bCs/>
          <w:sz w:val="20"/>
          <w:szCs w:val="20"/>
          <w:bdr w:val="none" w:sz="0" w:space="0" w:color="auto"/>
        </w:rPr>
        <w:t xml:space="preserve"> </w:t>
      </w:r>
      <w:r w:rsidR="00536848" w:rsidRPr="007D0545">
        <w:rPr>
          <w:rFonts w:eastAsia="Times New Roman"/>
          <w:bCs/>
          <w:sz w:val="20"/>
          <w:szCs w:val="20"/>
          <w:bdr w:val="none" w:sz="0" w:space="0" w:color="auto"/>
        </w:rPr>
        <w:t xml:space="preserve">under Articles XVIII and XXIV of the Declaration. </w:t>
      </w:r>
    </w:p>
    <w:p w14:paraId="0D84EC08" w14:textId="77777777" w:rsidR="00DC78FC" w:rsidRPr="00DC78FC" w:rsidRDefault="00DC78FC" w:rsidP="00DC78FC">
      <w:pPr>
        <w:pStyle w:val="ListParagraph"/>
        <w:rPr>
          <w:rFonts w:eastAsia="Times New Roman"/>
          <w:bCs/>
          <w:sz w:val="20"/>
          <w:szCs w:val="20"/>
          <w:bdr w:val="none" w:sz="0" w:space="0" w:color="auto"/>
        </w:rPr>
      </w:pPr>
    </w:p>
    <w:p w14:paraId="3F5F9665" w14:textId="77777777" w:rsidR="00272DEF" w:rsidRPr="007D0545" w:rsidRDefault="00272DEF" w:rsidP="00390D19">
      <w:pPr>
        <w:pStyle w:val="Heading2"/>
        <w:numPr>
          <w:ilvl w:val="0"/>
          <w:numId w:val="59"/>
        </w:numPr>
        <w:ind w:left="1440" w:hanging="720"/>
        <w:rPr>
          <w:rStyle w:val="apple-style-span"/>
          <w:rFonts w:eastAsia="Arial Unicode MS"/>
          <w:color w:val="auto"/>
          <w:sz w:val="20"/>
          <w:szCs w:val="20"/>
        </w:rPr>
      </w:pPr>
      <w:bookmarkStart w:id="21" w:name="_Toc26556099"/>
      <w:r w:rsidRPr="007D0545">
        <w:rPr>
          <w:rFonts w:eastAsia="Arial Unicode MS"/>
          <w:color w:val="auto"/>
          <w:sz w:val="20"/>
          <w:szCs w:val="20"/>
        </w:rPr>
        <w:lastRenderedPageBreak/>
        <w:t>Right of protection against cruel, infamous or unusual punishment</w:t>
      </w:r>
      <w:r w:rsidRPr="007D0545">
        <w:rPr>
          <w:rStyle w:val="FootnoteReference"/>
          <w:rFonts w:eastAsia="Arial Unicode MS"/>
          <w:color w:val="auto"/>
          <w:sz w:val="20"/>
          <w:szCs w:val="20"/>
        </w:rPr>
        <w:footnoteReference w:id="70"/>
      </w:r>
      <w:bookmarkEnd w:id="21"/>
      <w:r w:rsidRPr="007D0545">
        <w:rPr>
          <w:rStyle w:val="FootnoteReference"/>
          <w:rFonts w:eastAsia="Arial Unicode MS"/>
          <w:color w:val="auto"/>
          <w:sz w:val="20"/>
          <w:szCs w:val="20"/>
        </w:rPr>
        <w:t xml:space="preserve"> </w:t>
      </w:r>
    </w:p>
    <w:p w14:paraId="51196FF7" w14:textId="77777777" w:rsidR="00272DEF" w:rsidRPr="007D0545" w:rsidRDefault="00272DEF" w:rsidP="00390D19">
      <w:pPr>
        <w:pStyle w:val="Heading3"/>
        <w:numPr>
          <w:ilvl w:val="0"/>
          <w:numId w:val="61"/>
        </w:numPr>
        <w:ind w:left="1440" w:hanging="720"/>
        <w:rPr>
          <w:rStyle w:val="apple-style-span"/>
          <w:rFonts w:cstheme="majorBidi"/>
          <w:color w:val="auto"/>
          <w:sz w:val="20"/>
          <w:szCs w:val="20"/>
        </w:rPr>
      </w:pPr>
      <w:bookmarkStart w:id="22" w:name="_Toc26556100"/>
      <w:r w:rsidRPr="007D0545">
        <w:rPr>
          <w:rStyle w:val="apple-style-span"/>
          <w:rFonts w:cstheme="majorBidi"/>
          <w:color w:val="auto"/>
          <w:sz w:val="20"/>
          <w:szCs w:val="20"/>
        </w:rPr>
        <w:t>The deprivation of liberty on death row</w:t>
      </w:r>
      <w:bookmarkEnd w:id="22"/>
    </w:p>
    <w:p w14:paraId="57E93750" w14:textId="77777777" w:rsidR="00272DEF" w:rsidRPr="007D0545" w:rsidRDefault="00272DEF" w:rsidP="00272DEF">
      <w:pPr>
        <w:widowControl w:val="0"/>
        <w:tabs>
          <w:tab w:val="left" w:pos="360"/>
        </w:tabs>
        <w:suppressAutoHyphens/>
        <w:jc w:val="both"/>
        <w:rPr>
          <w:rFonts w:ascii="Cambria" w:hAnsi="Cambria"/>
          <w:b/>
          <w:sz w:val="20"/>
          <w:szCs w:val="20"/>
        </w:rPr>
      </w:pPr>
    </w:p>
    <w:p w14:paraId="28FBD713" w14:textId="77777777" w:rsidR="00272DEF" w:rsidRPr="007D0545" w:rsidRDefault="00272DEF" w:rsidP="00AD4C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rPr>
          <w:rFonts w:ascii="Cambria" w:hAnsi="Cambria"/>
          <w:bCs/>
          <w:sz w:val="20"/>
          <w:szCs w:val="20"/>
        </w:rPr>
      </w:pPr>
      <w:r w:rsidRPr="007D0545">
        <w:rPr>
          <w:rFonts w:ascii="Cambria" w:hAnsi="Cambria"/>
          <w:sz w:val="20"/>
          <w:szCs w:val="20"/>
        </w:rPr>
        <w:t xml:space="preserve">In both international human rights law and comparative law, the issue of long term deprivation of liberty on death row, known as the </w:t>
      </w:r>
      <w:r w:rsidR="005C2E02" w:rsidRPr="007D0545">
        <w:rPr>
          <w:rFonts w:ascii="Cambria" w:hAnsi="Cambria"/>
          <w:sz w:val="20"/>
          <w:szCs w:val="20"/>
        </w:rPr>
        <w:t>“</w:t>
      </w:r>
      <w:r w:rsidRPr="007D0545">
        <w:rPr>
          <w:rFonts w:ascii="Cambria" w:hAnsi="Cambria"/>
          <w:sz w:val="20"/>
          <w:szCs w:val="20"/>
        </w:rPr>
        <w:t>death row phenomenon,</w:t>
      </w:r>
      <w:r w:rsidR="005C2E02" w:rsidRPr="007D0545">
        <w:rPr>
          <w:rFonts w:ascii="Cambria" w:hAnsi="Cambria"/>
          <w:sz w:val="20"/>
          <w:szCs w:val="20"/>
        </w:rPr>
        <w:t>”</w:t>
      </w:r>
      <w:r w:rsidRPr="007D0545">
        <w:rPr>
          <w:rFonts w:ascii="Cambria" w:hAnsi="Cambria"/>
          <w:sz w:val="20"/>
          <w:szCs w:val="20"/>
        </w:rPr>
        <w:t xml:space="preserve"> has been developed for decades, in light of the prohibition of cruel, inhuman or degrading punishment in Constitutions and in multiple international treaties, including the American Declaration (Articles XXV and XXVI).</w:t>
      </w:r>
      <w:r w:rsidRPr="007D0545">
        <w:rPr>
          <w:rStyle w:val="FootnoteReference"/>
          <w:rFonts w:ascii="Cambria" w:hAnsi="Cambria"/>
          <w:sz w:val="20"/>
          <w:szCs w:val="20"/>
        </w:rPr>
        <w:footnoteReference w:id="71"/>
      </w:r>
      <w:r w:rsidRPr="007D0545">
        <w:rPr>
          <w:rFonts w:ascii="Cambria" w:hAnsi="Cambria"/>
          <w:sz w:val="20"/>
          <w:szCs w:val="20"/>
        </w:rPr>
        <w:t xml:space="preserve"> Based on those standards, in the case of Russell Bucklew the IACHR found that “the very fact of spending 20 years on death row is, by any account, excessive and inhuman.”</w:t>
      </w:r>
      <w:r w:rsidRPr="007D0545">
        <w:rPr>
          <w:rStyle w:val="FootnoteReference"/>
          <w:rFonts w:ascii="Cambria" w:hAnsi="Cambria"/>
          <w:sz w:val="20"/>
          <w:szCs w:val="20"/>
        </w:rPr>
        <w:footnoteReference w:id="72"/>
      </w:r>
    </w:p>
    <w:p w14:paraId="6076B3AA" w14:textId="77777777" w:rsidR="00272DEF" w:rsidRPr="007D0545" w:rsidRDefault="00272DEF" w:rsidP="00AD4C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rPr>
      </w:pPr>
    </w:p>
    <w:p w14:paraId="44D770B3" w14:textId="77777777" w:rsidR="00272DEF" w:rsidRPr="007D0545" w:rsidRDefault="00272DEF" w:rsidP="00AD4C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2040"/>
        </w:tabs>
        <w:ind w:left="0" w:firstLine="0"/>
        <w:jc w:val="both"/>
        <w:rPr>
          <w:rFonts w:ascii="Cambria" w:hAnsi="Cambria"/>
          <w:bCs/>
          <w:i/>
          <w:sz w:val="20"/>
          <w:szCs w:val="20"/>
        </w:rPr>
      </w:pPr>
      <w:r w:rsidRPr="007D0545">
        <w:rPr>
          <w:rFonts w:ascii="Cambria" w:hAnsi="Cambria"/>
          <w:sz w:val="20"/>
          <w:szCs w:val="20"/>
        </w:rPr>
        <w:t xml:space="preserve">As established in this report, Mr. </w:t>
      </w:r>
      <w:r w:rsidR="00C74C37" w:rsidRPr="007D0545">
        <w:rPr>
          <w:rFonts w:asciiTheme="majorHAnsi" w:hAnsiTheme="majorHAnsi"/>
          <w:color w:val="000000" w:themeColor="text1"/>
          <w:sz w:val="20"/>
          <w:szCs w:val="20"/>
        </w:rPr>
        <w:t>Sequoyah</w:t>
      </w:r>
      <w:r w:rsidRPr="007D0545">
        <w:rPr>
          <w:rFonts w:ascii="Cambria" w:hAnsi="Cambria"/>
          <w:sz w:val="20"/>
          <w:szCs w:val="20"/>
        </w:rPr>
        <w:t xml:space="preserve"> has been deprived of his liberty on death row for </w:t>
      </w:r>
      <w:r w:rsidR="00C74C37" w:rsidRPr="007D0545">
        <w:rPr>
          <w:rFonts w:ascii="Cambria" w:hAnsi="Cambria"/>
          <w:sz w:val="20"/>
          <w:szCs w:val="20"/>
        </w:rPr>
        <w:t>27</w:t>
      </w:r>
      <w:r w:rsidRPr="007D0545">
        <w:rPr>
          <w:rFonts w:ascii="Cambria" w:hAnsi="Cambria"/>
          <w:sz w:val="20"/>
          <w:szCs w:val="20"/>
        </w:rPr>
        <w:t xml:space="preserve"> years.</w:t>
      </w:r>
      <w:r w:rsidRPr="007D0545">
        <w:rPr>
          <w:rFonts w:ascii="Cambria" w:hAnsi="Cambria"/>
          <w:bCs/>
          <w:sz w:val="20"/>
          <w:szCs w:val="20"/>
        </w:rPr>
        <w:t xml:space="preserve"> </w:t>
      </w:r>
      <w:r w:rsidRPr="007D0545">
        <w:rPr>
          <w:rFonts w:ascii="Cambria" w:hAnsi="Cambria"/>
          <w:sz w:val="20"/>
          <w:szCs w:val="20"/>
        </w:rPr>
        <w:t>The Commission notes that the time spent on death row greatly exceeds the length of time that other international and domestic courts have characterized as cruel, inhuman and degrading treatment. The very fact of spending 2</w:t>
      </w:r>
      <w:r w:rsidR="00C74C37" w:rsidRPr="007D0545">
        <w:rPr>
          <w:rFonts w:ascii="Cambria" w:hAnsi="Cambria"/>
          <w:sz w:val="20"/>
          <w:szCs w:val="20"/>
        </w:rPr>
        <w:t>7</w:t>
      </w:r>
      <w:r w:rsidRPr="007D0545">
        <w:rPr>
          <w:rFonts w:ascii="Cambria" w:hAnsi="Cambria"/>
          <w:sz w:val="20"/>
          <w:szCs w:val="20"/>
        </w:rPr>
        <w:t xml:space="preserve"> years on death row is, by any account, excessive and inhuman, and is aggravated by the prolonged expectation that the death sentence could be executed.</w:t>
      </w:r>
      <w:r w:rsidRPr="007D0545">
        <w:rPr>
          <w:rFonts w:ascii="Cambria" w:hAnsi="Cambria"/>
          <w:bCs/>
          <w:i/>
          <w:sz w:val="20"/>
          <w:szCs w:val="20"/>
        </w:rPr>
        <w:t xml:space="preserve"> </w:t>
      </w:r>
      <w:r w:rsidRPr="007D0545">
        <w:rPr>
          <w:rFonts w:ascii="Cambria" w:hAnsi="Cambria"/>
          <w:sz w:val="20"/>
          <w:szCs w:val="20"/>
        </w:rPr>
        <w:t xml:space="preserve">Consequently, the United States is responsible for violating, to the detriment of Mr. </w:t>
      </w:r>
      <w:r w:rsidR="00C74C37" w:rsidRPr="007D0545">
        <w:rPr>
          <w:rFonts w:asciiTheme="majorHAnsi" w:hAnsiTheme="majorHAnsi"/>
          <w:color w:val="000000" w:themeColor="text1"/>
          <w:sz w:val="20"/>
          <w:szCs w:val="20"/>
        </w:rPr>
        <w:t>Sequoyah</w:t>
      </w:r>
      <w:r w:rsidRPr="007D0545">
        <w:rPr>
          <w:rFonts w:ascii="Cambria" w:hAnsi="Cambria"/>
          <w:sz w:val="20"/>
          <w:szCs w:val="20"/>
        </w:rPr>
        <w:t>, the right to humane treatment, and not to receive cruel, infamous or unusual punishment established in the American Declaration.</w:t>
      </w:r>
      <w:r w:rsidRPr="007D0545">
        <w:rPr>
          <w:rFonts w:ascii="Cambria" w:hAnsi="Cambria"/>
          <w:b/>
          <w:sz w:val="20"/>
          <w:szCs w:val="20"/>
        </w:rPr>
        <w:t xml:space="preserve">  </w:t>
      </w:r>
    </w:p>
    <w:p w14:paraId="180B6B1B" w14:textId="77777777" w:rsidR="00A24331" w:rsidRPr="007D0545" w:rsidRDefault="00A24331" w:rsidP="009412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bookmarkStart w:id="23" w:name="_Toc469320066"/>
      <w:bookmarkStart w:id="24" w:name="_Toc511310304"/>
      <w:bookmarkStart w:id="25" w:name="_Toc512265317"/>
    </w:p>
    <w:p w14:paraId="0918A9C1" w14:textId="77777777" w:rsidR="000E1356" w:rsidRPr="007D0545" w:rsidRDefault="000E1356" w:rsidP="00390D19">
      <w:pPr>
        <w:pStyle w:val="Heading2"/>
        <w:numPr>
          <w:ilvl w:val="0"/>
          <w:numId w:val="59"/>
        </w:numPr>
        <w:spacing w:before="0"/>
        <w:ind w:left="1440" w:hanging="720"/>
        <w:jc w:val="both"/>
        <w:rPr>
          <w:color w:val="auto"/>
          <w:sz w:val="20"/>
          <w:szCs w:val="20"/>
        </w:rPr>
      </w:pPr>
      <w:bookmarkStart w:id="26" w:name="_Toc26556101"/>
      <w:r w:rsidRPr="007D0545">
        <w:rPr>
          <w:color w:val="auto"/>
          <w:sz w:val="20"/>
          <w:szCs w:val="20"/>
        </w:rPr>
        <w:t>The right to life</w:t>
      </w:r>
      <w:r w:rsidRPr="007D0545">
        <w:rPr>
          <w:rStyle w:val="FootnoteReference"/>
          <w:color w:val="auto"/>
          <w:sz w:val="20"/>
          <w:szCs w:val="20"/>
        </w:rPr>
        <w:footnoteReference w:id="73"/>
      </w:r>
      <w:r w:rsidRPr="007D0545">
        <w:rPr>
          <w:color w:val="auto"/>
          <w:sz w:val="20"/>
          <w:szCs w:val="20"/>
        </w:rPr>
        <w:t xml:space="preserve"> </w:t>
      </w:r>
      <w:r w:rsidR="00A5028C" w:rsidRPr="007D0545">
        <w:rPr>
          <w:color w:val="auto"/>
          <w:sz w:val="20"/>
          <w:szCs w:val="20"/>
        </w:rPr>
        <w:t xml:space="preserve">and the right to protection against cruel, infamous or unusual punishment </w:t>
      </w:r>
      <w:r w:rsidRPr="007D0545">
        <w:rPr>
          <w:color w:val="auto"/>
          <w:sz w:val="20"/>
          <w:szCs w:val="20"/>
        </w:rPr>
        <w:t xml:space="preserve">with respect to the eventual execution of </w:t>
      </w:r>
      <w:bookmarkEnd w:id="23"/>
      <w:bookmarkEnd w:id="24"/>
      <w:bookmarkEnd w:id="25"/>
      <w:r w:rsidR="00B46033" w:rsidRPr="007D0545">
        <w:rPr>
          <w:color w:val="000000" w:themeColor="text1"/>
          <w:sz w:val="20"/>
          <w:szCs w:val="20"/>
        </w:rPr>
        <w:t>Nvwtohiyada Idehesdi Sequoyah</w:t>
      </w:r>
      <w:bookmarkEnd w:id="26"/>
    </w:p>
    <w:p w14:paraId="1234F468" w14:textId="77777777" w:rsidR="000E1356" w:rsidRPr="007D0545" w:rsidRDefault="000E1356" w:rsidP="009412E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Cambria" w:hAnsi="Cambria"/>
          <w:bCs/>
          <w:sz w:val="20"/>
          <w:szCs w:val="20"/>
        </w:rPr>
      </w:pPr>
    </w:p>
    <w:p w14:paraId="14910277" w14:textId="77777777" w:rsidR="000E1356" w:rsidRPr="007D0545" w:rsidRDefault="000E1356" w:rsidP="00AD4C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7D0545">
        <w:rPr>
          <w:rFonts w:ascii="Cambria" w:hAnsi="Cambria"/>
          <w:sz w:val="20"/>
          <w:szCs w:val="20"/>
        </w:rPr>
        <w:t>The Commission reiterates that it is not competent to review judgments handed down by domestic courts acting within their spheres of competence and with due judicial guarantees. In principle that is because the IACHR does not have the authority to superimpose its own interpretations on the assessment of facts made by national courts. The fourth instance formula, however, does not preclude the Commission from considering a case in which the petitioner</w:t>
      </w:r>
      <w:r w:rsidR="00217D6A" w:rsidRPr="007D0545">
        <w:rPr>
          <w:rFonts w:ascii="Cambria" w:hAnsi="Cambria"/>
          <w:sz w:val="20"/>
          <w:szCs w:val="20"/>
        </w:rPr>
        <w:t>’</w:t>
      </w:r>
      <w:r w:rsidRPr="007D0545">
        <w:rPr>
          <w:rFonts w:ascii="Cambria" w:hAnsi="Cambria"/>
          <w:sz w:val="20"/>
          <w:szCs w:val="20"/>
        </w:rPr>
        <w:t>s allegations entail a possible violation of any of the rights set forth in the Declaration.</w:t>
      </w:r>
      <w:r w:rsidRPr="007D0545">
        <w:rPr>
          <w:rStyle w:val="FootnoteReference"/>
          <w:rFonts w:ascii="Cambria" w:hAnsi="Cambria"/>
          <w:sz w:val="20"/>
          <w:szCs w:val="20"/>
        </w:rPr>
        <w:footnoteReference w:id="74"/>
      </w:r>
      <w:r w:rsidRPr="007D0545">
        <w:rPr>
          <w:rFonts w:ascii="Cambria" w:hAnsi="Cambria"/>
          <w:sz w:val="20"/>
          <w:szCs w:val="20"/>
        </w:rPr>
        <w:t xml:space="preserve"> This authority is heightened in cases involving imposition of the death penalty, given its irreversibility. </w:t>
      </w:r>
    </w:p>
    <w:p w14:paraId="1A184A0D" w14:textId="77777777" w:rsidR="000E1356" w:rsidRPr="007D0545" w:rsidRDefault="000E1356" w:rsidP="00AD4CD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2040"/>
        </w:tabs>
        <w:autoSpaceDE w:val="0"/>
        <w:autoSpaceDN w:val="0"/>
        <w:adjustRightInd w:val="0"/>
        <w:jc w:val="both"/>
        <w:rPr>
          <w:rFonts w:ascii="Cambria" w:hAnsi="Cambria"/>
          <w:bCs/>
          <w:sz w:val="20"/>
          <w:szCs w:val="20"/>
        </w:rPr>
      </w:pPr>
    </w:p>
    <w:p w14:paraId="30DD9EC1" w14:textId="77777777" w:rsidR="000E1356" w:rsidRPr="007D0545" w:rsidRDefault="000E1356" w:rsidP="00AD4C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7D0545">
        <w:rPr>
          <w:rFonts w:ascii="Cambria" w:hAnsi="Cambria"/>
          <w:sz w:val="20"/>
          <w:szCs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7D0545">
        <w:rPr>
          <w:rStyle w:val="FootnoteReference"/>
          <w:rFonts w:ascii="Cambria" w:hAnsi="Cambria"/>
          <w:sz w:val="20"/>
          <w:szCs w:val="20"/>
        </w:rPr>
        <w:footnoteReference w:id="75"/>
      </w:r>
    </w:p>
    <w:p w14:paraId="41201746" w14:textId="77777777" w:rsidR="000E1356" w:rsidRPr="007D0545" w:rsidRDefault="000E1356" w:rsidP="009F76D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Arial Unicode MS" w:cs="Times New Roman"/>
          <w:color w:val="auto"/>
          <w:sz w:val="20"/>
          <w:szCs w:val="20"/>
          <w:lang w:eastAsia="en-US"/>
        </w:rPr>
      </w:pPr>
    </w:p>
    <w:p w14:paraId="0729A503" w14:textId="77777777" w:rsidR="000E1356" w:rsidRPr="007D0545" w:rsidRDefault="000E1356" w:rsidP="00AD4C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7D0545">
        <w:rPr>
          <w:rFonts w:ascii="Cambria" w:hAnsi="Cambria"/>
          <w:sz w:val="20"/>
          <w:szCs w:val="20"/>
        </w:rPr>
        <w:t xml:space="preserve">Throughout this report, the Commission established that </w:t>
      </w:r>
      <w:r w:rsidR="00C14CE0" w:rsidRPr="007D0545">
        <w:rPr>
          <w:rFonts w:ascii="Cambria" w:hAnsi="Cambria"/>
          <w:sz w:val="20"/>
          <w:szCs w:val="20"/>
        </w:rPr>
        <w:t>the</w:t>
      </w:r>
      <w:r w:rsidR="00E9316D" w:rsidRPr="007D0545">
        <w:rPr>
          <w:rFonts w:ascii="Cambria" w:hAnsi="Cambria"/>
          <w:sz w:val="20"/>
          <w:szCs w:val="20"/>
        </w:rPr>
        <w:t>re was a</w:t>
      </w:r>
      <w:r w:rsidR="00C14CE0" w:rsidRPr="007D0545">
        <w:rPr>
          <w:rFonts w:ascii="Cambria" w:hAnsi="Cambria"/>
          <w:sz w:val="20"/>
          <w:szCs w:val="20"/>
        </w:rPr>
        <w:t xml:space="preserve"> </w:t>
      </w:r>
      <w:r w:rsidR="00E9316D" w:rsidRPr="007D0545">
        <w:rPr>
          <w:rFonts w:ascii="Cambria" w:hAnsi="Cambria"/>
          <w:sz w:val="20"/>
          <w:szCs w:val="20"/>
        </w:rPr>
        <w:t xml:space="preserve">lack of rigorous scrutiny </w:t>
      </w:r>
      <w:r w:rsidR="002F35CB" w:rsidRPr="007D0545">
        <w:rPr>
          <w:rFonts w:ascii="Cambria" w:hAnsi="Cambria"/>
          <w:sz w:val="20"/>
          <w:szCs w:val="20"/>
        </w:rPr>
        <w:t xml:space="preserve">by the courts </w:t>
      </w:r>
      <w:r w:rsidR="00E9316D" w:rsidRPr="007D0545">
        <w:rPr>
          <w:rFonts w:ascii="Cambria" w:hAnsi="Cambria"/>
          <w:sz w:val="20"/>
          <w:szCs w:val="20"/>
        </w:rPr>
        <w:t>at the time of deciding on the motion for</w:t>
      </w:r>
      <w:r w:rsidR="00A10C01" w:rsidRPr="007D0545">
        <w:rPr>
          <w:rFonts w:ascii="Cambria" w:hAnsi="Cambria"/>
          <w:sz w:val="20"/>
          <w:szCs w:val="20"/>
        </w:rPr>
        <w:t xml:space="preserve"> </w:t>
      </w:r>
      <w:r w:rsidR="00E9316D" w:rsidRPr="007D0545">
        <w:rPr>
          <w:rFonts w:ascii="Cambria" w:hAnsi="Cambria"/>
          <w:sz w:val="20"/>
          <w:szCs w:val="20"/>
        </w:rPr>
        <w:t>self</w:t>
      </w:r>
      <w:r w:rsidR="00A10C01" w:rsidRPr="007D0545">
        <w:rPr>
          <w:rFonts w:ascii="Cambria" w:hAnsi="Cambria"/>
          <w:sz w:val="20"/>
          <w:szCs w:val="20"/>
        </w:rPr>
        <w:t>-</w:t>
      </w:r>
      <w:r w:rsidR="00E9316D" w:rsidRPr="007D0545">
        <w:rPr>
          <w:rFonts w:ascii="Cambria" w:hAnsi="Cambria"/>
          <w:sz w:val="20"/>
          <w:szCs w:val="20"/>
        </w:rPr>
        <w:t>representation, that there were doubts as to Mr. Sequoyah</w:t>
      </w:r>
      <w:r w:rsidR="000A7A76" w:rsidRPr="007D0545">
        <w:rPr>
          <w:rFonts w:ascii="Cambria" w:hAnsi="Cambria"/>
          <w:sz w:val="20"/>
          <w:szCs w:val="20"/>
        </w:rPr>
        <w:t>’s</w:t>
      </w:r>
      <w:r w:rsidR="00E9316D" w:rsidRPr="007D0545">
        <w:rPr>
          <w:rFonts w:ascii="Cambria" w:hAnsi="Cambria"/>
          <w:sz w:val="20"/>
          <w:szCs w:val="20"/>
        </w:rPr>
        <w:t xml:space="preserve"> competency to stand trial, </w:t>
      </w:r>
      <w:r w:rsidR="002F35CB" w:rsidRPr="007D0545">
        <w:rPr>
          <w:rFonts w:ascii="Cambria" w:hAnsi="Cambria"/>
          <w:sz w:val="20"/>
          <w:szCs w:val="20"/>
        </w:rPr>
        <w:t xml:space="preserve">and that there was </w:t>
      </w:r>
      <w:r w:rsidR="000A7A76" w:rsidRPr="007D0545">
        <w:rPr>
          <w:rFonts w:ascii="Cambria" w:hAnsi="Cambria"/>
          <w:sz w:val="20"/>
          <w:szCs w:val="20"/>
        </w:rPr>
        <w:t>unwarranted delay in the appointment of the appellate defense counsel</w:t>
      </w:r>
      <w:r w:rsidR="00A10C01" w:rsidRPr="007D0545">
        <w:rPr>
          <w:rFonts w:ascii="Cambria" w:hAnsi="Cambria"/>
          <w:sz w:val="20"/>
          <w:szCs w:val="20"/>
        </w:rPr>
        <w:t>,</w:t>
      </w:r>
      <w:r w:rsidR="000A7A76" w:rsidRPr="007D0545">
        <w:rPr>
          <w:rFonts w:ascii="Cambria" w:hAnsi="Cambria"/>
          <w:sz w:val="20"/>
          <w:szCs w:val="20"/>
        </w:rPr>
        <w:t xml:space="preserve"> as well as </w:t>
      </w:r>
      <w:r w:rsidR="002F35CB" w:rsidRPr="007D0545">
        <w:rPr>
          <w:rFonts w:ascii="Cambria" w:hAnsi="Cambria"/>
          <w:sz w:val="20"/>
          <w:szCs w:val="20"/>
        </w:rPr>
        <w:t xml:space="preserve">in </w:t>
      </w:r>
      <w:r w:rsidR="000A7A76" w:rsidRPr="007D0545">
        <w:rPr>
          <w:rFonts w:ascii="Cambria" w:hAnsi="Cambria"/>
          <w:sz w:val="20"/>
          <w:szCs w:val="20"/>
        </w:rPr>
        <w:t>the</w:t>
      </w:r>
      <w:r w:rsidR="002F35CB" w:rsidRPr="007D0545">
        <w:rPr>
          <w:rFonts w:ascii="Cambria" w:hAnsi="Cambria"/>
          <w:sz w:val="20"/>
          <w:szCs w:val="20"/>
        </w:rPr>
        <w:t xml:space="preserve"> appellate proceedings.</w:t>
      </w:r>
      <w:r w:rsidR="00684434" w:rsidRPr="007D0545">
        <w:rPr>
          <w:rFonts w:ascii="Cambria" w:eastAsia="Times New Roman" w:hAnsi="Cambria"/>
          <w:sz w:val="20"/>
          <w:szCs w:val="20"/>
          <w:bdr w:val="none" w:sz="0" w:space="0" w:color="auto"/>
        </w:rPr>
        <w:t xml:space="preserve"> </w:t>
      </w:r>
      <w:r w:rsidR="002F35CB" w:rsidRPr="007D0545">
        <w:rPr>
          <w:rFonts w:ascii="Cambria" w:eastAsia="Times New Roman" w:hAnsi="Cambria"/>
          <w:sz w:val="20"/>
          <w:szCs w:val="20"/>
          <w:bdr w:val="none" w:sz="0" w:space="0" w:color="auto"/>
        </w:rPr>
        <w:t>T</w:t>
      </w:r>
      <w:r w:rsidRPr="007D0545">
        <w:rPr>
          <w:rFonts w:ascii="Cambria" w:hAnsi="Cambria"/>
          <w:sz w:val="20"/>
          <w:szCs w:val="20"/>
        </w:rPr>
        <w:t>he Commission</w:t>
      </w:r>
      <w:r w:rsidR="002F35CB" w:rsidRPr="007D0545">
        <w:rPr>
          <w:rFonts w:ascii="Cambria" w:hAnsi="Cambria"/>
          <w:sz w:val="20"/>
          <w:szCs w:val="20"/>
        </w:rPr>
        <w:t xml:space="preserve"> also</w:t>
      </w:r>
      <w:r w:rsidRPr="007D0545">
        <w:rPr>
          <w:rFonts w:ascii="Cambria" w:hAnsi="Cambria"/>
          <w:sz w:val="20"/>
          <w:szCs w:val="20"/>
        </w:rPr>
        <w:t xml:space="preserve"> established that the </w:t>
      </w:r>
      <w:r w:rsidR="001A6423" w:rsidRPr="007D0545">
        <w:rPr>
          <w:rFonts w:ascii="Cambria" w:hAnsi="Cambria"/>
          <w:sz w:val="20"/>
          <w:szCs w:val="20"/>
        </w:rPr>
        <w:t>27</w:t>
      </w:r>
      <w:r w:rsidRPr="007D0545">
        <w:rPr>
          <w:rFonts w:ascii="Cambria" w:hAnsi="Cambria"/>
          <w:sz w:val="20"/>
          <w:szCs w:val="20"/>
        </w:rPr>
        <w:t xml:space="preserve"> years that Mr. </w:t>
      </w:r>
      <w:r w:rsidR="001A6423" w:rsidRPr="007D0545">
        <w:rPr>
          <w:rFonts w:ascii="Cambria" w:hAnsi="Cambria"/>
          <w:sz w:val="20"/>
          <w:szCs w:val="20"/>
        </w:rPr>
        <w:t>Sequoyah</w:t>
      </w:r>
      <w:r w:rsidR="003A4B42" w:rsidRPr="007D0545">
        <w:rPr>
          <w:rFonts w:ascii="Cambria" w:hAnsi="Cambria"/>
          <w:sz w:val="20"/>
          <w:szCs w:val="20"/>
        </w:rPr>
        <w:t xml:space="preserve"> </w:t>
      </w:r>
      <w:r w:rsidRPr="007D0545">
        <w:rPr>
          <w:rFonts w:ascii="Cambria" w:hAnsi="Cambria"/>
          <w:sz w:val="20"/>
          <w:szCs w:val="20"/>
        </w:rPr>
        <w:t xml:space="preserve">has been </w:t>
      </w:r>
      <w:r w:rsidR="00A10C01" w:rsidRPr="007D0545">
        <w:rPr>
          <w:rFonts w:ascii="Cambria" w:hAnsi="Cambria"/>
          <w:sz w:val="20"/>
          <w:szCs w:val="20"/>
        </w:rPr>
        <w:t xml:space="preserve">on </w:t>
      </w:r>
      <w:r w:rsidRPr="007D0545">
        <w:rPr>
          <w:rFonts w:ascii="Cambria" w:hAnsi="Cambria"/>
          <w:sz w:val="20"/>
          <w:szCs w:val="20"/>
        </w:rPr>
        <w:t xml:space="preserve">death row constitute cruel and inhuman treatment.  </w:t>
      </w:r>
    </w:p>
    <w:p w14:paraId="63AC09A1" w14:textId="77777777" w:rsidR="000E1356" w:rsidRPr="007D0545" w:rsidRDefault="000E1356" w:rsidP="00AD4CD7">
      <w:pPr>
        <w:pStyle w:val="ListParagraph"/>
        <w:ind w:left="0"/>
        <w:rPr>
          <w:sz w:val="20"/>
          <w:szCs w:val="20"/>
        </w:rPr>
      </w:pPr>
    </w:p>
    <w:p w14:paraId="59FA3F67" w14:textId="77777777" w:rsidR="000E1356" w:rsidRPr="007D0545" w:rsidRDefault="000E1356" w:rsidP="00AD4C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7D0545">
        <w:rPr>
          <w:rFonts w:ascii="Cambria" w:hAnsi="Cambria"/>
          <w:sz w:val="20"/>
          <w:szCs w:val="20"/>
        </w:rPr>
        <w:t>Under these circumstances, the IACHR has maintained that executing a person after proceedings that were conducted in violation of his rights would be extremely grave and constitute a deliberate violation of the right to life established in Article I of the American Declaration.</w:t>
      </w:r>
      <w:r w:rsidRPr="007D0545">
        <w:rPr>
          <w:rStyle w:val="FootnoteReference"/>
          <w:rFonts w:ascii="Cambria" w:hAnsi="Cambria"/>
          <w:sz w:val="20"/>
          <w:szCs w:val="20"/>
        </w:rPr>
        <w:footnoteReference w:id="76"/>
      </w:r>
      <w:r w:rsidRPr="007D0545">
        <w:rPr>
          <w:rFonts w:ascii="Cambria" w:hAnsi="Cambria"/>
          <w:sz w:val="20"/>
          <w:szCs w:val="20"/>
        </w:rPr>
        <w:t xml:space="preserve"> </w:t>
      </w:r>
      <w:r w:rsidR="00A5028C" w:rsidRPr="007D0545">
        <w:rPr>
          <w:rFonts w:ascii="Cambria" w:hAnsi="Cambria"/>
          <w:sz w:val="20"/>
          <w:szCs w:val="20"/>
        </w:rPr>
        <w:t xml:space="preserve">Further, based on the conclusions regarding the deprivation of liberty on death row, the eventual execution of Mr. </w:t>
      </w:r>
      <w:r w:rsidR="001A6423" w:rsidRPr="007D0545">
        <w:rPr>
          <w:rFonts w:ascii="Cambria" w:hAnsi="Cambria"/>
          <w:sz w:val="20"/>
          <w:szCs w:val="20"/>
        </w:rPr>
        <w:t>Sequoyah</w:t>
      </w:r>
      <w:r w:rsidR="00A5028C" w:rsidRPr="007D0545">
        <w:rPr>
          <w:rFonts w:ascii="Cambria" w:hAnsi="Cambria"/>
          <w:sz w:val="20"/>
          <w:szCs w:val="20"/>
        </w:rPr>
        <w:t xml:space="preserve"> would constitute, by any </w:t>
      </w:r>
      <w:r w:rsidR="00A5028C" w:rsidRPr="007D0545">
        <w:rPr>
          <w:rFonts w:ascii="Cambria" w:hAnsi="Cambria"/>
          <w:sz w:val="20"/>
          <w:szCs w:val="20"/>
        </w:rPr>
        <w:lastRenderedPageBreak/>
        <w:t xml:space="preserve">account, a violation of the right to protection against cruel, infamous or unusual punishment. </w:t>
      </w:r>
      <w:r w:rsidRPr="007D0545">
        <w:rPr>
          <w:rFonts w:ascii="Cambria" w:hAnsi="Cambria"/>
          <w:sz w:val="20"/>
          <w:szCs w:val="20"/>
        </w:rPr>
        <w:t xml:space="preserve">In light of the foregoing and taking into account the determinations made throughout this report, the IACHR concludes that the execution of </w:t>
      </w:r>
      <w:r w:rsidR="001A6423" w:rsidRPr="007D0545">
        <w:rPr>
          <w:rFonts w:ascii="Cambria" w:hAnsi="Cambria"/>
          <w:sz w:val="20"/>
          <w:szCs w:val="20"/>
        </w:rPr>
        <w:t xml:space="preserve">Mr. Sequoyah </w:t>
      </w:r>
      <w:r w:rsidRPr="007D0545">
        <w:rPr>
          <w:rFonts w:ascii="Cambria" w:hAnsi="Cambria"/>
          <w:sz w:val="20"/>
          <w:szCs w:val="20"/>
        </w:rPr>
        <w:t>would constitute a serious violation of his right to life established in Articles I of the American Declaration.</w:t>
      </w:r>
    </w:p>
    <w:p w14:paraId="705F2B0E" w14:textId="77777777" w:rsidR="000E1356" w:rsidRPr="007D0545" w:rsidRDefault="000E1356" w:rsidP="009412E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bCs/>
          <w:i/>
          <w:sz w:val="20"/>
          <w:szCs w:val="20"/>
        </w:rPr>
      </w:pPr>
    </w:p>
    <w:p w14:paraId="0E03B3B9" w14:textId="77777777" w:rsidR="00AB712B" w:rsidRPr="007D0545" w:rsidRDefault="00AB712B" w:rsidP="009412E0">
      <w:pPr>
        <w:pStyle w:val="Heading1"/>
        <w:spacing w:before="0"/>
        <w:ind w:left="1440" w:hanging="720"/>
        <w:rPr>
          <w:color w:val="auto"/>
          <w:sz w:val="20"/>
          <w:szCs w:val="20"/>
        </w:rPr>
      </w:pPr>
      <w:bookmarkStart w:id="27" w:name="_Toc26556102"/>
      <w:r w:rsidRPr="007D0545">
        <w:rPr>
          <w:color w:val="auto"/>
          <w:sz w:val="20"/>
          <w:szCs w:val="20"/>
        </w:rPr>
        <w:t>ACTIONS SUBSEQUENT TO REPORT No. 15/19</w:t>
      </w:r>
      <w:bookmarkEnd w:id="27"/>
    </w:p>
    <w:p w14:paraId="3F126898" w14:textId="77777777" w:rsidR="00AB712B" w:rsidRPr="007D0545" w:rsidRDefault="00AB712B" w:rsidP="00AB712B">
      <w:pPr>
        <w:pStyle w:val="Heading1"/>
        <w:numPr>
          <w:ilvl w:val="0"/>
          <w:numId w:val="0"/>
        </w:numPr>
        <w:spacing w:before="0"/>
        <w:ind w:left="1440"/>
        <w:rPr>
          <w:color w:val="auto"/>
          <w:sz w:val="20"/>
          <w:szCs w:val="20"/>
        </w:rPr>
      </w:pPr>
    </w:p>
    <w:p w14:paraId="40436563" w14:textId="77777777" w:rsidR="00AB712B" w:rsidRPr="007D0545" w:rsidRDefault="00AB712B" w:rsidP="00AB7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rPr>
          <w:rFonts w:ascii="Cambria" w:hAnsi="Cambria"/>
          <w:sz w:val="20"/>
          <w:szCs w:val="20"/>
        </w:rPr>
      </w:pPr>
      <w:r w:rsidRPr="007D0545">
        <w:rPr>
          <w:rFonts w:ascii="Cambria" w:hAnsi="Cambria"/>
          <w:sz w:val="20"/>
          <w:szCs w:val="20"/>
        </w:rPr>
        <w:t xml:space="preserve">On February 12, 2019, the Commission approved Report No. 15/19 on the merits of the instant case, which encompasses paragraphs 1 to 74 </w:t>
      </w:r>
      <w:r w:rsidRPr="007D0545">
        <w:rPr>
          <w:rFonts w:ascii="Cambria" w:hAnsi="Cambria"/>
          <w:i/>
          <w:sz w:val="20"/>
          <w:szCs w:val="20"/>
        </w:rPr>
        <w:t>supra</w:t>
      </w:r>
      <w:r w:rsidRPr="007D0545">
        <w:rPr>
          <w:rFonts w:ascii="Cambria" w:hAnsi="Cambria"/>
          <w:sz w:val="20"/>
          <w:szCs w:val="20"/>
        </w:rPr>
        <w:t xml:space="preserve">, and issued the following recommendations to the State: </w:t>
      </w:r>
    </w:p>
    <w:p w14:paraId="74955C75" w14:textId="77777777" w:rsidR="00AB712B" w:rsidRPr="007D0545" w:rsidRDefault="00AB712B" w:rsidP="00AB71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rPr>
      </w:pPr>
    </w:p>
    <w:p w14:paraId="2108D803" w14:textId="77777777" w:rsidR="00AB712B" w:rsidRPr="007D0545" w:rsidRDefault="00AB712B" w:rsidP="00AB71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rFonts w:eastAsia="Times New Roman" w:cs="Tahoma"/>
          <w:sz w:val="20"/>
          <w:szCs w:val="20"/>
          <w:bdr w:val="none" w:sz="0" w:space="0" w:color="auto"/>
        </w:rPr>
        <w:t xml:space="preserve">Grant </w:t>
      </w:r>
      <w:r w:rsidRPr="007D0545">
        <w:rPr>
          <w:rFonts w:asciiTheme="majorHAnsi" w:hAnsiTheme="majorHAnsi"/>
          <w:color w:val="000000" w:themeColor="text1"/>
          <w:sz w:val="20"/>
          <w:szCs w:val="20"/>
        </w:rPr>
        <w:t>Nvwtohiyada Idehesdi Sequoyah</w:t>
      </w:r>
      <w:r w:rsidRPr="007D0545">
        <w:rPr>
          <w:rFonts w:eastAsia="Times New Roman" w:cs="Tahoma"/>
          <w:sz w:val="20"/>
          <w:szCs w:val="20"/>
          <w:bdr w:val="none" w:sz="0" w:space="0" w:color="auto"/>
        </w:rPr>
        <w:t xml:space="preserve"> effective relief, including the review of his trial and sentence in accordance with the guarantees of fair trial and due process set forth in Articles </w:t>
      </w:r>
      <w:r w:rsidRPr="007D0545">
        <w:rPr>
          <w:rFonts w:asciiTheme="majorHAnsi" w:hAnsiTheme="majorHAnsi"/>
          <w:color w:val="000000" w:themeColor="text1"/>
          <w:sz w:val="20"/>
          <w:szCs w:val="20"/>
        </w:rPr>
        <w:t xml:space="preserve">XVIII, XXIV, XXV and XXVI </w:t>
      </w:r>
      <w:r w:rsidRPr="007D0545">
        <w:rPr>
          <w:rFonts w:eastAsia="Times New Roman" w:cs="Tahoma"/>
          <w:sz w:val="20"/>
          <w:szCs w:val="20"/>
          <w:bdr w:val="none" w:sz="0" w:space="0" w:color="auto"/>
        </w:rPr>
        <w:t xml:space="preserve">of the American Declaration. </w:t>
      </w:r>
      <w:r w:rsidRPr="007D0545">
        <w:rPr>
          <w:rFonts w:cs="Arial"/>
          <w:color w:val="auto"/>
          <w:sz w:val="20"/>
          <w:szCs w:val="20"/>
        </w:rPr>
        <w:t xml:space="preserve">Taking into account the conclusions of the IACHR on the time </w:t>
      </w:r>
      <w:r w:rsidRPr="007D0545">
        <w:rPr>
          <w:rFonts w:asciiTheme="majorHAnsi" w:hAnsiTheme="majorHAnsi"/>
          <w:color w:val="000000" w:themeColor="text1"/>
          <w:sz w:val="20"/>
          <w:szCs w:val="20"/>
        </w:rPr>
        <w:t>Nvwtohiyada Idehesdi Sequoyah</w:t>
      </w:r>
      <w:r w:rsidRPr="007D0545">
        <w:rPr>
          <w:rFonts w:cs="Arial"/>
          <w:color w:val="auto"/>
          <w:sz w:val="20"/>
          <w:szCs w:val="20"/>
        </w:rPr>
        <w:t xml:space="preserve"> has been held on death row, the Commission recommends that his sentence be commuted</w:t>
      </w:r>
      <w:r w:rsidRPr="007D0545">
        <w:rPr>
          <w:rFonts w:eastAsia="Times New Roman" w:cs="Tahoma"/>
          <w:sz w:val="20"/>
          <w:szCs w:val="20"/>
          <w:bdr w:val="none" w:sz="0" w:space="0" w:color="auto"/>
        </w:rPr>
        <w:t>.</w:t>
      </w:r>
    </w:p>
    <w:p w14:paraId="6B53A6F5" w14:textId="77777777" w:rsidR="00AB712B" w:rsidRPr="007D0545" w:rsidRDefault="00AB712B" w:rsidP="00AB71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0338E3DE" w14:textId="77777777" w:rsidR="00AB712B" w:rsidRPr="007D0545" w:rsidRDefault="00AB712B" w:rsidP="00AB71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sz w:val="20"/>
        </w:rPr>
        <w:t>Review its laws, procedures, and practices to ensure that persons accused of capital crimes are tried and, if convicted, sentenced in accordance with the rights established in the American Declaration, including Articles I, XVIII, XXIV, XXV and XXVI thereof, and, in particular,</w:t>
      </w:r>
      <w:r w:rsidRPr="007D0545">
        <w:rPr>
          <w:rFonts w:eastAsia="Times New Roman"/>
          <w:sz w:val="20"/>
          <w:szCs w:val="20"/>
          <w:bdr w:val="none" w:sz="0" w:space="0" w:color="auto"/>
        </w:rPr>
        <w:t xml:space="preserve"> that no one with a mental or intellectual disability at the time of the commission of the crime or execution of the death sentence receives the death penalty or is executed</w:t>
      </w:r>
      <w:r w:rsidRPr="007D0545">
        <w:rPr>
          <w:sz w:val="20"/>
        </w:rPr>
        <w:t>.</w:t>
      </w:r>
    </w:p>
    <w:p w14:paraId="388A6DA0" w14:textId="77777777" w:rsidR="00AB712B" w:rsidRPr="007D0545" w:rsidRDefault="00AB712B" w:rsidP="00AB71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319C72E3" w14:textId="77777777" w:rsidR="00AB712B" w:rsidRPr="007D0545" w:rsidRDefault="00AB712B" w:rsidP="00AB71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rFonts w:eastAsia="Times New Roman" w:cs="Tahoma"/>
          <w:sz w:val="20"/>
          <w:szCs w:val="20"/>
          <w:bdr w:val="none" w:sz="0" w:space="0" w:color="auto"/>
        </w:rPr>
        <w:t xml:space="preserve">Review its laws, procedures, and practices to ensure that a </w:t>
      </w:r>
      <w:r w:rsidRPr="007D0545">
        <w:rPr>
          <w:rFonts w:asciiTheme="majorHAnsi" w:eastAsia="Arial Unicode MS" w:hAnsiTheme="majorHAnsi"/>
          <w:sz w:val="20"/>
          <w:szCs w:val="20"/>
        </w:rPr>
        <w:t>differentiated and more rigorous standard is applied when assessing a defendant’s competence to self-represent in death penalty cases.</w:t>
      </w:r>
    </w:p>
    <w:p w14:paraId="59F03E30" w14:textId="77777777" w:rsidR="00AB712B" w:rsidRPr="007D0545" w:rsidRDefault="00AB712B" w:rsidP="00AB712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708E9B77" w14:textId="77777777" w:rsidR="00AB712B" w:rsidRPr="007D0545" w:rsidRDefault="00AB712B" w:rsidP="00AB71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rFonts w:eastAsia="Times New Roman" w:cs="Tahoma"/>
          <w:sz w:val="20"/>
          <w:szCs w:val="20"/>
          <w:bdr w:val="none" w:sz="0" w:space="0" w:color="auto"/>
        </w:rPr>
        <w:t xml:space="preserve">Review its laws, procedures, and practices to ensure that death penalty conviction and post-conviction proceedings fully comply with the right to be tried without undue delay. </w:t>
      </w:r>
    </w:p>
    <w:p w14:paraId="29EF10E1" w14:textId="77777777" w:rsidR="00AB712B" w:rsidRPr="007D0545" w:rsidRDefault="00AB712B" w:rsidP="00AB712B">
      <w:pPr>
        <w:pStyle w:val="ListParagraph"/>
        <w:rPr>
          <w:sz w:val="20"/>
        </w:rPr>
      </w:pPr>
    </w:p>
    <w:p w14:paraId="536749E6" w14:textId="77777777" w:rsidR="00AB712B" w:rsidRPr="007D0545" w:rsidRDefault="00AB712B" w:rsidP="00AB71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rFonts w:asciiTheme="majorHAnsi" w:hAnsiTheme="majorHAnsi"/>
          <w:sz w:val="20"/>
        </w:rPr>
        <w:t>Given the violations of the American Declaration the IACHR has established in the present</w:t>
      </w:r>
      <w:r w:rsidRPr="007D0545">
        <w:rPr>
          <w:sz w:val="20"/>
        </w:rPr>
        <w:t xml:space="preserve"> case and in others involving application of the death penalty, the Inter-American Commission also recommends to the United States that it adopt a moratorium on executions of persons sentenced to death.</w:t>
      </w:r>
      <w:r w:rsidRPr="007D0545">
        <w:rPr>
          <w:rStyle w:val="FootnoteReference"/>
          <w:sz w:val="20"/>
        </w:rPr>
        <w:footnoteReference w:id="77"/>
      </w:r>
    </w:p>
    <w:p w14:paraId="3C8AE54E" w14:textId="77777777" w:rsidR="00AB712B" w:rsidRPr="007D0545" w:rsidRDefault="00AB712B" w:rsidP="00AB712B"/>
    <w:p w14:paraId="378BB8A1" w14:textId="77777777" w:rsidR="00AB712B" w:rsidRPr="007D0545" w:rsidRDefault="00AB712B" w:rsidP="00AB7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pPr>
      <w:r w:rsidRPr="007D0545">
        <w:rPr>
          <w:rFonts w:ascii="Cambria" w:hAnsi="Cambria"/>
          <w:sz w:val="20"/>
          <w:szCs w:val="20"/>
        </w:rPr>
        <w:t>On April 5, 2019, the Commission transmitted the report to the State with a time period of two months to inform the Inter-American Commission on the measures taken to comply with its recommendations. On that same date the IACHR notified the petitioners about the adoption of the report. To date, the IACHR has not received any response from the United States regarding Report No. 15/19.</w:t>
      </w:r>
    </w:p>
    <w:p w14:paraId="0636C36C" w14:textId="77777777" w:rsidR="00AB712B" w:rsidRPr="007D0545" w:rsidRDefault="00AB712B" w:rsidP="00AB712B"/>
    <w:p w14:paraId="7DF3ABEB" w14:textId="77777777" w:rsidR="0076228C" w:rsidRPr="00DC78FC" w:rsidRDefault="0076228C" w:rsidP="009412E0">
      <w:pPr>
        <w:pStyle w:val="Heading1"/>
        <w:spacing w:before="0"/>
        <w:ind w:left="1440" w:hanging="720"/>
        <w:rPr>
          <w:color w:val="auto"/>
          <w:sz w:val="20"/>
          <w:szCs w:val="20"/>
        </w:rPr>
      </w:pPr>
      <w:bookmarkStart w:id="28" w:name="_Toc26556103"/>
      <w:r w:rsidRPr="00DC78FC">
        <w:rPr>
          <w:color w:val="auto"/>
          <w:sz w:val="20"/>
          <w:szCs w:val="20"/>
        </w:rPr>
        <w:t>ACTIONS SUBSEQUENT TO REPORT 95/19</w:t>
      </w:r>
      <w:bookmarkEnd w:id="28"/>
    </w:p>
    <w:p w14:paraId="08176497" w14:textId="77777777" w:rsidR="0076228C" w:rsidRPr="00DC78FC" w:rsidRDefault="0076228C" w:rsidP="0076228C"/>
    <w:p w14:paraId="047A9F0B" w14:textId="77777777" w:rsidR="0076228C" w:rsidRPr="00DC78FC" w:rsidRDefault="0076228C" w:rsidP="007622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0"/>
        <w:jc w:val="both"/>
      </w:pPr>
      <w:r w:rsidRPr="00DC78FC">
        <w:rPr>
          <w:rFonts w:ascii="Cambria" w:hAnsi="Cambria"/>
          <w:sz w:val="20"/>
          <w:szCs w:val="20"/>
        </w:rPr>
        <w:t xml:space="preserve">On June 14, 2019, the Commission approved Final Merits Report No. 95/19, which encompasses paragraphs 1 to 76 </w:t>
      </w:r>
      <w:r w:rsidRPr="00DC78FC">
        <w:rPr>
          <w:rFonts w:ascii="Cambria" w:hAnsi="Cambria"/>
          <w:i/>
          <w:sz w:val="20"/>
          <w:szCs w:val="20"/>
        </w:rPr>
        <w:t>supra</w:t>
      </w:r>
      <w:r w:rsidRPr="00DC78FC">
        <w:rPr>
          <w:rFonts w:ascii="Cambria" w:hAnsi="Cambria"/>
          <w:sz w:val="20"/>
          <w:szCs w:val="20"/>
        </w:rPr>
        <w:t>, and issued its final conclusions and recommendations to the State. On July 3, 2019, the Commission transmitted the report to the State and the petitioners with a time period of two months to inform the Inter-American Commission on the measures taken to comply with its recommendations. To date, the IACHR has not received any response from the United States or the petitioners regarding Report No. 95/19.</w:t>
      </w:r>
    </w:p>
    <w:p w14:paraId="6F342696" w14:textId="77777777" w:rsidR="00DC78FC" w:rsidRPr="0076228C" w:rsidRDefault="00DC78FC" w:rsidP="0076228C"/>
    <w:p w14:paraId="3EB92E2C" w14:textId="77777777" w:rsidR="001C4006" w:rsidRPr="007D0545" w:rsidRDefault="00D75654" w:rsidP="009412E0">
      <w:pPr>
        <w:pStyle w:val="Heading1"/>
        <w:spacing w:before="0"/>
        <w:ind w:left="1440" w:hanging="720"/>
        <w:rPr>
          <w:color w:val="auto"/>
          <w:sz w:val="20"/>
          <w:szCs w:val="20"/>
        </w:rPr>
      </w:pPr>
      <w:bookmarkStart w:id="29" w:name="_Toc26556104"/>
      <w:r w:rsidRPr="007D0545">
        <w:rPr>
          <w:color w:val="auto"/>
          <w:sz w:val="20"/>
          <w:szCs w:val="20"/>
        </w:rPr>
        <w:t xml:space="preserve">FINAL </w:t>
      </w:r>
      <w:r w:rsidR="001C4006" w:rsidRPr="007D0545">
        <w:rPr>
          <w:color w:val="auto"/>
          <w:sz w:val="20"/>
          <w:szCs w:val="20"/>
        </w:rPr>
        <w:t>CONCLUSIONS AND RECOMMENDATIONS</w:t>
      </w:r>
      <w:bookmarkEnd w:id="29"/>
    </w:p>
    <w:p w14:paraId="612D1431" w14:textId="77777777" w:rsidR="001C4006" w:rsidRPr="007D0545" w:rsidRDefault="001C4006" w:rsidP="009412E0">
      <w:pPr>
        <w:suppressAutoHyphens/>
        <w:ind w:left="1440" w:hanging="720"/>
        <w:rPr>
          <w:rFonts w:asciiTheme="majorHAnsi" w:hAnsiTheme="majorHAnsi"/>
          <w:b/>
          <w:sz w:val="20"/>
          <w:szCs w:val="20"/>
        </w:rPr>
      </w:pPr>
    </w:p>
    <w:p w14:paraId="196C7D36" w14:textId="77777777" w:rsidR="0064712F" w:rsidRPr="007D0545" w:rsidRDefault="00F1763D" w:rsidP="00AD4C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Cambria" w:hAnsi="Cambria"/>
          <w:sz w:val="20"/>
          <w:szCs w:val="20"/>
        </w:rPr>
      </w:pPr>
      <w:r w:rsidRPr="007D0545">
        <w:rPr>
          <w:rFonts w:asciiTheme="majorHAnsi" w:hAnsiTheme="majorHAnsi"/>
          <w:color w:val="000000" w:themeColor="text1"/>
          <w:sz w:val="20"/>
          <w:szCs w:val="20"/>
        </w:rPr>
        <w:t>On the basis of determinations of fact and law, the Inter-American Commission conclude</w:t>
      </w:r>
      <w:r w:rsidR="00D80440" w:rsidRPr="007D0545">
        <w:rPr>
          <w:rFonts w:asciiTheme="majorHAnsi" w:hAnsiTheme="majorHAnsi"/>
          <w:color w:val="000000" w:themeColor="text1"/>
          <w:sz w:val="20"/>
          <w:szCs w:val="20"/>
        </w:rPr>
        <w:t>s</w:t>
      </w:r>
      <w:r w:rsidRPr="007D0545">
        <w:rPr>
          <w:rFonts w:asciiTheme="majorHAnsi" w:hAnsiTheme="majorHAnsi"/>
          <w:color w:val="000000" w:themeColor="text1"/>
          <w:sz w:val="20"/>
          <w:szCs w:val="20"/>
        </w:rPr>
        <w:t xml:space="preserve"> that the State is responsible for the violation of Articles I (life, liberty, and security), XVIII (fair trial), </w:t>
      </w:r>
      <w:r w:rsidR="00B207F5" w:rsidRPr="007D0545">
        <w:rPr>
          <w:rFonts w:asciiTheme="majorHAnsi" w:hAnsiTheme="majorHAnsi"/>
          <w:color w:val="000000" w:themeColor="text1"/>
          <w:sz w:val="20"/>
          <w:szCs w:val="20"/>
        </w:rPr>
        <w:t xml:space="preserve">XXIV (right of petition), </w:t>
      </w:r>
      <w:r w:rsidRPr="007D0545">
        <w:rPr>
          <w:rFonts w:asciiTheme="majorHAnsi" w:hAnsiTheme="majorHAnsi"/>
          <w:color w:val="000000" w:themeColor="text1"/>
          <w:sz w:val="20"/>
          <w:szCs w:val="20"/>
        </w:rPr>
        <w:t xml:space="preserve">XXV (protection from arbitrary detention), and XXVI (due process) of the American Declaration. </w:t>
      </w:r>
    </w:p>
    <w:p w14:paraId="720C392F" w14:textId="77777777" w:rsidR="00BA7984" w:rsidRPr="007D0545" w:rsidRDefault="00BA7984" w:rsidP="00085F6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rPr>
      </w:pPr>
    </w:p>
    <w:p w14:paraId="59FAC598" w14:textId="77777777" w:rsidR="001C4006" w:rsidRPr="007D0545" w:rsidRDefault="001C4006" w:rsidP="001C4006">
      <w:pPr>
        <w:ind w:firstLine="720"/>
        <w:jc w:val="both"/>
        <w:rPr>
          <w:rFonts w:ascii="Cambria" w:hAnsi="Cambria"/>
          <w:b/>
          <w:sz w:val="20"/>
          <w:szCs w:val="20"/>
        </w:rPr>
      </w:pPr>
      <w:r w:rsidRPr="007D0545">
        <w:rPr>
          <w:rFonts w:ascii="Cambria" w:hAnsi="Cambria"/>
          <w:b/>
          <w:sz w:val="20"/>
          <w:szCs w:val="20"/>
        </w:rPr>
        <w:tab/>
        <w:t xml:space="preserve">THE INTER-AMERICAN COMMISSION ON HUMAN RIGHTS </w:t>
      </w:r>
      <w:r w:rsidR="00D75654" w:rsidRPr="007D0545">
        <w:rPr>
          <w:rFonts w:ascii="Cambria" w:hAnsi="Cambria"/>
          <w:b/>
          <w:sz w:val="20"/>
          <w:szCs w:val="20"/>
        </w:rPr>
        <w:t>REITERATES</w:t>
      </w:r>
      <w:r w:rsidRPr="007D0545">
        <w:rPr>
          <w:rFonts w:ascii="Cambria" w:hAnsi="Cambria"/>
          <w:b/>
          <w:sz w:val="20"/>
          <w:szCs w:val="20"/>
        </w:rPr>
        <w:t xml:space="preserve"> THAT THE </w:t>
      </w:r>
      <w:r w:rsidR="002E432F" w:rsidRPr="007D0545">
        <w:rPr>
          <w:rFonts w:ascii="Cambria" w:hAnsi="Cambria"/>
          <w:b/>
          <w:sz w:val="20"/>
          <w:szCs w:val="20"/>
        </w:rPr>
        <w:t xml:space="preserve">UNITED </w:t>
      </w:r>
      <w:r w:rsidRPr="007D0545">
        <w:rPr>
          <w:rFonts w:ascii="Cambria" w:hAnsi="Cambria"/>
          <w:b/>
          <w:sz w:val="20"/>
          <w:szCs w:val="20"/>
        </w:rPr>
        <w:t>STATE</w:t>
      </w:r>
      <w:r w:rsidR="002E432F" w:rsidRPr="007D0545">
        <w:rPr>
          <w:rFonts w:ascii="Cambria" w:hAnsi="Cambria"/>
          <w:b/>
          <w:sz w:val="20"/>
          <w:szCs w:val="20"/>
        </w:rPr>
        <w:t>S</w:t>
      </w:r>
      <w:r w:rsidRPr="007D0545">
        <w:rPr>
          <w:rFonts w:ascii="Cambria" w:hAnsi="Cambria"/>
          <w:b/>
          <w:sz w:val="20"/>
          <w:szCs w:val="20"/>
        </w:rPr>
        <w:t xml:space="preserve"> OF</w:t>
      </w:r>
      <w:r w:rsidR="002E432F" w:rsidRPr="007D0545">
        <w:rPr>
          <w:rFonts w:ascii="Cambria" w:hAnsi="Cambria"/>
          <w:b/>
          <w:sz w:val="20"/>
          <w:szCs w:val="20"/>
        </w:rPr>
        <w:t xml:space="preserve"> AMERICA</w:t>
      </w:r>
      <w:r w:rsidRPr="007D0545">
        <w:rPr>
          <w:rFonts w:ascii="Cambria" w:hAnsi="Cambria"/>
          <w:b/>
          <w:sz w:val="20"/>
          <w:szCs w:val="20"/>
        </w:rPr>
        <w:t>,</w:t>
      </w:r>
    </w:p>
    <w:p w14:paraId="047B4C70" w14:textId="77777777" w:rsidR="001C4006" w:rsidRPr="007D0545" w:rsidRDefault="001C4006" w:rsidP="001C4006">
      <w:pPr>
        <w:ind w:firstLine="720"/>
        <w:jc w:val="both"/>
        <w:rPr>
          <w:rFonts w:ascii="Cambria" w:hAnsi="Cambria"/>
          <w:b/>
          <w:sz w:val="20"/>
          <w:szCs w:val="20"/>
        </w:rPr>
      </w:pPr>
    </w:p>
    <w:p w14:paraId="09300D9A" w14:textId="77777777" w:rsidR="00A54E22" w:rsidRPr="007D0545" w:rsidRDefault="00A163A4" w:rsidP="00AB712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rFonts w:eastAsia="Times New Roman" w:cs="Tahoma"/>
          <w:sz w:val="20"/>
          <w:szCs w:val="20"/>
          <w:bdr w:val="none" w:sz="0" w:space="0" w:color="auto"/>
        </w:rPr>
        <w:t xml:space="preserve">Grant </w:t>
      </w:r>
      <w:r w:rsidR="00B207F5" w:rsidRPr="007D0545">
        <w:rPr>
          <w:rFonts w:asciiTheme="majorHAnsi" w:hAnsiTheme="majorHAnsi"/>
          <w:color w:val="000000" w:themeColor="text1"/>
          <w:sz w:val="20"/>
          <w:szCs w:val="20"/>
        </w:rPr>
        <w:t>Nvwtohiyada Idehesdi Sequoyah</w:t>
      </w:r>
      <w:r w:rsidRPr="007D0545">
        <w:rPr>
          <w:rFonts w:eastAsia="Times New Roman" w:cs="Tahoma"/>
          <w:sz w:val="20"/>
          <w:szCs w:val="20"/>
          <w:bdr w:val="none" w:sz="0" w:space="0" w:color="auto"/>
        </w:rPr>
        <w:t xml:space="preserve"> effective relief, including the review of his trial and sentence in accordance with the guarantees of fair trial and due process set forth in Articles </w:t>
      </w:r>
      <w:r w:rsidR="005B0001" w:rsidRPr="007D0545">
        <w:rPr>
          <w:rFonts w:asciiTheme="majorHAnsi" w:hAnsiTheme="majorHAnsi"/>
          <w:color w:val="000000" w:themeColor="text1"/>
          <w:sz w:val="20"/>
          <w:szCs w:val="20"/>
        </w:rPr>
        <w:t xml:space="preserve">XVIII, XXIV, XXV and XXVI </w:t>
      </w:r>
      <w:r w:rsidRPr="007D0545">
        <w:rPr>
          <w:rFonts w:eastAsia="Times New Roman" w:cs="Tahoma"/>
          <w:sz w:val="20"/>
          <w:szCs w:val="20"/>
          <w:bdr w:val="none" w:sz="0" w:space="0" w:color="auto"/>
        </w:rPr>
        <w:t>of the American Declaration.</w:t>
      </w:r>
      <w:r w:rsidR="00250F42" w:rsidRPr="007D0545">
        <w:rPr>
          <w:rFonts w:eastAsia="Times New Roman" w:cs="Tahoma"/>
          <w:sz w:val="20"/>
          <w:szCs w:val="20"/>
          <w:bdr w:val="none" w:sz="0" w:space="0" w:color="auto"/>
        </w:rPr>
        <w:t xml:space="preserve"> </w:t>
      </w:r>
      <w:r w:rsidR="00C55378" w:rsidRPr="007D0545">
        <w:rPr>
          <w:rFonts w:cs="Arial"/>
          <w:color w:val="auto"/>
          <w:sz w:val="20"/>
          <w:szCs w:val="20"/>
        </w:rPr>
        <w:t xml:space="preserve">Taking into account the conclusions of the IACHR on the time </w:t>
      </w:r>
      <w:r w:rsidR="00B207F5" w:rsidRPr="007D0545">
        <w:rPr>
          <w:rFonts w:asciiTheme="majorHAnsi" w:hAnsiTheme="majorHAnsi"/>
          <w:color w:val="000000" w:themeColor="text1"/>
          <w:sz w:val="20"/>
          <w:szCs w:val="20"/>
        </w:rPr>
        <w:t>Nvwtohiyada Idehesdi Sequoyah</w:t>
      </w:r>
      <w:r w:rsidR="00B207F5" w:rsidRPr="007D0545">
        <w:rPr>
          <w:rFonts w:cs="Arial"/>
          <w:color w:val="auto"/>
          <w:sz w:val="20"/>
          <w:szCs w:val="20"/>
        </w:rPr>
        <w:t xml:space="preserve"> </w:t>
      </w:r>
      <w:r w:rsidR="00C55378" w:rsidRPr="007D0545">
        <w:rPr>
          <w:rFonts w:cs="Arial"/>
          <w:color w:val="auto"/>
          <w:sz w:val="20"/>
          <w:szCs w:val="20"/>
        </w:rPr>
        <w:t>has been held on death row, the Commission recommends that his sentence be commuted</w:t>
      </w:r>
      <w:r w:rsidR="00C55378" w:rsidRPr="007D0545">
        <w:rPr>
          <w:rFonts w:eastAsia="Times New Roman" w:cs="Tahoma"/>
          <w:sz w:val="20"/>
          <w:szCs w:val="20"/>
          <w:bdr w:val="none" w:sz="0" w:space="0" w:color="auto"/>
        </w:rPr>
        <w:t>.</w:t>
      </w:r>
    </w:p>
    <w:p w14:paraId="1386872B" w14:textId="77777777" w:rsidR="00A54E22" w:rsidRPr="007D0545" w:rsidRDefault="00A54E22" w:rsidP="00A54E2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2AFC3545" w14:textId="77777777" w:rsidR="00380ECF" w:rsidRPr="007D0545" w:rsidRDefault="00A54E22" w:rsidP="00AB712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sz w:val="20"/>
        </w:rPr>
        <w:t xml:space="preserve">Review its laws, procedures, and practices to ensure that persons accused of capital crimes are tried and, if convicted, sentenced in accordance with the rights established in the American Declaration, including Articles I, XVIII, </w:t>
      </w:r>
      <w:r w:rsidR="00B207F5" w:rsidRPr="007D0545">
        <w:rPr>
          <w:sz w:val="20"/>
        </w:rPr>
        <w:t xml:space="preserve">XXIV, </w:t>
      </w:r>
      <w:r w:rsidRPr="007D0545">
        <w:rPr>
          <w:sz w:val="20"/>
        </w:rPr>
        <w:t>X</w:t>
      </w:r>
      <w:r w:rsidR="0059770B" w:rsidRPr="007D0545">
        <w:rPr>
          <w:sz w:val="20"/>
        </w:rPr>
        <w:t>X</w:t>
      </w:r>
      <w:r w:rsidRPr="007D0545">
        <w:rPr>
          <w:sz w:val="20"/>
        </w:rPr>
        <w:t>V and XXVI thereof</w:t>
      </w:r>
      <w:bookmarkStart w:id="30" w:name="_ftn34"/>
      <w:bookmarkEnd w:id="30"/>
      <w:r w:rsidR="002A733A" w:rsidRPr="007D0545">
        <w:rPr>
          <w:sz w:val="20"/>
        </w:rPr>
        <w:t>, and, in particular,</w:t>
      </w:r>
      <w:r w:rsidR="002A733A" w:rsidRPr="007D0545">
        <w:rPr>
          <w:rFonts w:eastAsia="Times New Roman"/>
          <w:sz w:val="20"/>
          <w:szCs w:val="20"/>
          <w:bdr w:val="none" w:sz="0" w:space="0" w:color="auto"/>
        </w:rPr>
        <w:t xml:space="preserve"> that no one with a mental or intellectual disability at the time of the commission of the crime or execution of the death sentence receives the death penalty or is executed</w:t>
      </w:r>
      <w:r w:rsidR="00952CAA" w:rsidRPr="007D0545">
        <w:rPr>
          <w:sz w:val="20"/>
        </w:rPr>
        <w:t>.</w:t>
      </w:r>
    </w:p>
    <w:p w14:paraId="289457D5" w14:textId="77777777" w:rsidR="00380ECF" w:rsidRPr="007D0545" w:rsidRDefault="00380ECF" w:rsidP="00380EC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5DFA4FF5" w14:textId="77777777" w:rsidR="002A733A" w:rsidRPr="007D0545" w:rsidRDefault="00800E57" w:rsidP="00AB712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rFonts w:eastAsia="Times New Roman" w:cs="Tahoma"/>
          <w:sz w:val="20"/>
          <w:szCs w:val="20"/>
          <w:bdr w:val="none" w:sz="0" w:space="0" w:color="auto"/>
        </w:rPr>
        <w:t xml:space="preserve">Review its laws, procedures, and practices to ensure that a </w:t>
      </w:r>
      <w:r w:rsidR="003E6FB6" w:rsidRPr="007D0545">
        <w:rPr>
          <w:rFonts w:asciiTheme="majorHAnsi" w:eastAsia="Arial Unicode MS" w:hAnsiTheme="majorHAnsi"/>
          <w:sz w:val="20"/>
          <w:szCs w:val="20"/>
        </w:rPr>
        <w:t xml:space="preserve">differentiated and more rigorous standard is </w:t>
      </w:r>
      <w:r w:rsidR="00594CE1" w:rsidRPr="007D0545">
        <w:rPr>
          <w:rFonts w:asciiTheme="majorHAnsi" w:eastAsia="Arial Unicode MS" w:hAnsiTheme="majorHAnsi"/>
          <w:sz w:val="20"/>
          <w:szCs w:val="20"/>
        </w:rPr>
        <w:t>applied</w:t>
      </w:r>
      <w:r w:rsidR="003E6FB6" w:rsidRPr="007D0545">
        <w:rPr>
          <w:rFonts w:asciiTheme="majorHAnsi" w:eastAsia="Arial Unicode MS" w:hAnsiTheme="majorHAnsi"/>
          <w:sz w:val="20"/>
          <w:szCs w:val="20"/>
        </w:rPr>
        <w:t xml:space="preserve"> when </w:t>
      </w:r>
      <w:r w:rsidR="00594CE1" w:rsidRPr="007D0545">
        <w:rPr>
          <w:rFonts w:asciiTheme="majorHAnsi" w:eastAsia="Arial Unicode MS" w:hAnsiTheme="majorHAnsi"/>
          <w:sz w:val="20"/>
          <w:szCs w:val="20"/>
        </w:rPr>
        <w:t>assessing a defendant</w:t>
      </w:r>
      <w:r w:rsidR="00D80440" w:rsidRPr="007D0545">
        <w:rPr>
          <w:rFonts w:asciiTheme="majorHAnsi" w:eastAsia="Arial Unicode MS" w:hAnsiTheme="majorHAnsi"/>
          <w:sz w:val="20"/>
          <w:szCs w:val="20"/>
        </w:rPr>
        <w:t>’s</w:t>
      </w:r>
      <w:r w:rsidR="00594CE1" w:rsidRPr="007D0545">
        <w:rPr>
          <w:rFonts w:asciiTheme="majorHAnsi" w:eastAsia="Arial Unicode MS" w:hAnsiTheme="majorHAnsi"/>
          <w:sz w:val="20"/>
          <w:szCs w:val="20"/>
        </w:rPr>
        <w:t xml:space="preserve"> competence </w:t>
      </w:r>
      <w:r w:rsidR="003E6FB6" w:rsidRPr="007D0545">
        <w:rPr>
          <w:rFonts w:asciiTheme="majorHAnsi" w:eastAsia="Arial Unicode MS" w:hAnsiTheme="majorHAnsi"/>
          <w:sz w:val="20"/>
          <w:szCs w:val="20"/>
        </w:rPr>
        <w:t>to self-represent in death penalty cases.</w:t>
      </w:r>
    </w:p>
    <w:p w14:paraId="66DA5214" w14:textId="77777777" w:rsidR="00594CE1" w:rsidRPr="007D0545" w:rsidRDefault="00594CE1" w:rsidP="00D978E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rPr>
      </w:pPr>
    </w:p>
    <w:p w14:paraId="608BAE91" w14:textId="77777777" w:rsidR="00594CE1" w:rsidRPr="007D0545" w:rsidRDefault="00594CE1" w:rsidP="00AB712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rFonts w:eastAsia="Times New Roman" w:cs="Tahoma"/>
          <w:sz w:val="20"/>
          <w:szCs w:val="20"/>
          <w:bdr w:val="none" w:sz="0" w:space="0" w:color="auto"/>
        </w:rPr>
        <w:t xml:space="preserve">Review its laws, procedures, and practices to ensure that death penalty </w:t>
      </w:r>
      <w:r w:rsidR="00D978E5" w:rsidRPr="007D0545">
        <w:rPr>
          <w:rFonts w:eastAsia="Times New Roman" w:cs="Tahoma"/>
          <w:sz w:val="20"/>
          <w:szCs w:val="20"/>
          <w:bdr w:val="none" w:sz="0" w:space="0" w:color="auto"/>
        </w:rPr>
        <w:t xml:space="preserve">conviction and post-conviction </w:t>
      </w:r>
      <w:r w:rsidRPr="007D0545">
        <w:rPr>
          <w:rFonts w:eastAsia="Times New Roman" w:cs="Tahoma"/>
          <w:sz w:val="20"/>
          <w:szCs w:val="20"/>
          <w:bdr w:val="none" w:sz="0" w:space="0" w:color="auto"/>
        </w:rPr>
        <w:t>proceedings</w:t>
      </w:r>
      <w:r w:rsidR="00D978E5" w:rsidRPr="007D0545">
        <w:rPr>
          <w:rFonts w:eastAsia="Times New Roman" w:cs="Tahoma"/>
          <w:sz w:val="20"/>
          <w:szCs w:val="20"/>
          <w:bdr w:val="none" w:sz="0" w:space="0" w:color="auto"/>
        </w:rPr>
        <w:t xml:space="preserve"> fully comply with the right </w:t>
      </w:r>
      <w:r w:rsidR="00380ECF" w:rsidRPr="007D0545">
        <w:rPr>
          <w:rFonts w:eastAsia="Times New Roman" w:cs="Tahoma"/>
          <w:sz w:val="20"/>
          <w:szCs w:val="20"/>
          <w:bdr w:val="none" w:sz="0" w:space="0" w:color="auto"/>
        </w:rPr>
        <w:t>to be tried without undue delay.</w:t>
      </w:r>
      <w:r w:rsidRPr="007D0545">
        <w:rPr>
          <w:rFonts w:eastAsia="Times New Roman" w:cs="Tahoma"/>
          <w:sz w:val="20"/>
          <w:szCs w:val="20"/>
          <w:bdr w:val="none" w:sz="0" w:space="0" w:color="auto"/>
        </w:rPr>
        <w:t xml:space="preserve"> </w:t>
      </w:r>
    </w:p>
    <w:p w14:paraId="69B4E0B1" w14:textId="77777777" w:rsidR="0059770B" w:rsidRPr="007D0545" w:rsidRDefault="0059770B" w:rsidP="0059770B">
      <w:pPr>
        <w:pStyle w:val="ListParagraph"/>
        <w:rPr>
          <w:sz w:val="20"/>
        </w:rPr>
      </w:pPr>
    </w:p>
    <w:p w14:paraId="5B1CD558" w14:textId="77777777" w:rsidR="001C4006" w:rsidRPr="007D0545" w:rsidRDefault="00A54E22" w:rsidP="00AB712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rPr>
      </w:pPr>
      <w:r w:rsidRPr="007D0545">
        <w:rPr>
          <w:rFonts w:asciiTheme="majorHAnsi" w:hAnsiTheme="majorHAnsi"/>
          <w:sz w:val="20"/>
        </w:rPr>
        <w:t>Given the violations of the American Declaration the IACHR has established in the present</w:t>
      </w:r>
      <w:r w:rsidRPr="007D0545">
        <w:rPr>
          <w:sz w:val="20"/>
        </w:rPr>
        <w:t xml:space="preserve"> case and in others involving application of the death penalty, the Inter-American Commission also recommends to the United States that it adopt a moratorium on executions of persons sentenced to death.</w:t>
      </w:r>
      <w:r w:rsidRPr="007D0545">
        <w:rPr>
          <w:rStyle w:val="FootnoteReference"/>
          <w:sz w:val="20"/>
        </w:rPr>
        <w:footnoteReference w:id="78"/>
      </w:r>
    </w:p>
    <w:p w14:paraId="7C317226" w14:textId="77777777" w:rsidR="00D75654" w:rsidRPr="007D0545" w:rsidRDefault="00D75654" w:rsidP="00D75654">
      <w:pPr>
        <w:pStyle w:val="Heading1"/>
        <w:numPr>
          <w:ilvl w:val="0"/>
          <w:numId w:val="0"/>
        </w:numPr>
        <w:spacing w:before="0"/>
        <w:ind w:left="1440"/>
        <w:rPr>
          <w:color w:val="auto"/>
          <w:sz w:val="20"/>
          <w:szCs w:val="20"/>
        </w:rPr>
      </w:pPr>
      <w:bookmarkStart w:id="31" w:name="_Toc6226987"/>
    </w:p>
    <w:p w14:paraId="0FF50C33" w14:textId="77777777" w:rsidR="00D75654" w:rsidRPr="00DC78FC" w:rsidRDefault="0076228C" w:rsidP="00D75654">
      <w:pPr>
        <w:pStyle w:val="Heading1"/>
        <w:tabs>
          <w:tab w:val="left" w:pos="1530"/>
        </w:tabs>
        <w:spacing w:before="0"/>
        <w:ind w:hanging="720"/>
        <w:rPr>
          <w:color w:val="auto"/>
          <w:sz w:val="20"/>
          <w:szCs w:val="20"/>
          <w:lang w:val="es-ES_tradnl"/>
        </w:rPr>
      </w:pPr>
      <w:bookmarkStart w:id="32" w:name="_Toc26556105"/>
      <w:r w:rsidRPr="00DC78FC">
        <w:rPr>
          <w:color w:val="auto"/>
          <w:sz w:val="20"/>
          <w:szCs w:val="20"/>
          <w:lang w:val="es-ES_tradnl"/>
        </w:rPr>
        <w:t>PUBLICATION</w:t>
      </w:r>
      <w:bookmarkEnd w:id="31"/>
      <w:bookmarkEnd w:id="32"/>
    </w:p>
    <w:p w14:paraId="46E1C5B0" w14:textId="77777777" w:rsidR="00D75654" w:rsidRPr="00DC78FC" w:rsidRDefault="00D75654" w:rsidP="00D75654"/>
    <w:p w14:paraId="5E69BD83" w14:textId="77777777" w:rsidR="0076228C" w:rsidRPr="00DC78FC" w:rsidRDefault="0076228C" w:rsidP="007622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ind w:left="0" w:firstLine="0"/>
        <w:jc w:val="both"/>
        <w:rPr>
          <w:rFonts w:ascii="Cambria" w:eastAsia="Times New Roman" w:hAnsi="Cambria"/>
          <w:sz w:val="20"/>
          <w:szCs w:val="20"/>
        </w:rPr>
      </w:pPr>
      <w:r w:rsidRPr="00DC78FC">
        <w:rPr>
          <w:rFonts w:ascii="Cambria" w:eastAsia="Times New Roman" w:hAnsi="Cambria"/>
          <w:sz w:val="20"/>
          <w:szCs w:val="20"/>
        </w:rPr>
        <w:t xml:space="preserve">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19983CDC" w14:textId="77777777" w:rsidR="00287776" w:rsidRPr="005E0199" w:rsidRDefault="00287776" w:rsidP="00287776">
      <w:pPr>
        <w:suppressAutoHyphens/>
        <w:rPr>
          <w:rFonts w:cs="Arial"/>
          <w:sz w:val="20"/>
        </w:rPr>
      </w:pPr>
    </w:p>
    <w:p w14:paraId="0063777A" w14:textId="77777777" w:rsidR="00287776" w:rsidRPr="00BA41B7" w:rsidRDefault="00287776" w:rsidP="00287776">
      <w:pPr>
        <w:suppressAutoHyphens/>
        <w:ind w:firstLine="720"/>
        <w:jc w:val="both"/>
        <w:rPr>
          <w:spacing w:val="-2"/>
          <w:sz w:val="20"/>
        </w:rPr>
      </w:pPr>
      <w:r w:rsidRPr="00BA41B7">
        <w:rPr>
          <w:spacing w:val="-2"/>
          <w:sz w:val="20"/>
        </w:rPr>
        <w:t xml:space="preserve">Approved by </w:t>
      </w:r>
      <w:r w:rsidRPr="00BA41B7">
        <w:rPr>
          <w:rFonts w:cs="Arial"/>
          <w:sz w:val="20"/>
        </w:rPr>
        <w:t xml:space="preserve">the </w:t>
      </w:r>
      <w:r w:rsidRPr="00BA41B7">
        <w:rPr>
          <w:sz w:val="20"/>
        </w:rPr>
        <w:t>Inter-American Commission on Human Rights</w:t>
      </w:r>
      <w:r w:rsidRPr="00BA41B7">
        <w:rPr>
          <w:spacing w:val="-2"/>
          <w:sz w:val="20"/>
        </w:rPr>
        <w:t xml:space="preserve"> on th</w:t>
      </w:r>
      <w:r>
        <w:rPr>
          <w:spacing w:val="-2"/>
          <w:sz w:val="20"/>
        </w:rPr>
        <w:t>e 22 days of the month of April</w:t>
      </w:r>
      <w:r w:rsidRPr="00BA41B7">
        <w:rPr>
          <w:spacing w:val="-2"/>
          <w:sz w:val="20"/>
        </w:rPr>
        <w:t xml:space="preserve"> 2020. (Signed): Joel Hernández García, President; Antonia Urrejola Noguera, </w:t>
      </w:r>
      <w:r w:rsidRPr="00BA41B7">
        <w:rPr>
          <w:rFonts w:cs="Arial"/>
          <w:sz w:val="20"/>
        </w:rPr>
        <w:t xml:space="preserve">First Vice President; </w:t>
      </w:r>
      <w:r w:rsidRPr="00BA41B7">
        <w:rPr>
          <w:spacing w:val="-2"/>
          <w:sz w:val="20"/>
        </w:rPr>
        <w:t>Flávia Piovesan, Second Vice President;</w:t>
      </w:r>
      <w:r w:rsidRPr="00BA41B7">
        <w:rPr>
          <w:rFonts w:cs="Arial"/>
          <w:sz w:val="20"/>
        </w:rPr>
        <w:t xml:space="preserve"> </w:t>
      </w:r>
      <w:r w:rsidRPr="00BA41B7">
        <w:rPr>
          <w:spacing w:val="-2"/>
          <w:sz w:val="20"/>
        </w:rPr>
        <w:t xml:space="preserve">Margarette May Macaulay, </w:t>
      </w:r>
      <w:r w:rsidRPr="00563F07">
        <w:rPr>
          <w:spacing w:val="-2"/>
          <w:sz w:val="20"/>
        </w:rPr>
        <w:t>Esmeralda E. Arosemena Bernal de Troitiño</w:t>
      </w:r>
      <w:r w:rsidRPr="00BA41B7">
        <w:rPr>
          <w:spacing w:val="-2"/>
          <w:sz w:val="20"/>
        </w:rPr>
        <w:t xml:space="preserve"> and Julissa Mantilla Falcón, Commissioners.</w:t>
      </w:r>
    </w:p>
    <w:p w14:paraId="02EB359A" w14:textId="77777777" w:rsidR="00287776" w:rsidRPr="00BA41B7" w:rsidRDefault="00287776" w:rsidP="00287776">
      <w:pPr>
        <w:suppressAutoHyphens/>
        <w:jc w:val="both"/>
        <w:rPr>
          <w:spacing w:val="-2"/>
          <w:sz w:val="20"/>
        </w:rPr>
      </w:pPr>
    </w:p>
    <w:p w14:paraId="147403DB" w14:textId="77777777" w:rsidR="00287776" w:rsidRPr="00143E4B" w:rsidRDefault="00287776" w:rsidP="00287776">
      <w:pPr>
        <w:tabs>
          <w:tab w:val="left" w:pos="-720"/>
          <w:tab w:val="left" w:pos="5760"/>
        </w:tabs>
        <w:jc w:val="center"/>
        <w:rPr>
          <w:rFonts w:asciiTheme="majorHAnsi" w:hAnsiTheme="majorHAnsi"/>
          <w:sz w:val="20"/>
          <w:szCs w:val="20"/>
        </w:rPr>
      </w:pPr>
    </w:p>
    <w:sectPr w:rsidR="00287776" w:rsidRPr="00143E4B"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E03A" w14:textId="77777777" w:rsidR="00E51B3B" w:rsidRDefault="00E51B3B" w:rsidP="00036A8A">
      <w:r>
        <w:separator/>
      </w:r>
    </w:p>
  </w:endnote>
  <w:endnote w:type="continuationSeparator" w:id="0">
    <w:p w14:paraId="15D9BD3A" w14:textId="77777777" w:rsidR="00E51B3B" w:rsidRDefault="00E51B3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TE27CA0E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07534EA" w14:textId="77777777" w:rsidR="00DC78FC" w:rsidRPr="006311DA" w:rsidRDefault="00DC78F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D013A">
          <w:rPr>
            <w:noProof/>
            <w:sz w:val="16"/>
          </w:rPr>
          <w:t>18</w:t>
        </w:r>
        <w:r w:rsidRPr="006311DA">
          <w:rPr>
            <w:noProof/>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F17A" w14:textId="77777777" w:rsidR="00DC78FC" w:rsidRDefault="00DC78FC">
    <w:pPr>
      <w:pStyle w:val="Footer"/>
      <w:jc w:val="center"/>
    </w:pPr>
  </w:p>
  <w:p w14:paraId="5A239D66" w14:textId="77777777" w:rsidR="00DC78FC" w:rsidRDefault="00DC7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599150FA" w14:textId="77777777" w:rsidR="00DC78FC" w:rsidRDefault="00DC7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6DC6F59" w14:textId="77777777" w:rsidR="00DC78FC" w:rsidRDefault="00DC7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3213" w14:textId="77777777" w:rsidR="00E51B3B" w:rsidRPr="00036A8A" w:rsidRDefault="00E51B3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7CB9F3E" w14:textId="77777777" w:rsidR="00E51B3B" w:rsidRPr="00036A8A" w:rsidRDefault="00E51B3B" w:rsidP="00036A8A">
      <w:pPr>
        <w:rPr>
          <w:rFonts w:asciiTheme="majorHAnsi" w:hAnsiTheme="majorHAnsi"/>
          <w:sz w:val="16"/>
          <w:szCs w:val="16"/>
        </w:rPr>
      </w:pPr>
      <w:r w:rsidRPr="00036A8A">
        <w:rPr>
          <w:rFonts w:asciiTheme="majorHAnsi" w:hAnsiTheme="majorHAnsi"/>
          <w:sz w:val="16"/>
          <w:szCs w:val="16"/>
        </w:rPr>
        <w:separator/>
      </w:r>
    </w:p>
    <w:p w14:paraId="59A91764" w14:textId="77777777" w:rsidR="00E51B3B" w:rsidRPr="00036A8A" w:rsidRDefault="00E51B3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BF401CE" w14:textId="77777777" w:rsidR="00E51B3B" w:rsidRPr="0093441A" w:rsidRDefault="00E51B3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591E706" w14:textId="77777777" w:rsidR="00DC78FC" w:rsidRPr="00ED56AB" w:rsidRDefault="00DC78FC"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w:t>
      </w:r>
      <w:r>
        <w:rPr>
          <w:rFonts w:asciiTheme="majorHAnsi" w:hAnsiTheme="majorHAnsi"/>
          <w:color w:val="auto"/>
          <w:sz w:val="16"/>
          <w:szCs w:val="16"/>
        </w:rPr>
        <w:t>42</w:t>
      </w:r>
      <w:r w:rsidRPr="00ED56AB">
        <w:rPr>
          <w:rFonts w:asciiTheme="majorHAnsi" w:hAnsiTheme="majorHAnsi"/>
          <w:color w:val="auto"/>
          <w:sz w:val="16"/>
          <w:szCs w:val="16"/>
        </w:rPr>
        <w:t>/</w:t>
      </w:r>
      <w:r>
        <w:rPr>
          <w:rFonts w:asciiTheme="majorHAnsi" w:hAnsiTheme="majorHAnsi"/>
          <w:color w:val="auto"/>
          <w:sz w:val="16"/>
          <w:szCs w:val="16"/>
        </w:rPr>
        <w:t>10. Petition 120</w:t>
      </w:r>
      <w:r w:rsidRPr="00ED56AB">
        <w:rPr>
          <w:rFonts w:asciiTheme="majorHAnsi" w:hAnsiTheme="majorHAnsi"/>
          <w:color w:val="auto"/>
          <w:sz w:val="16"/>
          <w:szCs w:val="16"/>
        </w:rPr>
        <w:t xml:space="preserve">-07. Admissibility. </w:t>
      </w:r>
      <w:r>
        <w:rPr>
          <w:rFonts w:asciiTheme="majorHAnsi" w:hAnsiTheme="majorHAnsi"/>
          <w:color w:val="auto"/>
          <w:sz w:val="16"/>
          <w:szCs w:val="16"/>
        </w:rPr>
        <w:t xml:space="preserve">N.I. Sequoyah. </w:t>
      </w:r>
      <w:r w:rsidRPr="00ED56AB">
        <w:rPr>
          <w:rFonts w:asciiTheme="majorHAnsi" w:hAnsiTheme="majorHAnsi"/>
          <w:color w:val="auto"/>
          <w:sz w:val="16"/>
          <w:szCs w:val="16"/>
        </w:rPr>
        <w:t xml:space="preserve">United States. </w:t>
      </w:r>
      <w:r>
        <w:rPr>
          <w:rFonts w:asciiTheme="majorHAnsi" w:hAnsiTheme="majorHAnsi"/>
          <w:color w:val="auto"/>
          <w:sz w:val="16"/>
          <w:szCs w:val="16"/>
        </w:rPr>
        <w:t>March 17, 2010</w:t>
      </w:r>
      <w:r w:rsidRPr="00ED56AB">
        <w:rPr>
          <w:rFonts w:asciiTheme="majorHAnsi" w:hAnsiTheme="majorHAnsi"/>
          <w:color w:val="auto"/>
          <w:sz w:val="16"/>
          <w:szCs w:val="16"/>
        </w:rPr>
        <w:t xml:space="preserve">. </w:t>
      </w:r>
      <w:r>
        <w:rPr>
          <w:rFonts w:asciiTheme="majorHAnsi" w:hAnsiTheme="majorHAnsi"/>
          <w:color w:val="auto"/>
          <w:sz w:val="16"/>
          <w:szCs w:val="16"/>
        </w:rPr>
        <w:t>The IACHR declared inadmissible the allegations of a violation of Article XXVI of the American Declaration for lack of medical treatment due to noncompliance with the requirement of exhaustion of domestic remedies.</w:t>
      </w:r>
    </w:p>
  </w:footnote>
  <w:footnote w:id="3">
    <w:p w14:paraId="3958A733" w14:textId="77777777" w:rsidR="00DC78FC" w:rsidRPr="00A64EE8" w:rsidRDefault="00DC78FC" w:rsidP="00C53F60">
      <w:pPr>
        <w:pStyle w:val="FootnoteText"/>
        <w:rPr>
          <w:rFonts w:asciiTheme="majorHAnsi" w:hAnsiTheme="majorHAnsi"/>
          <w:sz w:val="16"/>
          <w:szCs w:val="16"/>
        </w:rPr>
      </w:pPr>
      <w:r w:rsidRPr="00A64EE8">
        <w:rPr>
          <w:rStyle w:val="FootnoteReference"/>
          <w:rFonts w:asciiTheme="majorHAnsi" w:hAnsiTheme="majorHAnsi"/>
          <w:sz w:val="16"/>
          <w:szCs w:val="16"/>
        </w:rPr>
        <w:footnoteRef/>
      </w:r>
      <w:r w:rsidRPr="00A64EE8">
        <w:rPr>
          <w:rFonts w:asciiTheme="majorHAnsi" w:hAnsiTheme="majorHAnsi"/>
          <w:sz w:val="16"/>
          <w:szCs w:val="16"/>
        </w:rPr>
        <w:t xml:space="preserve"> </w:t>
      </w:r>
      <w:r w:rsidRPr="000630E1">
        <w:rPr>
          <w:rFonts w:asciiTheme="majorHAnsi" w:hAnsiTheme="majorHAnsi"/>
          <w:i/>
          <w:sz w:val="16"/>
          <w:szCs w:val="16"/>
        </w:rPr>
        <w:t>Furman v. Georgia</w:t>
      </w:r>
      <w:r w:rsidRPr="00A64EE8">
        <w:rPr>
          <w:rFonts w:asciiTheme="majorHAnsi" w:hAnsiTheme="majorHAnsi"/>
          <w:sz w:val="16"/>
          <w:szCs w:val="16"/>
        </w:rPr>
        <w:t>, 408 U.S. 238 (1972).</w:t>
      </w:r>
    </w:p>
  </w:footnote>
  <w:footnote w:id="4">
    <w:p w14:paraId="19131716" w14:textId="77777777" w:rsidR="00DC78FC" w:rsidRPr="00380645" w:rsidRDefault="00DC78FC" w:rsidP="00C53F60">
      <w:pPr>
        <w:pStyle w:val="FootnoteText"/>
        <w:jc w:val="both"/>
        <w:rPr>
          <w:rFonts w:asciiTheme="majorHAnsi" w:hAnsiTheme="majorHAnsi"/>
          <w:sz w:val="16"/>
          <w:szCs w:val="16"/>
        </w:rPr>
      </w:pPr>
      <w:r w:rsidRPr="00E43212">
        <w:rPr>
          <w:rStyle w:val="FootnoteReference"/>
          <w:rFonts w:asciiTheme="majorHAnsi" w:hAnsiTheme="majorHAnsi"/>
          <w:sz w:val="16"/>
          <w:szCs w:val="16"/>
        </w:rPr>
        <w:footnoteRef/>
      </w:r>
      <w:r w:rsidRPr="00E43212">
        <w:rPr>
          <w:rFonts w:asciiTheme="majorHAnsi" w:hAnsiTheme="majorHAnsi"/>
          <w:sz w:val="16"/>
          <w:szCs w:val="16"/>
        </w:rPr>
        <w:t xml:space="preserve"> A victim’s guide to the capital case process. </w:t>
      </w:r>
      <w:r w:rsidRPr="00C53F60">
        <w:rPr>
          <w:rFonts w:asciiTheme="majorHAnsi" w:hAnsiTheme="majorHAnsi"/>
          <w:sz w:val="16"/>
          <w:szCs w:val="16"/>
        </w:rPr>
        <w:t xml:space="preserve">Office of Victim’s Services. </w:t>
      </w:r>
      <w:r w:rsidRPr="00380645">
        <w:rPr>
          <w:rFonts w:asciiTheme="majorHAnsi" w:hAnsiTheme="majorHAnsi"/>
          <w:sz w:val="16"/>
          <w:szCs w:val="16"/>
        </w:rPr>
        <w:t xml:space="preserve">California Attorney General’s Office, p. 1.   </w:t>
      </w:r>
    </w:p>
  </w:footnote>
  <w:footnote w:id="5">
    <w:p w14:paraId="0C696C61" w14:textId="77777777" w:rsidR="00DC78FC" w:rsidRPr="00C53F60" w:rsidRDefault="00DC78FC" w:rsidP="00C53F60">
      <w:pPr>
        <w:pStyle w:val="FootnoteText"/>
      </w:pPr>
      <w:r w:rsidRPr="00271175">
        <w:rPr>
          <w:rStyle w:val="FootnoteReference"/>
          <w:rFonts w:asciiTheme="majorHAnsi" w:hAnsiTheme="majorHAnsi"/>
          <w:sz w:val="16"/>
          <w:szCs w:val="16"/>
        </w:rPr>
        <w:footnoteRef/>
      </w:r>
      <w:r w:rsidRPr="00271175">
        <w:rPr>
          <w:rStyle w:val="FootnoteReference"/>
          <w:rFonts w:asciiTheme="majorHAnsi" w:hAnsiTheme="majorHAnsi"/>
          <w:sz w:val="16"/>
          <w:szCs w:val="16"/>
        </w:rPr>
        <w:t xml:space="preserve"> </w:t>
      </w:r>
      <w:r w:rsidRPr="00E43212">
        <w:rPr>
          <w:rFonts w:asciiTheme="majorHAnsi" w:hAnsiTheme="majorHAnsi"/>
          <w:sz w:val="16"/>
          <w:szCs w:val="16"/>
        </w:rPr>
        <w:t xml:space="preserve">A victim’s guide to the capital case process. </w:t>
      </w:r>
      <w:r w:rsidRPr="00271175">
        <w:rPr>
          <w:rFonts w:asciiTheme="majorHAnsi" w:hAnsiTheme="majorHAnsi"/>
          <w:sz w:val="16"/>
          <w:szCs w:val="16"/>
        </w:rPr>
        <w:t xml:space="preserve">Office of Victim’s Services. </w:t>
      </w:r>
      <w:r w:rsidRPr="00C53F60">
        <w:rPr>
          <w:rFonts w:asciiTheme="majorHAnsi" w:hAnsiTheme="majorHAnsi"/>
          <w:sz w:val="16"/>
          <w:szCs w:val="16"/>
        </w:rPr>
        <w:t xml:space="preserve">California Attorney General’s Office, pp. 3-5.   </w:t>
      </w:r>
    </w:p>
  </w:footnote>
  <w:footnote w:id="6">
    <w:p w14:paraId="436F805B" w14:textId="77777777" w:rsidR="00DC78FC" w:rsidRPr="00C53F60" w:rsidRDefault="00DC78FC" w:rsidP="00C53F60">
      <w:pPr>
        <w:pStyle w:val="FootnoteText"/>
      </w:pPr>
      <w:r w:rsidRPr="00006E50">
        <w:rPr>
          <w:rStyle w:val="FootnoteReference"/>
          <w:rFonts w:asciiTheme="majorHAnsi" w:hAnsiTheme="majorHAnsi"/>
          <w:sz w:val="16"/>
          <w:szCs w:val="16"/>
        </w:rPr>
        <w:footnoteRef/>
      </w:r>
      <w:r w:rsidRPr="00006E50">
        <w:rPr>
          <w:rStyle w:val="FootnoteReference"/>
          <w:rFonts w:asciiTheme="majorHAnsi" w:hAnsiTheme="majorHAnsi"/>
          <w:sz w:val="16"/>
          <w:szCs w:val="16"/>
        </w:rPr>
        <w:t xml:space="preserve"> </w:t>
      </w:r>
      <w:r w:rsidRPr="00E43212">
        <w:rPr>
          <w:rFonts w:asciiTheme="majorHAnsi" w:hAnsiTheme="majorHAnsi"/>
          <w:sz w:val="16"/>
          <w:szCs w:val="16"/>
        </w:rPr>
        <w:t xml:space="preserve">A victim’s guide to the capital case process. </w:t>
      </w:r>
      <w:r w:rsidRPr="00271175">
        <w:rPr>
          <w:rFonts w:asciiTheme="majorHAnsi" w:hAnsiTheme="majorHAnsi"/>
          <w:sz w:val="16"/>
          <w:szCs w:val="16"/>
        </w:rPr>
        <w:t xml:space="preserve">Office of Victim’s Services. </w:t>
      </w:r>
      <w:r w:rsidRPr="00C53F60">
        <w:rPr>
          <w:rFonts w:asciiTheme="majorHAnsi" w:hAnsiTheme="majorHAnsi"/>
          <w:sz w:val="16"/>
          <w:szCs w:val="16"/>
        </w:rPr>
        <w:t xml:space="preserve">California Attorney General’s Office, pp. 6 and 7.   </w:t>
      </w:r>
    </w:p>
  </w:footnote>
  <w:footnote w:id="7">
    <w:p w14:paraId="279C08F6" w14:textId="77777777" w:rsidR="00DC78FC" w:rsidRPr="00006E50" w:rsidRDefault="00DC78FC" w:rsidP="00C53F60">
      <w:pPr>
        <w:pStyle w:val="FootnoteText"/>
      </w:pPr>
      <w:r w:rsidRPr="00006E50">
        <w:rPr>
          <w:rStyle w:val="FootnoteReference"/>
          <w:rFonts w:asciiTheme="majorHAnsi" w:hAnsiTheme="majorHAnsi"/>
          <w:sz w:val="16"/>
          <w:szCs w:val="16"/>
        </w:rPr>
        <w:footnoteRef/>
      </w:r>
      <w:r w:rsidRPr="00006E50">
        <w:rPr>
          <w:rStyle w:val="FootnoteReference"/>
          <w:rFonts w:asciiTheme="majorHAnsi" w:hAnsiTheme="majorHAnsi"/>
          <w:sz w:val="16"/>
          <w:szCs w:val="16"/>
        </w:rPr>
        <w:t xml:space="preserve"> </w:t>
      </w:r>
      <w:r w:rsidRPr="00E43212">
        <w:rPr>
          <w:rFonts w:asciiTheme="majorHAnsi" w:hAnsiTheme="majorHAnsi"/>
          <w:sz w:val="16"/>
          <w:szCs w:val="16"/>
        </w:rPr>
        <w:t xml:space="preserve">A victim’s guide to the capital case process. </w:t>
      </w:r>
      <w:r w:rsidRPr="00271175">
        <w:rPr>
          <w:rFonts w:asciiTheme="majorHAnsi" w:hAnsiTheme="majorHAnsi"/>
          <w:sz w:val="16"/>
          <w:szCs w:val="16"/>
        </w:rPr>
        <w:t xml:space="preserve">Office of Victim’s Services. </w:t>
      </w:r>
      <w:r w:rsidRPr="00006E50">
        <w:rPr>
          <w:rFonts w:asciiTheme="majorHAnsi" w:hAnsiTheme="majorHAnsi"/>
          <w:sz w:val="16"/>
          <w:szCs w:val="16"/>
        </w:rPr>
        <w:t xml:space="preserve">California Attorney General’s Office, pp. </w:t>
      </w:r>
      <w:r>
        <w:rPr>
          <w:rFonts w:asciiTheme="majorHAnsi" w:hAnsiTheme="majorHAnsi"/>
          <w:sz w:val="16"/>
          <w:szCs w:val="16"/>
        </w:rPr>
        <w:t>8-13</w:t>
      </w:r>
      <w:r w:rsidRPr="00006E50">
        <w:rPr>
          <w:rFonts w:asciiTheme="majorHAnsi" w:hAnsiTheme="majorHAnsi"/>
          <w:sz w:val="16"/>
          <w:szCs w:val="16"/>
        </w:rPr>
        <w:t xml:space="preserve">.   </w:t>
      </w:r>
    </w:p>
  </w:footnote>
  <w:footnote w:id="8">
    <w:p w14:paraId="2810A068" w14:textId="77777777" w:rsidR="00DC78FC" w:rsidRPr="002E59A3" w:rsidRDefault="00DC78FC" w:rsidP="00C53F60">
      <w:pPr>
        <w:pStyle w:val="FootnoteText"/>
        <w:rPr>
          <w:lang w:val="it-IT"/>
        </w:rPr>
      </w:pPr>
      <w:r w:rsidRPr="008B0EE7">
        <w:rPr>
          <w:rStyle w:val="FootnoteReference"/>
          <w:rFonts w:asciiTheme="majorHAnsi" w:hAnsiTheme="majorHAnsi"/>
          <w:sz w:val="16"/>
          <w:szCs w:val="16"/>
        </w:rPr>
        <w:footnoteRef/>
      </w:r>
      <w:r w:rsidRPr="002E59A3">
        <w:rPr>
          <w:rStyle w:val="FootnoteReference"/>
          <w:rFonts w:asciiTheme="majorHAnsi" w:hAnsiTheme="majorHAnsi"/>
          <w:sz w:val="16"/>
          <w:szCs w:val="16"/>
          <w:lang w:val="it-IT"/>
        </w:rPr>
        <w:t xml:space="preserve"> </w:t>
      </w:r>
      <w:r w:rsidRPr="002E59A3">
        <w:rPr>
          <w:rFonts w:asciiTheme="majorHAnsi" w:hAnsiTheme="majorHAnsi"/>
          <w:i/>
          <w:sz w:val="16"/>
          <w:szCs w:val="16"/>
          <w:lang w:val="it-IT"/>
        </w:rPr>
        <w:t>Faretta v. California</w:t>
      </w:r>
      <w:r w:rsidRPr="002E59A3">
        <w:rPr>
          <w:rFonts w:asciiTheme="majorHAnsi" w:hAnsiTheme="majorHAnsi"/>
          <w:sz w:val="16"/>
          <w:szCs w:val="16"/>
          <w:lang w:val="it-IT"/>
        </w:rPr>
        <w:t>, 422 U.S. 806 (1975).</w:t>
      </w:r>
    </w:p>
  </w:footnote>
  <w:footnote w:id="9">
    <w:p w14:paraId="20E683DC" w14:textId="77777777" w:rsidR="00DC78FC" w:rsidRDefault="00DC78FC" w:rsidP="00620A30">
      <w:pPr>
        <w:pStyle w:val="FootnoteText"/>
        <w:jc w:val="both"/>
      </w:pPr>
      <w:r w:rsidRPr="00204924">
        <w:rPr>
          <w:rStyle w:val="FootnoteReference"/>
          <w:rFonts w:asciiTheme="majorHAnsi" w:hAnsiTheme="majorHAnsi"/>
          <w:sz w:val="16"/>
          <w:szCs w:val="16"/>
        </w:rPr>
        <w:footnoteRef/>
      </w:r>
      <w:r w:rsidRPr="00204924">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27A, p. 361</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10</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0">
    <w:p w14:paraId="465D4CBD" w14:textId="77777777" w:rsidR="00DC78FC" w:rsidRDefault="00DC78FC" w:rsidP="00620A30">
      <w:pPr>
        <w:pStyle w:val="FootnoteText"/>
        <w:jc w:val="both"/>
      </w:pPr>
      <w:r w:rsidRPr="0004681B">
        <w:rPr>
          <w:rStyle w:val="FootnoteReference"/>
          <w:rFonts w:asciiTheme="majorHAnsi" w:hAnsiTheme="majorHAnsi"/>
          <w:sz w:val="16"/>
          <w:szCs w:val="16"/>
        </w:rPr>
        <w:footnoteRef/>
      </w:r>
      <w:r w:rsidRPr="0004681B">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27A, p. 346</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10</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1">
    <w:p w14:paraId="0455C2E2" w14:textId="77777777" w:rsidR="00DC78FC" w:rsidRDefault="00DC78FC" w:rsidP="00620A30">
      <w:pPr>
        <w:pStyle w:val="FootnoteText"/>
        <w:jc w:val="both"/>
      </w:pPr>
      <w:r w:rsidRPr="0004681B">
        <w:rPr>
          <w:rStyle w:val="FootnoteReference"/>
          <w:rFonts w:asciiTheme="majorHAnsi" w:hAnsiTheme="majorHAnsi"/>
          <w:sz w:val="16"/>
          <w:szCs w:val="16"/>
        </w:rPr>
        <w:footnoteRef/>
      </w:r>
      <w:r w:rsidRPr="0004681B">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27A, p. 347</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10</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2">
    <w:p w14:paraId="692211DE" w14:textId="77777777" w:rsidR="00DC78FC" w:rsidRDefault="00DC78FC" w:rsidP="00620A30">
      <w:pPr>
        <w:pStyle w:val="FootnoteText"/>
        <w:jc w:val="both"/>
      </w:pPr>
      <w:r w:rsidRPr="005430A6">
        <w:rPr>
          <w:rStyle w:val="FootnoteReference"/>
          <w:rFonts w:asciiTheme="majorHAnsi" w:hAnsiTheme="majorHAnsi"/>
          <w:sz w:val="16"/>
          <w:szCs w:val="16"/>
        </w:rPr>
        <w:footnoteRef/>
      </w:r>
      <w:r w:rsidRPr="005430A6">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26A, pp. 271 and 272</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9</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3">
    <w:p w14:paraId="5B147393" w14:textId="77777777" w:rsidR="00DC78FC" w:rsidRDefault="00DC78FC" w:rsidP="00620A30">
      <w:pPr>
        <w:pStyle w:val="FootnoteText"/>
        <w:jc w:val="both"/>
      </w:pPr>
      <w:r w:rsidRPr="00EF7231">
        <w:rPr>
          <w:rStyle w:val="FootnoteReference"/>
          <w:rFonts w:asciiTheme="majorHAnsi" w:hAnsiTheme="majorHAnsi"/>
          <w:sz w:val="16"/>
          <w:szCs w:val="16"/>
        </w:rPr>
        <w:footnoteRef/>
      </w:r>
      <w:r w:rsidRPr="00EF7231">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26A, p. 316</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9</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4">
    <w:p w14:paraId="3AA2A6E5" w14:textId="77777777" w:rsidR="00DC78FC" w:rsidRDefault="00DC78FC" w:rsidP="00620A30">
      <w:pPr>
        <w:pStyle w:val="FootnoteText"/>
        <w:jc w:val="both"/>
      </w:pPr>
      <w:r w:rsidRPr="00D47E97">
        <w:rPr>
          <w:rStyle w:val="FootnoteReference"/>
          <w:rFonts w:asciiTheme="majorHAnsi" w:hAnsiTheme="majorHAnsi"/>
          <w:sz w:val="16"/>
          <w:szCs w:val="16"/>
        </w:rPr>
        <w:footnoteRef/>
      </w:r>
      <w:r w:rsidRPr="00D47E97">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28A, p. 522</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11</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5">
    <w:p w14:paraId="0CE96687" w14:textId="77777777" w:rsidR="00DC78FC" w:rsidRDefault="00DC78FC" w:rsidP="00303B04">
      <w:pPr>
        <w:pStyle w:val="FootnoteText"/>
        <w:jc w:val="both"/>
      </w:pPr>
      <w:r w:rsidRPr="00303B04">
        <w:rPr>
          <w:rStyle w:val="FootnoteReference"/>
          <w:rFonts w:asciiTheme="majorHAnsi" w:hAnsiTheme="majorHAnsi"/>
          <w:sz w:val="16"/>
          <w:szCs w:val="16"/>
        </w:rPr>
        <w:footnoteRef/>
      </w:r>
      <w:r w:rsidRPr="00303B04">
        <w:rPr>
          <w:rStyle w:val="FootnoteReference"/>
          <w:rFonts w:asciiTheme="majorHAnsi" w:hAnsiTheme="majorHAnsi"/>
          <w:sz w:val="16"/>
          <w:szCs w:val="16"/>
        </w:rPr>
        <w:t xml:space="preserve"> </w:t>
      </w:r>
      <w:r>
        <w:rPr>
          <w:rFonts w:asciiTheme="majorHAnsi" w:hAnsiTheme="majorHAnsi"/>
          <w:sz w:val="16"/>
          <w:szCs w:val="16"/>
        </w:rPr>
        <w:t>People v. Waldon Clerk’s Transcript</w:t>
      </w:r>
      <w:r w:rsidRPr="00187268">
        <w:rPr>
          <w:rFonts w:asciiTheme="majorHAnsi" w:hAnsiTheme="majorHAnsi"/>
          <w:sz w:val="16"/>
          <w:szCs w:val="16"/>
        </w:rPr>
        <w:t xml:space="preserve"> Volume </w:t>
      </w:r>
      <w:r>
        <w:rPr>
          <w:rFonts w:asciiTheme="majorHAnsi" w:hAnsiTheme="majorHAnsi"/>
          <w:sz w:val="16"/>
          <w:szCs w:val="16"/>
        </w:rPr>
        <w:t>28A, pp. 532, 528 and 585</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11</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6">
    <w:p w14:paraId="710EF985" w14:textId="77777777" w:rsidR="00DC78FC" w:rsidRDefault="00DC78FC">
      <w:pPr>
        <w:pStyle w:val="FootnoteText"/>
      </w:pPr>
      <w:r w:rsidRPr="00755F05">
        <w:rPr>
          <w:rStyle w:val="FootnoteReference"/>
          <w:rFonts w:asciiTheme="majorHAnsi" w:hAnsiTheme="majorHAnsi"/>
          <w:sz w:val="16"/>
          <w:szCs w:val="16"/>
        </w:rPr>
        <w:footnoteRef/>
      </w:r>
      <w:r w:rsidRPr="00755F05">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w:t>
      </w:r>
      <w:r>
        <w:rPr>
          <w:rFonts w:asciiTheme="majorHAnsi" w:hAnsiTheme="majorHAnsi"/>
          <w:sz w:val="16"/>
          <w:szCs w:val="16"/>
        </w:rPr>
        <w:t>Clerk</w:t>
      </w:r>
      <w:r w:rsidRPr="00187268">
        <w:rPr>
          <w:rFonts w:asciiTheme="majorHAnsi" w:hAnsiTheme="majorHAnsi"/>
          <w:sz w:val="16"/>
          <w:szCs w:val="16"/>
        </w:rPr>
        <w:t xml:space="preserve">’s Transcript Volume </w:t>
      </w:r>
      <w:r>
        <w:rPr>
          <w:rFonts w:asciiTheme="majorHAnsi" w:hAnsiTheme="majorHAnsi"/>
          <w:sz w:val="16"/>
          <w:szCs w:val="16"/>
        </w:rPr>
        <w:t>8, p. 1573</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12</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7">
    <w:p w14:paraId="66875129" w14:textId="77777777" w:rsidR="00DC78FC" w:rsidRDefault="00DC78FC">
      <w:pPr>
        <w:pStyle w:val="FootnoteText"/>
      </w:pPr>
      <w:r w:rsidRPr="00983AF6">
        <w:rPr>
          <w:rStyle w:val="FootnoteReference"/>
          <w:rFonts w:asciiTheme="majorHAnsi" w:hAnsiTheme="majorHAnsi"/>
          <w:sz w:val="16"/>
          <w:szCs w:val="16"/>
        </w:rPr>
        <w:footnoteRef/>
      </w:r>
      <w:r w:rsidRPr="00983AF6">
        <w:rPr>
          <w:rStyle w:val="FootnoteReference"/>
          <w:rFonts w:asciiTheme="majorHAnsi" w:hAnsiTheme="majorHAnsi"/>
          <w:sz w:val="16"/>
          <w:szCs w:val="16"/>
        </w:rPr>
        <w:t xml:space="preserve"> </w:t>
      </w:r>
      <w:r>
        <w:rPr>
          <w:rFonts w:asciiTheme="majorHAnsi" w:hAnsiTheme="majorHAnsi"/>
          <w:sz w:val="16"/>
          <w:szCs w:val="16"/>
        </w:rPr>
        <w:t>People v. Waldon Clerk</w:t>
      </w:r>
      <w:r w:rsidRPr="00187268">
        <w:rPr>
          <w:rFonts w:asciiTheme="majorHAnsi" w:hAnsiTheme="majorHAnsi"/>
          <w:sz w:val="16"/>
          <w:szCs w:val="16"/>
        </w:rPr>
        <w:t xml:space="preserve">’s Transcript Volume </w:t>
      </w:r>
      <w:r>
        <w:rPr>
          <w:rFonts w:asciiTheme="majorHAnsi" w:hAnsiTheme="majorHAnsi"/>
          <w:sz w:val="16"/>
          <w:szCs w:val="16"/>
        </w:rPr>
        <w:t>8, p. 1573</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12</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8">
    <w:p w14:paraId="704176D2" w14:textId="77777777" w:rsidR="00DC78FC" w:rsidRDefault="00DC78FC">
      <w:pPr>
        <w:pStyle w:val="FootnoteText"/>
      </w:pPr>
      <w:r w:rsidRPr="003D3435">
        <w:rPr>
          <w:rStyle w:val="FootnoteReference"/>
          <w:rFonts w:asciiTheme="majorHAnsi" w:hAnsiTheme="majorHAnsi"/>
          <w:sz w:val="16"/>
          <w:szCs w:val="16"/>
        </w:rPr>
        <w:footnoteRef/>
      </w:r>
      <w:r w:rsidRPr="003D3435">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8, p. 1574</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12</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19">
    <w:p w14:paraId="1A7849D5" w14:textId="77777777" w:rsidR="00DC78FC" w:rsidRDefault="00DC78FC">
      <w:pPr>
        <w:pStyle w:val="FootnoteText"/>
      </w:pPr>
      <w:r>
        <w:rPr>
          <w:rStyle w:val="FootnoteReference"/>
        </w:rPr>
        <w:footnoteRef/>
      </w:r>
      <w: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81A, p. 15</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13</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0">
    <w:p w14:paraId="13B52774" w14:textId="77777777" w:rsidR="00DC78FC" w:rsidRPr="00187268" w:rsidRDefault="00DC78FC" w:rsidP="00FC1E3D">
      <w:pPr>
        <w:pStyle w:val="FootnoteText"/>
        <w:rPr>
          <w:rFonts w:asciiTheme="majorHAnsi" w:hAnsiTheme="majorHAnsi"/>
          <w:sz w:val="16"/>
          <w:szCs w:val="16"/>
        </w:rPr>
      </w:pPr>
      <w:r w:rsidRPr="00187268">
        <w:rPr>
          <w:rStyle w:val="FootnoteReference"/>
          <w:rFonts w:asciiTheme="majorHAnsi" w:hAnsiTheme="majorHAnsi"/>
          <w:sz w:val="16"/>
          <w:szCs w:val="16"/>
        </w:rPr>
        <w:footnoteRef/>
      </w:r>
      <w:r w:rsidRPr="00187268">
        <w:rPr>
          <w:rFonts w:asciiTheme="majorHAnsi" w:hAnsiTheme="majorHAnsi"/>
          <w:sz w:val="16"/>
          <w:szCs w:val="16"/>
        </w:rPr>
        <w:t xml:space="preserve"> People v. Waldon Reporter’s Transcript Volume 79A. </w:t>
      </w:r>
      <w:r w:rsidRPr="00187268">
        <w:rPr>
          <w:rFonts w:asciiTheme="majorHAnsi" w:hAnsiTheme="majorHAnsi"/>
          <w:color w:val="auto"/>
          <w:sz w:val="16"/>
          <w:szCs w:val="16"/>
        </w:rPr>
        <w:t>Exhibit 5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1">
    <w:p w14:paraId="27B75406" w14:textId="77777777" w:rsidR="00DC78FC" w:rsidRDefault="00DC78FC">
      <w:pPr>
        <w:pStyle w:val="FootnoteText"/>
      </w:pPr>
      <w:r w:rsidRPr="00255140">
        <w:rPr>
          <w:rStyle w:val="FootnoteReference"/>
          <w:rFonts w:asciiTheme="majorHAnsi" w:hAnsiTheme="majorHAnsi"/>
          <w:sz w:val="16"/>
          <w:szCs w:val="16"/>
        </w:rPr>
        <w:footnoteRef/>
      </w:r>
      <w:r w:rsidRPr="00255140">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 p. 261</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14</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2">
    <w:p w14:paraId="3F1F3D93" w14:textId="77777777" w:rsidR="00DC78FC" w:rsidRDefault="00DC78FC">
      <w:pPr>
        <w:pStyle w:val="FootnoteText"/>
      </w:pPr>
      <w:r w:rsidRPr="00255140">
        <w:rPr>
          <w:rStyle w:val="FootnoteReference"/>
          <w:rFonts w:asciiTheme="majorHAnsi" w:hAnsiTheme="majorHAnsi"/>
          <w:sz w:val="16"/>
          <w:szCs w:val="16"/>
        </w:rPr>
        <w:footnoteRef/>
      </w:r>
      <w:r w:rsidRPr="00255140">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 p. 264</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14</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3">
    <w:p w14:paraId="2C8A109D" w14:textId="77777777" w:rsidR="00DC78FC" w:rsidRDefault="00DC78FC">
      <w:pPr>
        <w:pStyle w:val="FootnoteText"/>
      </w:pPr>
      <w:r w:rsidRPr="00236FA5">
        <w:rPr>
          <w:rStyle w:val="FootnoteReference"/>
          <w:rFonts w:asciiTheme="majorHAnsi" w:hAnsiTheme="majorHAnsi"/>
          <w:sz w:val="16"/>
          <w:szCs w:val="16"/>
        </w:rPr>
        <w:footnoteRef/>
      </w:r>
      <w:r w:rsidRPr="00236FA5">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 p. 266</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14</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4">
    <w:p w14:paraId="47AC1334" w14:textId="77777777" w:rsidR="00DC78FC" w:rsidRDefault="00DC78FC">
      <w:pPr>
        <w:pStyle w:val="FootnoteText"/>
      </w:pPr>
      <w:r w:rsidRPr="004F37CA">
        <w:rPr>
          <w:rStyle w:val="FootnoteReference"/>
          <w:rFonts w:asciiTheme="majorHAnsi" w:hAnsiTheme="majorHAnsi"/>
          <w:sz w:val="16"/>
          <w:szCs w:val="16"/>
        </w:rPr>
        <w:footnoteRef/>
      </w:r>
      <w:r w:rsidRPr="004F37CA">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 p. 270</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14</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5">
    <w:p w14:paraId="2F698643" w14:textId="77777777" w:rsidR="00DC78FC" w:rsidRDefault="00DC78FC">
      <w:pPr>
        <w:pStyle w:val="FootnoteText"/>
      </w:pPr>
      <w:r w:rsidRPr="000B276D">
        <w:rPr>
          <w:rStyle w:val="FootnoteReference"/>
          <w:rFonts w:asciiTheme="majorHAnsi" w:hAnsiTheme="majorHAnsi"/>
          <w:sz w:val="16"/>
          <w:szCs w:val="16"/>
        </w:rPr>
        <w:footnoteRef/>
      </w:r>
      <w:r w:rsidRPr="000B276D">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2, p. 295</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14</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6">
    <w:p w14:paraId="7E50800B" w14:textId="77777777" w:rsidR="00DC78FC" w:rsidRDefault="00DC78FC" w:rsidP="0026154C">
      <w:pPr>
        <w:pStyle w:val="FootnoteText"/>
      </w:pPr>
      <w:r w:rsidRPr="00313332">
        <w:rPr>
          <w:rStyle w:val="FootnoteReference"/>
          <w:rFonts w:asciiTheme="majorHAnsi" w:hAnsiTheme="majorHAnsi"/>
          <w:sz w:val="16"/>
          <w:szCs w:val="16"/>
        </w:rPr>
        <w:footnoteRef/>
      </w:r>
      <w: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13</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6</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7">
    <w:p w14:paraId="714D1FAD" w14:textId="77777777" w:rsidR="00DC78FC" w:rsidRDefault="00DC78FC" w:rsidP="000A0EF3">
      <w:pPr>
        <w:pStyle w:val="FootnoteText"/>
        <w:jc w:val="both"/>
      </w:pPr>
      <w:r w:rsidRPr="00FA2C1D">
        <w:rPr>
          <w:rStyle w:val="FootnoteReference"/>
          <w:rFonts w:asciiTheme="majorHAnsi" w:hAnsiTheme="majorHAnsi"/>
          <w:sz w:val="16"/>
          <w:szCs w:val="16"/>
        </w:rPr>
        <w:footnoteRef/>
      </w:r>
      <w:r w:rsidRPr="00FA2C1D">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Reporter’s Transcript Volume </w:t>
      </w:r>
      <w:r>
        <w:rPr>
          <w:rFonts w:asciiTheme="majorHAnsi" w:hAnsiTheme="majorHAnsi"/>
          <w:sz w:val="16"/>
          <w:szCs w:val="16"/>
        </w:rPr>
        <w:t>66, pp. 13529-13530</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15</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8">
    <w:p w14:paraId="36C52F74" w14:textId="77777777" w:rsidR="00DC78FC" w:rsidRDefault="00DC78FC" w:rsidP="0026154C">
      <w:pPr>
        <w:pStyle w:val="FootnoteText"/>
        <w:jc w:val="both"/>
      </w:pPr>
      <w:r w:rsidRPr="00313332">
        <w:rPr>
          <w:rStyle w:val="FootnoteReference"/>
          <w:rFonts w:asciiTheme="majorHAnsi" w:hAnsiTheme="majorHAnsi"/>
          <w:sz w:val="16"/>
          <w:szCs w:val="16"/>
        </w:rPr>
        <w:footnoteRef/>
      </w:r>
      <w:r w:rsidRPr="00313332">
        <w:rPr>
          <w:rFonts w:asciiTheme="majorHAnsi" w:hAnsiTheme="majorHAnsi"/>
          <w:sz w:val="16"/>
          <w:szCs w:val="16"/>
        </w:rPr>
        <w:t xml:space="preserve"> </w:t>
      </w:r>
      <w:r w:rsidRPr="00187268">
        <w:rPr>
          <w:rFonts w:asciiTheme="majorHAnsi" w:hAnsiTheme="majorHAnsi"/>
          <w:sz w:val="16"/>
          <w:szCs w:val="16"/>
        </w:rPr>
        <w:t xml:space="preserve">People v. Waldon </w:t>
      </w:r>
      <w:r>
        <w:rPr>
          <w:rFonts w:asciiTheme="majorHAnsi" w:hAnsiTheme="majorHAnsi"/>
          <w:sz w:val="16"/>
          <w:szCs w:val="16"/>
        </w:rPr>
        <w:t>Superior Court of California, County of San Diego Order #04715</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8</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29">
    <w:p w14:paraId="45BA3581" w14:textId="77777777" w:rsidR="00DC78FC" w:rsidRDefault="00DC78FC">
      <w:pPr>
        <w:pStyle w:val="FootnoteText"/>
      </w:pPr>
      <w:r w:rsidRPr="00FA2C1D">
        <w:rPr>
          <w:rStyle w:val="FootnoteReference"/>
          <w:rFonts w:asciiTheme="majorHAnsi" w:hAnsiTheme="majorHAnsi"/>
          <w:sz w:val="16"/>
          <w:szCs w:val="16"/>
        </w:rPr>
        <w:footnoteRef/>
      </w:r>
      <w:r w:rsidRPr="00FA2C1D">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w:t>
      </w:r>
      <w:r>
        <w:rPr>
          <w:rFonts w:asciiTheme="majorHAnsi" w:hAnsiTheme="majorHAnsi"/>
          <w:sz w:val="16"/>
          <w:szCs w:val="16"/>
        </w:rPr>
        <w:t>Appellants Request for Correction of Record dated December 11, 1997, p. 1.</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16</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30">
    <w:p w14:paraId="13A370D4" w14:textId="77777777" w:rsidR="00DC78FC" w:rsidRDefault="00DC78FC" w:rsidP="002D45C2">
      <w:pPr>
        <w:pStyle w:val="FootnoteText"/>
        <w:jc w:val="both"/>
      </w:pPr>
      <w:r w:rsidRPr="002D45C2">
        <w:rPr>
          <w:rStyle w:val="FootnoteReference"/>
          <w:rFonts w:asciiTheme="majorHAnsi" w:hAnsiTheme="majorHAnsi"/>
          <w:sz w:val="16"/>
          <w:szCs w:val="16"/>
        </w:rPr>
        <w:footnoteRef/>
      </w:r>
      <w:r w:rsidRPr="002D45C2">
        <w:rPr>
          <w:rStyle w:val="FootnoteReference"/>
          <w:rFonts w:asciiTheme="majorHAnsi" w:hAnsiTheme="majorHAnsi"/>
          <w:sz w:val="16"/>
          <w:szCs w:val="16"/>
        </w:rPr>
        <w:t xml:space="preserve"> </w:t>
      </w:r>
      <w:r w:rsidRPr="00187268">
        <w:rPr>
          <w:rFonts w:asciiTheme="majorHAnsi" w:hAnsiTheme="majorHAnsi"/>
          <w:sz w:val="16"/>
          <w:szCs w:val="16"/>
        </w:rPr>
        <w:t xml:space="preserve">People v. Waldon </w:t>
      </w:r>
      <w:r>
        <w:rPr>
          <w:rFonts w:asciiTheme="majorHAnsi" w:hAnsiTheme="majorHAnsi"/>
          <w:sz w:val="16"/>
          <w:szCs w:val="16"/>
        </w:rPr>
        <w:t>Appellants Request for Correction of Record dated December 11, 1997, p. 6.</w:t>
      </w:r>
      <w:r w:rsidRPr="00187268">
        <w:rPr>
          <w:rFonts w:asciiTheme="majorHAnsi" w:hAnsiTheme="majorHAnsi"/>
          <w:sz w:val="16"/>
          <w:szCs w:val="16"/>
        </w:rPr>
        <w:t xml:space="preserve"> </w:t>
      </w:r>
      <w:r w:rsidRPr="00187268">
        <w:rPr>
          <w:rFonts w:asciiTheme="majorHAnsi" w:hAnsiTheme="majorHAnsi"/>
          <w:color w:val="auto"/>
          <w:sz w:val="16"/>
          <w:szCs w:val="16"/>
        </w:rPr>
        <w:t xml:space="preserve">Exhibit </w:t>
      </w:r>
      <w:r>
        <w:rPr>
          <w:rFonts w:asciiTheme="majorHAnsi" w:hAnsiTheme="majorHAnsi"/>
          <w:color w:val="auto"/>
          <w:sz w:val="16"/>
          <w:szCs w:val="16"/>
        </w:rPr>
        <w:t>16</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31">
    <w:p w14:paraId="002C3C20" w14:textId="77777777" w:rsidR="00DC78FC" w:rsidRDefault="00DC78FC" w:rsidP="006F672E">
      <w:pPr>
        <w:pStyle w:val="FootnoteText"/>
        <w:jc w:val="both"/>
      </w:pPr>
      <w:r w:rsidRPr="006F672E">
        <w:rPr>
          <w:rStyle w:val="FootnoteReference"/>
          <w:rFonts w:asciiTheme="majorHAnsi" w:hAnsiTheme="majorHAnsi"/>
          <w:color w:val="auto"/>
          <w:sz w:val="16"/>
          <w:szCs w:val="16"/>
        </w:rPr>
        <w:footnoteRef/>
      </w:r>
      <w:r w:rsidRPr="006F672E">
        <w:rPr>
          <w:rStyle w:val="FootnoteReference"/>
          <w:rFonts w:asciiTheme="majorHAnsi" w:hAnsiTheme="majorHAnsi"/>
          <w:color w:val="auto"/>
          <w:sz w:val="16"/>
          <w:szCs w:val="16"/>
        </w:rPr>
        <w:t xml:space="preserve"> </w:t>
      </w:r>
      <w:r w:rsidRPr="00187268">
        <w:rPr>
          <w:rFonts w:asciiTheme="majorHAnsi" w:hAnsiTheme="majorHAnsi"/>
          <w:sz w:val="16"/>
          <w:szCs w:val="16"/>
        </w:rPr>
        <w:t>People v. Waldon</w:t>
      </w:r>
      <w:r>
        <w:rPr>
          <w:rFonts w:asciiTheme="majorHAnsi" w:hAnsiTheme="majorHAnsi"/>
          <w:sz w:val="16"/>
          <w:szCs w:val="16"/>
        </w:rPr>
        <w:t xml:space="preserve"> Renewed request for Corrections of Record, Application to Augment the Record on Appeal and Request for Correction of Court Reporter’s Certificates dated February 6, 2001, p. 2. </w:t>
      </w:r>
      <w:r w:rsidRPr="00187268">
        <w:rPr>
          <w:rFonts w:asciiTheme="majorHAnsi" w:hAnsiTheme="majorHAnsi"/>
          <w:color w:val="auto"/>
          <w:sz w:val="16"/>
          <w:szCs w:val="16"/>
        </w:rPr>
        <w:t xml:space="preserve">Exhibit </w:t>
      </w:r>
      <w:r>
        <w:rPr>
          <w:rFonts w:asciiTheme="majorHAnsi" w:hAnsiTheme="majorHAnsi"/>
          <w:color w:val="auto"/>
          <w:sz w:val="16"/>
          <w:szCs w:val="16"/>
        </w:rPr>
        <w:t>17</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32">
    <w:p w14:paraId="3C0B5990" w14:textId="77777777" w:rsidR="00DC78FC" w:rsidRDefault="00DC78FC" w:rsidP="00B37C3B">
      <w:pPr>
        <w:pStyle w:val="FootnoteText"/>
        <w:jc w:val="both"/>
      </w:pPr>
      <w:r w:rsidRPr="00B37C3B">
        <w:rPr>
          <w:rStyle w:val="FootnoteReference"/>
          <w:rFonts w:asciiTheme="majorHAnsi" w:hAnsiTheme="majorHAnsi"/>
          <w:color w:val="auto"/>
          <w:sz w:val="16"/>
          <w:szCs w:val="16"/>
        </w:rPr>
        <w:footnoteRef/>
      </w:r>
      <w:r w:rsidRPr="00B37C3B">
        <w:rPr>
          <w:rStyle w:val="FootnoteReference"/>
          <w:rFonts w:asciiTheme="majorHAnsi" w:hAnsiTheme="majorHAnsi"/>
          <w:color w:val="auto"/>
          <w:sz w:val="16"/>
          <w:szCs w:val="16"/>
        </w:rPr>
        <w:t xml:space="preserve"> </w:t>
      </w:r>
      <w:r w:rsidRPr="00187268">
        <w:rPr>
          <w:rFonts w:asciiTheme="majorHAnsi" w:hAnsiTheme="majorHAnsi"/>
          <w:sz w:val="16"/>
          <w:szCs w:val="16"/>
        </w:rPr>
        <w:t>People v. Waldon</w:t>
      </w:r>
      <w:r>
        <w:rPr>
          <w:rFonts w:asciiTheme="majorHAnsi" w:hAnsiTheme="majorHAnsi"/>
          <w:sz w:val="16"/>
          <w:szCs w:val="16"/>
        </w:rPr>
        <w:t xml:space="preserve"> Appellants Request for Time to Prepare Proposed Settled Statements and File Pleadings dated August 18, 2003, pp. 1 and 2. </w:t>
      </w:r>
      <w:r w:rsidRPr="00187268">
        <w:rPr>
          <w:rFonts w:asciiTheme="majorHAnsi" w:hAnsiTheme="majorHAnsi"/>
          <w:color w:val="auto"/>
          <w:sz w:val="16"/>
          <w:szCs w:val="16"/>
        </w:rPr>
        <w:t xml:space="preserve">Exhibit </w:t>
      </w:r>
      <w:r>
        <w:rPr>
          <w:rFonts w:asciiTheme="majorHAnsi" w:hAnsiTheme="majorHAnsi"/>
          <w:color w:val="auto"/>
          <w:sz w:val="16"/>
          <w:szCs w:val="16"/>
        </w:rPr>
        <w:t>18</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33">
    <w:p w14:paraId="1A77BD29" w14:textId="77777777" w:rsidR="00DC78FC" w:rsidRDefault="00DC78FC" w:rsidP="006B4324">
      <w:pPr>
        <w:pStyle w:val="FootnoteText"/>
        <w:jc w:val="both"/>
      </w:pPr>
      <w:r w:rsidRPr="007F4A54">
        <w:rPr>
          <w:rStyle w:val="FootnoteReference"/>
          <w:rFonts w:asciiTheme="majorHAnsi" w:hAnsiTheme="majorHAnsi"/>
          <w:color w:val="auto"/>
          <w:sz w:val="16"/>
          <w:szCs w:val="16"/>
        </w:rPr>
        <w:footnoteRef/>
      </w:r>
      <w:r w:rsidRPr="007F4A54">
        <w:rPr>
          <w:rStyle w:val="FootnoteReference"/>
          <w:rFonts w:asciiTheme="majorHAnsi" w:hAnsiTheme="majorHAnsi"/>
          <w:color w:val="auto"/>
          <w:sz w:val="16"/>
          <w:szCs w:val="16"/>
        </w:rPr>
        <w:t xml:space="preserve"> </w:t>
      </w:r>
      <w:r w:rsidRPr="00187268">
        <w:rPr>
          <w:rFonts w:asciiTheme="majorHAnsi" w:hAnsiTheme="majorHAnsi"/>
          <w:sz w:val="16"/>
          <w:szCs w:val="16"/>
        </w:rPr>
        <w:t>People v. Waldon</w:t>
      </w:r>
      <w:r>
        <w:rPr>
          <w:rFonts w:asciiTheme="majorHAnsi" w:hAnsiTheme="majorHAnsi"/>
          <w:sz w:val="16"/>
          <w:szCs w:val="16"/>
        </w:rPr>
        <w:t xml:space="preserve"> Appellants Request for Time to Prepare Proposed Settled Statements dated May 24, 2005, p.2. </w:t>
      </w:r>
      <w:r w:rsidRPr="00187268">
        <w:rPr>
          <w:rFonts w:asciiTheme="majorHAnsi" w:hAnsiTheme="majorHAnsi"/>
          <w:color w:val="auto"/>
          <w:sz w:val="16"/>
          <w:szCs w:val="16"/>
        </w:rPr>
        <w:t xml:space="preserve">Exhibit </w:t>
      </w:r>
      <w:r>
        <w:rPr>
          <w:rFonts w:asciiTheme="majorHAnsi" w:hAnsiTheme="majorHAnsi"/>
          <w:color w:val="auto"/>
          <w:sz w:val="16"/>
          <w:szCs w:val="16"/>
        </w:rPr>
        <w:t>20</w:t>
      </w:r>
      <w:r w:rsidRPr="00187268">
        <w:rPr>
          <w:rFonts w:asciiTheme="majorHAnsi" w:hAnsiTheme="majorHAnsi"/>
          <w:color w:val="auto"/>
          <w:sz w:val="16"/>
          <w:szCs w:val="16"/>
        </w:rPr>
        <w:t xml:space="preserve"> submitted with petitioners’</w:t>
      </w:r>
      <w:r>
        <w:rPr>
          <w:rFonts w:asciiTheme="majorHAnsi" w:hAnsiTheme="majorHAnsi"/>
          <w:color w:val="auto"/>
          <w:sz w:val="16"/>
          <w:szCs w:val="16"/>
        </w:rPr>
        <w:t xml:space="preserve"> original petition</w:t>
      </w:r>
      <w:r w:rsidRPr="00187268">
        <w:rPr>
          <w:rFonts w:asciiTheme="majorHAnsi" w:hAnsiTheme="majorHAnsi"/>
          <w:color w:val="auto"/>
          <w:sz w:val="16"/>
          <w:szCs w:val="16"/>
        </w:rPr>
        <w:t xml:space="preserve"> on</w:t>
      </w:r>
      <w:r>
        <w:rPr>
          <w:rFonts w:asciiTheme="majorHAnsi" w:hAnsiTheme="majorHAnsi"/>
          <w:color w:val="auto"/>
          <w:sz w:val="16"/>
          <w:szCs w:val="16"/>
        </w:rPr>
        <w:t xml:space="preserve"> February 2, 2007.</w:t>
      </w:r>
    </w:p>
  </w:footnote>
  <w:footnote w:id="34">
    <w:p w14:paraId="7EA09992" w14:textId="77777777" w:rsidR="00DC78FC" w:rsidRPr="00C4793D" w:rsidRDefault="00DC78FC">
      <w:pPr>
        <w:pStyle w:val="FootnoteText"/>
        <w:rPr>
          <w:rFonts w:asciiTheme="majorHAnsi" w:hAnsiTheme="majorHAnsi"/>
          <w:sz w:val="16"/>
          <w:szCs w:val="16"/>
        </w:rPr>
      </w:pPr>
      <w:r w:rsidRPr="00C4793D">
        <w:rPr>
          <w:rStyle w:val="FootnoteReference"/>
          <w:rFonts w:asciiTheme="majorHAnsi" w:hAnsiTheme="majorHAnsi"/>
          <w:sz w:val="16"/>
          <w:szCs w:val="16"/>
        </w:rPr>
        <w:footnoteRef/>
      </w:r>
      <w:r w:rsidRPr="00C4793D">
        <w:rPr>
          <w:rFonts w:asciiTheme="majorHAnsi" w:hAnsiTheme="majorHAnsi"/>
          <w:sz w:val="16"/>
          <w:szCs w:val="16"/>
        </w:rPr>
        <w:t xml:space="preserve"> Petitioners’ brief filed on August 6, 2013, p. 4.</w:t>
      </w:r>
    </w:p>
  </w:footnote>
  <w:footnote w:id="35">
    <w:p w14:paraId="72306169" w14:textId="77777777" w:rsidR="00DC78FC" w:rsidRPr="003E366F" w:rsidRDefault="00DC78FC" w:rsidP="003E366F">
      <w:pPr>
        <w:pStyle w:val="FootnoteText"/>
        <w:jc w:val="both"/>
        <w:rPr>
          <w:rFonts w:asciiTheme="majorHAnsi" w:hAnsiTheme="majorHAnsi"/>
          <w:sz w:val="16"/>
          <w:szCs w:val="16"/>
        </w:rPr>
      </w:pPr>
      <w:r w:rsidRPr="003E366F">
        <w:rPr>
          <w:rStyle w:val="FootnoteReference"/>
          <w:rFonts w:asciiTheme="majorHAnsi" w:hAnsiTheme="majorHAnsi"/>
          <w:sz w:val="16"/>
          <w:szCs w:val="16"/>
        </w:rPr>
        <w:footnoteRef/>
      </w:r>
      <w:r w:rsidRPr="003E366F">
        <w:rPr>
          <w:rFonts w:asciiTheme="majorHAnsi" w:hAnsiTheme="majorHAnsi"/>
          <w:sz w:val="16"/>
          <w:szCs w:val="16"/>
        </w:rPr>
        <w:t xml:space="preserve"> California Courts. Appellate Court Case Information. </w:t>
      </w:r>
      <w:r>
        <w:rPr>
          <w:rFonts w:asciiTheme="majorHAnsi" w:hAnsiTheme="majorHAnsi"/>
          <w:sz w:val="16"/>
          <w:szCs w:val="16"/>
        </w:rPr>
        <w:t>4</w:t>
      </w:r>
      <w:r w:rsidRPr="00A80C1E">
        <w:rPr>
          <w:rFonts w:asciiTheme="majorHAnsi" w:hAnsiTheme="majorHAnsi"/>
          <w:sz w:val="16"/>
          <w:szCs w:val="16"/>
          <w:vertAlign w:val="superscript"/>
        </w:rPr>
        <w:t>th</w:t>
      </w:r>
      <w:r>
        <w:rPr>
          <w:rFonts w:asciiTheme="majorHAnsi" w:hAnsiTheme="majorHAnsi"/>
          <w:sz w:val="16"/>
          <w:szCs w:val="16"/>
        </w:rPr>
        <w:t xml:space="preserve"> Appellate District Division 1. </w:t>
      </w:r>
      <w:r w:rsidRPr="003E366F">
        <w:rPr>
          <w:rFonts w:asciiTheme="majorHAnsi" w:hAnsiTheme="majorHAnsi"/>
          <w:sz w:val="16"/>
          <w:szCs w:val="16"/>
        </w:rPr>
        <w:t xml:space="preserve">The People v. The Superior Court of San Diego County/Waldon. Case Number D068054. Available at: </w:t>
      </w:r>
      <w:hyperlink r:id="rId1" w:history="1">
        <w:r w:rsidRPr="003E366F">
          <w:rPr>
            <w:rStyle w:val="Hyperlink"/>
            <w:rFonts w:asciiTheme="majorHAnsi" w:hAnsiTheme="majorHAnsi"/>
            <w:sz w:val="16"/>
            <w:szCs w:val="16"/>
          </w:rPr>
          <w:t>http://appellatecases.courtinfo.ca.gov/search/case/dockets.cfm?dist=41&amp;doc_id=2108923&amp;doc_no=D068054&amp;request_token=NiIwLSIkXkg9W1BBSCM9WEJIUDg6UkxbJSBeRz9SMCAgCg%3D%3D</w:t>
        </w:r>
      </w:hyperlink>
      <w:r>
        <w:rPr>
          <w:rFonts w:asciiTheme="majorHAnsi" w:hAnsiTheme="majorHAnsi"/>
          <w:sz w:val="16"/>
          <w:szCs w:val="16"/>
        </w:rPr>
        <w:t xml:space="preserve">. Court data last updated: December 23, 2018.  </w:t>
      </w:r>
      <w:r w:rsidRPr="003E366F">
        <w:rPr>
          <w:rFonts w:asciiTheme="majorHAnsi" w:hAnsiTheme="majorHAnsi"/>
          <w:sz w:val="16"/>
          <w:szCs w:val="16"/>
        </w:rPr>
        <w:t xml:space="preserve"> </w:t>
      </w:r>
    </w:p>
  </w:footnote>
  <w:footnote w:id="36">
    <w:p w14:paraId="4515DE39" w14:textId="77777777" w:rsidR="00DC78FC" w:rsidRPr="00382CE7" w:rsidRDefault="00DC78FC" w:rsidP="008D6249">
      <w:pPr>
        <w:pStyle w:val="FootnoteText"/>
        <w:jc w:val="both"/>
        <w:rPr>
          <w:rFonts w:asciiTheme="majorHAnsi" w:hAnsiTheme="majorHAnsi"/>
          <w:sz w:val="16"/>
          <w:szCs w:val="16"/>
        </w:rPr>
      </w:pPr>
      <w:r w:rsidRPr="00382CE7">
        <w:rPr>
          <w:rStyle w:val="FootnoteReference"/>
          <w:rFonts w:asciiTheme="majorHAnsi" w:hAnsiTheme="majorHAnsi"/>
          <w:sz w:val="16"/>
          <w:szCs w:val="16"/>
        </w:rPr>
        <w:footnoteRef/>
      </w:r>
      <w:r w:rsidRPr="00382CE7">
        <w:rPr>
          <w:rFonts w:asciiTheme="majorHAnsi" w:hAnsiTheme="majorHAnsi"/>
          <w:sz w:val="16"/>
          <w:szCs w:val="16"/>
        </w:rPr>
        <w:t xml:space="preserve"> California Courts. Appellate Courts Case Information. Supreme Court. People v. Waldon (Billy Ray). Supreme Court Case S232568. Available at: </w:t>
      </w:r>
      <w:hyperlink r:id="rId2" w:history="1">
        <w:r w:rsidRPr="00382CE7">
          <w:rPr>
            <w:rStyle w:val="Hyperlink"/>
            <w:rFonts w:asciiTheme="majorHAnsi" w:hAnsiTheme="majorHAnsi"/>
            <w:sz w:val="16"/>
            <w:szCs w:val="16"/>
          </w:rPr>
          <w:t>http://appellatecases.courtinfo.ca.gov/search/case/mainCaseScreen.cfm?dist=0&amp;doc_id=2133772&amp;doc_no=S232568&amp;request_token=NiIwLSIkXkg9W1BBSCM9UExIQDw0UDxTICI%2BUzxRMCAgCg%3D%3D</w:t>
        </w:r>
      </w:hyperlink>
      <w:r w:rsidRPr="00382CE7">
        <w:rPr>
          <w:rFonts w:asciiTheme="majorHAnsi" w:hAnsiTheme="majorHAnsi"/>
          <w:sz w:val="16"/>
          <w:szCs w:val="16"/>
        </w:rPr>
        <w:t xml:space="preserve">. Court data last updated: December 23, 2018.   </w:t>
      </w:r>
    </w:p>
  </w:footnote>
  <w:footnote w:id="37">
    <w:p w14:paraId="72FB0BE4" w14:textId="77777777" w:rsidR="00DC78FC" w:rsidRPr="00ED56AB" w:rsidRDefault="00DC78FC"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See, for example: I/A Court H. R., Advisory Opinion OC-16/99 (October 1, 1999), </w:t>
      </w:r>
      <w:r w:rsidRPr="00ED56AB">
        <w:rPr>
          <w:rFonts w:asciiTheme="majorHAnsi" w:hAnsiTheme="majorHAnsi"/>
          <w:i/>
          <w:iCs/>
          <w:color w:val="auto"/>
          <w:sz w:val="16"/>
          <w:szCs w:val="16"/>
        </w:rPr>
        <w:t>The Right to Information on Consular Assistance in the Framework of the Guarantees of the Due Process of Law</w:t>
      </w:r>
      <w:r w:rsidRPr="00ED56AB">
        <w:rPr>
          <w:rFonts w:asciiTheme="majorHAnsi" w:hAnsiTheme="majorHAnsi"/>
          <w:color w:val="auto"/>
          <w:sz w:val="16"/>
          <w:szCs w:val="16"/>
        </w:rPr>
        <w:t xml:space="preserve">, para. 136; United Nations Human Rights Committee, </w:t>
      </w:r>
      <w:r w:rsidRPr="00ED56AB">
        <w:rPr>
          <w:rFonts w:asciiTheme="majorHAnsi" w:hAnsiTheme="majorHAnsi"/>
          <w:i/>
          <w:iCs/>
          <w:color w:val="auto"/>
          <w:sz w:val="16"/>
          <w:szCs w:val="16"/>
        </w:rPr>
        <w:t>Baboheram-Adhin et al. v. Suriname</w:t>
      </w:r>
      <w:r w:rsidRPr="00ED56AB">
        <w:rPr>
          <w:rFonts w:asciiTheme="majorHAnsi" w:hAnsiTheme="majorHAnsi"/>
          <w:color w:val="auto"/>
          <w:sz w:val="16"/>
          <w:szCs w:val="16"/>
        </w:rPr>
        <w:t>,</w:t>
      </w:r>
      <w:r w:rsidRPr="00ED56AB">
        <w:rPr>
          <w:rFonts w:asciiTheme="majorHAnsi" w:hAnsiTheme="majorHAnsi"/>
          <w:i/>
          <w:iCs/>
          <w:color w:val="auto"/>
          <w:sz w:val="16"/>
          <w:szCs w:val="16"/>
        </w:rPr>
        <w:t xml:space="preserve"> </w:t>
      </w:r>
      <w:r w:rsidRPr="00ED56AB">
        <w:rPr>
          <w:rFonts w:asciiTheme="majorHAnsi" w:hAnsiTheme="majorHAnsi"/>
          <w:color w:val="auto"/>
          <w:sz w:val="16"/>
          <w:szCs w:val="16"/>
        </w:rPr>
        <w:t xml:space="preserve">Communications Nos. 148-154/1983, adopted on April 4, 1985, para. 14.3; </w:t>
      </w:r>
      <w:r w:rsidRPr="00ED56AB">
        <w:rPr>
          <w:rFonts w:asciiTheme="majorHAnsi" w:hAnsiTheme="majorHAnsi"/>
          <w:i/>
          <w:iCs/>
          <w:color w:val="auto"/>
          <w:sz w:val="16"/>
          <w:szCs w:val="16"/>
        </w:rPr>
        <w:t>Report of the United Nations Special Rapporteur on Extrajudicial Executions</w:t>
      </w:r>
      <w:r w:rsidRPr="00ED56AB">
        <w:rPr>
          <w:rFonts w:asciiTheme="majorHAnsi" w:hAnsiTheme="majorHAnsi"/>
          <w:color w:val="auto"/>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para. 378.</w:t>
      </w:r>
    </w:p>
  </w:footnote>
  <w:footnote w:id="38">
    <w:p w14:paraId="24042C35" w14:textId="77777777" w:rsidR="00DC78FC" w:rsidRPr="00ED56AB" w:rsidRDefault="00DC78FC"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w:t>
      </w:r>
      <w:r w:rsidRPr="00ED56AB">
        <w:rPr>
          <w:rFonts w:asciiTheme="majorHAnsi" w:hAnsiTheme="majorHAnsi"/>
          <w:i/>
          <w:iCs/>
          <w:color w:val="auto"/>
          <w:sz w:val="16"/>
          <w:szCs w:val="16"/>
        </w:rPr>
        <w:t xml:space="preserve"> </w:t>
      </w:r>
      <w:r w:rsidRPr="00ED56AB">
        <w:rPr>
          <w:rFonts w:asciiTheme="majorHAnsi" w:hAnsiTheme="majorHAnsi"/>
          <w:color w:val="auto"/>
          <w:sz w:val="16"/>
          <w:szCs w:val="16"/>
        </w:rPr>
        <w:t xml:space="preserve">Report No. 57/96, </w:t>
      </w:r>
      <w:r w:rsidRPr="00ED56AB">
        <w:rPr>
          <w:rFonts w:asciiTheme="majorHAnsi" w:hAnsiTheme="majorHAnsi"/>
          <w:iCs/>
          <w:color w:val="auto"/>
          <w:sz w:val="16"/>
          <w:szCs w:val="16"/>
        </w:rPr>
        <w:t>Andrews, United States</w:t>
      </w:r>
      <w:r w:rsidRPr="00ED56AB">
        <w:rPr>
          <w:rFonts w:asciiTheme="majorHAnsi" w:hAnsiTheme="majorHAnsi"/>
          <w:color w:val="auto"/>
          <w:sz w:val="16"/>
          <w:szCs w:val="16"/>
        </w:rPr>
        <w:t xml:space="preserve">, IACHR Annual Report 1997, para. 170-171; Report No. 38/00 Baptiste, Grenada, IACHR Annual Report 1999, paras. 64-66; Report No. 41/00, McKenzie </w:t>
      </w:r>
      <w:r w:rsidRPr="00ED56AB">
        <w:rPr>
          <w:rFonts w:asciiTheme="majorHAnsi" w:hAnsiTheme="majorHAnsi"/>
          <w:i/>
          <w:iCs/>
          <w:color w:val="auto"/>
          <w:sz w:val="16"/>
          <w:szCs w:val="16"/>
        </w:rPr>
        <w:t>et al.</w:t>
      </w:r>
      <w:r w:rsidRPr="00ED56AB">
        <w:rPr>
          <w:rFonts w:asciiTheme="majorHAnsi" w:hAnsiTheme="majorHAnsi"/>
          <w:iCs/>
          <w:color w:val="auto"/>
          <w:sz w:val="16"/>
          <w:szCs w:val="16"/>
        </w:rPr>
        <w:t>,</w:t>
      </w:r>
      <w:r w:rsidRPr="00ED56AB">
        <w:rPr>
          <w:rFonts w:asciiTheme="majorHAnsi" w:hAnsiTheme="majorHAnsi"/>
          <w:color w:val="auto"/>
          <w:sz w:val="16"/>
          <w:szCs w:val="16"/>
        </w:rPr>
        <w:t xml:space="preserve"> Jamaica, IACHR Annual Report 1999, paras. 169-171.</w:t>
      </w:r>
    </w:p>
  </w:footnote>
  <w:footnote w:id="39">
    <w:p w14:paraId="4F20A2D4" w14:textId="77777777" w:rsidR="00DC78FC" w:rsidRPr="00ED56AB" w:rsidRDefault="00DC78FC" w:rsidP="00ED56AB">
      <w:pPr>
        <w:autoSpaceDE w:val="0"/>
        <w:autoSpaceDN w:val="0"/>
        <w:adjustRightInd w:val="0"/>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The death penalty in the Inter-American System of Human Rights: From restrictions to abolition, </w:t>
      </w:r>
      <w:r w:rsidRPr="00ED56AB">
        <w:rPr>
          <w:rFonts w:asciiTheme="majorHAnsi" w:hAnsiTheme="majorHAnsi" w:cs="Calibri"/>
          <w:sz w:val="16"/>
          <w:szCs w:val="16"/>
        </w:rPr>
        <w:t xml:space="preserve">OEA/Ser.L/V/II.Doc. 68, December 31, 2011, </w:t>
      </w:r>
      <w:r w:rsidRPr="00ED56AB">
        <w:rPr>
          <w:rFonts w:asciiTheme="majorHAnsi" w:hAnsiTheme="majorHAnsi"/>
          <w:sz w:val="16"/>
          <w:szCs w:val="16"/>
        </w:rPr>
        <w:t>para. 41.</w:t>
      </w:r>
    </w:p>
  </w:footnote>
  <w:footnote w:id="40">
    <w:p w14:paraId="321373FC" w14:textId="77777777" w:rsidR="00DC78FC" w:rsidRPr="00ED56AB" w:rsidRDefault="00DC78FC" w:rsidP="00ED56AB">
      <w:pPr>
        <w:autoSpaceDE w:val="0"/>
        <w:autoSpaceDN w:val="0"/>
        <w:adjustRightInd w:val="0"/>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No. 78/07, Case 12.265, Merits (Publication), Chad Roger Goodman, The Bahamas, October 15, 2007, para. 34.</w:t>
      </w:r>
    </w:p>
  </w:footnote>
  <w:footnote w:id="41">
    <w:p w14:paraId="2F5563A3" w14:textId="77777777" w:rsidR="00DC78FC" w:rsidRPr="00ED56AB" w:rsidRDefault="00DC78FC" w:rsidP="00ED56AB">
      <w:pPr>
        <w:pStyle w:val="FootnoteText"/>
        <w:jc w:val="both"/>
        <w:rPr>
          <w:rFonts w:asciiTheme="majorHAnsi" w:hAnsiTheme="majorHAnsi" w:cs="Times New Roman"/>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44/14, Case 12,873, Report on Merits (Publication), Edgar Tamayo Arias, United States, July 17, 2014, para. 214.</w:t>
      </w:r>
    </w:p>
  </w:footnote>
  <w:footnote w:id="42">
    <w:p w14:paraId="79DC3CED" w14:textId="77777777" w:rsidR="00DC78FC" w:rsidRPr="000F4547" w:rsidRDefault="00DC78FC" w:rsidP="00EE36D7">
      <w:pPr>
        <w:jc w:val="both"/>
      </w:pPr>
      <w:r w:rsidRPr="000F4547">
        <w:rPr>
          <w:rStyle w:val="FootnoteReference"/>
          <w:rFonts w:asciiTheme="majorHAnsi" w:hAnsiTheme="majorHAnsi"/>
          <w:sz w:val="16"/>
          <w:szCs w:val="16"/>
        </w:rPr>
        <w:footnoteRef/>
      </w:r>
      <w:r w:rsidRPr="000F4547">
        <w:rPr>
          <w:rFonts w:asciiTheme="majorHAnsi" w:hAnsiTheme="majorHAnsi"/>
          <w:sz w:val="16"/>
          <w:szCs w:val="16"/>
        </w:rPr>
        <w:t xml:space="preserve"> </w:t>
      </w:r>
      <w:r w:rsidRPr="00ED56AB">
        <w:rPr>
          <w:rFonts w:asciiTheme="majorHAnsi" w:hAnsiTheme="majorHAnsi"/>
          <w:sz w:val="16"/>
          <w:szCs w:val="16"/>
        </w:rPr>
        <w:t>Article XVIII of the American Declaration provides: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43">
    <w:p w14:paraId="111A52B3" w14:textId="77777777" w:rsidR="00DC78FC" w:rsidRPr="00ED56AB" w:rsidRDefault="00DC78FC" w:rsidP="00EE36D7">
      <w:pPr>
        <w:keepNext/>
        <w:jc w:val="both"/>
        <w:rPr>
          <w:rFonts w:asciiTheme="majorHAnsi" w:hAnsiTheme="majorHAnsi"/>
          <w:sz w:val="16"/>
          <w:szCs w:val="16"/>
        </w:rPr>
      </w:pPr>
      <w:r w:rsidRPr="00EE36D7">
        <w:rPr>
          <w:rStyle w:val="FootnoteReference"/>
          <w:rFonts w:asciiTheme="majorHAnsi" w:hAnsiTheme="majorHAnsi"/>
          <w:sz w:val="16"/>
          <w:szCs w:val="16"/>
        </w:rPr>
        <w:footnoteRef/>
      </w:r>
      <w:r w:rsidRPr="00EE36D7">
        <w:rPr>
          <w:rStyle w:val="FootnoteReference"/>
          <w:rFonts w:asciiTheme="majorHAnsi" w:hAnsiTheme="majorHAnsi"/>
          <w:sz w:val="16"/>
          <w:szCs w:val="16"/>
        </w:rPr>
        <w:t xml:space="preserve"> </w:t>
      </w:r>
      <w:r w:rsidRPr="00ED56AB">
        <w:rPr>
          <w:rFonts w:asciiTheme="majorHAnsi" w:hAnsiTheme="majorHAnsi"/>
          <w:sz w:val="16"/>
          <w:szCs w:val="16"/>
        </w:rPr>
        <w:t>Article XXVI of the American Declaration provides: “Every accused person is presumed to be innocent until proved guilty.</w:t>
      </w:r>
    </w:p>
    <w:p w14:paraId="39E36795" w14:textId="77777777" w:rsidR="00DC78FC" w:rsidRDefault="00DC78FC" w:rsidP="00EE36D7">
      <w:pPr>
        <w:pStyle w:val="FootnoteText"/>
        <w:jc w:val="both"/>
      </w:pPr>
      <w:r w:rsidRPr="00ED56AB">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44">
    <w:p w14:paraId="64098EB3" w14:textId="77777777" w:rsidR="00DC78FC" w:rsidRPr="002E59A3" w:rsidRDefault="00DC78FC" w:rsidP="006A538E">
      <w:pPr>
        <w:pStyle w:val="FootnoteText"/>
        <w:jc w:val="both"/>
        <w:rPr>
          <w:rFonts w:asciiTheme="majorHAnsi" w:hAnsiTheme="majorHAnsi"/>
          <w:sz w:val="16"/>
          <w:szCs w:val="16"/>
          <w:lang w:val="it-IT"/>
        </w:rPr>
      </w:pPr>
      <w:r w:rsidRPr="006A538E">
        <w:rPr>
          <w:rStyle w:val="FootnoteReference"/>
          <w:rFonts w:asciiTheme="majorHAnsi" w:hAnsiTheme="majorHAnsi"/>
          <w:sz w:val="16"/>
          <w:szCs w:val="16"/>
        </w:rPr>
        <w:footnoteRef/>
      </w:r>
      <w:r w:rsidRPr="002E59A3">
        <w:rPr>
          <w:rFonts w:asciiTheme="majorHAnsi" w:hAnsiTheme="majorHAnsi"/>
          <w:sz w:val="16"/>
          <w:szCs w:val="16"/>
          <w:lang w:val="it-IT"/>
        </w:rPr>
        <w:t xml:space="preserve"> </w:t>
      </w:r>
      <w:r w:rsidRPr="002E59A3">
        <w:rPr>
          <w:rFonts w:asciiTheme="majorHAnsi" w:hAnsiTheme="majorHAnsi"/>
          <w:i/>
          <w:sz w:val="16"/>
          <w:szCs w:val="16"/>
          <w:lang w:val="it-IT"/>
        </w:rPr>
        <w:t>Faretta v. California</w:t>
      </w:r>
      <w:r w:rsidRPr="002E59A3">
        <w:rPr>
          <w:rFonts w:asciiTheme="majorHAnsi" w:hAnsiTheme="majorHAnsi"/>
          <w:sz w:val="16"/>
          <w:szCs w:val="16"/>
          <w:lang w:val="it-IT"/>
        </w:rPr>
        <w:t>, 422 U.S. 806 (1975).</w:t>
      </w:r>
    </w:p>
  </w:footnote>
  <w:footnote w:id="45">
    <w:p w14:paraId="5DB4657B" w14:textId="77777777" w:rsidR="00DC78FC" w:rsidRPr="006A538E" w:rsidRDefault="00DC78FC" w:rsidP="006A538E">
      <w:pPr>
        <w:pStyle w:val="FootnoteText"/>
        <w:jc w:val="both"/>
        <w:rPr>
          <w:rFonts w:asciiTheme="majorHAnsi" w:hAnsiTheme="majorHAnsi"/>
          <w:b/>
          <w:sz w:val="16"/>
          <w:szCs w:val="16"/>
        </w:rPr>
      </w:pPr>
      <w:r w:rsidRPr="006A538E">
        <w:rPr>
          <w:rStyle w:val="FootnoteReference"/>
          <w:rFonts w:asciiTheme="majorHAnsi" w:hAnsiTheme="majorHAnsi"/>
          <w:b/>
          <w:sz w:val="16"/>
          <w:szCs w:val="16"/>
        </w:rPr>
        <w:footnoteRef/>
      </w:r>
      <w:r w:rsidRPr="006A538E">
        <w:rPr>
          <w:rFonts w:asciiTheme="majorHAnsi" w:hAnsiTheme="majorHAnsi"/>
          <w:b/>
          <w:sz w:val="16"/>
          <w:szCs w:val="16"/>
        </w:rPr>
        <w:t xml:space="preserve"> </w:t>
      </w:r>
      <w:r w:rsidRPr="006A538E">
        <w:rPr>
          <w:rStyle w:val="Strong"/>
          <w:rFonts w:asciiTheme="majorHAnsi" w:hAnsiTheme="majorHAnsi"/>
          <w:b w:val="0"/>
          <w:sz w:val="16"/>
          <w:szCs w:val="16"/>
          <w:shd w:val="clear" w:color="auto" w:fill="FFFFFF"/>
        </w:rPr>
        <w:t xml:space="preserve">I/A Court H.R., Exceptions to the Exhaustion of Domestic Remedies (Arts. 46(1), 46(2)(a) and 46(2)(b) American Convention on Human Rights). Advisory Opinion OC-11/90 of </w:t>
      </w:r>
      <w:r>
        <w:rPr>
          <w:rStyle w:val="Strong"/>
          <w:rFonts w:asciiTheme="majorHAnsi" w:hAnsiTheme="majorHAnsi"/>
          <w:b w:val="0"/>
          <w:sz w:val="16"/>
          <w:szCs w:val="16"/>
          <w:shd w:val="clear" w:color="auto" w:fill="FFFFFF"/>
        </w:rPr>
        <w:t>August 10, 1990. Series A No.11, para. 28.</w:t>
      </w:r>
    </w:p>
  </w:footnote>
  <w:footnote w:id="46">
    <w:p w14:paraId="6CA61492" w14:textId="77777777" w:rsidR="00DC78FC" w:rsidRPr="00587964" w:rsidRDefault="00DC78FC" w:rsidP="00587964">
      <w:pPr>
        <w:pStyle w:val="FootnoteText"/>
        <w:tabs>
          <w:tab w:val="left" w:pos="3796"/>
        </w:tabs>
        <w:jc w:val="both"/>
        <w:rPr>
          <w:rFonts w:asciiTheme="majorHAnsi" w:hAnsiTheme="majorHAnsi"/>
          <w:sz w:val="16"/>
          <w:szCs w:val="16"/>
        </w:rPr>
      </w:pPr>
      <w:r w:rsidRPr="00587964">
        <w:rPr>
          <w:rStyle w:val="FootnoteReference"/>
          <w:rFonts w:asciiTheme="majorHAnsi" w:hAnsiTheme="majorHAnsi"/>
          <w:sz w:val="16"/>
          <w:szCs w:val="16"/>
        </w:rPr>
        <w:footnoteRef/>
      </w:r>
      <w:r w:rsidRPr="00587964">
        <w:rPr>
          <w:rStyle w:val="FootnoteReference"/>
          <w:rFonts w:asciiTheme="majorHAnsi" w:hAnsiTheme="majorHAnsi"/>
          <w:sz w:val="16"/>
          <w:szCs w:val="16"/>
        </w:rPr>
        <w:t xml:space="preserve"> </w:t>
      </w:r>
      <w:r w:rsidRPr="000630E1">
        <w:rPr>
          <w:rFonts w:asciiTheme="majorHAnsi" w:hAnsiTheme="majorHAnsi"/>
          <w:i/>
          <w:sz w:val="16"/>
          <w:szCs w:val="16"/>
        </w:rPr>
        <w:t>Faretta v. California</w:t>
      </w:r>
      <w:r w:rsidRPr="00587964">
        <w:rPr>
          <w:rFonts w:asciiTheme="majorHAnsi" w:hAnsiTheme="majorHAnsi"/>
          <w:sz w:val="16"/>
          <w:szCs w:val="16"/>
        </w:rPr>
        <w:t>, 422 U.S. 806 (1975) at 834.</w:t>
      </w:r>
      <w:r w:rsidRPr="00587964">
        <w:rPr>
          <w:rFonts w:asciiTheme="majorHAnsi" w:hAnsiTheme="majorHAnsi"/>
          <w:sz w:val="16"/>
          <w:szCs w:val="16"/>
        </w:rPr>
        <w:tab/>
      </w:r>
    </w:p>
  </w:footnote>
  <w:footnote w:id="47">
    <w:p w14:paraId="3A700CAA" w14:textId="77777777" w:rsidR="00DC78FC" w:rsidRPr="00587964" w:rsidRDefault="00DC78FC">
      <w:pPr>
        <w:pStyle w:val="FootnoteText"/>
        <w:rPr>
          <w:rFonts w:asciiTheme="majorHAnsi" w:hAnsiTheme="majorHAnsi"/>
          <w:sz w:val="16"/>
          <w:szCs w:val="16"/>
        </w:rPr>
      </w:pPr>
      <w:r w:rsidRPr="00587964">
        <w:rPr>
          <w:rStyle w:val="FootnoteReference"/>
          <w:rFonts w:asciiTheme="majorHAnsi" w:hAnsiTheme="majorHAnsi"/>
          <w:sz w:val="16"/>
          <w:szCs w:val="16"/>
        </w:rPr>
        <w:footnoteRef/>
      </w:r>
      <w:r w:rsidRPr="00587964">
        <w:rPr>
          <w:rFonts w:asciiTheme="majorHAnsi" w:hAnsiTheme="majorHAnsi"/>
          <w:sz w:val="16"/>
          <w:szCs w:val="16"/>
        </w:rPr>
        <w:t xml:space="preserve"> </w:t>
      </w:r>
      <w:r w:rsidRPr="000630E1">
        <w:rPr>
          <w:rFonts w:asciiTheme="majorHAnsi" w:hAnsiTheme="majorHAnsi"/>
          <w:i/>
          <w:iCs/>
          <w:sz w:val="16"/>
          <w:szCs w:val="16"/>
          <w:shd w:val="clear" w:color="auto" w:fill="FFFFFF"/>
        </w:rPr>
        <w:t>Martinez v. Court of Appeal of California</w:t>
      </w:r>
      <w:r w:rsidRPr="00587964">
        <w:rPr>
          <w:rFonts w:asciiTheme="majorHAnsi" w:hAnsiTheme="majorHAnsi"/>
          <w:iCs/>
          <w:sz w:val="16"/>
          <w:szCs w:val="16"/>
          <w:shd w:val="clear" w:color="auto" w:fill="FFFFFF"/>
        </w:rPr>
        <w:t>, Fourth Appellate District</w:t>
      </w:r>
      <w:r w:rsidRPr="00587964">
        <w:rPr>
          <w:rFonts w:asciiTheme="majorHAnsi" w:hAnsiTheme="majorHAnsi"/>
          <w:sz w:val="16"/>
          <w:szCs w:val="16"/>
          <w:shd w:val="clear" w:color="auto" w:fill="FFFFFF"/>
        </w:rPr>
        <w:t>, 528 U.S. 152, 154 (2000), at 161 and 162. </w:t>
      </w:r>
    </w:p>
  </w:footnote>
  <w:footnote w:id="48">
    <w:p w14:paraId="77A2B7B0" w14:textId="77777777" w:rsidR="00DC78FC" w:rsidRPr="001D4D75" w:rsidRDefault="00DC78FC" w:rsidP="001D4D75">
      <w:pPr>
        <w:pStyle w:val="FootnoteText"/>
        <w:jc w:val="both"/>
        <w:rPr>
          <w:rFonts w:asciiTheme="majorHAnsi" w:hAnsiTheme="majorHAnsi"/>
          <w:sz w:val="16"/>
          <w:szCs w:val="16"/>
        </w:rPr>
      </w:pPr>
      <w:r w:rsidRPr="00587964">
        <w:rPr>
          <w:rStyle w:val="FootnoteReference"/>
          <w:rFonts w:asciiTheme="majorHAnsi" w:hAnsiTheme="majorHAnsi"/>
          <w:sz w:val="16"/>
          <w:szCs w:val="16"/>
        </w:rPr>
        <w:footnoteRef/>
      </w:r>
      <w:r w:rsidRPr="00587964">
        <w:rPr>
          <w:rFonts w:asciiTheme="majorHAnsi" w:hAnsiTheme="majorHAnsi"/>
          <w:sz w:val="16"/>
          <w:szCs w:val="16"/>
        </w:rPr>
        <w:t xml:space="preserve"> </w:t>
      </w:r>
      <w:r w:rsidRPr="00587964">
        <w:rPr>
          <w:rFonts w:asciiTheme="majorHAnsi" w:eastAsia="Arial Unicode MS" w:hAnsiTheme="majorHAnsi"/>
          <w:sz w:val="16"/>
          <w:szCs w:val="16"/>
        </w:rPr>
        <w:t xml:space="preserve">ICTY. </w:t>
      </w:r>
      <w:r w:rsidRPr="000630E1">
        <w:rPr>
          <w:rFonts w:asciiTheme="majorHAnsi" w:eastAsia="Arial Unicode MS" w:hAnsiTheme="majorHAnsi"/>
          <w:i/>
          <w:sz w:val="16"/>
          <w:szCs w:val="16"/>
        </w:rPr>
        <w:t>Prosecutor v. Slobodan Milosevic</w:t>
      </w:r>
      <w:r w:rsidRPr="00587964">
        <w:rPr>
          <w:rFonts w:asciiTheme="majorHAnsi" w:eastAsia="Arial Unicode MS" w:hAnsiTheme="majorHAnsi"/>
          <w:sz w:val="16"/>
          <w:szCs w:val="16"/>
        </w:rPr>
        <w:t>. Trial Chamber, “Reasons for Decision on Assignment of Counsel,” 22 September 2004, para. 41</w:t>
      </w:r>
      <w:r w:rsidRPr="001D4D75">
        <w:rPr>
          <w:rFonts w:asciiTheme="majorHAnsi" w:eastAsia="Arial Unicode MS" w:hAnsiTheme="majorHAnsi"/>
          <w:sz w:val="16"/>
          <w:szCs w:val="16"/>
        </w:rPr>
        <w:t xml:space="preserve"> (citing </w:t>
      </w:r>
      <w:r w:rsidRPr="001D4D75">
        <w:rPr>
          <w:rFonts w:asciiTheme="majorHAnsi" w:hAnsiTheme="majorHAnsi"/>
          <w:i/>
          <w:iCs/>
          <w:sz w:val="16"/>
          <w:szCs w:val="16"/>
          <w:shd w:val="clear" w:color="auto" w:fill="FFFFFF"/>
        </w:rPr>
        <w:t>Prosecutor v. Šešelj</w:t>
      </w:r>
      <w:r w:rsidRPr="001D4D75">
        <w:rPr>
          <w:rFonts w:asciiTheme="majorHAnsi" w:hAnsiTheme="majorHAnsi"/>
          <w:sz w:val="16"/>
          <w:szCs w:val="16"/>
          <w:shd w:val="clear" w:color="auto" w:fill="FFFFFF"/>
        </w:rPr>
        <w:t>, Case No. IT-03-67-PT, “Decision on Prosecution’s Motion for Order Appointing Counsel to Assist Vojislav Šešelj with His Defence”, 9 May 2003, para. 20).</w:t>
      </w:r>
    </w:p>
  </w:footnote>
  <w:footnote w:id="49">
    <w:p w14:paraId="386DC44A" w14:textId="77777777" w:rsidR="00DC78FC" w:rsidRPr="001D4D75" w:rsidRDefault="00DC78FC" w:rsidP="001D4D75">
      <w:pPr>
        <w:pStyle w:val="FootnoteText"/>
        <w:jc w:val="both"/>
        <w:rPr>
          <w:rFonts w:asciiTheme="majorHAnsi" w:hAnsiTheme="majorHAnsi"/>
          <w:sz w:val="16"/>
          <w:szCs w:val="16"/>
        </w:rPr>
      </w:pPr>
      <w:r w:rsidRPr="001D4D75">
        <w:rPr>
          <w:rStyle w:val="FootnoteReference"/>
          <w:rFonts w:asciiTheme="majorHAnsi" w:hAnsiTheme="majorHAnsi"/>
          <w:sz w:val="16"/>
          <w:szCs w:val="16"/>
        </w:rPr>
        <w:footnoteRef/>
      </w:r>
      <w:r w:rsidRPr="001D4D75">
        <w:rPr>
          <w:rFonts w:asciiTheme="majorHAnsi" w:hAnsiTheme="majorHAnsi"/>
          <w:sz w:val="16"/>
          <w:szCs w:val="16"/>
        </w:rPr>
        <w:t xml:space="preserve"> </w:t>
      </w:r>
      <w:r w:rsidRPr="001D4D75">
        <w:rPr>
          <w:rFonts w:asciiTheme="majorHAnsi" w:eastAsia="Arial Unicode MS" w:hAnsiTheme="majorHAnsi"/>
          <w:sz w:val="16"/>
          <w:szCs w:val="16"/>
        </w:rPr>
        <w:t xml:space="preserve">ICTY. </w:t>
      </w:r>
      <w:r w:rsidRPr="000630E1">
        <w:rPr>
          <w:rFonts w:asciiTheme="majorHAnsi" w:eastAsia="Arial Unicode MS" w:hAnsiTheme="majorHAnsi"/>
          <w:i/>
          <w:sz w:val="16"/>
          <w:szCs w:val="16"/>
        </w:rPr>
        <w:t>Prosecutor v. Slobodan Milosevic</w:t>
      </w:r>
      <w:r w:rsidRPr="001D4D75">
        <w:rPr>
          <w:rFonts w:asciiTheme="majorHAnsi" w:eastAsia="Arial Unicode MS" w:hAnsiTheme="majorHAnsi"/>
          <w:sz w:val="16"/>
          <w:szCs w:val="16"/>
        </w:rPr>
        <w:t>. Trial Chamber, “Reasons for Decision on Assignment of Counsel,” 22 September 2004, para. 32.</w:t>
      </w:r>
    </w:p>
  </w:footnote>
  <w:footnote w:id="50">
    <w:p w14:paraId="66100D58" w14:textId="77777777" w:rsidR="00DC78FC" w:rsidRPr="001D4D75" w:rsidRDefault="00DC78FC" w:rsidP="001D4D75">
      <w:pPr>
        <w:pStyle w:val="FootnoteText"/>
        <w:jc w:val="both"/>
        <w:rPr>
          <w:rFonts w:asciiTheme="majorHAnsi" w:hAnsiTheme="majorHAnsi"/>
          <w:sz w:val="16"/>
          <w:szCs w:val="16"/>
        </w:rPr>
      </w:pPr>
      <w:r w:rsidRPr="001D4D75">
        <w:rPr>
          <w:rStyle w:val="FootnoteReference"/>
          <w:rFonts w:asciiTheme="majorHAnsi" w:hAnsiTheme="majorHAnsi"/>
          <w:sz w:val="16"/>
          <w:szCs w:val="16"/>
        </w:rPr>
        <w:footnoteRef/>
      </w:r>
      <w:r w:rsidRPr="001D4D75">
        <w:rPr>
          <w:rFonts w:asciiTheme="majorHAnsi" w:hAnsiTheme="majorHAnsi"/>
          <w:sz w:val="16"/>
          <w:szCs w:val="16"/>
        </w:rPr>
        <w:t xml:space="preserve"> </w:t>
      </w:r>
      <w:r w:rsidRPr="001D4D75">
        <w:rPr>
          <w:rFonts w:asciiTheme="majorHAnsi" w:eastAsia="Arial Unicode MS" w:hAnsiTheme="majorHAnsi"/>
          <w:sz w:val="16"/>
          <w:szCs w:val="16"/>
        </w:rPr>
        <w:t xml:space="preserve">ICTY. </w:t>
      </w:r>
      <w:r w:rsidRPr="000630E1">
        <w:rPr>
          <w:rFonts w:asciiTheme="majorHAnsi" w:eastAsia="Arial Unicode MS" w:hAnsiTheme="majorHAnsi"/>
          <w:i/>
          <w:sz w:val="16"/>
          <w:szCs w:val="16"/>
        </w:rPr>
        <w:t>Prosecutor v. Slobodan Milosevic</w:t>
      </w:r>
      <w:r w:rsidRPr="001D4D75">
        <w:rPr>
          <w:rFonts w:asciiTheme="majorHAnsi" w:eastAsia="Arial Unicode MS" w:hAnsiTheme="majorHAnsi"/>
          <w:sz w:val="16"/>
          <w:szCs w:val="16"/>
        </w:rPr>
        <w:t>. Trial Chamber, “Reasons for Decision on Assignment of Counsel,” 22 September 2004, para. 32.</w:t>
      </w:r>
    </w:p>
  </w:footnote>
  <w:footnote w:id="51">
    <w:p w14:paraId="10DCC73B" w14:textId="77777777" w:rsidR="00DC78FC" w:rsidRPr="007A3293" w:rsidRDefault="00DC78FC" w:rsidP="001D4D75">
      <w:pPr>
        <w:pStyle w:val="FootnoteText"/>
        <w:jc w:val="both"/>
        <w:rPr>
          <w:rFonts w:asciiTheme="majorHAnsi" w:hAnsiTheme="majorHAnsi"/>
          <w:sz w:val="16"/>
          <w:szCs w:val="16"/>
        </w:rPr>
      </w:pPr>
      <w:r w:rsidRPr="001D4D75">
        <w:rPr>
          <w:rStyle w:val="FootnoteReference"/>
          <w:rFonts w:asciiTheme="majorHAnsi" w:hAnsiTheme="majorHAnsi"/>
          <w:sz w:val="16"/>
          <w:szCs w:val="16"/>
        </w:rPr>
        <w:footnoteRef/>
      </w:r>
      <w:r w:rsidRPr="001D4D75">
        <w:rPr>
          <w:rFonts w:asciiTheme="majorHAnsi" w:hAnsiTheme="majorHAnsi"/>
          <w:sz w:val="16"/>
          <w:szCs w:val="16"/>
        </w:rPr>
        <w:t xml:space="preserve"> </w:t>
      </w:r>
      <w:r w:rsidRPr="001D4D75">
        <w:rPr>
          <w:rFonts w:asciiTheme="majorHAnsi" w:eastAsia="Arial Unicode MS" w:hAnsiTheme="majorHAnsi"/>
          <w:sz w:val="16"/>
          <w:szCs w:val="16"/>
        </w:rPr>
        <w:t>ICTY. Prosecutor v. Slobodan Milosevic. Trial Chamber, “Reasons for Decision on Assignment of Counsel,” 22 September 2004, para. 41</w:t>
      </w:r>
      <w:r w:rsidRPr="007A3293">
        <w:rPr>
          <w:rFonts w:asciiTheme="majorHAnsi" w:eastAsia="Arial Unicode MS" w:hAnsiTheme="majorHAnsi"/>
          <w:sz w:val="16"/>
          <w:szCs w:val="16"/>
        </w:rPr>
        <w:t xml:space="preserve"> (citing </w:t>
      </w:r>
      <w:r w:rsidRPr="007A3293">
        <w:rPr>
          <w:rFonts w:asciiTheme="majorHAnsi" w:hAnsiTheme="majorHAnsi"/>
          <w:i/>
          <w:iCs/>
          <w:sz w:val="16"/>
          <w:szCs w:val="16"/>
          <w:shd w:val="clear" w:color="auto" w:fill="FFFFFF"/>
        </w:rPr>
        <w:t>Prosecutor v. Šešelj</w:t>
      </w:r>
      <w:r w:rsidRPr="007A3293">
        <w:rPr>
          <w:rFonts w:asciiTheme="majorHAnsi" w:hAnsiTheme="majorHAnsi"/>
          <w:sz w:val="16"/>
          <w:szCs w:val="16"/>
          <w:shd w:val="clear" w:color="auto" w:fill="FFFFFF"/>
        </w:rPr>
        <w:t>, Case No. IT-03-67-PT, “Decision on Prosecution’s Motion for Order Appointing Counsel to Assist Vojislav Šešelj with His Defence”, 9 May 2003, para</w:t>
      </w:r>
      <w:r>
        <w:rPr>
          <w:rFonts w:asciiTheme="majorHAnsi" w:hAnsiTheme="majorHAnsi"/>
          <w:sz w:val="16"/>
          <w:szCs w:val="16"/>
          <w:shd w:val="clear" w:color="auto" w:fill="FFFFFF"/>
        </w:rPr>
        <w:t xml:space="preserve">s. 27 and </w:t>
      </w:r>
      <w:r w:rsidRPr="007A3293">
        <w:rPr>
          <w:rFonts w:asciiTheme="majorHAnsi" w:hAnsiTheme="majorHAnsi"/>
          <w:sz w:val="16"/>
          <w:szCs w:val="16"/>
          <w:shd w:val="clear" w:color="auto" w:fill="FFFFFF"/>
        </w:rPr>
        <w:t>30).</w:t>
      </w:r>
    </w:p>
  </w:footnote>
  <w:footnote w:id="52">
    <w:p w14:paraId="00D3E93F" w14:textId="77777777" w:rsidR="00DC78FC" w:rsidRPr="001D4D75" w:rsidRDefault="00DC78FC" w:rsidP="00C4068A">
      <w:pPr>
        <w:pStyle w:val="FootnoteText"/>
        <w:jc w:val="both"/>
        <w:rPr>
          <w:rFonts w:asciiTheme="majorHAnsi" w:hAnsiTheme="majorHAnsi"/>
          <w:sz w:val="16"/>
          <w:szCs w:val="16"/>
        </w:rPr>
      </w:pPr>
      <w:r w:rsidRPr="00B920B7">
        <w:rPr>
          <w:rStyle w:val="FootnoteReference"/>
          <w:rFonts w:asciiTheme="majorHAnsi" w:hAnsiTheme="majorHAnsi"/>
          <w:sz w:val="16"/>
          <w:szCs w:val="16"/>
        </w:rPr>
        <w:footnoteRef/>
      </w:r>
      <w:r w:rsidRPr="00B920B7">
        <w:rPr>
          <w:rFonts w:asciiTheme="majorHAnsi" w:hAnsiTheme="majorHAnsi"/>
          <w:sz w:val="16"/>
          <w:szCs w:val="16"/>
        </w:rPr>
        <w:t xml:space="preserve"> SCSL.</w:t>
      </w:r>
      <w:r w:rsidRPr="00B920B7">
        <w:rPr>
          <w:rFonts w:asciiTheme="majorHAnsi" w:hAnsiTheme="majorHAnsi"/>
          <w:iCs/>
          <w:sz w:val="16"/>
          <w:szCs w:val="16"/>
          <w:shd w:val="clear" w:color="auto" w:fill="FFFFFF"/>
        </w:rPr>
        <w:t xml:space="preserve"> </w:t>
      </w:r>
      <w:r w:rsidRPr="000630E1">
        <w:rPr>
          <w:rFonts w:asciiTheme="majorHAnsi" w:hAnsiTheme="majorHAnsi"/>
          <w:i/>
          <w:iCs/>
          <w:sz w:val="16"/>
          <w:szCs w:val="16"/>
          <w:shd w:val="clear" w:color="auto" w:fill="FFFFFF"/>
        </w:rPr>
        <w:t>Prosecutor v. Norman et al.</w:t>
      </w:r>
      <w:r w:rsidRPr="00B920B7">
        <w:rPr>
          <w:rFonts w:asciiTheme="majorHAnsi" w:hAnsiTheme="majorHAnsi"/>
          <w:iCs/>
          <w:sz w:val="16"/>
          <w:szCs w:val="16"/>
          <w:shd w:val="clear" w:color="auto" w:fill="FFFFFF"/>
        </w:rPr>
        <w:t>, </w:t>
      </w:r>
      <w:r w:rsidRPr="00B920B7">
        <w:rPr>
          <w:rFonts w:asciiTheme="majorHAnsi" w:hAnsiTheme="majorHAnsi"/>
          <w:sz w:val="16"/>
          <w:szCs w:val="16"/>
          <w:shd w:val="clear" w:color="auto" w:fill="FFFFFF"/>
        </w:rPr>
        <w:t xml:space="preserve">Case No. SCSL-04-14-T, “Decision on the Application of Samuel Hinga Norman for Self </w:t>
      </w:r>
      <w:r w:rsidRPr="001D4D75">
        <w:rPr>
          <w:rFonts w:asciiTheme="majorHAnsi" w:hAnsiTheme="majorHAnsi"/>
          <w:sz w:val="16"/>
          <w:szCs w:val="16"/>
          <w:shd w:val="clear" w:color="auto" w:fill="FFFFFF"/>
        </w:rPr>
        <w:t>Representation Under Article 17(4)(d) of the Statute of the Special Court,” 8 June 2004, para. 8</w:t>
      </w:r>
    </w:p>
  </w:footnote>
  <w:footnote w:id="53">
    <w:p w14:paraId="5CA7BBF3" w14:textId="77777777" w:rsidR="00DC78FC" w:rsidRPr="00612350" w:rsidRDefault="00DC78FC" w:rsidP="00DB4D8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w:t>
      </w:r>
      <w:r w:rsidRPr="00612350">
        <w:rPr>
          <w:rFonts w:ascii="Cambria" w:hAnsi="Cambria" w:cs="Arial"/>
          <w:sz w:val="16"/>
          <w:szCs w:val="16"/>
        </w:rPr>
        <w:t xml:space="preserve">IACHR, </w:t>
      </w:r>
      <w:r w:rsidRPr="00612350">
        <w:rPr>
          <w:rFonts w:ascii="Cambria" w:hAnsi="Cambria" w:cs="Arial"/>
          <w:bCs/>
          <w:sz w:val="16"/>
          <w:szCs w:val="16"/>
        </w:rPr>
        <w:t>Report No.</w:t>
      </w:r>
      <w:r>
        <w:rPr>
          <w:rFonts w:ascii="Cambria" w:hAnsi="Cambria" w:cs="Arial"/>
          <w:bCs/>
          <w:sz w:val="16"/>
          <w:szCs w:val="16"/>
        </w:rPr>
        <w:t xml:space="preserve"> 44/14. Case 12.873. Merits (Publication). Edgar Tamayo Arias. United States. July 17, 2014, </w:t>
      </w:r>
      <w:r w:rsidRPr="00612350">
        <w:rPr>
          <w:rFonts w:ascii="Cambria" w:hAnsi="Cambria"/>
          <w:sz w:val="16"/>
          <w:szCs w:val="16"/>
        </w:rPr>
        <w:t xml:space="preserve">para. </w:t>
      </w:r>
      <w:r>
        <w:rPr>
          <w:rFonts w:ascii="Cambria" w:hAnsi="Cambria"/>
          <w:sz w:val="16"/>
          <w:szCs w:val="16"/>
        </w:rPr>
        <w:t>147</w:t>
      </w:r>
      <w:r w:rsidRPr="00612350">
        <w:rPr>
          <w:rFonts w:ascii="Cambria" w:hAnsi="Cambria"/>
          <w:sz w:val="16"/>
          <w:szCs w:val="16"/>
        </w:rPr>
        <w:t>.</w:t>
      </w:r>
    </w:p>
  </w:footnote>
  <w:footnote w:id="54">
    <w:p w14:paraId="29E23D9C" w14:textId="77777777" w:rsidR="00DC78FC" w:rsidRPr="00612350" w:rsidRDefault="00DC78FC" w:rsidP="00DB4D8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w:t>
      </w:r>
      <w:r w:rsidRPr="00B84D64">
        <w:rPr>
          <w:rFonts w:ascii="Cambria" w:hAnsi="Cambria"/>
          <w:i/>
          <w:sz w:val="16"/>
          <w:szCs w:val="16"/>
        </w:rPr>
        <w:t>The death penalty in the Inter-American System of Human Rights: From restrictions to abolition</w:t>
      </w:r>
      <w:r w:rsidRPr="00612350">
        <w:rPr>
          <w:rFonts w:ascii="Cambria" w:hAnsi="Cambria"/>
          <w:sz w:val="16"/>
          <w:szCs w:val="16"/>
        </w:rPr>
        <w:t>, OEA/Ser.L/V/II.Doc. 68, December 31, 2011, p. 123.</w:t>
      </w:r>
    </w:p>
  </w:footnote>
  <w:footnote w:id="55">
    <w:p w14:paraId="676250ED" w14:textId="77777777" w:rsidR="00DC78FC" w:rsidRPr="002C10D7" w:rsidRDefault="00DC78FC" w:rsidP="00A32D38">
      <w:pPr>
        <w:pStyle w:val="FootnoteText"/>
        <w:jc w:val="both"/>
        <w:rPr>
          <w:rFonts w:asciiTheme="majorHAnsi" w:hAnsiTheme="majorHAnsi"/>
          <w:sz w:val="16"/>
          <w:szCs w:val="16"/>
        </w:rPr>
      </w:pPr>
      <w:r w:rsidRPr="002C10D7">
        <w:rPr>
          <w:rStyle w:val="FootnoteReference"/>
          <w:rFonts w:asciiTheme="majorHAnsi" w:hAnsiTheme="majorHAnsi"/>
          <w:sz w:val="16"/>
          <w:szCs w:val="16"/>
        </w:rPr>
        <w:footnoteRef/>
      </w:r>
      <w:r w:rsidRPr="002C10D7">
        <w:rPr>
          <w:rFonts w:asciiTheme="majorHAnsi" w:hAnsiTheme="majorHAnsi"/>
          <w:sz w:val="16"/>
          <w:szCs w:val="16"/>
        </w:rPr>
        <w:t xml:space="preserve"> IACHR, Report No. 79/15. Case 12.994. Merits (Publication). Bernardo Aban Tercero. United States. October 28, 2015, para. 115.</w:t>
      </w:r>
    </w:p>
  </w:footnote>
  <w:footnote w:id="56">
    <w:p w14:paraId="41C78A56" w14:textId="77777777" w:rsidR="00DC78FC" w:rsidRDefault="00DC78FC" w:rsidP="00DB4D80">
      <w:pPr>
        <w:pStyle w:val="FootnoteText"/>
        <w:jc w:val="both"/>
      </w:pPr>
      <w:r w:rsidRPr="00C24049">
        <w:rPr>
          <w:rStyle w:val="FootnoteReference"/>
          <w:rFonts w:asciiTheme="majorHAnsi" w:eastAsia="Arial Unicode MS" w:hAnsiTheme="majorHAnsi"/>
          <w:color w:val="auto"/>
          <w:sz w:val="16"/>
          <w:szCs w:val="16"/>
          <w:lang w:eastAsia="en-US"/>
        </w:rPr>
        <w:footnoteRef/>
      </w:r>
      <w:r>
        <w:t xml:space="preserve"> </w:t>
      </w:r>
      <w:r w:rsidRPr="00AD7A33">
        <w:rPr>
          <w:rFonts w:asciiTheme="majorHAnsi" w:hAnsiTheme="majorHAnsi"/>
          <w:color w:val="auto"/>
          <w:sz w:val="16"/>
          <w:szCs w:val="16"/>
        </w:rPr>
        <w:t>Article XXVI of the American Declaration provides: “[…] Every person accused of an offense has the right […] not to receive cruel, infamous or unusual punishment.”</w:t>
      </w:r>
      <w:r>
        <w:rPr>
          <w:rFonts w:asciiTheme="majorHAnsi" w:hAnsiTheme="majorHAnsi"/>
          <w:color w:val="auto"/>
          <w:sz w:val="16"/>
          <w:szCs w:val="16"/>
        </w:rPr>
        <w:t xml:space="preserve"> Also, Article I of the American Declaration provides: “</w:t>
      </w:r>
      <w:r w:rsidRPr="00D1169D">
        <w:rPr>
          <w:rFonts w:asciiTheme="majorHAnsi" w:hAnsiTheme="majorHAnsi"/>
          <w:color w:val="auto"/>
          <w:sz w:val="16"/>
          <w:szCs w:val="16"/>
        </w:rPr>
        <w:t>Every human being has the right to life, liberty and the security of his person.</w:t>
      </w:r>
      <w:r>
        <w:rPr>
          <w:rFonts w:asciiTheme="majorHAnsi" w:hAnsiTheme="majorHAnsi"/>
          <w:color w:val="auto"/>
          <w:sz w:val="16"/>
          <w:szCs w:val="16"/>
        </w:rPr>
        <w:t xml:space="preserve">” </w:t>
      </w:r>
    </w:p>
  </w:footnote>
  <w:footnote w:id="57">
    <w:p w14:paraId="1F12D0D9" w14:textId="77777777" w:rsidR="00DC78FC" w:rsidRDefault="00DC78FC" w:rsidP="00BF4871">
      <w:pPr>
        <w:pStyle w:val="FootnoteText"/>
      </w:pPr>
      <w:r w:rsidRPr="008D0556">
        <w:rPr>
          <w:rStyle w:val="FootnoteReference"/>
          <w:rFonts w:asciiTheme="majorHAnsi" w:eastAsia="Arial Unicode MS" w:hAnsiTheme="majorHAnsi"/>
          <w:color w:val="auto"/>
          <w:sz w:val="16"/>
          <w:szCs w:val="16"/>
          <w:lang w:eastAsia="en-US"/>
        </w:rPr>
        <w:footnoteRef/>
      </w:r>
      <w:r w:rsidRPr="008D0556">
        <w:rPr>
          <w:rStyle w:val="FootnoteReference"/>
          <w:rFonts w:asciiTheme="majorHAnsi" w:eastAsia="Arial Unicode MS" w:hAnsiTheme="majorHAnsi"/>
          <w:color w:val="auto"/>
          <w:sz w:val="16"/>
          <w:szCs w:val="16"/>
          <w:lang w:eastAsia="en-US"/>
        </w:rPr>
        <w:t xml:space="preserve"> </w:t>
      </w:r>
      <w:r w:rsidRPr="00ED56AB">
        <w:rPr>
          <w:rFonts w:asciiTheme="majorHAnsi" w:hAnsiTheme="majorHAnsi"/>
          <w:color w:val="auto"/>
          <w:sz w:val="16"/>
          <w:szCs w:val="16"/>
        </w:rPr>
        <w:t>IACHR, Report No</w:t>
      </w:r>
      <w:r>
        <w:rPr>
          <w:rFonts w:asciiTheme="majorHAnsi" w:hAnsiTheme="majorHAnsi"/>
          <w:color w:val="auto"/>
          <w:sz w:val="16"/>
          <w:szCs w:val="16"/>
        </w:rPr>
        <w:t xml:space="preserve">. 44/14, Case 12,873. </w:t>
      </w:r>
      <w:r w:rsidRPr="00ED56AB">
        <w:rPr>
          <w:rFonts w:asciiTheme="majorHAnsi" w:hAnsiTheme="majorHAnsi"/>
          <w:color w:val="auto"/>
          <w:sz w:val="16"/>
          <w:szCs w:val="16"/>
        </w:rPr>
        <w:t>Merits (Publication)</w:t>
      </w:r>
      <w:r>
        <w:rPr>
          <w:rFonts w:asciiTheme="majorHAnsi" w:hAnsiTheme="majorHAnsi"/>
          <w:color w:val="auto"/>
          <w:sz w:val="16"/>
          <w:szCs w:val="16"/>
        </w:rPr>
        <w:t>.</w:t>
      </w:r>
      <w:r w:rsidRPr="00ED56AB">
        <w:rPr>
          <w:rFonts w:asciiTheme="majorHAnsi" w:hAnsiTheme="majorHAnsi"/>
          <w:color w:val="auto"/>
          <w:sz w:val="16"/>
          <w:szCs w:val="16"/>
        </w:rPr>
        <w:t xml:space="preserve"> Edgar Tamayo Arias</w:t>
      </w:r>
      <w:r>
        <w:rPr>
          <w:rFonts w:asciiTheme="majorHAnsi" w:hAnsiTheme="majorHAnsi"/>
          <w:color w:val="auto"/>
          <w:sz w:val="16"/>
          <w:szCs w:val="16"/>
        </w:rPr>
        <w:t>.</w:t>
      </w:r>
      <w:r w:rsidRPr="00ED56AB">
        <w:rPr>
          <w:rFonts w:asciiTheme="majorHAnsi" w:hAnsiTheme="majorHAnsi"/>
          <w:color w:val="auto"/>
          <w:sz w:val="16"/>
          <w:szCs w:val="16"/>
        </w:rPr>
        <w:t xml:space="preserve"> United States, July 17, 2014, para.</w:t>
      </w:r>
      <w:r>
        <w:rPr>
          <w:rFonts w:asciiTheme="majorHAnsi" w:hAnsiTheme="majorHAnsi"/>
          <w:color w:val="auto"/>
          <w:sz w:val="16"/>
          <w:szCs w:val="16"/>
        </w:rPr>
        <w:t xml:space="preserve"> 152.</w:t>
      </w:r>
    </w:p>
  </w:footnote>
  <w:footnote w:id="58">
    <w:p w14:paraId="2FE2D2E0" w14:textId="77777777" w:rsidR="00DC78FC" w:rsidRPr="00612350" w:rsidRDefault="00DC78FC" w:rsidP="00BF4871">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w:t>
      </w:r>
      <w:r w:rsidRPr="00ED56AB">
        <w:rPr>
          <w:rFonts w:asciiTheme="majorHAnsi" w:hAnsiTheme="majorHAnsi"/>
          <w:color w:val="auto"/>
          <w:sz w:val="16"/>
          <w:szCs w:val="16"/>
        </w:rPr>
        <w:t xml:space="preserve">IACHR, Report No. 44/14, </w:t>
      </w:r>
      <w:r>
        <w:rPr>
          <w:rFonts w:asciiTheme="majorHAnsi" w:hAnsiTheme="majorHAnsi"/>
          <w:color w:val="auto"/>
          <w:sz w:val="16"/>
          <w:szCs w:val="16"/>
        </w:rPr>
        <w:t xml:space="preserve">Case 12,873. </w:t>
      </w:r>
      <w:r w:rsidRPr="00ED56AB">
        <w:rPr>
          <w:rFonts w:asciiTheme="majorHAnsi" w:hAnsiTheme="majorHAnsi"/>
          <w:color w:val="auto"/>
          <w:sz w:val="16"/>
          <w:szCs w:val="16"/>
        </w:rPr>
        <w:t>Merits (Publication)</w:t>
      </w:r>
      <w:r>
        <w:rPr>
          <w:rFonts w:asciiTheme="majorHAnsi" w:hAnsiTheme="majorHAnsi"/>
          <w:color w:val="auto"/>
          <w:sz w:val="16"/>
          <w:szCs w:val="16"/>
        </w:rPr>
        <w:t>.</w:t>
      </w:r>
      <w:r w:rsidRPr="00ED56AB">
        <w:rPr>
          <w:rFonts w:asciiTheme="majorHAnsi" w:hAnsiTheme="majorHAnsi"/>
          <w:color w:val="auto"/>
          <w:sz w:val="16"/>
          <w:szCs w:val="16"/>
        </w:rPr>
        <w:t xml:space="preserve"> Edgar Tamayo Arias</w:t>
      </w:r>
      <w:r>
        <w:rPr>
          <w:rFonts w:asciiTheme="majorHAnsi" w:hAnsiTheme="majorHAnsi"/>
          <w:color w:val="auto"/>
          <w:sz w:val="16"/>
          <w:szCs w:val="16"/>
        </w:rPr>
        <w:t>.</w:t>
      </w:r>
      <w:r w:rsidRPr="00ED56AB">
        <w:rPr>
          <w:rFonts w:asciiTheme="majorHAnsi" w:hAnsiTheme="majorHAnsi"/>
          <w:color w:val="auto"/>
          <w:sz w:val="16"/>
          <w:szCs w:val="16"/>
        </w:rPr>
        <w:t xml:space="preserve"> United States, July 17, 2014, para.</w:t>
      </w:r>
      <w:r>
        <w:rPr>
          <w:rFonts w:asciiTheme="majorHAnsi" w:hAnsiTheme="majorHAnsi"/>
          <w:color w:val="auto"/>
          <w:sz w:val="16"/>
          <w:szCs w:val="16"/>
        </w:rPr>
        <w:t xml:space="preserve"> 109.</w:t>
      </w:r>
    </w:p>
  </w:footnote>
  <w:footnote w:id="59">
    <w:p w14:paraId="2BC09E23" w14:textId="77777777" w:rsidR="00DC78FC" w:rsidRPr="00612350" w:rsidRDefault="00DC78FC" w:rsidP="00BF4871">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Human Rights Committee, Sahadath v. Trinidad and Tobago, Communication No. 684/1996, April 2, 2002, </w:t>
      </w:r>
      <w:r w:rsidRPr="00612350">
        <w:rPr>
          <w:rFonts w:ascii="Cambria" w:hAnsi="Cambria" w:cs="TTE27CA0E8t00"/>
          <w:sz w:val="16"/>
          <w:szCs w:val="16"/>
        </w:rPr>
        <w:t>CCPR/C/74/D/684/1996, para</w:t>
      </w:r>
      <w:r>
        <w:rPr>
          <w:rFonts w:ascii="Cambria" w:hAnsi="Cambria" w:cs="TTE27CA0E8t00"/>
          <w:sz w:val="16"/>
          <w:szCs w:val="16"/>
        </w:rPr>
        <w:t>.</w:t>
      </w:r>
      <w:r w:rsidRPr="00612350">
        <w:rPr>
          <w:rFonts w:ascii="Cambria" w:hAnsi="Cambria" w:cs="TTE27CA0E8t00"/>
          <w:sz w:val="16"/>
          <w:szCs w:val="16"/>
        </w:rPr>
        <w:t xml:space="preserve"> 7.2.</w:t>
      </w:r>
    </w:p>
  </w:footnote>
  <w:footnote w:id="60">
    <w:p w14:paraId="177F787D" w14:textId="77777777" w:rsidR="00DC78FC" w:rsidRPr="00612350" w:rsidRDefault="00DC78FC" w:rsidP="00BF4871">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Safeguards Guaranteeing Protection of the Rights of Those Facing the Death Penalty, E.S.C. res. 1984/50, annex, 1984 U.N. ESCOR Supp. (No. 1) at 33, U.N. Doc. E/1984/84 (1984).</w:t>
      </w:r>
    </w:p>
  </w:footnote>
  <w:footnote w:id="61">
    <w:p w14:paraId="103E09BD" w14:textId="77777777" w:rsidR="00DC78FC" w:rsidRPr="00612350" w:rsidRDefault="00DC78FC" w:rsidP="00BF4871">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United Nations Commission on Human Rights, Promotion and Protection of Human Rights, The question of the death penalty, E/CN4/2005/L.77, April 14, 2005, paragraph 7(c). </w:t>
      </w:r>
    </w:p>
  </w:footnote>
  <w:footnote w:id="62">
    <w:p w14:paraId="37083F39" w14:textId="77777777" w:rsidR="00DC78FC" w:rsidRPr="00612350" w:rsidRDefault="00DC78FC" w:rsidP="00BF4871">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Interim report of the Special Rapporteur on torture and other cruel, inhuman or degrading treatment or punishment, A/67/279, August 9, 2012, para. 58. </w:t>
      </w:r>
    </w:p>
  </w:footnote>
  <w:footnote w:id="63">
    <w:p w14:paraId="526E43F3" w14:textId="77777777" w:rsidR="00DC78FC" w:rsidRPr="00612350" w:rsidRDefault="00DC78FC" w:rsidP="00BF4871">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Office of the High Commissioner for Human Rights, “Death row: U.N. expert urges U.S. authorities to stop execution of two persons with psychosocial disabilities</w:t>
      </w:r>
      <w:r>
        <w:rPr>
          <w:rFonts w:ascii="Cambria" w:hAnsi="Cambria"/>
          <w:sz w:val="16"/>
          <w:szCs w:val="16"/>
        </w:rPr>
        <w:t xml:space="preserve">”, July 17, 2012. </w:t>
      </w:r>
    </w:p>
  </w:footnote>
  <w:footnote w:id="64">
    <w:p w14:paraId="6B319DBD" w14:textId="77777777" w:rsidR="00DC78FC" w:rsidRPr="00612350" w:rsidRDefault="00DC78FC" w:rsidP="00B316A7">
      <w:pPr>
        <w:autoSpaceDE w:val="0"/>
        <w:autoSpaceDN w:val="0"/>
        <w:adjustRightInd w:val="0"/>
        <w:jc w:val="both"/>
        <w:rPr>
          <w:rFonts w:ascii="Cambria" w:hAnsi="Cambria" w:cs="Arial"/>
          <w:sz w:val="16"/>
          <w:szCs w:val="16"/>
        </w:rPr>
      </w:pPr>
      <w:r w:rsidRPr="00612350">
        <w:rPr>
          <w:rStyle w:val="FootnoteReference"/>
          <w:rFonts w:ascii="Cambria" w:hAnsi="Cambria" w:cs="Arial"/>
          <w:sz w:val="16"/>
          <w:szCs w:val="16"/>
        </w:rPr>
        <w:footnoteRef/>
      </w:r>
      <w:r w:rsidRPr="00612350">
        <w:rPr>
          <w:rFonts w:ascii="Cambria" w:hAnsi="Cambria" w:cs="Arial"/>
          <w:sz w:val="16"/>
          <w:szCs w:val="16"/>
        </w:rPr>
        <w:t xml:space="preserve"> </w:t>
      </w:r>
      <w:r w:rsidRPr="00612350">
        <w:rPr>
          <w:rFonts w:ascii="Cambria" w:hAnsi="Cambria" w:cs="Arial"/>
          <w:i/>
          <w:iCs/>
          <w:sz w:val="16"/>
          <w:szCs w:val="16"/>
        </w:rPr>
        <w:t>Atkins v. Virginia</w:t>
      </w:r>
      <w:r w:rsidRPr="00612350">
        <w:rPr>
          <w:rFonts w:ascii="Cambria" w:hAnsi="Cambria" w:cs="Arial"/>
          <w:sz w:val="16"/>
          <w:szCs w:val="16"/>
        </w:rPr>
        <w:t>, 536 U.S. 304 (2002).</w:t>
      </w:r>
    </w:p>
  </w:footnote>
  <w:footnote w:id="65">
    <w:p w14:paraId="697D3B0B" w14:textId="77777777" w:rsidR="00DC78FC" w:rsidRPr="00612350" w:rsidRDefault="00DC78FC" w:rsidP="00B316A7">
      <w:pPr>
        <w:pStyle w:val="FootnoteText"/>
        <w:jc w:val="both"/>
        <w:rPr>
          <w:rFonts w:ascii="Cambria" w:hAnsi="Cambria"/>
          <w:sz w:val="16"/>
          <w:szCs w:val="16"/>
        </w:rPr>
      </w:pPr>
      <w:r w:rsidRPr="00612350">
        <w:rPr>
          <w:rStyle w:val="FootnoteReference"/>
          <w:rFonts w:ascii="Cambria" w:hAnsi="Cambria" w:cs="Arial"/>
          <w:sz w:val="16"/>
          <w:szCs w:val="16"/>
        </w:rPr>
        <w:footnoteRef/>
      </w:r>
      <w:r w:rsidRPr="00612350">
        <w:rPr>
          <w:rFonts w:ascii="Cambria" w:hAnsi="Cambria" w:cs="Arial"/>
          <w:sz w:val="16"/>
          <w:szCs w:val="16"/>
        </w:rPr>
        <w:t xml:space="preserve"> </w:t>
      </w:r>
      <w:r w:rsidRPr="00612350">
        <w:rPr>
          <w:rFonts w:ascii="Cambria" w:hAnsi="Cambria" w:cs="Arial"/>
          <w:i/>
          <w:iCs/>
          <w:sz w:val="16"/>
          <w:szCs w:val="16"/>
        </w:rPr>
        <w:t>Atkins v. Virginia</w:t>
      </w:r>
      <w:r w:rsidRPr="00612350">
        <w:rPr>
          <w:rFonts w:ascii="Cambria" w:hAnsi="Cambria" w:cs="Arial"/>
          <w:sz w:val="16"/>
          <w:szCs w:val="16"/>
        </w:rPr>
        <w:t>, 536 U.S. 304 (2002)</w:t>
      </w:r>
      <w:r>
        <w:rPr>
          <w:rFonts w:ascii="Cambria" w:hAnsi="Cambria" w:cs="Arial"/>
          <w:sz w:val="16"/>
          <w:szCs w:val="16"/>
        </w:rPr>
        <w:t xml:space="preserve"> at</w:t>
      </w:r>
      <w:r w:rsidRPr="00612350">
        <w:rPr>
          <w:rFonts w:ascii="Cambria" w:hAnsi="Cambria" w:cs="Arial"/>
          <w:sz w:val="16"/>
          <w:szCs w:val="16"/>
        </w:rPr>
        <w:t xml:space="preserve"> 311-317.</w:t>
      </w:r>
    </w:p>
  </w:footnote>
  <w:footnote w:id="66">
    <w:p w14:paraId="044EF7AE" w14:textId="77777777" w:rsidR="00DC78FC" w:rsidRDefault="00DC78FC" w:rsidP="00B316A7">
      <w:pPr>
        <w:jc w:val="both"/>
        <w:rPr>
          <w:rFonts w:asciiTheme="majorHAnsi" w:hAnsiTheme="majorHAnsi"/>
          <w:sz w:val="16"/>
          <w:szCs w:val="16"/>
        </w:rPr>
      </w:pPr>
      <w:r w:rsidRPr="00553EC6">
        <w:rPr>
          <w:rStyle w:val="FootnoteReference"/>
          <w:rFonts w:asciiTheme="majorHAnsi" w:hAnsiTheme="majorHAnsi"/>
          <w:sz w:val="16"/>
          <w:szCs w:val="16"/>
        </w:rPr>
        <w:footnoteRef/>
      </w:r>
      <w:r w:rsidRPr="00553EC6">
        <w:rPr>
          <w:rStyle w:val="FootnoteReference"/>
          <w:rFonts w:asciiTheme="majorHAnsi" w:hAnsiTheme="majorHAnsi"/>
          <w:sz w:val="16"/>
          <w:szCs w:val="16"/>
        </w:rPr>
        <w:t xml:space="preserve"> </w:t>
      </w:r>
      <w:r w:rsidRPr="00ED56AB">
        <w:rPr>
          <w:rFonts w:asciiTheme="majorHAnsi" w:hAnsiTheme="majorHAnsi"/>
          <w:sz w:val="16"/>
          <w:szCs w:val="16"/>
        </w:rPr>
        <w:t>Article XVIII of the American Declaration provides: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p w14:paraId="64808A27" w14:textId="77777777" w:rsidR="00DC78FC" w:rsidRDefault="00DC78FC" w:rsidP="006D2C28">
      <w:pPr>
        <w:jc w:val="both"/>
      </w:pPr>
      <w:r w:rsidRPr="00553EC6">
        <w:rPr>
          <w:rFonts w:asciiTheme="majorHAnsi" w:hAnsiTheme="majorHAnsi"/>
          <w:sz w:val="16"/>
          <w:szCs w:val="16"/>
        </w:rPr>
        <w:t>Article XXIV of the American Declaration provides: “Every person has the right to submit respectful petitions to any competent authority, for reasons of either general or private interest, and the right to obtain a prompt decision thereon.”</w:t>
      </w:r>
      <w:r>
        <w:t xml:space="preserve"> </w:t>
      </w:r>
    </w:p>
  </w:footnote>
  <w:footnote w:id="67">
    <w:p w14:paraId="3240DFFF" w14:textId="77777777" w:rsidR="00DC78FC" w:rsidRPr="00590D73" w:rsidRDefault="00DC78FC" w:rsidP="00D16299">
      <w:pPr>
        <w:pBdr>
          <w:top w:val="none" w:sz="0" w:space="0" w:color="auto"/>
          <w:left w:val="none" w:sz="0" w:space="0" w:color="auto"/>
          <w:bottom w:val="none" w:sz="0" w:space="0" w:color="auto"/>
          <w:right w:val="none" w:sz="0" w:space="0" w:color="auto"/>
          <w:bar w:val="none" w:sz="0" w:color="auto"/>
        </w:pBdr>
        <w:spacing w:after="120"/>
        <w:jc w:val="both"/>
      </w:pPr>
      <w:r w:rsidRPr="00590D73">
        <w:rPr>
          <w:rStyle w:val="FootnoteReference"/>
          <w:rFonts w:ascii="Cambria" w:hAnsi="Cambria"/>
          <w:sz w:val="16"/>
          <w:szCs w:val="16"/>
        </w:rPr>
        <w:footnoteRef/>
      </w:r>
      <w:r w:rsidRPr="00590D73">
        <w:rPr>
          <w:rFonts w:ascii="Cambria" w:hAnsi="Cambria"/>
          <w:sz w:val="16"/>
          <w:szCs w:val="16"/>
        </w:rPr>
        <w:t xml:space="preserve">IACHR, Report No. </w:t>
      </w:r>
      <w:r>
        <w:rPr>
          <w:rFonts w:ascii="Cambria" w:hAnsi="Cambria"/>
          <w:sz w:val="16"/>
          <w:szCs w:val="16"/>
        </w:rPr>
        <w:t>24/17</w:t>
      </w:r>
      <w:r w:rsidRPr="00590D73">
        <w:rPr>
          <w:rFonts w:ascii="Cambria" w:hAnsi="Cambria"/>
          <w:sz w:val="16"/>
          <w:szCs w:val="16"/>
        </w:rPr>
        <w:t>, Case 12.</w:t>
      </w:r>
      <w:r>
        <w:rPr>
          <w:rFonts w:ascii="Cambria" w:hAnsi="Cambria"/>
          <w:sz w:val="16"/>
          <w:szCs w:val="16"/>
        </w:rPr>
        <w:t>254</w:t>
      </w:r>
      <w:r w:rsidRPr="00590D73">
        <w:rPr>
          <w:rFonts w:ascii="Cambria" w:hAnsi="Cambria"/>
          <w:sz w:val="16"/>
          <w:szCs w:val="16"/>
        </w:rPr>
        <w:t xml:space="preserve">. </w:t>
      </w:r>
      <w:r>
        <w:rPr>
          <w:rFonts w:ascii="Cambria" w:hAnsi="Cambria"/>
          <w:sz w:val="16"/>
          <w:szCs w:val="16"/>
        </w:rPr>
        <w:t>Merits. Victor Saldaño.</w:t>
      </w:r>
      <w:r w:rsidRPr="00590D73">
        <w:rPr>
          <w:rFonts w:ascii="Cambria" w:hAnsi="Cambria"/>
          <w:sz w:val="16"/>
          <w:szCs w:val="16"/>
        </w:rPr>
        <w:t xml:space="preserve"> United States</w:t>
      </w:r>
      <w:r>
        <w:rPr>
          <w:rFonts w:ascii="Cambria" w:hAnsi="Cambria"/>
          <w:sz w:val="16"/>
          <w:szCs w:val="16"/>
        </w:rPr>
        <w:t>. March 1</w:t>
      </w:r>
      <w:r w:rsidRPr="00590D73">
        <w:rPr>
          <w:rFonts w:ascii="Cambria" w:hAnsi="Cambria"/>
          <w:sz w:val="16"/>
          <w:szCs w:val="16"/>
        </w:rPr>
        <w:t>8, 201</w:t>
      </w:r>
      <w:r>
        <w:rPr>
          <w:rFonts w:ascii="Cambria" w:hAnsi="Cambria"/>
          <w:sz w:val="16"/>
          <w:szCs w:val="16"/>
        </w:rPr>
        <w:t>7</w:t>
      </w:r>
      <w:r w:rsidRPr="00590D73">
        <w:rPr>
          <w:rFonts w:ascii="Cambria" w:hAnsi="Cambria"/>
          <w:sz w:val="16"/>
          <w:szCs w:val="16"/>
        </w:rPr>
        <w:t xml:space="preserve">, </w:t>
      </w:r>
      <w:r>
        <w:rPr>
          <w:rFonts w:ascii="Cambria" w:hAnsi="Cambria"/>
          <w:sz w:val="16"/>
          <w:szCs w:val="16"/>
        </w:rPr>
        <w:br/>
      </w:r>
      <w:r w:rsidRPr="00590D73">
        <w:rPr>
          <w:rFonts w:ascii="Cambria" w:hAnsi="Cambria"/>
          <w:sz w:val="16"/>
          <w:szCs w:val="16"/>
        </w:rPr>
        <w:t xml:space="preserve">para. </w:t>
      </w:r>
      <w:r>
        <w:rPr>
          <w:rFonts w:ascii="Cambria" w:hAnsi="Cambria"/>
          <w:sz w:val="16"/>
          <w:szCs w:val="16"/>
        </w:rPr>
        <w:t>205</w:t>
      </w:r>
      <w:r w:rsidRPr="00590D73">
        <w:rPr>
          <w:rFonts w:ascii="Cambria" w:hAnsi="Cambria"/>
          <w:sz w:val="16"/>
          <w:szCs w:val="16"/>
        </w:rPr>
        <w:t>.</w:t>
      </w:r>
    </w:p>
  </w:footnote>
  <w:footnote w:id="68">
    <w:p w14:paraId="7DDE0DB4" w14:textId="77777777" w:rsidR="00DC78FC" w:rsidRDefault="00DC78FC" w:rsidP="005422EF">
      <w:pPr>
        <w:pStyle w:val="FootnoteText"/>
        <w:jc w:val="both"/>
      </w:pPr>
      <w:r w:rsidRPr="005422EF">
        <w:rPr>
          <w:rStyle w:val="FootnoteReference"/>
          <w:rFonts w:asciiTheme="majorHAnsi" w:hAnsiTheme="majorHAnsi"/>
          <w:color w:val="auto"/>
          <w:sz w:val="16"/>
          <w:szCs w:val="16"/>
        </w:rPr>
        <w:footnoteRef/>
      </w:r>
      <w:r w:rsidRPr="005422EF">
        <w:rPr>
          <w:rStyle w:val="FootnoteReference"/>
          <w:rFonts w:asciiTheme="majorHAnsi" w:hAnsiTheme="majorHAnsi"/>
          <w:color w:val="auto"/>
          <w:sz w:val="16"/>
          <w:szCs w:val="16"/>
        </w:rPr>
        <w:t xml:space="preserve"> </w:t>
      </w:r>
      <w:r w:rsidRPr="00264944">
        <w:rPr>
          <w:rFonts w:asciiTheme="majorHAnsi" w:hAnsiTheme="majorHAnsi"/>
          <w:color w:val="auto"/>
          <w:sz w:val="16"/>
          <w:szCs w:val="16"/>
        </w:rPr>
        <w:t>IACHR. Application of the Inter-American Commission on Human Rights before the Inter-American Court of Human Rights in the Case of Hilaire v. Trinidad and Tobago. May 25, 1999, p. 4</w:t>
      </w:r>
      <w:r>
        <w:rPr>
          <w:rFonts w:asciiTheme="majorHAnsi" w:hAnsiTheme="majorHAnsi"/>
          <w:color w:val="auto"/>
          <w:sz w:val="16"/>
          <w:szCs w:val="16"/>
        </w:rPr>
        <w:t xml:space="preserve">5; and </w:t>
      </w:r>
      <w:r w:rsidRPr="005422EF">
        <w:rPr>
          <w:rFonts w:asciiTheme="majorHAnsi" w:hAnsiTheme="majorHAnsi"/>
          <w:color w:val="auto"/>
          <w:sz w:val="16"/>
          <w:szCs w:val="16"/>
        </w:rPr>
        <w:t>IACHR, Report No. 130/17, Case 13.044. Merits. Gustavo Francisco Petro Urrego. Colombia. October 25, 2017, para. 138.</w:t>
      </w:r>
    </w:p>
  </w:footnote>
  <w:footnote w:id="69">
    <w:p w14:paraId="4AC0AAF3" w14:textId="77777777" w:rsidR="00DC78FC" w:rsidRPr="00B8786D" w:rsidRDefault="00DC78FC" w:rsidP="000A6C50">
      <w:pPr>
        <w:pStyle w:val="FootnoteText"/>
        <w:jc w:val="both"/>
        <w:rPr>
          <w:lang w:val="en-CA"/>
        </w:rPr>
      </w:pPr>
      <w:r w:rsidRPr="00D16299">
        <w:rPr>
          <w:rStyle w:val="FootnoteReference"/>
          <w:rFonts w:asciiTheme="majorHAnsi" w:hAnsiTheme="majorHAnsi"/>
          <w:color w:val="auto"/>
          <w:sz w:val="16"/>
          <w:szCs w:val="16"/>
        </w:rPr>
        <w:footnoteRef/>
      </w:r>
      <w:r>
        <w:t xml:space="preserve"> </w:t>
      </w:r>
      <w:r w:rsidRPr="00D16299">
        <w:rPr>
          <w:rFonts w:asciiTheme="majorHAnsi" w:hAnsiTheme="majorHAnsi"/>
          <w:color w:val="auto"/>
          <w:sz w:val="16"/>
          <w:szCs w:val="16"/>
        </w:rPr>
        <w:t xml:space="preserve">I/A Court H.R., </w:t>
      </w:r>
      <w:r w:rsidRPr="000630E1">
        <w:rPr>
          <w:rFonts w:asciiTheme="majorHAnsi" w:hAnsiTheme="majorHAnsi"/>
          <w:i/>
          <w:color w:val="auto"/>
          <w:sz w:val="16"/>
          <w:szCs w:val="16"/>
        </w:rPr>
        <w:t>Case of I.V. v. Bolivia</w:t>
      </w:r>
      <w:r w:rsidRPr="00D16299">
        <w:rPr>
          <w:rFonts w:asciiTheme="majorHAnsi" w:hAnsiTheme="majorHAnsi"/>
          <w:color w:val="auto"/>
          <w:sz w:val="16"/>
          <w:szCs w:val="16"/>
        </w:rPr>
        <w:t xml:space="preserve">. Merits, Reparations and Costs. Judgment of December 1, 2016. </w:t>
      </w:r>
      <w:r w:rsidRPr="00B8786D">
        <w:rPr>
          <w:rFonts w:asciiTheme="majorHAnsi" w:hAnsiTheme="majorHAnsi"/>
          <w:color w:val="auto"/>
          <w:sz w:val="16"/>
          <w:szCs w:val="16"/>
          <w:lang w:val="en-CA"/>
        </w:rPr>
        <w:t xml:space="preserve">Series C No. 330, par. 157. </w:t>
      </w:r>
    </w:p>
  </w:footnote>
  <w:footnote w:id="70">
    <w:p w14:paraId="5C6B1028" w14:textId="77777777" w:rsidR="00DC78FC" w:rsidRPr="00AD7A33" w:rsidRDefault="00DC78FC" w:rsidP="00272DEF">
      <w:pPr>
        <w:pStyle w:val="FootnoteText"/>
        <w:jc w:val="both"/>
        <w:rPr>
          <w:rFonts w:asciiTheme="majorHAnsi" w:hAnsiTheme="majorHAnsi"/>
          <w:color w:val="auto"/>
          <w:sz w:val="16"/>
          <w:szCs w:val="16"/>
        </w:rPr>
      </w:pPr>
      <w:r w:rsidRPr="00AD7A33">
        <w:rPr>
          <w:rStyle w:val="FootnoteReference"/>
          <w:rFonts w:asciiTheme="majorHAnsi" w:hAnsiTheme="majorHAnsi"/>
          <w:color w:val="auto"/>
          <w:sz w:val="16"/>
          <w:szCs w:val="16"/>
        </w:rPr>
        <w:footnoteRef/>
      </w:r>
      <w:r w:rsidRPr="00AD7A33">
        <w:rPr>
          <w:rFonts w:asciiTheme="majorHAnsi" w:hAnsiTheme="majorHAnsi"/>
          <w:color w:val="auto"/>
          <w:sz w:val="16"/>
          <w:szCs w:val="16"/>
        </w:rPr>
        <w:t xml:space="preserve"> Article XXV of the American Declaration provides: “[…] Every individual who has been deprived of his liberty has the right […] to humane treatment during the time he is in custody.” </w:t>
      </w:r>
    </w:p>
    <w:p w14:paraId="1257AD3E" w14:textId="77777777" w:rsidR="00DC78FC" w:rsidRPr="00AD7A33" w:rsidRDefault="00DC78FC" w:rsidP="00272DEF">
      <w:pPr>
        <w:pStyle w:val="FootnoteText"/>
        <w:jc w:val="both"/>
        <w:rPr>
          <w:rFonts w:asciiTheme="majorHAnsi" w:hAnsiTheme="majorHAnsi"/>
          <w:color w:val="auto"/>
          <w:sz w:val="16"/>
          <w:szCs w:val="16"/>
        </w:rPr>
      </w:pPr>
      <w:r w:rsidRPr="00AD7A33">
        <w:rPr>
          <w:rFonts w:asciiTheme="majorHAnsi" w:hAnsiTheme="majorHAnsi"/>
          <w:color w:val="auto"/>
          <w:sz w:val="16"/>
          <w:szCs w:val="16"/>
        </w:rPr>
        <w:t>Article XXVI of the American Declaration provides: “[…] Every person accused of an offense has the right […] not to receive cruel, infamous or unusual punishment.”</w:t>
      </w:r>
    </w:p>
  </w:footnote>
  <w:footnote w:id="71">
    <w:p w14:paraId="489DEDC7" w14:textId="77777777" w:rsidR="00DC78FC" w:rsidRPr="00ED56AB" w:rsidRDefault="00DC78FC" w:rsidP="00272DEF">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IACHR, Report No. 71/18, Case 12.958. Merits. Russell Bucklew. United States, May 10, 2018, paras. 86-90. In this report the Commission has cite</w:t>
      </w:r>
      <w:r>
        <w:rPr>
          <w:rFonts w:asciiTheme="majorHAnsi" w:hAnsiTheme="majorHAnsi"/>
          <w:color w:val="auto"/>
          <w:sz w:val="16"/>
          <w:szCs w:val="16"/>
        </w:rPr>
        <w:t>d</w:t>
      </w:r>
      <w:r w:rsidRPr="00ED56AB">
        <w:rPr>
          <w:rFonts w:asciiTheme="majorHAnsi" w:hAnsiTheme="majorHAnsi"/>
          <w:color w:val="auto"/>
          <w:sz w:val="16"/>
          <w:szCs w:val="16"/>
        </w:rPr>
        <w:t xml:space="preserve"> a number of developments in the inter-American and other protections systems, including the regional and United Nations systems.</w:t>
      </w:r>
    </w:p>
  </w:footnote>
  <w:footnote w:id="72">
    <w:p w14:paraId="6DB7C55B" w14:textId="77777777" w:rsidR="00DC78FC" w:rsidRPr="006C1815" w:rsidRDefault="00DC78FC" w:rsidP="00272DEF">
      <w:pPr>
        <w:pStyle w:val="FootnoteText"/>
      </w:pPr>
      <w:r w:rsidRPr="006C1815">
        <w:rPr>
          <w:rStyle w:val="FootnoteReference"/>
          <w:rFonts w:asciiTheme="majorHAnsi" w:hAnsiTheme="majorHAnsi"/>
          <w:color w:val="auto"/>
          <w:sz w:val="16"/>
          <w:szCs w:val="16"/>
        </w:rPr>
        <w:footnoteRef/>
      </w:r>
      <w:r w:rsidRPr="006C1815">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IACHR, Report No. 71/18, Case 12.958. Merits. Russell Bucklew. United States, May 10, 2018, para</w:t>
      </w:r>
      <w:r>
        <w:rPr>
          <w:rFonts w:asciiTheme="majorHAnsi" w:hAnsiTheme="majorHAnsi"/>
          <w:color w:val="auto"/>
          <w:sz w:val="16"/>
          <w:szCs w:val="16"/>
        </w:rPr>
        <w:t>. 83.</w:t>
      </w:r>
    </w:p>
  </w:footnote>
  <w:footnote w:id="73">
    <w:p w14:paraId="3E1B1AA3" w14:textId="77777777" w:rsidR="00DC78FC" w:rsidRPr="00ED56AB" w:rsidRDefault="00DC78FC"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Article I of the American Declaration provides: “</w:t>
      </w:r>
      <w:r w:rsidRPr="00ED56AB">
        <w:rPr>
          <w:rFonts w:asciiTheme="majorHAnsi" w:hAnsiTheme="majorHAnsi"/>
          <w:color w:val="auto"/>
          <w:sz w:val="16"/>
          <w:szCs w:val="16"/>
          <w:shd w:val="clear" w:color="auto" w:fill="FFFFFF"/>
        </w:rPr>
        <w:t>Every human being has the right to life, liberty and the security of his person.”</w:t>
      </w:r>
    </w:p>
  </w:footnote>
  <w:footnote w:id="74">
    <w:p w14:paraId="30D9AC51" w14:textId="77777777" w:rsidR="00DC78FC" w:rsidRPr="00ED56AB" w:rsidRDefault="00DC78FC"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See, </w:t>
      </w:r>
      <w:r w:rsidRPr="00ED56AB">
        <w:rPr>
          <w:rFonts w:asciiTheme="majorHAnsi" w:hAnsiTheme="majorHAnsi"/>
          <w:i/>
          <w:color w:val="auto"/>
          <w:sz w:val="16"/>
          <w:szCs w:val="16"/>
        </w:rPr>
        <w:t>mutatis mutandis</w:t>
      </w:r>
      <w:r w:rsidRPr="00ED56AB">
        <w:rPr>
          <w:rFonts w:asciiTheme="majorHAnsi" w:hAnsiTheme="majorHAnsi"/>
          <w:color w:val="auto"/>
          <w:sz w:val="16"/>
          <w:szCs w:val="16"/>
        </w:rPr>
        <w:t xml:space="preserve">, IACHR, Report No. 57/96, Case 11.139, William Andrews, United States, December 6, 1996. </w:t>
      </w:r>
    </w:p>
  </w:footnote>
  <w:footnote w:id="75">
    <w:p w14:paraId="29B475BF" w14:textId="77777777" w:rsidR="00DC78FC" w:rsidRPr="00ED56AB" w:rsidRDefault="00DC78FC" w:rsidP="00ED56AB">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53/13, Case 12.864, Merits (Publication), Ivan Teleguz, United States, July 15, 2013, para. 129.</w:t>
      </w:r>
    </w:p>
  </w:footnote>
  <w:footnote w:id="76">
    <w:p w14:paraId="0B15DD75" w14:textId="77777777" w:rsidR="00DC78FC" w:rsidRPr="00700471" w:rsidRDefault="00DC78FC" w:rsidP="0059770B">
      <w:pPr>
        <w:pStyle w:val="FootnoteText"/>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IACHR, Report No. 11/15, Case 12.833, Merits (Publication), Félix Rocha Díaz, United States, March 23, 2015, para. 106.</w:t>
      </w:r>
    </w:p>
  </w:footnote>
  <w:footnote w:id="77">
    <w:p w14:paraId="60DD8667" w14:textId="77777777" w:rsidR="00DC78FC" w:rsidRPr="00700471" w:rsidRDefault="00DC78FC" w:rsidP="00AB712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 w:id="78">
    <w:p w14:paraId="2D7A0066" w14:textId="77777777" w:rsidR="00DC78FC" w:rsidRPr="00700471" w:rsidRDefault="00DC78FC" w:rsidP="0059770B">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F9B1" w14:textId="77777777" w:rsidR="00DC78FC" w:rsidRDefault="00DC78FC" w:rsidP="00C147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C76C4BA" w14:textId="77777777" w:rsidR="00DC78FC" w:rsidRDefault="00DC7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E429" w14:textId="77777777" w:rsidR="00DC78FC" w:rsidRDefault="00DC78FC" w:rsidP="002C1641">
    <w:pPr>
      <w:pStyle w:val="Header"/>
      <w:tabs>
        <w:tab w:val="clear" w:pos="4320"/>
        <w:tab w:val="clear" w:pos="8640"/>
      </w:tabs>
      <w:jc w:val="center"/>
      <w:rPr>
        <w:sz w:val="22"/>
        <w:szCs w:val="22"/>
      </w:rPr>
    </w:pPr>
    <w:r>
      <w:rPr>
        <w:noProof/>
        <w:sz w:val="22"/>
        <w:szCs w:val="22"/>
      </w:rPr>
      <w:drawing>
        <wp:inline distT="0" distB="0" distL="0" distR="0" wp14:anchorId="31B78EA5" wp14:editId="69E81BF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569C8D8" w14:textId="77777777" w:rsidR="00DC78FC" w:rsidRPr="00EC7D62" w:rsidRDefault="00F71DA5" w:rsidP="002C1641">
    <w:pPr>
      <w:pStyle w:val="Header"/>
      <w:tabs>
        <w:tab w:val="clear" w:pos="4320"/>
        <w:tab w:val="clear" w:pos="8640"/>
      </w:tabs>
      <w:jc w:val="center"/>
      <w:rPr>
        <w:sz w:val="22"/>
        <w:szCs w:val="22"/>
      </w:rPr>
    </w:pPr>
    <w:r>
      <w:rPr>
        <w:noProof/>
        <w:sz w:val="22"/>
        <w:szCs w:val="22"/>
        <w:bdr w:val="nil"/>
      </w:rPr>
      <w:pict w14:anchorId="0886C72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3C2770"/>
    <w:multiLevelType w:val="hybridMultilevel"/>
    <w:tmpl w:val="585E67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AE8170D"/>
    <w:multiLevelType w:val="hybridMultilevel"/>
    <w:tmpl w:val="AC6A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610548"/>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A9C4AA4"/>
    <w:multiLevelType w:val="hybridMultilevel"/>
    <w:tmpl w:val="F7C4B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893AFD0C"/>
    <w:lvl w:ilvl="0" w:tplc="69020C3E">
      <w:start w:val="1"/>
      <w:numFmt w:val="upperRoman"/>
      <w:pStyle w:val="Heading1"/>
      <w:lvlText w:val="%1."/>
      <w:lvlJc w:val="left"/>
      <w:pPr>
        <w:ind w:left="1080" w:hanging="360"/>
      </w:pPr>
      <w:rPr>
        <w:rFonts w:hint="default"/>
      </w:rPr>
    </w:lvl>
    <w:lvl w:ilvl="1" w:tplc="677C5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45554A"/>
    <w:multiLevelType w:val="hybridMultilevel"/>
    <w:tmpl w:val="FA40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0"/>
  </w:num>
  <w:num w:numId="5">
    <w:abstractNumId w:val="49"/>
  </w:num>
  <w:num w:numId="6">
    <w:abstractNumId w:val="25"/>
  </w:num>
  <w:num w:numId="7">
    <w:abstractNumId w:val="6"/>
  </w:num>
  <w:num w:numId="8">
    <w:abstractNumId w:val="16"/>
  </w:num>
  <w:num w:numId="9">
    <w:abstractNumId w:val="42"/>
  </w:num>
  <w:num w:numId="10">
    <w:abstractNumId w:val="0"/>
  </w:num>
  <w:num w:numId="11">
    <w:abstractNumId w:val="35"/>
  </w:num>
  <w:num w:numId="12">
    <w:abstractNumId w:val="36"/>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8"/>
  </w:num>
  <w:num w:numId="42">
    <w:abstractNumId w:val="51"/>
  </w:num>
  <w:num w:numId="43">
    <w:abstractNumId w:val="52"/>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19"/>
  </w:num>
  <w:num w:numId="52">
    <w:abstractNumId w:val="40"/>
  </w:num>
  <w:num w:numId="53">
    <w:abstractNumId w:val="53"/>
  </w:num>
  <w:num w:numId="54">
    <w:abstractNumId w:val="46"/>
  </w:num>
  <w:num w:numId="55">
    <w:abstractNumId w:val="47"/>
  </w:num>
  <w:num w:numId="56">
    <w:abstractNumId w:val="43"/>
  </w:num>
  <w:num w:numId="57">
    <w:abstractNumId w:val="50"/>
  </w:num>
  <w:num w:numId="58">
    <w:abstractNumId w:val="41"/>
  </w:num>
  <w:num w:numId="59">
    <w:abstractNumId w:val="55"/>
  </w:num>
  <w:num w:numId="60">
    <w:abstractNumId w:val="45"/>
  </w:num>
  <w:num w:numId="61">
    <w:abstractNumId w:val="27"/>
  </w:num>
  <w:num w:numId="62">
    <w:abstractNumId w:val="4"/>
  </w:num>
  <w:num w:numId="63">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50CC"/>
    <w:rsid w:val="00006DD7"/>
    <w:rsid w:val="00006E50"/>
    <w:rsid w:val="000070D7"/>
    <w:rsid w:val="00007B4D"/>
    <w:rsid w:val="00010877"/>
    <w:rsid w:val="00010A7E"/>
    <w:rsid w:val="000111A8"/>
    <w:rsid w:val="00011EB8"/>
    <w:rsid w:val="00012470"/>
    <w:rsid w:val="00012683"/>
    <w:rsid w:val="00012ADD"/>
    <w:rsid w:val="00012E4F"/>
    <w:rsid w:val="00013F78"/>
    <w:rsid w:val="00015F42"/>
    <w:rsid w:val="00017552"/>
    <w:rsid w:val="0001788C"/>
    <w:rsid w:val="00021201"/>
    <w:rsid w:val="00022424"/>
    <w:rsid w:val="00024730"/>
    <w:rsid w:val="00024BB7"/>
    <w:rsid w:val="000265CB"/>
    <w:rsid w:val="0002681D"/>
    <w:rsid w:val="0003022F"/>
    <w:rsid w:val="00030834"/>
    <w:rsid w:val="00031A82"/>
    <w:rsid w:val="0003324D"/>
    <w:rsid w:val="000332F4"/>
    <w:rsid w:val="00036A8A"/>
    <w:rsid w:val="00040C3A"/>
    <w:rsid w:val="0004390C"/>
    <w:rsid w:val="00045601"/>
    <w:rsid w:val="000459E0"/>
    <w:rsid w:val="0004681B"/>
    <w:rsid w:val="0004761C"/>
    <w:rsid w:val="00047F35"/>
    <w:rsid w:val="000516F4"/>
    <w:rsid w:val="000517B2"/>
    <w:rsid w:val="00051EB4"/>
    <w:rsid w:val="000520FB"/>
    <w:rsid w:val="00053172"/>
    <w:rsid w:val="00054E1B"/>
    <w:rsid w:val="000564E1"/>
    <w:rsid w:val="000576AA"/>
    <w:rsid w:val="00057D4F"/>
    <w:rsid w:val="00057EDB"/>
    <w:rsid w:val="0006097A"/>
    <w:rsid w:val="00062C0F"/>
    <w:rsid w:val="00062FEC"/>
    <w:rsid w:val="000630E1"/>
    <w:rsid w:val="000639C0"/>
    <w:rsid w:val="000657E1"/>
    <w:rsid w:val="000679BC"/>
    <w:rsid w:val="00070F3A"/>
    <w:rsid w:val="0007127E"/>
    <w:rsid w:val="000716C5"/>
    <w:rsid w:val="00071A9D"/>
    <w:rsid w:val="00071E45"/>
    <w:rsid w:val="00074669"/>
    <w:rsid w:val="00075E23"/>
    <w:rsid w:val="000764E3"/>
    <w:rsid w:val="00077A87"/>
    <w:rsid w:val="00080249"/>
    <w:rsid w:val="00080357"/>
    <w:rsid w:val="00081EC3"/>
    <w:rsid w:val="00082CBB"/>
    <w:rsid w:val="000830D5"/>
    <w:rsid w:val="00084A11"/>
    <w:rsid w:val="00084C5B"/>
    <w:rsid w:val="00085F60"/>
    <w:rsid w:val="00085F65"/>
    <w:rsid w:val="00086BFA"/>
    <w:rsid w:val="0008733D"/>
    <w:rsid w:val="00090720"/>
    <w:rsid w:val="00091707"/>
    <w:rsid w:val="000922C5"/>
    <w:rsid w:val="00092817"/>
    <w:rsid w:val="00092F32"/>
    <w:rsid w:val="00093055"/>
    <w:rsid w:val="0009344A"/>
    <w:rsid w:val="00094AFA"/>
    <w:rsid w:val="00095575"/>
    <w:rsid w:val="0009575D"/>
    <w:rsid w:val="000973C5"/>
    <w:rsid w:val="000A0EF3"/>
    <w:rsid w:val="000A1E84"/>
    <w:rsid w:val="000A2085"/>
    <w:rsid w:val="000A254B"/>
    <w:rsid w:val="000A3276"/>
    <w:rsid w:val="000A3E84"/>
    <w:rsid w:val="000A4138"/>
    <w:rsid w:val="000A575F"/>
    <w:rsid w:val="000A584B"/>
    <w:rsid w:val="000A5B0F"/>
    <w:rsid w:val="000A650D"/>
    <w:rsid w:val="000A6C50"/>
    <w:rsid w:val="000A7A76"/>
    <w:rsid w:val="000A7DBA"/>
    <w:rsid w:val="000B25FC"/>
    <w:rsid w:val="000B276D"/>
    <w:rsid w:val="000B2EF7"/>
    <w:rsid w:val="000B478D"/>
    <w:rsid w:val="000B4DAF"/>
    <w:rsid w:val="000B4EAA"/>
    <w:rsid w:val="000B50C3"/>
    <w:rsid w:val="000C0092"/>
    <w:rsid w:val="000C0149"/>
    <w:rsid w:val="000C04CF"/>
    <w:rsid w:val="000C1B5A"/>
    <w:rsid w:val="000C6FFD"/>
    <w:rsid w:val="000D10DB"/>
    <w:rsid w:val="000D1FC7"/>
    <w:rsid w:val="000D3921"/>
    <w:rsid w:val="000D3B27"/>
    <w:rsid w:val="000D5691"/>
    <w:rsid w:val="000D6817"/>
    <w:rsid w:val="000D68F4"/>
    <w:rsid w:val="000D6EEF"/>
    <w:rsid w:val="000E0F8F"/>
    <w:rsid w:val="000E1356"/>
    <w:rsid w:val="000E3937"/>
    <w:rsid w:val="000E44C7"/>
    <w:rsid w:val="000E56C3"/>
    <w:rsid w:val="000E69B3"/>
    <w:rsid w:val="000E6EDD"/>
    <w:rsid w:val="000E7140"/>
    <w:rsid w:val="000E7636"/>
    <w:rsid w:val="000E7ED0"/>
    <w:rsid w:val="000E7F69"/>
    <w:rsid w:val="000F0A25"/>
    <w:rsid w:val="000F0EEC"/>
    <w:rsid w:val="000F4547"/>
    <w:rsid w:val="000F4D36"/>
    <w:rsid w:val="000F7409"/>
    <w:rsid w:val="00101553"/>
    <w:rsid w:val="001024E3"/>
    <w:rsid w:val="001032AB"/>
    <w:rsid w:val="00103526"/>
    <w:rsid w:val="00104889"/>
    <w:rsid w:val="00104896"/>
    <w:rsid w:val="001063FA"/>
    <w:rsid w:val="00106990"/>
    <w:rsid w:val="00112617"/>
    <w:rsid w:val="00113149"/>
    <w:rsid w:val="00115009"/>
    <w:rsid w:val="00123ECD"/>
    <w:rsid w:val="001267FB"/>
    <w:rsid w:val="00130DE9"/>
    <w:rsid w:val="0013104F"/>
    <w:rsid w:val="0013178F"/>
    <w:rsid w:val="00131B01"/>
    <w:rsid w:val="00133465"/>
    <w:rsid w:val="0013403C"/>
    <w:rsid w:val="00134FF0"/>
    <w:rsid w:val="001357AD"/>
    <w:rsid w:val="001365B6"/>
    <w:rsid w:val="00137EBA"/>
    <w:rsid w:val="00140921"/>
    <w:rsid w:val="00141DEA"/>
    <w:rsid w:val="00142AE8"/>
    <w:rsid w:val="00143E4B"/>
    <w:rsid w:val="00143EB9"/>
    <w:rsid w:val="00145EDC"/>
    <w:rsid w:val="001503E0"/>
    <w:rsid w:val="00150DD0"/>
    <w:rsid w:val="00152085"/>
    <w:rsid w:val="00152829"/>
    <w:rsid w:val="00152944"/>
    <w:rsid w:val="00154179"/>
    <w:rsid w:val="00155F1D"/>
    <w:rsid w:val="00157341"/>
    <w:rsid w:val="001577B2"/>
    <w:rsid w:val="00157A9F"/>
    <w:rsid w:val="001600A4"/>
    <w:rsid w:val="00161150"/>
    <w:rsid w:val="00162AAD"/>
    <w:rsid w:val="00162CEF"/>
    <w:rsid w:val="001638DF"/>
    <w:rsid w:val="0016465A"/>
    <w:rsid w:val="00166F26"/>
    <w:rsid w:val="00167A34"/>
    <w:rsid w:val="00170952"/>
    <w:rsid w:val="001710D1"/>
    <w:rsid w:val="00171725"/>
    <w:rsid w:val="001733D5"/>
    <w:rsid w:val="0017348C"/>
    <w:rsid w:val="001739DA"/>
    <w:rsid w:val="001739F5"/>
    <w:rsid w:val="001747B4"/>
    <w:rsid w:val="00174911"/>
    <w:rsid w:val="00175827"/>
    <w:rsid w:val="0017642E"/>
    <w:rsid w:val="0018037F"/>
    <w:rsid w:val="001805B4"/>
    <w:rsid w:val="00180D3C"/>
    <w:rsid w:val="00180E3B"/>
    <w:rsid w:val="001819A8"/>
    <w:rsid w:val="00182F27"/>
    <w:rsid w:val="00184083"/>
    <w:rsid w:val="00184C6F"/>
    <w:rsid w:val="00187268"/>
    <w:rsid w:val="00187D43"/>
    <w:rsid w:val="00190214"/>
    <w:rsid w:val="0019332D"/>
    <w:rsid w:val="001937A5"/>
    <w:rsid w:val="0019748D"/>
    <w:rsid w:val="001A2434"/>
    <w:rsid w:val="001A5F27"/>
    <w:rsid w:val="001A6423"/>
    <w:rsid w:val="001A64EB"/>
    <w:rsid w:val="001A7439"/>
    <w:rsid w:val="001A7870"/>
    <w:rsid w:val="001B17B9"/>
    <w:rsid w:val="001B3279"/>
    <w:rsid w:val="001B4974"/>
    <w:rsid w:val="001B5F45"/>
    <w:rsid w:val="001C04BF"/>
    <w:rsid w:val="001C1B41"/>
    <w:rsid w:val="001C2003"/>
    <w:rsid w:val="001C2173"/>
    <w:rsid w:val="001C3032"/>
    <w:rsid w:val="001C38BC"/>
    <w:rsid w:val="001C3B2D"/>
    <w:rsid w:val="001C4006"/>
    <w:rsid w:val="001C48AF"/>
    <w:rsid w:val="001C6025"/>
    <w:rsid w:val="001C68E7"/>
    <w:rsid w:val="001C6E0E"/>
    <w:rsid w:val="001C6F52"/>
    <w:rsid w:val="001D1343"/>
    <w:rsid w:val="001D1A17"/>
    <w:rsid w:val="001D1FC1"/>
    <w:rsid w:val="001D4D75"/>
    <w:rsid w:val="001D59B1"/>
    <w:rsid w:val="001D7B45"/>
    <w:rsid w:val="001E0270"/>
    <w:rsid w:val="001E10CA"/>
    <w:rsid w:val="001E2867"/>
    <w:rsid w:val="001E3060"/>
    <w:rsid w:val="001E3F3E"/>
    <w:rsid w:val="001E477E"/>
    <w:rsid w:val="001E4D7D"/>
    <w:rsid w:val="001E53FB"/>
    <w:rsid w:val="001E5A1A"/>
    <w:rsid w:val="001E699E"/>
    <w:rsid w:val="001E6C37"/>
    <w:rsid w:val="001F0B72"/>
    <w:rsid w:val="001F3B00"/>
    <w:rsid w:val="001F62D9"/>
    <w:rsid w:val="00202A19"/>
    <w:rsid w:val="00204924"/>
    <w:rsid w:val="00204DFD"/>
    <w:rsid w:val="002056C8"/>
    <w:rsid w:val="00207544"/>
    <w:rsid w:val="0021055A"/>
    <w:rsid w:val="00210E0E"/>
    <w:rsid w:val="0021591D"/>
    <w:rsid w:val="00215CE2"/>
    <w:rsid w:val="00217D6A"/>
    <w:rsid w:val="0022169F"/>
    <w:rsid w:val="00222050"/>
    <w:rsid w:val="002226AA"/>
    <w:rsid w:val="00223226"/>
    <w:rsid w:val="00223245"/>
    <w:rsid w:val="00225375"/>
    <w:rsid w:val="002256AE"/>
    <w:rsid w:val="002277C3"/>
    <w:rsid w:val="0023061B"/>
    <w:rsid w:val="00231CD1"/>
    <w:rsid w:val="002351E7"/>
    <w:rsid w:val="00236FA5"/>
    <w:rsid w:val="0024070A"/>
    <w:rsid w:val="0024247E"/>
    <w:rsid w:val="0024379B"/>
    <w:rsid w:val="00245446"/>
    <w:rsid w:val="00246E7D"/>
    <w:rsid w:val="00247019"/>
    <w:rsid w:val="00247403"/>
    <w:rsid w:val="00247542"/>
    <w:rsid w:val="00250662"/>
    <w:rsid w:val="00250F0E"/>
    <w:rsid w:val="00250F42"/>
    <w:rsid w:val="00255140"/>
    <w:rsid w:val="002552DF"/>
    <w:rsid w:val="0025532E"/>
    <w:rsid w:val="00255759"/>
    <w:rsid w:val="00256813"/>
    <w:rsid w:val="00256D45"/>
    <w:rsid w:val="00257893"/>
    <w:rsid w:val="0026109F"/>
    <w:rsid w:val="0026154C"/>
    <w:rsid w:val="002626A2"/>
    <w:rsid w:val="002626F5"/>
    <w:rsid w:val="00262ECA"/>
    <w:rsid w:val="00263B2B"/>
    <w:rsid w:val="00264033"/>
    <w:rsid w:val="00264944"/>
    <w:rsid w:val="00266092"/>
    <w:rsid w:val="00266B61"/>
    <w:rsid w:val="0026712A"/>
    <w:rsid w:val="00267891"/>
    <w:rsid w:val="00267EF0"/>
    <w:rsid w:val="002701A7"/>
    <w:rsid w:val="002704DB"/>
    <w:rsid w:val="002704E0"/>
    <w:rsid w:val="00270C7A"/>
    <w:rsid w:val="00271175"/>
    <w:rsid w:val="00272596"/>
    <w:rsid w:val="00272854"/>
    <w:rsid w:val="00272A02"/>
    <w:rsid w:val="00272DEF"/>
    <w:rsid w:val="00272F7D"/>
    <w:rsid w:val="00273032"/>
    <w:rsid w:val="002730F6"/>
    <w:rsid w:val="00274F86"/>
    <w:rsid w:val="00275FC9"/>
    <w:rsid w:val="00276C31"/>
    <w:rsid w:val="0028111A"/>
    <w:rsid w:val="00284E86"/>
    <w:rsid w:val="002869C6"/>
    <w:rsid w:val="00287642"/>
    <w:rsid w:val="00287776"/>
    <w:rsid w:val="00290094"/>
    <w:rsid w:val="00291C7D"/>
    <w:rsid w:val="00292239"/>
    <w:rsid w:val="00292CEC"/>
    <w:rsid w:val="0029397E"/>
    <w:rsid w:val="00293AEB"/>
    <w:rsid w:val="00293B75"/>
    <w:rsid w:val="0029466E"/>
    <w:rsid w:val="00294727"/>
    <w:rsid w:val="00294B4A"/>
    <w:rsid w:val="0029615A"/>
    <w:rsid w:val="002963E4"/>
    <w:rsid w:val="0029715B"/>
    <w:rsid w:val="00297288"/>
    <w:rsid w:val="0029754B"/>
    <w:rsid w:val="002A05B1"/>
    <w:rsid w:val="002A1C6E"/>
    <w:rsid w:val="002A1D6A"/>
    <w:rsid w:val="002A24D4"/>
    <w:rsid w:val="002A2720"/>
    <w:rsid w:val="002A3CD5"/>
    <w:rsid w:val="002A733A"/>
    <w:rsid w:val="002A7A01"/>
    <w:rsid w:val="002B008D"/>
    <w:rsid w:val="002B0BE7"/>
    <w:rsid w:val="002B110C"/>
    <w:rsid w:val="002B30E6"/>
    <w:rsid w:val="002B4B61"/>
    <w:rsid w:val="002B5F8A"/>
    <w:rsid w:val="002C10D7"/>
    <w:rsid w:val="002C1641"/>
    <w:rsid w:val="002C1EB3"/>
    <w:rsid w:val="002C3312"/>
    <w:rsid w:val="002C3671"/>
    <w:rsid w:val="002C3D66"/>
    <w:rsid w:val="002C4070"/>
    <w:rsid w:val="002C58D2"/>
    <w:rsid w:val="002C5A89"/>
    <w:rsid w:val="002C5EC4"/>
    <w:rsid w:val="002D033F"/>
    <w:rsid w:val="002D45C2"/>
    <w:rsid w:val="002D4CA0"/>
    <w:rsid w:val="002D628F"/>
    <w:rsid w:val="002D7DC4"/>
    <w:rsid w:val="002D7EA2"/>
    <w:rsid w:val="002E03A4"/>
    <w:rsid w:val="002E10DC"/>
    <w:rsid w:val="002E15DF"/>
    <w:rsid w:val="002E187C"/>
    <w:rsid w:val="002E1CDE"/>
    <w:rsid w:val="002E349E"/>
    <w:rsid w:val="002E35D7"/>
    <w:rsid w:val="002E3C15"/>
    <w:rsid w:val="002E432F"/>
    <w:rsid w:val="002E59A3"/>
    <w:rsid w:val="002E61E7"/>
    <w:rsid w:val="002E6267"/>
    <w:rsid w:val="002E6E57"/>
    <w:rsid w:val="002E755E"/>
    <w:rsid w:val="002E78C1"/>
    <w:rsid w:val="002E7E79"/>
    <w:rsid w:val="002F097A"/>
    <w:rsid w:val="002F2D41"/>
    <w:rsid w:val="002F3202"/>
    <w:rsid w:val="002F3554"/>
    <w:rsid w:val="002F3598"/>
    <w:rsid w:val="002F35CB"/>
    <w:rsid w:val="002F3D27"/>
    <w:rsid w:val="002F414B"/>
    <w:rsid w:val="002F443F"/>
    <w:rsid w:val="002F503E"/>
    <w:rsid w:val="002F5E45"/>
    <w:rsid w:val="002F6201"/>
    <w:rsid w:val="002F6C1E"/>
    <w:rsid w:val="002F7B0F"/>
    <w:rsid w:val="00301075"/>
    <w:rsid w:val="00301F71"/>
    <w:rsid w:val="00302733"/>
    <w:rsid w:val="00303B04"/>
    <w:rsid w:val="00304EED"/>
    <w:rsid w:val="0030600F"/>
    <w:rsid w:val="00306D2A"/>
    <w:rsid w:val="00307C8D"/>
    <w:rsid w:val="003112C6"/>
    <w:rsid w:val="00311A4F"/>
    <w:rsid w:val="00313332"/>
    <w:rsid w:val="00314078"/>
    <w:rsid w:val="00315905"/>
    <w:rsid w:val="00316559"/>
    <w:rsid w:val="00316576"/>
    <w:rsid w:val="0031724D"/>
    <w:rsid w:val="00317255"/>
    <w:rsid w:val="00317E8A"/>
    <w:rsid w:val="00320402"/>
    <w:rsid w:val="00320A64"/>
    <w:rsid w:val="00321A96"/>
    <w:rsid w:val="00322398"/>
    <w:rsid w:val="00322450"/>
    <w:rsid w:val="003241CF"/>
    <w:rsid w:val="003246B5"/>
    <w:rsid w:val="003249CF"/>
    <w:rsid w:val="003267B5"/>
    <w:rsid w:val="00327501"/>
    <w:rsid w:val="00330196"/>
    <w:rsid w:val="00330E0E"/>
    <w:rsid w:val="0033161A"/>
    <w:rsid w:val="00331687"/>
    <w:rsid w:val="0033169F"/>
    <w:rsid w:val="00332152"/>
    <w:rsid w:val="003330D2"/>
    <w:rsid w:val="00336085"/>
    <w:rsid w:val="003378E0"/>
    <w:rsid w:val="00337961"/>
    <w:rsid w:val="00337C43"/>
    <w:rsid w:val="003407E0"/>
    <w:rsid w:val="00340A95"/>
    <w:rsid w:val="003410A6"/>
    <w:rsid w:val="003414AC"/>
    <w:rsid w:val="003414E6"/>
    <w:rsid w:val="00342070"/>
    <w:rsid w:val="003447BB"/>
    <w:rsid w:val="00344B38"/>
    <w:rsid w:val="00347742"/>
    <w:rsid w:val="0035485A"/>
    <w:rsid w:val="00355779"/>
    <w:rsid w:val="00356185"/>
    <w:rsid w:val="00357206"/>
    <w:rsid w:val="00357D78"/>
    <w:rsid w:val="00360380"/>
    <w:rsid w:val="0036137D"/>
    <w:rsid w:val="00361EB7"/>
    <w:rsid w:val="0036346A"/>
    <w:rsid w:val="00365D52"/>
    <w:rsid w:val="00366182"/>
    <w:rsid w:val="00366DBE"/>
    <w:rsid w:val="003675B8"/>
    <w:rsid w:val="00370DD4"/>
    <w:rsid w:val="003712A7"/>
    <w:rsid w:val="00371EFD"/>
    <w:rsid w:val="00372F8E"/>
    <w:rsid w:val="00373790"/>
    <w:rsid w:val="003741EF"/>
    <w:rsid w:val="003745F9"/>
    <w:rsid w:val="00374940"/>
    <w:rsid w:val="003750C8"/>
    <w:rsid w:val="003759D2"/>
    <w:rsid w:val="00376244"/>
    <w:rsid w:val="00377AD8"/>
    <w:rsid w:val="00380645"/>
    <w:rsid w:val="00380A1D"/>
    <w:rsid w:val="00380B68"/>
    <w:rsid w:val="00380ECF"/>
    <w:rsid w:val="0038209A"/>
    <w:rsid w:val="00382598"/>
    <w:rsid w:val="00382CE7"/>
    <w:rsid w:val="0038330F"/>
    <w:rsid w:val="00384072"/>
    <w:rsid w:val="0038421B"/>
    <w:rsid w:val="00385B08"/>
    <w:rsid w:val="00386CF0"/>
    <w:rsid w:val="00386FEA"/>
    <w:rsid w:val="003902B2"/>
    <w:rsid w:val="0039061F"/>
    <w:rsid w:val="00390D19"/>
    <w:rsid w:val="00393C8E"/>
    <w:rsid w:val="0039471C"/>
    <w:rsid w:val="00394A5D"/>
    <w:rsid w:val="00396106"/>
    <w:rsid w:val="003964BF"/>
    <w:rsid w:val="003A187E"/>
    <w:rsid w:val="003A27F4"/>
    <w:rsid w:val="003A3C43"/>
    <w:rsid w:val="003A4790"/>
    <w:rsid w:val="003A485E"/>
    <w:rsid w:val="003A4B42"/>
    <w:rsid w:val="003A527A"/>
    <w:rsid w:val="003A6019"/>
    <w:rsid w:val="003A632E"/>
    <w:rsid w:val="003A71F1"/>
    <w:rsid w:val="003A7BFE"/>
    <w:rsid w:val="003B2C86"/>
    <w:rsid w:val="003B349D"/>
    <w:rsid w:val="003B3E94"/>
    <w:rsid w:val="003B63A0"/>
    <w:rsid w:val="003B640E"/>
    <w:rsid w:val="003B6423"/>
    <w:rsid w:val="003B66DC"/>
    <w:rsid w:val="003C32BC"/>
    <w:rsid w:val="003C3722"/>
    <w:rsid w:val="003C4BC0"/>
    <w:rsid w:val="003C6480"/>
    <w:rsid w:val="003C7061"/>
    <w:rsid w:val="003D0C05"/>
    <w:rsid w:val="003D0D3E"/>
    <w:rsid w:val="003D1E49"/>
    <w:rsid w:val="003D2871"/>
    <w:rsid w:val="003D2C7F"/>
    <w:rsid w:val="003D3435"/>
    <w:rsid w:val="003D3507"/>
    <w:rsid w:val="003D40A7"/>
    <w:rsid w:val="003D4A67"/>
    <w:rsid w:val="003D51A2"/>
    <w:rsid w:val="003D5A38"/>
    <w:rsid w:val="003D5CD7"/>
    <w:rsid w:val="003D5F18"/>
    <w:rsid w:val="003D79BC"/>
    <w:rsid w:val="003E06A3"/>
    <w:rsid w:val="003E0852"/>
    <w:rsid w:val="003E1FEC"/>
    <w:rsid w:val="003E2564"/>
    <w:rsid w:val="003E366F"/>
    <w:rsid w:val="003E4D93"/>
    <w:rsid w:val="003E4E8A"/>
    <w:rsid w:val="003E65E7"/>
    <w:rsid w:val="003E68BB"/>
    <w:rsid w:val="003E6FB6"/>
    <w:rsid w:val="003E7380"/>
    <w:rsid w:val="003F0153"/>
    <w:rsid w:val="003F03FA"/>
    <w:rsid w:val="003F0B2B"/>
    <w:rsid w:val="003F1230"/>
    <w:rsid w:val="003F1BBF"/>
    <w:rsid w:val="003F2D46"/>
    <w:rsid w:val="003F6707"/>
    <w:rsid w:val="003F7001"/>
    <w:rsid w:val="003F7161"/>
    <w:rsid w:val="00400E6B"/>
    <w:rsid w:val="00400EA4"/>
    <w:rsid w:val="004010E9"/>
    <w:rsid w:val="004022E4"/>
    <w:rsid w:val="00404333"/>
    <w:rsid w:val="00404A51"/>
    <w:rsid w:val="00404EFC"/>
    <w:rsid w:val="00405991"/>
    <w:rsid w:val="00405F19"/>
    <w:rsid w:val="00406721"/>
    <w:rsid w:val="00406CB6"/>
    <w:rsid w:val="0040735D"/>
    <w:rsid w:val="0040759C"/>
    <w:rsid w:val="00407F3D"/>
    <w:rsid w:val="004122AE"/>
    <w:rsid w:val="00413B37"/>
    <w:rsid w:val="004142F6"/>
    <w:rsid w:val="00415BAE"/>
    <w:rsid w:val="004165C2"/>
    <w:rsid w:val="00417263"/>
    <w:rsid w:val="00417356"/>
    <w:rsid w:val="0041797E"/>
    <w:rsid w:val="00426DB7"/>
    <w:rsid w:val="00427406"/>
    <w:rsid w:val="0042749C"/>
    <w:rsid w:val="00432731"/>
    <w:rsid w:val="004332C3"/>
    <w:rsid w:val="00436C66"/>
    <w:rsid w:val="004413C0"/>
    <w:rsid w:val="00441D48"/>
    <w:rsid w:val="00444596"/>
    <w:rsid w:val="00445C74"/>
    <w:rsid w:val="00446F15"/>
    <w:rsid w:val="0044706E"/>
    <w:rsid w:val="00447B8F"/>
    <w:rsid w:val="00450A4A"/>
    <w:rsid w:val="00450D96"/>
    <w:rsid w:val="00453466"/>
    <w:rsid w:val="00454492"/>
    <w:rsid w:val="0045481D"/>
    <w:rsid w:val="0045524E"/>
    <w:rsid w:val="00457228"/>
    <w:rsid w:val="00457B89"/>
    <w:rsid w:val="0046041C"/>
    <w:rsid w:val="0046072C"/>
    <w:rsid w:val="0046208F"/>
    <w:rsid w:val="00462248"/>
    <w:rsid w:val="00462781"/>
    <w:rsid w:val="00462F9A"/>
    <w:rsid w:val="004666FB"/>
    <w:rsid w:val="00467542"/>
    <w:rsid w:val="00467B7E"/>
    <w:rsid w:val="00467CF1"/>
    <w:rsid w:val="0047006D"/>
    <w:rsid w:val="00471BC8"/>
    <w:rsid w:val="004730AF"/>
    <w:rsid w:val="00477D29"/>
    <w:rsid w:val="00481C1F"/>
    <w:rsid w:val="00482208"/>
    <w:rsid w:val="00482644"/>
    <w:rsid w:val="00483146"/>
    <w:rsid w:val="00483697"/>
    <w:rsid w:val="00483974"/>
    <w:rsid w:val="00484B2F"/>
    <w:rsid w:val="00484F80"/>
    <w:rsid w:val="004850C2"/>
    <w:rsid w:val="0048701C"/>
    <w:rsid w:val="004907E1"/>
    <w:rsid w:val="00490BE7"/>
    <w:rsid w:val="00490C98"/>
    <w:rsid w:val="0049419D"/>
    <w:rsid w:val="00495029"/>
    <w:rsid w:val="00495396"/>
    <w:rsid w:val="00495CD7"/>
    <w:rsid w:val="004962B8"/>
    <w:rsid w:val="00496687"/>
    <w:rsid w:val="00496C69"/>
    <w:rsid w:val="00496DBC"/>
    <w:rsid w:val="0049749D"/>
    <w:rsid w:val="004977D3"/>
    <w:rsid w:val="00497D68"/>
    <w:rsid w:val="004A17A5"/>
    <w:rsid w:val="004A1EEA"/>
    <w:rsid w:val="004A2B9D"/>
    <w:rsid w:val="004A37A5"/>
    <w:rsid w:val="004A3806"/>
    <w:rsid w:val="004A3DC4"/>
    <w:rsid w:val="004A4A3E"/>
    <w:rsid w:val="004A4DB0"/>
    <w:rsid w:val="004A514F"/>
    <w:rsid w:val="004B2762"/>
    <w:rsid w:val="004B2DE8"/>
    <w:rsid w:val="004B388C"/>
    <w:rsid w:val="004B45B7"/>
    <w:rsid w:val="004B4E6F"/>
    <w:rsid w:val="004B7EB6"/>
    <w:rsid w:val="004C17B4"/>
    <w:rsid w:val="004C4B62"/>
    <w:rsid w:val="004C68B8"/>
    <w:rsid w:val="004C7257"/>
    <w:rsid w:val="004C758F"/>
    <w:rsid w:val="004C77DC"/>
    <w:rsid w:val="004C7EE2"/>
    <w:rsid w:val="004D0229"/>
    <w:rsid w:val="004D4782"/>
    <w:rsid w:val="004D4A6A"/>
    <w:rsid w:val="004D4D1B"/>
    <w:rsid w:val="004D6025"/>
    <w:rsid w:val="004D657F"/>
    <w:rsid w:val="004D72BC"/>
    <w:rsid w:val="004D78B4"/>
    <w:rsid w:val="004E2452"/>
    <w:rsid w:val="004E3A16"/>
    <w:rsid w:val="004E4761"/>
    <w:rsid w:val="004E6C9C"/>
    <w:rsid w:val="004F04A5"/>
    <w:rsid w:val="004F0842"/>
    <w:rsid w:val="004F15C4"/>
    <w:rsid w:val="004F16E8"/>
    <w:rsid w:val="004F1DAD"/>
    <w:rsid w:val="004F2694"/>
    <w:rsid w:val="004F2FC4"/>
    <w:rsid w:val="004F37CA"/>
    <w:rsid w:val="004F3905"/>
    <w:rsid w:val="004F441A"/>
    <w:rsid w:val="004F4C1C"/>
    <w:rsid w:val="004F530D"/>
    <w:rsid w:val="004F5466"/>
    <w:rsid w:val="004F6949"/>
    <w:rsid w:val="004F69EA"/>
    <w:rsid w:val="004F69ED"/>
    <w:rsid w:val="005008C7"/>
    <w:rsid w:val="00501399"/>
    <w:rsid w:val="00501DFB"/>
    <w:rsid w:val="00502E35"/>
    <w:rsid w:val="00503C4C"/>
    <w:rsid w:val="0050536C"/>
    <w:rsid w:val="00505B63"/>
    <w:rsid w:val="005066A4"/>
    <w:rsid w:val="00507534"/>
    <w:rsid w:val="00507BC4"/>
    <w:rsid w:val="00510311"/>
    <w:rsid w:val="005128E4"/>
    <w:rsid w:val="00512A35"/>
    <w:rsid w:val="00513229"/>
    <w:rsid w:val="005152B7"/>
    <w:rsid w:val="00516BBE"/>
    <w:rsid w:val="00521909"/>
    <w:rsid w:val="005223AF"/>
    <w:rsid w:val="00523977"/>
    <w:rsid w:val="00524268"/>
    <w:rsid w:val="00525278"/>
    <w:rsid w:val="00525560"/>
    <w:rsid w:val="00525F05"/>
    <w:rsid w:val="00526204"/>
    <w:rsid w:val="005267AC"/>
    <w:rsid w:val="00527461"/>
    <w:rsid w:val="00530295"/>
    <w:rsid w:val="00530B2B"/>
    <w:rsid w:val="00531008"/>
    <w:rsid w:val="0053187E"/>
    <w:rsid w:val="005325F6"/>
    <w:rsid w:val="005346E1"/>
    <w:rsid w:val="00535135"/>
    <w:rsid w:val="005357A6"/>
    <w:rsid w:val="0053592E"/>
    <w:rsid w:val="00535FF9"/>
    <w:rsid w:val="005366E5"/>
    <w:rsid w:val="005367D0"/>
    <w:rsid w:val="00536848"/>
    <w:rsid w:val="00536B9E"/>
    <w:rsid w:val="005401F2"/>
    <w:rsid w:val="00540AEC"/>
    <w:rsid w:val="005422EF"/>
    <w:rsid w:val="005430A6"/>
    <w:rsid w:val="00543705"/>
    <w:rsid w:val="005439C3"/>
    <w:rsid w:val="00544C49"/>
    <w:rsid w:val="0054561F"/>
    <w:rsid w:val="005456B2"/>
    <w:rsid w:val="0054591A"/>
    <w:rsid w:val="00547EB7"/>
    <w:rsid w:val="00550141"/>
    <w:rsid w:val="0055160C"/>
    <w:rsid w:val="0055170D"/>
    <w:rsid w:val="005531BB"/>
    <w:rsid w:val="00553EC6"/>
    <w:rsid w:val="00554BAB"/>
    <w:rsid w:val="005557F2"/>
    <w:rsid w:val="00555A6E"/>
    <w:rsid w:val="00557C07"/>
    <w:rsid w:val="00562E4A"/>
    <w:rsid w:val="005633E7"/>
    <w:rsid w:val="0056432A"/>
    <w:rsid w:val="005706EF"/>
    <w:rsid w:val="00570AF2"/>
    <w:rsid w:val="0057402A"/>
    <w:rsid w:val="00574148"/>
    <w:rsid w:val="005744A4"/>
    <w:rsid w:val="005755D5"/>
    <w:rsid w:val="005764DD"/>
    <w:rsid w:val="00576832"/>
    <w:rsid w:val="005771D0"/>
    <w:rsid w:val="0058022B"/>
    <w:rsid w:val="00582750"/>
    <w:rsid w:val="0058343A"/>
    <w:rsid w:val="00584C28"/>
    <w:rsid w:val="00585DED"/>
    <w:rsid w:val="00587964"/>
    <w:rsid w:val="0059066D"/>
    <w:rsid w:val="00590C43"/>
    <w:rsid w:val="005910C0"/>
    <w:rsid w:val="005916E2"/>
    <w:rsid w:val="0059191A"/>
    <w:rsid w:val="00591B96"/>
    <w:rsid w:val="00591F60"/>
    <w:rsid w:val="005921FF"/>
    <w:rsid w:val="005937E2"/>
    <w:rsid w:val="00594CE1"/>
    <w:rsid w:val="00596514"/>
    <w:rsid w:val="0059670F"/>
    <w:rsid w:val="00596ABE"/>
    <w:rsid w:val="00596AD3"/>
    <w:rsid w:val="00596F42"/>
    <w:rsid w:val="0059770B"/>
    <w:rsid w:val="005A0410"/>
    <w:rsid w:val="005A2E9B"/>
    <w:rsid w:val="005A482E"/>
    <w:rsid w:val="005A6205"/>
    <w:rsid w:val="005A6D0E"/>
    <w:rsid w:val="005A6E50"/>
    <w:rsid w:val="005A734E"/>
    <w:rsid w:val="005B0001"/>
    <w:rsid w:val="005B222D"/>
    <w:rsid w:val="005B3DEC"/>
    <w:rsid w:val="005B52B0"/>
    <w:rsid w:val="005B67DE"/>
    <w:rsid w:val="005B6806"/>
    <w:rsid w:val="005B711D"/>
    <w:rsid w:val="005C00F9"/>
    <w:rsid w:val="005C05FA"/>
    <w:rsid w:val="005C164F"/>
    <w:rsid w:val="005C1853"/>
    <w:rsid w:val="005C1A8D"/>
    <w:rsid w:val="005C1D8E"/>
    <w:rsid w:val="005C207A"/>
    <w:rsid w:val="005C23BD"/>
    <w:rsid w:val="005C2BA2"/>
    <w:rsid w:val="005C2E02"/>
    <w:rsid w:val="005C3149"/>
    <w:rsid w:val="005C4011"/>
    <w:rsid w:val="005C4225"/>
    <w:rsid w:val="005C4AF4"/>
    <w:rsid w:val="005D0AC5"/>
    <w:rsid w:val="005D0FBF"/>
    <w:rsid w:val="005D1076"/>
    <w:rsid w:val="005D50AD"/>
    <w:rsid w:val="005D55A5"/>
    <w:rsid w:val="005D5DED"/>
    <w:rsid w:val="005D6A03"/>
    <w:rsid w:val="005D6AC4"/>
    <w:rsid w:val="005D6B2C"/>
    <w:rsid w:val="005D7191"/>
    <w:rsid w:val="005D7280"/>
    <w:rsid w:val="005E09BC"/>
    <w:rsid w:val="005E2BDE"/>
    <w:rsid w:val="005E4A95"/>
    <w:rsid w:val="005E5196"/>
    <w:rsid w:val="005E5258"/>
    <w:rsid w:val="005E5419"/>
    <w:rsid w:val="005E6C0C"/>
    <w:rsid w:val="005E6EE3"/>
    <w:rsid w:val="005E74C5"/>
    <w:rsid w:val="005E7642"/>
    <w:rsid w:val="005F0F33"/>
    <w:rsid w:val="005F1C54"/>
    <w:rsid w:val="005F2A0D"/>
    <w:rsid w:val="005F32A0"/>
    <w:rsid w:val="005F3F11"/>
    <w:rsid w:val="005F5456"/>
    <w:rsid w:val="005F7C35"/>
    <w:rsid w:val="0060040E"/>
    <w:rsid w:val="006005C1"/>
    <w:rsid w:val="00600A96"/>
    <w:rsid w:val="00600DEB"/>
    <w:rsid w:val="00600EE3"/>
    <w:rsid w:val="00602146"/>
    <w:rsid w:val="00602B9B"/>
    <w:rsid w:val="00604B83"/>
    <w:rsid w:val="00607F83"/>
    <w:rsid w:val="006112EF"/>
    <w:rsid w:val="00613027"/>
    <w:rsid w:val="00613120"/>
    <w:rsid w:val="00613A08"/>
    <w:rsid w:val="0061412F"/>
    <w:rsid w:val="00614153"/>
    <w:rsid w:val="00614AE8"/>
    <w:rsid w:val="00615073"/>
    <w:rsid w:val="0061546B"/>
    <w:rsid w:val="00616320"/>
    <w:rsid w:val="00617156"/>
    <w:rsid w:val="006206FF"/>
    <w:rsid w:val="00620A30"/>
    <w:rsid w:val="00620B75"/>
    <w:rsid w:val="006225B7"/>
    <w:rsid w:val="00623324"/>
    <w:rsid w:val="006238CB"/>
    <w:rsid w:val="006247DB"/>
    <w:rsid w:val="00624E66"/>
    <w:rsid w:val="00626360"/>
    <w:rsid w:val="006263C9"/>
    <w:rsid w:val="00626A1D"/>
    <w:rsid w:val="00627A51"/>
    <w:rsid w:val="00627C9F"/>
    <w:rsid w:val="006307DF"/>
    <w:rsid w:val="00630B42"/>
    <w:rsid w:val="00630C75"/>
    <w:rsid w:val="00630F01"/>
    <w:rsid w:val="00630F7D"/>
    <w:rsid w:val="006311DA"/>
    <w:rsid w:val="006311E9"/>
    <w:rsid w:val="00632354"/>
    <w:rsid w:val="00632429"/>
    <w:rsid w:val="00632BF2"/>
    <w:rsid w:val="00633261"/>
    <w:rsid w:val="00636406"/>
    <w:rsid w:val="00636E0C"/>
    <w:rsid w:val="00636F4A"/>
    <w:rsid w:val="00637539"/>
    <w:rsid w:val="00637B7B"/>
    <w:rsid w:val="00637E84"/>
    <w:rsid w:val="00640173"/>
    <w:rsid w:val="006418C1"/>
    <w:rsid w:val="006420B7"/>
    <w:rsid w:val="00642810"/>
    <w:rsid w:val="00643F66"/>
    <w:rsid w:val="006458AD"/>
    <w:rsid w:val="0064712F"/>
    <w:rsid w:val="0064793C"/>
    <w:rsid w:val="00650FA3"/>
    <w:rsid w:val="00651D1D"/>
    <w:rsid w:val="00652333"/>
    <w:rsid w:val="006549A4"/>
    <w:rsid w:val="00656FE7"/>
    <w:rsid w:val="0065765B"/>
    <w:rsid w:val="006605AC"/>
    <w:rsid w:val="00662F5D"/>
    <w:rsid w:val="006634C1"/>
    <w:rsid w:val="00664C08"/>
    <w:rsid w:val="00664DDE"/>
    <w:rsid w:val="00666536"/>
    <w:rsid w:val="00666AEF"/>
    <w:rsid w:val="0067472A"/>
    <w:rsid w:val="00677938"/>
    <w:rsid w:val="0068009E"/>
    <w:rsid w:val="00683305"/>
    <w:rsid w:val="00684434"/>
    <w:rsid w:val="006847BC"/>
    <w:rsid w:val="006849BF"/>
    <w:rsid w:val="00685184"/>
    <w:rsid w:val="00687432"/>
    <w:rsid w:val="00687725"/>
    <w:rsid w:val="0069244C"/>
    <w:rsid w:val="00692996"/>
    <w:rsid w:val="00692A55"/>
    <w:rsid w:val="0069578C"/>
    <w:rsid w:val="006972FB"/>
    <w:rsid w:val="006A0548"/>
    <w:rsid w:val="006A0F00"/>
    <w:rsid w:val="006A0F77"/>
    <w:rsid w:val="006A11FD"/>
    <w:rsid w:val="006A17D2"/>
    <w:rsid w:val="006A3B33"/>
    <w:rsid w:val="006A508B"/>
    <w:rsid w:val="006A538E"/>
    <w:rsid w:val="006A58D1"/>
    <w:rsid w:val="006A6E1A"/>
    <w:rsid w:val="006A70B4"/>
    <w:rsid w:val="006A73E6"/>
    <w:rsid w:val="006A7408"/>
    <w:rsid w:val="006A7764"/>
    <w:rsid w:val="006B0169"/>
    <w:rsid w:val="006B130C"/>
    <w:rsid w:val="006B17B3"/>
    <w:rsid w:val="006B248C"/>
    <w:rsid w:val="006B2623"/>
    <w:rsid w:val="006B265D"/>
    <w:rsid w:val="006B295E"/>
    <w:rsid w:val="006B2D5C"/>
    <w:rsid w:val="006B4324"/>
    <w:rsid w:val="006B544B"/>
    <w:rsid w:val="006B6FFA"/>
    <w:rsid w:val="006C0F5D"/>
    <w:rsid w:val="006C1815"/>
    <w:rsid w:val="006C2346"/>
    <w:rsid w:val="006C2B38"/>
    <w:rsid w:val="006C4233"/>
    <w:rsid w:val="006C4596"/>
    <w:rsid w:val="006C4EB1"/>
    <w:rsid w:val="006C6E31"/>
    <w:rsid w:val="006C7E62"/>
    <w:rsid w:val="006D0195"/>
    <w:rsid w:val="006D0424"/>
    <w:rsid w:val="006D2C28"/>
    <w:rsid w:val="006D48BB"/>
    <w:rsid w:val="006D5D5D"/>
    <w:rsid w:val="006D6E36"/>
    <w:rsid w:val="006D7976"/>
    <w:rsid w:val="006E00AB"/>
    <w:rsid w:val="006E0166"/>
    <w:rsid w:val="006E1163"/>
    <w:rsid w:val="006E18B8"/>
    <w:rsid w:val="006E35A0"/>
    <w:rsid w:val="006E4B61"/>
    <w:rsid w:val="006E4CCE"/>
    <w:rsid w:val="006E5C58"/>
    <w:rsid w:val="006E6048"/>
    <w:rsid w:val="006E67F6"/>
    <w:rsid w:val="006E6C78"/>
    <w:rsid w:val="006E6F1E"/>
    <w:rsid w:val="006E7B34"/>
    <w:rsid w:val="006E7EA4"/>
    <w:rsid w:val="006F3590"/>
    <w:rsid w:val="006F374D"/>
    <w:rsid w:val="006F672E"/>
    <w:rsid w:val="006F7488"/>
    <w:rsid w:val="0070045F"/>
    <w:rsid w:val="00700471"/>
    <w:rsid w:val="00700C65"/>
    <w:rsid w:val="00701610"/>
    <w:rsid w:val="00701B24"/>
    <w:rsid w:val="00702565"/>
    <w:rsid w:val="0070267B"/>
    <w:rsid w:val="00702A7C"/>
    <w:rsid w:val="00702DE6"/>
    <w:rsid w:val="00702EA5"/>
    <w:rsid w:val="00703F90"/>
    <w:rsid w:val="0070404E"/>
    <w:rsid w:val="00704098"/>
    <w:rsid w:val="0070603C"/>
    <w:rsid w:val="00706591"/>
    <w:rsid w:val="00706698"/>
    <w:rsid w:val="00707486"/>
    <w:rsid w:val="00707BAF"/>
    <w:rsid w:val="00707E8E"/>
    <w:rsid w:val="00710ED5"/>
    <w:rsid w:val="00715928"/>
    <w:rsid w:val="00716BEC"/>
    <w:rsid w:val="00716D62"/>
    <w:rsid w:val="00717B70"/>
    <w:rsid w:val="0072003B"/>
    <w:rsid w:val="0072130B"/>
    <w:rsid w:val="0072335A"/>
    <w:rsid w:val="007237C3"/>
    <w:rsid w:val="0072472F"/>
    <w:rsid w:val="007247E2"/>
    <w:rsid w:val="00727D80"/>
    <w:rsid w:val="00730731"/>
    <w:rsid w:val="007359CB"/>
    <w:rsid w:val="00737A15"/>
    <w:rsid w:val="007400D8"/>
    <w:rsid w:val="00741D4C"/>
    <w:rsid w:val="007433B0"/>
    <w:rsid w:val="007451C8"/>
    <w:rsid w:val="0074535C"/>
    <w:rsid w:val="0074572F"/>
    <w:rsid w:val="0074581C"/>
    <w:rsid w:val="00745899"/>
    <w:rsid w:val="00750078"/>
    <w:rsid w:val="00750BB6"/>
    <w:rsid w:val="0075164B"/>
    <w:rsid w:val="007538FC"/>
    <w:rsid w:val="00754A2A"/>
    <w:rsid w:val="00754E95"/>
    <w:rsid w:val="00755F05"/>
    <w:rsid w:val="007561AD"/>
    <w:rsid w:val="007570FA"/>
    <w:rsid w:val="00757F66"/>
    <w:rsid w:val="007607C4"/>
    <w:rsid w:val="007607EC"/>
    <w:rsid w:val="00761A58"/>
    <w:rsid w:val="0076228C"/>
    <w:rsid w:val="00762A2F"/>
    <w:rsid w:val="007649AF"/>
    <w:rsid w:val="00765584"/>
    <w:rsid w:val="00765CB7"/>
    <w:rsid w:val="0076643F"/>
    <w:rsid w:val="00771045"/>
    <w:rsid w:val="00771205"/>
    <w:rsid w:val="00773C5A"/>
    <w:rsid w:val="007744CC"/>
    <w:rsid w:val="007771C5"/>
    <w:rsid w:val="007776FF"/>
    <w:rsid w:val="0078069F"/>
    <w:rsid w:val="00781C89"/>
    <w:rsid w:val="007820BB"/>
    <w:rsid w:val="00782E68"/>
    <w:rsid w:val="0078426B"/>
    <w:rsid w:val="00784600"/>
    <w:rsid w:val="00784DE5"/>
    <w:rsid w:val="00784FEC"/>
    <w:rsid w:val="0078587E"/>
    <w:rsid w:val="0078595F"/>
    <w:rsid w:val="00785F8D"/>
    <w:rsid w:val="00786501"/>
    <w:rsid w:val="00790499"/>
    <w:rsid w:val="007928DA"/>
    <w:rsid w:val="00795940"/>
    <w:rsid w:val="00795E01"/>
    <w:rsid w:val="00796E7A"/>
    <w:rsid w:val="007977A5"/>
    <w:rsid w:val="007A13D7"/>
    <w:rsid w:val="007A17C8"/>
    <w:rsid w:val="007A18EB"/>
    <w:rsid w:val="007A2423"/>
    <w:rsid w:val="007A2EC7"/>
    <w:rsid w:val="007A2F70"/>
    <w:rsid w:val="007A3293"/>
    <w:rsid w:val="007A3478"/>
    <w:rsid w:val="007A4240"/>
    <w:rsid w:val="007A4980"/>
    <w:rsid w:val="007A57A6"/>
    <w:rsid w:val="007A7F31"/>
    <w:rsid w:val="007B19A1"/>
    <w:rsid w:val="007B19FE"/>
    <w:rsid w:val="007B1B6A"/>
    <w:rsid w:val="007B2769"/>
    <w:rsid w:val="007B3C72"/>
    <w:rsid w:val="007B430B"/>
    <w:rsid w:val="007B4826"/>
    <w:rsid w:val="007B4C00"/>
    <w:rsid w:val="007B5867"/>
    <w:rsid w:val="007B6279"/>
    <w:rsid w:val="007B6C22"/>
    <w:rsid w:val="007C10AC"/>
    <w:rsid w:val="007C16AB"/>
    <w:rsid w:val="007C3334"/>
    <w:rsid w:val="007C50F6"/>
    <w:rsid w:val="007C52BB"/>
    <w:rsid w:val="007C5476"/>
    <w:rsid w:val="007C58E8"/>
    <w:rsid w:val="007C7402"/>
    <w:rsid w:val="007C757E"/>
    <w:rsid w:val="007C798F"/>
    <w:rsid w:val="007C7B95"/>
    <w:rsid w:val="007D0207"/>
    <w:rsid w:val="007D0309"/>
    <w:rsid w:val="007D0545"/>
    <w:rsid w:val="007D06CB"/>
    <w:rsid w:val="007D2B98"/>
    <w:rsid w:val="007D2FEE"/>
    <w:rsid w:val="007D3E9B"/>
    <w:rsid w:val="007D4C93"/>
    <w:rsid w:val="007D4FA5"/>
    <w:rsid w:val="007D69AC"/>
    <w:rsid w:val="007E13CE"/>
    <w:rsid w:val="007E1856"/>
    <w:rsid w:val="007E42C4"/>
    <w:rsid w:val="007E5338"/>
    <w:rsid w:val="007E6DAC"/>
    <w:rsid w:val="007F05E6"/>
    <w:rsid w:val="007F074A"/>
    <w:rsid w:val="007F410D"/>
    <w:rsid w:val="007F42BF"/>
    <w:rsid w:val="007F4A54"/>
    <w:rsid w:val="007F4B82"/>
    <w:rsid w:val="007F4F2C"/>
    <w:rsid w:val="007F4FE2"/>
    <w:rsid w:val="00800983"/>
    <w:rsid w:val="00800E57"/>
    <w:rsid w:val="00801B96"/>
    <w:rsid w:val="00803F1C"/>
    <w:rsid w:val="0080600E"/>
    <w:rsid w:val="0081181A"/>
    <w:rsid w:val="00812EAF"/>
    <w:rsid w:val="00817612"/>
    <w:rsid w:val="00817D2F"/>
    <w:rsid w:val="00820D73"/>
    <w:rsid w:val="008215C0"/>
    <w:rsid w:val="00823A91"/>
    <w:rsid w:val="00825B7F"/>
    <w:rsid w:val="00827DB7"/>
    <w:rsid w:val="00830E88"/>
    <w:rsid w:val="00835F5A"/>
    <w:rsid w:val="0083716D"/>
    <w:rsid w:val="008373B6"/>
    <w:rsid w:val="00837C45"/>
    <w:rsid w:val="008414A3"/>
    <w:rsid w:val="008426FE"/>
    <w:rsid w:val="00845C1A"/>
    <w:rsid w:val="00846865"/>
    <w:rsid w:val="008472FB"/>
    <w:rsid w:val="00847A8B"/>
    <w:rsid w:val="00847B26"/>
    <w:rsid w:val="008509CC"/>
    <w:rsid w:val="00853419"/>
    <w:rsid w:val="00854FE3"/>
    <w:rsid w:val="008560E1"/>
    <w:rsid w:val="00860233"/>
    <w:rsid w:val="0086147D"/>
    <w:rsid w:val="00861972"/>
    <w:rsid w:val="00861EC2"/>
    <w:rsid w:val="008628FD"/>
    <w:rsid w:val="00864785"/>
    <w:rsid w:val="00865368"/>
    <w:rsid w:val="00865C9B"/>
    <w:rsid w:val="00866D7E"/>
    <w:rsid w:val="008678EF"/>
    <w:rsid w:val="0087014C"/>
    <w:rsid w:val="00871372"/>
    <w:rsid w:val="00871EBE"/>
    <w:rsid w:val="008741A2"/>
    <w:rsid w:val="00874BEE"/>
    <w:rsid w:val="00875ABB"/>
    <w:rsid w:val="00875EC6"/>
    <w:rsid w:val="00876085"/>
    <w:rsid w:val="00877E1B"/>
    <w:rsid w:val="00880B21"/>
    <w:rsid w:val="00880F95"/>
    <w:rsid w:val="00882952"/>
    <w:rsid w:val="00883EA4"/>
    <w:rsid w:val="00884270"/>
    <w:rsid w:val="008869BA"/>
    <w:rsid w:val="00887B7D"/>
    <w:rsid w:val="008903D5"/>
    <w:rsid w:val="0089156D"/>
    <w:rsid w:val="008917C2"/>
    <w:rsid w:val="00893E24"/>
    <w:rsid w:val="00893E44"/>
    <w:rsid w:val="008945B4"/>
    <w:rsid w:val="0089514B"/>
    <w:rsid w:val="008969D3"/>
    <w:rsid w:val="008971D8"/>
    <w:rsid w:val="00897E12"/>
    <w:rsid w:val="008A065A"/>
    <w:rsid w:val="008A1C4B"/>
    <w:rsid w:val="008A3434"/>
    <w:rsid w:val="008A36FA"/>
    <w:rsid w:val="008A4FAC"/>
    <w:rsid w:val="008A5A80"/>
    <w:rsid w:val="008A5BF4"/>
    <w:rsid w:val="008A67CF"/>
    <w:rsid w:val="008A6DA2"/>
    <w:rsid w:val="008A7F97"/>
    <w:rsid w:val="008A7FC7"/>
    <w:rsid w:val="008B0EE7"/>
    <w:rsid w:val="008B14CB"/>
    <w:rsid w:val="008B24D5"/>
    <w:rsid w:val="008B25FC"/>
    <w:rsid w:val="008B2DA9"/>
    <w:rsid w:val="008B3466"/>
    <w:rsid w:val="008B44C5"/>
    <w:rsid w:val="008B5124"/>
    <w:rsid w:val="008C00EE"/>
    <w:rsid w:val="008C2789"/>
    <w:rsid w:val="008C2DF6"/>
    <w:rsid w:val="008C606A"/>
    <w:rsid w:val="008C6FC4"/>
    <w:rsid w:val="008D0556"/>
    <w:rsid w:val="008D307A"/>
    <w:rsid w:val="008D43BA"/>
    <w:rsid w:val="008D6249"/>
    <w:rsid w:val="008D7317"/>
    <w:rsid w:val="008D7DF4"/>
    <w:rsid w:val="008E10AE"/>
    <w:rsid w:val="008E3759"/>
    <w:rsid w:val="008E53E4"/>
    <w:rsid w:val="008E71E6"/>
    <w:rsid w:val="008F298E"/>
    <w:rsid w:val="008F2A35"/>
    <w:rsid w:val="008F2A73"/>
    <w:rsid w:val="008F2E03"/>
    <w:rsid w:val="008F2E1C"/>
    <w:rsid w:val="008F3BF9"/>
    <w:rsid w:val="008F3E4A"/>
    <w:rsid w:val="008F4101"/>
    <w:rsid w:val="008F4522"/>
    <w:rsid w:val="008F49E6"/>
    <w:rsid w:val="008F559D"/>
    <w:rsid w:val="008F7B4C"/>
    <w:rsid w:val="008F7F3F"/>
    <w:rsid w:val="009041DC"/>
    <w:rsid w:val="009047EE"/>
    <w:rsid w:val="00904B4B"/>
    <w:rsid w:val="0090668D"/>
    <w:rsid w:val="009104B4"/>
    <w:rsid w:val="00912171"/>
    <w:rsid w:val="00912642"/>
    <w:rsid w:val="00915CDE"/>
    <w:rsid w:val="00915FDE"/>
    <w:rsid w:val="0091677E"/>
    <w:rsid w:val="0091728F"/>
    <w:rsid w:val="0091789D"/>
    <w:rsid w:val="00921023"/>
    <w:rsid w:val="00922A9F"/>
    <w:rsid w:val="00923920"/>
    <w:rsid w:val="00924F0A"/>
    <w:rsid w:val="00925FCD"/>
    <w:rsid w:val="00927B0B"/>
    <w:rsid w:val="0093035E"/>
    <w:rsid w:val="00930ED0"/>
    <w:rsid w:val="009322FE"/>
    <w:rsid w:val="0093441A"/>
    <w:rsid w:val="00934829"/>
    <w:rsid w:val="009356F2"/>
    <w:rsid w:val="00935735"/>
    <w:rsid w:val="009359E3"/>
    <w:rsid w:val="00935A29"/>
    <w:rsid w:val="00936C4F"/>
    <w:rsid w:val="009412E0"/>
    <w:rsid w:val="0094199B"/>
    <w:rsid w:val="00942AA6"/>
    <w:rsid w:val="00942BBC"/>
    <w:rsid w:val="009435DC"/>
    <w:rsid w:val="0094702E"/>
    <w:rsid w:val="00950D77"/>
    <w:rsid w:val="00951A16"/>
    <w:rsid w:val="00952CAA"/>
    <w:rsid w:val="0095466D"/>
    <w:rsid w:val="00954BF7"/>
    <w:rsid w:val="00955093"/>
    <w:rsid w:val="009554F0"/>
    <w:rsid w:val="00955EA3"/>
    <w:rsid w:val="0095641C"/>
    <w:rsid w:val="00957A32"/>
    <w:rsid w:val="00960555"/>
    <w:rsid w:val="00963233"/>
    <w:rsid w:val="009653A0"/>
    <w:rsid w:val="00965F42"/>
    <w:rsid w:val="009668D9"/>
    <w:rsid w:val="009668E5"/>
    <w:rsid w:val="0096706E"/>
    <w:rsid w:val="00967ECF"/>
    <w:rsid w:val="009714F6"/>
    <w:rsid w:val="009724C3"/>
    <w:rsid w:val="00973675"/>
    <w:rsid w:val="00973E1D"/>
    <w:rsid w:val="009753D7"/>
    <w:rsid w:val="00976D6B"/>
    <w:rsid w:val="00980D5E"/>
    <w:rsid w:val="00981FBA"/>
    <w:rsid w:val="00982E24"/>
    <w:rsid w:val="00983AF6"/>
    <w:rsid w:val="009843A2"/>
    <w:rsid w:val="00986129"/>
    <w:rsid w:val="00986662"/>
    <w:rsid w:val="00986AEE"/>
    <w:rsid w:val="009879D3"/>
    <w:rsid w:val="009937A7"/>
    <w:rsid w:val="00994ECF"/>
    <w:rsid w:val="009967AF"/>
    <w:rsid w:val="0099714E"/>
    <w:rsid w:val="00997E99"/>
    <w:rsid w:val="009A03E7"/>
    <w:rsid w:val="009A0816"/>
    <w:rsid w:val="009A0B09"/>
    <w:rsid w:val="009A0F04"/>
    <w:rsid w:val="009A1A5D"/>
    <w:rsid w:val="009A1D2A"/>
    <w:rsid w:val="009A28FA"/>
    <w:rsid w:val="009A6130"/>
    <w:rsid w:val="009B07BE"/>
    <w:rsid w:val="009B1206"/>
    <w:rsid w:val="009B1525"/>
    <w:rsid w:val="009B26C8"/>
    <w:rsid w:val="009B2F9E"/>
    <w:rsid w:val="009B351F"/>
    <w:rsid w:val="009B381B"/>
    <w:rsid w:val="009B5129"/>
    <w:rsid w:val="009B541A"/>
    <w:rsid w:val="009B61B2"/>
    <w:rsid w:val="009B74A4"/>
    <w:rsid w:val="009C1615"/>
    <w:rsid w:val="009C1691"/>
    <w:rsid w:val="009C1877"/>
    <w:rsid w:val="009C1D8B"/>
    <w:rsid w:val="009C2F9F"/>
    <w:rsid w:val="009C458A"/>
    <w:rsid w:val="009C4893"/>
    <w:rsid w:val="009D0946"/>
    <w:rsid w:val="009D0DEE"/>
    <w:rsid w:val="009D15C7"/>
    <w:rsid w:val="009D16D3"/>
    <w:rsid w:val="009D2342"/>
    <w:rsid w:val="009D280B"/>
    <w:rsid w:val="009D3728"/>
    <w:rsid w:val="009D561E"/>
    <w:rsid w:val="009D6116"/>
    <w:rsid w:val="009D7611"/>
    <w:rsid w:val="009E27A9"/>
    <w:rsid w:val="009E3488"/>
    <w:rsid w:val="009E3ABD"/>
    <w:rsid w:val="009E3C23"/>
    <w:rsid w:val="009E4906"/>
    <w:rsid w:val="009E53DE"/>
    <w:rsid w:val="009E6FD9"/>
    <w:rsid w:val="009F114F"/>
    <w:rsid w:val="009F1ED5"/>
    <w:rsid w:val="009F24AF"/>
    <w:rsid w:val="009F297A"/>
    <w:rsid w:val="009F2CC4"/>
    <w:rsid w:val="009F7113"/>
    <w:rsid w:val="009F76DF"/>
    <w:rsid w:val="009F76E5"/>
    <w:rsid w:val="00A014DA"/>
    <w:rsid w:val="00A03579"/>
    <w:rsid w:val="00A03B6C"/>
    <w:rsid w:val="00A03DA5"/>
    <w:rsid w:val="00A05C64"/>
    <w:rsid w:val="00A06FEB"/>
    <w:rsid w:val="00A10246"/>
    <w:rsid w:val="00A10450"/>
    <w:rsid w:val="00A10C01"/>
    <w:rsid w:val="00A12250"/>
    <w:rsid w:val="00A13A94"/>
    <w:rsid w:val="00A14D37"/>
    <w:rsid w:val="00A15A9B"/>
    <w:rsid w:val="00A15C9A"/>
    <w:rsid w:val="00A163A4"/>
    <w:rsid w:val="00A1688B"/>
    <w:rsid w:val="00A17625"/>
    <w:rsid w:val="00A17E82"/>
    <w:rsid w:val="00A2015A"/>
    <w:rsid w:val="00A20B65"/>
    <w:rsid w:val="00A20F5F"/>
    <w:rsid w:val="00A22B7B"/>
    <w:rsid w:val="00A23924"/>
    <w:rsid w:val="00A24331"/>
    <w:rsid w:val="00A2456A"/>
    <w:rsid w:val="00A31451"/>
    <w:rsid w:val="00A31CB0"/>
    <w:rsid w:val="00A32D38"/>
    <w:rsid w:val="00A34273"/>
    <w:rsid w:val="00A36168"/>
    <w:rsid w:val="00A36E16"/>
    <w:rsid w:val="00A3738C"/>
    <w:rsid w:val="00A37DA9"/>
    <w:rsid w:val="00A40463"/>
    <w:rsid w:val="00A40CED"/>
    <w:rsid w:val="00A43458"/>
    <w:rsid w:val="00A438C4"/>
    <w:rsid w:val="00A438F6"/>
    <w:rsid w:val="00A444C4"/>
    <w:rsid w:val="00A445B3"/>
    <w:rsid w:val="00A447CD"/>
    <w:rsid w:val="00A47174"/>
    <w:rsid w:val="00A50201"/>
    <w:rsid w:val="00A5028C"/>
    <w:rsid w:val="00A52375"/>
    <w:rsid w:val="00A5251F"/>
    <w:rsid w:val="00A527E1"/>
    <w:rsid w:val="00A528D1"/>
    <w:rsid w:val="00A53D23"/>
    <w:rsid w:val="00A542D1"/>
    <w:rsid w:val="00A54E22"/>
    <w:rsid w:val="00A55776"/>
    <w:rsid w:val="00A60093"/>
    <w:rsid w:val="00A6269C"/>
    <w:rsid w:val="00A6287A"/>
    <w:rsid w:val="00A63958"/>
    <w:rsid w:val="00A64DA8"/>
    <w:rsid w:val="00A64EE8"/>
    <w:rsid w:val="00A64F5F"/>
    <w:rsid w:val="00A650D1"/>
    <w:rsid w:val="00A669C6"/>
    <w:rsid w:val="00A66BE5"/>
    <w:rsid w:val="00A70FA6"/>
    <w:rsid w:val="00A7605D"/>
    <w:rsid w:val="00A774E2"/>
    <w:rsid w:val="00A80C1E"/>
    <w:rsid w:val="00A81D28"/>
    <w:rsid w:val="00A8335C"/>
    <w:rsid w:val="00A83588"/>
    <w:rsid w:val="00A84A45"/>
    <w:rsid w:val="00A84B01"/>
    <w:rsid w:val="00A871CA"/>
    <w:rsid w:val="00A87FF5"/>
    <w:rsid w:val="00A91C87"/>
    <w:rsid w:val="00A91F89"/>
    <w:rsid w:val="00A92714"/>
    <w:rsid w:val="00A92DCA"/>
    <w:rsid w:val="00A947C6"/>
    <w:rsid w:val="00A978E7"/>
    <w:rsid w:val="00A97CDE"/>
    <w:rsid w:val="00AA23D3"/>
    <w:rsid w:val="00AA33AF"/>
    <w:rsid w:val="00AA4746"/>
    <w:rsid w:val="00AA5C88"/>
    <w:rsid w:val="00AA7A2C"/>
    <w:rsid w:val="00AB097B"/>
    <w:rsid w:val="00AB3118"/>
    <w:rsid w:val="00AB3712"/>
    <w:rsid w:val="00AB55B8"/>
    <w:rsid w:val="00AB6166"/>
    <w:rsid w:val="00AB712B"/>
    <w:rsid w:val="00AC0531"/>
    <w:rsid w:val="00AC388E"/>
    <w:rsid w:val="00AC4106"/>
    <w:rsid w:val="00AC4E50"/>
    <w:rsid w:val="00AC6AE6"/>
    <w:rsid w:val="00AC7F4D"/>
    <w:rsid w:val="00AD1E27"/>
    <w:rsid w:val="00AD29F5"/>
    <w:rsid w:val="00AD34D9"/>
    <w:rsid w:val="00AD37C1"/>
    <w:rsid w:val="00AD38E9"/>
    <w:rsid w:val="00AD4435"/>
    <w:rsid w:val="00AD452E"/>
    <w:rsid w:val="00AD4A7C"/>
    <w:rsid w:val="00AD4CD7"/>
    <w:rsid w:val="00AD4E05"/>
    <w:rsid w:val="00AD5EB5"/>
    <w:rsid w:val="00AD7A33"/>
    <w:rsid w:val="00AE15A9"/>
    <w:rsid w:val="00AE1F0C"/>
    <w:rsid w:val="00AE4C43"/>
    <w:rsid w:val="00AE6271"/>
    <w:rsid w:val="00AE66EC"/>
    <w:rsid w:val="00AE6AE5"/>
    <w:rsid w:val="00AE6F91"/>
    <w:rsid w:val="00AF0440"/>
    <w:rsid w:val="00AF2782"/>
    <w:rsid w:val="00AF3344"/>
    <w:rsid w:val="00AF5571"/>
    <w:rsid w:val="00AF79FA"/>
    <w:rsid w:val="00B016BF"/>
    <w:rsid w:val="00B016EF"/>
    <w:rsid w:val="00B033E8"/>
    <w:rsid w:val="00B0667E"/>
    <w:rsid w:val="00B06BF4"/>
    <w:rsid w:val="00B124E6"/>
    <w:rsid w:val="00B14837"/>
    <w:rsid w:val="00B160A4"/>
    <w:rsid w:val="00B167E9"/>
    <w:rsid w:val="00B16FF4"/>
    <w:rsid w:val="00B1724A"/>
    <w:rsid w:val="00B207F5"/>
    <w:rsid w:val="00B20B83"/>
    <w:rsid w:val="00B21064"/>
    <w:rsid w:val="00B21BC5"/>
    <w:rsid w:val="00B22C40"/>
    <w:rsid w:val="00B27127"/>
    <w:rsid w:val="00B2728E"/>
    <w:rsid w:val="00B30278"/>
    <w:rsid w:val="00B314DB"/>
    <w:rsid w:val="00B316A7"/>
    <w:rsid w:val="00B31EBE"/>
    <w:rsid w:val="00B34D82"/>
    <w:rsid w:val="00B3718B"/>
    <w:rsid w:val="00B37C3B"/>
    <w:rsid w:val="00B41AAC"/>
    <w:rsid w:val="00B424CD"/>
    <w:rsid w:val="00B42ABC"/>
    <w:rsid w:val="00B432D6"/>
    <w:rsid w:val="00B44F4C"/>
    <w:rsid w:val="00B45BE7"/>
    <w:rsid w:val="00B46033"/>
    <w:rsid w:val="00B46313"/>
    <w:rsid w:val="00B4632A"/>
    <w:rsid w:val="00B478B1"/>
    <w:rsid w:val="00B5149E"/>
    <w:rsid w:val="00B515A8"/>
    <w:rsid w:val="00B55E95"/>
    <w:rsid w:val="00B574EE"/>
    <w:rsid w:val="00B575D6"/>
    <w:rsid w:val="00B62894"/>
    <w:rsid w:val="00B62BC0"/>
    <w:rsid w:val="00B63572"/>
    <w:rsid w:val="00B63577"/>
    <w:rsid w:val="00B673F4"/>
    <w:rsid w:val="00B70462"/>
    <w:rsid w:val="00B72E00"/>
    <w:rsid w:val="00B74DAF"/>
    <w:rsid w:val="00B75D57"/>
    <w:rsid w:val="00B765F1"/>
    <w:rsid w:val="00B76BE8"/>
    <w:rsid w:val="00B77B09"/>
    <w:rsid w:val="00B801CB"/>
    <w:rsid w:val="00B85B6B"/>
    <w:rsid w:val="00B8646F"/>
    <w:rsid w:val="00B86577"/>
    <w:rsid w:val="00B8664E"/>
    <w:rsid w:val="00B868A4"/>
    <w:rsid w:val="00B8786D"/>
    <w:rsid w:val="00B90178"/>
    <w:rsid w:val="00B920B7"/>
    <w:rsid w:val="00B926B1"/>
    <w:rsid w:val="00B92DC9"/>
    <w:rsid w:val="00B933E4"/>
    <w:rsid w:val="00BA0E3E"/>
    <w:rsid w:val="00BA11D2"/>
    <w:rsid w:val="00BA198F"/>
    <w:rsid w:val="00BA1D41"/>
    <w:rsid w:val="00BA276C"/>
    <w:rsid w:val="00BA3133"/>
    <w:rsid w:val="00BA31DF"/>
    <w:rsid w:val="00BA6F39"/>
    <w:rsid w:val="00BA6FFA"/>
    <w:rsid w:val="00BA7984"/>
    <w:rsid w:val="00BB285D"/>
    <w:rsid w:val="00BB3066"/>
    <w:rsid w:val="00BB306F"/>
    <w:rsid w:val="00BB3466"/>
    <w:rsid w:val="00BB356D"/>
    <w:rsid w:val="00BB36D4"/>
    <w:rsid w:val="00BB521F"/>
    <w:rsid w:val="00BB53AD"/>
    <w:rsid w:val="00BB5A59"/>
    <w:rsid w:val="00BB6D96"/>
    <w:rsid w:val="00BB78FE"/>
    <w:rsid w:val="00BB7AB0"/>
    <w:rsid w:val="00BB7B0A"/>
    <w:rsid w:val="00BB7C52"/>
    <w:rsid w:val="00BC04F8"/>
    <w:rsid w:val="00BC2154"/>
    <w:rsid w:val="00BC243A"/>
    <w:rsid w:val="00BC35EB"/>
    <w:rsid w:val="00BC397C"/>
    <w:rsid w:val="00BC68ED"/>
    <w:rsid w:val="00BC6FB1"/>
    <w:rsid w:val="00BC73B5"/>
    <w:rsid w:val="00BD10AC"/>
    <w:rsid w:val="00BD232B"/>
    <w:rsid w:val="00BD2C5B"/>
    <w:rsid w:val="00BD3469"/>
    <w:rsid w:val="00BD393F"/>
    <w:rsid w:val="00BD4B89"/>
    <w:rsid w:val="00BD5B66"/>
    <w:rsid w:val="00BD7F14"/>
    <w:rsid w:val="00BE0098"/>
    <w:rsid w:val="00BE014C"/>
    <w:rsid w:val="00BE118B"/>
    <w:rsid w:val="00BE1438"/>
    <w:rsid w:val="00BE201A"/>
    <w:rsid w:val="00BE35D9"/>
    <w:rsid w:val="00BE36D7"/>
    <w:rsid w:val="00BE4872"/>
    <w:rsid w:val="00BE60A3"/>
    <w:rsid w:val="00BE6182"/>
    <w:rsid w:val="00BE6B74"/>
    <w:rsid w:val="00BE7E23"/>
    <w:rsid w:val="00BF0063"/>
    <w:rsid w:val="00BF08CB"/>
    <w:rsid w:val="00BF1F10"/>
    <w:rsid w:val="00BF2523"/>
    <w:rsid w:val="00BF2939"/>
    <w:rsid w:val="00BF4865"/>
    <w:rsid w:val="00BF4871"/>
    <w:rsid w:val="00BF4AF7"/>
    <w:rsid w:val="00BF5AAB"/>
    <w:rsid w:val="00C0028D"/>
    <w:rsid w:val="00C01451"/>
    <w:rsid w:val="00C03059"/>
    <w:rsid w:val="00C03A29"/>
    <w:rsid w:val="00C04473"/>
    <w:rsid w:val="00C070BA"/>
    <w:rsid w:val="00C07884"/>
    <w:rsid w:val="00C101BC"/>
    <w:rsid w:val="00C14557"/>
    <w:rsid w:val="00C14701"/>
    <w:rsid w:val="00C14CE0"/>
    <w:rsid w:val="00C1525C"/>
    <w:rsid w:val="00C16D95"/>
    <w:rsid w:val="00C2142B"/>
    <w:rsid w:val="00C21762"/>
    <w:rsid w:val="00C23BA8"/>
    <w:rsid w:val="00C24049"/>
    <w:rsid w:val="00C24543"/>
    <w:rsid w:val="00C256A2"/>
    <w:rsid w:val="00C31770"/>
    <w:rsid w:val="00C3238A"/>
    <w:rsid w:val="00C32A61"/>
    <w:rsid w:val="00C338B0"/>
    <w:rsid w:val="00C33EB0"/>
    <w:rsid w:val="00C3492D"/>
    <w:rsid w:val="00C34F68"/>
    <w:rsid w:val="00C3629F"/>
    <w:rsid w:val="00C36E35"/>
    <w:rsid w:val="00C4068A"/>
    <w:rsid w:val="00C41AB9"/>
    <w:rsid w:val="00C423E4"/>
    <w:rsid w:val="00C43FC7"/>
    <w:rsid w:val="00C443E8"/>
    <w:rsid w:val="00C44886"/>
    <w:rsid w:val="00C45555"/>
    <w:rsid w:val="00C45976"/>
    <w:rsid w:val="00C4696E"/>
    <w:rsid w:val="00C46A80"/>
    <w:rsid w:val="00C4716E"/>
    <w:rsid w:val="00C47791"/>
    <w:rsid w:val="00C4793D"/>
    <w:rsid w:val="00C47E39"/>
    <w:rsid w:val="00C506EB"/>
    <w:rsid w:val="00C50C1E"/>
    <w:rsid w:val="00C53F60"/>
    <w:rsid w:val="00C546AB"/>
    <w:rsid w:val="00C548FA"/>
    <w:rsid w:val="00C55378"/>
    <w:rsid w:val="00C55560"/>
    <w:rsid w:val="00C60644"/>
    <w:rsid w:val="00C62393"/>
    <w:rsid w:val="00C669C1"/>
    <w:rsid w:val="00C66B72"/>
    <w:rsid w:val="00C674CD"/>
    <w:rsid w:val="00C67F18"/>
    <w:rsid w:val="00C714BB"/>
    <w:rsid w:val="00C7275B"/>
    <w:rsid w:val="00C7281A"/>
    <w:rsid w:val="00C74AAA"/>
    <w:rsid w:val="00C74C37"/>
    <w:rsid w:val="00C7526E"/>
    <w:rsid w:val="00C75A4F"/>
    <w:rsid w:val="00C75E68"/>
    <w:rsid w:val="00C76135"/>
    <w:rsid w:val="00C768EA"/>
    <w:rsid w:val="00C77013"/>
    <w:rsid w:val="00C77F47"/>
    <w:rsid w:val="00C81339"/>
    <w:rsid w:val="00C81FBE"/>
    <w:rsid w:val="00C82B0B"/>
    <w:rsid w:val="00C84B0E"/>
    <w:rsid w:val="00C84E16"/>
    <w:rsid w:val="00C850FD"/>
    <w:rsid w:val="00C85897"/>
    <w:rsid w:val="00C85CF6"/>
    <w:rsid w:val="00C85DDE"/>
    <w:rsid w:val="00C86C06"/>
    <w:rsid w:val="00C8737F"/>
    <w:rsid w:val="00C92CF7"/>
    <w:rsid w:val="00C949E2"/>
    <w:rsid w:val="00C94BF5"/>
    <w:rsid w:val="00C9567A"/>
    <w:rsid w:val="00C957E5"/>
    <w:rsid w:val="00C95BF6"/>
    <w:rsid w:val="00C9670F"/>
    <w:rsid w:val="00C96AF3"/>
    <w:rsid w:val="00C96BFF"/>
    <w:rsid w:val="00CA249C"/>
    <w:rsid w:val="00CA28C5"/>
    <w:rsid w:val="00CA44E8"/>
    <w:rsid w:val="00CA61E3"/>
    <w:rsid w:val="00CA65F1"/>
    <w:rsid w:val="00CA6E49"/>
    <w:rsid w:val="00CB13BC"/>
    <w:rsid w:val="00CB17C1"/>
    <w:rsid w:val="00CB2422"/>
    <w:rsid w:val="00CB2660"/>
    <w:rsid w:val="00CB2A1A"/>
    <w:rsid w:val="00CB3827"/>
    <w:rsid w:val="00CB3A1A"/>
    <w:rsid w:val="00CB712B"/>
    <w:rsid w:val="00CB7A42"/>
    <w:rsid w:val="00CC30E5"/>
    <w:rsid w:val="00CC5E13"/>
    <w:rsid w:val="00CC5E90"/>
    <w:rsid w:val="00CC6C8B"/>
    <w:rsid w:val="00CD046C"/>
    <w:rsid w:val="00CD36BA"/>
    <w:rsid w:val="00CD6BCF"/>
    <w:rsid w:val="00CE1390"/>
    <w:rsid w:val="00CE4868"/>
    <w:rsid w:val="00CE4999"/>
    <w:rsid w:val="00CE5199"/>
    <w:rsid w:val="00CE66D5"/>
    <w:rsid w:val="00CF2824"/>
    <w:rsid w:val="00CF3EBB"/>
    <w:rsid w:val="00CF4138"/>
    <w:rsid w:val="00CF5539"/>
    <w:rsid w:val="00D02E9F"/>
    <w:rsid w:val="00D03633"/>
    <w:rsid w:val="00D03C39"/>
    <w:rsid w:val="00D04674"/>
    <w:rsid w:val="00D05066"/>
    <w:rsid w:val="00D07439"/>
    <w:rsid w:val="00D0799B"/>
    <w:rsid w:val="00D07A1B"/>
    <w:rsid w:val="00D11349"/>
    <w:rsid w:val="00D1169D"/>
    <w:rsid w:val="00D11888"/>
    <w:rsid w:val="00D12D6C"/>
    <w:rsid w:val="00D14582"/>
    <w:rsid w:val="00D14B21"/>
    <w:rsid w:val="00D16299"/>
    <w:rsid w:val="00D16C41"/>
    <w:rsid w:val="00D20D54"/>
    <w:rsid w:val="00D211D9"/>
    <w:rsid w:val="00D2131F"/>
    <w:rsid w:val="00D21D95"/>
    <w:rsid w:val="00D21DA2"/>
    <w:rsid w:val="00D2250C"/>
    <w:rsid w:val="00D2345D"/>
    <w:rsid w:val="00D23785"/>
    <w:rsid w:val="00D24043"/>
    <w:rsid w:val="00D24291"/>
    <w:rsid w:val="00D2456B"/>
    <w:rsid w:val="00D25889"/>
    <w:rsid w:val="00D25C75"/>
    <w:rsid w:val="00D27FBF"/>
    <w:rsid w:val="00D30E6F"/>
    <w:rsid w:val="00D31A13"/>
    <w:rsid w:val="00D32D94"/>
    <w:rsid w:val="00D340AA"/>
    <w:rsid w:val="00D34786"/>
    <w:rsid w:val="00D35609"/>
    <w:rsid w:val="00D36696"/>
    <w:rsid w:val="00D36A2C"/>
    <w:rsid w:val="00D37539"/>
    <w:rsid w:val="00D4040F"/>
    <w:rsid w:val="00D40A1E"/>
    <w:rsid w:val="00D41308"/>
    <w:rsid w:val="00D42BAB"/>
    <w:rsid w:val="00D43C78"/>
    <w:rsid w:val="00D44A80"/>
    <w:rsid w:val="00D44B04"/>
    <w:rsid w:val="00D44BDF"/>
    <w:rsid w:val="00D45150"/>
    <w:rsid w:val="00D45500"/>
    <w:rsid w:val="00D46CDC"/>
    <w:rsid w:val="00D47631"/>
    <w:rsid w:val="00D47E97"/>
    <w:rsid w:val="00D5025B"/>
    <w:rsid w:val="00D50AFF"/>
    <w:rsid w:val="00D512DC"/>
    <w:rsid w:val="00D52B5B"/>
    <w:rsid w:val="00D537DA"/>
    <w:rsid w:val="00D53F3D"/>
    <w:rsid w:val="00D558C4"/>
    <w:rsid w:val="00D55D01"/>
    <w:rsid w:val="00D568A0"/>
    <w:rsid w:val="00D57019"/>
    <w:rsid w:val="00D57833"/>
    <w:rsid w:val="00D606DF"/>
    <w:rsid w:val="00D6092C"/>
    <w:rsid w:val="00D61163"/>
    <w:rsid w:val="00D6144B"/>
    <w:rsid w:val="00D62BD0"/>
    <w:rsid w:val="00D63033"/>
    <w:rsid w:val="00D63233"/>
    <w:rsid w:val="00D65E4F"/>
    <w:rsid w:val="00D6603B"/>
    <w:rsid w:val="00D677D5"/>
    <w:rsid w:val="00D712D3"/>
    <w:rsid w:val="00D71422"/>
    <w:rsid w:val="00D7145E"/>
    <w:rsid w:val="00D72985"/>
    <w:rsid w:val="00D73376"/>
    <w:rsid w:val="00D73E27"/>
    <w:rsid w:val="00D74A1F"/>
    <w:rsid w:val="00D74C93"/>
    <w:rsid w:val="00D74F68"/>
    <w:rsid w:val="00D7558D"/>
    <w:rsid w:val="00D75654"/>
    <w:rsid w:val="00D76232"/>
    <w:rsid w:val="00D7649A"/>
    <w:rsid w:val="00D76B45"/>
    <w:rsid w:val="00D80440"/>
    <w:rsid w:val="00D811FF"/>
    <w:rsid w:val="00D81D92"/>
    <w:rsid w:val="00D826A0"/>
    <w:rsid w:val="00D82EA8"/>
    <w:rsid w:val="00D838BE"/>
    <w:rsid w:val="00D83DD3"/>
    <w:rsid w:val="00D83FFE"/>
    <w:rsid w:val="00D86569"/>
    <w:rsid w:val="00D87416"/>
    <w:rsid w:val="00D8763F"/>
    <w:rsid w:val="00D9040B"/>
    <w:rsid w:val="00D9087A"/>
    <w:rsid w:val="00D915AB"/>
    <w:rsid w:val="00D91B1E"/>
    <w:rsid w:val="00D93446"/>
    <w:rsid w:val="00D9382D"/>
    <w:rsid w:val="00D94D1C"/>
    <w:rsid w:val="00D9539C"/>
    <w:rsid w:val="00D95402"/>
    <w:rsid w:val="00D96245"/>
    <w:rsid w:val="00D978E5"/>
    <w:rsid w:val="00DA08CD"/>
    <w:rsid w:val="00DA1520"/>
    <w:rsid w:val="00DA2A7C"/>
    <w:rsid w:val="00DA3005"/>
    <w:rsid w:val="00DA300A"/>
    <w:rsid w:val="00DA4E4E"/>
    <w:rsid w:val="00DA5ECF"/>
    <w:rsid w:val="00DA6AB3"/>
    <w:rsid w:val="00DA7151"/>
    <w:rsid w:val="00DA77AA"/>
    <w:rsid w:val="00DA7B5F"/>
    <w:rsid w:val="00DB18A8"/>
    <w:rsid w:val="00DB3050"/>
    <w:rsid w:val="00DB30EC"/>
    <w:rsid w:val="00DB3374"/>
    <w:rsid w:val="00DB4A1E"/>
    <w:rsid w:val="00DB4D80"/>
    <w:rsid w:val="00DB5C3C"/>
    <w:rsid w:val="00DC07A4"/>
    <w:rsid w:val="00DC174D"/>
    <w:rsid w:val="00DC28C0"/>
    <w:rsid w:val="00DC2FF2"/>
    <w:rsid w:val="00DC3121"/>
    <w:rsid w:val="00DC6D2C"/>
    <w:rsid w:val="00DC7597"/>
    <w:rsid w:val="00DC78FC"/>
    <w:rsid w:val="00DD045E"/>
    <w:rsid w:val="00DD1E65"/>
    <w:rsid w:val="00DD2BE4"/>
    <w:rsid w:val="00DD2C54"/>
    <w:rsid w:val="00DD6DEF"/>
    <w:rsid w:val="00DD6F04"/>
    <w:rsid w:val="00DD759E"/>
    <w:rsid w:val="00DE0266"/>
    <w:rsid w:val="00DE26A2"/>
    <w:rsid w:val="00DE735D"/>
    <w:rsid w:val="00DE7417"/>
    <w:rsid w:val="00DE783D"/>
    <w:rsid w:val="00DE7D2E"/>
    <w:rsid w:val="00DF1DF9"/>
    <w:rsid w:val="00DF2FE0"/>
    <w:rsid w:val="00DF4BDE"/>
    <w:rsid w:val="00E01B40"/>
    <w:rsid w:val="00E067A6"/>
    <w:rsid w:val="00E06DDE"/>
    <w:rsid w:val="00E0702F"/>
    <w:rsid w:val="00E0734B"/>
    <w:rsid w:val="00E0740A"/>
    <w:rsid w:val="00E11392"/>
    <w:rsid w:val="00E1451D"/>
    <w:rsid w:val="00E1542D"/>
    <w:rsid w:val="00E15FBA"/>
    <w:rsid w:val="00E16F9D"/>
    <w:rsid w:val="00E17683"/>
    <w:rsid w:val="00E2121C"/>
    <w:rsid w:val="00E22278"/>
    <w:rsid w:val="00E2284A"/>
    <w:rsid w:val="00E230FD"/>
    <w:rsid w:val="00E2398E"/>
    <w:rsid w:val="00E25A41"/>
    <w:rsid w:val="00E2673A"/>
    <w:rsid w:val="00E26FCD"/>
    <w:rsid w:val="00E27AA4"/>
    <w:rsid w:val="00E30281"/>
    <w:rsid w:val="00E3317B"/>
    <w:rsid w:val="00E33E64"/>
    <w:rsid w:val="00E3622A"/>
    <w:rsid w:val="00E364C4"/>
    <w:rsid w:val="00E3757F"/>
    <w:rsid w:val="00E42C74"/>
    <w:rsid w:val="00E43157"/>
    <w:rsid w:val="00E43212"/>
    <w:rsid w:val="00E4390D"/>
    <w:rsid w:val="00E43C54"/>
    <w:rsid w:val="00E43C96"/>
    <w:rsid w:val="00E45D29"/>
    <w:rsid w:val="00E46307"/>
    <w:rsid w:val="00E4781D"/>
    <w:rsid w:val="00E50136"/>
    <w:rsid w:val="00E51B3B"/>
    <w:rsid w:val="00E533FF"/>
    <w:rsid w:val="00E53E5E"/>
    <w:rsid w:val="00E54EF8"/>
    <w:rsid w:val="00E56477"/>
    <w:rsid w:val="00E57833"/>
    <w:rsid w:val="00E57B6B"/>
    <w:rsid w:val="00E57ECF"/>
    <w:rsid w:val="00E608CA"/>
    <w:rsid w:val="00E61067"/>
    <w:rsid w:val="00E61DC3"/>
    <w:rsid w:val="00E61FC3"/>
    <w:rsid w:val="00E62965"/>
    <w:rsid w:val="00E6356C"/>
    <w:rsid w:val="00E6364D"/>
    <w:rsid w:val="00E63B98"/>
    <w:rsid w:val="00E64645"/>
    <w:rsid w:val="00E64AF6"/>
    <w:rsid w:val="00E64E6F"/>
    <w:rsid w:val="00E654A2"/>
    <w:rsid w:val="00E65CB4"/>
    <w:rsid w:val="00E709B3"/>
    <w:rsid w:val="00E70B54"/>
    <w:rsid w:val="00E7126F"/>
    <w:rsid w:val="00E71E57"/>
    <w:rsid w:val="00E71FD7"/>
    <w:rsid w:val="00E74123"/>
    <w:rsid w:val="00E74177"/>
    <w:rsid w:val="00E753FA"/>
    <w:rsid w:val="00E7739E"/>
    <w:rsid w:val="00E774E4"/>
    <w:rsid w:val="00E80E83"/>
    <w:rsid w:val="00E81771"/>
    <w:rsid w:val="00E81A3E"/>
    <w:rsid w:val="00E82F32"/>
    <w:rsid w:val="00E830CC"/>
    <w:rsid w:val="00E86ABD"/>
    <w:rsid w:val="00E86E84"/>
    <w:rsid w:val="00E86EAF"/>
    <w:rsid w:val="00E87515"/>
    <w:rsid w:val="00E8789F"/>
    <w:rsid w:val="00E908CF"/>
    <w:rsid w:val="00E919BD"/>
    <w:rsid w:val="00E91BE2"/>
    <w:rsid w:val="00E920D0"/>
    <w:rsid w:val="00E92993"/>
    <w:rsid w:val="00E9316D"/>
    <w:rsid w:val="00E93BDB"/>
    <w:rsid w:val="00E94203"/>
    <w:rsid w:val="00E94D19"/>
    <w:rsid w:val="00E96942"/>
    <w:rsid w:val="00E978C5"/>
    <w:rsid w:val="00E97B71"/>
    <w:rsid w:val="00EA01E7"/>
    <w:rsid w:val="00EA077D"/>
    <w:rsid w:val="00EA1283"/>
    <w:rsid w:val="00EA26BA"/>
    <w:rsid w:val="00EA5A04"/>
    <w:rsid w:val="00EA5FE2"/>
    <w:rsid w:val="00EA603E"/>
    <w:rsid w:val="00EA6A6E"/>
    <w:rsid w:val="00EA70E0"/>
    <w:rsid w:val="00EB24D7"/>
    <w:rsid w:val="00EB454D"/>
    <w:rsid w:val="00EB454F"/>
    <w:rsid w:val="00EB4B7E"/>
    <w:rsid w:val="00EB51DC"/>
    <w:rsid w:val="00EB55C1"/>
    <w:rsid w:val="00EB6170"/>
    <w:rsid w:val="00EB62D9"/>
    <w:rsid w:val="00EB6B06"/>
    <w:rsid w:val="00EB7F0A"/>
    <w:rsid w:val="00EC0BA4"/>
    <w:rsid w:val="00EC112E"/>
    <w:rsid w:val="00EC20C2"/>
    <w:rsid w:val="00EC2AAD"/>
    <w:rsid w:val="00EC31F9"/>
    <w:rsid w:val="00EC5570"/>
    <w:rsid w:val="00EC68B2"/>
    <w:rsid w:val="00EC74EB"/>
    <w:rsid w:val="00ED0E31"/>
    <w:rsid w:val="00ED1405"/>
    <w:rsid w:val="00ED147C"/>
    <w:rsid w:val="00ED18FD"/>
    <w:rsid w:val="00ED2D1D"/>
    <w:rsid w:val="00ED3A8E"/>
    <w:rsid w:val="00ED3AB2"/>
    <w:rsid w:val="00ED56AB"/>
    <w:rsid w:val="00ED5BE1"/>
    <w:rsid w:val="00EE04C1"/>
    <w:rsid w:val="00EE0BA9"/>
    <w:rsid w:val="00EE0D3E"/>
    <w:rsid w:val="00EE140F"/>
    <w:rsid w:val="00EE3522"/>
    <w:rsid w:val="00EE36D7"/>
    <w:rsid w:val="00EE39AD"/>
    <w:rsid w:val="00EE4E4B"/>
    <w:rsid w:val="00EE5C5E"/>
    <w:rsid w:val="00EE5E58"/>
    <w:rsid w:val="00EF2493"/>
    <w:rsid w:val="00EF36AC"/>
    <w:rsid w:val="00EF4EC3"/>
    <w:rsid w:val="00EF5AA9"/>
    <w:rsid w:val="00EF619B"/>
    <w:rsid w:val="00EF6972"/>
    <w:rsid w:val="00EF7231"/>
    <w:rsid w:val="00F005EE"/>
    <w:rsid w:val="00F00B55"/>
    <w:rsid w:val="00F059CF"/>
    <w:rsid w:val="00F06961"/>
    <w:rsid w:val="00F1005F"/>
    <w:rsid w:val="00F11242"/>
    <w:rsid w:val="00F1380F"/>
    <w:rsid w:val="00F14F0E"/>
    <w:rsid w:val="00F14F98"/>
    <w:rsid w:val="00F15799"/>
    <w:rsid w:val="00F15B6A"/>
    <w:rsid w:val="00F16AD4"/>
    <w:rsid w:val="00F1763D"/>
    <w:rsid w:val="00F20236"/>
    <w:rsid w:val="00F2059E"/>
    <w:rsid w:val="00F20D2B"/>
    <w:rsid w:val="00F21553"/>
    <w:rsid w:val="00F2328B"/>
    <w:rsid w:val="00F24C29"/>
    <w:rsid w:val="00F253CC"/>
    <w:rsid w:val="00F25C31"/>
    <w:rsid w:val="00F267BE"/>
    <w:rsid w:val="00F27458"/>
    <w:rsid w:val="00F277DB"/>
    <w:rsid w:val="00F27CD8"/>
    <w:rsid w:val="00F31814"/>
    <w:rsid w:val="00F34265"/>
    <w:rsid w:val="00F35C2A"/>
    <w:rsid w:val="00F35E2A"/>
    <w:rsid w:val="00F36D40"/>
    <w:rsid w:val="00F36F27"/>
    <w:rsid w:val="00F37481"/>
    <w:rsid w:val="00F37F99"/>
    <w:rsid w:val="00F40B92"/>
    <w:rsid w:val="00F40F09"/>
    <w:rsid w:val="00F427E6"/>
    <w:rsid w:val="00F434F9"/>
    <w:rsid w:val="00F438CD"/>
    <w:rsid w:val="00F441B9"/>
    <w:rsid w:val="00F45EBF"/>
    <w:rsid w:val="00F46498"/>
    <w:rsid w:val="00F503B5"/>
    <w:rsid w:val="00F545AC"/>
    <w:rsid w:val="00F548A6"/>
    <w:rsid w:val="00F5497B"/>
    <w:rsid w:val="00F55507"/>
    <w:rsid w:val="00F55F3B"/>
    <w:rsid w:val="00F5694D"/>
    <w:rsid w:val="00F56A40"/>
    <w:rsid w:val="00F56BA5"/>
    <w:rsid w:val="00F56BE1"/>
    <w:rsid w:val="00F56D59"/>
    <w:rsid w:val="00F57538"/>
    <w:rsid w:val="00F6022A"/>
    <w:rsid w:val="00F60E01"/>
    <w:rsid w:val="00F61379"/>
    <w:rsid w:val="00F6160F"/>
    <w:rsid w:val="00F61BE4"/>
    <w:rsid w:val="00F6255A"/>
    <w:rsid w:val="00F62C42"/>
    <w:rsid w:val="00F637BF"/>
    <w:rsid w:val="00F644E6"/>
    <w:rsid w:val="00F6589A"/>
    <w:rsid w:val="00F66BDC"/>
    <w:rsid w:val="00F71643"/>
    <w:rsid w:val="00F71DA5"/>
    <w:rsid w:val="00F71F53"/>
    <w:rsid w:val="00F725D1"/>
    <w:rsid w:val="00F737D9"/>
    <w:rsid w:val="00F7392C"/>
    <w:rsid w:val="00F746CA"/>
    <w:rsid w:val="00F74B0B"/>
    <w:rsid w:val="00F769C7"/>
    <w:rsid w:val="00F77995"/>
    <w:rsid w:val="00F77BFA"/>
    <w:rsid w:val="00F820EF"/>
    <w:rsid w:val="00F82683"/>
    <w:rsid w:val="00F83D11"/>
    <w:rsid w:val="00F857F6"/>
    <w:rsid w:val="00F87A9A"/>
    <w:rsid w:val="00F916AC"/>
    <w:rsid w:val="00F92CA1"/>
    <w:rsid w:val="00F93826"/>
    <w:rsid w:val="00F9653B"/>
    <w:rsid w:val="00F97B89"/>
    <w:rsid w:val="00F97D53"/>
    <w:rsid w:val="00FA081A"/>
    <w:rsid w:val="00FA1759"/>
    <w:rsid w:val="00FA1ADA"/>
    <w:rsid w:val="00FA2245"/>
    <w:rsid w:val="00FA2C02"/>
    <w:rsid w:val="00FA2C1D"/>
    <w:rsid w:val="00FA359A"/>
    <w:rsid w:val="00FA3BDF"/>
    <w:rsid w:val="00FA63CD"/>
    <w:rsid w:val="00FA7982"/>
    <w:rsid w:val="00FA7CCD"/>
    <w:rsid w:val="00FB0F94"/>
    <w:rsid w:val="00FB1A16"/>
    <w:rsid w:val="00FB1A3C"/>
    <w:rsid w:val="00FB2597"/>
    <w:rsid w:val="00FB4EE9"/>
    <w:rsid w:val="00FB62CF"/>
    <w:rsid w:val="00FC052E"/>
    <w:rsid w:val="00FC084F"/>
    <w:rsid w:val="00FC1E3D"/>
    <w:rsid w:val="00FC3262"/>
    <w:rsid w:val="00FC3283"/>
    <w:rsid w:val="00FC3EB4"/>
    <w:rsid w:val="00FC544A"/>
    <w:rsid w:val="00FC6C58"/>
    <w:rsid w:val="00FC78B0"/>
    <w:rsid w:val="00FD013A"/>
    <w:rsid w:val="00FD279F"/>
    <w:rsid w:val="00FD3BD1"/>
    <w:rsid w:val="00FD5518"/>
    <w:rsid w:val="00FD635E"/>
    <w:rsid w:val="00FD71F0"/>
    <w:rsid w:val="00FD746F"/>
    <w:rsid w:val="00FE09CA"/>
    <w:rsid w:val="00FE144F"/>
    <w:rsid w:val="00FE157F"/>
    <w:rsid w:val="00FE1EAD"/>
    <w:rsid w:val="00FE21AB"/>
    <w:rsid w:val="00FE3CEC"/>
    <w:rsid w:val="00FE40DE"/>
    <w:rsid w:val="00FE6B45"/>
    <w:rsid w:val="00FE6B58"/>
    <w:rsid w:val="00FE6EBC"/>
    <w:rsid w:val="00FF05BC"/>
    <w:rsid w:val="00FF1B5F"/>
    <w:rsid w:val="00FF1C1C"/>
    <w:rsid w:val="00FF379A"/>
    <w:rsid w:val="00FF3FB7"/>
    <w:rsid w:val="00FF4B22"/>
    <w:rsid w:val="00FF572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D9D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ind w:left="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64785"/>
    <w:pPr>
      <w:tabs>
        <w:tab w:val="left" w:pos="1440"/>
        <w:tab w:val="right" w:leader="dot" w:pos="9350"/>
      </w:tabs>
      <w:spacing w:after="100"/>
      <w:ind w:left="1440" w:hanging="360"/>
    </w:pPr>
  </w:style>
  <w:style w:type="paragraph" w:styleId="TOC1">
    <w:name w:val="toc 1"/>
    <w:basedOn w:val="Normal"/>
    <w:next w:val="Normal"/>
    <w:autoRedefine/>
    <w:uiPriority w:val="39"/>
    <w:unhideWhenUsed/>
    <w:rsid w:val="00BF2939"/>
    <w:pPr>
      <w:tabs>
        <w:tab w:val="left" w:pos="1440"/>
        <w:tab w:val="right" w:leader="dot" w:pos="9350"/>
      </w:tabs>
      <w:spacing w:after="100"/>
      <w:ind w:left="720"/>
    </w:pPr>
    <w:rPr>
      <w:rFonts w:asciiTheme="majorHAnsi" w:hAnsiTheme="majorHAnsi"/>
      <w:noProof/>
      <w:sz w:val="20"/>
      <w:szCs w:val="20"/>
      <w:lang w:val="es-ES_tradnl"/>
    </w:rPr>
  </w:style>
  <w:style w:type="paragraph" w:styleId="TOC3">
    <w:name w:val="toc 3"/>
    <w:basedOn w:val="Normal"/>
    <w:next w:val="Normal"/>
    <w:autoRedefine/>
    <w:uiPriority w:val="39"/>
    <w:unhideWhenUsed/>
    <w:rsid w:val="00864785"/>
    <w:pPr>
      <w:tabs>
        <w:tab w:val="left" w:pos="880"/>
        <w:tab w:val="left" w:pos="180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uiPriority w:val="99"/>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7"/>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appellatecases.courtinfo.ca.gov/search/case/mainCaseScreen.cfm?dist=0&amp;doc_id=2133772&amp;doc_no=S232568&amp;request_token=NiIwLSIkXkg9W1BBSCM9UExIQDw0UDxTICI%2BUzxRMCAgCg%3D%3D" TargetMode="External"/><Relationship Id="rId1" Type="http://schemas.openxmlformats.org/officeDocument/2006/relationships/hyperlink" Target="http://appellatecases.courtinfo.ca.gov/search/case/dockets.cfm?dist=41&amp;doc_id=2108923&amp;doc_no=D068054&amp;request_token=NiIwLSIkXkg9W1BBSCM9WEJIUDg6UkxbJSBeRz9SMCAgCg%3D%3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36FE2-1A0C-F54D-8180-C851D9FF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9467</Words>
  <Characters>53965</Characters>
  <Application>Microsoft Office Word</Application>
  <DocSecurity>0</DocSecurity>
  <Lines>449</Lines>
  <Paragraphs>126</Paragraphs>
  <ScaleCrop>false</ScaleCrop>
  <Company/>
  <LinksUpToDate>false</LinksUpToDate>
  <CharactersWithSpaces>63306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2021-04-27T18:18:00Z</dcterms:created>
  <dcterms:modified xsi:type="dcterms:W3CDTF">2021-04-27T18:18:00Z</dcterms:modified>
</cp:coreProperties>
</file>