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47E1" w14:textId="77777777" w:rsidR="00040C3A" w:rsidRPr="00EE6FD2" w:rsidRDefault="006311DA" w:rsidP="00627C9F">
      <w:pPr>
        <w:jc w:val="both"/>
        <w:rPr>
          <w:rFonts w:asciiTheme="majorHAnsi" w:hAnsiTheme="majorHAnsi" w:cs="Univers"/>
          <w:b/>
          <w:bCs/>
          <w:sz w:val="22"/>
          <w:szCs w:val="22"/>
          <w:lang w:val="es-ES_tradnl"/>
        </w:rPr>
      </w:pPr>
      <w:r w:rsidRPr="00EE6FD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034DC66" wp14:editId="56F7FE4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2214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E6FD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2E21594" wp14:editId="36627B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58C9F" w14:textId="77777777" w:rsidR="00D67B2A" w:rsidRDefault="00D67B2A">
                            <w:r>
                              <w:rPr>
                                <w:noProof/>
                              </w:rPr>
                              <w:drawing>
                                <wp:inline distT="0" distB="0" distL="0" distR="0" wp14:anchorId="072F0F3B" wp14:editId="3368115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159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61258C9F" w14:textId="77777777" w:rsidR="00D67B2A" w:rsidRDefault="00D67B2A">
                      <w:r>
                        <w:rPr>
                          <w:noProof/>
                        </w:rPr>
                        <w:drawing>
                          <wp:inline distT="0" distB="0" distL="0" distR="0" wp14:anchorId="072F0F3B" wp14:editId="3368115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05C8D5A" w14:textId="77777777" w:rsidR="00040C3A" w:rsidRPr="00EE6FD2" w:rsidRDefault="00040C3A" w:rsidP="00040C3A">
      <w:pPr>
        <w:tabs>
          <w:tab w:val="center" w:pos="5400"/>
        </w:tabs>
        <w:suppressAutoHyphens/>
        <w:jc w:val="both"/>
        <w:rPr>
          <w:rFonts w:asciiTheme="majorHAnsi" w:hAnsiTheme="majorHAnsi"/>
          <w:sz w:val="22"/>
          <w:szCs w:val="22"/>
          <w:lang w:val="es-ES"/>
        </w:rPr>
      </w:pPr>
    </w:p>
    <w:p w14:paraId="29A7B766" w14:textId="77777777" w:rsidR="00040C3A" w:rsidRPr="00EE6FD2" w:rsidRDefault="00040C3A" w:rsidP="00040C3A">
      <w:pPr>
        <w:tabs>
          <w:tab w:val="center" w:pos="5400"/>
        </w:tabs>
        <w:suppressAutoHyphens/>
        <w:jc w:val="both"/>
        <w:rPr>
          <w:rFonts w:asciiTheme="majorHAnsi" w:hAnsiTheme="majorHAnsi"/>
          <w:sz w:val="22"/>
          <w:szCs w:val="22"/>
          <w:lang w:val="es-ES"/>
        </w:rPr>
      </w:pPr>
    </w:p>
    <w:p w14:paraId="223387B8" w14:textId="77777777" w:rsidR="005128E4" w:rsidRPr="00EE6FD2" w:rsidRDefault="005128E4" w:rsidP="00040C3A">
      <w:pPr>
        <w:tabs>
          <w:tab w:val="center" w:pos="5400"/>
        </w:tabs>
        <w:suppressAutoHyphens/>
        <w:rPr>
          <w:rFonts w:asciiTheme="majorHAnsi" w:hAnsiTheme="majorHAnsi"/>
          <w:sz w:val="22"/>
          <w:szCs w:val="22"/>
          <w:lang w:val="es-ES_tradnl"/>
        </w:rPr>
      </w:pPr>
    </w:p>
    <w:p w14:paraId="2DEA5225" w14:textId="77777777" w:rsidR="005128E4" w:rsidRPr="00EE6FD2" w:rsidRDefault="005128E4" w:rsidP="00040C3A">
      <w:pPr>
        <w:tabs>
          <w:tab w:val="center" w:pos="5400"/>
        </w:tabs>
        <w:suppressAutoHyphens/>
        <w:rPr>
          <w:rFonts w:asciiTheme="majorHAnsi" w:hAnsiTheme="majorHAnsi"/>
          <w:sz w:val="22"/>
          <w:szCs w:val="22"/>
          <w:lang w:val="es-ES_tradnl"/>
        </w:rPr>
      </w:pPr>
    </w:p>
    <w:p w14:paraId="115E270B" w14:textId="77777777" w:rsidR="005128E4" w:rsidRPr="00EE6FD2" w:rsidRDefault="005128E4" w:rsidP="00040C3A">
      <w:pPr>
        <w:tabs>
          <w:tab w:val="center" w:pos="5400"/>
        </w:tabs>
        <w:suppressAutoHyphens/>
        <w:rPr>
          <w:rFonts w:asciiTheme="majorHAnsi" w:hAnsiTheme="majorHAnsi"/>
          <w:sz w:val="22"/>
          <w:szCs w:val="22"/>
          <w:lang w:val="es-ES_tradnl"/>
        </w:rPr>
      </w:pPr>
    </w:p>
    <w:p w14:paraId="640C7D0D" w14:textId="77777777" w:rsidR="00040C3A" w:rsidRPr="00EE6FD2" w:rsidRDefault="00040C3A" w:rsidP="005128E4">
      <w:pPr>
        <w:tabs>
          <w:tab w:val="center" w:pos="5400"/>
        </w:tabs>
        <w:suppressAutoHyphens/>
        <w:jc w:val="center"/>
        <w:rPr>
          <w:rFonts w:asciiTheme="majorHAnsi" w:hAnsiTheme="majorHAnsi"/>
          <w:sz w:val="22"/>
          <w:szCs w:val="22"/>
          <w:lang w:val="es-ES_tradnl"/>
        </w:rPr>
      </w:pPr>
    </w:p>
    <w:p w14:paraId="4E26546E" w14:textId="77777777" w:rsidR="00040C3A" w:rsidRPr="00EE6FD2" w:rsidRDefault="00040C3A" w:rsidP="005128E4">
      <w:pPr>
        <w:tabs>
          <w:tab w:val="center" w:pos="5400"/>
        </w:tabs>
        <w:suppressAutoHyphens/>
        <w:jc w:val="center"/>
        <w:rPr>
          <w:rFonts w:asciiTheme="majorHAnsi" w:hAnsiTheme="majorHAnsi"/>
          <w:sz w:val="22"/>
          <w:szCs w:val="22"/>
          <w:lang w:val="es-ES_tradnl"/>
        </w:rPr>
      </w:pPr>
    </w:p>
    <w:p w14:paraId="2F81F1B4" w14:textId="77777777" w:rsidR="005B52B0" w:rsidRPr="00EE6FD2" w:rsidRDefault="005B52B0" w:rsidP="005128E4">
      <w:pPr>
        <w:tabs>
          <w:tab w:val="center" w:pos="5400"/>
        </w:tabs>
        <w:suppressAutoHyphens/>
        <w:jc w:val="center"/>
        <w:rPr>
          <w:rFonts w:asciiTheme="majorHAnsi" w:hAnsiTheme="majorHAnsi"/>
          <w:sz w:val="22"/>
          <w:szCs w:val="22"/>
          <w:lang w:val="es-ES_tradnl"/>
        </w:rPr>
      </w:pPr>
    </w:p>
    <w:p w14:paraId="272255E4" w14:textId="77777777" w:rsidR="005B52B0" w:rsidRPr="00EE6FD2" w:rsidRDefault="005B52B0" w:rsidP="005128E4">
      <w:pPr>
        <w:tabs>
          <w:tab w:val="center" w:pos="5400"/>
        </w:tabs>
        <w:suppressAutoHyphens/>
        <w:jc w:val="center"/>
        <w:rPr>
          <w:rFonts w:asciiTheme="majorHAnsi" w:hAnsiTheme="majorHAnsi"/>
          <w:sz w:val="22"/>
          <w:szCs w:val="22"/>
          <w:lang w:val="es-ES_tradnl"/>
        </w:rPr>
      </w:pPr>
    </w:p>
    <w:p w14:paraId="6B45DAF3" w14:textId="77777777" w:rsidR="005B52B0" w:rsidRPr="00EE6FD2" w:rsidRDefault="005B52B0" w:rsidP="005128E4">
      <w:pPr>
        <w:tabs>
          <w:tab w:val="center" w:pos="5400"/>
        </w:tabs>
        <w:suppressAutoHyphens/>
        <w:jc w:val="center"/>
        <w:rPr>
          <w:rFonts w:asciiTheme="majorHAnsi" w:hAnsiTheme="majorHAnsi"/>
          <w:sz w:val="22"/>
          <w:szCs w:val="22"/>
          <w:lang w:val="es-ES_tradnl"/>
        </w:rPr>
      </w:pPr>
    </w:p>
    <w:p w14:paraId="71ED9549"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4284F8D9"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024B62E5"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211D984D" w14:textId="77777777" w:rsidR="00040C3A" w:rsidRPr="00EE6FD2" w:rsidRDefault="00E533FF" w:rsidP="00040C3A">
      <w:pPr>
        <w:tabs>
          <w:tab w:val="center" w:pos="5400"/>
        </w:tabs>
        <w:suppressAutoHyphens/>
        <w:jc w:val="center"/>
        <w:rPr>
          <w:rFonts w:asciiTheme="majorHAnsi" w:hAnsiTheme="majorHAnsi"/>
          <w:sz w:val="22"/>
          <w:szCs w:val="22"/>
          <w:lang w:val="es-ES_tradnl"/>
        </w:rPr>
      </w:pPr>
      <w:r w:rsidRPr="00EE6FD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B39E10F" wp14:editId="767BEDB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CF43E" w14:textId="77777777" w:rsidR="00D67B2A" w:rsidRPr="004B7EB6" w:rsidRDefault="00D67B2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200/20</w:t>
                            </w:r>
                          </w:p>
                          <w:p w14:paraId="6662D7F2" w14:textId="77777777" w:rsidR="00D67B2A" w:rsidRPr="004B7EB6" w:rsidRDefault="00D67B2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356</w:t>
                            </w:r>
                          </w:p>
                          <w:p w14:paraId="79034E8E" w14:textId="77777777" w:rsidR="00D67B2A" w:rsidRPr="004B7EB6" w:rsidRDefault="00D67B2A" w:rsidP="001061F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0EE99028" w14:textId="77777777" w:rsidR="00D67B2A" w:rsidRPr="004B7EB6" w:rsidRDefault="00D67B2A" w:rsidP="004B7EB6">
                            <w:pPr>
                              <w:spacing w:line="276" w:lineRule="auto"/>
                              <w:rPr>
                                <w:rFonts w:asciiTheme="majorHAnsi" w:hAnsiTheme="majorHAnsi" w:cs="Arial"/>
                                <w:color w:val="0D0D0D" w:themeColor="text1" w:themeTint="F2"/>
                                <w:szCs w:val="22"/>
                              </w:rPr>
                            </w:pPr>
                          </w:p>
                          <w:p w14:paraId="314BF7AB" w14:textId="77777777" w:rsidR="00D67B2A" w:rsidRPr="004B7EB6" w:rsidRDefault="00D67B2A" w:rsidP="004B7EB6">
                            <w:pPr>
                              <w:spacing w:line="276" w:lineRule="auto"/>
                              <w:rPr>
                                <w:rFonts w:asciiTheme="majorHAnsi" w:hAnsiTheme="majorHAnsi" w:cs="Arial"/>
                                <w:color w:val="0D0D0D" w:themeColor="text1" w:themeTint="F2"/>
                                <w:szCs w:val="22"/>
                              </w:rPr>
                            </w:pPr>
                          </w:p>
                          <w:p w14:paraId="4A692A3F" w14:textId="77777777" w:rsidR="00D67B2A" w:rsidRPr="001061FC" w:rsidRDefault="00D67B2A" w:rsidP="004B7EB6">
                            <w:pPr>
                              <w:spacing w:line="276" w:lineRule="auto"/>
                              <w:rPr>
                                <w:rFonts w:asciiTheme="majorHAnsi" w:hAnsiTheme="majorHAnsi" w:cs="Arial"/>
                                <w:color w:val="0D0D0D" w:themeColor="text1" w:themeTint="F2"/>
                                <w:szCs w:val="22"/>
                              </w:rPr>
                            </w:pPr>
                            <w:r w:rsidRPr="001061FC">
                              <w:rPr>
                                <w:rFonts w:asciiTheme="majorHAnsi" w:hAnsiTheme="majorHAnsi" w:cs="Arial"/>
                                <w:color w:val="0D0D0D" w:themeColor="text1" w:themeTint="F2"/>
                                <w:szCs w:val="22"/>
                              </w:rPr>
                              <w:t>NELSON IVAN SERRANO SAENZ</w:t>
                            </w:r>
                          </w:p>
                          <w:p w14:paraId="3F868588" w14:textId="77777777" w:rsidR="00D67B2A" w:rsidRPr="001061FC" w:rsidRDefault="00D67B2A" w:rsidP="004B7EB6">
                            <w:pPr>
                              <w:spacing w:line="276" w:lineRule="auto"/>
                              <w:rPr>
                                <w:rFonts w:asciiTheme="majorHAnsi" w:hAnsiTheme="majorHAnsi"/>
                                <w:color w:val="0D0D0D" w:themeColor="text1" w:themeTint="F2"/>
                              </w:rPr>
                            </w:pPr>
                            <w:r w:rsidRPr="001061FC">
                              <w:rPr>
                                <w:rFonts w:asciiTheme="majorHAnsi" w:hAnsiTheme="majorHAnsi" w:cs="Arial"/>
                                <w:color w:val="0D0D0D" w:themeColor="text1" w:themeTint="F2"/>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E10F"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DECF43E" w14:textId="77777777" w:rsidR="00D67B2A" w:rsidRPr="004B7EB6" w:rsidRDefault="00D67B2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200/20</w:t>
                      </w:r>
                    </w:p>
                    <w:p w14:paraId="6662D7F2" w14:textId="77777777" w:rsidR="00D67B2A" w:rsidRPr="004B7EB6" w:rsidRDefault="00D67B2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356</w:t>
                      </w:r>
                    </w:p>
                    <w:p w14:paraId="79034E8E" w14:textId="77777777" w:rsidR="00D67B2A" w:rsidRPr="004B7EB6" w:rsidRDefault="00D67B2A" w:rsidP="001061F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0EE99028" w14:textId="77777777" w:rsidR="00D67B2A" w:rsidRPr="004B7EB6" w:rsidRDefault="00D67B2A" w:rsidP="004B7EB6">
                      <w:pPr>
                        <w:spacing w:line="276" w:lineRule="auto"/>
                        <w:rPr>
                          <w:rFonts w:asciiTheme="majorHAnsi" w:hAnsiTheme="majorHAnsi" w:cs="Arial"/>
                          <w:color w:val="0D0D0D" w:themeColor="text1" w:themeTint="F2"/>
                          <w:szCs w:val="22"/>
                        </w:rPr>
                      </w:pPr>
                    </w:p>
                    <w:p w14:paraId="314BF7AB" w14:textId="77777777" w:rsidR="00D67B2A" w:rsidRPr="004B7EB6" w:rsidRDefault="00D67B2A" w:rsidP="004B7EB6">
                      <w:pPr>
                        <w:spacing w:line="276" w:lineRule="auto"/>
                        <w:rPr>
                          <w:rFonts w:asciiTheme="majorHAnsi" w:hAnsiTheme="majorHAnsi" w:cs="Arial"/>
                          <w:color w:val="0D0D0D" w:themeColor="text1" w:themeTint="F2"/>
                          <w:szCs w:val="22"/>
                        </w:rPr>
                      </w:pPr>
                    </w:p>
                    <w:p w14:paraId="4A692A3F" w14:textId="77777777" w:rsidR="00D67B2A" w:rsidRPr="001061FC" w:rsidRDefault="00D67B2A" w:rsidP="004B7EB6">
                      <w:pPr>
                        <w:spacing w:line="276" w:lineRule="auto"/>
                        <w:rPr>
                          <w:rFonts w:asciiTheme="majorHAnsi" w:hAnsiTheme="majorHAnsi" w:cs="Arial"/>
                          <w:color w:val="0D0D0D" w:themeColor="text1" w:themeTint="F2"/>
                          <w:szCs w:val="22"/>
                        </w:rPr>
                      </w:pPr>
                      <w:r w:rsidRPr="001061FC">
                        <w:rPr>
                          <w:rFonts w:asciiTheme="majorHAnsi" w:hAnsiTheme="majorHAnsi" w:cs="Arial"/>
                          <w:color w:val="0D0D0D" w:themeColor="text1" w:themeTint="F2"/>
                          <w:szCs w:val="22"/>
                        </w:rPr>
                        <w:t>NELSON IVAN SERRANO SAENZ</w:t>
                      </w:r>
                    </w:p>
                    <w:p w14:paraId="3F868588" w14:textId="77777777" w:rsidR="00D67B2A" w:rsidRPr="001061FC" w:rsidRDefault="00D67B2A" w:rsidP="004B7EB6">
                      <w:pPr>
                        <w:spacing w:line="276" w:lineRule="auto"/>
                        <w:rPr>
                          <w:rFonts w:asciiTheme="majorHAnsi" w:hAnsiTheme="majorHAnsi"/>
                          <w:color w:val="0D0D0D" w:themeColor="text1" w:themeTint="F2"/>
                        </w:rPr>
                      </w:pPr>
                      <w:r w:rsidRPr="001061FC">
                        <w:rPr>
                          <w:rFonts w:asciiTheme="majorHAnsi" w:hAnsiTheme="majorHAnsi" w:cs="Arial"/>
                          <w:color w:val="0D0D0D" w:themeColor="text1" w:themeTint="F2"/>
                          <w:szCs w:val="22"/>
                        </w:rPr>
                        <w:t>UNITED STATES OF AMERICA</w:t>
                      </w:r>
                    </w:p>
                  </w:txbxContent>
                </v:textbox>
              </v:shape>
            </w:pict>
          </mc:Fallback>
        </mc:AlternateContent>
      </w:r>
      <w:r w:rsidR="004B7EB6" w:rsidRPr="00EE6FD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5C5E14" wp14:editId="7191E6D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CA769" w14:textId="77777777" w:rsidR="00D67B2A" w:rsidRPr="00571170" w:rsidRDefault="00D67B2A" w:rsidP="00F9031B">
                            <w:pPr>
                              <w:jc w:val="right"/>
                              <w:rPr>
                                <w:rFonts w:asciiTheme="minorHAnsi" w:hAnsiTheme="minorHAnsi"/>
                                <w:color w:val="FFFFFF" w:themeColor="background1"/>
                                <w:sz w:val="22"/>
                              </w:rPr>
                            </w:pPr>
                            <w:r w:rsidRPr="00571170">
                              <w:rPr>
                                <w:rFonts w:asciiTheme="minorHAnsi" w:hAnsiTheme="minorHAnsi"/>
                                <w:color w:val="FFFFFF" w:themeColor="background1"/>
                                <w:sz w:val="22"/>
                              </w:rPr>
                              <w:t>OEA/Ser.L/V/II</w:t>
                            </w:r>
                          </w:p>
                          <w:p w14:paraId="2A6F37C5" w14:textId="77777777" w:rsidR="00D67B2A" w:rsidRPr="00571170" w:rsidRDefault="00D67B2A" w:rsidP="002C1641">
                            <w:pPr>
                              <w:jc w:val="right"/>
                              <w:rPr>
                                <w:rFonts w:asciiTheme="minorHAnsi" w:hAnsiTheme="minorHAnsi"/>
                                <w:color w:val="FFFFFF" w:themeColor="background1"/>
                                <w:sz w:val="22"/>
                              </w:rPr>
                            </w:pPr>
                            <w:r w:rsidRPr="00571170">
                              <w:rPr>
                                <w:rFonts w:asciiTheme="minorHAnsi" w:hAnsiTheme="minorHAnsi"/>
                                <w:color w:val="FFFFFF" w:themeColor="background1"/>
                                <w:sz w:val="22"/>
                              </w:rPr>
                              <w:t>Doc. 214</w:t>
                            </w:r>
                          </w:p>
                          <w:p w14:paraId="07BB4521" w14:textId="77777777" w:rsidR="00D67B2A" w:rsidRPr="004B7EB6" w:rsidRDefault="00D67B2A"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3, 2020</w:t>
                            </w:r>
                          </w:p>
                          <w:p w14:paraId="3657BE2F" w14:textId="77777777" w:rsidR="00D67B2A" w:rsidRPr="004B7EB6" w:rsidRDefault="00D67B2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5E1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2BCA769" w14:textId="77777777" w:rsidR="00D67B2A" w:rsidRPr="00571170" w:rsidRDefault="00D67B2A" w:rsidP="00F9031B">
                      <w:pPr>
                        <w:jc w:val="right"/>
                        <w:rPr>
                          <w:rFonts w:asciiTheme="minorHAnsi" w:hAnsiTheme="minorHAnsi"/>
                          <w:color w:val="FFFFFF" w:themeColor="background1"/>
                          <w:sz w:val="22"/>
                        </w:rPr>
                      </w:pPr>
                      <w:r w:rsidRPr="00571170">
                        <w:rPr>
                          <w:rFonts w:asciiTheme="minorHAnsi" w:hAnsiTheme="minorHAnsi"/>
                          <w:color w:val="FFFFFF" w:themeColor="background1"/>
                          <w:sz w:val="22"/>
                        </w:rPr>
                        <w:t>OEA/Ser.L/V/II</w:t>
                      </w:r>
                    </w:p>
                    <w:p w14:paraId="2A6F37C5" w14:textId="77777777" w:rsidR="00D67B2A" w:rsidRPr="00571170" w:rsidRDefault="00D67B2A" w:rsidP="002C1641">
                      <w:pPr>
                        <w:jc w:val="right"/>
                        <w:rPr>
                          <w:rFonts w:asciiTheme="minorHAnsi" w:hAnsiTheme="minorHAnsi"/>
                          <w:color w:val="FFFFFF" w:themeColor="background1"/>
                          <w:sz w:val="22"/>
                        </w:rPr>
                      </w:pPr>
                      <w:r w:rsidRPr="00571170">
                        <w:rPr>
                          <w:rFonts w:asciiTheme="minorHAnsi" w:hAnsiTheme="minorHAnsi"/>
                          <w:color w:val="FFFFFF" w:themeColor="background1"/>
                          <w:sz w:val="22"/>
                        </w:rPr>
                        <w:t>Doc. 214</w:t>
                      </w:r>
                    </w:p>
                    <w:p w14:paraId="07BB4521" w14:textId="77777777" w:rsidR="00D67B2A" w:rsidRPr="004B7EB6" w:rsidRDefault="00D67B2A"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3, 2020</w:t>
                      </w:r>
                    </w:p>
                    <w:p w14:paraId="3657BE2F" w14:textId="77777777" w:rsidR="00D67B2A" w:rsidRPr="004B7EB6" w:rsidRDefault="00D67B2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076882CB"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4F6E4E6E" w14:textId="77777777" w:rsidR="00040C3A" w:rsidRPr="00EE6FD2" w:rsidRDefault="00040C3A" w:rsidP="00040C3A">
      <w:pPr>
        <w:tabs>
          <w:tab w:val="center" w:pos="5400"/>
        </w:tabs>
        <w:suppressAutoHyphens/>
        <w:jc w:val="center"/>
        <w:rPr>
          <w:rFonts w:asciiTheme="majorHAnsi" w:hAnsiTheme="majorHAnsi" w:cs="Arial"/>
          <w:sz w:val="22"/>
          <w:szCs w:val="22"/>
          <w:lang w:val="es-ES_tradnl"/>
        </w:rPr>
      </w:pPr>
    </w:p>
    <w:p w14:paraId="55C3C400"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52431F5F"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74176483"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4077F019"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5442C852" w14:textId="77777777" w:rsidR="005128E4" w:rsidRPr="00EE6FD2" w:rsidRDefault="005128E4" w:rsidP="00040C3A">
      <w:pPr>
        <w:tabs>
          <w:tab w:val="center" w:pos="5400"/>
        </w:tabs>
        <w:suppressAutoHyphens/>
        <w:jc w:val="center"/>
        <w:rPr>
          <w:rFonts w:asciiTheme="majorHAnsi" w:hAnsiTheme="majorHAnsi"/>
          <w:sz w:val="22"/>
          <w:szCs w:val="22"/>
          <w:lang w:val="es-ES_tradnl"/>
        </w:rPr>
      </w:pPr>
    </w:p>
    <w:p w14:paraId="210BD871"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5E7B3B0B" w14:textId="77777777" w:rsidR="005128E4" w:rsidRPr="00EE6FD2" w:rsidRDefault="005128E4" w:rsidP="00040C3A">
      <w:pPr>
        <w:tabs>
          <w:tab w:val="center" w:pos="5400"/>
        </w:tabs>
        <w:suppressAutoHyphens/>
        <w:jc w:val="center"/>
        <w:rPr>
          <w:rFonts w:asciiTheme="majorHAnsi" w:hAnsiTheme="majorHAnsi"/>
          <w:sz w:val="22"/>
          <w:szCs w:val="22"/>
          <w:lang w:val="es-ES_tradnl"/>
        </w:rPr>
      </w:pPr>
    </w:p>
    <w:p w14:paraId="38950697" w14:textId="77777777" w:rsidR="005128E4" w:rsidRPr="00EE6FD2" w:rsidRDefault="005128E4" w:rsidP="00040C3A">
      <w:pPr>
        <w:tabs>
          <w:tab w:val="center" w:pos="5400"/>
        </w:tabs>
        <w:suppressAutoHyphens/>
        <w:jc w:val="center"/>
        <w:rPr>
          <w:rFonts w:asciiTheme="majorHAnsi" w:hAnsiTheme="majorHAnsi"/>
          <w:sz w:val="22"/>
          <w:szCs w:val="22"/>
          <w:lang w:val="es-ES_tradnl"/>
        </w:rPr>
      </w:pPr>
    </w:p>
    <w:p w14:paraId="482A906B" w14:textId="77777777" w:rsidR="005128E4" w:rsidRPr="00EE6FD2" w:rsidRDefault="005128E4" w:rsidP="00040C3A">
      <w:pPr>
        <w:tabs>
          <w:tab w:val="center" w:pos="5400"/>
        </w:tabs>
        <w:suppressAutoHyphens/>
        <w:jc w:val="center"/>
        <w:rPr>
          <w:rFonts w:asciiTheme="majorHAnsi" w:hAnsiTheme="majorHAnsi"/>
          <w:sz w:val="22"/>
          <w:szCs w:val="22"/>
          <w:lang w:val="es-ES_tradnl"/>
        </w:rPr>
      </w:pPr>
    </w:p>
    <w:p w14:paraId="23F3303D"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438E660F" w14:textId="77777777" w:rsidR="00040C3A" w:rsidRPr="00EE6FD2" w:rsidRDefault="00040C3A" w:rsidP="00040C3A">
      <w:pPr>
        <w:tabs>
          <w:tab w:val="center" w:pos="5400"/>
        </w:tabs>
        <w:suppressAutoHyphens/>
        <w:jc w:val="center"/>
        <w:rPr>
          <w:rFonts w:asciiTheme="majorHAnsi" w:hAnsiTheme="majorHAnsi"/>
          <w:sz w:val="22"/>
          <w:szCs w:val="22"/>
          <w:lang w:val="es-ES_tradnl"/>
        </w:rPr>
      </w:pPr>
    </w:p>
    <w:p w14:paraId="48EE1561"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70B71276"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3A4C2C1C"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1744EFBD"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4AADD6AA"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0A1109A8"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4AAC39F6"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4C387A98"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2DC3E619"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4F5F0E7E"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0CBBE792"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1FAF7FD1"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2AC73C1C" w14:textId="77777777" w:rsidR="002C1641" w:rsidRPr="00EE6FD2" w:rsidRDefault="003C32BC" w:rsidP="00040C3A">
      <w:pPr>
        <w:tabs>
          <w:tab w:val="center" w:pos="5400"/>
        </w:tabs>
        <w:suppressAutoHyphens/>
        <w:jc w:val="center"/>
        <w:rPr>
          <w:rFonts w:asciiTheme="majorHAnsi" w:hAnsiTheme="majorHAnsi"/>
          <w:sz w:val="18"/>
          <w:szCs w:val="22"/>
          <w:lang w:val="es-ES_tradnl"/>
        </w:rPr>
      </w:pPr>
      <w:r w:rsidRPr="00EE6FD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5512A63" wp14:editId="15D3C3A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6460C" w14:textId="77777777" w:rsidR="00D67B2A" w:rsidRPr="003C32BC" w:rsidRDefault="00D67B2A" w:rsidP="00D67B2A">
                            <w:pPr>
                              <w:tabs>
                                <w:tab w:val="center" w:pos="5400"/>
                              </w:tabs>
                              <w:suppressAutoHyphens/>
                              <w:spacing w:before="60"/>
                              <w:rPr>
                                <w:rFonts w:asciiTheme="majorHAnsi" w:hAnsiTheme="majorHAnsi"/>
                                <w:color w:val="0D0D0D" w:themeColor="text1" w:themeTint="F2"/>
                                <w:sz w:val="18"/>
                                <w:szCs w:val="22"/>
                              </w:rPr>
                            </w:pPr>
                            <w:r>
                              <w:rPr>
                                <w:rFonts w:ascii="Cambria" w:hAnsi="Cambria"/>
                                <w:color w:val="0D0D0D"/>
                                <w:sz w:val="18"/>
                                <w:szCs w:val="20"/>
                                <w:bdr w:val="none" w:sz="0" w:space="0" w:color="auto" w:frame="1"/>
                              </w:rPr>
                              <w:t>Approved electronically by the Commissi</w:t>
                            </w:r>
                            <w:r w:rsidR="00FC14A3">
                              <w:rPr>
                                <w:rFonts w:ascii="Cambria" w:hAnsi="Cambria"/>
                                <w:color w:val="0D0D0D"/>
                                <w:sz w:val="18"/>
                                <w:szCs w:val="20"/>
                                <w:bdr w:val="none" w:sz="0" w:space="0" w:color="auto" w:frame="1"/>
                              </w:rPr>
                              <w:t>on on August 3</w:t>
                            </w:r>
                            <w:r>
                              <w:rPr>
                                <w:rFonts w:ascii="Cambria" w:hAnsi="Cambria"/>
                                <w:color w:val="0D0D0D"/>
                                <w:sz w:val="18"/>
                                <w:szCs w:val="20"/>
                                <w:bdr w:val="none" w:sz="0" w:space="0" w:color="auto" w:frame="1"/>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12A63"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1686460C" w14:textId="77777777" w:rsidR="00D67B2A" w:rsidRPr="003C32BC" w:rsidRDefault="00D67B2A" w:rsidP="00D67B2A">
                      <w:pPr>
                        <w:tabs>
                          <w:tab w:val="center" w:pos="5400"/>
                        </w:tabs>
                        <w:suppressAutoHyphens/>
                        <w:spacing w:before="60"/>
                        <w:rPr>
                          <w:rFonts w:asciiTheme="majorHAnsi" w:hAnsiTheme="majorHAnsi"/>
                          <w:color w:val="0D0D0D" w:themeColor="text1" w:themeTint="F2"/>
                          <w:sz w:val="18"/>
                          <w:szCs w:val="22"/>
                        </w:rPr>
                      </w:pPr>
                      <w:r>
                        <w:rPr>
                          <w:rFonts w:ascii="Cambria" w:hAnsi="Cambria"/>
                          <w:color w:val="0D0D0D"/>
                          <w:sz w:val="18"/>
                          <w:szCs w:val="20"/>
                          <w:bdr w:val="none" w:sz="0" w:space="0" w:color="auto" w:frame="1"/>
                        </w:rPr>
                        <w:t>Approved electronically by the Commissi</w:t>
                      </w:r>
                      <w:r w:rsidR="00FC14A3">
                        <w:rPr>
                          <w:rFonts w:ascii="Cambria" w:hAnsi="Cambria"/>
                          <w:color w:val="0D0D0D"/>
                          <w:sz w:val="18"/>
                          <w:szCs w:val="20"/>
                          <w:bdr w:val="none" w:sz="0" w:space="0" w:color="auto" w:frame="1"/>
                        </w:rPr>
                        <w:t>on on August 3</w:t>
                      </w:r>
                      <w:r>
                        <w:rPr>
                          <w:rFonts w:ascii="Cambria" w:hAnsi="Cambria"/>
                          <w:color w:val="0D0D0D"/>
                          <w:sz w:val="18"/>
                          <w:szCs w:val="20"/>
                          <w:bdr w:val="none" w:sz="0" w:space="0" w:color="auto" w:frame="1"/>
                        </w:rPr>
                        <w:t>, 2020</w:t>
                      </w:r>
                    </w:p>
                  </w:txbxContent>
                </v:textbox>
              </v:shape>
            </w:pict>
          </mc:Fallback>
        </mc:AlternateContent>
      </w:r>
    </w:p>
    <w:p w14:paraId="3859C714"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673719FD"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47ECE2F0"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65CAFDD5"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3778BCC1" w14:textId="77777777" w:rsidR="002C1641" w:rsidRPr="00EE6FD2" w:rsidRDefault="003C32BC" w:rsidP="00040C3A">
      <w:pPr>
        <w:tabs>
          <w:tab w:val="center" w:pos="5400"/>
        </w:tabs>
        <w:suppressAutoHyphens/>
        <w:jc w:val="center"/>
        <w:rPr>
          <w:rFonts w:asciiTheme="majorHAnsi" w:hAnsiTheme="majorHAnsi"/>
          <w:sz w:val="18"/>
          <w:szCs w:val="22"/>
          <w:lang w:val="es-ES_tradnl"/>
        </w:rPr>
      </w:pPr>
      <w:r w:rsidRPr="00EE6FD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058D2B" wp14:editId="0805B0F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0CDDC" w14:textId="77777777" w:rsidR="00D67B2A" w:rsidRPr="003C32BC" w:rsidRDefault="00D67B2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200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13.356.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and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Nelson Ivan Serrano Saenz</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sidR="00F42BCB">
                              <w:rPr>
                                <w:rFonts w:asciiTheme="majorHAnsi" w:hAnsiTheme="majorHAnsi"/>
                                <w:color w:val="595959" w:themeColor="text1" w:themeTint="A6"/>
                                <w:sz w:val="18"/>
                              </w:rPr>
                              <w:t>August 3</w:t>
                            </w:r>
                            <w:r>
                              <w:rPr>
                                <w:rFonts w:asciiTheme="majorHAnsi" w:hAnsiTheme="majorHAnsi"/>
                                <w:color w:val="595959" w:themeColor="text1" w:themeTint="A6"/>
                                <w:sz w:val="18"/>
                              </w:rPr>
                              <w:t>,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8D2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70CDDC" w14:textId="77777777" w:rsidR="00D67B2A" w:rsidRPr="003C32BC" w:rsidRDefault="00D67B2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200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13.356.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and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Nelson Ivan Serrano Saenz</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sidR="00F42BCB">
                        <w:rPr>
                          <w:rFonts w:asciiTheme="majorHAnsi" w:hAnsiTheme="majorHAnsi"/>
                          <w:color w:val="595959" w:themeColor="text1" w:themeTint="A6"/>
                          <w:sz w:val="18"/>
                        </w:rPr>
                        <w:t>August 3</w:t>
                      </w:r>
                      <w:r>
                        <w:rPr>
                          <w:rFonts w:asciiTheme="majorHAnsi" w:hAnsiTheme="majorHAnsi"/>
                          <w:color w:val="595959" w:themeColor="text1" w:themeTint="A6"/>
                          <w:sz w:val="18"/>
                        </w:rPr>
                        <w:t>, 2020</w:t>
                      </w:r>
                      <w:r w:rsidRPr="007607C4">
                        <w:rPr>
                          <w:rFonts w:asciiTheme="majorHAnsi" w:hAnsiTheme="majorHAnsi"/>
                          <w:color w:val="595959" w:themeColor="text1" w:themeTint="A6"/>
                          <w:sz w:val="18"/>
                        </w:rPr>
                        <w:t>.</w:t>
                      </w:r>
                    </w:p>
                  </w:txbxContent>
                </v:textbox>
              </v:shape>
            </w:pict>
          </mc:Fallback>
        </mc:AlternateContent>
      </w:r>
    </w:p>
    <w:p w14:paraId="2DEE12EE"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2158EDA2" w14:textId="77777777" w:rsidR="002C1641" w:rsidRPr="00EE6FD2" w:rsidRDefault="002C1641" w:rsidP="00040C3A">
      <w:pPr>
        <w:tabs>
          <w:tab w:val="center" w:pos="5400"/>
        </w:tabs>
        <w:suppressAutoHyphens/>
        <w:jc w:val="center"/>
        <w:rPr>
          <w:rFonts w:asciiTheme="majorHAnsi" w:hAnsiTheme="majorHAnsi"/>
          <w:sz w:val="18"/>
          <w:szCs w:val="22"/>
          <w:lang w:val="es-ES_tradnl"/>
        </w:rPr>
      </w:pPr>
    </w:p>
    <w:p w14:paraId="6BA12A07" w14:textId="77777777" w:rsidR="003C32BC" w:rsidRPr="00EE6FD2" w:rsidRDefault="003C32BC" w:rsidP="003C32BC">
      <w:pPr>
        <w:tabs>
          <w:tab w:val="center" w:pos="5400"/>
        </w:tabs>
        <w:suppressAutoHyphens/>
        <w:jc w:val="center"/>
        <w:rPr>
          <w:rFonts w:asciiTheme="majorHAnsi" w:hAnsiTheme="majorHAnsi"/>
          <w:sz w:val="18"/>
          <w:szCs w:val="22"/>
        </w:rPr>
      </w:pPr>
    </w:p>
    <w:p w14:paraId="20D64801" w14:textId="77777777" w:rsidR="003C32BC" w:rsidRPr="00EE6FD2" w:rsidRDefault="006311DA" w:rsidP="003C32BC">
      <w:pPr>
        <w:tabs>
          <w:tab w:val="center" w:pos="5400"/>
        </w:tabs>
        <w:suppressAutoHyphens/>
        <w:jc w:val="center"/>
        <w:rPr>
          <w:rFonts w:asciiTheme="majorHAnsi" w:hAnsiTheme="majorHAnsi"/>
          <w:sz w:val="18"/>
          <w:szCs w:val="22"/>
        </w:rPr>
      </w:pPr>
      <w:r w:rsidRPr="00EE6FD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D62E7CB" wp14:editId="36633E7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0D9C6" w14:textId="77777777" w:rsidR="00D67B2A" w:rsidRPr="004B7EB6" w:rsidRDefault="00D67B2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2E7C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D0D9C6" w14:textId="77777777" w:rsidR="00D67B2A" w:rsidRPr="004B7EB6" w:rsidRDefault="00D67B2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E6FD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85F843E" wp14:editId="2360F6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86271" w14:textId="77777777" w:rsidR="00D67B2A" w:rsidRDefault="00D67B2A">
                            <w:r>
                              <w:rPr>
                                <w:noProof/>
                              </w:rPr>
                              <w:drawing>
                                <wp:inline distT="0" distB="0" distL="0" distR="0" wp14:anchorId="3A6D23D2" wp14:editId="08040F8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843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2E86271" w14:textId="77777777" w:rsidR="00D67B2A" w:rsidRDefault="00D67B2A">
                      <w:r>
                        <w:rPr>
                          <w:noProof/>
                        </w:rPr>
                        <w:drawing>
                          <wp:inline distT="0" distB="0" distL="0" distR="0" wp14:anchorId="3A6D23D2" wp14:editId="08040F8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79512C6" w14:textId="77777777" w:rsidR="007607C4" w:rsidRPr="00EE6FD2" w:rsidRDefault="007607C4" w:rsidP="003C32BC">
      <w:pPr>
        <w:tabs>
          <w:tab w:val="center" w:pos="5400"/>
        </w:tabs>
        <w:suppressAutoHyphens/>
        <w:jc w:val="center"/>
        <w:rPr>
          <w:rFonts w:asciiTheme="majorHAnsi" w:hAnsiTheme="majorHAnsi"/>
          <w:sz w:val="18"/>
          <w:szCs w:val="22"/>
        </w:rPr>
        <w:sectPr w:rsidR="007607C4" w:rsidRPr="00EE6FD2"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CFE098E" w14:textId="77777777" w:rsidR="00FC3EB4" w:rsidRPr="00EE6FD2" w:rsidRDefault="00FC3EB4" w:rsidP="00FC3EB4">
      <w:pPr>
        <w:tabs>
          <w:tab w:val="center" w:pos="5400"/>
        </w:tabs>
        <w:suppressAutoHyphens/>
        <w:spacing w:line="276" w:lineRule="auto"/>
        <w:jc w:val="center"/>
        <w:rPr>
          <w:rFonts w:asciiTheme="majorHAnsi" w:hAnsiTheme="majorHAnsi"/>
          <w:b/>
          <w:sz w:val="20"/>
          <w:szCs w:val="20"/>
        </w:rPr>
      </w:pPr>
      <w:r w:rsidRPr="00EE6FD2">
        <w:rPr>
          <w:rFonts w:asciiTheme="majorHAnsi" w:hAnsiTheme="majorHAnsi"/>
          <w:b/>
          <w:sz w:val="20"/>
          <w:szCs w:val="20"/>
        </w:rPr>
        <w:lastRenderedPageBreak/>
        <w:t>INDEX</w:t>
      </w:r>
    </w:p>
    <w:sdt>
      <w:sdtPr>
        <w:rPr>
          <w:rFonts w:ascii="Times New Roman" w:eastAsia="Arial Unicode MS" w:hAnsi="Times New Roman" w:cs="Times New Roman"/>
          <w:b w:val="0"/>
          <w:bCs w:val="0"/>
          <w:color w:val="auto"/>
          <w:sz w:val="24"/>
          <w:szCs w:val="24"/>
          <w:bdr w:val="nil"/>
          <w:lang w:eastAsia="en-US"/>
        </w:rPr>
        <w:id w:val="-1131082457"/>
        <w:docPartObj>
          <w:docPartGallery w:val="Table of Contents"/>
          <w:docPartUnique/>
        </w:docPartObj>
      </w:sdtPr>
      <w:sdtEndPr>
        <w:rPr>
          <w:noProof/>
        </w:rPr>
      </w:sdtEndPr>
      <w:sdtContent>
        <w:p w14:paraId="08C134FA" w14:textId="77777777" w:rsidR="00BF4967" w:rsidRPr="00EE6FD2" w:rsidRDefault="00BF4967">
          <w:pPr>
            <w:pStyle w:val="TOCHeading"/>
            <w:rPr>
              <w:sz w:val="20"/>
              <w:szCs w:val="20"/>
            </w:rPr>
          </w:pPr>
        </w:p>
        <w:p w14:paraId="771A0A9F" w14:textId="3FA05D08" w:rsidR="000D2B54" w:rsidRPr="00D67B2A" w:rsidRDefault="00BF4967">
          <w:pPr>
            <w:pStyle w:val="TOC1"/>
            <w:rPr>
              <w:rFonts w:ascii="Cambria" w:eastAsiaTheme="minorEastAsia" w:hAnsi="Cambria" w:cstheme="minorBidi"/>
              <w:b w:val="0"/>
              <w:bdr w:val="none" w:sz="0" w:space="0" w:color="auto"/>
            </w:rPr>
          </w:pPr>
          <w:r w:rsidRPr="00D67B2A">
            <w:rPr>
              <w:noProof w:val="0"/>
            </w:rPr>
            <w:fldChar w:fldCharType="begin"/>
          </w:r>
          <w:r w:rsidRPr="00D67B2A">
            <w:instrText xml:space="preserve"> TOC \o "1-3" \h \z \u </w:instrText>
          </w:r>
          <w:r w:rsidRPr="00D67B2A">
            <w:rPr>
              <w:noProof w:val="0"/>
            </w:rPr>
            <w:fldChar w:fldCharType="separate"/>
          </w:r>
          <w:hyperlink w:anchor="_Toc41343315" w:history="1">
            <w:r w:rsidR="000D2B54" w:rsidRPr="00D67B2A">
              <w:rPr>
                <w:rStyle w:val="Hyperlink"/>
                <w:rFonts w:ascii="Cambria" w:hAnsi="Cambria"/>
              </w:rPr>
              <w:t>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SUMMARY</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_Toc41343315 \h </w:instrText>
            </w:r>
            <w:r w:rsidR="000D2B54" w:rsidRPr="00D67B2A">
              <w:rPr>
                <w:rFonts w:ascii="Cambria" w:hAnsi="Cambria"/>
                <w:webHidden/>
              </w:rPr>
            </w:r>
            <w:r w:rsidR="000D2B54" w:rsidRPr="00D67B2A">
              <w:rPr>
                <w:rFonts w:ascii="Cambria" w:hAnsi="Cambria"/>
                <w:webHidden/>
              </w:rPr>
              <w:fldChar w:fldCharType="separate"/>
            </w:r>
            <w:r w:rsidR="005A47F2">
              <w:rPr>
                <w:rFonts w:ascii="Cambria" w:hAnsi="Cambria"/>
                <w:webHidden/>
              </w:rPr>
              <w:t>2</w:t>
            </w:r>
            <w:r w:rsidR="000D2B54" w:rsidRPr="00D67B2A">
              <w:rPr>
                <w:rFonts w:ascii="Cambria" w:hAnsi="Cambria"/>
                <w:webHidden/>
              </w:rPr>
              <w:fldChar w:fldCharType="end"/>
            </w:r>
          </w:hyperlink>
        </w:p>
        <w:p w14:paraId="3D16719E" w14:textId="09DB775F" w:rsidR="000D2B54" w:rsidRPr="00D67B2A" w:rsidRDefault="005A47F2">
          <w:pPr>
            <w:pStyle w:val="TOC1"/>
            <w:rPr>
              <w:rFonts w:ascii="Cambria" w:eastAsiaTheme="minorEastAsia" w:hAnsi="Cambria" w:cstheme="minorBidi"/>
              <w:b w:val="0"/>
              <w:bdr w:val="none" w:sz="0" w:space="0" w:color="auto"/>
            </w:rPr>
          </w:pPr>
          <w:hyperlink w:anchor="_Toc41343316" w:history="1">
            <w:r w:rsidR="000D2B54" w:rsidRPr="00D67B2A">
              <w:rPr>
                <w:rStyle w:val="Hyperlink"/>
                <w:rFonts w:ascii="Cambria" w:hAnsi="Cambria"/>
              </w:rPr>
              <w:t>II.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POSITIONS OF THE PARTIES</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_Toc41343316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2</w:t>
            </w:r>
            <w:r w:rsidR="000D2B54" w:rsidRPr="00D67B2A">
              <w:rPr>
                <w:rFonts w:ascii="Cambria" w:hAnsi="Cambria"/>
                <w:webHidden/>
              </w:rPr>
              <w:fldChar w:fldCharType="end"/>
            </w:r>
          </w:hyperlink>
        </w:p>
        <w:p w14:paraId="21119DFB" w14:textId="02953E14" w:rsidR="000D2B54" w:rsidRPr="00D67B2A" w:rsidRDefault="005A47F2">
          <w:pPr>
            <w:pStyle w:val="TOC2"/>
            <w:rPr>
              <w:rFonts w:ascii="Cambria" w:eastAsiaTheme="minorEastAsia" w:hAnsi="Cambria" w:cstheme="minorBidi"/>
              <w:noProof/>
              <w:sz w:val="20"/>
              <w:szCs w:val="20"/>
              <w:bdr w:val="none" w:sz="0" w:space="0" w:color="auto"/>
            </w:rPr>
          </w:pPr>
          <w:hyperlink w:anchor="_Toc41343317" w:history="1">
            <w:r w:rsidR="000D2B54" w:rsidRPr="00D67B2A">
              <w:rPr>
                <w:rStyle w:val="Hyperlink"/>
                <w:rFonts w:ascii="Cambria" w:hAnsi="Cambria"/>
                <w:noProof/>
                <w:sz w:val="20"/>
                <w:szCs w:val="20"/>
              </w:rPr>
              <w:t>A.</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Petitioner</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_Toc41343317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2</w:t>
            </w:r>
            <w:r w:rsidR="000D2B54" w:rsidRPr="00D67B2A">
              <w:rPr>
                <w:rFonts w:ascii="Cambria" w:hAnsi="Cambria"/>
                <w:noProof/>
                <w:webHidden/>
                <w:sz w:val="20"/>
                <w:szCs w:val="20"/>
              </w:rPr>
              <w:fldChar w:fldCharType="end"/>
            </w:r>
          </w:hyperlink>
        </w:p>
        <w:p w14:paraId="3BE66905" w14:textId="3A4B5912" w:rsidR="000D2B54" w:rsidRPr="00D67B2A" w:rsidRDefault="005A47F2">
          <w:pPr>
            <w:pStyle w:val="TOC2"/>
            <w:rPr>
              <w:rFonts w:ascii="Cambria" w:eastAsiaTheme="minorEastAsia" w:hAnsi="Cambria" w:cstheme="minorBidi"/>
              <w:noProof/>
              <w:sz w:val="20"/>
              <w:szCs w:val="20"/>
              <w:bdr w:val="none" w:sz="0" w:space="0" w:color="auto"/>
            </w:rPr>
          </w:pPr>
          <w:hyperlink w:anchor="_Toc41343318" w:history="1">
            <w:r w:rsidR="000D2B54" w:rsidRPr="00D67B2A">
              <w:rPr>
                <w:rStyle w:val="Hyperlink"/>
                <w:rFonts w:ascii="Cambria" w:hAnsi="Cambria"/>
                <w:noProof/>
                <w:sz w:val="20"/>
                <w:szCs w:val="20"/>
              </w:rPr>
              <w:t>B.</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State</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_Toc41343318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3</w:t>
            </w:r>
            <w:r w:rsidR="000D2B54" w:rsidRPr="00D67B2A">
              <w:rPr>
                <w:rFonts w:ascii="Cambria" w:hAnsi="Cambria"/>
                <w:noProof/>
                <w:webHidden/>
                <w:sz w:val="20"/>
                <w:szCs w:val="20"/>
              </w:rPr>
              <w:fldChar w:fldCharType="end"/>
            </w:r>
          </w:hyperlink>
        </w:p>
        <w:p w14:paraId="1157BF8F" w14:textId="0C640C88" w:rsidR="000D2B54" w:rsidRPr="00D67B2A" w:rsidRDefault="005A47F2">
          <w:pPr>
            <w:pStyle w:val="TOC1"/>
            <w:rPr>
              <w:rFonts w:ascii="Cambria" w:eastAsiaTheme="minorEastAsia" w:hAnsi="Cambria" w:cstheme="minorBidi"/>
              <w:b w:val="0"/>
              <w:bdr w:val="none" w:sz="0" w:space="0" w:color="auto"/>
            </w:rPr>
          </w:pPr>
          <w:hyperlink w:anchor="_Toc41343319" w:history="1">
            <w:r w:rsidR="000D2B54" w:rsidRPr="00D67B2A">
              <w:rPr>
                <w:rStyle w:val="Hyperlink"/>
                <w:rFonts w:ascii="Cambria" w:hAnsi="Cambria"/>
              </w:rPr>
              <w:t>III.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ADMISSIBILITY</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_Toc41343319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3</w:t>
            </w:r>
            <w:r w:rsidR="000D2B54" w:rsidRPr="00D67B2A">
              <w:rPr>
                <w:rFonts w:ascii="Cambria" w:hAnsi="Cambria"/>
                <w:webHidden/>
              </w:rPr>
              <w:fldChar w:fldCharType="end"/>
            </w:r>
          </w:hyperlink>
        </w:p>
        <w:p w14:paraId="6E5C8326" w14:textId="6DADBC14" w:rsidR="000D2B54" w:rsidRPr="00D67B2A" w:rsidRDefault="005A47F2">
          <w:pPr>
            <w:pStyle w:val="TOC2"/>
            <w:rPr>
              <w:rFonts w:ascii="Cambria" w:eastAsiaTheme="minorEastAsia" w:hAnsi="Cambria" w:cstheme="minorBidi"/>
              <w:noProof/>
              <w:sz w:val="20"/>
              <w:szCs w:val="20"/>
              <w:bdr w:val="none" w:sz="0" w:space="0" w:color="auto"/>
            </w:rPr>
          </w:pPr>
          <w:hyperlink w:anchor="_Toc41343320" w:history="1">
            <w:r w:rsidR="000D2B54" w:rsidRPr="00D67B2A">
              <w:rPr>
                <w:rStyle w:val="Hyperlink"/>
                <w:rFonts w:ascii="Cambria" w:hAnsi="Cambria"/>
                <w:noProof/>
                <w:sz w:val="20"/>
                <w:szCs w:val="20"/>
              </w:rPr>
              <w:t>A.</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 xml:space="preserve">Competence, duplication of procedures and international </w:t>
            </w:r>
            <w:r w:rsidR="000D2B54" w:rsidRPr="00D67B2A">
              <w:rPr>
                <w:rStyle w:val="Hyperlink"/>
                <w:rFonts w:ascii="Cambria" w:hAnsi="Cambria"/>
                <w:i/>
                <w:noProof/>
                <w:sz w:val="20"/>
                <w:szCs w:val="20"/>
              </w:rPr>
              <w:t>res judicata</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_Toc41343320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3</w:t>
            </w:r>
            <w:r w:rsidR="000D2B54" w:rsidRPr="00D67B2A">
              <w:rPr>
                <w:rFonts w:ascii="Cambria" w:hAnsi="Cambria"/>
                <w:noProof/>
                <w:webHidden/>
                <w:sz w:val="20"/>
                <w:szCs w:val="20"/>
              </w:rPr>
              <w:fldChar w:fldCharType="end"/>
            </w:r>
          </w:hyperlink>
        </w:p>
        <w:p w14:paraId="6E203D77" w14:textId="713737CB" w:rsidR="000D2B54" w:rsidRPr="00D67B2A" w:rsidRDefault="005A47F2">
          <w:pPr>
            <w:pStyle w:val="TOC2"/>
            <w:rPr>
              <w:rFonts w:ascii="Cambria" w:eastAsiaTheme="minorEastAsia" w:hAnsi="Cambria" w:cstheme="minorBidi"/>
              <w:noProof/>
              <w:sz w:val="20"/>
              <w:szCs w:val="20"/>
              <w:bdr w:val="none" w:sz="0" w:space="0" w:color="auto"/>
            </w:rPr>
          </w:pPr>
          <w:hyperlink w:anchor="_Toc41343321" w:history="1">
            <w:r w:rsidR="000D2B54" w:rsidRPr="00D67B2A">
              <w:rPr>
                <w:rStyle w:val="Hyperlink"/>
                <w:rFonts w:ascii="Cambria" w:hAnsi="Cambria"/>
                <w:noProof/>
                <w:sz w:val="20"/>
                <w:szCs w:val="20"/>
              </w:rPr>
              <w:t>B.</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Exhaustion of domestic remedies and timeliness of the petition</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_Toc41343321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3</w:t>
            </w:r>
            <w:r w:rsidR="000D2B54" w:rsidRPr="00D67B2A">
              <w:rPr>
                <w:rFonts w:ascii="Cambria" w:hAnsi="Cambria"/>
                <w:noProof/>
                <w:webHidden/>
                <w:sz w:val="20"/>
                <w:szCs w:val="20"/>
              </w:rPr>
              <w:fldChar w:fldCharType="end"/>
            </w:r>
          </w:hyperlink>
        </w:p>
        <w:p w14:paraId="65E2F763" w14:textId="18929ADC" w:rsidR="000D2B54" w:rsidRPr="00D67B2A" w:rsidRDefault="005A47F2">
          <w:pPr>
            <w:pStyle w:val="TOC2"/>
            <w:rPr>
              <w:rFonts w:ascii="Cambria" w:eastAsiaTheme="minorEastAsia" w:hAnsi="Cambria" w:cstheme="minorBidi"/>
              <w:noProof/>
              <w:sz w:val="20"/>
              <w:szCs w:val="20"/>
              <w:bdr w:val="none" w:sz="0" w:space="0" w:color="auto"/>
            </w:rPr>
          </w:pPr>
          <w:hyperlink w:anchor="_Toc41343322" w:history="1">
            <w:r w:rsidR="000D2B54" w:rsidRPr="00D67B2A">
              <w:rPr>
                <w:rStyle w:val="Hyperlink"/>
                <w:rFonts w:ascii="Cambria" w:hAnsi="Cambria"/>
                <w:noProof/>
                <w:sz w:val="20"/>
                <w:szCs w:val="20"/>
              </w:rPr>
              <w:t>C.</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Colorable claim</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_Toc41343322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4</w:t>
            </w:r>
            <w:r w:rsidR="000D2B54" w:rsidRPr="00D67B2A">
              <w:rPr>
                <w:rFonts w:ascii="Cambria" w:hAnsi="Cambria"/>
                <w:noProof/>
                <w:webHidden/>
                <w:sz w:val="20"/>
                <w:szCs w:val="20"/>
              </w:rPr>
              <w:fldChar w:fldCharType="end"/>
            </w:r>
          </w:hyperlink>
        </w:p>
        <w:p w14:paraId="4F39863A" w14:textId="2E07AD8F" w:rsidR="000D2B54" w:rsidRPr="00D67B2A" w:rsidRDefault="005A47F2">
          <w:pPr>
            <w:pStyle w:val="TOC1"/>
            <w:rPr>
              <w:rFonts w:ascii="Cambria" w:eastAsiaTheme="minorEastAsia" w:hAnsi="Cambria" w:cstheme="minorBidi"/>
              <w:b w:val="0"/>
              <w:bdr w:val="none" w:sz="0" w:space="0" w:color="auto"/>
            </w:rPr>
          </w:pPr>
          <w:hyperlink w:anchor="_Toc41343323" w:history="1">
            <w:r w:rsidR="000D2B54" w:rsidRPr="00D67B2A">
              <w:rPr>
                <w:rStyle w:val="Hyperlink"/>
                <w:rFonts w:ascii="Cambria" w:hAnsi="Cambria"/>
              </w:rPr>
              <w:t>IV.</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FINDINGS OF FACT</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_Toc41343323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5</w:t>
            </w:r>
            <w:r w:rsidR="000D2B54" w:rsidRPr="00D67B2A">
              <w:rPr>
                <w:rFonts w:ascii="Cambria" w:hAnsi="Cambria"/>
                <w:webHidden/>
              </w:rPr>
              <w:fldChar w:fldCharType="end"/>
            </w:r>
          </w:hyperlink>
        </w:p>
        <w:p w14:paraId="6CDF432C" w14:textId="6A092F2E" w:rsidR="000D2B54" w:rsidRPr="00D67B2A" w:rsidRDefault="005A47F2">
          <w:pPr>
            <w:pStyle w:val="TOC2"/>
            <w:rPr>
              <w:rFonts w:ascii="Cambria" w:eastAsiaTheme="minorEastAsia" w:hAnsi="Cambria" w:cstheme="minorBidi"/>
              <w:noProof/>
              <w:sz w:val="20"/>
              <w:szCs w:val="20"/>
              <w:bdr w:val="none" w:sz="0" w:space="0" w:color="auto"/>
            </w:rPr>
          </w:pPr>
          <w:hyperlink w:anchor="_Toc41343324" w:history="1">
            <w:r w:rsidR="000D2B54" w:rsidRPr="00D67B2A">
              <w:rPr>
                <w:rStyle w:val="Hyperlink"/>
                <w:rFonts w:ascii="Cambria" w:hAnsi="Cambria"/>
                <w:noProof/>
                <w:sz w:val="20"/>
                <w:szCs w:val="20"/>
              </w:rPr>
              <w:t>A.</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Background</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_Toc41343324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5</w:t>
            </w:r>
            <w:r w:rsidR="000D2B54" w:rsidRPr="00D67B2A">
              <w:rPr>
                <w:rFonts w:ascii="Cambria" w:hAnsi="Cambria"/>
                <w:noProof/>
                <w:webHidden/>
                <w:sz w:val="20"/>
                <w:szCs w:val="20"/>
              </w:rPr>
              <w:fldChar w:fldCharType="end"/>
            </w:r>
          </w:hyperlink>
        </w:p>
        <w:p w14:paraId="4C20E299" w14:textId="7CEBB78B" w:rsidR="000D2B54" w:rsidRPr="00D67B2A" w:rsidRDefault="005A47F2">
          <w:pPr>
            <w:pStyle w:val="TOC2"/>
            <w:rPr>
              <w:rFonts w:ascii="Cambria" w:eastAsiaTheme="minorEastAsia" w:hAnsi="Cambria" w:cstheme="minorBidi"/>
              <w:noProof/>
              <w:sz w:val="20"/>
              <w:szCs w:val="20"/>
              <w:bdr w:val="none" w:sz="0" w:space="0" w:color="auto"/>
            </w:rPr>
          </w:pPr>
          <w:hyperlink w:anchor="_Toc41343325" w:history="1">
            <w:r w:rsidR="000D2B54" w:rsidRPr="00D67B2A">
              <w:rPr>
                <w:rStyle w:val="Hyperlink"/>
                <w:rFonts w:ascii="Cambria" w:hAnsi="Cambria"/>
                <w:noProof/>
                <w:sz w:val="20"/>
                <w:szCs w:val="20"/>
              </w:rPr>
              <w:t xml:space="preserve">B. </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Relevant legal framework</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_Toc41343325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6</w:t>
            </w:r>
            <w:r w:rsidR="000D2B54" w:rsidRPr="00D67B2A">
              <w:rPr>
                <w:rFonts w:ascii="Cambria" w:hAnsi="Cambria"/>
                <w:noProof/>
                <w:webHidden/>
                <w:sz w:val="20"/>
                <w:szCs w:val="20"/>
              </w:rPr>
              <w:fldChar w:fldCharType="end"/>
            </w:r>
          </w:hyperlink>
        </w:p>
        <w:p w14:paraId="24A1EBEA" w14:textId="1D14FA70" w:rsidR="000D2B54" w:rsidRPr="00D67B2A" w:rsidRDefault="005A47F2">
          <w:pPr>
            <w:pStyle w:val="TOC2"/>
            <w:rPr>
              <w:rFonts w:ascii="Cambria" w:eastAsiaTheme="minorEastAsia" w:hAnsi="Cambria" w:cstheme="minorBidi"/>
              <w:noProof/>
              <w:sz w:val="20"/>
              <w:szCs w:val="20"/>
              <w:bdr w:val="none" w:sz="0" w:space="0" w:color="auto"/>
            </w:rPr>
          </w:pPr>
          <w:hyperlink w:anchor="_Toc41343326" w:history="1">
            <w:r w:rsidR="000D2B54" w:rsidRPr="00D67B2A">
              <w:rPr>
                <w:rStyle w:val="Hyperlink"/>
                <w:rFonts w:ascii="Cambria" w:hAnsi="Cambria"/>
                <w:noProof/>
                <w:sz w:val="20"/>
                <w:szCs w:val="20"/>
              </w:rPr>
              <w:t>C.</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Facts of the case</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_Toc41343326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6</w:t>
            </w:r>
            <w:r w:rsidR="000D2B54" w:rsidRPr="00D67B2A">
              <w:rPr>
                <w:rFonts w:ascii="Cambria" w:hAnsi="Cambria"/>
                <w:noProof/>
                <w:webHidden/>
                <w:sz w:val="20"/>
                <w:szCs w:val="20"/>
              </w:rPr>
              <w:fldChar w:fldCharType="end"/>
            </w:r>
          </w:hyperlink>
        </w:p>
        <w:p w14:paraId="72E42BCC" w14:textId="2D01F585" w:rsidR="000D2B54" w:rsidRPr="00D67B2A" w:rsidRDefault="005A47F2">
          <w:pPr>
            <w:pStyle w:val="TOC2"/>
            <w:rPr>
              <w:rFonts w:ascii="Cambria" w:eastAsiaTheme="minorEastAsia" w:hAnsi="Cambria" w:cstheme="minorBidi"/>
              <w:noProof/>
              <w:sz w:val="20"/>
              <w:szCs w:val="20"/>
              <w:bdr w:val="none" w:sz="0" w:space="0" w:color="auto"/>
            </w:rPr>
          </w:pPr>
          <w:hyperlink w:anchor="_Toc41343327" w:history="1">
            <w:r w:rsidR="000D2B54" w:rsidRPr="00D67B2A">
              <w:rPr>
                <w:rStyle w:val="Hyperlink"/>
                <w:rFonts w:ascii="Cambria" w:hAnsi="Cambria"/>
                <w:noProof/>
                <w:sz w:val="20"/>
                <w:szCs w:val="20"/>
              </w:rPr>
              <w:t>D.</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Mr. Serrano’s detention, trial and death sentence</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_Toc41343327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7</w:t>
            </w:r>
            <w:r w:rsidR="000D2B54" w:rsidRPr="00D67B2A">
              <w:rPr>
                <w:rFonts w:ascii="Cambria" w:hAnsi="Cambria"/>
                <w:noProof/>
                <w:webHidden/>
                <w:sz w:val="20"/>
                <w:szCs w:val="20"/>
              </w:rPr>
              <w:fldChar w:fldCharType="end"/>
            </w:r>
          </w:hyperlink>
        </w:p>
        <w:p w14:paraId="36712F5D" w14:textId="621F4E5D" w:rsidR="000D2B54" w:rsidRPr="00D67B2A" w:rsidRDefault="005A47F2">
          <w:pPr>
            <w:pStyle w:val="TOC2"/>
            <w:rPr>
              <w:rFonts w:ascii="Cambria" w:eastAsiaTheme="minorEastAsia" w:hAnsi="Cambria" w:cstheme="minorBidi"/>
              <w:noProof/>
              <w:sz w:val="20"/>
              <w:szCs w:val="20"/>
              <w:bdr w:val="none" w:sz="0" w:space="0" w:color="auto"/>
            </w:rPr>
          </w:pPr>
          <w:hyperlink w:anchor="_Toc41343328" w:history="1">
            <w:r w:rsidR="000D2B54" w:rsidRPr="00D67B2A">
              <w:rPr>
                <w:rStyle w:val="Hyperlink"/>
                <w:rFonts w:ascii="Cambria" w:hAnsi="Cambria"/>
                <w:noProof/>
                <w:sz w:val="20"/>
                <w:szCs w:val="20"/>
              </w:rPr>
              <w:t>E.</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Post-conviction proceedings</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_Toc41343328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8</w:t>
            </w:r>
            <w:r w:rsidR="000D2B54" w:rsidRPr="00D67B2A">
              <w:rPr>
                <w:rFonts w:ascii="Cambria" w:hAnsi="Cambria"/>
                <w:noProof/>
                <w:webHidden/>
                <w:sz w:val="20"/>
                <w:szCs w:val="20"/>
              </w:rPr>
              <w:fldChar w:fldCharType="end"/>
            </w:r>
          </w:hyperlink>
        </w:p>
        <w:p w14:paraId="2F32DF2C" w14:textId="4991EFC2" w:rsidR="000D2B54" w:rsidRPr="00D67B2A" w:rsidRDefault="005A47F2">
          <w:pPr>
            <w:pStyle w:val="TOC2"/>
            <w:rPr>
              <w:rFonts w:ascii="Cambria" w:eastAsiaTheme="minorEastAsia" w:hAnsi="Cambria" w:cstheme="minorBidi"/>
              <w:noProof/>
              <w:sz w:val="20"/>
              <w:szCs w:val="20"/>
              <w:bdr w:val="none" w:sz="0" w:space="0" w:color="auto"/>
            </w:rPr>
          </w:pPr>
          <w:hyperlink w:anchor="_Toc41343329" w:history="1">
            <w:r w:rsidR="000D2B54" w:rsidRPr="00D67B2A">
              <w:rPr>
                <w:rStyle w:val="Hyperlink"/>
                <w:rFonts w:ascii="Cambria" w:hAnsi="Cambria"/>
                <w:noProof/>
                <w:sz w:val="20"/>
                <w:szCs w:val="20"/>
              </w:rPr>
              <w:t>F.</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Hurst v. Florida</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_Toc41343329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9</w:t>
            </w:r>
            <w:r w:rsidR="000D2B54" w:rsidRPr="00D67B2A">
              <w:rPr>
                <w:rFonts w:ascii="Cambria" w:hAnsi="Cambria"/>
                <w:noProof/>
                <w:webHidden/>
                <w:sz w:val="20"/>
                <w:szCs w:val="20"/>
              </w:rPr>
              <w:fldChar w:fldCharType="end"/>
            </w:r>
          </w:hyperlink>
        </w:p>
        <w:p w14:paraId="4DA87366" w14:textId="05940A65" w:rsidR="000D2B54" w:rsidRPr="00D67B2A" w:rsidRDefault="005A47F2">
          <w:pPr>
            <w:pStyle w:val="TOC1"/>
            <w:rPr>
              <w:rFonts w:ascii="Cambria" w:eastAsiaTheme="minorEastAsia" w:hAnsi="Cambria" w:cstheme="minorBidi"/>
              <w:b w:val="0"/>
              <w:bdr w:val="none" w:sz="0" w:space="0" w:color="auto"/>
            </w:rPr>
          </w:pPr>
          <w:hyperlink w:anchor="_Toc41343330" w:history="1">
            <w:r w:rsidR="000D2B54" w:rsidRPr="00D67B2A">
              <w:rPr>
                <w:rStyle w:val="Hyperlink"/>
                <w:rFonts w:ascii="Cambria" w:hAnsi="Cambria"/>
              </w:rPr>
              <w:t>V.</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ANALYSIS OF LAW</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_Toc41343330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10</w:t>
            </w:r>
            <w:r w:rsidR="000D2B54" w:rsidRPr="00D67B2A">
              <w:rPr>
                <w:rFonts w:ascii="Cambria" w:hAnsi="Cambria"/>
                <w:webHidden/>
              </w:rPr>
              <w:fldChar w:fldCharType="end"/>
            </w:r>
          </w:hyperlink>
        </w:p>
        <w:p w14:paraId="525FF6C8" w14:textId="364775AD" w:rsidR="000D2B54" w:rsidRPr="00D67B2A" w:rsidRDefault="005A47F2">
          <w:pPr>
            <w:pStyle w:val="TOC2"/>
            <w:rPr>
              <w:rFonts w:ascii="Cambria" w:eastAsiaTheme="minorEastAsia" w:hAnsi="Cambria" w:cstheme="minorBidi"/>
              <w:noProof/>
              <w:sz w:val="20"/>
              <w:szCs w:val="20"/>
              <w:bdr w:val="none" w:sz="0" w:space="0" w:color="auto"/>
            </w:rPr>
          </w:pPr>
          <w:hyperlink w:anchor="_Toc41343331" w:history="1">
            <w:r w:rsidR="000D2B54" w:rsidRPr="00D67B2A">
              <w:rPr>
                <w:rStyle w:val="Hyperlink"/>
                <w:rFonts w:ascii="Cambria" w:hAnsi="Cambria"/>
                <w:noProof/>
                <w:sz w:val="20"/>
                <w:szCs w:val="20"/>
              </w:rPr>
              <w:t>A.</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Preliminary considerations</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_Toc41343331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10</w:t>
            </w:r>
            <w:r w:rsidR="000D2B54" w:rsidRPr="00D67B2A">
              <w:rPr>
                <w:rFonts w:ascii="Cambria" w:hAnsi="Cambria"/>
                <w:noProof/>
                <w:webHidden/>
                <w:sz w:val="20"/>
                <w:szCs w:val="20"/>
              </w:rPr>
              <w:fldChar w:fldCharType="end"/>
            </w:r>
          </w:hyperlink>
        </w:p>
        <w:p w14:paraId="468B319E" w14:textId="638D4313" w:rsidR="000D2B54" w:rsidRPr="00D67B2A" w:rsidRDefault="005A47F2">
          <w:pPr>
            <w:pStyle w:val="TOC2"/>
            <w:rPr>
              <w:rFonts w:ascii="Cambria" w:eastAsiaTheme="minorEastAsia" w:hAnsi="Cambria" w:cstheme="minorBidi"/>
              <w:noProof/>
              <w:sz w:val="20"/>
              <w:szCs w:val="20"/>
              <w:bdr w:val="none" w:sz="0" w:space="0" w:color="auto"/>
            </w:rPr>
          </w:pPr>
          <w:hyperlink w:anchor="_Toc41343332" w:history="1">
            <w:r w:rsidR="000D2B54" w:rsidRPr="00D67B2A">
              <w:rPr>
                <w:rStyle w:val="Hyperlink"/>
                <w:rFonts w:ascii="Cambria" w:hAnsi="Cambria"/>
                <w:noProof/>
                <w:sz w:val="20"/>
                <w:szCs w:val="20"/>
              </w:rPr>
              <w:t>B.</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Extra-territorial international responsibility</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_Toc41343332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11</w:t>
            </w:r>
            <w:r w:rsidR="000D2B54" w:rsidRPr="00D67B2A">
              <w:rPr>
                <w:rFonts w:ascii="Cambria" w:hAnsi="Cambria"/>
                <w:noProof/>
                <w:webHidden/>
                <w:sz w:val="20"/>
                <w:szCs w:val="20"/>
              </w:rPr>
              <w:fldChar w:fldCharType="end"/>
            </w:r>
          </w:hyperlink>
        </w:p>
        <w:p w14:paraId="64FB67DE" w14:textId="37BA77E6" w:rsidR="000D2B54" w:rsidRPr="00D67B2A" w:rsidRDefault="005A47F2">
          <w:pPr>
            <w:pStyle w:val="TOC2"/>
            <w:rPr>
              <w:rFonts w:ascii="Cambria" w:eastAsiaTheme="minorEastAsia" w:hAnsi="Cambria" w:cstheme="minorBidi"/>
              <w:noProof/>
              <w:sz w:val="20"/>
              <w:szCs w:val="20"/>
              <w:bdr w:val="none" w:sz="0" w:space="0" w:color="auto"/>
            </w:rPr>
          </w:pPr>
          <w:hyperlink w:anchor="_Toc41343333" w:history="1">
            <w:r w:rsidR="000D2B54" w:rsidRPr="00D67B2A">
              <w:rPr>
                <w:rStyle w:val="Hyperlink"/>
                <w:rFonts w:ascii="Cambria" w:hAnsi="Cambria"/>
                <w:noProof/>
                <w:sz w:val="20"/>
                <w:szCs w:val="20"/>
              </w:rPr>
              <w:t>C.</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Right of protection from arbitrary arrest of the American Declaration</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_Toc41343333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12</w:t>
            </w:r>
            <w:r w:rsidR="000D2B54" w:rsidRPr="00D67B2A">
              <w:rPr>
                <w:rFonts w:ascii="Cambria" w:hAnsi="Cambria"/>
                <w:noProof/>
                <w:webHidden/>
                <w:sz w:val="20"/>
                <w:szCs w:val="20"/>
              </w:rPr>
              <w:fldChar w:fldCharType="end"/>
            </w:r>
          </w:hyperlink>
        </w:p>
        <w:p w14:paraId="1BCC97F3" w14:textId="36DC819F" w:rsidR="000D2B54" w:rsidRPr="00D67B2A" w:rsidRDefault="005A47F2">
          <w:pPr>
            <w:pStyle w:val="TOC2"/>
            <w:rPr>
              <w:rFonts w:ascii="Cambria" w:eastAsiaTheme="minorEastAsia" w:hAnsi="Cambria" w:cstheme="minorBidi"/>
              <w:noProof/>
              <w:sz w:val="20"/>
              <w:szCs w:val="20"/>
              <w:bdr w:val="none" w:sz="0" w:space="0" w:color="auto"/>
            </w:rPr>
          </w:pPr>
          <w:hyperlink w:anchor="_Toc41343334" w:history="1">
            <w:r w:rsidR="000D2B54" w:rsidRPr="00D67B2A">
              <w:rPr>
                <w:rStyle w:val="Hyperlink"/>
                <w:rFonts w:ascii="Cambria" w:hAnsi="Cambria"/>
                <w:noProof/>
                <w:sz w:val="20"/>
                <w:szCs w:val="20"/>
              </w:rPr>
              <w:t>1.</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General considerations regarding the protection from illegal and arbitrary arrest</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_Toc41343334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12</w:t>
            </w:r>
            <w:r w:rsidR="000D2B54" w:rsidRPr="00D67B2A">
              <w:rPr>
                <w:rFonts w:ascii="Cambria" w:hAnsi="Cambria"/>
                <w:noProof/>
                <w:webHidden/>
                <w:sz w:val="20"/>
                <w:szCs w:val="20"/>
              </w:rPr>
              <w:fldChar w:fldCharType="end"/>
            </w:r>
          </w:hyperlink>
        </w:p>
        <w:p w14:paraId="12EE1920" w14:textId="050798B1" w:rsidR="000D2B54" w:rsidRPr="00D67B2A" w:rsidRDefault="005A47F2">
          <w:pPr>
            <w:pStyle w:val="TOC2"/>
            <w:rPr>
              <w:rFonts w:ascii="Cambria" w:eastAsiaTheme="minorEastAsia" w:hAnsi="Cambria" w:cstheme="minorBidi"/>
              <w:noProof/>
              <w:sz w:val="20"/>
              <w:szCs w:val="20"/>
              <w:bdr w:val="none" w:sz="0" w:space="0" w:color="auto"/>
            </w:rPr>
          </w:pPr>
          <w:hyperlink w:anchor="_Toc41343335" w:history="1">
            <w:r w:rsidR="000D2B54" w:rsidRPr="00D67B2A">
              <w:rPr>
                <w:rStyle w:val="Hyperlink"/>
                <w:rFonts w:ascii="Cambria" w:hAnsi="Cambria"/>
                <w:noProof/>
                <w:sz w:val="20"/>
                <w:szCs w:val="20"/>
              </w:rPr>
              <w:t>2.</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Analysis of the case</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_Toc41343335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12</w:t>
            </w:r>
            <w:r w:rsidR="000D2B54" w:rsidRPr="00D67B2A">
              <w:rPr>
                <w:rFonts w:ascii="Cambria" w:hAnsi="Cambria"/>
                <w:noProof/>
                <w:webHidden/>
                <w:sz w:val="20"/>
                <w:szCs w:val="20"/>
              </w:rPr>
              <w:fldChar w:fldCharType="end"/>
            </w:r>
          </w:hyperlink>
        </w:p>
        <w:p w14:paraId="53469DEA" w14:textId="4205E5D8" w:rsidR="000D2B54" w:rsidRPr="00D67B2A" w:rsidRDefault="005A47F2">
          <w:pPr>
            <w:pStyle w:val="TOC2"/>
            <w:rPr>
              <w:rFonts w:ascii="Cambria" w:eastAsiaTheme="minorEastAsia" w:hAnsi="Cambria" w:cstheme="minorBidi"/>
              <w:noProof/>
              <w:sz w:val="20"/>
              <w:szCs w:val="20"/>
              <w:bdr w:val="none" w:sz="0" w:space="0" w:color="auto"/>
            </w:rPr>
          </w:pPr>
          <w:hyperlink w:anchor="_Toc41343336" w:history="1">
            <w:r w:rsidR="000D2B54" w:rsidRPr="00D67B2A">
              <w:rPr>
                <w:rStyle w:val="Hyperlink"/>
                <w:rFonts w:ascii="Cambria" w:hAnsi="Cambria"/>
                <w:noProof/>
                <w:sz w:val="20"/>
                <w:szCs w:val="20"/>
              </w:rPr>
              <w:t>D.</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Rights to a fair trial and to due process of law, in relation to the right to life, liberty and personal security, and the right of protection from arbitrary arrest of the American Declaration</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_Toc41343336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13</w:t>
            </w:r>
            <w:r w:rsidR="000D2B54" w:rsidRPr="00D67B2A">
              <w:rPr>
                <w:rFonts w:ascii="Cambria" w:hAnsi="Cambria"/>
                <w:noProof/>
                <w:webHidden/>
                <w:sz w:val="20"/>
                <w:szCs w:val="20"/>
              </w:rPr>
              <w:fldChar w:fldCharType="end"/>
            </w:r>
          </w:hyperlink>
        </w:p>
        <w:p w14:paraId="57250A2D" w14:textId="3B17DDED" w:rsidR="000D2B54" w:rsidRPr="00D67B2A" w:rsidRDefault="005A47F2">
          <w:pPr>
            <w:pStyle w:val="TOC2"/>
            <w:rPr>
              <w:rFonts w:ascii="Cambria" w:eastAsiaTheme="minorEastAsia" w:hAnsi="Cambria" w:cstheme="minorBidi"/>
              <w:noProof/>
              <w:sz w:val="20"/>
              <w:szCs w:val="20"/>
              <w:bdr w:val="none" w:sz="0" w:space="0" w:color="auto"/>
            </w:rPr>
          </w:pPr>
          <w:hyperlink w:anchor="_Toc41343337" w:history="1">
            <w:r w:rsidR="000D2B54" w:rsidRPr="00D67B2A">
              <w:rPr>
                <w:rStyle w:val="Hyperlink"/>
                <w:rFonts w:ascii="Cambria" w:hAnsi="Cambria"/>
                <w:noProof/>
                <w:sz w:val="20"/>
                <w:szCs w:val="20"/>
              </w:rPr>
              <w:t>E.</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Right of protection against cruel, infamous or unusual punishment</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_Toc41343337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14</w:t>
            </w:r>
            <w:r w:rsidR="000D2B54" w:rsidRPr="00D67B2A">
              <w:rPr>
                <w:rFonts w:ascii="Cambria" w:hAnsi="Cambria"/>
                <w:noProof/>
                <w:webHidden/>
                <w:sz w:val="20"/>
                <w:szCs w:val="20"/>
              </w:rPr>
              <w:fldChar w:fldCharType="end"/>
            </w:r>
          </w:hyperlink>
        </w:p>
        <w:p w14:paraId="430436F7" w14:textId="0EFAA7EF" w:rsidR="000D2B54" w:rsidRPr="00D67B2A" w:rsidRDefault="005A47F2">
          <w:pPr>
            <w:pStyle w:val="TOC2"/>
            <w:rPr>
              <w:rFonts w:ascii="Cambria" w:eastAsiaTheme="minorEastAsia" w:hAnsi="Cambria" w:cstheme="minorBidi"/>
              <w:noProof/>
              <w:sz w:val="20"/>
              <w:szCs w:val="20"/>
              <w:bdr w:val="none" w:sz="0" w:space="0" w:color="auto"/>
            </w:rPr>
          </w:pPr>
          <w:hyperlink w:anchor="_Toc41343338" w:history="1">
            <w:r w:rsidR="000D2B54" w:rsidRPr="00D67B2A">
              <w:rPr>
                <w:rStyle w:val="Hyperlink"/>
                <w:rFonts w:ascii="Cambria" w:hAnsi="Cambria"/>
                <w:noProof/>
                <w:sz w:val="20"/>
                <w:szCs w:val="20"/>
              </w:rPr>
              <w:t>F.</w:t>
            </w:r>
            <w:r w:rsidR="000D2B54" w:rsidRPr="00D67B2A">
              <w:rPr>
                <w:rFonts w:ascii="Cambria" w:eastAsiaTheme="minorEastAsia" w:hAnsi="Cambria" w:cstheme="minorBidi"/>
                <w:noProof/>
                <w:sz w:val="20"/>
                <w:szCs w:val="20"/>
                <w:bdr w:val="none" w:sz="0" w:space="0" w:color="auto"/>
              </w:rPr>
              <w:tab/>
            </w:r>
            <w:r w:rsidR="000D2B54" w:rsidRPr="00D67B2A">
              <w:rPr>
                <w:rStyle w:val="Hyperlink"/>
                <w:rFonts w:ascii="Cambria" w:hAnsi="Cambria"/>
                <w:noProof/>
                <w:sz w:val="20"/>
                <w:szCs w:val="20"/>
              </w:rPr>
              <w:t>The right to life and the right to protection against cruel, infamous or unusual punishment with respect to the eventual execution of Nelson Ivan Serrano Saenz</w:t>
            </w:r>
            <w:r w:rsidR="000D2B54" w:rsidRPr="00D67B2A">
              <w:rPr>
                <w:rFonts w:ascii="Cambria" w:hAnsi="Cambria"/>
                <w:noProof/>
                <w:webHidden/>
                <w:sz w:val="20"/>
                <w:szCs w:val="20"/>
              </w:rPr>
              <w:tab/>
            </w:r>
            <w:r w:rsidR="000D2B54" w:rsidRPr="00D67B2A">
              <w:rPr>
                <w:rFonts w:ascii="Cambria" w:hAnsi="Cambria"/>
                <w:noProof/>
                <w:webHidden/>
                <w:sz w:val="20"/>
                <w:szCs w:val="20"/>
              </w:rPr>
              <w:fldChar w:fldCharType="begin"/>
            </w:r>
            <w:r w:rsidR="000D2B54" w:rsidRPr="00D67B2A">
              <w:rPr>
                <w:rFonts w:ascii="Cambria" w:hAnsi="Cambria"/>
                <w:noProof/>
                <w:webHidden/>
                <w:sz w:val="20"/>
                <w:szCs w:val="20"/>
              </w:rPr>
              <w:instrText xml:space="preserve"> PAGEREF _Toc41343338 \h </w:instrText>
            </w:r>
            <w:r w:rsidR="000D2B54" w:rsidRPr="00D67B2A">
              <w:rPr>
                <w:rFonts w:ascii="Cambria" w:hAnsi="Cambria"/>
                <w:noProof/>
                <w:webHidden/>
                <w:sz w:val="20"/>
                <w:szCs w:val="20"/>
              </w:rPr>
            </w:r>
            <w:r w:rsidR="000D2B54" w:rsidRPr="00D67B2A">
              <w:rPr>
                <w:rFonts w:ascii="Cambria" w:hAnsi="Cambria"/>
                <w:noProof/>
                <w:webHidden/>
                <w:sz w:val="20"/>
                <w:szCs w:val="20"/>
              </w:rPr>
              <w:fldChar w:fldCharType="separate"/>
            </w:r>
            <w:r>
              <w:rPr>
                <w:rFonts w:ascii="Cambria" w:hAnsi="Cambria"/>
                <w:noProof/>
                <w:webHidden/>
                <w:sz w:val="20"/>
                <w:szCs w:val="20"/>
              </w:rPr>
              <w:t>15</w:t>
            </w:r>
            <w:r w:rsidR="000D2B54" w:rsidRPr="00D67B2A">
              <w:rPr>
                <w:rFonts w:ascii="Cambria" w:hAnsi="Cambria"/>
                <w:noProof/>
                <w:webHidden/>
                <w:sz w:val="20"/>
                <w:szCs w:val="20"/>
              </w:rPr>
              <w:fldChar w:fldCharType="end"/>
            </w:r>
          </w:hyperlink>
        </w:p>
        <w:p w14:paraId="13BD7AAC" w14:textId="195FA386" w:rsidR="000D2B54" w:rsidRPr="00D67B2A" w:rsidRDefault="005A47F2">
          <w:pPr>
            <w:pStyle w:val="TOC1"/>
            <w:rPr>
              <w:rFonts w:ascii="Cambria" w:eastAsiaTheme="minorEastAsia" w:hAnsi="Cambria" w:cstheme="minorBidi"/>
              <w:b w:val="0"/>
              <w:bdr w:val="none" w:sz="0" w:space="0" w:color="auto"/>
            </w:rPr>
          </w:pPr>
          <w:hyperlink w:anchor="_Toc41343339" w:history="1">
            <w:r w:rsidR="000D2B54" w:rsidRPr="00D67B2A">
              <w:rPr>
                <w:rStyle w:val="Hyperlink"/>
                <w:rFonts w:ascii="Cambria" w:hAnsi="Cambria"/>
              </w:rPr>
              <w:t>VI.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ACTIONS SUBSEQUENT TO REPORT No. 153/19</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_Toc41343339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15</w:t>
            </w:r>
            <w:r w:rsidR="000D2B54" w:rsidRPr="00D67B2A">
              <w:rPr>
                <w:rFonts w:ascii="Cambria" w:hAnsi="Cambria"/>
                <w:webHidden/>
              </w:rPr>
              <w:fldChar w:fldCharType="end"/>
            </w:r>
          </w:hyperlink>
        </w:p>
        <w:p w14:paraId="6717E343" w14:textId="7C69418A" w:rsidR="000D2B54" w:rsidRPr="00D67B2A" w:rsidRDefault="005A47F2">
          <w:pPr>
            <w:pStyle w:val="TOC1"/>
            <w:rPr>
              <w:rFonts w:ascii="Cambria" w:eastAsiaTheme="minorEastAsia" w:hAnsi="Cambria" w:cstheme="minorBidi"/>
              <w:b w:val="0"/>
              <w:bdr w:val="none" w:sz="0" w:space="0" w:color="auto"/>
            </w:rPr>
          </w:pPr>
          <w:hyperlink w:anchor="_Toc41343340" w:history="1">
            <w:r w:rsidR="000D2B54" w:rsidRPr="00D67B2A">
              <w:rPr>
                <w:rStyle w:val="Hyperlink"/>
                <w:rFonts w:ascii="Cambria" w:hAnsi="Cambria"/>
              </w:rPr>
              <w:t>VII.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ACTIONS SUBSEQUENT TO REPORT No. 24/20</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_Toc41343340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16</w:t>
            </w:r>
            <w:r w:rsidR="000D2B54" w:rsidRPr="00D67B2A">
              <w:rPr>
                <w:rFonts w:ascii="Cambria" w:hAnsi="Cambria"/>
                <w:webHidden/>
              </w:rPr>
              <w:fldChar w:fldCharType="end"/>
            </w:r>
          </w:hyperlink>
        </w:p>
        <w:p w14:paraId="1A7665D2" w14:textId="5749C551" w:rsidR="000D2B54" w:rsidRPr="00D67B2A" w:rsidRDefault="005A47F2">
          <w:pPr>
            <w:pStyle w:val="TOC1"/>
            <w:rPr>
              <w:rFonts w:ascii="Cambria" w:eastAsiaTheme="minorEastAsia" w:hAnsi="Cambria" w:cstheme="minorBidi"/>
              <w:b w:val="0"/>
              <w:bdr w:val="none" w:sz="0" w:space="0" w:color="auto"/>
            </w:rPr>
          </w:pPr>
          <w:hyperlink w:anchor="_Toc41343341" w:history="1">
            <w:r w:rsidR="000D2B54" w:rsidRPr="00D67B2A">
              <w:rPr>
                <w:rStyle w:val="Hyperlink"/>
                <w:rFonts w:ascii="Cambria" w:hAnsi="Cambria"/>
              </w:rPr>
              <w:t>VIII.</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rPr>
              <w:t>FINAL CONCLUSIONS AND RECOMMENDATIONS</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_Toc41343341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16</w:t>
            </w:r>
            <w:r w:rsidR="000D2B54" w:rsidRPr="00D67B2A">
              <w:rPr>
                <w:rFonts w:ascii="Cambria" w:hAnsi="Cambria"/>
                <w:webHidden/>
              </w:rPr>
              <w:fldChar w:fldCharType="end"/>
            </w:r>
          </w:hyperlink>
        </w:p>
        <w:p w14:paraId="4B2CF305" w14:textId="265732DF" w:rsidR="000D2B54" w:rsidRPr="00D67B2A" w:rsidRDefault="005A47F2">
          <w:pPr>
            <w:pStyle w:val="TOC1"/>
            <w:rPr>
              <w:rFonts w:ascii="Cambria" w:eastAsiaTheme="minorEastAsia" w:hAnsi="Cambria" w:cstheme="minorBidi"/>
              <w:b w:val="0"/>
              <w:bdr w:val="none" w:sz="0" w:space="0" w:color="auto"/>
            </w:rPr>
          </w:pPr>
          <w:hyperlink w:anchor="_Toc41343342" w:history="1">
            <w:r w:rsidR="000D2B54" w:rsidRPr="00D67B2A">
              <w:rPr>
                <w:rStyle w:val="Hyperlink"/>
                <w:rFonts w:ascii="Cambria" w:hAnsi="Cambria"/>
                <w:lang w:val="es-ES_tradnl"/>
              </w:rPr>
              <w:t>XIX.</w:t>
            </w:r>
            <w:r w:rsidR="000D2B54" w:rsidRPr="00D67B2A">
              <w:rPr>
                <w:rFonts w:ascii="Cambria" w:eastAsiaTheme="minorEastAsia" w:hAnsi="Cambria" w:cstheme="minorBidi"/>
                <w:b w:val="0"/>
                <w:bdr w:val="none" w:sz="0" w:space="0" w:color="auto"/>
              </w:rPr>
              <w:tab/>
            </w:r>
            <w:r w:rsidR="000D2B54" w:rsidRPr="00D67B2A">
              <w:rPr>
                <w:rStyle w:val="Hyperlink"/>
                <w:rFonts w:ascii="Cambria" w:hAnsi="Cambria"/>
                <w:lang w:val="es-ES_tradnl"/>
              </w:rPr>
              <w:t>PUBLICATION</w:t>
            </w:r>
            <w:r w:rsidR="000D2B54" w:rsidRPr="00D67B2A">
              <w:rPr>
                <w:rFonts w:ascii="Cambria" w:hAnsi="Cambria"/>
                <w:webHidden/>
              </w:rPr>
              <w:tab/>
            </w:r>
            <w:r w:rsidR="000D2B54" w:rsidRPr="00D67B2A">
              <w:rPr>
                <w:rFonts w:ascii="Cambria" w:hAnsi="Cambria"/>
                <w:webHidden/>
              </w:rPr>
              <w:fldChar w:fldCharType="begin"/>
            </w:r>
            <w:r w:rsidR="000D2B54" w:rsidRPr="00D67B2A">
              <w:rPr>
                <w:rFonts w:ascii="Cambria" w:hAnsi="Cambria"/>
                <w:webHidden/>
              </w:rPr>
              <w:instrText xml:space="preserve"> PAGEREF _Toc41343342 \h </w:instrText>
            </w:r>
            <w:r w:rsidR="000D2B54" w:rsidRPr="00D67B2A">
              <w:rPr>
                <w:rFonts w:ascii="Cambria" w:hAnsi="Cambria"/>
                <w:webHidden/>
              </w:rPr>
            </w:r>
            <w:r w:rsidR="000D2B54" w:rsidRPr="00D67B2A">
              <w:rPr>
                <w:rFonts w:ascii="Cambria" w:hAnsi="Cambria"/>
                <w:webHidden/>
              </w:rPr>
              <w:fldChar w:fldCharType="separate"/>
            </w:r>
            <w:r>
              <w:rPr>
                <w:rFonts w:ascii="Cambria" w:hAnsi="Cambria"/>
                <w:webHidden/>
              </w:rPr>
              <w:t>17</w:t>
            </w:r>
            <w:r w:rsidR="000D2B54" w:rsidRPr="00D67B2A">
              <w:rPr>
                <w:rFonts w:ascii="Cambria" w:hAnsi="Cambria"/>
                <w:webHidden/>
              </w:rPr>
              <w:fldChar w:fldCharType="end"/>
            </w:r>
          </w:hyperlink>
        </w:p>
        <w:p w14:paraId="1673D678" w14:textId="77777777" w:rsidR="00BF4967" w:rsidRPr="00EE6FD2" w:rsidRDefault="00BF4967">
          <w:r w:rsidRPr="00D67B2A">
            <w:rPr>
              <w:rFonts w:asciiTheme="majorHAnsi" w:hAnsiTheme="majorHAnsi"/>
              <w:b/>
              <w:bCs/>
              <w:noProof/>
              <w:sz w:val="20"/>
              <w:szCs w:val="20"/>
            </w:rPr>
            <w:fldChar w:fldCharType="end"/>
          </w:r>
        </w:p>
      </w:sdtContent>
    </w:sdt>
    <w:p w14:paraId="74F7704A"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539BB7A6"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17E14362"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37E2C58B"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11C12F27"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3B3AB3D9" w14:textId="77777777" w:rsidR="007607C4" w:rsidRPr="00EE6FD2" w:rsidRDefault="007607C4" w:rsidP="00145EDC">
      <w:pPr>
        <w:tabs>
          <w:tab w:val="center" w:pos="5400"/>
        </w:tabs>
        <w:suppressAutoHyphens/>
        <w:spacing w:line="276" w:lineRule="auto"/>
        <w:rPr>
          <w:rFonts w:asciiTheme="majorHAnsi" w:hAnsiTheme="majorHAnsi"/>
          <w:sz w:val="20"/>
          <w:szCs w:val="20"/>
        </w:rPr>
      </w:pPr>
    </w:p>
    <w:p w14:paraId="56126D03" w14:textId="77777777" w:rsidR="001061FC" w:rsidRPr="00EE6FD2" w:rsidRDefault="001061FC" w:rsidP="00D83C3C">
      <w:pPr>
        <w:pStyle w:val="Heading1"/>
        <w:keepNext w:val="0"/>
        <w:keepLines w:val="0"/>
        <w:numPr>
          <w:ilvl w:val="0"/>
          <w:numId w:val="55"/>
        </w:numPr>
        <w:tabs>
          <w:tab w:val="left" w:pos="360"/>
        </w:tabs>
        <w:suppressAutoHyphens/>
        <w:spacing w:before="0"/>
        <w:ind w:left="360" w:hanging="360"/>
        <w:rPr>
          <w:color w:val="auto"/>
          <w:sz w:val="20"/>
          <w:szCs w:val="20"/>
        </w:rPr>
      </w:pPr>
      <w:bookmarkStart w:id="0" w:name="_Toc41343315"/>
      <w:r w:rsidRPr="00EE6FD2">
        <w:rPr>
          <w:color w:val="auto"/>
          <w:sz w:val="20"/>
          <w:szCs w:val="20"/>
        </w:rPr>
        <w:lastRenderedPageBreak/>
        <w:t>SUMMARY</w:t>
      </w:r>
      <w:bookmarkEnd w:id="0"/>
      <w:r w:rsidRPr="00EE6FD2">
        <w:rPr>
          <w:color w:val="auto"/>
          <w:sz w:val="20"/>
          <w:szCs w:val="20"/>
        </w:rPr>
        <w:t xml:space="preserve"> </w:t>
      </w:r>
    </w:p>
    <w:p w14:paraId="1BECFC7C" w14:textId="77777777" w:rsidR="001061FC" w:rsidRPr="00EE6FD2" w:rsidRDefault="001061FC" w:rsidP="001061FC">
      <w:pPr>
        <w:tabs>
          <w:tab w:val="left" w:pos="360"/>
        </w:tabs>
        <w:suppressAutoHyphens/>
        <w:ind w:left="360"/>
        <w:rPr>
          <w:rFonts w:asciiTheme="majorHAnsi" w:hAnsiTheme="majorHAnsi"/>
          <w:b/>
          <w:sz w:val="20"/>
          <w:szCs w:val="20"/>
          <w:lang w:val="es-ES_tradnl"/>
        </w:rPr>
      </w:pPr>
    </w:p>
    <w:p w14:paraId="6D9EE634" w14:textId="77777777" w:rsidR="001061FC" w:rsidRPr="00EE6FD2" w:rsidRDefault="001061FC" w:rsidP="00F069FF">
      <w:pPr>
        <w:pStyle w:val="parrafos"/>
        <w:ind w:left="0" w:firstLine="0"/>
      </w:pPr>
      <w:r w:rsidRPr="00EE6FD2">
        <w:rPr>
          <w:color w:val="auto"/>
        </w:rPr>
        <w:t xml:space="preserve">On </w:t>
      </w:r>
      <w:r w:rsidR="00B90F45" w:rsidRPr="00EE6FD2">
        <w:rPr>
          <w:color w:val="auto"/>
        </w:rPr>
        <w:t>November 20, 2011</w:t>
      </w:r>
      <w:r w:rsidRPr="00EE6FD2">
        <w:rPr>
          <w:color w:val="auto"/>
        </w:rPr>
        <w:t>, the Inter-American Commission on Human Rights (the “Inter-American Commission” or “IACHR”) received a petition and request for precautionary measures</w:t>
      </w:r>
      <w:r w:rsidRPr="00EE6FD2">
        <w:rPr>
          <w:rStyle w:val="FootnoteReference"/>
          <w:color w:val="auto"/>
          <w:lang w:val="es-ES_tradnl"/>
        </w:rPr>
        <w:footnoteReference w:id="2"/>
      </w:r>
      <w:r w:rsidRPr="00EE6FD2">
        <w:rPr>
          <w:color w:val="auto"/>
        </w:rPr>
        <w:t xml:space="preserve"> presented by </w:t>
      </w:r>
      <w:r w:rsidR="00B90F45" w:rsidRPr="00EE6FD2">
        <w:rPr>
          <w:color w:val="auto"/>
        </w:rPr>
        <w:t>Francisco Serrano</w:t>
      </w:r>
      <w:r w:rsidRPr="00EE6FD2">
        <w:rPr>
          <w:color w:val="auto"/>
        </w:rPr>
        <w:t xml:space="preserve"> (the “petitioner”)</w:t>
      </w:r>
      <w:r w:rsidRPr="00EE6FD2">
        <w:rPr>
          <w:rStyle w:val="FootnoteReference"/>
          <w:color w:val="auto"/>
        </w:rPr>
        <w:footnoteReference w:id="3"/>
      </w:r>
      <w:r w:rsidRPr="00EE6FD2">
        <w:rPr>
          <w:color w:val="auto"/>
        </w:rPr>
        <w:t xml:space="preserve"> </w:t>
      </w:r>
      <w:r w:rsidR="008959ED" w:rsidRPr="00EE6FD2">
        <w:rPr>
          <w:color w:val="auto"/>
        </w:rPr>
        <w:t>alleging</w:t>
      </w:r>
      <w:r w:rsidRPr="00EE6FD2">
        <w:rPr>
          <w:color w:val="auto"/>
        </w:rPr>
        <w:t xml:space="preserve"> the international responsibility of </w:t>
      </w:r>
      <w:r w:rsidR="00B90F45" w:rsidRPr="00EE6FD2">
        <w:rPr>
          <w:color w:val="auto"/>
        </w:rPr>
        <w:t>the United States of America</w:t>
      </w:r>
      <w:r w:rsidRPr="00EE6FD2">
        <w:rPr>
          <w:color w:val="auto"/>
        </w:rPr>
        <w:t xml:space="preserve"> (the “State” or “</w:t>
      </w:r>
      <w:r w:rsidR="00B90F45" w:rsidRPr="00EE6FD2">
        <w:rPr>
          <w:color w:val="auto"/>
        </w:rPr>
        <w:t>the United States</w:t>
      </w:r>
      <w:r w:rsidRPr="00EE6FD2">
        <w:rPr>
          <w:color w:val="auto"/>
        </w:rPr>
        <w:t xml:space="preserve">”) for violations of the human rights of </w:t>
      </w:r>
      <w:r w:rsidR="00B90F45" w:rsidRPr="00EE6FD2">
        <w:rPr>
          <w:color w:val="auto"/>
        </w:rPr>
        <w:t>Nelson Ivan Serrano Saenz</w:t>
      </w:r>
      <w:r w:rsidR="004B5893" w:rsidRPr="00EE6FD2">
        <w:rPr>
          <w:color w:val="auto"/>
        </w:rPr>
        <w:t xml:space="preserve"> (“Mr. Serrano</w:t>
      </w:r>
      <w:r w:rsidR="00771B3A" w:rsidRPr="00EE6FD2">
        <w:rPr>
          <w:color w:val="auto"/>
        </w:rPr>
        <w:t>”</w:t>
      </w:r>
      <w:r w:rsidR="004B5893" w:rsidRPr="00EE6FD2">
        <w:rPr>
          <w:color w:val="auto"/>
        </w:rPr>
        <w:t>)</w:t>
      </w:r>
      <w:r w:rsidR="00B90F45" w:rsidRPr="00EE6FD2">
        <w:rPr>
          <w:color w:val="auto"/>
        </w:rPr>
        <w:t xml:space="preserve">, </w:t>
      </w:r>
      <w:r w:rsidR="00881E4C" w:rsidRPr="00EE6FD2">
        <w:rPr>
          <w:color w:val="auto"/>
        </w:rPr>
        <w:t xml:space="preserve">a dual citizen of Ecuador and the United States </w:t>
      </w:r>
      <w:r w:rsidR="00B90F45" w:rsidRPr="00EE6FD2">
        <w:rPr>
          <w:color w:val="auto"/>
        </w:rPr>
        <w:t>who</w:t>
      </w:r>
      <w:r w:rsidR="00E6080B" w:rsidRPr="00EE6FD2">
        <w:rPr>
          <w:color w:val="auto"/>
        </w:rPr>
        <w:t xml:space="preserve"> is on death row in Florida</w:t>
      </w:r>
      <w:r w:rsidRPr="00EE6FD2">
        <w:t xml:space="preserve">. </w:t>
      </w:r>
    </w:p>
    <w:p w14:paraId="03F24BD6" w14:textId="77777777" w:rsidR="001061FC" w:rsidRPr="00EE6FD2" w:rsidRDefault="001061FC" w:rsidP="00F069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rPr>
          <w:rFonts w:asciiTheme="majorHAnsi" w:hAnsiTheme="majorHAnsi"/>
          <w:color w:val="000000" w:themeColor="text1"/>
          <w:sz w:val="20"/>
          <w:szCs w:val="20"/>
        </w:rPr>
      </w:pPr>
    </w:p>
    <w:p w14:paraId="0153F66F" w14:textId="77777777" w:rsidR="001061FC" w:rsidRPr="00EE6FD2" w:rsidRDefault="00B90F45" w:rsidP="00F069FF">
      <w:pPr>
        <w:pStyle w:val="parrafos"/>
        <w:ind w:left="0" w:firstLine="0"/>
      </w:pPr>
      <w:r w:rsidRPr="00EE6FD2">
        <w:t>On August 10, 2017, the Commission</w:t>
      </w:r>
      <w:r w:rsidR="00C20519" w:rsidRPr="00EE6FD2">
        <w:t xml:space="preserve"> notified the parties of the application of Article 36(3) of its Rules of Procedure, since the petition falls within the criteria established in it</w:t>
      </w:r>
      <w:r w:rsidR="002E270B" w:rsidRPr="00EE6FD2">
        <w:t>s</w:t>
      </w:r>
      <w:r w:rsidR="00C20519" w:rsidRPr="00EE6FD2">
        <w:t xml:space="preserve"> Resolution 1/16, and </w:t>
      </w:r>
      <w:r w:rsidR="001061FC" w:rsidRPr="00EE6FD2">
        <w:t xml:space="preserve">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 </w:t>
      </w:r>
    </w:p>
    <w:p w14:paraId="0D21C1D1" w14:textId="77777777" w:rsidR="001061FC" w:rsidRPr="00EE6FD2" w:rsidRDefault="001061FC" w:rsidP="001061FC">
      <w:pPr>
        <w:pStyle w:val="ListParagraph"/>
        <w:tabs>
          <w:tab w:val="left" w:pos="360"/>
        </w:tabs>
        <w:rPr>
          <w:color w:val="000000" w:themeColor="text1"/>
          <w:sz w:val="20"/>
          <w:szCs w:val="20"/>
        </w:rPr>
      </w:pPr>
    </w:p>
    <w:p w14:paraId="631518F6" w14:textId="77777777" w:rsidR="001061FC" w:rsidRPr="00EE6FD2" w:rsidRDefault="001061FC" w:rsidP="00D83C3C">
      <w:pPr>
        <w:pStyle w:val="Heading1"/>
        <w:keepNext w:val="0"/>
        <w:keepLines w:val="0"/>
        <w:numPr>
          <w:ilvl w:val="0"/>
          <w:numId w:val="55"/>
        </w:numPr>
        <w:suppressAutoHyphens/>
        <w:spacing w:before="0"/>
        <w:ind w:left="360" w:hanging="360"/>
        <w:rPr>
          <w:color w:val="auto"/>
          <w:sz w:val="20"/>
          <w:szCs w:val="20"/>
        </w:rPr>
      </w:pPr>
      <w:bookmarkStart w:id="1" w:name="_Toc41343316"/>
      <w:r w:rsidRPr="00EE6FD2">
        <w:rPr>
          <w:color w:val="auto"/>
          <w:sz w:val="20"/>
          <w:szCs w:val="20"/>
        </w:rPr>
        <w:t>POSITIONS OF THE PARTIES</w:t>
      </w:r>
      <w:bookmarkEnd w:id="1"/>
    </w:p>
    <w:p w14:paraId="3B6B76E3" w14:textId="77777777" w:rsidR="001061FC" w:rsidRPr="00EE6FD2" w:rsidRDefault="001061FC" w:rsidP="001061FC">
      <w:pPr>
        <w:tabs>
          <w:tab w:val="left" w:pos="360"/>
        </w:tabs>
        <w:suppressAutoHyphens/>
        <w:rPr>
          <w:rFonts w:asciiTheme="majorHAnsi" w:hAnsiTheme="majorHAnsi"/>
          <w:sz w:val="20"/>
          <w:szCs w:val="20"/>
          <w:lang w:val="es-ES_tradnl"/>
        </w:rPr>
      </w:pPr>
    </w:p>
    <w:p w14:paraId="24BCB8A2" w14:textId="77777777" w:rsidR="001061FC" w:rsidRPr="00EE6FD2" w:rsidRDefault="002F6446" w:rsidP="00D83C3C">
      <w:pPr>
        <w:pStyle w:val="Heading2"/>
        <w:keepNext w:val="0"/>
        <w:keepLines w:val="0"/>
        <w:numPr>
          <w:ilvl w:val="0"/>
          <w:numId w:val="56"/>
        </w:numPr>
        <w:tabs>
          <w:tab w:val="left" w:pos="360"/>
        </w:tabs>
        <w:suppressAutoHyphens/>
        <w:spacing w:before="0"/>
        <w:ind w:left="360"/>
        <w:rPr>
          <w:color w:val="auto"/>
          <w:sz w:val="20"/>
          <w:szCs w:val="20"/>
        </w:rPr>
      </w:pPr>
      <w:bookmarkStart w:id="2" w:name="_Toc41343317"/>
      <w:r w:rsidRPr="00EE6FD2">
        <w:rPr>
          <w:color w:val="auto"/>
          <w:sz w:val="20"/>
          <w:szCs w:val="20"/>
        </w:rPr>
        <w:t>Petitioner</w:t>
      </w:r>
      <w:bookmarkEnd w:id="2"/>
    </w:p>
    <w:p w14:paraId="7703F457" w14:textId="77777777" w:rsidR="001061FC" w:rsidRPr="00EE6FD2" w:rsidRDefault="001061FC" w:rsidP="001061FC">
      <w:pPr>
        <w:tabs>
          <w:tab w:val="left" w:pos="360"/>
        </w:tabs>
        <w:suppressAutoHyphens/>
        <w:rPr>
          <w:rFonts w:asciiTheme="majorHAnsi" w:hAnsiTheme="majorHAnsi"/>
          <w:sz w:val="20"/>
          <w:szCs w:val="20"/>
          <w:lang w:val="es-ES_tradnl"/>
        </w:rPr>
      </w:pPr>
    </w:p>
    <w:p w14:paraId="6DC1B779" w14:textId="77777777" w:rsidR="007D191E" w:rsidRPr="00EE6FD2" w:rsidRDefault="007D191E" w:rsidP="00F069FF">
      <w:pPr>
        <w:pStyle w:val="parrafos"/>
        <w:ind w:left="0" w:firstLine="0"/>
      </w:pPr>
      <w:r w:rsidRPr="00EE6FD2">
        <w:t>The petitioner allege</w:t>
      </w:r>
      <w:r w:rsidR="00972E1D" w:rsidRPr="00EE6FD2">
        <w:t>s</w:t>
      </w:r>
      <w:r w:rsidRPr="00EE6FD2">
        <w:t xml:space="preserve"> that</w:t>
      </w:r>
      <w:r w:rsidR="00E6080B" w:rsidRPr="00EE6FD2">
        <w:t xml:space="preserve"> </w:t>
      </w:r>
      <w:r w:rsidR="00B712E9" w:rsidRPr="00EE6FD2">
        <w:t xml:space="preserve">in August, </w:t>
      </w:r>
      <w:r w:rsidR="005B0E72" w:rsidRPr="00EE6FD2">
        <w:t>2002</w:t>
      </w:r>
      <w:r w:rsidR="00B712E9" w:rsidRPr="00EE6FD2">
        <w:t xml:space="preserve">, </w:t>
      </w:r>
      <w:r w:rsidR="008959ED" w:rsidRPr="00EE6FD2">
        <w:t xml:space="preserve">Mr. Serrano, a dual citizen of Ecuador and the United States, was abducted and </w:t>
      </w:r>
      <w:r w:rsidR="009C6C25" w:rsidRPr="00EE6FD2">
        <w:t xml:space="preserve">illegally </w:t>
      </w:r>
      <w:r w:rsidR="00500E3E" w:rsidRPr="00EE6FD2">
        <w:t xml:space="preserve">extradited </w:t>
      </w:r>
      <w:r w:rsidR="008959ED" w:rsidRPr="00EE6FD2">
        <w:t>from Ecuador to the United States to stand trial for four murders committed in Florida in 1997</w:t>
      </w:r>
      <w:r w:rsidRPr="00EE6FD2">
        <w:t>.</w:t>
      </w:r>
      <w:r w:rsidR="008959ED" w:rsidRPr="00EE6FD2">
        <w:t xml:space="preserve"> He alleges that, despite strong exculpatory evidence, including a</w:t>
      </w:r>
      <w:r w:rsidR="00500E3E" w:rsidRPr="00EE6FD2">
        <w:t xml:space="preserve">n alibi </w:t>
      </w:r>
      <w:r w:rsidR="008959ED" w:rsidRPr="00EE6FD2">
        <w:t xml:space="preserve">corroborated </w:t>
      </w:r>
      <w:r w:rsidR="00500E3E" w:rsidRPr="00EE6FD2">
        <w:t>by video evidence</w:t>
      </w:r>
      <w:r w:rsidR="008959ED" w:rsidRPr="00EE6FD2">
        <w:t>, inconsistent witness testimony, and the absence of any legitimate forensic evidence against him; Mr. Serrano was convicted and sentenced to death in 2007.</w:t>
      </w:r>
      <w:r w:rsidR="00C963E4" w:rsidRPr="00EE6FD2">
        <w:t xml:space="preserve"> </w:t>
      </w:r>
    </w:p>
    <w:p w14:paraId="3BA87F30" w14:textId="77777777" w:rsidR="00F51611" w:rsidRPr="00EE6FD2" w:rsidRDefault="00F51611" w:rsidP="00F069FF">
      <w:pPr>
        <w:pStyle w:val="parrafos"/>
        <w:numPr>
          <w:ilvl w:val="0"/>
          <w:numId w:val="0"/>
        </w:numPr>
      </w:pPr>
    </w:p>
    <w:p w14:paraId="4A24335F" w14:textId="77777777" w:rsidR="00F51611" w:rsidRPr="00EE6FD2" w:rsidRDefault="00F51611" w:rsidP="00F069FF">
      <w:pPr>
        <w:pStyle w:val="parrafos"/>
        <w:ind w:left="0" w:firstLine="0"/>
      </w:pPr>
      <w:r w:rsidRPr="00EE6FD2">
        <w:t>According to the petitioner, one week prior to Mr. Serrano’s illegal rendition, the U.S. sent a formal diplomatic request for his extradition under its bilateral treaty with Ecuador. In its extradition request letter to Ecuador, the U.S. stated that in exchange for Ecuador’s cooperation in Mr. Serrano’s extradition, “the</w:t>
      </w:r>
      <w:r w:rsidR="006257DF" w:rsidRPr="00EE6FD2">
        <w:t xml:space="preserve"> death</w:t>
      </w:r>
      <w:r w:rsidRPr="00EE6FD2">
        <w:t xml:space="preserve"> penalty will not be sought or imposed” in his case. The petitioner states that on August 31, 2002, in complete disregard </w:t>
      </w:r>
      <w:r w:rsidR="00451F0E" w:rsidRPr="00EE6FD2">
        <w:t>of</w:t>
      </w:r>
      <w:r w:rsidRPr="00EE6FD2">
        <w:t xml:space="preserve"> the official State Department request, Florida authorities resorted to illegal rendition. Once Mr. Serrano was abducted and </w:t>
      </w:r>
      <w:r w:rsidR="009C6C25" w:rsidRPr="00EE6FD2">
        <w:t xml:space="preserve">illegally </w:t>
      </w:r>
      <w:r w:rsidR="00500E3E" w:rsidRPr="00EE6FD2">
        <w:t xml:space="preserve">extradited </w:t>
      </w:r>
      <w:r w:rsidRPr="00EE6FD2">
        <w:t>by the U</w:t>
      </w:r>
      <w:r w:rsidR="00451F0E" w:rsidRPr="00EE6FD2">
        <w:t>nited States</w:t>
      </w:r>
      <w:r w:rsidRPr="00EE6FD2">
        <w:t xml:space="preserve">, the prosecution sought the death penalty in defiance of the U.S.’s diplomatic assurance to Ecuador. </w:t>
      </w:r>
    </w:p>
    <w:p w14:paraId="69D3A2AB" w14:textId="77777777" w:rsidR="00927C0B" w:rsidRPr="00EE6FD2" w:rsidRDefault="00927C0B" w:rsidP="00F069FF">
      <w:pPr>
        <w:pStyle w:val="parrafos"/>
        <w:numPr>
          <w:ilvl w:val="0"/>
          <w:numId w:val="0"/>
        </w:numPr>
      </w:pPr>
    </w:p>
    <w:p w14:paraId="77146E2F" w14:textId="77777777" w:rsidR="00B51043" w:rsidRPr="00EE6FD2" w:rsidRDefault="00927C0B" w:rsidP="00F069FF">
      <w:pPr>
        <w:pStyle w:val="parrafos"/>
        <w:ind w:left="0" w:firstLine="0"/>
      </w:pPr>
      <w:r w:rsidRPr="00EE6FD2">
        <w:t xml:space="preserve">The petitioner indicates that Ecuador has taken responsibility for its role in violating Mr. Serrano’s rights and sent a note of protest to the U.S. demanding his return to Ecuador. The Florida Supreme Court instead relied on U.S. Supreme Court jurisprudence to declare that Mr. Serrano has no basis to challenge the manner in which he was brought into the country to face suit for a crime. </w:t>
      </w:r>
      <w:r w:rsidR="00B51043" w:rsidRPr="00EE6FD2">
        <w:t xml:space="preserve">According to the petitioner, the practice of irregular rendition is allowed in routine criminal matters under domestic law. </w:t>
      </w:r>
    </w:p>
    <w:p w14:paraId="65D3E8C6" w14:textId="77777777" w:rsidR="00B51043" w:rsidRPr="00EE6FD2" w:rsidRDefault="00B51043" w:rsidP="00B51043">
      <w:pPr>
        <w:pStyle w:val="ListParagraph"/>
      </w:pPr>
    </w:p>
    <w:p w14:paraId="0D95DCC2" w14:textId="77777777" w:rsidR="001061FC" w:rsidRPr="00EE6FD2" w:rsidRDefault="00B51043" w:rsidP="00D83C3C">
      <w:pPr>
        <w:pStyle w:val="parrafos"/>
        <w:tabs>
          <w:tab w:val="left" w:pos="720"/>
        </w:tabs>
        <w:ind w:left="0" w:firstLine="0"/>
        <w:rPr>
          <w:rFonts w:ascii="Cambria" w:hAnsi="Cambria"/>
        </w:rPr>
      </w:pPr>
      <w:r w:rsidRPr="00EE6FD2">
        <w:t>Further, t</w:t>
      </w:r>
      <w:r w:rsidR="00927C0B" w:rsidRPr="00EE6FD2">
        <w:t>he petitioner alleges that</w:t>
      </w:r>
      <w:r w:rsidR="004D2B6F" w:rsidRPr="00EE6FD2">
        <w:t>, during Mr. Serrano’s trial, the prosecution concealed exculpatory evidence, including DNA evidence and crucial knowledge regarding Mr. Serrano’s alibi that would have demonstrated his innocence. He further affirms that Mr. Serrano’s state-appointed trial attorneys negligently failed to call attention to inaccuracies in the state’s theory.</w:t>
      </w:r>
      <w:r w:rsidRPr="00EE6FD2">
        <w:t xml:space="preserve"> </w:t>
      </w:r>
      <w:r w:rsidR="00C963E4" w:rsidRPr="00EE6FD2">
        <w:rPr>
          <w:rFonts w:ascii="Cambria" w:hAnsi="Cambria"/>
        </w:rPr>
        <w:t xml:space="preserve">According to the petitioner, this mishandling of the case is the result of collusion among an entire law enforcement division in Polk County, Florida (including the Office of the Prosecutor and the Court) allegedly committed to </w:t>
      </w:r>
      <w:r w:rsidR="00E375D2" w:rsidRPr="00EE6FD2">
        <w:rPr>
          <w:rFonts w:ascii="Cambria" w:hAnsi="Cambria"/>
        </w:rPr>
        <w:t xml:space="preserve">illegally rendering and convicting Mr. Serrano for four murders despite the complete lack of evidence against him. The petitioner alleges that the prosecutors ignored substantial exculpatory evidence, as did Mr. Serrano’s state-appointed defense attorneys. </w:t>
      </w:r>
      <w:r w:rsidR="00C963E4" w:rsidRPr="00EE6FD2">
        <w:rPr>
          <w:rFonts w:ascii="Cambria" w:hAnsi="Cambria"/>
        </w:rPr>
        <w:t xml:space="preserve"> </w:t>
      </w:r>
    </w:p>
    <w:p w14:paraId="4942B65F" w14:textId="77777777" w:rsidR="003C5117" w:rsidRPr="00EE6FD2" w:rsidRDefault="003C5117" w:rsidP="00F069FF">
      <w:pPr>
        <w:pStyle w:val="ListParagraph"/>
        <w:ind w:left="0"/>
        <w:rPr>
          <w:color w:val="000000" w:themeColor="text1"/>
          <w:sz w:val="20"/>
          <w:szCs w:val="20"/>
        </w:rPr>
      </w:pPr>
    </w:p>
    <w:p w14:paraId="1F5B47AF" w14:textId="77777777" w:rsidR="003C5117" w:rsidRPr="00EE6FD2" w:rsidRDefault="003C5117" w:rsidP="00F069FF">
      <w:pPr>
        <w:pStyle w:val="parrafos"/>
        <w:ind w:left="0" w:firstLine="0"/>
      </w:pPr>
      <w:r w:rsidRPr="00EE6FD2">
        <w:t>With regard to the requirement of exhaustion of domestic remedies,</w:t>
      </w:r>
      <w:r w:rsidR="00B712E9" w:rsidRPr="00EE6FD2">
        <w:t xml:space="preserve"> the petitioner indicates that Mr. Serrano’s conviction and sentence were affirmed on direct appeal. I</w:t>
      </w:r>
      <w:r w:rsidR="00F60110" w:rsidRPr="00EE6FD2">
        <w:t xml:space="preserve">n his last communication </w:t>
      </w:r>
      <w:r w:rsidRPr="00EE6FD2">
        <w:t>the petitioner state</w:t>
      </w:r>
      <w:r w:rsidR="00F60110" w:rsidRPr="00EE6FD2">
        <w:t>d</w:t>
      </w:r>
      <w:r w:rsidRPr="00EE6FD2">
        <w:t xml:space="preserve"> that</w:t>
      </w:r>
      <w:r w:rsidR="00F60110" w:rsidRPr="00EE6FD2">
        <w:t xml:space="preserve"> the U.S. Supreme Court denied Mr. Serrano’s petition for writ of certiorari on February 20, 2018, </w:t>
      </w:r>
      <w:r w:rsidR="00F60110" w:rsidRPr="00EE6FD2">
        <w:lastRenderedPageBreak/>
        <w:t xml:space="preserve">and that </w:t>
      </w:r>
      <w:r w:rsidR="00CE609B" w:rsidRPr="00EE6FD2">
        <w:t>there are</w:t>
      </w:r>
      <w:r w:rsidR="00F60110" w:rsidRPr="00EE6FD2">
        <w:t xml:space="preserve"> no </w:t>
      </w:r>
      <w:r w:rsidR="00660F1C" w:rsidRPr="00EE6FD2">
        <w:t>additional remedies that are adequate and effective</w:t>
      </w:r>
      <w:r w:rsidR="00F60110" w:rsidRPr="00EE6FD2">
        <w:t xml:space="preserve">. </w:t>
      </w:r>
      <w:r w:rsidR="00307BBF" w:rsidRPr="00EE6FD2">
        <w:t xml:space="preserve">With regard to the Hurst decision issued by the U.S. Supreme Court, </w:t>
      </w:r>
      <w:r w:rsidR="00591D59" w:rsidRPr="00EE6FD2">
        <w:t>declaring Florida’s capital sentencing scheme unconstitutional</w:t>
      </w:r>
      <w:r w:rsidR="00307BBF" w:rsidRPr="00EE6FD2">
        <w:t xml:space="preserve">, the petitioner alleges that it does not present new domestic remedies for a determination of admissibility, because there is still the possibility that the State will execute Mr. Serrano. </w:t>
      </w:r>
      <w:r w:rsidR="00660F1C" w:rsidRPr="00EE6FD2">
        <w:t xml:space="preserve">The petitioner concludes that the United States has violated </w:t>
      </w:r>
      <w:r w:rsidR="00591D59" w:rsidRPr="00EE6FD2">
        <w:t xml:space="preserve">the rights to life, to residence and movement, to a fair trial, to nationality, to protection from arbitrary arrest and to due process of law established in </w:t>
      </w:r>
      <w:r w:rsidR="00660F1C" w:rsidRPr="00EE6FD2">
        <w:t xml:space="preserve">Articles I, VIII, </w:t>
      </w:r>
      <w:r w:rsidR="004C4565" w:rsidRPr="00EE6FD2">
        <w:t xml:space="preserve">XVIII, XIX, </w:t>
      </w:r>
      <w:r w:rsidR="00660F1C" w:rsidRPr="00EE6FD2">
        <w:t>XXV</w:t>
      </w:r>
      <w:r w:rsidR="001075AE" w:rsidRPr="00EE6FD2">
        <w:t xml:space="preserve"> and</w:t>
      </w:r>
      <w:r w:rsidR="00660F1C" w:rsidRPr="00EE6FD2">
        <w:t xml:space="preserve"> XXVI of the American Declaration.  </w:t>
      </w:r>
    </w:p>
    <w:p w14:paraId="0BD9D101" w14:textId="77777777" w:rsidR="001061FC" w:rsidRPr="00EE6FD2" w:rsidRDefault="001061FC" w:rsidP="001061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630"/>
        <w:jc w:val="both"/>
        <w:rPr>
          <w:rFonts w:ascii="Cambria" w:hAnsi="Cambria"/>
          <w:color w:val="000000" w:themeColor="text1"/>
          <w:sz w:val="20"/>
          <w:szCs w:val="20"/>
        </w:rPr>
      </w:pPr>
    </w:p>
    <w:p w14:paraId="3E33D154" w14:textId="77777777" w:rsidR="001061FC" w:rsidRPr="00EE6FD2" w:rsidRDefault="001061FC" w:rsidP="00D83C3C">
      <w:pPr>
        <w:pStyle w:val="Heading2"/>
        <w:keepNext w:val="0"/>
        <w:keepLines w:val="0"/>
        <w:numPr>
          <w:ilvl w:val="0"/>
          <w:numId w:val="56"/>
        </w:numPr>
        <w:tabs>
          <w:tab w:val="left" w:pos="360"/>
        </w:tabs>
        <w:suppressAutoHyphens/>
        <w:spacing w:before="0"/>
        <w:ind w:left="360"/>
        <w:rPr>
          <w:color w:val="auto"/>
          <w:sz w:val="20"/>
          <w:szCs w:val="20"/>
        </w:rPr>
      </w:pPr>
      <w:bookmarkStart w:id="3" w:name="_Toc41343318"/>
      <w:r w:rsidRPr="00EE6FD2">
        <w:rPr>
          <w:color w:val="auto"/>
          <w:sz w:val="20"/>
          <w:szCs w:val="20"/>
        </w:rPr>
        <w:t>State</w:t>
      </w:r>
      <w:bookmarkEnd w:id="3"/>
    </w:p>
    <w:p w14:paraId="64F265AB" w14:textId="77777777" w:rsidR="001061FC" w:rsidRPr="00EE6FD2" w:rsidRDefault="001061FC" w:rsidP="001061FC">
      <w:pPr>
        <w:tabs>
          <w:tab w:val="left" w:pos="360"/>
        </w:tabs>
        <w:suppressAutoHyphens/>
        <w:rPr>
          <w:rFonts w:asciiTheme="majorHAnsi" w:hAnsiTheme="majorHAnsi"/>
          <w:sz w:val="20"/>
          <w:szCs w:val="20"/>
        </w:rPr>
      </w:pPr>
    </w:p>
    <w:p w14:paraId="42334F60" w14:textId="77777777" w:rsidR="001061FC" w:rsidRPr="00EE6FD2" w:rsidRDefault="007C6EBF" w:rsidP="00D83C3C">
      <w:pPr>
        <w:pStyle w:val="parrafos"/>
        <w:ind w:left="0" w:firstLine="0"/>
      </w:pPr>
      <w:r w:rsidRPr="00EE6FD2">
        <w:t xml:space="preserve">The State </w:t>
      </w:r>
      <w:r w:rsidR="001061FC" w:rsidRPr="00EE6FD2">
        <w:t xml:space="preserve">did not present </w:t>
      </w:r>
      <w:r w:rsidRPr="00EE6FD2">
        <w:t xml:space="preserve">additional </w:t>
      </w:r>
      <w:r w:rsidR="001061FC" w:rsidRPr="00EE6FD2">
        <w:t xml:space="preserve">observations </w:t>
      </w:r>
      <w:r w:rsidR="0016349D" w:rsidRPr="00EE6FD2">
        <w:t>at</w:t>
      </w:r>
      <w:r w:rsidR="001061FC" w:rsidRPr="00EE6FD2">
        <w:t xml:space="preserve"> the merits stage</w:t>
      </w:r>
      <w:r w:rsidR="004C000D" w:rsidRPr="00EE6FD2">
        <w:t>. D</w:t>
      </w:r>
      <w:r w:rsidR="001061FC" w:rsidRPr="00EE6FD2">
        <w:t>uring the admissibility stage</w:t>
      </w:r>
      <w:r w:rsidR="004C000D" w:rsidRPr="00EE6FD2">
        <w:t>, t</w:t>
      </w:r>
      <w:r w:rsidRPr="00EE6FD2">
        <w:t>he United States allege</w:t>
      </w:r>
      <w:r w:rsidR="004C000D" w:rsidRPr="00EE6FD2">
        <w:t>d</w:t>
      </w:r>
      <w:r w:rsidRPr="00EE6FD2">
        <w:t xml:space="preserve"> that the petitioner ha</w:t>
      </w:r>
      <w:r w:rsidR="00451F0E" w:rsidRPr="00EE6FD2">
        <w:t>d</w:t>
      </w:r>
      <w:r w:rsidRPr="00EE6FD2">
        <w:t xml:space="preserve"> not exhausted domestic remedies and that he “has made no representation that these proceedings have suffered from an undue delay or any other defect that obviates the exhaustion requirement.” </w:t>
      </w:r>
      <w:r w:rsidR="00996061" w:rsidRPr="00EE6FD2">
        <w:t xml:space="preserve">Specifically, the State alleged that the appeal to the post-conviction judgment of the Circuit Court of Polk County of December 29, 2014, that was pending at the time, could result in Mr. Serrano’s sentence being vacated. </w:t>
      </w:r>
      <w:r w:rsidR="00845E57" w:rsidRPr="00EE6FD2">
        <w:t>The State concludes that the petition is therefore inadmissible and should be dismissed.</w:t>
      </w:r>
      <w:r w:rsidR="004C000D" w:rsidRPr="00EE6FD2">
        <w:t xml:space="preserve"> The United States </w:t>
      </w:r>
      <w:r w:rsidR="00E86944" w:rsidRPr="00EE6FD2">
        <w:t>has not presented any arguments related to the merits.</w:t>
      </w:r>
    </w:p>
    <w:p w14:paraId="4578F230" w14:textId="77777777" w:rsidR="001061FC" w:rsidRPr="00EE6FD2" w:rsidRDefault="001061FC" w:rsidP="00684459">
      <w:pPr>
        <w:pStyle w:val="ListParagraph"/>
        <w:tabs>
          <w:tab w:val="left" w:pos="360"/>
        </w:tabs>
        <w:rPr>
          <w:color w:val="auto"/>
          <w:sz w:val="20"/>
          <w:szCs w:val="20"/>
        </w:rPr>
      </w:pPr>
    </w:p>
    <w:p w14:paraId="4BEFECE2" w14:textId="77777777" w:rsidR="000C367D" w:rsidRPr="00EE6FD2" w:rsidRDefault="000C367D" w:rsidP="00D83C3C">
      <w:pPr>
        <w:pStyle w:val="Heading1"/>
        <w:keepNext w:val="0"/>
        <w:keepLines w:val="0"/>
        <w:numPr>
          <w:ilvl w:val="0"/>
          <w:numId w:val="55"/>
        </w:numPr>
        <w:suppressAutoHyphens/>
        <w:spacing w:before="0"/>
        <w:ind w:left="360" w:hanging="360"/>
        <w:rPr>
          <w:color w:val="auto"/>
          <w:sz w:val="20"/>
          <w:szCs w:val="20"/>
        </w:rPr>
      </w:pPr>
      <w:bookmarkStart w:id="4" w:name="_Toc41343319"/>
      <w:r w:rsidRPr="00EE6FD2">
        <w:rPr>
          <w:color w:val="auto"/>
          <w:sz w:val="20"/>
          <w:szCs w:val="20"/>
        </w:rPr>
        <w:t>ADMISSIBILITY</w:t>
      </w:r>
      <w:bookmarkEnd w:id="4"/>
    </w:p>
    <w:p w14:paraId="4E5F84F3" w14:textId="77777777" w:rsidR="000C367D" w:rsidRPr="00EE6FD2" w:rsidRDefault="000C367D" w:rsidP="000C367D">
      <w:pPr>
        <w:pStyle w:val="Heading1"/>
        <w:keepNext w:val="0"/>
        <w:keepLines w:val="0"/>
        <w:numPr>
          <w:ilvl w:val="0"/>
          <w:numId w:val="0"/>
        </w:numPr>
        <w:suppressAutoHyphens/>
        <w:spacing w:before="0"/>
        <w:ind w:left="360"/>
        <w:rPr>
          <w:color w:val="auto"/>
          <w:sz w:val="20"/>
          <w:szCs w:val="20"/>
        </w:rPr>
      </w:pPr>
    </w:p>
    <w:p w14:paraId="417C38DE" w14:textId="77777777" w:rsidR="00CC27B3" w:rsidRPr="00EE6FD2" w:rsidRDefault="00CC27B3" w:rsidP="00624C78">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5" w:name="_Toc7602623"/>
      <w:bookmarkStart w:id="6" w:name="_Toc41343320"/>
      <w:bookmarkStart w:id="7" w:name="_Toc6349142"/>
      <w:r w:rsidRPr="00EE6FD2">
        <w:rPr>
          <w:rFonts w:cs="Times New Roman"/>
          <w:color w:val="auto"/>
          <w:sz w:val="20"/>
          <w:szCs w:val="20"/>
        </w:rPr>
        <w:t xml:space="preserve">Competence, duplication of procedures and international </w:t>
      </w:r>
      <w:r w:rsidRPr="00EE6FD2">
        <w:rPr>
          <w:rFonts w:cs="Times New Roman"/>
          <w:i/>
          <w:color w:val="auto"/>
          <w:sz w:val="20"/>
          <w:szCs w:val="20"/>
        </w:rPr>
        <w:t>res judicata</w:t>
      </w:r>
      <w:bookmarkEnd w:id="5"/>
      <w:bookmarkEnd w:id="6"/>
      <w:r w:rsidRPr="00EE6FD2">
        <w:rPr>
          <w:rFonts w:cs="Times New Roman"/>
          <w:color w:val="auto"/>
          <w:sz w:val="20"/>
          <w:szCs w:val="20"/>
        </w:rPr>
        <w:t xml:space="preserve"> </w:t>
      </w:r>
      <w:bookmarkEnd w:id="7"/>
    </w:p>
    <w:p w14:paraId="559E6747" w14:textId="77777777" w:rsidR="00CC27B3" w:rsidRPr="00EE6FD2" w:rsidRDefault="00CC27B3" w:rsidP="00CC27B3">
      <w:pPr>
        <w:pStyle w:val="ListParagraph"/>
        <w:suppressAutoHyphens/>
        <w:rPr>
          <w:rFonts w:asciiTheme="majorHAnsi" w:hAnsiTheme="majorHAnsi" w:cs="Times New Roman"/>
          <w:b/>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CC27B3" w:rsidRPr="00EE6FD2" w14:paraId="365A9AE2" w14:textId="77777777" w:rsidTr="0020221F">
        <w:trPr>
          <w:cantSplit/>
        </w:trPr>
        <w:tc>
          <w:tcPr>
            <w:tcW w:w="3600" w:type="dxa"/>
            <w:tcBorders>
              <w:top w:val="single" w:sz="4" w:space="0" w:color="auto"/>
              <w:bottom w:val="single" w:sz="6" w:space="0" w:color="auto"/>
            </w:tcBorders>
            <w:shd w:val="clear" w:color="auto" w:fill="386294"/>
            <w:vAlign w:val="center"/>
          </w:tcPr>
          <w:p w14:paraId="38ECE556" w14:textId="77777777" w:rsidR="00CC27B3" w:rsidRPr="00EE6FD2" w:rsidRDefault="00CC27B3" w:rsidP="0020221F">
            <w:pPr>
              <w:jc w:val="center"/>
              <w:rPr>
                <w:rFonts w:asciiTheme="majorHAnsi" w:hAnsiTheme="majorHAnsi"/>
                <w:b/>
                <w:bCs/>
                <w:i/>
                <w:color w:val="FFFFFF" w:themeColor="background1"/>
                <w:sz w:val="20"/>
                <w:szCs w:val="20"/>
              </w:rPr>
            </w:pPr>
            <w:r w:rsidRPr="00EE6FD2">
              <w:rPr>
                <w:rFonts w:asciiTheme="majorHAnsi" w:hAnsiTheme="majorHAnsi"/>
                <w:b/>
                <w:bCs/>
                <w:color w:val="FFFFFF" w:themeColor="background1"/>
                <w:sz w:val="20"/>
                <w:szCs w:val="20"/>
              </w:rPr>
              <w:t>Competence</w:t>
            </w:r>
            <w:r w:rsidRPr="00EE6FD2">
              <w:rPr>
                <w:rFonts w:asciiTheme="majorHAnsi" w:hAnsiTheme="majorHAnsi"/>
                <w:b/>
                <w:bCs/>
                <w:i/>
                <w:color w:val="FFFFFF" w:themeColor="background1"/>
                <w:sz w:val="20"/>
                <w:szCs w:val="20"/>
              </w:rPr>
              <w:t xml:space="preserve"> Ratione personae:</w:t>
            </w:r>
          </w:p>
        </w:tc>
        <w:tc>
          <w:tcPr>
            <w:tcW w:w="5760" w:type="dxa"/>
            <w:vAlign w:val="center"/>
          </w:tcPr>
          <w:p w14:paraId="7326E636" w14:textId="77777777" w:rsidR="00CC27B3" w:rsidRPr="00EE6FD2" w:rsidRDefault="00CC27B3" w:rsidP="0020221F">
            <w:pPr>
              <w:rPr>
                <w:rFonts w:asciiTheme="majorHAnsi" w:hAnsiTheme="majorHAnsi"/>
                <w:bCs/>
                <w:sz w:val="20"/>
                <w:szCs w:val="20"/>
              </w:rPr>
            </w:pPr>
            <w:r w:rsidRPr="00EE6FD2">
              <w:rPr>
                <w:rFonts w:asciiTheme="majorHAnsi" w:hAnsiTheme="majorHAnsi"/>
                <w:bCs/>
                <w:sz w:val="20"/>
                <w:szCs w:val="20"/>
              </w:rPr>
              <w:t>Yes</w:t>
            </w:r>
          </w:p>
        </w:tc>
      </w:tr>
      <w:tr w:rsidR="00CC27B3" w:rsidRPr="00EE6FD2" w14:paraId="485534FD" w14:textId="77777777" w:rsidTr="0020221F">
        <w:trPr>
          <w:cantSplit/>
        </w:trPr>
        <w:tc>
          <w:tcPr>
            <w:tcW w:w="3600" w:type="dxa"/>
            <w:tcBorders>
              <w:top w:val="single" w:sz="6" w:space="0" w:color="auto"/>
              <w:bottom w:val="single" w:sz="6" w:space="0" w:color="auto"/>
            </w:tcBorders>
            <w:shd w:val="clear" w:color="auto" w:fill="386294"/>
            <w:vAlign w:val="center"/>
          </w:tcPr>
          <w:p w14:paraId="4CF48DEB" w14:textId="77777777" w:rsidR="00CC27B3" w:rsidRPr="00EE6FD2" w:rsidRDefault="00CC27B3" w:rsidP="0020221F">
            <w:pPr>
              <w:jc w:val="center"/>
              <w:rPr>
                <w:rFonts w:asciiTheme="majorHAnsi" w:hAnsiTheme="majorHAnsi"/>
                <w:b/>
                <w:bCs/>
                <w:color w:val="FFFFFF" w:themeColor="background1"/>
                <w:sz w:val="20"/>
                <w:szCs w:val="20"/>
              </w:rPr>
            </w:pPr>
            <w:r w:rsidRPr="00EE6FD2">
              <w:rPr>
                <w:rFonts w:asciiTheme="majorHAnsi" w:hAnsiTheme="majorHAnsi"/>
                <w:b/>
                <w:bCs/>
                <w:color w:val="FFFFFF" w:themeColor="background1"/>
                <w:sz w:val="20"/>
                <w:szCs w:val="20"/>
              </w:rPr>
              <w:t>Competence</w:t>
            </w:r>
            <w:r w:rsidRPr="00EE6FD2">
              <w:rPr>
                <w:rFonts w:asciiTheme="majorHAnsi" w:hAnsiTheme="majorHAnsi"/>
                <w:b/>
                <w:bCs/>
                <w:i/>
                <w:color w:val="FFFFFF" w:themeColor="background1"/>
                <w:sz w:val="20"/>
                <w:szCs w:val="20"/>
              </w:rPr>
              <w:t xml:space="preserve"> Ratione loci</w:t>
            </w:r>
            <w:r w:rsidRPr="00EE6FD2">
              <w:rPr>
                <w:rFonts w:asciiTheme="majorHAnsi" w:hAnsiTheme="majorHAnsi"/>
                <w:b/>
                <w:bCs/>
                <w:color w:val="FFFFFF" w:themeColor="background1"/>
                <w:sz w:val="20"/>
                <w:szCs w:val="20"/>
              </w:rPr>
              <w:t>:</w:t>
            </w:r>
          </w:p>
        </w:tc>
        <w:tc>
          <w:tcPr>
            <w:tcW w:w="5760" w:type="dxa"/>
            <w:vAlign w:val="center"/>
          </w:tcPr>
          <w:p w14:paraId="5CF54497" w14:textId="77777777" w:rsidR="00CC27B3" w:rsidRPr="00EE6FD2" w:rsidRDefault="00CC27B3" w:rsidP="0020221F">
            <w:pPr>
              <w:rPr>
                <w:rFonts w:asciiTheme="majorHAnsi" w:hAnsiTheme="majorHAnsi"/>
                <w:bCs/>
                <w:sz w:val="20"/>
                <w:szCs w:val="20"/>
              </w:rPr>
            </w:pPr>
            <w:r w:rsidRPr="00EE6FD2">
              <w:rPr>
                <w:rFonts w:asciiTheme="majorHAnsi" w:hAnsiTheme="majorHAnsi"/>
                <w:bCs/>
                <w:sz w:val="20"/>
                <w:szCs w:val="20"/>
              </w:rPr>
              <w:t>Yes</w:t>
            </w:r>
          </w:p>
        </w:tc>
      </w:tr>
      <w:tr w:rsidR="00CC27B3" w:rsidRPr="00EE6FD2" w14:paraId="3612861C" w14:textId="77777777" w:rsidTr="0020221F">
        <w:trPr>
          <w:cantSplit/>
        </w:trPr>
        <w:tc>
          <w:tcPr>
            <w:tcW w:w="3600" w:type="dxa"/>
            <w:tcBorders>
              <w:top w:val="single" w:sz="6" w:space="0" w:color="auto"/>
              <w:bottom w:val="single" w:sz="6" w:space="0" w:color="auto"/>
            </w:tcBorders>
            <w:shd w:val="clear" w:color="auto" w:fill="386294"/>
            <w:vAlign w:val="center"/>
          </w:tcPr>
          <w:p w14:paraId="07DEA97A" w14:textId="77777777" w:rsidR="00CC27B3" w:rsidRPr="00EE6FD2" w:rsidRDefault="00CC27B3" w:rsidP="0020221F">
            <w:pPr>
              <w:jc w:val="center"/>
              <w:rPr>
                <w:rFonts w:asciiTheme="majorHAnsi" w:hAnsiTheme="majorHAnsi"/>
                <w:b/>
                <w:bCs/>
                <w:color w:val="FFFFFF" w:themeColor="background1"/>
                <w:sz w:val="20"/>
                <w:szCs w:val="20"/>
              </w:rPr>
            </w:pPr>
            <w:r w:rsidRPr="00EE6FD2">
              <w:rPr>
                <w:rFonts w:asciiTheme="majorHAnsi" w:hAnsiTheme="majorHAnsi"/>
                <w:b/>
                <w:bCs/>
                <w:color w:val="FFFFFF" w:themeColor="background1"/>
                <w:sz w:val="20"/>
                <w:szCs w:val="20"/>
              </w:rPr>
              <w:t>Competence</w:t>
            </w:r>
            <w:r w:rsidRPr="00EE6FD2">
              <w:rPr>
                <w:rFonts w:asciiTheme="majorHAnsi" w:hAnsiTheme="majorHAnsi"/>
                <w:b/>
                <w:bCs/>
                <w:i/>
                <w:color w:val="FFFFFF" w:themeColor="background1"/>
                <w:sz w:val="20"/>
                <w:szCs w:val="20"/>
              </w:rPr>
              <w:t xml:space="preserve"> Ratione temporis</w:t>
            </w:r>
            <w:r w:rsidRPr="00EE6FD2">
              <w:rPr>
                <w:rFonts w:asciiTheme="majorHAnsi" w:hAnsiTheme="majorHAnsi"/>
                <w:b/>
                <w:bCs/>
                <w:color w:val="FFFFFF" w:themeColor="background1"/>
                <w:sz w:val="20"/>
                <w:szCs w:val="20"/>
              </w:rPr>
              <w:t>:</w:t>
            </w:r>
          </w:p>
        </w:tc>
        <w:tc>
          <w:tcPr>
            <w:tcW w:w="5760" w:type="dxa"/>
            <w:vAlign w:val="center"/>
          </w:tcPr>
          <w:p w14:paraId="04185F74" w14:textId="77777777" w:rsidR="00CC27B3" w:rsidRPr="00EE6FD2" w:rsidRDefault="00CC27B3" w:rsidP="0020221F">
            <w:pPr>
              <w:rPr>
                <w:rFonts w:asciiTheme="majorHAnsi" w:hAnsiTheme="majorHAnsi"/>
                <w:bCs/>
                <w:sz w:val="20"/>
                <w:szCs w:val="20"/>
              </w:rPr>
            </w:pPr>
            <w:r w:rsidRPr="00EE6FD2">
              <w:rPr>
                <w:rFonts w:asciiTheme="majorHAnsi" w:hAnsiTheme="majorHAnsi"/>
                <w:bCs/>
                <w:sz w:val="20"/>
                <w:szCs w:val="20"/>
              </w:rPr>
              <w:t>Yes</w:t>
            </w:r>
          </w:p>
        </w:tc>
      </w:tr>
      <w:tr w:rsidR="00CC27B3" w:rsidRPr="00EE6FD2" w14:paraId="6F5E44C0" w14:textId="77777777" w:rsidTr="0020221F">
        <w:trPr>
          <w:cantSplit/>
        </w:trPr>
        <w:tc>
          <w:tcPr>
            <w:tcW w:w="3600" w:type="dxa"/>
            <w:tcBorders>
              <w:top w:val="single" w:sz="6" w:space="0" w:color="auto"/>
              <w:bottom w:val="single" w:sz="6" w:space="0" w:color="auto"/>
            </w:tcBorders>
            <w:shd w:val="clear" w:color="auto" w:fill="386294"/>
            <w:vAlign w:val="center"/>
          </w:tcPr>
          <w:p w14:paraId="7FAFB703" w14:textId="77777777" w:rsidR="00CC27B3" w:rsidRPr="00EE6FD2" w:rsidRDefault="00CC27B3" w:rsidP="0020221F">
            <w:pPr>
              <w:jc w:val="center"/>
              <w:rPr>
                <w:rFonts w:asciiTheme="majorHAnsi" w:hAnsiTheme="majorHAnsi"/>
                <w:b/>
                <w:bCs/>
                <w:color w:val="FFFFFF" w:themeColor="background1"/>
                <w:sz w:val="20"/>
                <w:szCs w:val="20"/>
              </w:rPr>
            </w:pPr>
            <w:r w:rsidRPr="00EE6FD2">
              <w:rPr>
                <w:rFonts w:asciiTheme="majorHAnsi" w:hAnsiTheme="majorHAnsi"/>
                <w:b/>
                <w:bCs/>
                <w:color w:val="FFFFFF" w:themeColor="background1"/>
                <w:sz w:val="20"/>
                <w:szCs w:val="20"/>
              </w:rPr>
              <w:t>Competence</w:t>
            </w:r>
            <w:r w:rsidRPr="00EE6FD2">
              <w:rPr>
                <w:rFonts w:asciiTheme="majorHAnsi" w:hAnsiTheme="majorHAnsi"/>
                <w:b/>
                <w:bCs/>
                <w:i/>
                <w:color w:val="FFFFFF" w:themeColor="background1"/>
                <w:sz w:val="20"/>
                <w:szCs w:val="20"/>
              </w:rPr>
              <w:t xml:space="preserve"> Ratione materiae</w:t>
            </w:r>
            <w:r w:rsidRPr="00EE6FD2">
              <w:rPr>
                <w:rFonts w:asciiTheme="majorHAnsi" w:hAnsiTheme="majorHAnsi"/>
                <w:b/>
                <w:bCs/>
                <w:color w:val="FFFFFF" w:themeColor="background1"/>
                <w:sz w:val="20"/>
                <w:szCs w:val="20"/>
              </w:rPr>
              <w:t>:</w:t>
            </w:r>
          </w:p>
        </w:tc>
        <w:tc>
          <w:tcPr>
            <w:tcW w:w="5760" w:type="dxa"/>
            <w:vAlign w:val="center"/>
          </w:tcPr>
          <w:p w14:paraId="130CDBF0" w14:textId="77777777" w:rsidR="00CC27B3" w:rsidRPr="00EE6FD2" w:rsidRDefault="00CC27B3" w:rsidP="00AF4963">
            <w:pPr>
              <w:jc w:val="both"/>
              <w:rPr>
                <w:rFonts w:asciiTheme="majorHAnsi" w:hAnsiTheme="majorHAnsi"/>
                <w:bCs/>
                <w:sz w:val="20"/>
                <w:szCs w:val="20"/>
              </w:rPr>
            </w:pPr>
            <w:r w:rsidRPr="00EE6FD2">
              <w:rPr>
                <w:rFonts w:asciiTheme="majorHAnsi" w:hAnsiTheme="majorHAnsi"/>
                <w:bCs/>
                <w:sz w:val="20"/>
                <w:szCs w:val="20"/>
              </w:rPr>
              <w:t xml:space="preserve">Yes, American Declaration of the Rights and Duties of Man (deposited instrument of ratification of the OAS Charter on </w:t>
            </w:r>
            <w:r w:rsidR="00AF4963" w:rsidRPr="00EE6FD2">
              <w:rPr>
                <w:rFonts w:asciiTheme="majorHAnsi" w:hAnsiTheme="majorHAnsi"/>
                <w:bCs/>
                <w:sz w:val="20"/>
                <w:szCs w:val="20"/>
              </w:rPr>
              <w:t>June 19, 1951</w:t>
            </w:r>
            <w:r w:rsidRPr="00EE6FD2">
              <w:rPr>
                <w:rFonts w:asciiTheme="majorHAnsi" w:hAnsiTheme="majorHAnsi"/>
                <w:bCs/>
                <w:sz w:val="20"/>
                <w:szCs w:val="20"/>
              </w:rPr>
              <w:t>)</w:t>
            </w:r>
          </w:p>
        </w:tc>
      </w:tr>
      <w:tr w:rsidR="00CC27B3" w:rsidRPr="00EE6FD2" w14:paraId="075349AD" w14:textId="77777777" w:rsidTr="0020221F">
        <w:trPr>
          <w:cantSplit/>
        </w:trPr>
        <w:tc>
          <w:tcPr>
            <w:tcW w:w="3600" w:type="dxa"/>
            <w:tcBorders>
              <w:top w:val="single" w:sz="6" w:space="0" w:color="auto"/>
              <w:bottom w:val="single" w:sz="6" w:space="0" w:color="auto"/>
            </w:tcBorders>
            <w:shd w:val="clear" w:color="auto" w:fill="386294"/>
            <w:vAlign w:val="center"/>
          </w:tcPr>
          <w:p w14:paraId="0E806D4B" w14:textId="77777777" w:rsidR="00CC27B3" w:rsidRPr="00EE6FD2" w:rsidRDefault="00CC27B3" w:rsidP="0020221F">
            <w:pPr>
              <w:jc w:val="center"/>
              <w:rPr>
                <w:rFonts w:asciiTheme="majorHAnsi" w:hAnsiTheme="majorHAnsi"/>
                <w:b/>
                <w:bCs/>
                <w:color w:val="FFFFFF" w:themeColor="background1"/>
                <w:sz w:val="20"/>
                <w:szCs w:val="20"/>
              </w:rPr>
            </w:pPr>
            <w:r w:rsidRPr="00EE6FD2">
              <w:rPr>
                <w:rFonts w:asciiTheme="majorHAnsi" w:hAnsiTheme="majorHAnsi"/>
                <w:b/>
                <w:bCs/>
                <w:color w:val="FFFFFF" w:themeColor="background1"/>
                <w:sz w:val="20"/>
                <w:szCs w:val="20"/>
              </w:rPr>
              <w:t xml:space="preserve">Duplication of procedures and international </w:t>
            </w:r>
            <w:r w:rsidRPr="00EE6FD2">
              <w:rPr>
                <w:rFonts w:asciiTheme="majorHAnsi" w:hAnsiTheme="majorHAnsi"/>
                <w:b/>
                <w:bCs/>
                <w:i/>
                <w:iCs/>
                <w:color w:val="FFFFFF" w:themeColor="background1"/>
                <w:sz w:val="20"/>
                <w:szCs w:val="20"/>
              </w:rPr>
              <w:t>res judicata</w:t>
            </w:r>
            <w:r w:rsidRPr="00EE6FD2">
              <w:rPr>
                <w:rFonts w:asciiTheme="majorHAnsi" w:hAnsiTheme="majorHAnsi"/>
                <w:b/>
                <w:bCs/>
                <w:color w:val="FFFFFF" w:themeColor="background1"/>
                <w:sz w:val="20"/>
                <w:szCs w:val="20"/>
              </w:rPr>
              <w:t>:</w:t>
            </w:r>
          </w:p>
        </w:tc>
        <w:tc>
          <w:tcPr>
            <w:tcW w:w="5760" w:type="dxa"/>
            <w:vAlign w:val="center"/>
          </w:tcPr>
          <w:p w14:paraId="6FED8D51" w14:textId="77777777" w:rsidR="00CC27B3" w:rsidRPr="00EE6FD2" w:rsidRDefault="00CC27B3" w:rsidP="0020221F">
            <w:pPr>
              <w:jc w:val="both"/>
              <w:rPr>
                <w:rFonts w:asciiTheme="majorHAnsi" w:hAnsiTheme="majorHAnsi"/>
                <w:bCs/>
                <w:sz w:val="20"/>
                <w:szCs w:val="20"/>
              </w:rPr>
            </w:pPr>
            <w:r w:rsidRPr="00EE6FD2">
              <w:rPr>
                <w:rFonts w:asciiTheme="majorHAnsi" w:hAnsiTheme="majorHAnsi"/>
                <w:bCs/>
                <w:sz w:val="20"/>
                <w:szCs w:val="20"/>
              </w:rPr>
              <w:t>No</w:t>
            </w:r>
          </w:p>
        </w:tc>
      </w:tr>
    </w:tbl>
    <w:p w14:paraId="213E1F08" w14:textId="77777777" w:rsidR="00CC27B3" w:rsidRPr="00EE6FD2" w:rsidRDefault="00CC27B3" w:rsidP="00CC27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67393DAF" w14:textId="77777777" w:rsidR="00270F6A" w:rsidRPr="00EE6FD2" w:rsidRDefault="0086513A" w:rsidP="00015F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EE6FD2">
        <w:rPr>
          <w:rFonts w:asciiTheme="majorHAnsi" w:hAnsiTheme="majorHAnsi"/>
          <w:sz w:val="20"/>
          <w:szCs w:val="20"/>
        </w:rPr>
        <w:t xml:space="preserve">According to </w:t>
      </w:r>
      <w:r w:rsidR="00697453" w:rsidRPr="00EE6FD2">
        <w:rPr>
          <w:rFonts w:asciiTheme="majorHAnsi" w:hAnsiTheme="majorHAnsi"/>
          <w:sz w:val="20"/>
          <w:szCs w:val="20"/>
        </w:rPr>
        <w:t>international law an</w:t>
      </w:r>
      <w:r w:rsidR="00270F6A" w:rsidRPr="00EE6FD2">
        <w:rPr>
          <w:rFonts w:asciiTheme="majorHAnsi" w:hAnsiTheme="majorHAnsi"/>
          <w:sz w:val="20"/>
          <w:szCs w:val="20"/>
        </w:rPr>
        <w:t>d</w:t>
      </w:r>
      <w:r w:rsidR="00697453" w:rsidRPr="00EE6FD2">
        <w:rPr>
          <w:rFonts w:asciiTheme="majorHAnsi" w:hAnsiTheme="majorHAnsi"/>
          <w:sz w:val="20"/>
          <w:szCs w:val="20"/>
        </w:rPr>
        <w:t xml:space="preserve"> to the IACHR’s jurisprudence</w:t>
      </w:r>
      <w:r w:rsidR="00C43056" w:rsidRPr="00EE6FD2">
        <w:rPr>
          <w:rFonts w:asciiTheme="majorHAnsi" w:hAnsiTheme="majorHAnsi"/>
          <w:sz w:val="20"/>
          <w:szCs w:val="20"/>
        </w:rPr>
        <w:t xml:space="preserve">, </w:t>
      </w:r>
      <w:r w:rsidR="00C43056" w:rsidRPr="00EE6FD2">
        <w:rPr>
          <w:rFonts w:ascii="Cambria" w:hAnsi="Cambria"/>
          <w:sz w:val="20"/>
          <w:szCs w:val="20"/>
        </w:rPr>
        <w:t>although jurisdiction usually refers to authority over persons who are within the territory of a Sta</w:t>
      </w:r>
      <w:r w:rsidR="00807CE3" w:rsidRPr="00EE6FD2">
        <w:rPr>
          <w:rFonts w:ascii="Cambria" w:hAnsi="Cambria"/>
          <w:sz w:val="20"/>
          <w:szCs w:val="20"/>
        </w:rPr>
        <w:t>te, human rights are inherent to</w:t>
      </w:r>
      <w:r w:rsidR="00C43056" w:rsidRPr="00EE6FD2">
        <w:rPr>
          <w:rFonts w:ascii="Cambria" w:hAnsi="Cambria"/>
          <w:sz w:val="20"/>
          <w:szCs w:val="20"/>
        </w:rPr>
        <w:t xml:space="preserve"> all human beings and are not based on their citizenship or location.</w:t>
      </w:r>
      <w:r w:rsidR="00270F6A" w:rsidRPr="00EE6FD2">
        <w:rPr>
          <w:rFonts w:ascii="Cambria" w:hAnsi="Cambria"/>
          <w:sz w:val="20"/>
          <w:szCs w:val="20"/>
        </w:rPr>
        <w:t xml:space="preserve"> The Commission has established in this regard that:</w:t>
      </w:r>
    </w:p>
    <w:p w14:paraId="1A00633B" w14:textId="77777777" w:rsidR="00270F6A" w:rsidRPr="00EE6FD2" w:rsidRDefault="00270F6A" w:rsidP="00270F6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p>
    <w:p w14:paraId="1BEB7D31" w14:textId="77777777" w:rsidR="00C43056" w:rsidRPr="00EE6FD2" w:rsidRDefault="00270F6A" w:rsidP="00270F6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rPr>
      </w:pPr>
      <w:r w:rsidRPr="00EE6FD2">
        <w:rPr>
          <w:rFonts w:ascii="Cambria" w:hAnsi="Cambria"/>
          <w:sz w:val="18"/>
          <w:szCs w:val="18"/>
        </w:rPr>
        <w:t>Given that individual rights inhere simply by virtue of a person’s humanity, each American State is obliged to uphold the rights of any person subject to its jurisdiction. While this most commonly refers to persons within a state’s territory, it may, under given circumstances, refer to situations where the person concerned is present in the territory of one state, but subject to the control or authority of another state, usually through the acts of the latter’s agents abroad.</w:t>
      </w:r>
      <w:r w:rsidR="00A75EE5" w:rsidRPr="00EE6FD2">
        <w:rPr>
          <w:rStyle w:val="FootnoteReference"/>
          <w:rFonts w:ascii="Cambria" w:hAnsi="Cambria"/>
          <w:sz w:val="20"/>
          <w:szCs w:val="20"/>
        </w:rPr>
        <w:footnoteReference w:id="4"/>
      </w:r>
      <w:r w:rsidR="0086513A" w:rsidRPr="00EE6FD2">
        <w:rPr>
          <w:rFonts w:ascii="Cambria" w:hAnsi="Cambria"/>
          <w:sz w:val="18"/>
          <w:szCs w:val="18"/>
        </w:rPr>
        <w:t xml:space="preserve"> </w:t>
      </w:r>
    </w:p>
    <w:p w14:paraId="342E8177" w14:textId="77777777" w:rsidR="00C43056" w:rsidRPr="00EE6FD2" w:rsidRDefault="00C43056" w:rsidP="00C43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72982B3" w14:textId="77777777" w:rsidR="00A415F3" w:rsidRPr="00EE6FD2" w:rsidRDefault="00D637D7" w:rsidP="00AD18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EE6FD2">
        <w:rPr>
          <w:rFonts w:asciiTheme="majorHAnsi" w:hAnsiTheme="majorHAnsi"/>
          <w:sz w:val="20"/>
          <w:szCs w:val="20"/>
        </w:rPr>
        <w:t>In light of these considerations, as U.S. authorities</w:t>
      </w:r>
      <w:r w:rsidR="00AB0481" w:rsidRPr="00EE6FD2">
        <w:rPr>
          <w:rFonts w:asciiTheme="majorHAnsi" w:hAnsiTheme="majorHAnsi"/>
          <w:sz w:val="20"/>
          <w:szCs w:val="20"/>
        </w:rPr>
        <w:t>, in their official capacity,</w:t>
      </w:r>
      <w:r w:rsidR="00907161" w:rsidRPr="00EE6FD2">
        <w:rPr>
          <w:rFonts w:asciiTheme="majorHAnsi" w:hAnsiTheme="majorHAnsi"/>
          <w:sz w:val="20"/>
          <w:szCs w:val="20"/>
        </w:rPr>
        <w:t xml:space="preserve"> allegedly</w:t>
      </w:r>
      <w:r w:rsidRPr="00EE6FD2">
        <w:rPr>
          <w:rFonts w:asciiTheme="majorHAnsi" w:hAnsiTheme="majorHAnsi"/>
          <w:sz w:val="20"/>
          <w:szCs w:val="20"/>
        </w:rPr>
        <w:t xml:space="preserve"> resorted to illegal rendition</w:t>
      </w:r>
      <w:r w:rsidR="00FE0E23" w:rsidRPr="00EE6FD2">
        <w:rPr>
          <w:rFonts w:asciiTheme="majorHAnsi" w:hAnsiTheme="majorHAnsi"/>
          <w:sz w:val="20"/>
          <w:szCs w:val="20"/>
        </w:rPr>
        <w:t xml:space="preserve"> in Ecuadorian territory</w:t>
      </w:r>
      <w:r w:rsidR="00B03C15" w:rsidRPr="00EE6FD2">
        <w:rPr>
          <w:rFonts w:asciiTheme="majorHAnsi" w:hAnsiTheme="majorHAnsi"/>
          <w:sz w:val="20"/>
          <w:szCs w:val="20"/>
        </w:rPr>
        <w:t xml:space="preserve">, the IACHR </w:t>
      </w:r>
      <w:r w:rsidRPr="00EE6FD2">
        <w:rPr>
          <w:rFonts w:asciiTheme="majorHAnsi" w:hAnsiTheme="majorHAnsi"/>
          <w:sz w:val="20"/>
          <w:szCs w:val="20"/>
        </w:rPr>
        <w:t>is</w:t>
      </w:r>
      <w:r w:rsidR="00B03C15" w:rsidRPr="00EE6FD2">
        <w:rPr>
          <w:rFonts w:asciiTheme="majorHAnsi" w:hAnsiTheme="majorHAnsi"/>
          <w:sz w:val="20"/>
          <w:szCs w:val="20"/>
        </w:rPr>
        <w:t xml:space="preserve"> competen</w:t>
      </w:r>
      <w:r w:rsidRPr="00EE6FD2">
        <w:rPr>
          <w:rFonts w:asciiTheme="majorHAnsi" w:hAnsiTheme="majorHAnsi"/>
          <w:sz w:val="20"/>
          <w:szCs w:val="20"/>
        </w:rPr>
        <w:t>t</w:t>
      </w:r>
      <w:r w:rsidR="00B03C15" w:rsidRPr="00EE6FD2">
        <w:rPr>
          <w:rFonts w:asciiTheme="majorHAnsi" w:hAnsiTheme="majorHAnsi"/>
          <w:sz w:val="20"/>
          <w:szCs w:val="20"/>
        </w:rPr>
        <w:t xml:space="preserve"> </w:t>
      </w:r>
      <w:r w:rsidR="00B03C15" w:rsidRPr="00EE6FD2">
        <w:rPr>
          <w:rFonts w:asciiTheme="majorHAnsi" w:hAnsiTheme="majorHAnsi"/>
          <w:i/>
          <w:sz w:val="20"/>
          <w:szCs w:val="20"/>
        </w:rPr>
        <w:t>ration loci</w:t>
      </w:r>
      <w:r w:rsidR="00B03C15" w:rsidRPr="00EE6FD2">
        <w:rPr>
          <w:rFonts w:asciiTheme="majorHAnsi" w:hAnsiTheme="majorHAnsi"/>
          <w:sz w:val="20"/>
          <w:szCs w:val="20"/>
        </w:rPr>
        <w:t xml:space="preserve"> to </w:t>
      </w:r>
      <w:r w:rsidRPr="00EE6FD2">
        <w:rPr>
          <w:rFonts w:asciiTheme="majorHAnsi" w:hAnsiTheme="majorHAnsi"/>
          <w:sz w:val="20"/>
          <w:szCs w:val="20"/>
        </w:rPr>
        <w:t xml:space="preserve">analyze </w:t>
      </w:r>
      <w:r w:rsidR="00FE0E23" w:rsidRPr="00EE6FD2">
        <w:rPr>
          <w:rFonts w:asciiTheme="majorHAnsi" w:hAnsiTheme="majorHAnsi"/>
          <w:sz w:val="20"/>
          <w:szCs w:val="20"/>
        </w:rPr>
        <w:t>the alleged violations of Mr. Serrano’s rights purportedly committed by</w:t>
      </w:r>
      <w:r w:rsidR="002C6A43" w:rsidRPr="00EE6FD2">
        <w:rPr>
          <w:rFonts w:asciiTheme="majorHAnsi" w:hAnsiTheme="majorHAnsi"/>
          <w:sz w:val="20"/>
          <w:szCs w:val="20"/>
        </w:rPr>
        <w:t xml:space="preserve"> </w:t>
      </w:r>
      <w:r w:rsidR="00FE0E23" w:rsidRPr="00EE6FD2">
        <w:rPr>
          <w:rFonts w:asciiTheme="majorHAnsi" w:hAnsiTheme="majorHAnsi"/>
          <w:sz w:val="20"/>
          <w:szCs w:val="20"/>
        </w:rPr>
        <w:t>U.S. authorities in Ecuador.</w:t>
      </w:r>
      <w:r w:rsidR="00F20827" w:rsidRPr="00EE6FD2">
        <w:rPr>
          <w:rFonts w:asciiTheme="majorHAnsi" w:hAnsiTheme="majorHAnsi"/>
          <w:sz w:val="20"/>
          <w:szCs w:val="20"/>
        </w:rPr>
        <w:t xml:space="preserve"> The IACHR notes </w:t>
      </w:r>
      <w:r w:rsidR="00A659E4" w:rsidRPr="00EE6FD2">
        <w:rPr>
          <w:rFonts w:asciiTheme="majorHAnsi" w:hAnsiTheme="majorHAnsi"/>
          <w:sz w:val="20"/>
          <w:szCs w:val="20"/>
        </w:rPr>
        <w:t>that the</w:t>
      </w:r>
      <w:r w:rsidR="00F20827" w:rsidRPr="00EE6FD2">
        <w:rPr>
          <w:rFonts w:asciiTheme="majorHAnsi" w:hAnsiTheme="majorHAnsi"/>
          <w:sz w:val="20"/>
          <w:szCs w:val="20"/>
        </w:rPr>
        <w:t xml:space="preserve"> other alleged violations related to the criminal proceedings and the application of the death penalty took place in U.S. territory.</w:t>
      </w:r>
    </w:p>
    <w:p w14:paraId="0E881061" w14:textId="77777777" w:rsidR="00CF4D9F" w:rsidRPr="00EE6FD2" w:rsidRDefault="00CF4D9F" w:rsidP="00CC27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14E91CC0" w14:textId="77777777" w:rsidR="00CC27B3" w:rsidRPr="00EE6FD2" w:rsidRDefault="00CC27B3" w:rsidP="00624C78">
      <w:pPr>
        <w:pStyle w:val="Heading2"/>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8" w:name="_Toc7602624"/>
      <w:bookmarkStart w:id="9" w:name="_Toc41343321"/>
      <w:bookmarkStart w:id="10" w:name="_Toc6349143"/>
      <w:r w:rsidRPr="00EE6FD2">
        <w:rPr>
          <w:rFonts w:cs="Times New Roman"/>
          <w:color w:val="auto"/>
          <w:sz w:val="20"/>
          <w:szCs w:val="20"/>
        </w:rPr>
        <w:t>Exhaustion of domestic remedies and timeliness of the petition</w:t>
      </w:r>
      <w:bookmarkEnd w:id="8"/>
      <w:bookmarkEnd w:id="9"/>
      <w:r w:rsidRPr="00EE6FD2">
        <w:rPr>
          <w:rFonts w:cs="Times New Roman"/>
          <w:color w:val="auto"/>
          <w:sz w:val="20"/>
          <w:szCs w:val="20"/>
        </w:rPr>
        <w:t xml:space="preserve"> </w:t>
      </w:r>
      <w:bookmarkEnd w:id="10"/>
    </w:p>
    <w:p w14:paraId="4E00BE7A" w14:textId="77777777" w:rsidR="00CC27B3" w:rsidRPr="00EE6FD2" w:rsidRDefault="00CC27B3" w:rsidP="00CC27B3">
      <w:pPr>
        <w:suppressAutoHyphens/>
        <w:rPr>
          <w:rFonts w:asciiTheme="majorHAnsi" w:hAnsiTheme="majorHAnsi"/>
          <w:b/>
          <w:sz w:val="20"/>
          <w:szCs w:val="20"/>
        </w:rPr>
      </w:pPr>
    </w:p>
    <w:p w14:paraId="0D98282A" w14:textId="77777777" w:rsidR="004C1F43" w:rsidRPr="00EE6FD2" w:rsidRDefault="004C1F43" w:rsidP="00970CBE">
      <w:pPr>
        <w:pStyle w:val="parrafos"/>
        <w:ind w:left="0" w:firstLine="0"/>
      </w:pPr>
      <w:r w:rsidRPr="00EE6FD2">
        <w:t>According to the information available, and as established in the facts described below, Mr. Serrano was sentenced to death by the 10</w:t>
      </w:r>
      <w:r w:rsidRPr="00EE6FD2">
        <w:rPr>
          <w:vertAlign w:val="superscript"/>
        </w:rPr>
        <w:t>th</w:t>
      </w:r>
      <w:r w:rsidRPr="00EE6FD2">
        <w:t xml:space="preserve"> Circuit Court in Polk County, Florida, on June 26, 2007. On March 17, 2011, the Supreme Court of Florida affirmed the conviction and sentence. A motion for rehearing was denied on June 13, </w:t>
      </w:r>
      <w:r w:rsidRPr="00EE6FD2">
        <w:lastRenderedPageBreak/>
        <w:t xml:space="preserve">2011, and on December 5, 2011, the United States Supreme Court denied certiorari. Mr. Serrano filed a motion for post-conviction relief on November 21, 2012, which was denied on December 29, 2014. </w:t>
      </w:r>
      <w:r w:rsidR="00F57671" w:rsidRPr="00EE6FD2">
        <w:t>Mr. Serrano filed an appeal before the Florida Supreme Court</w:t>
      </w:r>
      <w:r w:rsidR="00473FCA" w:rsidRPr="00EE6FD2">
        <w:t xml:space="preserve"> raising the same grounds</w:t>
      </w:r>
      <w:r w:rsidR="00D00EF0" w:rsidRPr="00EE6FD2">
        <w:t xml:space="preserve"> alleged in the post-conviction motion</w:t>
      </w:r>
      <w:r w:rsidR="00F57671" w:rsidRPr="00EE6FD2">
        <w:t xml:space="preserve">. </w:t>
      </w:r>
      <w:r w:rsidRPr="00EE6FD2">
        <w:t>After the U.S. Supreme Court</w:t>
      </w:r>
      <w:r w:rsidR="00D00EF0" w:rsidRPr="00EE6FD2">
        <w:t xml:space="preserve">’s decision </w:t>
      </w:r>
      <w:r w:rsidRPr="00EE6FD2">
        <w:t xml:space="preserve">in Hurst v. Florida </w:t>
      </w:r>
      <w:r w:rsidR="00AA2B28" w:rsidRPr="00EE6FD2">
        <w:t>issued</w:t>
      </w:r>
      <w:r w:rsidR="00AA2B28" w:rsidRPr="00EE6FD2" w:rsidDel="00D00EF0">
        <w:t xml:space="preserve"> </w:t>
      </w:r>
      <w:r w:rsidRPr="00EE6FD2">
        <w:t>on January 12, 2016,</w:t>
      </w:r>
      <w:r w:rsidR="00D00EF0" w:rsidRPr="00EE6FD2">
        <w:rPr>
          <w:rStyle w:val="FootnoteReference"/>
        </w:rPr>
        <w:footnoteReference w:id="5"/>
      </w:r>
      <w:r w:rsidRPr="00EE6FD2">
        <w:t xml:space="preserve"> Mr. Serrano amended the appeal of his death sentence. </w:t>
      </w:r>
      <w:r w:rsidR="00F57671" w:rsidRPr="00EE6FD2">
        <w:t>On May 11, 2017, the Florida Supreme Court denied the appeal</w:t>
      </w:r>
      <w:r w:rsidR="00D00EF0" w:rsidRPr="00EE6FD2">
        <w:t xml:space="preserve"> on the grounds </w:t>
      </w:r>
      <w:r w:rsidR="00AA2B28" w:rsidRPr="00EE6FD2">
        <w:t xml:space="preserve">originally raised </w:t>
      </w:r>
      <w:r w:rsidR="00D00EF0" w:rsidRPr="00EE6FD2">
        <w:t>but, bas</w:t>
      </w:r>
      <w:r w:rsidR="00AA2B28" w:rsidRPr="00EE6FD2">
        <w:t xml:space="preserve">ed on </w:t>
      </w:r>
      <w:r w:rsidR="00D00EF0" w:rsidRPr="00EE6FD2">
        <w:t>Hurst v. Florida,</w:t>
      </w:r>
      <w:r w:rsidR="00AA2B28" w:rsidRPr="00EE6FD2">
        <w:t xml:space="preserve"> the court</w:t>
      </w:r>
      <w:r w:rsidR="00D00EF0" w:rsidRPr="00EE6FD2">
        <w:t xml:space="preserve"> </w:t>
      </w:r>
      <w:r w:rsidRPr="00EE6FD2">
        <w:t>vacated Mr. Serrano’</w:t>
      </w:r>
      <w:r w:rsidR="006C1C0E" w:rsidRPr="00EE6FD2">
        <w:t>s death sentence</w:t>
      </w:r>
      <w:r w:rsidRPr="00EE6FD2">
        <w:t xml:space="preserve"> and ordered a new penalty trial to be conducted. </w:t>
      </w:r>
      <w:r w:rsidR="00AA2B28" w:rsidRPr="00EE6FD2">
        <w:t>T</w:t>
      </w:r>
      <w:r w:rsidR="00F75742" w:rsidRPr="00EE6FD2">
        <w:t xml:space="preserve">he U.S. Supreme Court denied Mr. Serrano’s petition for writ of certiorari </w:t>
      </w:r>
      <w:r w:rsidR="00AA2B28" w:rsidRPr="00EE6FD2">
        <w:t xml:space="preserve">against the appeal denied by the Florida Supreme Court </w:t>
      </w:r>
      <w:r w:rsidR="00F75742" w:rsidRPr="00EE6FD2">
        <w:t xml:space="preserve">on February, 2018. </w:t>
      </w:r>
      <w:r w:rsidRPr="00EE6FD2">
        <w:t>As of April 10, 2018, Mr. Serrano had not yet been scheduled for a new sentencing hearing.</w:t>
      </w:r>
    </w:p>
    <w:p w14:paraId="21497E92" w14:textId="77777777" w:rsidR="004C1F43" w:rsidRPr="00EE6FD2" w:rsidRDefault="004C1F43" w:rsidP="004C1F43">
      <w:pPr>
        <w:pStyle w:val="parrafos"/>
        <w:numPr>
          <w:ilvl w:val="0"/>
          <w:numId w:val="0"/>
        </w:numPr>
      </w:pPr>
    </w:p>
    <w:p w14:paraId="1B895A11" w14:textId="77777777" w:rsidR="008B56FA" w:rsidRPr="00EE6FD2" w:rsidRDefault="00A11E86" w:rsidP="008B56FA">
      <w:pPr>
        <w:pStyle w:val="parrafos"/>
        <w:ind w:left="0" w:firstLine="0"/>
      </w:pPr>
      <w:r w:rsidRPr="00EE6FD2">
        <w:t>In his last communication before the IACHR</w:t>
      </w:r>
      <w:r w:rsidR="00A85CA3" w:rsidRPr="00EE6FD2">
        <w:t>,</w:t>
      </w:r>
      <w:r w:rsidRPr="00EE6FD2">
        <w:t xml:space="preserve"> t</w:t>
      </w:r>
      <w:r w:rsidR="008B56FA" w:rsidRPr="00EE6FD2">
        <w:t>he petitioner alleges that</w:t>
      </w:r>
      <w:r w:rsidRPr="00EE6FD2">
        <w:t>,</w:t>
      </w:r>
      <w:r w:rsidR="008B56FA" w:rsidRPr="00EE6FD2">
        <w:t xml:space="preserve"> </w:t>
      </w:r>
      <w:r w:rsidRPr="00EE6FD2">
        <w:t>given the denial by</w:t>
      </w:r>
      <w:r w:rsidR="008B56FA" w:rsidRPr="00EE6FD2">
        <w:t xml:space="preserve"> the U.S. Supreme Court </w:t>
      </w:r>
      <w:r w:rsidRPr="00EE6FD2">
        <w:t>of</w:t>
      </w:r>
      <w:r w:rsidR="008B56FA" w:rsidRPr="00EE6FD2">
        <w:t xml:space="preserve"> Mr. Serrano’s petition for writ of certiorari on February 20, 2018, there are no additional remedies that are adequate and effective. The petitioner alleges that </w:t>
      </w:r>
      <w:r w:rsidR="0029410C" w:rsidRPr="00EE6FD2">
        <w:t xml:space="preserve">the May, 2017, order of the Supreme Court of Florida vacating Mr. Serrano death sentence </w:t>
      </w:r>
      <w:r w:rsidR="008B56FA" w:rsidRPr="00EE6FD2">
        <w:t xml:space="preserve">does not present new domestic remedies for a determination of admissibility, because there is still the possibility that </w:t>
      </w:r>
      <w:r w:rsidR="0029410C" w:rsidRPr="00EE6FD2">
        <w:t>he will be executed</w:t>
      </w:r>
      <w:r w:rsidR="008B56FA" w:rsidRPr="00EE6FD2">
        <w:t>.</w:t>
      </w:r>
      <w:r w:rsidR="004D69D3" w:rsidRPr="00EE6FD2">
        <w:t xml:space="preserve"> </w:t>
      </w:r>
      <w:r w:rsidRPr="00EE6FD2">
        <w:t>The United States, i</w:t>
      </w:r>
      <w:r w:rsidR="00790473" w:rsidRPr="00EE6FD2">
        <w:t xml:space="preserve">n its last communication received on July 17, 2015, </w:t>
      </w:r>
      <w:r w:rsidR="00171D8C" w:rsidRPr="00EE6FD2">
        <w:t xml:space="preserve">while the petition was at the admissibility stage, </w:t>
      </w:r>
      <w:r w:rsidR="006C1C0E" w:rsidRPr="00EE6FD2">
        <w:t>allege</w:t>
      </w:r>
      <w:r w:rsidR="00790473" w:rsidRPr="00EE6FD2">
        <w:t>d</w:t>
      </w:r>
      <w:r w:rsidR="00C30A86" w:rsidRPr="00EE6FD2">
        <w:t xml:space="preserve"> that the petition was</w:t>
      </w:r>
      <w:r w:rsidR="006C1C0E" w:rsidRPr="00EE6FD2">
        <w:t xml:space="preserve"> inadmissible for lack of exhaustion of domestic remedies </w:t>
      </w:r>
      <w:r w:rsidR="00171D8C" w:rsidRPr="00EE6FD2">
        <w:t xml:space="preserve">given that the appeal filed against the denial of the motion was pending. The State also contended </w:t>
      </w:r>
      <w:r w:rsidR="006C1C0E" w:rsidRPr="00EE6FD2">
        <w:t>that an exception</w:t>
      </w:r>
      <w:r w:rsidR="00C30A86" w:rsidRPr="00EE6FD2">
        <w:t xml:space="preserve"> to the rule</w:t>
      </w:r>
      <w:r w:rsidR="006C1C0E" w:rsidRPr="00EE6FD2">
        <w:t xml:space="preserve"> </w:t>
      </w:r>
      <w:r w:rsidR="00C30A86" w:rsidRPr="00EE6FD2">
        <w:t xml:space="preserve">did </w:t>
      </w:r>
      <w:r w:rsidR="006C1C0E" w:rsidRPr="00EE6FD2">
        <w:t xml:space="preserve">not apply. </w:t>
      </w:r>
    </w:p>
    <w:p w14:paraId="7F510C66" w14:textId="77777777" w:rsidR="00D27B0A" w:rsidRPr="00EE6FD2" w:rsidRDefault="00D27B0A" w:rsidP="00D27B0A">
      <w:pPr>
        <w:pStyle w:val="ListParagraph"/>
      </w:pPr>
    </w:p>
    <w:p w14:paraId="6355972B" w14:textId="77777777" w:rsidR="00D76740" w:rsidRPr="00EE6FD2" w:rsidRDefault="00D76740" w:rsidP="008B56FA">
      <w:pPr>
        <w:pStyle w:val="parrafos"/>
        <w:ind w:left="0" w:firstLine="0"/>
      </w:pPr>
      <w:r w:rsidRPr="00EE6FD2">
        <w:t>The IACHR notes that the rule requiring exhaustion of domestic remedies does not mean that alleged victims have to exhaust every remedy available. In this regard, the Commission has repeatedly held that “the rule which requires the prior exhaustion of domestic remedies is designed for the benefit of the State, for that rule seeks to excuse the State from having to respond to charges before an international body for acts imputed to it before it has had the opportunity to remedy them by internal means.”</w:t>
      </w:r>
      <w:r w:rsidRPr="00EE6FD2">
        <w:rPr>
          <w:rStyle w:val="FootnoteReference"/>
        </w:rPr>
        <w:footnoteReference w:id="6"/>
      </w:r>
      <w:r w:rsidRPr="00EE6FD2">
        <w:t xml:space="preserve"> Therefore, if the alleged victim raised the issue by any lawful and appropriate alternative under the domestic juridical system and the State had the opportunity to remedy the matter within its jurisdiction, the purpose of the international rule has thus been served.</w:t>
      </w:r>
      <w:r w:rsidRPr="00EE6FD2">
        <w:rPr>
          <w:rStyle w:val="FootnoteReference"/>
        </w:rPr>
        <w:footnoteReference w:id="7"/>
      </w:r>
      <w:r w:rsidRPr="00EE6FD2">
        <w:t xml:space="preserve"> </w:t>
      </w:r>
    </w:p>
    <w:p w14:paraId="65953F09" w14:textId="77777777" w:rsidR="00D76740" w:rsidRPr="00EE6FD2" w:rsidRDefault="00D76740" w:rsidP="00D76740">
      <w:pPr>
        <w:pStyle w:val="ListParagraph"/>
      </w:pPr>
    </w:p>
    <w:p w14:paraId="29A0241F" w14:textId="77777777" w:rsidR="00D27B0A" w:rsidRPr="00EE6FD2" w:rsidRDefault="00D76740" w:rsidP="008B56FA">
      <w:pPr>
        <w:pStyle w:val="parrafos"/>
        <w:ind w:left="0" w:firstLine="0"/>
      </w:pPr>
      <w:r w:rsidRPr="00EE6FD2">
        <w:t xml:space="preserve">The </w:t>
      </w:r>
      <w:r w:rsidR="00A85CA3" w:rsidRPr="00EE6FD2">
        <w:t xml:space="preserve">IACHR notes that the </w:t>
      </w:r>
      <w:r w:rsidRPr="00EE6FD2">
        <w:t xml:space="preserve">allegations brought before the inter-American system were raised before domestic courts. </w:t>
      </w:r>
      <w:r w:rsidR="00200B84" w:rsidRPr="00EE6FD2">
        <w:t>T</w:t>
      </w:r>
      <w:r w:rsidRPr="00EE6FD2">
        <w:t xml:space="preserve">he Commission </w:t>
      </w:r>
      <w:r w:rsidR="00200B84" w:rsidRPr="00EE6FD2">
        <w:t>further notes that the allege</w:t>
      </w:r>
      <w:r w:rsidR="00451F0E" w:rsidRPr="00EE6FD2">
        <w:t>d</w:t>
      </w:r>
      <w:r w:rsidR="00200B84" w:rsidRPr="00EE6FD2">
        <w:t xml:space="preserve"> victim</w:t>
      </w:r>
      <w:r w:rsidRPr="00EE6FD2">
        <w:t xml:space="preserve"> ha</w:t>
      </w:r>
      <w:r w:rsidR="00200B84" w:rsidRPr="00EE6FD2">
        <w:t>s</w:t>
      </w:r>
      <w:r w:rsidRPr="00EE6FD2">
        <w:t xml:space="preserve"> not only exhausted all direct review proceedings, but also state and federal post-conviction proceedings.</w:t>
      </w:r>
      <w:r w:rsidR="00AC7D32" w:rsidRPr="00EE6FD2">
        <w:t xml:space="preserve"> The IACHR also notes that the United States has not raised any argument of non-exhaustion of domestic remedies related to the decision vacating Mr. Serrano’s death sentence after the Hurst v. Florida’s decision.</w:t>
      </w:r>
      <w:r w:rsidRPr="00EE6FD2">
        <w:t xml:space="preserve"> Based on the above factors, the Inter-American Commission concludes that the petitioner properly exhausted domestic remedies available within the domestic legal system and, therefore, that the alleged victims’ claims before the Commission are not barred from consideration by the requirement of exhaustion of domestic remedies under Article 31(1) of its Rules of Procedure</w:t>
      </w:r>
      <w:r w:rsidR="00542902" w:rsidRPr="00EE6FD2">
        <w:t xml:space="preserve">. The Commission </w:t>
      </w:r>
      <w:r w:rsidR="00AC16E9" w:rsidRPr="00EE6FD2">
        <w:t>also</w:t>
      </w:r>
      <w:r w:rsidR="00542902" w:rsidRPr="00EE6FD2">
        <w:t xml:space="preserve"> concludes that the requirement specified in Article 32(1) of its Rules of Procedure</w:t>
      </w:r>
      <w:r w:rsidR="00AC16E9" w:rsidRPr="00EE6FD2">
        <w:t xml:space="preserve"> has been met.</w:t>
      </w:r>
    </w:p>
    <w:p w14:paraId="7F9689A8" w14:textId="77777777" w:rsidR="00784795" w:rsidRPr="00EE6FD2" w:rsidRDefault="00784795" w:rsidP="00784795">
      <w:pPr>
        <w:pStyle w:val="parrafos"/>
        <w:numPr>
          <w:ilvl w:val="0"/>
          <w:numId w:val="0"/>
        </w:numPr>
      </w:pPr>
    </w:p>
    <w:p w14:paraId="4D2BEE69" w14:textId="77777777" w:rsidR="00CC27B3" w:rsidRPr="00EE6FD2" w:rsidRDefault="00CC27B3" w:rsidP="00624C78">
      <w:pPr>
        <w:pStyle w:val="Heading2"/>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11" w:name="_Toc7602625"/>
      <w:bookmarkStart w:id="12" w:name="_Toc41343322"/>
      <w:bookmarkStart w:id="13" w:name="_Toc6349144"/>
      <w:r w:rsidRPr="00EE6FD2">
        <w:rPr>
          <w:rFonts w:cs="Times New Roman"/>
          <w:color w:val="auto"/>
          <w:sz w:val="20"/>
          <w:szCs w:val="20"/>
        </w:rPr>
        <w:t>Colorable claim</w:t>
      </w:r>
      <w:bookmarkEnd w:id="11"/>
      <w:bookmarkEnd w:id="12"/>
      <w:r w:rsidRPr="00EE6FD2">
        <w:rPr>
          <w:rFonts w:cs="Times New Roman"/>
          <w:color w:val="auto"/>
          <w:sz w:val="20"/>
          <w:szCs w:val="20"/>
        </w:rPr>
        <w:t xml:space="preserve"> </w:t>
      </w:r>
      <w:bookmarkEnd w:id="13"/>
    </w:p>
    <w:p w14:paraId="29662011" w14:textId="77777777" w:rsidR="00CC27B3" w:rsidRPr="00EE6FD2" w:rsidRDefault="00CC27B3" w:rsidP="00CC27B3">
      <w:pPr>
        <w:suppressAutoHyphens/>
        <w:rPr>
          <w:rFonts w:asciiTheme="majorHAnsi" w:hAnsiTheme="majorHAnsi"/>
          <w:b/>
          <w:sz w:val="20"/>
          <w:szCs w:val="20"/>
        </w:rPr>
      </w:pPr>
    </w:p>
    <w:p w14:paraId="4DE8F18F" w14:textId="77777777" w:rsidR="00CC27B3" w:rsidRPr="00EE6FD2" w:rsidRDefault="00CC27B3" w:rsidP="001F30CC">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ind w:left="0" w:firstLine="0"/>
        <w:jc w:val="both"/>
        <w:rPr>
          <w:rFonts w:asciiTheme="majorHAnsi" w:hAnsiTheme="majorHAnsi"/>
          <w:sz w:val="20"/>
          <w:szCs w:val="20"/>
          <w:lang w:val="en-US"/>
        </w:rPr>
      </w:pPr>
      <w:r w:rsidRPr="00EE6FD2">
        <w:rPr>
          <w:rFonts w:asciiTheme="majorHAnsi" w:hAnsiTheme="majorHAnsi"/>
          <w:sz w:val="20"/>
          <w:szCs w:val="20"/>
          <w:lang w:val="en-US"/>
        </w:rPr>
        <w:t>The Commission considers that</w:t>
      </w:r>
      <w:r w:rsidR="001F30CC" w:rsidRPr="00EE6FD2">
        <w:rPr>
          <w:rFonts w:asciiTheme="majorHAnsi" w:hAnsiTheme="majorHAnsi"/>
          <w:sz w:val="20"/>
          <w:szCs w:val="20"/>
          <w:lang w:val="en-US"/>
        </w:rPr>
        <w:t>,</w:t>
      </w:r>
      <w:r w:rsidRPr="00EE6FD2">
        <w:rPr>
          <w:rFonts w:asciiTheme="majorHAnsi" w:hAnsiTheme="majorHAnsi"/>
          <w:sz w:val="20"/>
          <w:szCs w:val="20"/>
          <w:lang w:val="en-US"/>
        </w:rPr>
        <w:t xml:space="preserve"> if proven</w:t>
      </w:r>
      <w:r w:rsidR="001F30CC" w:rsidRPr="00EE6FD2">
        <w:rPr>
          <w:rFonts w:asciiTheme="majorHAnsi" w:hAnsiTheme="majorHAnsi"/>
          <w:sz w:val="20"/>
          <w:szCs w:val="20"/>
          <w:lang w:val="en-US"/>
        </w:rPr>
        <w:t>,</w:t>
      </w:r>
      <w:r w:rsidRPr="00EE6FD2">
        <w:rPr>
          <w:rFonts w:asciiTheme="majorHAnsi" w:hAnsiTheme="majorHAnsi"/>
          <w:sz w:val="20"/>
          <w:szCs w:val="20"/>
          <w:lang w:val="en-US"/>
        </w:rPr>
        <w:t xml:space="preserve"> the facts alleged by the petitioner would tend to establish violations of the rights </w:t>
      </w:r>
      <w:r w:rsidR="00A55AC2" w:rsidRPr="00EE6FD2">
        <w:rPr>
          <w:rFonts w:asciiTheme="majorHAnsi" w:hAnsiTheme="majorHAnsi"/>
          <w:sz w:val="20"/>
          <w:szCs w:val="20"/>
          <w:lang w:val="en-US"/>
        </w:rPr>
        <w:t>set forth</w:t>
      </w:r>
      <w:r w:rsidRPr="00EE6FD2">
        <w:rPr>
          <w:rFonts w:asciiTheme="majorHAnsi" w:hAnsiTheme="majorHAnsi"/>
          <w:sz w:val="20"/>
          <w:szCs w:val="20"/>
          <w:lang w:val="en-US"/>
        </w:rPr>
        <w:t xml:space="preserve"> </w:t>
      </w:r>
      <w:r w:rsidR="001F30CC" w:rsidRPr="00EE6FD2">
        <w:rPr>
          <w:rFonts w:asciiTheme="majorHAnsi" w:hAnsiTheme="majorHAnsi"/>
          <w:sz w:val="20"/>
          <w:szCs w:val="20"/>
          <w:lang w:val="en-US"/>
        </w:rPr>
        <w:t>in</w:t>
      </w:r>
      <w:r w:rsidRPr="00EE6FD2">
        <w:rPr>
          <w:rFonts w:asciiTheme="majorHAnsi" w:hAnsiTheme="majorHAnsi"/>
          <w:sz w:val="20"/>
          <w:szCs w:val="20"/>
          <w:lang w:val="en-US"/>
        </w:rPr>
        <w:t xml:space="preserve"> Articles </w:t>
      </w:r>
      <w:r w:rsidR="003F4494" w:rsidRPr="00EE6FD2">
        <w:rPr>
          <w:rFonts w:asciiTheme="majorHAnsi" w:hAnsiTheme="majorHAnsi"/>
          <w:sz w:val="20"/>
          <w:szCs w:val="20"/>
          <w:lang w:val="en-US"/>
        </w:rPr>
        <w:t>I, XVIII, XXV and XXVI</w:t>
      </w:r>
      <w:r w:rsidRPr="00EE6FD2">
        <w:rPr>
          <w:rFonts w:asciiTheme="majorHAnsi" w:hAnsiTheme="majorHAnsi"/>
          <w:sz w:val="20"/>
          <w:szCs w:val="20"/>
          <w:lang w:val="en-US"/>
        </w:rPr>
        <w:t xml:space="preserve"> of the American Declaration, to the detriment of </w:t>
      </w:r>
      <w:r w:rsidR="001F30CC" w:rsidRPr="00EE6FD2">
        <w:rPr>
          <w:rFonts w:asciiTheme="majorHAnsi" w:hAnsiTheme="majorHAnsi"/>
          <w:sz w:val="20"/>
          <w:szCs w:val="20"/>
          <w:lang w:val="en-US"/>
        </w:rPr>
        <w:t>Mr. Serrano</w:t>
      </w:r>
      <w:r w:rsidRPr="00EE6FD2">
        <w:rPr>
          <w:rFonts w:asciiTheme="majorHAnsi" w:hAnsiTheme="majorHAnsi"/>
          <w:sz w:val="20"/>
          <w:szCs w:val="20"/>
          <w:lang w:val="en-US"/>
        </w:rPr>
        <w:t xml:space="preserve">. </w:t>
      </w:r>
    </w:p>
    <w:p w14:paraId="7C87DC6D" w14:textId="77777777" w:rsidR="003F4494" w:rsidRPr="00EE6FD2" w:rsidRDefault="003F4494">
      <w:pPr>
        <w:rPr>
          <w:rFonts w:asciiTheme="majorHAnsi" w:eastAsiaTheme="majorEastAsia" w:hAnsiTheme="majorHAnsi" w:cstheme="majorBidi"/>
          <w:b/>
          <w:bCs/>
          <w:sz w:val="20"/>
          <w:szCs w:val="20"/>
        </w:rPr>
      </w:pPr>
    </w:p>
    <w:p w14:paraId="03204DDE" w14:textId="77777777" w:rsidR="001061FC" w:rsidRPr="00EE6FD2" w:rsidRDefault="00F501E2" w:rsidP="00375ACA">
      <w:pPr>
        <w:pStyle w:val="Heading1"/>
        <w:keepNext w:val="0"/>
        <w:keepLines w:val="0"/>
        <w:numPr>
          <w:ilvl w:val="0"/>
          <w:numId w:val="55"/>
        </w:numPr>
        <w:suppressAutoHyphens/>
        <w:spacing w:before="0"/>
        <w:ind w:left="360" w:hanging="360"/>
        <w:rPr>
          <w:color w:val="auto"/>
          <w:sz w:val="20"/>
          <w:szCs w:val="20"/>
        </w:rPr>
      </w:pPr>
      <w:r w:rsidRPr="00EE6FD2">
        <w:rPr>
          <w:sz w:val="20"/>
          <w:szCs w:val="20"/>
        </w:rPr>
        <w:br w:type="page"/>
      </w:r>
      <w:bookmarkStart w:id="14" w:name="_Toc41343323"/>
      <w:r w:rsidR="001061FC" w:rsidRPr="00EE6FD2">
        <w:rPr>
          <w:color w:val="auto"/>
          <w:sz w:val="20"/>
          <w:szCs w:val="20"/>
        </w:rPr>
        <w:lastRenderedPageBreak/>
        <w:t>FINDINGS OF FACT</w:t>
      </w:r>
      <w:bookmarkEnd w:id="14"/>
    </w:p>
    <w:p w14:paraId="0957F254" w14:textId="77777777" w:rsidR="001061FC" w:rsidRPr="00EE6FD2" w:rsidRDefault="0032585D" w:rsidP="0032585D">
      <w:pPr>
        <w:pStyle w:val="Heading2"/>
        <w:tabs>
          <w:tab w:val="left" w:pos="360"/>
          <w:tab w:val="left" w:pos="720"/>
        </w:tabs>
        <w:rPr>
          <w:color w:val="auto"/>
          <w:sz w:val="20"/>
          <w:szCs w:val="20"/>
        </w:rPr>
      </w:pPr>
      <w:bookmarkStart w:id="15" w:name="_Toc41343324"/>
      <w:r w:rsidRPr="00EE6FD2">
        <w:rPr>
          <w:bCs w:val="0"/>
          <w:color w:val="auto"/>
          <w:sz w:val="20"/>
          <w:szCs w:val="20"/>
        </w:rPr>
        <w:t>A.</w:t>
      </w:r>
      <w:r w:rsidRPr="00EE6FD2">
        <w:rPr>
          <w:color w:val="auto"/>
          <w:sz w:val="20"/>
          <w:szCs w:val="20"/>
        </w:rPr>
        <w:tab/>
      </w:r>
      <w:r w:rsidR="001061FC" w:rsidRPr="00EE6FD2">
        <w:rPr>
          <w:color w:val="auto"/>
          <w:sz w:val="20"/>
          <w:szCs w:val="20"/>
        </w:rPr>
        <w:t>Background</w:t>
      </w:r>
      <w:bookmarkEnd w:id="15"/>
    </w:p>
    <w:p w14:paraId="0DF8283C" w14:textId="77777777" w:rsidR="001061FC" w:rsidRPr="00EE6FD2" w:rsidRDefault="001061FC" w:rsidP="00753F77">
      <w:pPr>
        <w:pStyle w:val="ListParagraph"/>
        <w:tabs>
          <w:tab w:val="left" w:pos="360"/>
        </w:tabs>
        <w:ind w:left="0"/>
        <w:rPr>
          <w:rFonts w:asciiTheme="majorHAnsi" w:hAnsiTheme="majorHAnsi"/>
          <w:b/>
          <w:color w:val="auto"/>
          <w:sz w:val="20"/>
          <w:szCs w:val="20"/>
        </w:rPr>
      </w:pPr>
    </w:p>
    <w:p w14:paraId="042C343F" w14:textId="77777777" w:rsidR="002F6446" w:rsidRPr="00EE6FD2" w:rsidRDefault="00C6780D" w:rsidP="002F6446">
      <w:pPr>
        <w:pStyle w:val="parrafos"/>
        <w:ind w:left="0" w:firstLine="0"/>
      </w:pPr>
      <w:r w:rsidRPr="00EE6FD2">
        <w:t>On March 10, 2003, the Inter-American Commission received a petition</w:t>
      </w:r>
      <w:r w:rsidR="00EE1B57" w:rsidRPr="00EE6FD2">
        <w:t xml:space="preserve"> alleging the responsibility of the State of Ecuador for the illegal detention of Mr. Serrano and his immediate deportation to the United States. </w:t>
      </w:r>
      <w:r w:rsidR="002F6446" w:rsidRPr="00EE6FD2">
        <w:t>On July 17, 2008, the IACHR adopted Merits Report No. 29/08 concluding that:</w:t>
      </w:r>
    </w:p>
    <w:p w14:paraId="2EDD10CB" w14:textId="77777777" w:rsidR="002F6446" w:rsidRPr="00EE6FD2" w:rsidRDefault="002F6446" w:rsidP="002F6446">
      <w:pPr>
        <w:pStyle w:val="parrafos"/>
        <w:numPr>
          <w:ilvl w:val="0"/>
          <w:numId w:val="0"/>
        </w:numPr>
        <w:rPr>
          <w:rFonts w:ascii="Verdana" w:hAnsi="Verdana"/>
        </w:rPr>
      </w:pPr>
    </w:p>
    <w:p w14:paraId="71DA0AE8" w14:textId="77777777" w:rsidR="002F6446" w:rsidRPr="00EE6FD2" w:rsidRDefault="002F6446" w:rsidP="002F6446">
      <w:pPr>
        <w:pStyle w:val="parrafos"/>
        <w:numPr>
          <w:ilvl w:val="0"/>
          <w:numId w:val="0"/>
        </w:numPr>
        <w:ind w:left="360" w:right="360"/>
        <w:rPr>
          <w:sz w:val="18"/>
          <w:szCs w:val="18"/>
        </w:rPr>
      </w:pPr>
      <w:r w:rsidRPr="00EE6FD2">
        <w:rPr>
          <w:sz w:val="18"/>
          <w:szCs w:val="18"/>
        </w:rPr>
        <w:t>Nelson Iván Serrano Sáenz was illegally detained by the State of Ecuador on August 31, 2002 in Quito; that the State maintained him incommunicado and in inhumane conditions; and that it deported him later in an equally illegal and expedite manner to the United States where the victim has been convicted for the murder of four people, where he pleaded not guilty, and sentenced to death.</w:t>
      </w:r>
      <w:r w:rsidR="00701C45" w:rsidRPr="00EE6FD2">
        <w:rPr>
          <w:rStyle w:val="FootnoteReference"/>
        </w:rPr>
        <w:t xml:space="preserve"> </w:t>
      </w:r>
      <w:r w:rsidR="00701C45" w:rsidRPr="00EE6FD2">
        <w:rPr>
          <w:rStyle w:val="FootnoteReference"/>
          <w:sz w:val="18"/>
          <w:szCs w:val="18"/>
        </w:rPr>
        <w:footnoteReference w:id="8"/>
      </w:r>
    </w:p>
    <w:p w14:paraId="54E14F98" w14:textId="77777777" w:rsidR="002F6446" w:rsidRPr="00EE6FD2" w:rsidRDefault="002F6446" w:rsidP="002F6446">
      <w:pPr>
        <w:pStyle w:val="parrafos"/>
        <w:numPr>
          <w:ilvl w:val="0"/>
          <w:numId w:val="0"/>
        </w:numPr>
      </w:pPr>
    </w:p>
    <w:p w14:paraId="62B74C43" w14:textId="77777777" w:rsidR="00633331" w:rsidRPr="00EE6FD2" w:rsidRDefault="00633331" w:rsidP="00266A59">
      <w:pPr>
        <w:pStyle w:val="parrafos"/>
        <w:ind w:left="0" w:firstLine="0"/>
      </w:pPr>
      <w:r w:rsidRPr="00EE6FD2">
        <w:t>The Commission recommended the Ecuadorian State to:</w:t>
      </w:r>
    </w:p>
    <w:p w14:paraId="2CF5A293" w14:textId="77777777" w:rsidR="00633331" w:rsidRPr="00EE6FD2" w:rsidRDefault="00633331" w:rsidP="00633331">
      <w:pPr>
        <w:pStyle w:val="parrafos"/>
        <w:numPr>
          <w:ilvl w:val="0"/>
          <w:numId w:val="0"/>
        </w:numPr>
        <w:tabs>
          <w:tab w:val="clear" w:pos="1440"/>
          <w:tab w:val="left" w:pos="1080"/>
        </w:tabs>
        <w:rPr>
          <w:sz w:val="18"/>
          <w:szCs w:val="18"/>
        </w:rPr>
      </w:pPr>
    </w:p>
    <w:p w14:paraId="666A9B05" w14:textId="77777777" w:rsidR="003D1CBD" w:rsidRPr="00EE6FD2" w:rsidRDefault="00633331" w:rsidP="00624C7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360"/>
        <w:jc w:val="both"/>
        <w:rPr>
          <w:rFonts w:asciiTheme="majorHAnsi" w:eastAsia="Arial Unicode MS" w:hAnsiTheme="majorHAnsi"/>
          <w:color w:val="000000" w:themeColor="text1"/>
          <w:sz w:val="18"/>
          <w:szCs w:val="18"/>
        </w:rPr>
      </w:pPr>
      <w:r w:rsidRPr="00EE6FD2">
        <w:rPr>
          <w:rFonts w:asciiTheme="majorHAnsi" w:hAnsiTheme="majorHAnsi"/>
          <w:color w:val="000000" w:themeColor="text1"/>
          <w:sz w:val="18"/>
          <w:szCs w:val="18"/>
        </w:rPr>
        <w:t xml:space="preserve">Immediately recognize the human rights violations committed by its authorities to the detriment of Nelson Iván Serrano Sáenz, and take the necessary and timely measures, legal and diplomatic, with a view to the return of said person to his country of birth, from where he was arbitrarily deported. </w:t>
      </w:r>
    </w:p>
    <w:p w14:paraId="22CA02CF" w14:textId="77777777" w:rsidR="00F5093F" w:rsidRPr="00EE6FD2" w:rsidRDefault="00F5093F" w:rsidP="00F5093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360"/>
        <w:jc w:val="both"/>
        <w:rPr>
          <w:rFonts w:asciiTheme="majorHAnsi" w:hAnsiTheme="majorHAnsi"/>
          <w:color w:val="000000" w:themeColor="text1"/>
          <w:sz w:val="18"/>
          <w:szCs w:val="18"/>
        </w:rPr>
      </w:pPr>
    </w:p>
    <w:p w14:paraId="3ADA7992" w14:textId="77777777" w:rsidR="003D1CBD" w:rsidRPr="00EE6FD2" w:rsidRDefault="00633331" w:rsidP="00624C7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To provide Nelson Ivan Serrano Saenz with legal assistance in accordance with international law.</w:t>
      </w:r>
      <w:r w:rsidR="003D1CBD" w:rsidRPr="00EE6FD2">
        <w:rPr>
          <w:rFonts w:asciiTheme="majorHAnsi" w:hAnsiTheme="majorHAnsi"/>
          <w:color w:val="000000" w:themeColor="text1"/>
          <w:sz w:val="18"/>
          <w:szCs w:val="18"/>
        </w:rPr>
        <w:t xml:space="preserve"> </w:t>
      </w:r>
    </w:p>
    <w:p w14:paraId="6A769C9F" w14:textId="77777777" w:rsidR="00F5093F" w:rsidRPr="00EE6FD2" w:rsidRDefault="00F5093F" w:rsidP="00F5093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360"/>
        <w:jc w:val="both"/>
        <w:rPr>
          <w:rFonts w:asciiTheme="majorHAnsi" w:hAnsiTheme="majorHAnsi"/>
          <w:color w:val="000000" w:themeColor="text1"/>
          <w:sz w:val="18"/>
          <w:szCs w:val="18"/>
        </w:rPr>
      </w:pPr>
    </w:p>
    <w:p w14:paraId="63635DA5" w14:textId="77777777" w:rsidR="003D1CBD" w:rsidRPr="00EE6FD2" w:rsidRDefault="00633331" w:rsidP="00624C7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Bring its domestic legal system into line with Article 25 of the American Convention in order to grant a simple and effective recourse in the judicial sphere to persons subjected to deportation processes.</w:t>
      </w:r>
    </w:p>
    <w:p w14:paraId="760C73A1" w14:textId="77777777" w:rsidR="00F5093F" w:rsidRPr="00EE6FD2" w:rsidRDefault="00F5093F" w:rsidP="00F5093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360"/>
        <w:jc w:val="both"/>
        <w:rPr>
          <w:rFonts w:asciiTheme="majorHAnsi" w:hAnsiTheme="majorHAnsi"/>
          <w:color w:val="000000" w:themeColor="text1"/>
          <w:sz w:val="18"/>
          <w:szCs w:val="18"/>
        </w:rPr>
      </w:pPr>
    </w:p>
    <w:p w14:paraId="56BCEEE2" w14:textId="77777777" w:rsidR="00633331" w:rsidRPr="00EE6FD2" w:rsidRDefault="00633331" w:rsidP="00624C7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360"/>
        <w:jc w:val="both"/>
        <w:rPr>
          <w:rFonts w:asciiTheme="majorHAnsi" w:hAnsiTheme="majorHAnsi"/>
          <w:color w:val="000000" w:themeColor="text1"/>
          <w:sz w:val="18"/>
          <w:szCs w:val="18"/>
        </w:rPr>
      </w:pPr>
      <w:r w:rsidRPr="00EE6FD2">
        <w:rPr>
          <w:rFonts w:asciiTheme="majorHAnsi" w:eastAsia="Arial Unicode MS" w:hAnsiTheme="majorHAnsi"/>
          <w:color w:val="000000" w:themeColor="text1"/>
          <w:sz w:val="18"/>
          <w:szCs w:val="18"/>
        </w:rPr>
        <w:t>Make adequate reparations to Nelson Iván Serrano Sáenz for the violation of his human rights as established in th</w:t>
      </w:r>
      <w:r w:rsidR="00C27B09" w:rsidRPr="00EE6FD2">
        <w:rPr>
          <w:rFonts w:asciiTheme="majorHAnsi" w:eastAsia="Arial Unicode MS" w:hAnsiTheme="majorHAnsi"/>
          <w:color w:val="000000" w:themeColor="text1"/>
          <w:sz w:val="18"/>
          <w:szCs w:val="18"/>
        </w:rPr>
        <w:t>[e]</w:t>
      </w:r>
      <w:r w:rsidRPr="00EE6FD2">
        <w:rPr>
          <w:rFonts w:asciiTheme="majorHAnsi" w:eastAsia="Arial Unicode MS" w:hAnsiTheme="majorHAnsi"/>
          <w:color w:val="000000" w:themeColor="text1"/>
          <w:sz w:val="18"/>
          <w:szCs w:val="18"/>
        </w:rPr>
        <w:t xml:space="preserve"> report. </w:t>
      </w:r>
    </w:p>
    <w:p w14:paraId="292536A2" w14:textId="77777777" w:rsidR="00633331" w:rsidRPr="00EE6FD2" w:rsidRDefault="00633331" w:rsidP="00633331">
      <w:pPr>
        <w:pStyle w:val="parrafos"/>
        <w:numPr>
          <w:ilvl w:val="0"/>
          <w:numId w:val="0"/>
        </w:numPr>
        <w:tabs>
          <w:tab w:val="clear" w:pos="1440"/>
          <w:tab w:val="left" w:pos="1080"/>
        </w:tabs>
        <w:rPr>
          <w:sz w:val="18"/>
          <w:szCs w:val="18"/>
        </w:rPr>
      </w:pPr>
    </w:p>
    <w:p w14:paraId="13ADB939" w14:textId="77777777" w:rsidR="00D06A3E" w:rsidRPr="00EE6FD2" w:rsidRDefault="00E84EE2" w:rsidP="000A5F58">
      <w:pPr>
        <w:pStyle w:val="parrafos"/>
        <w:ind w:left="0" w:firstLine="0"/>
      </w:pPr>
      <w:r w:rsidRPr="00EE6FD2">
        <w:t>After the notification of the report, the State engaged in discussions towards establishing mechanisms for compliance with the recommendations, in particular the hiring of specialized legal representation for the defense of Mr. Serrano in the United States. </w:t>
      </w:r>
      <w:r w:rsidR="002B57AA" w:rsidRPr="00EE6FD2">
        <w:t>On October 8</w:t>
      </w:r>
      <w:r w:rsidR="00D06A3E" w:rsidRPr="00EE6FD2">
        <w:t>,</w:t>
      </w:r>
      <w:r w:rsidR="002B57AA" w:rsidRPr="00EE6FD2">
        <w:t xml:space="preserve"> 2008</w:t>
      </w:r>
      <w:r w:rsidR="00D06A3E" w:rsidRPr="00EE6FD2">
        <w:t>,</w:t>
      </w:r>
      <w:r w:rsidR="002B57AA" w:rsidRPr="00EE6FD2">
        <w:t xml:space="preserve"> the State adopted a decree creating a special commission for the investigation of </w:t>
      </w:r>
      <w:r w:rsidR="00950BC5" w:rsidRPr="00EE6FD2">
        <w:t xml:space="preserve">Mr. </w:t>
      </w:r>
      <w:r w:rsidR="002B57AA" w:rsidRPr="00EE6FD2">
        <w:t>Serr</w:t>
      </w:r>
      <w:r w:rsidR="00950BC5" w:rsidRPr="00EE6FD2">
        <w:t>ano</w:t>
      </w:r>
      <w:r w:rsidR="002B57AA" w:rsidRPr="00EE6FD2">
        <w:t xml:space="preserve">’s deportation which in its final report, dated December 8, 2008, acknowledged that the State had violated </w:t>
      </w:r>
      <w:r w:rsidR="00950BC5" w:rsidRPr="00EE6FD2">
        <w:t xml:space="preserve">Mr. </w:t>
      </w:r>
      <w:r w:rsidR="002B57AA" w:rsidRPr="00EE6FD2">
        <w:t xml:space="preserve">Serrano’s rights. </w:t>
      </w:r>
      <w:r w:rsidR="00D06A3E" w:rsidRPr="00EE6FD2">
        <w:t xml:space="preserve">On March 6, 2009 the Ecuadorian State sent a note of protest to the Government of the United States enclosing the “Report of the Commission for the Investigation of the Deportation Process of Nelson Iván Serrano Sáenz” indicating </w:t>
      </w:r>
      <w:r w:rsidR="00D06A3E" w:rsidRPr="00EE6FD2">
        <w:rPr>
          <w:i/>
        </w:rPr>
        <w:t>inter alia</w:t>
      </w:r>
      <w:r w:rsidR="00D06A3E" w:rsidRPr="00EE6FD2">
        <w:t xml:space="preserve"> that</w:t>
      </w:r>
      <w:r w:rsidR="00B01667" w:rsidRPr="00EE6FD2">
        <w:t>:</w:t>
      </w:r>
    </w:p>
    <w:p w14:paraId="0AA7876B" w14:textId="77777777" w:rsidR="00D06A3E" w:rsidRPr="00EE6FD2" w:rsidRDefault="00D06A3E" w:rsidP="00D06A3E">
      <w:pPr>
        <w:pStyle w:val="BodyText"/>
        <w:spacing w:after="0"/>
        <w:jc w:val="both"/>
        <w:rPr>
          <w:rFonts w:asciiTheme="majorHAnsi" w:hAnsiTheme="majorHAnsi"/>
          <w:color w:val="000000" w:themeColor="text1"/>
          <w:sz w:val="20"/>
          <w:szCs w:val="20"/>
        </w:rPr>
      </w:pPr>
      <w:r w:rsidRPr="00EE6FD2">
        <w:rPr>
          <w:rFonts w:asciiTheme="majorHAnsi" w:hAnsiTheme="majorHAnsi"/>
          <w:color w:val="000000" w:themeColor="text1"/>
          <w:sz w:val="20"/>
          <w:szCs w:val="20"/>
        </w:rPr>
        <w:t> </w:t>
      </w:r>
    </w:p>
    <w:p w14:paraId="5802C0D4" w14:textId="77777777" w:rsidR="00D06A3E" w:rsidRPr="00EE6FD2" w:rsidRDefault="00D06A3E" w:rsidP="00B01667">
      <w:pPr>
        <w:pStyle w:val="parrafos"/>
        <w:numPr>
          <w:ilvl w:val="0"/>
          <w:numId w:val="0"/>
        </w:numPr>
        <w:ind w:left="360" w:right="360"/>
        <w:rPr>
          <w:sz w:val="18"/>
          <w:szCs w:val="18"/>
        </w:rPr>
      </w:pPr>
      <w:r w:rsidRPr="00EE6FD2">
        <w:rPr>
          <w:sz w:val="18"/>
          <w:szCs w:val="18"/>
        </w:rPr>
        <w:t xml:space="preserve">The Ecuadorean Government, by Resolution of the Ministry of Government, requires and demands the immediate devolution of Ecuadorean citizen Nelson Serrano to his country of origin, Ecuador, where he would be prosecuted as it should have </w:t>
      </w:r>
      <w:r w:rsidR="009F7658" w:rsidRPr="00EE6FD2">
        <w:rPr>
          <w:sz w:val="18"/>
          <w:szCs w:val="18"/>
        </w:rPr>
        <w:t>[happened if]</w:t>
      </w:r>
      <w:r w:rsidRPr="00EE6FD2">
        <w:rPr>
          <w:sz w:val="18"/>
          <w:szCs w:val="18"/>
        </w:rPr>
        <w:t xml:space="preserve"> the legislation, the Ecuadorian Constitution and the extradition treaty signed between the United States and Ecuador, </w:t>
      </w:r>
      <w:r w:rsidR="009F7658" w:rsidRPr="00EE6FD2">
        <w:rPr>
          <w:sz w:val="18"/>
          <w:szCs w:val="18"/>
        </w:rPr>
        <w:t xml:space="preserve">[had] </w:t>
      </w:r>
      <w:r w:rsidRPr="00EE6FD2">
        <w:rPr>
          <w:sz w:val="18"/>
          <w:szCs w:val="18"/>
        </w:rPr>
        <w:t>been respected</w:t>
      </w:r>
      <w:r w:rsidR="00B01667" w:rsidRPr="00EE6FD2">
        <w:rPr>
          <w:sz w:val="18"/>
          <w:szCs w:val="18"/>
        </w:rPr>
        <w:t>.</w:t>
      </w:r>
      <w:r w:rsidR="00701C45" w:rsidRPr="00EE6FD2">
        <w:rPr>
          <w:rStyle w:val="FootnoteReference"/>
        </w:rPr>
        <w:t xml:space="preserve"> </w:t>
      </w:r>
      <w:r w:rsidR="00701C45" w:rsidRPr="00EE6FD2">
        <w:rPr>
          <w:rStyle w:val="FootnoteReference"/>
          <w:sz w:val="18"/>
          <w:szCs w:val="18"/>
        </w:rPr>
        <w:footnoteReference w:id="9"/>
      </w:r>
    </w:p>
    <w:p w14:paraId="7CAC5E40" w14:textId="77777777" w:rsidR="00A43220" w:rsidRPr="00EE6FD2" w:rsidRDefault="00A43220" w:rsidP="00A43220">
      <w:pPr>
        <w:pStyle w:val="parrafos"/>
        <w:numPr>
          <w:ilvl w:val="0"/>
          <w:numId w:val="0"/>
        </w:numPr>
      </w:pPr>
    </w:p>
    <w:p w14:paraId="7BA8CA43" w14:textId="77777777" w:rsidR="00266A59" w:rsidRPr="00EE6FD2" w:rsidRDefault="00A43220" w:rsidP="00266A59">
      <w:pPr>
        <w:pStyle w:val="parrafos"/>
        <w:ind w:left="0" w:firstLine="0"/>
      </w:pPr>
      <w:r w:rsidRPr="00EE6FD2">
        <w:t xml:space="preserve">In view of the measures adopted by Ecuador to comply with its recommendations, on March 6, 2009, the IACHR decided not to refer the case to the jurisdiction of the Inter-American Court of Human Rights. </w:t>
      </w:r>
      <w:r w:rsidR="0031173C" w:rsidRPr="00EE6FD2">
        <w:t>On August 6, 2009</w:t>
      </w:r>
      <w:r w:rsidR="00266A59" w:rsidRPr="00EE6FD2">
        <w:t xml:space="preserve">, the IACHR published Merits Report </w:t>
      </w:r>
      <w:r w:rsidR="0031173C" w:rsidRPr="00EE6FD2">
        <w:t xml:space="preserve">No. 84/09 </w:t>
      </w:r>
      <w:r w:rsidR="00AE2FA3" w:rsidRPr="00EE6FD2">
        <w:t>reiterating</w:t>
      </w:r>
      <w:r w:rsidR="0031173C" w:rsidRPr="00EE6FD2">
        <w:t xml:space="preserve"> it</w:t>
      </w:r>
      <w:r w:rsidR="00AE2FA3" w:rsidRPr="00EE6FD2">
        <w:t>s</w:t>
      </w:r>
      <w:r w:rsidR="0031173C" w:rsidRPr="00EE6FD2">
        <w:t xml:space="preserve"> conclu</w:t>
      </w:r>
      <w:r w:rsidR="00AE2FA3" w:rsidRPr="00EE6FD2">
        <w:t xml:space="preserve">sions </w:t>
      </w:r>
      <w:r w:rsidR="00BB52A5" w:rsidRPr="00EE6FD2">
        <w:t>as well as</w:t>
      </w:r>
      <w:r w:rsidR="00AE2FA3" w:rsidRPr="00EE6FD2">
        <w:t xml:space="preserve"> </w:t>
      </w:r>
      <w:r w:rsidR="00BB52A5" w:rsidRPr="00EE6FD2">
        <w:t>the following recommendations to the State:</w:t>
      </w:r>
    </w:p>
    <w:p w14:paraId="156466DA" w14:textId="77777777" w:rsidR="00BB52A5" w:rsidRPr="00EE6FD2" w:rsidRDefault="00BB52A5" w:rsidP="00BB52A5">
      <w:pPr>
        <w:pStyle w:val="parrafos"/>
        <w:numPr>
          <w:ilvl w:val="0"/>
          <w:numId w:val="0"/>
        </w:numPr>
      </w:pPr>
    </w:p>
    <w:p w14:paraId="47CA6C12" w14:textId="77777777" w:rsidR="00BB52A5" w:rsidRPr="00EE6FD2" w:rsidRDefault="00BB52A5" w:rsidP="00624C7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Continue granting legal assistance to Nelson Iván Serrano Sáenz according to international law.</w:t>
      </w:r>
    </w:p>
    <w:p w14:paraId="3BA0D531" w14:textId="77777777" w:rsidR="00BB52A5" w:rsidRPr="00EE6FD2" w:rsidRDefault="00BB52A5" w:rsidP="00BB52A5">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 </w:t>
      </w:r>
    </w:p>
    <w:p w14:paraId="241F8CCC" w14:textId="77777777" w:rsidR="00BB52A5" w:rsidRPr="00EE6FD2" w:rsidRDefault="00BB52A5" w:rsidP="00624C7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Modify domestic legislation to ensure simple and effective recourse to courts pursuant to Article 25 of the American Convention for anyone subject to deportation proceedings.</w:t>
      </w:r>
    </w:p>
    <w:p w14:paraId="69693956" w14:textId="77777777" w:rsidR="00BB52A5" w:rsidRPr="00EE6FD2" w:rsidRDefault="00BB52A5" w:rsidP="00BB52A5">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 </w:t>
      </w:r>
    </w:p>
    <w:p w14:paraId="04C9802C" w14:textId="77777777" w:rsidR="00BB52A5" w:rsidRPr="00EE6FD2" w:rsidRDefault="00BB52A5" w:rsidP="00624C7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color w:val="000000" w:themeColor="text1"/>
          <w:sz w:val="18"/>
          <w:szCs w:val="18"/>
        </w:rPr>
      </w:pPr>
      <w:r w:rsidRPr="00EE6FD2">
        <w:rPr>
          <w:rFonts w:asciiTheme="majorHAnsi" w:hAnsiTheme="majorHAnsi"/>
          <w:color w:val="000000" w:themeColor="text1"/>
          <w:sz w:val="18"/>
          <w:szCs w:val="18"/>
        </w:rPr>
        <w:t>Provide adequate reparations for the violations of Nelson Iván Serrano Sáenz’s rights established in th</w:t>
      </w:r>
      <w:r w:rsidR="00D6718C" w:rsidRPr="00EE6FD2">
        <w:rPr>
          <w:rFonts w:asciiTheme="majorHAnsi" w:hAnsiTheme="majorHAnsi"/>
          <w:color w:val="000000" w:themeColor="text1"/>
          <w:sz w:val="18"/>
          <w:szCs w:val="18"/>
        </w:rPr>
        <w:t>[e]</w:t>
      </w:r>
      <w:r w:rsidRPr="00EE6FD2">
        <w:rPr>
          <w:rFonts w:asciiTheme="majorHAnsi" w:hAnsiTheme="majorHAnsi"/>
          <w:color w:val="000000" w:themeColor="text1"/>
          <w:sz w:val="18"/>
          <w:szCs w:val="18"/>
        </w:rPr>
        <w:t xml:space="preserve"> report. </w:t>
      </w:r>
    </w:p>
    <w:p w14:paraId="4146C8FD" w14:textId="77777777" w:rsidR="00BB52A5" w:rsidRPr="00EE6FD2" w:rsidRDefault="00BB52A5" w:rsidP="00BB52A5">
      <w:pPr>
        <w:pStyle w:val="parrafos"/>
        <w:numPr>
          <w:ilvl w:val="0"/>
          <w:numId w:val="0"/>
        </w:numPr>
      </w:pPr>
    </w:p>
    <w:p w14:paraId="539963CE" w14:textId="77777777" w:rsidR="001F2596" w:rsidRPr="00EE6FD2" w:rsidRDefault="00E93B20" w:rsidP="00E93B20">
      <w:pPr>
        <w:pStyle w:val="Heading2"/>
        <w:tabs>
          <w:tab w:val="left" w:pos="360"/>
        </w:tabs>
        <w:rPr>
          <w:bCs w:val="0"/>
          <w:color w:val="auto"/>
          <w:sz w:val="20"/>
          <w:szCs w:val="20"/>
        </w:rPr>
      </w:pPr>
      <w:bookmarkStart w:id="16" w:name="_Toc41343325"/>
      <w:r w:rsidRPr="00EE6FD2">
        <w:rPr>
          <w:bCs w:val="0"/>
          <w:color w:val="auto"/>
          <w:sz w:val="20"/>
          <w:szCs w:val="20"/>
        </w:rPr>
        <w:lastRenderedPageBreak/>
        <w:t xml:space="preserve">B. </w:t>
      </w:r>
      <w:r w:rsidRPr="00EE6FD2">
        <w:rPr>
          <w:bCs w:val="0"/>
          <w:color w:val="auto"/>
          <w:sz w:val="20"/>
          <w:szCs w:val="20"/>
        </w:rPr>
        <w:tab/>
      </w:r>
      <w:r w:rsidR="00E66E5F" w:rsidRPr="00EE6FD2">
        <w:rPr>
          <w:bCs w:val="0"/>
          <w:color w:val="auto"/>
          <w:sz w:val="20"/>
          <w:szCs w:val="20"/>
        </w:rPr>
        <w:t xml:space="preserve">Relevant legal </w:t>
      </w:r>
      <w:r w:rsidR="00561A4E" w:rsidRPr="00EE6FD2">
        <w:rPr>
          <w:bCs w:val="0"/>
          <w:color w:val="auto"/>
          <w:sz w:val="20"/>
          <w:szCs w:val="20"/>
        </w:rPr>
        <w:t>framework</w:t>
      </w:r>
      <w:bookmarkEnd w:id="16"/>
    </w:p>
    <w:p w14:paraId="3E96C421" w14:textId="77777777" w:rsidR="00E66E5F" w:rsidRPr="00EE6FD2" w:rsidRDefault="00E66E5F" w:rsidP="00E66E5F">
      <w:pPr>
        <w:pStyle w:val="ListParagraph"/>
        <w:tabs>
          <w:tab w:val="left" w:pos="360"/>
        </w:tabs>
        <w:ind w:left="0"/>
        <w:jc w:val="both"/>
        <w:rPr>
          <w:rFonts w:asciiTheme="majorHAnsi" w:hAnsiTheme="majorHAnsi"/>
          <w:b/>
          <w:color w:val="auto"/>
          <w:sz w:val="20"/>
          <w:szCs w:val="20"/>
        </w:rPr>
      </w:pPr>
    </w:p>
    <w:p w14:paraId="38EF0E37" w14:textId="77777777" w:rsidR="001B73BE" w:rsidRPr="00EE6FD2" w:rsidRDefault="001B73BE" w:rsidP="001B73BE">
      <w:pPr>
        <w:pStyle w:val="parrafos"/>
        <w:ind w:left="0" w:firstLine="0"/>
      </w:pPr>
      <w:r w:rsidRPr="00EE6FD2">
        <w:t xml:space="preserve">The Extradition Treaty between the United States and Ecuador, which entered into force in 1873, and was later amended in 1939, contains the following procedures in Article 5 of the treaty, in order to </w:t>
      </w:r>
      <w:r w:rsidR="00701C45" w:rsidRPr="00EE6FD2">
        <w:t xml:space="preserve">carry out </w:t>
      </w:r>
      <w:r w:rsidRPr="00EE6FD2">
        <w:t>an extradition:</w:t>
      </w:r>
    </w:p>
    <w:p w14:paraId="460120DB" w14:textId="77777777" w:rsidR="001B73BE" w:rsidRPr="00EE6FD2" w:rsidRDefault="001B73BE" w:rsidP="001B73BE">
      <w:pPr>
        <w:pStyle w:val="parrafos"/>
        <w:numPr>
          <w:ilvl w:val="0"/>
          <w:numId w:val="0"/>
        </w:numPr>
      </w:pPr>
    </w:p>
    <w:p w14:paraId="34565956" w14:textId="77777777" w:rsidR="001B73BE" w:rsidRPr="00EE6FD2" w:rsidRDefault="001B73BE" w:rsidP="001B73BE">
      <w:pPr>
        <w:pStyle w:val="parrafos"/>
        <w:numPr>
          <w:ilvl w:val="0"/>
          <w:numId w:val="0"/>
        </w:numPr>
        <w:ind w:left="360" w:right="720"/>
        <w:rPr>
          <w:sz w:val="18"/>
          <w:szCs w:val="18"/>
        </w:rPr>
      </w:pPr>
      <w:r w:rsidRPr="00EE6FD2">
        <w:rPr>
          <w:sz w:val="18"/>
          <w:szCs w:val="18"/>
        </w:rPr>
        <w:t>Requisitions for the extradition of fugitives from justice shall be made by the respective diplomatic agents of the contracting parties, or, in case of the absence of these from the country or its capital, they may be made by superior consular officers. [W]hen the fugitive is merely charged with crime, a duly authenticated copy of the warrant for his arrest in the country where the crime has been committed, and of any evidence in writing upon which such warrant may have been issued, must accompany the aforesaid requisition. The President of the United States, or the proper executive authority of Ecuador, may then order the arrest of the fugitive, in order that he may be brought before the judicial authority which is competent to examine the question of extradition. If, then, according to the evidence and the law, it be decided that the extradition is due in conformity with this treaty, the fugitive shall be delivered up, according to the forms prescribed in such cases.</w:t>
      </w:r>
    </w:p>
    <w:p w14:paraId="6FAE01AB" w14:textId="77777777" w:rsidR="001B73BE" w:rsidRPr="00EE6FD2" w:rsidRDefault="001B73BE" w:rsidP="001B73BE">
      <w:pPr>
        <w:pStyle w:val="parrafos"/>
        <w:numPr>
          <w:ilvl w:val="0"/>
          <w:numId w:val="0"/>
        </w:numPr>
      </w:pPr>
    </w:p>
    <w:p w14:paraId="0182FDA1" w14:textId="77777777" w:rsidR="00561A4E" w:rsidRPr="00EE6FD2" w:rsidRDefault="00017B2D" w:rsidP="00017B2D">
      <w:pPr>
        <w:pStyle w:val="parrafos"/>
        <w:ind w:left="0" w:firstLine="0"/>
      </w:pPr>
      <w:r w:rsidRPr="00EE6FD2">
        <w:t>At the time of Mr. Serrano’s detention in Ecuador</w:t>
      </w:r>
      <w:r w:rsidR="00F73031" w:rsidRPr="00EE6FD2">
        <w:t>, Chapter V (“Rules for the deportation of foreign nationals”) of</w:t>
      </w:r>
      <w:r w:rsidRPr="00EE6FD2">
        <w:t xml:space="preserve"> the </w:t>
      </w:r>
      <w:r w:rsidR="00561A4E" w:rsidRPr="00EE6FD2">
        <w:t>1971 Immigration Law</w:t>
      </w:r>
      <w:r w:rsidRPr="00EE6FD2">
        <w:t xml:space="preserve"> in force in Ecuador</w:t>
      </w:r>
      <w:r w:rsidR="00F73031" w:rsidRPr="00EE6FD2">
        <w:t xml:space="preserve"> established</w:t>
      </w:r>
      <w:r w:rsidRPr="00EE6FD2">
        <w:t xml:space="preserve"> th</w:t>
      </w:r>
      <w:r w:rsidR="00F73031" w:rsidRPr="00EE6FD2">
        <w:t>at</w:t>
      </w:r>
      <w:r w:rsidRPr="00EE6FD2">
        <w:t>:</w:t>
      </w:r>
      <w:r w:rsidR="00561A4E" w:rsidRPr="00EE6FD2">
        <w:t xml:space="preserve">  </w:t>
      </w:r>
    </w:p>
    <w:p w14:paraId="1948AA62" w14:textId="77777777" w:rsidR="00561A4E" w:rsidRPr="00EE6FD2" w:rsidRDefault="00561A4E" w:rsidP="00561A4E">
      <w:pPr>
        <w:ind w:left="360"/>
        <w:jc w:val="both"/>
        <w:rPr>
          <w:rFonts w:ascii="Cambria" w:hAnsi="Cambria"/>
          <w:sz w:val="20"/>
          <w:szCs w:val="20"/>
        </w:rPr>
      </w:pPr>
    </w:p>
    <w:p w14:paraId="13BD417B" w14:textId="77777777" w:rsidR="00561A4E" w:rsidRPr="00EE6FD2" w:rsidRDefault="00561A4E" w:rsidP="001B73BE">
      <w:pPr>
        <w:ind w:left="360" w:right="720"/>
        <w:jc w:val="both"/>
        <w:rPr>
          <w:rFonts w:ascii="Cambria" w:hAnsi="Cambria"/>
          <w:sz w:val="18"/>
          <w:szCs w:val="18"/>
        </w:rPr>
      </w:pPr>
      <w:r w:rsidRPr="00EE6FD2">
        <w:rPr>
          <w:rFonts w:ascii="Cambria" w:hAnsi="Cambria"/>
          <w:sz w:val="18"/>
          <w:szCs w:val="18"/>
        </w:rPr>
        <w:t xml:space="preserve">Article 19. </w:t>
      </w:r>
      <w:r w:rsidR="00AE7467" w:rsidRPr="00EE6FD2">
        <w:rPr>
          <w:rFonts w:ascii="Cambria" w:hAnsi="Cambria"/>
          <w:sz w:val="18"/>
          <w:szCs w:val="18"/>
        </w:rPr>
        <w:t>The Minister of Government, through the Migration Service of the National Civil Police, shall deport any alien subject to the territorial jurisdiction remaining in the country covered in the following cases: […] IV. Common criminals who could not be tried in Ecuador for lack of territorial jurisdiction.</w:t>
      </w:r>
    </w:p>
    <w:p w14:paraId="5E85BC6C" w14:textId="77777777" w:rsidR="00561A4E" w:rsidRPr="00EE6FD2" w:rsidRDefault="00561A4E" w:rsidP="001B73BE">
      <w:pPr>
        <w:ind w:left="360" w:right="720"/>
        <w:jc w:val="both"/>
        <w:rPr>
          <w:rFonts w:ascii="Cambria" w:hAnsi="Cambria"/>
          <w:sz w:val="18"/>
          <w:szCs w:val="18"/>
        </w:rPr>
      </w:pPr>
    </w:p>
    <w:p w14:paraId="4B9A6E49" w14:textId="77777777" w:rsidR="00561A4E" w:rsidRPr="00EE6FD2" w:rsidRDefault="00561A4E" w:rsidP="001B73BE">
      <w:pPr>
        <w:ind w:left="360" w:right="720"/>
        <w:jc w:val="both"/>
        <w:rPr>
          <w:rFonts w:ascii="Cambria" w:hAnsi="Cambria"/>
          <w:sz w:val="18"/>
          <w:szCs w:val="18"/>
        </w:rPr>
      </w:pPr>
      <w:r w:rsidRPr="00EE6FD2">
        <w:rPr>
          <w:rFonts w:ascii="Cambria" w:hAnsi="Cambria"/>
          <w:sz w:val="18"/>
          <w:szCs w:val="18"/>
        </w:rPr>
        <w:t xml:space="preserve">Article 20. </w:t>
      </w:r>
      <w:r w:rsidR="00AE7467" w:rsidRPr="00EE6FD2">
        <w:rPr>
          <w:rFonts w:ascii="Cambria" w:hAnsi="Cambria"/>
          <w:sz w:val="18"/>
          <w:szCs w:val="18"/>
        </w:rPr>
        <w:t>Police officers of the Immigration Service who have knowledge of any of the facts constituting the grounds for deportation, may make the provisional arrest of the foreigner accused so that the Intendent General of Police of the province in which the arrest was made, initiates the respective action, which will not be admitted bail prison.</w:t>
      </w:r>
      <w:r w:rsidR="00225685" w:rsidRPr="00EE6FD2">
        <w:rPr>
          <w:rStyle w:val="FootnoteReference"/>
        </w:rPr>
        <w:t xml:space="preserve"> </w:t>
      </w:r>
      <w:r w:rsidR="00225685" w:rsidRPr="00EE6FD2">
        <w:rPr>
          <w:rStyle w:val="FootnoteReference"/>
          <w:rFonts w:asciiTheme="majorHAnsi" w:hAnsiTheme="majorHAnsi"/>
          <w:sz w:val="18"/>
          <w:szCs w:val="18"/>
        </w:rPr>
        <w:footnoteReference w:id="10"/>
      </w:r>
    </w:p>
    <w:p w14:paraId="7E85D004" w14:textId="77777777" w:rsidR="00FA5BB3" w:rsidRPr="00EE6FD2" w:rsidRDefault="00E93B20" w:rsidP="00E93B20">
      <w:pPr>
        <w:pStyle w:val="Heading2"/>
        <w:tabs>
          <w:tab w:val="left" w:pos="360"/>
        </w:tabs>
        <w:rPr>
          <w:bCs w:val="0"/>
          <w:color w:val="auto"/>
          <w:sz w:val="20"/>
          <w:szCs w:val="20"/>
        </w:rPr>
      </w:pPr>
      <w:bookmarkStart w:id="17" w:name="_Toc41343326"/>
      <w:r w:rsidRPr="00EE6FD2">
        <w:rPr>
          <w:bCs w:val="0"/>
          <w:color w:val="auto"/>
          <w:sz w:val="20"/>
          <w:szCs w:val="20"/>
        </w:rPr>
        <w:t>C.</w:t>
      </w:r>
      <w:r w:rsidRPr="00EE6FD2">
        <w:rPr>
          <w:bCs w:val="0"/>
          <w:color w:val="auto"/>
          <w:sz w:val="20"/>
          <w:szCs w:val="20"/>
        </w:rPr>
        <w:tab/>
      </w:r>
      <w:r w:rsidR="00FA5BB3" w:rsidRPr="00EE6FD2">
        <w:rPr>
          <w:bCs w:val="0"/>
          <w:color w:val="auto"/>
          <w:sz w:val="20"/>
          <w:szCs w:val="20"/>
        </w:rPr>
        <w:t>Facts of the case</w:t>
      </w:r>
      <w:bookmarkEnd w:id="17"/>
    </w:p>
    <w:p w14:paraId="6E8A2010" w14:textId="77777777" w:rsidR="00FA5BB3" w:rsidRPr="00EE6FD2" w:rsidRDefault="00FA5BB3" w:rsidP="00FA5BB3">
      <w:pPr>
        <w:pStyle w:val="ListParagraph"/>
        <w:tabs>
          <w:tab w:val="left" w:pos="360"/>
        </w:tabs>
        <w:ind w:left="0"/>
        <w:jc w:val="both"/>
        <w:rPr>
          <w:rFonts w:asciiTheme="majorHAnsi" w:hAnsiTheme="majorHAnsi"/>
          <w:b/>
          <w:color w:val="auto"/>
          <w:sz w:val="20"/>
          <w:szCs w:val="20"/>
        </w:rPr>
      </w:pPr>
    </w:p>
    <w:p w14:paraId="43FCF455" w14:textId="77777777" w:rsidR="00FA5BB3" w:rsidRPr="00EE6FD2" w:rsidRDefault="00235CAA" w:rsidP="00E933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Cambria" w:hAnsi="Cambria"/>
          <w:sz w:val="20"/>
          <w:szCs w:val="20"/>
        </w:rPr>
      </w:pPr>
      <w:r w:rsidRPr="00EE6FD2">
        <w:rPr>
          <w:rFonts w:ascii="Cambria" w:hAnsi="Cambria"/>
          <w:sz w:val="20"/>
          <w:szCs w:val="20"/>
        </w:rPr>
        <w:t>The facts described below were established by domestic courts and have not been disputed by the petitioners.</w:t>
      </w:r>
    </w:p>
    <w:p w14:paraId="5A3637B8" w14:textId="77777777" w:rsidR="00EF48C9" w:rsidRPr="00EE6FD2" w:rsidRDefault="00EF48C9" w:rsidP="00EF48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6D047BB0" w14:textId="77777777" w:rsidR="00EF48C9" w:rsidRPr="00EE6FD2" w:rsidRDefault="00EF48C9" w:rsidP="00E933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Cambria" w:hAnsi="Cambria"/>
          <w:sz w:val="20"/>
          <w:szCs w:val="20"/>
        </w:rPr>
      </w:pPr>
      <w:r w:rsidRPr="00EE6FD2">
        <w:rPr>
          <w:rFonts w:ascii="Cambria" w:hAnsi="Cambria"/>
          <w:sz w:val="20"/>
          <w:szCs w:val="20"/>
        </w:rPr>
        <w:t xml:space="preserve">On December 3, 1997, George Gonsalves, Frank Dosso, Diane Patisso, and George Patisso were murdered at Erie Manufacturing and Garment Conveyor Systems in Bartow, Florida. George Gonsalves and </w:t>
      </w:r>
      <w:r w:rsidR="0004664B" w:rsidRPr="00EE6FD2">
        <w:rPr>
          <w:rFonts w:ascii="Cambria" w:hAnsi="Cambria"/>
          <w:sz w:val="20"/>
          <w:szCs w:val="20"/>
        </w:rPr>
        <w:t xml:space="preserve">Felice Dosso, father and father-in-law of Frank Dosso, Diane Patisso, and George Patisso, respectively, were </w:t>
      </w:r>
      <w:r w:rsidRPr="00EE6FD2">
        <w:rPr>
          <w:rFonts w:ascii="Cambria" w:hAnsi="Cambria"/>
          <w:sz w:val="20"/>
          <w:szCs w:val="20"/>
        </w:rPr>
        <w:t>Nelson Serrano</w:t>
      </w:r>
      <w:r w:rsidR="0004664B" w:rsidRPr="00EE6FD2">
        <w:rPr>
          <w:rFonts w:ascii="Cambria" w:hAnsi="Cambria"/>
          <w:sz w:val="20"/>
          <w:szCs w:val="20"/>
        </w:rPr>
        <w:t>’s</w:t>
      </w:r>
      <w:r w:rsidRPr="00EE6FD2">
        <w:rPr>
          <w:rFonts w:ascii="Cambria" w:hAnsi="Cambria"/>
          <w:sz w:val="20"/>
          <w:szCs w:val="20"/>
        </w:rPr>
        <w:t xml:space="preserve"> business partners from the mi</w:t>
      </w:r>
      <w:r w:rsidR="0004664B" w:rsidRPr="00EE6FD2">
        <w:rPr>
          <w:rFonts w:ascii="Cambria" w:hAnsi="Cambria"/>
          <w:sz w:val="20"/>
          <w:szCs w:val="20"/>
        </w:rPr>
        <w:t xml:space="preserve">d-1980s until the summer of 1997. Numerous Erie employees testified to the strained relations between Serrano and the other two partners. </w:t>
      </w:r>
    </w:p>
    <w:p w14:paraId="6009F3B7" w14:textId="77777777" w:rsidR="007A23BB" w:rsidRPr="00EE6FD2" w:rsidRDefault="007A23BB" w:rsidP="007A23BB">
      <w:pPr>
        <w:pStyle w:val="ListParagraph"/>
        <w:rPr>
          <w:sz w:val="20"/>
          <w:szCs w:val="20"/>
        </w:rPr>
      </w:pPr>
    </w:p>
    <w:p w14:paraId="78D79928" w14:textId="77777777" w:rsidR="00716DBF" w:rsidRPr="00EE6FD2" w:rsidRDefault="007A23BB" w:rsidP="00E933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Cambria" w:hAnsi="Cambria"/>
          <w:sz w:val="20"/>
          <w:szCs w:val="20"/>
        </w:rPr>
      </w:pPr>
      <w:r w:rsidRPr="00EE6FD2">
        <w:rPr>
          <w:rFonts w:ascii="Cambria" w:hAnsi="Cambria"/>
          <w:sz w:val="20"/>
          <w:szCs w:val="20"/>
        </w:rPr>
        <w:t>On the evening of the murders, most Erie employees left work at 5 p.m. or shortly thereafter. When family members began calling and could not get an answer, Felice Dosso and his wife drove to Erie and found the deceased bodies of their daughter, son, son-in-law and of George Gonsalves. T</w:t>
      </w:r>
      <w:r w:rsidR="00A32D05" w:rsidRPr="00EE6FD2">
        <w:rPr>
          <w:rFonts w:ascii="Cambria" w:hAnsi="Cambria"/>
          <w:sz w:val="20"/>
          <w:szCs w:val="20"/>
        </w:rPr>
        <w:t>he victims were shot execution-style with two firearms (.22 and .32 caliber).</w:t>
      </w:r>
      <w:r w:rsidR="00133F95" w:rsidRPr="00EE6FD2">
        <w:rPr>
          <w:rFonts w:ascii="Cambria" w:hAnsi="Cambria"/>
          <w:sz w:val="20"/>
          <w:szCs w:val="20"/>
        </w:rPr>
        <w:t xml:space="preserve"> The investigation immediately focuse</w:t>
      </w:r>
      <w:r w:rsidR="001E09B0" w:rsidRPr="00EE6FD2">
        <w:rPr>
          <w:rFonts w:ascii="Cambria" w:hAnsi="Cambria"/>
          <w:sz w:val="20"/>
          <w:szCs w:val="20"/>
        </w:rPr>
        <w:t>d</w:t>
      </w:r>
      <w:r w:rsidR="00133F95" w:rsidRPr="00EE6FD2">
        <w:rPr>
          <w:rFonts w:ascii="Cambria" w:hAnsi="Cambria"/>
          <w:sz w:val="20"/>
          <w:szCs w:val="20"/>
        </w:rPr>
        <w:t xml:space="preserve"> on Mr. Serrano. As soon as he returned to his home from a business trip to Atlanta on December 4, 1997, detectives requested that he come to the police station for an interview. Serrano detailed his business trip itinerary, which included leaving early on the morning on December 2, flying from Orlando to Washington DC, and fro</w:t>
      </w:r>
      <w:r w:rsidR="001E09B0" w:rsidRPr="00EE6FD2">
        <w:rPr>
          <w:rFonts w:ascii="Cambria" w:hAnsi="Cambria"/>
          <w:sz w:val="20"/>
          <w:szCs w:val="20"/>
        </w:rPr>
        <w:t>m</w:t>
      </w:r>
      <w:r w:rsidR="00133F95" w:rsidRPr="00EE6FD2">
        <w:rPr>
          <w:rFonts w:ascii="Cambria" w:hAnsi="Cambria"/>
          <w:sz w:val="20"/>
          <w:szCs w:val="20"/>
        </w:rPr>
        <w:t xml:space="preserve"> Washington DC to Atlanta the evening</w:t>
      </w:r>
      <w:r w:rsidR="00716DBF" w:rsidRPr="00EE6FD2">
        <w:rPr>
          <w:rFonts w:ascii="Cambria" w:hAnsi="Cambria"/>
          <w:sz w:val="20"/>
          <w:szCs w:val="20"/>
        </w:rPr>
        <w:t xml:space="preserve"> of December 2. Mr. Serrano indicated that he remained in Atlanta until December 4, 1997.</w:t>
      </w:r>
    </w:p>
    <w:p w14:paraId="021B8008" w14:textId="77777777" w:rsidR="00716DBF" w:rsidRPr="00EE6FD2" w:rsidRDefault="00716DBF" w:rsidP="00716DBF">
      <w:pPr>
        <w:pStyle w:val="ListParagraph"/>
        <w:rPr>
          <w:sz w:val="20"/>
          <w:szCs w:val="20"/>
        </w:rPr>
      </w:pPr>
    </w:p>
    <w:p w14:paraId="740B66FB" w14:textId="77777777" w:rsidR="00A925B5" w:rsidRPr="00EE6FD2" w:rsidRDefault="00716DBF" w:rsidP="00E933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Cambria" w:hAnsi="Cambria"/>
          <w:sz w:val="20"/>
          <w:szCs w:val="20"/>
        </w:rPr>
      </w:pPr>
      <w:r w:rsidRPr="00EE6FD2">
        <w:rPr>
          <w:rFonts w:ascii="Cambria" w:hAnsi="Cambria"/>
          <w:sz w:val="20"/>
          <w:szCs w:val="20"/>
        </w:rPr>
        <w:t>Mr. Serrano’s alibi in Atlanta testified that he met</w:t>
      </w:r>
      <w:r w:rsidR="00332132" w:rsidRPr="00EE6FD2">
        <w:rPr>
          <w:rFonts w:ascii="Cambria" w:hAnsi="Cambria"/>
          <w:sz w:val="20"/>
          <w:szCs w:val="20"/>
        </w:rPr>
        <w:t xml:space="preserve"> with</w:t>
      </w:r>
      <w:r w:rsidRPr="00EE6FD2">
        <w:rPr>
          <w:rFonts w:ascii="Cambria" w:hAnsi="Cambria"/>
          <w:sz w:val="20"/>
          <w:szCs w:val="20"/>
        </w:rPr>
        <w:t xml:space="preserve"> him in Atlanta on December </w:t>
      </w:r>
      <w:r w:rsidR="003362F0" w:rsidRPr="00EE6FD2">
        <w:rPr>
          <w:rFonts w:ascii="Cambria" w:hAnsi="Cambria"/>
          <w:sz w:val="20"/>
          <w:szCs w:val="20"/>
        </w:rPr>
        <w:t xml:space="preserve">3 at about 9:45 a.m., and </w:t>
      </w:r>
      <w:r w:rsidR="00332132" w:rsidRPr="00EE6FD2">
        <w:rPr>
          <w:rFonts w:ascii="Cambria" w:hAnsi="Cambria"/>
          <w:sz w:val="20"/>
          <w:szCs w:val="20"/>
        </w:rPr>
        <w:t xml:space="preserve">that </w:t>
      </w:r>
      <w:r w:rsidR="003362F0" w:rsidRPr="00EE6FD2">
        <w:rPr>
          <w:rFonts w:ascii="Cambria" w:hAnsi="Cambria"/>
          <w:sz w:val="20"/>
          <w:szCs w:val="20"/>
        </w:rPr>
        <w:t xml:space="preserve">the meeting lasted approximately one hour. Investigators obtained the airport hotel’s surveillance videotapes that showed Mr. Serrano in the hotel lobby at 12:19 p.m. on December 3. At 10:17 p.m., Mr. Serrano was again seen on the video, entering the hotel lobby from the outside, wearing the same sweater and jacket as earlier in the afternoon. </w:t>
      </w:r>
      <w:r w:rsidR="00A925B5" w:rsidRPr="00EE6FD2">
        <w:rPr>
          <w:rFonts w:ascii="Cambria" w:hAnsi="Cambria"/>
          <w:sz w:val="20"/>
          <w:szCs w:val="20"/>
        </w:rPr>
        <w:t xml:space="preserve">The State theorized that on the day of the murders Mr. Serrano flew from Atlanta to Orlando under </w:t>
      </w:r>
      <w:r w:rsidR="0091603E" w:rsidRPr="00EE6FD2">
        <w:rPr>
          <w:rFonts w:ascii="Cambria" w:hAnsi="Cambria"/>
          <w:sz w:val="20"/>
          <w:szCs w:val="20"/>
        </w:rPr>
        <w:t>an alias</w:t>
      </w:r>
      <w:r w:rsidR="00A925B5" w:rsidRPr="00EE6FD2">
        <w:rPr>
          <w:rFonts w:ascii="Cambria" w:hAnsi="Cambria"/>
          <w:sz w:val="20"/>
          <w:szCs w:val="20"/>
        </w:rPr>
        <w:t xml:space="preserve"> and that immediately after the murders he departed on a flight back to Atlanta using </w:t>
      </w:r>
      <w:r w:rsidR="00A925B5" w:rsidRPr="00EE6FD2">
        <w:rPr>
          <w:rFonts w:ascii="Cambria" w:hAnsi="Cambria"/>
          <w:sz w:val="20"/>
          <w:szCs w:val="20"/>
        </w:rPr>
        <w:lastRenderedPageBreak/>
        <w:t xml:space="preserve">another alias. </w:t>
      </w:r>
      <w:r w:rsidR="0091603E" w:rsidRPr="00EE6FD2">
        <w:rPr>
          <w:rFonts w:ascii="Cambria" w:hAnsi="Cambria"/>
          <w:sz w:val="20"/>
          <w:szCs w:val="20"/>
        </w:rPr>
        <w:t xml:space="preserve">Mr. Serrano’s fingerprint was located on a parking garage ticket at Orlando airport, indicating, according to the State, that he departed from the Orlando airport at 3:49 p.m. </w:t>
      </w:r>
    </w:p>
    <w:p w14:paraId="747A8E3D" w14:textId="77777777" w:rsidR="00607E10" w:rsidRPr="00EE6FD2" w:rsidRDefault="000608ED" w:rsidP="00624C78">
      <w:pPr>
        <w:pStyle w:val="Heading2"/>
        <w:numPr>
          <w:ilvl w:val="0"/>
          <w:numId w:val="61"/>
        </w:numPr>
        <w:tabs>
          <w:tab w:val="left" w:pos="360"/>
        </w:tabs>
        <w:ind w:left="360"/>
        <w:rPr>
          <w:bCs w:val="0"/>
          <w:color w:val="auto"/>
          <w:sz w:val="20"/>
          <w:szCs w:val="20"/>
        </w:rPr>
      </w:pPr>
      <w:bookmarkStart w:id="18" w:name="_Toc41343327"/>
      <w:r w:rsidRPr="00EE6FD2">
        <w:rPr>
          <w:bCs w:val="0"/>
          <w:color w:val="auto"/>
          <w:sz w:val="20"/>
          <w:szCs w:val="20"/>
        </w:rPr>
        <w:t>Mr. Serrano’s detention</w:t>
      </w:r>
      <w:r w:rsidR="00EB3CEF" w:rsidRPr="00EE6FD2">
        <w:rPr>
          <w:bCs w:val="0"/>
          <w:color w:val="auto"/>
          <w:sz w:val="20"/>
          <w:szCs w:val="20"/>
        </w:rPr>
        <w:t>, trial and death sentence</w:t>
      </w:r>
      <w:bookmarkEnd w:id="18"/>
    </w:p>
    <w:p w14:paraId="1CAFB006" w14:textId="77777777" w:rsidR="00BB52A5" w:rsidRPr="00EE6FD2" w:rsidRDefault="00BB52A5" w:rsidP="00266A59">
      <w:pPr>
        <w:pStyle w:val="parrafos"/>
        <w:numPr>
          <w:ilvl w:val="0"/>
          <w:numId w:val="0"/>
        </w:numPr>
      </w:pPr>
    </w:p>
    <w:p w14:paraId="1B00A562" w14:textId="77777777" w:rsidR="00266A59" w:rsidRPr="00EE6FD2" w:rsidRDefault="00266A59" w:rsidP="00266A59">
      <w:pPr>
        <w:pStyle w:val="parrafos"/>
        <w:ind w:left="0" w:firstLine="0"/>
      </w:pPr>
      <w:r w:rsidRPr="00EE6FD2">
        <w:t xml:space="preserve">According to the proven facts established </w:t>
      </w:r>
      <w:r w:rsidR="00607E10" w:rsidRPr="00EE6FD2">
        <w:t xml:space="preserve">by the IACHR </w:t>
      </w:r>
      <w:r w:rsidRPr="00EE6FD2">
        <w:t xml:space="preserve">in </w:t>
      </w:r>
      <w:r w:rsidR="00607E10" w:rsidRPr="00EE6FD2">
        <w:t>its above-mentioned Report No. 84/09</w:t>
      </w:r>
      <w:r w:rsidR="00F372AB" w:rsidRPr="00EE6FD2">
        <w:t xml:space="preserve"> with respect to the State of Ecuador</w:t>
      </w:r>
      <w:r w:rsidRPr="00EE6FD2">
        <w:t xml:space="preserve">, </w:t>
      </w:r>
      <w:r w:rsidR="008110AD" w:rsidRPr="00EE6FD2">
        <w:t>Mr. Serrano was born in Quito, Ecuador, on September 15, 1938. On December 3, 1971</w:t>
      </w:r>
      <w:r w:rsidR="0073235F" w:rsidRPr="00EE6FD2">
        <w:t>,</w:t>
      </w:r>
      <w:r w:rsidR="008110AD" w:rsidRPr="00EE6FD2">
        <w:t xml:space="preserve"> he became a naturalize</w:t>
      </w:r>
      <w:r w:rsidR="0073235F" w:rsidRPr="00EE6FD2">
        <w:t xml:space="preserve">d U.S. citizen and renounced </w:t>
      </w:r>
      <w:r w:rsidR="008110AD" w:rsidRPr="00EE6FD2">
        <w:t xml:space="preserve">his Ecuadorian nationality, </w:t>
      </w:r>
      <w:r w:rsidR="0073235F" w:rsidRPr="00EE6FD2">
        <w:t>in accordance with the Constitution then in force. After the entry into force of a new Constitution that allowed dual nationality, Mr. Serrano obtained his Ecuadorian passport at the Consulate of Ecuador in Miami and</w:t>
      </w:r>
      <w:r w:rsidR="00607E10" w:rsidRPr="00EE6FD2">
        <w:t xml:space="preserve"> on August 21, 200</w:t>
      </w:r>
      <w:r w:rsidR="00474247" w:rsidRPr="00EE6FD2">
        <w:t>0</w:t>
      </w:r>
      <w:r w:rsidR="00607E10" w:rsidRPr="00EE6FD2">
        <w:t xml:space="preserve">, </w:t>
      </w:r>
      <w:r w:rsidR="009D4B0B" w:rsidRPr="00EE6FD2">
        <w:t>entered Ecuador with his Ecuadorian passport. Sin</w:t>
      </w:r>
      <w:r w:rsidR="00634FDE" w:rsidRPr="00EE6FD2">
        <w:t>ce that date, he established</w:t>
      </w:r>
      <w:r w:rsidR="009D4B0B" w:rsidRPr="00EE6FD2">
        <w:t xml:space="preserve"> residence in Ecuador as a national of that country, and exercised legal acts as an Ecuadorian.</w:t>
      </w:r>
      <w:r w:rsidR="000608ED" w:rsidRPr="00EE6FD2">
        <w:rPr>
          <w:rStyle w:val="FootnoteReference"/>
        </w:rPr>
        <w:footnoteReference w:id="11"/>
      </w:r>
    </w:p>
    <w:p w14:paraId="02D553DB" w14:textId="77777777" w:rsidR="00316286" w:rsidRPr="00EE6FD2" w:rsidRDefault="00316286" w:rsidP="00316286">
      <w:pPr>
        <w:pStyle w:val="ListParagraph"/>
        <w:rPr>
          <w:sz w:val="20"/>
          <w:szCs w:val="20"/>
        </w:rPr>
      </w:pPr>
    </w:p>
    <w:p w14:paraId="4CFEB553" w14:textId="77777777" w:rsidR="00D07D0C" w:rsidRPr="00EE6FD2" w:rsidRDefault="001A40D6" w:rsidP="00D07D0C">
      <w:pPr>
        <w:pStyle w:val="parrafos"/>
        <w:ind w:left="0" w:firstLine="0"/>
      </w:pPr>
      <w:r w:rsidRPr="00EE6FD2">
        <w:t>On May 17, 2001, Mr. Serrano was charged by indictment with four counts of first degree murder</w:t>
      </w:r>
      <w:r w:rsidR="00474247" w:rsidRPr="00EE6FD2">
        <w:t xml:space="preserve"> in Polk County, Florida</w:t>
      </w:r>
      <w:r w:rsidRPr="00EE6FD2">
        <w:t>.</w:t>
      </w:r>
      <w:r w:rsidR="009F2778" w:rsidRPr="00EE6FD2">
        <w:rPr>
          <w:rStyle w:val="FootnoteReference"/>
        </w:rPr>
        <w:footnoteReference w:id="12"/>
      </w:r>
      <w:r w:rsidR="00C6253C" w:rsidRPr="00EE6FD2">
        <w:rPr>
          <w:rStyle w:val="FootnoteReference"/>
        </w:rPr>
        <w:t xml:space="preserve"> </w:t>
      </w:r>
      <w:r w:rsidR="007E76BF" w:rsidRPr="00EE6FD2">
        <w:t>According to information provided by the petitioner and</w:t>
      </w:r>
      <w:r w:rsidR="0052781C" w:rsidRPr="00EE6FD2">
        <w:t xml:space="preserve"> not challenged by the State, the special agent in charge of the investigation was reassigned to a different case given the belief that Mr. Serrano was out of jurisdictional reach of the United States. </w:t>
      </w:r>
      <w:r w:rsidR="00B16299" w:rsidRPr="00EE6FD2">
        <w:t>After acquiring a list of contacts in Ecuador</w:t>
      </w:r>
      <w:r w:rsidR="00B90D18" w:rsidRPr="00EE6FD2">
        <w:t>, the special agent</w:t>
      </w:r>
      <w:r w:rsidR="00B16299" w:rsidRPr="00EE6FD2">
        <w:t xml:space="preserve"> urged his supervisors to continue with the investigation and, after being reinstated to the case, he traveled to Quito, Ecuador.</w:t>
      </w:r>
      <w:r w:rsidR="00D07D0C" w:rsidRPr="00EE6FD2">
        <w:rPr>
          <w:rStyle w:val="FootnoteReference"/>
        </w:rPr>
        <w:footnoteReference w:id="13"/>
      </w:r>
      <w:r w:rsidR="00B16299" w:rsidRPr="00EE6FD2">
        <w:t xml:space="preserve"> </w:t>
      </w:r>
      <w:r w:rsidR="00D07D0C" w:rsidRPr="00EE6FD2">
        <w:t>According to a U.S. Department of Justice letter dated August 23, 2002, the United States requested the extradition of Mr. Serrano in the following terms:</w:t>
      </w:r>
    </w:p>
    <w:p w14:paraId="627F16E8" w14:textId="77777777" w:rsidR="00D07D0C" w:rsidRPr="00EE6FD2" w:rsidRDefault="00D07D0C" w:rsidP="00D07D0C">
      <w:pPr>
        <w:pStyle w:val="ListParagraph"/>
        <w:rPr>
          <w:sz w:val="20"/>
          <w:szCs w:val="20"/>
        </w:rPr>
      </w:pPr>
    </w:p>
    <w:p w14:paraId="409EA663" w14:textId="77777777" w:rsidR="00D07D0C" w:rsidRPr="00EE6FD2" w:rsidRDefault="00D07D0C" w:rsidP="00D07D0C">
      <w:pPr>
        <w:pStyle w:val="ListParagraph"/>
        <w:ind w:left="360" w:right="360"/>
        <w:jc w:val="both"/>
        <w:rPr>
          <w:sz w:val="18"/>
          <w:szCs w:val="18"/>
        </w:rPr>
      </w:pPr>
      <w:r w:rsidRPr="00EE6FD2">
        <w:rPr>
          <w:sz w:val="18"/>
          <w:szCs w:val="18"/>
        </w:rPr>
        <w:t>Nelson Ivan Serrano has been charged with four counts of First Degree Murder. Under Florida law, the sentence provided for First Degree Murder is death or life imprisonment. After due consideration, and pursuant to applicable principles of international law, the Government of the United States assures the Government of Ecuador that if Nelson Ivan Serrano is extradited by Ecuador the death penalty will not be sought or imposed in this case.</w:t>
      </w:r>
      <w:r w:rsidR="009E1B96" w:rsidRPr="00EE6FD2">
        <w:rPr>
          <w:rStyle w:val="FootnoteReference"/>
        </w:rPr>
        <w:t xml:space="preserve"> </w:t>
      </w:r>
      <w:r w:rsidR="009E1B96" w:rsidRPr="00EE6FD2">
        <w:rPr>
          <w:rStyle w:val="FootnoteReference"/>
          <w:rFonts w:asciiTheme="majorHAnsi" w:hAnsiTheme="majorHAnsi"/>
          <w:sz w:val="18"/>
          <w:szCs w:val="18"/>
        </w:rPr>
        <w:footnoteReference w:id="14"/>
      </w:r>
    </w:p>
    <w:p w14:paraId="2161F138" w14:textId="77777777" w:rsidR="00D07D0C" w:rsidRPr="00EE6FD2" w:rsidRDefault="00D07D0C" w:rsidP="00D07D0C">
      <w:pPr>
        <w:pStyle w:val="parrafos"/>
        <w:numPr>
          <w:ilvl w:val="0"/>
          <w:numId w:val="0"/>
        </w:numPr>
      </w:pPr>
    </w:p>
    <w:p w14:paraId="456FAF3C" w14:textId="77777777" w:rsidR="007E76BF" w:rsidRPr="00EE6FD2" w:rsidRDefault="00B16299" w:rsidP="00D83C3C">
      <w:pPr>
        <w:pStyle w:val="parrafos"/>
        <w:ind w:left="0" w:firstLine="0"/>
      </w:pPr>
      <w:r w:rsidRPr="00EE6FD2">
        <w:t>The special agent spent several days visitin</w:t>
      </w:r>
      <w:r w:rsidR="005F454E" w:rsidRPr="00EE6FD2">
        <w:t>g</w:t>
      </w:r>
      <w:r w:rsidRPr="00EE6FD2">
        <w:t xml:space="preserve"> officials at various Ecuadorian </w:t>
      </w:r>
      <w:r w:rsidR="00BD779E" w:rsidRPr="00EE6FD2">
        <w:t xml:space="preserve">Ministries and was told that Mr. Serrano would never </w:t>
      </w:r>
      <w:r w:rsidR="001B4605" w:rsidRPr="00EE6FD2">
        <w:t xml:space="preserve">be </w:t>
      </w:r>
      <w:r w:rsidR="00BD779E" w:rsidRPr="00EE6FD2">
        <w:t>handed over. He was also told by a U.S. Drug Enforcement Agent who was present in Q</w:t>
      </w:r>
      <w:r w:rsidR="001B4605" w:rsidRPr="00EE6FD2">
        <w:t>uito that he should return</w:t>
      </w:r>
      <w:r w:rsidR="00BD779E" w:rsidRPr="00EE6FD2">
        <w:t xml:space="preserve"> to the United States because his efforts were futile. However, </w:t>
      </w:r>
      <w:r w:rsidR="001B4605" w:rsidRPr="00EE6FD2">
        <w:t xml:space="preserve">the special agent </w:t>
      </w:r>
      <w:r w:rsidR="00B90D18" w:rsidRPr="00EE6FD2">
        <w:t xml:space="preserve">stayed in Ecuador and </w:t>
      </w:r>
      <w:r w:rsidR="001B4605" w:rsidRPr="00EE6FD2">
        <w:t xml:space="preserve">found the legal loophole he was looking for: to show that Mr. Serrano was in fact </w:t>
      </w:r>
      <w:r w:rsidR="00B90D18" w:rsidRPr="00EE6FD2">
        <w:t>not an Ecuadorian citizen so he could be deported instead of extradited.</w:t>
      </w:r>
      <w:r w:rsidR="00B90D18" w:rsidRPr="00EE6FD2">
        <w:rPr>
          <w:rStyle w:val="FootnoteReference"/>
        </w:rPr>
        <w:footnoteReference w:id="15"/>
      </w:r>
      <w:r w:rsidR="004124F3" w:rsidRPr="00EE6FD2">
        <w:t xml:space="preserve"> The special agent later </w:t>
      </w:r>
      <w:r w:rsidR="002E5E81" w:rsidRPr="00EE6FD2">
        <w:t>testified under oath</w:t>
      </w:r>
      <w:r w:rsidR="004124F3" w:rsidRPr="00EE6FD2">
        <w:t xml:space="preserve"> in the 10</w:t>
      </w:r>
      <w:r w:rsidR="004124F3" w:rsidRPr="00EE6FD2">
        <w:rPr>
          <w:vertAlign w:val="superscript"/>
        </w:rPr>
        <w:t>th</w:t>
      </w:r>
      <w:r w:rsidR="004124F3" w:rsidRPr="00EE6FD2">
        <w:t xml:space="preserve"> Circuit Court in Polk County</w:t>
      </w:r>
      <w:r w:rsidR="00E8294B" w:rsidRPr="00EE6FD2">
        <w:t xml:space="preserve"> </w:t>
      </w:r>
      <w:r w:rsidR="002E5E81" w:rsidRPr="00EE6FD2">
        <w:t>that he paid an Ecuadorian ma</w:t>
      </w:r>
      <w:r w:rsidR="00C8374E" w:rsidRPr="00EE6FD2">
        <w:t>y</w:t>
      </w:r>
      <w:r w:rsidR="002E5E81" w:rsidRPr="00EE6FD2">
        <w:t>or 300 dollars so he could pay off-duty Ecuadorian police officers to conduct the abduction of Mr. Serrano.</w:t>
      </w:r>
      <w:r w:rsidR="002E5E81" w:rsidRPr="00EE6FD2">
        <w:rPr>
          <w:rStyle w:val="FootnoteReference"/>
        </w:rPr>
        <w:footnoteReference w:id="16"/>
      </w:r>
    </w:p>
    <w:p w14:paraId="68A26BFC" w14:textId="77777777" w:rsidR="00B90D18" w:rsidRPr="00EE6FD2" w:rsidRDefault="00B90D18" w:rsidP="00B90D18">
      <w:pPr>
        <w:pStyle w:val="parrafos"/>
        <w:numPr>
          <w:ilvl w:val="0"/>
          <w:numId w:val="0"/>
        </w:numPr>
      </w:pPr>
    </w:p>
    <w:p w14:paraId="3A157E8F" w14:textId="77777777" w:rsidR="00316286" w:rsidRPr="00EE6FD2" w:rsidRDefault="005550D8" w:rsidP="00D83C3C">
      <w:pPr>
        <w:pStyle w:val="parrafos"/>
        <w:ind w:left="0" w:firstLine="0"/>
      </w:pPr>
      <w:r w:rsidRPr="00EE6FD2">
        <w:t>On August 30, 2002, Pichincha’s Intendent General of Police order</w:t>
      </w:r>
      <w:r w:rsidR="00AD7317" w:rsidRPr="00EE6FD2">
        <w:t>ed</w:t>
      </w:r>
      <w:r w:rsidRPr="00EE6FD2">
        <w:t xml:space="preserve"> Mr. Serrano’s detention based on the Code of Criminal Procedure </w:t>
      </w:r>
      <w:r w:rsidR="00AD7317" w:rsidRPr="00EE6FD2">
        <w:t xml:space="preserve">and </w:t>
      </w:r>
      <w:r w:rsidRPr="00EE6FD2">
        <w:t xml:space="preserve">the </w:t>
      </w:r>
      <w:r w:rsidR="00AD7317" w:rsidRPr="00EE6FD2">
        <w:t>Immigration Law.</w:t>
      </w:r>
      <w:r w:rsidR="00AD7317" w:rsidRPr="00EE6FD2">
        <w:rPr>
          <w:rStyle w:val="FootnoteReference"/>
        </w:rPr>
        <w:footnoteReference w:id="17"/>
      </w:r>
      <w:r w:rsidR="00AD7317" w:rsidRPr="00EE6FD2">
        <w:t xml:space="preserve"> </w:t>
      </w:r>
      <w:r w:rsidR="00C6253C" w:rsidRPr="00EE6FD2">
        <w:t xml:space="preserve">On August 31 </w:t>
      </w:r>
      <w:r w:rsidR="00607096" w:rsidRPr="00EE6FD2">
        <w:t>Mr. Serrano</w:t>
      </w:r>
      <w:r w:rsidR="00C6253C" w:rsidRPr="00EE6FD2">
        <w:t xml:space="preserve"> was arrested in Quito, </w:t>
      </w:r>
      <w:r w:rsidR="00607096" w:rsidRPr="00EE6FD2">
        <w:t>Ecuador</w:t>
      </w:r>
      <w:r w:rsidR="00FC2124" w:rsidRPr="00EE6FD2">
        <w:t>. A</w:t>
      </w:r>
      <w:r w:rsidR="00C6253C" w:rsidRPr="00EE6FD2">
        <w:t>n order of deportation was issued the same day</w:t>
      </w:r>
      <w:r w:rsidR="00607096" w:rsidRPr="00EE6FD2">
        <w:t>, and he was deported to the United States on September 1, 2002.</w:t>
      </w:r>
      <w:r w:rsidR="00607096" w:rsidRPr="00EE6FD2">
        <w:rPr>
          <w:rStyle w:val="FootnoteReference"/>
        </w:rPr>
        <w:footnoteReference w:id="18"/>
      </w:r>
      <w:r w:rsidR="00607096" w:rsidRPr="00EE6FD2">
        <w:t xml:space="preserve"> </w:t>
      </w:r>
    </w:p>
    <w:p w14:paraId="65A50FE2" w14:textId="77777777" w:rsidR="00895270" w:rsidRPr="00EE6FD2" w:rsidRDefault="00895270" w:rsidP="00895270">
      <w:pPr>
        <w:pStyle w:val="parrafos"/>
        <w:numPr>
          <w:ilvl w:val="0"/>
          <w:numId w:val="0"/>
        </w:numPr>
      </w:pPr>
    </w:p>
    <w:p w14:paraId="085F4C70" w14:textId="77777777" w:rsidR="001A40D6" w:rsidRPr="00EE6FD2" w:rsidRDefault="009F2778" w:rsidP="00D83C3C">
      <w:pPr>
        <w:pStyle w:val="parrafos"/>
        <w:ind w:left="0" w:firstLine="0"/>
      </w:pPr>
      <w:r w:rsidRPr="00EE6FD2">
        <w:t>On Oc</w:t>
      </w:r>
      <w:r w:rsidR="001A40D6" w:rsidRPr="00EE6FD2">
        <w:t>tober 11, 20</w:t>
      </w:r>
      <w:r w:rsidRPr="00EE6FD2">
        <w:t>0</w:t>
      </w:r>
      <w:r w:rsidR="001A40D6" w:rsidRPr="00EE6FD2">
        <w:t>6, the jury returned a verdict of guilty of first degree murder on all four counts</w:t>
      </w:r>
      <w:r w:rsidRPr="00EE6FD2">
        <w:t xml:space="preserve"> and on October 24, 2006, the jury recommended by a vote of nine to three that Mr. Serrano be sentenced to death for </w:t>
      </w:r>
      <w:r w:rsidRPr="00EE6FD2">
        <w:lastRenderedPageBreak/>
        <w:t>each of the four murders</w:t>
      </w:r>
      <w:r w:rsidR="001A40D6" w:rsidRPr="00EE6FD2">
        <w:t>.</w:t>
      </w:r>
      <w:r w:rsidRPr="00EE6FD2">
        <w:t xml:space="preserve"> </w:t>
      </w:r>
      <w:r w:rsidR="00EB3CEF" w:rsidRPr="00EE6FD2">
        <w:t>The Court followed the jury’s recommendations and sentenced him to death for each of the four murders</w:t>
      </w:r>
      <w:r w:rsidR="003517CD" w:rsidRPr="00EE6FD2">
        <w:t xml:space="preserve"> on </w:t>
      </w:r>
      <w:r w:rsidR="00C540FD" w:rsidRPr="00EE6FD2">
        <w:t>June 26, 2007</w:t>
      </w:r>
      <w:r w:rsidR="00EB3CEF" w:rsidRPr="00EE6FD2">
        <w:t>.</w:t>
      </w:r>
      <w:r w:rsidR="00EB3CEF" w:rsidRPr="00EE6FD2">
        <w:rPr>
          <w:rStyle w:val="FootnoteReference"/>
        </w:rPr>
        <w:footnoteReference w:id="19"/>
      </w:r>
      <w:r w:rsidR="00EB3CEF" w:rsidRPr="00EE6FD2">
        <w:t xml:space="preserve"> </w:t>
      </w:r>
    </w:p>
    <w:p w14:paraId="4B04176A" w14:textId="77777777" w:rsidR="00EB3CEF" w:rsidRPr="00EE6FD2" w:rsidRDefault="00EB3CEF" w:rsidP="00EB3CEF">
      <w:pPr>
        <w:pStyle w:val="ListParagraph"/>
        <w:rPr>
          <w:sz w:val="20"/>
          <w:szCs w:val="20"/>
        </w:rPr>
      </w:pPr>
    </w:p>
    <w:p w14:paraId="77031638" w14:textId="77777777" w:rsidR="008957E9" w:rsidRPr="00EE6FD2" w:rsidRDefault="008957E9" w:rsidP="00D83C3C">
      <w:pPr>
        <w:pStyle w:val="parrafos"/>
        <w:ind w:left="0" w:firstLine="0"/>
      </w:pPr>
      <w:r w:rsidRPr="00EE6FD2">
        <w:t>On July 2, 2008, Mr. Serrano appealed his conviction and sentence</w:t>
      </w:r>
      <w:r w:rsidR="00A87A17" w:rsidRPr="00EE6FD2">
        <w:t xml:space="preserve"> on direct appeal</w:t>
      </w:r>
      <w:r w:rsidRPr="00EE6FD2">
        <w:t>.</w:t>
      </w:r>
      <w:r w:rsidRPr="00EE6FD2">
        <w:rPr>
          <w:rStyle w:val="FootnoteReference"/>
        </w:rPr>
        <w:footnoteReference w:id="20"/>
      </w:r>
      <w:r w:rsidR="004F2857" w:rsidRPr="00EE6FD2">
        <w:t xml:space="preserve"> The defense alleged that the prosecution’s case was circumstantial and that circumstantial evidence is insufficient for conviction. The defense also alleged that Florida law enforcement officials kidnapped Mr. Serrano in Ecuador and forcibly brought him to the United States, violating the United States - Ecuador Extradition Treaty in violation of Mr. Serrano’s right to due process.</w:t>
      </w:r>
    </w:p>
    <w:p w14:paraId="4C7864F1" w14:textId="77777777" w:rsidR="008957E9" w:rsidRPr="00EE6FD2" w:rsidRDefault="008957E9" w:rsidP="008957E9">
      <w:pPr>
        <w:pStyle w:val="ListParagraph"/>
        <w:rPr>
          <w:sz w:val="20"/>
          <w:szCs w:val="20"/>
        </w:rPr>
      </w:pPr>
    </w:p>
    <w:p w14:paraId="41C56278" w14:textId="77777777" w:rsidR="004F2857" w:rsidRPr="00EE6FD2" w:rsidRDefault="00B5174C" w:rsidP="00D83C3C">
      <w:pPr>
        <w:pStyle w:val="parrafos"/>
        <w:ind w:left="0" w:firstLine="0"/>
      </w:pPr>
      <w:r w:rsidRPr="00EE6FD2">
        <w:t xml:space="preserve">On March 17, 2011, the Supreme Court of Florida affirmed the convictions and sentences. </w:t>
      </w:r>
      <w:r w:rsidR="00C61BDA" w:rsidRPr="00EE6FD2">
        <w:t>The court held that:</w:t>
      </w:r>
    </w:p>
    <w:p w14:paraId="4C5F652B" w14:textId="77777777" w:rsidR="00C61BDA" w:rsidRPr="00EE6FD2" w:rsidRDefault="00C61BDA" w:rsidP="00C61BDA">
      <w:pPr>
        <w:pStyle w:val="ListParagraph"/>
        <w:rPr>
          <w:sz w:val="20"/>
          <w:szCs w:val="20"/>
        </w:rPr>
      </w:pPr>
    </w:p>
    <w:p w14:paraId="02B8F8B8" w14:textId="77777777" w:rsidR="00C61BDA" w:rsidRPr="00EE6FD2" w:rsidRDefault="00AC65A1" w:rsidP="00CE0328">
      <w:pPr>
        <w:pStyle w:val="parrafos"/>
        <w:numPr>
          <w:ilvl w:val="0"/>
          <w:numId w:val="0"/>
        </w:numPr>
        <w:ind w:left="360" w:right="360"/>
        <w:rPr>
          <w:sz w:val="18"/>
          <w:szCs w:val="18"/>
        </w:rPr>
      </w:pPr>
      <w:r w:rsidRPr="00EE6FD2">
        <w:rPr>
          <w:sz w:val="18"/>
          <w:szCs w:val="18"/>
        </w:rPr>
        <w:t>First, the State introduced circumstantial evidence of an elaborate plan to establish an alibi, a plan Serrano developed and began to implement ahead of time.</w:t>
      </w:r>
    </w:p>
    <w:p w14:paraId="0D2A5302" w14:textId="77777777" w:rsidR="00AC65A1" w:rsidRPr="00EE6FD2" w:rsidRDefault="00AC65A1" w:rsidP="00CE0328">
      <w:pPr>
        <w:pStyle w:val="parrafos"/>
        <w:numPr>
          <w:ilvl w:val="0"/>
          <w:numId w:val="0"/>
        </w:numPr>
        <w:ind w:left="360" w:right="360"/>
        <w:rPr>
          <w:sz w:val="18"/>
          <w:szCs w:val="18"/>
        </w:rPr>
      </w:pPr>
      <w:r w:rsidRPr="00EE6FD2">
        <w:rPr>
          <w:sz w:val="18"/>
          <w:szCs w:val="18"/>
        </w:rPr>
        <w:t>[…]</w:t>
      </w:r>
    </w:p>
    <w:p w14:paraId="2BBF34FE" w14:textId="77777777" w:rsidR="00AC65A1" w:rsidRPr="00EE6FD2" w:rsidRDefault="00AC65A1" w:rsidP="00CE0328">
      <w:pPr>
        <w:pStyle w:val="parrafos"/>
        <w:numPr>
          <w:ilvl w:val="0"/>
          <w:numId w:val="0"/>
        </w:numPr>
        <w:ind w:left="360" w:right="360"/>
        <w:rPr>
          <w:sz w:val="18"/>
          <w:szCs w:val="18"/>
        </w:rPr>
      </w:pPr>
      <w:r w:rsidRPr="00EE6FD2">
        <w:rPr>
          <w:sz w:val="18"/>
          <w:szCs w:val="18"/>
        </w:rPr>
        <w:t>Second, the State introduced circumstantial evidence to place Serrano at Erie at the time of the murders. Specifically, the State presented evidence of a dislodged ceiling tile in Serrano’s former office, testimony that Serrano</w:t>
      </w:r>
      <w:r w:rsidR="008827CA" w:rsidRPr="00EE6FD2">
        <w:rPr>
          <w:sz w:val="18"/>
          <w:szCs w:val="18"/>
        </w:rPr>
        <w:t xml:space="preserve"> would hide items in the ceiling tile in Serrano’s former office, testimony that Serrano would hide items in the ceiling by dislodging a ceiling tile in his office, and testimony that a shoe impression on a chair below the dislodged ceiling tile was consistent with a shoe that Serrano owned. The State also introduced a composite sketch of a male seen outside the crime scene near the time of the murders. The jury was able to view the composite sketch and compare it to Serrano’s appearance on the day of the murders as depicted in the Atlanta hotel’s surveillance video. </w:t>
      </w:r>
      <w:r w:rsidRPr="00EE6FD2">
        <w:rPr>
          <w:sz w:val="18"/>
          <w:szCs w:val="18"/>
        </w:rPr>
        <w:t xml:space="preserve"> </w:t>
      </w:r>
    </w:p>
    <w:p w14:paraId="6160C6C2" w14:textId="77777777" w:rsidR="00CE0328" w:rsidRPr="00EE6FD2" w:rsidRDefault="00CE0328" w:rsidP="00CE0328">
      <w:pPr>
        <w:pStyle w:val="parrafos"/>
        <w:numPr>
          <w:ilvl w:val="0"/>
          <w:numId w:val="0"/>
        </w:numPr>
        <w:ind w:left="360" w:right="360"/>
        <w:rPr>
          <w:sz w:val="18"/>
          <w:szCs w:val="18"/>
        </w:rPr>
      </w:pPr>
      <w:r w:rsidRPr="00EE6FD2">
        <w:rPr>
          <w:sz w:val="18"/>
          <w:szCs w:val="18"/>
        </w:rPr>
        <w:t>[…]</w:t>
      </w:r>
    </w:p>
    <w:p w14:paraId="58B5F0E8" w14:textId="77777777" w:rsidR="00CE0328" w:rsidRPr="00EE6FD2" w:rsidRDefault="00CE0328" w:rsidP="00CE0328">
      <w:pPr>
        <w:pStyle w:val="parrafos"/>
        <w:numPr>
          <w:ilvl w:val="0"/>
          <w:numId w:val="0"/>
        </w:numPr>
        <w:ind w:left="360" w:right="360"/>
        <w:rPr>
          <w:sz w:val="18"/>
          <w:szCs w:val="18"/>
        </w:rPr>
      </w:pPr>
      <w:r w:rsidRPr="00EE6FD2">
        <w:rPr>
          <w:sz w:val="18"/>
          <w:szCs w:val="18"/>
        </w:rPr>
        <w:t>Given this competent substantial evidence supporting an inference of guilt to the exclusion of all other inferences, we conclude that the evidence is sufficient to support Serrano’s convictions. The trial court properly denied Serrano’s motion for judgment of acquittal.</w:t>
      </w:r>
      <w:r w:rsidR="009E1B96" w:rsidRPr="00EE6FD2">
        <w:rPr>
          <w:rStyle w:val="FootnoteReference"/>
        </w:rPr>
        <w:t xml:space="preserve"> </w:t>
      </w:r>
      <w:r w:rsidR="009E1B96" w:rsidRPr="00EE6FD2">
        <w:rPr>
          <w:rStyle w:val="FootnoteReference"/>
          <w:sz w:val="18"/>
          <w:szCs w:val="18"/>
        </w:rPr>
        <w:footnoteReference w:id="21"/>
      </w:r>
    </w:p>
    <w:p w14:paraId="56E7D024" w14:textId="77777777" w:rsidR="004F2857" w:rsidRPr="00EE6FD2" w:rsidRDefault="004F2857" w:rsidP="004F2857">
      <w:pPr>
        <w:pStyle w:val="ListParagraph"/>
        <w:rPr>
          <w:sz w:val="20"/>
          <w:szCs w:val="20"/>
        </w:rPr>
      </w:pPr>
    </w:p>
    <w:p w14:paraId="1628E972" w14:textId="77777777" w:rsidR="004A41AE" w:rsidRPr="00EE6FD2" w:rsidRDefault="004A41AE" w:rsidP="00D83C3C">
      <w:pPr>
        <w:pStyle w:val="parrafos"/>
        <w:ind w:left="0" w:firstLine="0"/>
      </w:pPr>
      <w:r w:rsidRPr="00EE6FD2">
        <w:t xml:space="preserve">With regard to the allegation of lack of jurisdiction, the court </w:t>
      </w:r>
      <w:r w:rsidR="007F5D1D" w:rsidRPr="00EE6FD2">
        <w:t>affirmed the trial court’s denial of Mr. Serrano’s motion to divest jurisdiction and dismiss the indictment</w:t>
      </w:r>
      <w:r w:rsidR="006D1F29" w:rsidRPr="00EE6FD2">
        <w:t>. The court held that</w:t>
      </w:r>
      <w:r w:rsidR="007F5D1D" w:rsidRPr="00EE6FD2">
        <w:t>:</w:t>
      </w:r>
    </w:p>
    <w:p w14:paraId="3A907143" w14:textId="77777777" w:rsidR="006D1F29" w:rsidRPr="00EE6FD2" w:rsidRDefault="006D1F29" w:rsidP="006D1F29">
      <w:pPr>
        <w:pStyle w:val="parrafos"/>
        <w:numPr>
          <w:ilvl w:val="0"/>
          <w:numId w:val="0"/>
        </w:numPr>
      </w:pPr>
    </w:p>
    <w:p w14:paraId="5255EFAE" w14:textId="77777777" w:rsidR="006D1F29" w:rsidRPr="00EE6FD2" w:rsidRDefault="006D1F29" w:rsidP="006D1F29">
      <w:pPr>
        <w:pStyle w:val="parrafos"/>
        <w:numPr>
          <w:ilvl w:val="0"/>
          <w:numId w:val="0"/>
        </w:numPr>
        <w:ind w:left="360" w:right="360"/>
        <w:rPr>
          <w:sz w:val="18"/>
          <w:szCs w:val="18"/>
        </w:rPr>
      </w:pPr>
      <w:r w:rsidRPr="00EE6FD2">
        <w:rPr>
          <w:sz w:val="18"/>
          <w:szCs w:val="18"/>
        </w:rPr>
        <w:t>In United States v. Alvarez-Machain, 504 U.S. 655, 657 (1992), the United States Supreme Court held that a criminal defendant, abducted to the United States from a nation with which it has an extradition treaty, [does not] thereby acquire[</w:t>
      </w:r>
      <w:r w:rsidR="008D6DD0" w:rsidRPr="00EE6FD2">
        <w:rPr>
          <w:sz w:val="18"/>
          <w:szCs w:val="18"/>
        </w:rPr>
        <w:t>…</w:t>
      </w:r>
      <w:r w:rsidRPr="00EE6FD2">
        <w:rPr>
          <w:sz w:val="18"/>
          <w:szCs w:val="18"/>
        </w:rPr>
        <w:t>] a defense to the jurisdiction of this country’s courts.”</w:t>
      </w:r>
      <w:r w:rsidR="009E1B96" w:rsidRPr="00EE6FD2">
        <w:rPr>
          <w:rStyle w:val="FootnoteReference"/>
        </w:rPr>
        <w:t xml:space="preserve"> </w:t>
      </w:r>
      <w:r w:rsidR="009E1B96" w:rsidRPr="00EE6FD2">
        <w:rPr>
          <w:rStyle w:val="FootnoteReference"/>
          <w:sz w:val="18"/>
          <w:szCs w:val="18"/>
        </w:rPr>
        <w:footnoteReference w:id="22"/>
      </w:r>
    </w:p>
    <w:p w14:paraId="45D8C5F8" w14:textId="77777777" w:rsidR="004A41AE" w:rsidRPr="00EE6FD2" w:rsidRDefault="004A41AE" w:rsidP="004A41AE">
      <w:pPr>
        <w:pStyle w:val="parrafos"/>
        <w:numPr>
          <w:ilvl w:val="0"/>
          <w:numId w:val="0"/>
        </w:numPr>
      </w:pPr>
    </w:p>
    <w:p w14:paraId="282F9A2E" w14:textId="77777777" w:rsidR="008E443A" w:rsidRPr="00EE6FD2" w:rsidRDefault="008E443A" w:rsidP="00D83C3C">
      <w:pPr>
        <w:pStyle w:val="parrafos"/>
        <w:ind w:left="0" w:firstLine="0"/>
      </w:pPr>
      <w:r w:rsidRPr="00EE6FD2">
        <w:t>The court also cited the decision in Frisbie v. Collins,</w:t>
      </w:r>
      <w:r w:rsidR="00D94762" w:rsidRPr="00EE6FD2">
        <w:t xml:space="preserve"> in which the U.S. Supreme Court stated the following</w:t>
      </w:r>
      <w:r w:rsidR="009E1B96" w:rsidRPr="00EE6FD2">
        <w:t>:</w:t>
      </w:r>
      <w:r w:rsidR="00D94762" w:rsidRPr="00EE6FD2">
        <w:t xml:space="preserve"> “[t]here is nothing in the Constitution that requires a court to permit a guilty person rightfully convicted to escape justice because he was brought to trial against his will.</w:t>
      </w:r>
      <w:r w:rsidR="00AB127D" w:rsidRPr="00EE6FD2">
        <w:t>”</w:t>
      </w:r>
      <w:r w:rsidRPr="00EE6FD2">
        <w:rPr>
          <w:rStyle w:val="FootnoteReference"/>
        </w:rPr>
        <w:footnoteReference w:id="23"/>
      </w:r>
    </w:p>
    <w:p w14:paraId="453A9D71" w14:textId="77777777" w:rsidR="00D94762" w:rsidRPr="00EE6FD2" w:rsidRDefault="00D94762" w:rsidP="008E443A">
      <w:pPr>
        <w:pStyle w:val="parrafos"/>
        <w:numPr>
          <w:ilvl w:val="0"/>
          <w:numId w:val="0"/>
        </w:numPr>
      </w:pPr>
    </w:p>
    <w:p w14:paraId="74B6E3DF" w14:textId="77777777" w:rsidR="00EB3CEF" w:rsidRPr="00EE6FD2" w:rsidRDefault="00B5174C" w:rsidP="00D83C3C">
      <w:pPr>
        <w:pStyle w:val="parrafos"/>
        <w:ind w:left="0" w:firstLine="0"/>
      </w:pPr>
      <w:r w:rsidRPr="00EE6FD2">
        <w:t>Mr. Serrano filed a motion for rehearing which was denied on June 13, 2011. On December 5, 2011, the United States Supreme Court denied certiorari.</w:t>
      </w:r>
      <w:r w:rsidRPr="00EE6FD2">
        <w:rPr>
          <w:rStyle w:val="FootnoteReference"/>
        </w:rPr>
        <w:footnoteReference w:id="24"/>
      </w:r>
      <w:r w:rsidRPr="00EE6FD2">
        <w:t xml:space="preserve"> </w:t>
      </w:r>
    </w:p>
    <w:p w14:paraId="2750CA77" w14:textId="77777777" w:rsidR="003F4494" w:rsidRPr="00EE6FD2" w:rsidRDefault="003F4494">
      <w:pPr>
        <w:rPr>
          <w:rFonts w:asciiTheme="majorHAnsi" w:eastAsia="Cambria" w:hAnsiTheme="majorHAnsi" w:cs="Cambria"/>
          <w:b/>
          <w:sz w:val="20"/>
          <w:szCs w:val="20"/>
          <w:u w:color="000000"/>
          <w:lang w:eastAsia="es-ES"/>
        </w:rPr>
      </w:pPr>
    </w:p>
    <w:p w14:paraId="6173F2CC" w14:textId="77777777" w:rsidR="00BF4967" w:rsidRPr="00EE6FD2" w:rsidRDefault="00BF4967">
      <w:pPr>
        <w:rPr>
          <w:rFonts w:asciiTheme="majorHAnsi" w:eastAsia="Cambria" w:hAnsiTheme="majorHAnsi" w:cs="Cambria"/>
          <w:b/>
          <w:sz w:val="20"/>
          <w:szCs w:val="20"/>
          <w:u w:color="000000"/>
          <w:lang w:eastAsia="es-ES"/>
        </w:rPr>
      </w:pPr>
    </w:p>
    <w:p w14:paraId="38366576" w14:textId="77777777" w:rsidR="00BF4967" w:rsidRPr="00EE6FD2" w:rsidRDefault="00BF4967">
      <w:pPr>
        <w:rPr>
          <w:rFonts w:asciiTheme="majorHAnsi" w:eastAsia="Cambria" w:hAnsiTheme="majorHAnsi" w:cs="Cambria"/>
          <w:b/>
          <w:sz w:val="20"/>
          <w:szCs w:val="20"/>
          <w:u w:color="000000"/>
          <w:lang w:eastAsia="es-ES"/>
        </w:rPr>
      </w:pPr>
    </w:p>
    <w:p w14:paraId="19DF222E" w14:textId="77777777" w:rsidR="00BF4967" w:rsidRPr="00EE6FD2" w:rsidRDefault="00BF4967">
      <w:pPr>
        <w:rPr>
          <w:rFonts w:asciiTheme="majorHAnsi" w:eastAsia="Cambria" w:hAnsiTheme="majorHAnsi" w:cs="Cambria"/>
          <w:b/>
          <w:sz w:val="20"/>
          <w:szCs w:val="20"/>
          <w:u w:color="000000"/>
          <w:lang w:eastAsia="es-ES"/>
        </w:rPr>
      </w:pPr>
    </w:p>
    <w:p w14:paraId="202F0F09" w14:textId="77777777" w:rsidR="001061FC" w:rsidRPr="00EE6FD2" w:rsidRDefault="00856796" w:rsidP="00624C78">
      <w:pPr>
        <w:pStyle w:val="Heading2"/>
        <w:numPr>
          <w:ilvl w:val="0"/>
          <w:numId w:val="61"/>
        </w:numPr>
        <w:tabs>
          <w:tab w:val="left" w:pos="360"/>
        </w:tabs>
        <w:ind w:left="360"/>
        <w:rPr>
          <w:bCs w:val="0"/>
          <w:color w:val="auto"/>
          <w:sz w:val="20"/>
          <w:szCs w:val="20"/>
        </w:rPr>
      </w:pPr>
      <w:bookmarkStart w:id="19" w:name="_Toc41343328"/>
      <w:r w:rsidRPr="00EE6FD2">
        <w:rPr>
          <w:bCs w:val="0"/>
          <w:color w:val="auto"/>
          <w:sz w:val="20"/>
          <w:szCs w:val="20"/>
        </w:rPr>
        <w:t>Post-conviction proceedings</w:t>
      </w:r>
      <w:bookmarkEnd w:id="19"/>
    </w:p>
    <w:p w14:paraId="48609B52" w14:textId="77777777" w:rsidR="00856796" w:rsidRPr="00EE6FD2" w:rsidRDefault="00856796" w:rsidP="00856796">
      <w:pPr>
        <w:pStyle w:val="ListParagraph"/>
        <w:tabs>
          <w:tab w:val="left" w:pos="360"/>
        </w:tabs>
        <w:ind w:left="0"/>
        <w:jc w:val="both"/>
        <w:rPr>
          <w:rFonts w:asciiTheme="majorHAnsi" w:hAnsiTheme="majorHAnsi"/>
          <w:b/>
          <w:color w:val="auto"/>
          <w:sz w:val="20"/>
          <w:szCs w:val="20"/>
        </w:rPr>
      </w:pPr>
    </w:p>
    <w:p w14:paraId="3D336478" w14:textId="77777777" w:rsidR="004E00B5" w:rsidRPr="00EE6FD2" w:rsidRDefault="009B2EE7" w:rsidP="000C707B">
      <w:pPr>
        <w:pStyle w:val="parrafos"/>
        <w:ind w:left="0" w:firstLine="0"/>
      </w:pPr>
      <w:r w:rsidRPr="00EE6FD2">
        <w:lastRenderedPageBreak/>
        <w:t>Mr. Serrano filed an “Initial Motion For Post-Conviction Relief And</w:t>
      </w:r>
      <w:r w:rsidR="0019756B" w:rsidRPr="00EE6FD2">
        <w:t xml:space="preserve"> Incorporated Memorandum Of Law”</w:t>
      </w:r>
      <w:r w:rsidR="000C707B" w:rsidRPr="00EE6FD2">
        <w:t xml:space="preserve"> on November 21, 2012, and five amended motions between July 3, 2013, and April 11, 2014. </w:t>
      </w:r>
      <w:r w:rsidR="004E66E7" w:rsidRPr="00EE6FD2">
        <w:t xml:space="preserve">Mr. Serrano set forth eleven grounds for relief with numerous subclaims. </w:t>
      </w:r>
      <w:r w:rsidR="00FA07EB" w:rsidRPr="00EE6FD2">
        <w:t>The motion was</w:t>
      </w:r>
      <w:r w:rsidR="004E00B5" w:rsidRPr="00EE6FD2">
        <w:t xml:space="preserve"> denied on December 29, 2014.</w:t>
      </w:r>
      <w:r w:rsidR="004E00B5" w:rsidRPr="00EE6FD2">
        <w:rPr>
          <w:rStyle w:val="FootnoteReference"/>
        </w:rPr>
        <w:footnoteReference w:id="25"/>
      </w:r>
    </w:p>
    <w:p w14:paraId="77A2149A" w14:textId="77777777" w:rsidR="004E00B5" w:rsidRPr="00EE6FD2" w:rsidRDefault="004E00B5" w:rsidP="004E00B5">
      <w:pPr>
        <w:pStyle w:val="parrafos"/>
        <w:numPr>
          <w:ilvl w:val="0"/>
          <w:numId w:val="0"/>
        </w:numPr>
      </w:pPr>
    </w:p>
    <w:p w14:paraId="1FFD3CF3" w14:textId="77777777" w:rsidR="00856796" w:rsidRPr="00EE6FD2" w:rsidRDefault="001C6000" w:rsidP="000C707B">
      <w:pPr>
        <w:pStyle w:val="parrafos"/>
        <w:ind w:left="0" w:firstLine="0"/>
      </w:pPr>
      <w:r w:rsidRPr="00EE6FD2">
        <w:t xml:space="preserve">In his motion </w:t>
      </w:r>
      <w:r w:rsidR="00F64AEC" w:rsidRPr="00EE6FD2">
        <w:t>Mr. Serrano alleged, among others, ineffective assistance of counsel for failing to object to the admission of a prosecution witness’ testimony</w:t>
      </w:r>
      <w:r w:rsidR="003F2701" w:rsidRPr="00EE6FD2">
        <w:t xml:space="preserve"> and</w:t>
      </w:r>
      <w:r w:rsidR="00F64AEC" w:rsidRPr="00EE6FD2">
        <w:t xml:space="preserve"> to the Prosecutor’s improper comments during closing arguments</w:t>
      </w:r>
      <w:r w:rsidR="003F2701" w:rsidRPr="00EE6FD2">
        <w:t xml:space="preserve">; for failing to file a pre-trial motion requesting DNA testing of a plastic glove presumably left by the perpetrator of the crime; and for failing </w:t>
      </w:r>
      <w:r w:rsidR="006B211C" w:rsidRPr="00EE6FD2">
        <w:t>to present available testimony that the flight from Tampa to Atlanta on which the State contended that Mr. Serrano was a passenger arrived at 9:55 p.m</w:t>
      </w:r>
      <w:r w:rsidR="00F64AEC" w:rsidRPr="00EE6FD2">
        <w:t xml:space="preserve">. </w:t>
      </w:r>
      <w:r w:rsidR="006B211C" w:rsidRPr="00EE6FD2">
        <w:t xml:space="preserve">The court </w:t>
      </w:r>
      <w:r w:rsidR="00CE0B0E" w:rsidRPr="00EE6FD2">
        <w:t xml:space="preserve">did not find that counsels’ performance fell below an objective standard of reasonableness and </w:t>
      </w:r>
      <w:r w:rsidR="006B211C" w:rsidRPr="00EE6FD2">
        <w:t>denied all subclaims</w:t>
      </w:r>
      <w:r w:rsidR="00CE0B0E" w:rsidRPr="00EE6FD2">
        <w:t xml:space="preserve">. </w:t>
      </w:r>
      <w:r w:rsidR="004A34F0" w:rsidRPr="00EE6FD2">
        <w:t>With regard to the DNA testing, the court concluded that trial counsel knew that there were no DNA findings that linked Mr. Serrano to the murders and tactically did not want further testing to be done on the glove for fear that further testing could have implicated him.</w:t>
      </w:r>
    </w:p>
    <w:p w14:paraId="51180A6C" w14:textId="77777777" w:rsidR="00CE0B0E" w:rsidRPr="00EE6FD2" w:rsidRDefault="00CE0B0E" w:rsidP="00CE0B0E">
      <w:pPr>
        <w:pStyle w:val="parrafos"/>
        <w:numPr>
          <w:ilvl w:val="0"/>
          <w:numId w:val="0"/>
        </w:numPr>
      </w:pPr>
    </w:p>
    <w:p w14:paraId="2254AA67" w14:textId="77777777" w:rsidR="00DB47CF" w:rsidRPr="00EE6FD2" w:rsidRDefault="00DB47CF" w:rsidP="00DB47CF">
      <w:pPr>
        <w:pStyle w:val="parrafos"/>
        <w:ind w:left="0" w:firstLine="0"/>
      </w:pPr>
      <w:r w:rsidRPr="00EE6FD2">
        <w:t>Mr. Serrano’s defense also alleged that the prosecution withheld exculpatory evidence such as the assurance by the U.S. Government that the death penalty would not be sought if Mr. Serrano was extradited. The court denied this motion based on the fact that the information would be inadmissible pursuant to Florida Statutes as a mitigating circumstance. The court also held that the evidence presented indicated that Mr. Serrano was deported from Ecuador</w:t>
      </w:r>
      <w:r w:rsidR="00A554C0" w:rsidRPr="00EE6FD2">
        <w:t>,</w:t>
      </w:r>
      <w:r w:rsidRPr="00EE6FD2">
        <w:t xml:space="preserve"> not extradited</w:t>
      </w:r>
      <w:r w:rsidR="00A554C0" w:rsidRPr="00EE6FD2">
        <w:t>,</w:t>
      </w:r>
      <w:r w:rsidRPr="00EE6FD2">
        <w:t xml:space="preserve"> and that he did not show that he was improperly removed from Ecuador. </w:t>
      </w:r>
    </w:p>
    <w:p w14:paraId="2519EABD" w14:textId="77777777" w:rsidR="00DB47CF" w:rsidRPr="00EE6FD2" w:rsidRDefault="00DB47CF" w:rsidP="00DB47CF">
      <w:pPr>
        <w:pStyle w:val="parrafos"/>
        <w:numPr>
          <w:ilvl w:val="0"/>
          <w:numId w:val="0"/>
        </w:numPr>
      </w:pPr>
    </w:p>
    <w:p w14:paraId="6E4F2CC6" w14:textId="77777777" w:rsidR="00E9226A" w:rsidRPr="00EE6FD2" w:rsidRDefault="00925A8E" w:rsidP="000C707B">
      <w:pPr>
        <w:pStyle w:val="parrafos"/>
        <w:ind w:left="0" w:firstLine="0"/>
      </w:pPr>
      <w:r w:rsidRPr="00EE6FD2">
        <w:t>The defense</w:t>
      </w:r>
      <w:r w:rsidR="00CE0B0E" w:rsidRPr="00EE6FD2">
        <w:t xml:space="preserve"> also alleged</w:t>
      </w:r>
      <w:r w:rsidRPr="00EE6FD2">
        <w:t xml:space="preserve"> that jurisdiction over Mr. Serrano was barred because U.S. officials forcibly removed him from Ecuador in violation of an extradition treaty</w:t>
      </w:r>
      <w:r w:rsidR="002163A1" w:rsidRPr="00EE6FD2">
        <w:t>, which is</w:t>
      </w:r>
      <w:r w:rsidRPr="00EE6FD2">
        <w:t xml:space="preserve"> the sole lawful means by which the United States </w:t>
      </w:r>
      <w:r w:rsidR="002163A1" w:rsidRPr="00EE6FD2">
        <w:t xml:space="preserve">would have been </w:t>
      </w:r>
      <w:r w:rsidRPr="00EE6FD2">
        <w:t>able to remove him from Ecuador</w:t>
      </w:r>
      <w:r w:rsidR="00760ED3" w:rsidRPr="00EE6FD2">
        <w:t xml:space="preserve">, and that the treaty prohibits extradition in death penalty cases. Mr. Serrano also argued that </w:t>
      </w:r>
      <w:r w:rsidR="004E00B5" w:rsidRPr="00EE6FD2">
        <w:t>a 2009 official protest letter received from the Ecuadorian government and the 2008 IACHR’s merits report</w:t>
      </w:r>
      <w:r w:rsidR="001C6000" w:rsidRPr="00EE6FD2">
        <w:t xml:space="preserve"> were newly discovered evidence </w:t>
      </w:r>
      <w:r w:rsidR="002163A1" w:rsidRPr="00EE6FD2">
        <w:t>to</w:t>
      </w:r>
      <w:r w:rsidR="001C6000" w:rsidRPr="00EE6FD2">
        <w:t xml:space="preserve"> be considered</w:t>
      </w:r>
      <w:r w:rsidR="004C2D73" w:rsidRPr="00EE6FD2">
        <w:t>. T</w:t>
      </w:r>
      <w:r w:rsidR="004E00B5" w:rsidRPr="00EE6FD2">
        <w:t>he court concluded that “the alleged additional information [did] not change the Court’s earlier findings and th</w:t>
      </w:r>
      <w:r w:rsidR="004C2D73" w:rsidRPr="00EE6FD2">
        <w:t>[e]</w:t>
      </w:r>
      <w:r w:rsidR="004E00B5" w:rsidRPr="00EE6FD2">
        <w:t xml:space="preserve"> Court once again conclude</w:t>
      </w:r>
      <w:r w:rsidR="004C2D73" w:rsidRPr="00EE6FD2">
        <w:t>[d]</w:t>
      </w:r>
      <w:r w:rsidR="004E00B5" w:rsidRPr="00EE6FD2">
        <w:t xml:space="preserve"> that it had and has jurisdiction over the Defendant.”</w:t>
      </w:r>
      <w:r w:rsidR="00B114CE" w:rsidRPr="00EE6FD2">
        <w:rPr>
          <w:rStyle w:val="FootnoteReference"/>
        </w:rPr>
        <w:footnoteReference w:id="26"/>
      </w:r>
      <w:r w:rsidR="00E9226A" w:rsidRPr="00EE6FD2">
        <w:t xml:space="preserve"> The court also indicated in this regard that:</w:t>
      </w:r>
      <w:r w:rsidR="00E9226A" w:rsidRPr="00EE6FD2">
        <w:rPr>
          <w:rStyle w:val="FootnoteReference"/>
        </w:rPr>
        <w:footnoteReference w:id="27"/>
      </w:r>
      <w:r w:rsidR="00E9226A" w:rsidRPr="00EE6FD2">
        <w:t xml:space="preserve"> </w:t>
      </w:r>
    </w:p>
    <w:p w14:paraId="6E759925" w14:textId="77777777" w:rsidR="00E9226A" w:rsidRPr="00EE6FD2" w:rsidRDefault="00E9226A" w:rsidP="00E9226A">
      <w:pPr>
        <w:pStyle w:val="ListParagraph"/>
        <w:rPr>
          <w:sz w:val="20"/>
          <w:szCs w:val="20"/>
        </w:rPr>
      </w:pPr>
    </w:p>
    <w:p w14:paraId="30810BF7" w14:textId="77777777" w:rsidR="00E9226A" w:rsidRPr="00EE6FD2" w:rsidRDefault="00E9226A" w:rsidP="00E9226A">
      <w:pPr>
        <w:pStyle w:val="parrafos"/>
        <w:numPr>
          <w:ilvl w:val="0"/>
          <w:numId w:val="0"/>
        </w:numPr>
        <w:ind w:left="360" w:right="360"/>
        <w:rPr>
          <w:sz w:val="18"/>
          <w:szCs w:val="18"/>
        </w:rPr>
      </w:pPr>
      <w:r w:rsidRPr="00EE6FD2">
        <w:rPr>
          <w:sz w:val="18"/>
          <w:szCs w:val="18"/>
        </w:rPr>
        <w:t>While extradition proceedings had been initiated and were ongoing, it became clear that the country of Ecuador would not extradite Mr. Serrano back to the United States.</w:t>
      </w:r>
    </w:p>
    <w:p w14:paraId="61B4CF61" w14:textId="77777777" w:rsidR="00CE0B0E" w:rsidRPr="00EE6FD2" w:rsidRDefault="00E9226A" w:rsidP="00E9226A">
      <w:pPr>
        <w:pStyle w:val="parrafos"/>
        <w:numPr>
          <w:ilvl w:val="0"/>
          <w:numId w:val="0"/>
        </w:numPr>
        <w:ind w:left="360" w:right="360"/>
        <w:rPr>
          <w:sz w:val="18"/>
          <w:szCs w:val="18"/>
        </w:rPr>
      </w:pPr>
      <w:r w:rsidRPr="00EE6FD2">
        <w:rPr>
          <w:sz w:val="18"/>
          <w:szCs w:val="18"/>
        </w:rPr>
        <w:t>Instead, an effort was made to demonstrate that Mr. Serrano held himself out as a United States Citizen, was traveling on a United States passport, had renounced his Ecuadorian citizenship and had not regained Ecuadorian citizenship until March 27, 2003, some seven months after he was deported.</w:t>
      </w:r>
    </w:p>
    <w:p w14:paraId="7084B578" w14:textId="77777777" w:rsidR="001061FC" w:rsidRPr="00EE6FD2" w:rsidRDefault="001061FC" w:rsidP="00496048">
      <w:pPr>
        <w:pStyle w:val="ListParagraph"/>
        <w:tabs>
          <w:tab w:val="left" w:pos="360"/>
        </w:tabs>
        <w:ind w:left="360"/>
        <w:rPr>
          <w:rFonts w:asciiTheme="majorHAnsi" w:eastAsia="Arial Unicode MS" w:hAnsiTheme="majorHAnsi" w:cs="Times New Roman"/>
          <w:color w:val="000000" w:themeColor="text1"/>
          <w:sz w:val="18"/>
          <w:szCs w:val="18"/>
          <w:lang w:eastAsia="en-US"/>
        </w:rPr>
      </w:pPr>
    </w:p>
    <w:p w14:paraId="2E32B8C0" w14:textId="77777777" w:rsidR="00496048" w:rsidRPr="00EE6FD2" w:rsidRDefault="00496048" w:rsidP="00387FA8">
      <w:pPr>
        <w:pStyle w:val="ListParagraph"/>
        <w:tabs>
          <w:tab w:val="left" w:pos="360"/>
        </w:tabs>
        <w:ind w:left="360" w:right="360"/>
        <w:jc w:val="both"/>
        <w:rPr>
          <w:rFonts w:asciiTheme="majorHAnsi" w:eastAsia="Arial Unicode MS" w:hAnsiTheme="majorHAnsi" w:cs="Times New Roman"/>
          <w:color w:val="000000" w:themeColor="text1"/>
          <w:sz w:val="18"/>
          <w:szCs w:val="18"/>
          <w:lang w:eastAsia="en-US"/>
        </w:rPr>
      </w:pPr>
      <w:r w:rsidRPr="00EE6FD2">
        <w:rPr>
          <w:rFonts w:asciiTheme="majorHAnsi" w:eastAsia="Arial Unicode MS" w:hAnsiTheme="majorHAnsi" w:cs="Times New Roman"/>
          <w:color w:val="000000" w:themeColor="text1"/>
          <w:sz w:val="18"/>
          <w:szCs w:val="18"/>
          <w:lang w:eastAsia="en-US"/>
        </w:rPr>
        <w:t>[…] the Court’s conclusion from the evidence presented is that the Defendant was not extradited but was deported from Ecuador.</w:t>
      </w:r>
    </w:p>
    <w:p w14:paraId="6AE676D6" w14:textId="77777777" w:rsidR="001061FC" w:rsidRPr="00EE6FD2" w:rsidRDefault="001061FC" w:rsidP="00753F77">
      <w:pPr>
        <w:pStyle w:val="ListParagraph"/>
        <w:tabs>
          <w:tab w:val="left" w:pos="360"/>
        </w:tabs>
        <w:ind w:left="0"/>
        <w:rPr>
          <w:rFonts w:asciiTheme="majorHAnsi" w:hAnsiTheme="majorHAnsi"/>
          <w:b/>
          <w:color w:val="auto"/>
          <w:sz w:val="20"/>
          <w:szCs w:val="20"/>
        </w:rPr>
      </w:pPr>
    </w:p>
    <w:p w14:paraId="2669EED3" w14:textId="77777777" w:rsidR="002F3506" w:rsidRPr="00EE6FD2" w:rsidRDefault="008D4CF3" w:rsidP="002F3506">
      <w:pPr>
        <w:pStyle w:val="parrafos"/>
        <w:ind w:left="0" w:firstLine="0"/>
      </w:pPr>
      <w:r w:rsidRPr="00EE6FD2">
        <w:t>Mr. Serrano filed an appeal against the denial of the motion for post-conviction relief before t</w:t>
      </w:r>
      <w:r w:rsidR="002F3506" w:rsidRPr="00EE6FD2">
        <w:t>he Florida Supreme Court</w:t>
      </w:r>
      <w:r w:rsidRPr="00EE6FD2">
        <w:t>, which was d</w:t>
      </w:r>
      <w:r w:rsidR="002F3506" w:rsidRPr="00EE6FD2">
        <w:t>enied on May 11, 2017</w:t>
      </w:r>
      <w:r w:rsidRPr="00EE6FD2">
        <w:t xml:space="preserve">. On February 20, 2018, </w:t>
      </w:r>
      <w:r w:rsidR="002F3506" w:rsidRPr="00EE6FD2">
        <w:t xml:space="preserve">the U.S. Supreme Court denied </w:t>
      </w:r>
      <w:r w:rsidRPr="00EE6FD2">
        <w:t>a</w:t>
      </w:r>
      <w:r w:rsidR="002F3506" w:rsidRPr="00EE6FD2">
        <w:t xml:space="preserve"> petition for writ of certiorari.</w:t>
      </w:r>
      <w:r w:rsidR="009D2207" w:rsidRPr="00EE6FD2">
        <w:rPr>
          <w:rStyle w:val="FootnoteReference"/>
        </w:rPr>
        <w:footnoteReference w:id="28"/>
      </w:r>
    </w:p>
    <w:p w14:paraId="48FBCA87" w14:textId="77777777" w:rsidR="003F4494" w:rsidRPr="00EE6FD2" w:rsidRDefault="003F4494">
      <w:pPr>
        <w:rPr>
          <w:rFonts w:asciiTheme="majorHAnsi" w:eastAsia="Cambria" w:hAnsiTheme="majorHAnsi" w:cs="Cambria"/>
          <w:b/>
          <w:sz w:val="20"/>
          <w:szCs w:val="20"/>
          <w:u w:color="000000"/>
          <w:lang w:eastAsia="es-ES"/>
        </w:rPr>
      </w:pPr>
    </w:p>
    <w:p w14:paraId="7E956785" w14:textId="77777777" w:rsidR="00BF4967" w:rsidRPr="00EE6FD2" w:rsidRDefault="00BF4967">
      <w:pPr>
        <w:rPr>
          <w:rFonts w:asciiTheme="majorHAnsi" w:eastAsia="Cambria" w:hAnsiTheme="majorHAnsi" w:cs="Cambria"/>
          <w:b/>
          <w:sz w:val="20"/>
          <w:szCs w:val="20"/>
          <w:u w:color="000000"/>
          <w:lang w:eastAsia="es-ES"/>
        </w:rPr>
      </w:pPr>
    </w:p>
    <w:p w14:paraId="44B14849" w14:textId="77777777" w:rsidR="00BF4967" w:rsidRPr="00EE6FD2" w:rsidRDefault="00BF4967">
      <w:pPr>
        <w:rPr>
          <w:rFonts w:asciiTheme="majorHAnsi" w:eastAsia="Cambria" w:hAnsiTheme="majorHAnsi" w:cs="Cambria"/>
          <w:b/>
          <w:sz w:val="20"/>
          <w:szCs w:val="20"/>
          <w:u w:color="000000"/>
          <w:lang w:eastAsia="es-ES"/>
        </w:rPr>
      </w:pPr>
    </w:p>
    <w:p w14:paraId="602EF2CE" w14:textId="77777777" w:rsidR="00BF4967" w:rsidRPr="00EE6FD2" w:rsidRDefault="00BF4967">
      <w:pPr>
        <w:rPr>
          <w:rFonts w:asciiTheme="majorHAnsi" w:eastAsia="Cambria" w:hAnsiTheme="majorHAnsi" w:cs="Cambria"/>
          <w:b/>
          <w:sz w:val="20"/>
          <w:szCs w:val="20"/>
          <w:u w:color="000000"/>
          <w:lang w:eastAsia="es-ES"/>
        </w:rPr>
      </w:pPr>
    </w:p>
    <w:p w14:paraId="0425C452" w14:textId="77777777" w:rsidR="00B875FF" w:rsidRPr="00EE6FD2" w:rsidRDefault="00B875FF" w:rsidP="00624C78">
      <w:pPr>
        <w:pStyle w:val="Heading2"/>
        <w:numPr>
          <w:ilvl w:val="0"/>
          <w:numId w:val="61"/>
        </w:numPr>
        <w:tabs>
          <w:tab w:val="left" w:pos="360"/>
        </w:tabs>
        <w:ind w:left="360"/>
        <w:rPr>
          <w:bCs w:val="0"/>
          <w:color w:val="auto"/>
          <w:sz w:val="20"/>
          <w:szCs w:val="20"/>
        </w:rPr>
      </w:pPr>
      <w:bookmarkStart w:id="20" w:name="_Toc41343329"/>
      <w:r w:rsidRPr="00EE6FD2">
        <w:rPr>
          <w:bCs w:val="0"/>
          <w:color w:val="auto"/>
          <w:sz w:val="20"/>
          <w:szCs w:val="20"/>
        </w:rPr>
        <w:t>Hurst v. Florida</w:t>
      </w:r>
      <w:bookmarkEnd w:id="20"/>
    </w:p>
    <w:p w14:paraId="37E93E74" w14:textId="77777777" w:rsidR="00640E70" w:rsidRPr="00EE6FD2" w:rsidRDefault="00640E70" w:rsidP="00640E70">
      <w:pPr>
        <w:pStyle w:val="parrafos"/>
        <w:numPr>
          <w:ilvl w:val="0"/>
          <w:numId w:val="0"/>
        </w:numPr>
      </w:pPr>
    </w:p>
    <w:p w14:paraId="0A0DB89E" w14:textId="77777777" w:rsidR="00916828" w:rsidRPr="00EE6FD2" w:rsidRDefault="00640E70" w:rsidP="00916828">
      <w:pPr>
        <w:pStyle w:val="parrafos"/>
        <w:ind w:left="0" w:firstLine="0"/>
      </w:pPr>
      <w:r w:rsidRPr="00EE6FD2">
        <w:lastRenderedPageBreak/>
        <w:t xml:space="preserve">A decision by the U.S. Supreme Court in Hurst v. Florida issued on January 12, 2016, addressed whether the Florida death sentencing scheme, which did not require a unanimous jury to sentence a defendant to death, violated the Sixth Amendment of the Constitution of the United States. </w:t>
      </w:r>
      <w:r w:rsidR="00916828" w:rsidRPr="00EE6FD2">
        <w:t>The Supreme Court described the Florida’s capital sentencing scheme as follows:</w:t>
      </w:r>
      <w:r w:rsidR="00EE4B2E" w:rsidRPr="00EE6FD2">
        <w:rPr>
          <w:rStyle w:val="FootnoteReference"/>
        </w:rPr>
        <w:footnoteReference w:id="29"/>
      </w:r>
    </w:p>
    <w:p w14:paraId="4B703C05" w14:textId="77777777" w:rsidR="00916828" w:rsidRPr="00EE6FD2" w:rsidRDefault="00916828" w:rsidP="00916828">
      <w:pPr>
        <w:pStyle w:val="parrafos"/>
        <w:numPr>
          <w:ilvl w:val="0"/>
          <w:numId w:val="0"/>
        </w:numPr>
        <w:ind w:left="720" w:hanging="360"/>
      </w:pPr>
    </w:p>
    <w:p w14:paraId="2BBB759E" w14:textId="77777777" w:rsidR="00916828" w:rsidRPr="00EE6FD2" w:rsidRDefault="00916828" w:rsidP="00A628A3">
      <w:pPr>
        <w:pStyle w:val="parrafos"/>
        <w:numPr>
          <w:ilvl w:val="0"/>
          <w:numId w:val="0"/>
        </w:numPr>
        <w:ind w:left="360" w:right="360"/>
        <w:rPr>
          <w:sz w:val="18"/>
          <w:szCs w:val="18"/>
        </w:rPr>
      </w:pPr>
      <w:r w:rsidRPr="00EE6FD2">
        <w:rPr>
          <w:sz w:val="18"/>
          <w:szCs w:val="18"/>
        </w:rPr>
        <w:t xml:space="preserve">Under Florida law, </w:t>
      </w:r>
      <w:r w:rsidR="005B57E6" w:rsidRPr="00EE6FD2">
        <w:rPr>
          <w:sz w:val="18"/>
          <w:szCs w:val="18"/>
        </w:rPr>
        <w:t xml:space="preserve">the maximum sentence a capital felon may receive on the basis of a conviction alone is life imprisonment. He may be sentenced to death, but only if an additional sentencing proceeding results in findings by the court that such person shall be punished by death.” </w:t>
      </w:r>
      <w:r w:rsidR="00A628A3" w:rsidRPr="00EE6FD2">
        <w:rPr>
          <w:sz w:val="18"/>
          <w:szCs w:val="18"/>
        </w:rPr>
        <w:t>[…] In that proceeding, the sentencing judge first conducts an evidentiary hearing before a jury. Next, the jury, by majority vote, renders an “advisory sentence.” […] Notwithstanding that recommendation, the court must independently find and weigh the aggravating and mitigating circumstances before entering a sentence of life or death.</w:t>
      </w:r>
    </w:p>
    <w:p w14:paraId="519BF428" w14:textId="77777777" w:rsidR="00916828" w:rsidRPr="00EE6FD2" w:rsidRDefault="00916828" w:rsidP="00916828">
      <w:pPr>
        <w:pStyle w:val="parrafos"/>
        <w:numPr>
          <w:ilvl w:val="0"/>
          <w:numId w:val="0"/>
        </w:numPr>
      </w:pPr>
    </w:p>
    <w:p w14:paraId="66F2807D" w14:textId="77777777" w:rsidR="00640E70" w:rsidRPr="00EE6FD2" w:rsidRDefault="001B355A" w:rsidP="001B355A">
      <w:pPr>
        <w:pStyle w:val="parrafos"/>
        <w:ind w:left="0" w:firstLine="0"/>
      </w:pPr>
      <w:r w:rsidRPr="00EE6FD2">
        <w:t>T</w:t>
      </w:r>
      <w:r w:rsidR="00640E70" w:rsidRPr="00EE6FD2">
        <w:t xml:space="preserve">he Supreme Court held that </w:t>
      </w:r>
      <w:r w:rsidR="00B875FF" w:rsidRPr="00EE6FD2">
        <w:t xml:space="preserve">the </w:t>
      </w:r>
      <w:r w:rsidR="00430827" w:rsidRPr="00EE6FD2">
        <w:t xml:space="preserve">Florida’s </w:t>
      </w:r>
      <w:r w:rsidR="00B875FF" w:rsidRPr="00EE6FD2">
        <w:t xml:space="preserve">capital </w:t>
      </w:r>
      <w:r w:rsidR="00430827" w:rsidRPr="00EE6FD2">
        <w:t xml:space="preserve">sentencing scheme, </w:t>
      </w:r>
      <w:r w:rsidR="00B875FF" w:rsidRPr="00EE6FD2">
        <w:t xml:space="preserve">where the jury made recommendations </w:t>
      </w:r>
      <w:r w:rsidR="00EA238C" w:rsidRPr="00EE6FD2">
        <w:t>and</w:t>
      </w:r>
      <w:r w:rsidR="00B875FF" w:rsidRPr="00EE6FD2">
        <w:t xml:space="preserve"> the judge </w:t>
      </w:r>
      <w:r w:rsidR="00EA238C" w:rsidRPr="00EE6FD2">
        <w:t>must still independe</w:t>
      </w:r>
      <w:r w:rsidR="00A34548" w:rsidRPr="00EE6FD2">
        <w:t>ntl</w:t>
      </w:r>
      <w:r w:rsidR="00EA238C" w:rsidRPr="00EE6FD2">
        <w:t xml:space="preserve">y find and weigh aggravating and mitigating </w:t>
      </w:r>
      <w:r w:rsidR="00A34548" w:rsidRPr="00EE6FD2">
        <w:t>circumstances</w:t>
      </w:r>
      <w:r w:rsidR="00EA238C" w:rsidRPr="00EE6FD2">
        <w:t xml:space="preserve"> b</w:t>
      </w:r>
      <w:r w:rsidR="00A34548" w:rsidRPr="00EE6FD2">
        <w:t>e</w:t>
      </w:r>
      <w:r w:rsidR="00EA238C" w:rsidRPr="00EE6FD2">
        <w:t>fore entering a sentence of life or death,</w:t>
      </w:r>
      <w:r w:rsidR="00430827" w:rsidRPr="00EE6FD2">
        <w:t xml:space="preserve"> </w:t>
      </w:r>
      <w:r w:rsidR="00B875FF" w:rsidRPr="00EE6FD2">
        <w:t xml:space="preserve">was </w:t>
      </w:r>
      <w:r w:rsidR="00430827" w:rsidRPr="00EE6FD2">
        <w:t xml:space="preserve">unconstitutional. </w:t>
      </w:r>
    </w:p>
    <w:p w14:paraId="00383313" w14:textId="77777777" w:rsidR="00187174" w:rsidRPr="00EE6FD2" w:rsidRDefault="00187174" w:rsidP="00187174">
      <w:pPr>
        <w:pStyle w:val="parrafos"/>
        <w:numPr>
          <w:ilvl w:val="0"/>
          <w:numId w:val="0"/>
        </w:numPr>
      </w:pPr>
    </w:p>
    <w:p w14:paraId="070C1674" w14:textId="77777777" w:rsidR="00187174" w:rsidRPr="00EE6FD2" w:rsidRDefault="008556DF" w:rsidP="002F3506">
      <w:pPr>
        <w:pStyle w:val="parrafos"/>
        <w:ind w:left="0" w:firstLine="0"/>
      </w:pPr>
      <w:r w:rsidRPr="00EE6FD2">
        <w:t xml:space="preserve">Because Mr. Serrano was sentenced </w:t>
      </w:r>
      <w:r w:rsidR="006315C8" w:rsidRPr="00EE6FD2">
        <w:t>to death by a jury vote of 9-3 in 2007, he amended the appeal of his death sentence following the Hurst decision. In May 2017, the Supreme Court of Florida vacated Mr. Serrano’s death sentences and ordered a new penalty trial to be conducted.</w:t>
      </w:r>
      <w:r w:rsidR="003517CD" w:rsidRPr="00EE6FD2">
        <w:t xml:space="preserve"> A</w:t>
      </w:r>
      <w:r w:rsidR="00D00B64" w:rsidRPr="00EE6FD2">
        <w:t>t the time of the filing of his last communication before the IACHR on April 10, 2018, the petitioner indicated that Mr. Serrano had not yet been scheduled for a new sentencing hearing.</w:t>
      </w:r>
    </w:p>
    <w:p w14:paraId="75C61C9B" w14:textId="77777777" w:rsidR="001061FC" w:rsidRPr="00EE6FD2" w:rsidRDefault="001061FC" w:rsidP="001061FC">
      <w:pPr>
        <w:pStyle w:val="ListParagraph"/>
        <w:tabs>
          <w:tab w:val="left" w:pos="360"/>
        </w:tabs>
        <w:rPr>
          <w:rFonts w:asciiTheme="majorHAnsi" w:hAnsiTheme="majorHAnsi"/>
          <w:b/>
          <w:color w:val="FF0000"/>
          <w:sz w:val="20"/>
          <w:szCs w:val="20"/>
        </w:rPr>
      </w:pPr>
    </w:p>
    <w:p w14:paraId="4C4464ED" w14:textId="77777777" w:rsidR="001061FC" w:rsidRPr="00EE6FD2" w:rsidRDefault="001061FC" w:rsidP="00D83C3C">
      <w:pPr>
        <w:pStyle w:val="Heading1"/>
        <w:keepNext w:val="0"/>
        <w:keepLines w:val="0"/>
        <w:numPr>
          <w:ilvl w:val="0"/>
          <w:numId w:val="55"/>
        </w:numPr>
        <w:suppressAutoHyphens/>
        <w:spacing w:before="0"/>
        <w:ind w:left="360" w:hanging="360"/>
        <w:rPr>
          <w:color w:val="auto"/>
          <w:sz w:val="20"/>
          <w:szCs w:val="20"/>
        </w:rPr>
      </w:pPr>
      <w:bookmarkStart w:id="21" w:name="_Toc41343330"/>
      <w:r w:rsidRPr="00EE6FD2">
        <w:rPr>
          <w:color w:val="auto"/>
          <w:sz w:val="20"/>
          <w:szCs w:val="20"/>
        </w:rPr>
        <w:t>ANALYSIS OF LAW</w:t>
      </w:r>
      <w:bookmarkEnd w:id="21"/>
    </w:p>
    <w:p w14:paraId="76E0C81D" w14:textId="77777777" w:rsidR="001061FC" w:rsidRPr="00EE6FD2" w:rsidRDefault="001061FC" w:rsidP="001061FC">
      <w:pPr>
        <w:tabs>
          <w:tab w:val="left" w:pos="360"/>
        </w:tabs>
        <w:suppressAutoHyphens/>
        <w:rPr>
          <w:rFonts w:asciiTheme="majorHAnsi" w:hAnsiTheme="majorHAnsi"/>
          <w:b/>
          <w:sz w:val="20"/>
          <w:szCs w:val="20"/>
          <w:lang w:val="es-ES_tradnl"/>
        </w:rPr>
      </w:pPr>
    </w:p>
    <w:p w14:paraId="2869EF95" w14:textId="77777777" w:rsidR="00835E6D" w:rsidRPr="00EE6FD2" w:rsidRDefault="00835E6D" w:rsidP="00C24867">
      <w:pPr>
        <w:pStyle w:val="Heading2"/>
        <w:tabs>
          <w:tab w:val="left" w:pos="360"/>
        </w:tabs>
        <w:spacing w:before="0"/>
        <w:rPr>
          <w:color w:val="auto"/>
          <w:sz w:val="20"/>
          <w:szCs w:val="20"/>
        </w:rPr>
      </w:pPr>
      <w:bookmarkStart w:id="22" w:name="_Toc412815742"/>
      <w:bookmarkStart w:id="23" w:name="_Toc7803304"/>
      <w:bookmarkStart w:id="24" w:name="_Toc41343331"/>
      <w:r w:rsidRPr="00EE6FD2">
        <w:rPr>
          <w:color w:val="auto"/>
          <w:sz w:val="20"/>
          <w:szCs w:val="20"/>
        </w:rPr>
        <w:t>A.</w:t>
      </w:r>
      <w:r w:rsidRPr="00EE6FD2">
        <w:rPr>
          <w:color w:val="auto"/>
          <w:sz w:val="20"/>
          <w:szCs w:val="20"/>
        </w:rPr>
        <w:tab/>
        <w:t xml:space="preserve">Preliminary </w:t>
      </w:r>
      <w:bookmarkEnd w:id="22"/>
      <w:r w:rsidRPr="00EE6FD2">
        <w:rPr>
          <w:color w:val="auto"/>
          <w:sz w:val="20"/>
          <w:szCs w:val="20"/>
        </w:rPr>
        <w:t>considerations</w:t>
      </w:r>
      <w:bookmarkEnd w:id="23"/>
      <w:bookmarkEnd w:id="24"/>
    </w:p>
    <w:p w14:paraId="0318E21A" w14:textId="77777777" w:rsidR="00835E6D" w:rsidRPr="00EE6FD2" w:rsidRDefault="00835E6D" w:rsidP="00835E6D">
      <w:pPr>
        <w:ind w:left="720"/>
        <w:jc w:val="both"/>
        <w:rPr>
          <w:rFonts w:ascii="Cambria" w:hAnsi="Cambria"/>
          <w:sz w:val="20"/>
          <w:szCs w:val="20"/>
        </w:rPr>
      </w:pPr>
    </w:p>
    <w:p w14:paraId="6CA6B10C" w14:textId="77777777" w:rsidR="00835E6D" w:rsidRPr="00EE6FD2" w:rsidRDefault="00835E6D" w:rsidP="00835E6D">
      <w:pPr>
        <w:pStyle w:val="parrafos"/>
        <w:ind w:left="0" w:firstLine="0"/>
      </w:pPr>
      <w:r w:rsidRPr="00EE6FD2">
        <w:t xml:space="preserve">Before embarking on its analysis of the merits in the case of </w:t>
      </w:r>
      <w:r w:rsidR="007E126E" w:rsidRPr="00EE6FD2">
        <w:t>Nelson Ivan Serrano Saenz</w:t>
      </w:r>
      <w:r w:rsidRPr="00EE6FD2">
        <w:t xml:space="preserve">, the Inter-American Commission believes it should reiterate its previous rulings regarding the heightened scrutiny to be used in cases involving the death penalty. The right to life has received broad recognition as the supreme human right and as a sine qua non for the enjoyment of all other rights. </w:t>
      </w:r>
    </w:p>
    <w:p w14:paraId="51E2FCA4" w14:textId="77777777" w:rsidR="00835E6D" w:rsidRPr="00EE6FD2" w:rsidRDefault="00835E6D" w:rsidP="00835E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0C0303E9" w14:textId="77777777" w:rsidR="00835E6D" w:rsidRPr="00EE6FD2" w:rsidRDefault="00835E6D" w:rsidP="00835E6D">
      <w:pPr>
        <w:pStyle w:val="parrafos"/>
        <w:ind w:left="0" w:firstLine="0"/>
      </w:pPr>
      <w:r w:rsidRPr="00EE6FD2">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EE6FD2">
        <w:rPr>
          <w:rStyle w:val="FootnoteReference"/>
        </w:rPr>
        <w:footnoteReference w:id="30"/>
      </w:r>
      <w:r w:rsidRPr="00EE6FD2">
        <w:t xml:space="preserve"> and it has been set out and applied by the Inter-American Commission in previous capital cases brought before it.</w:t>
      </w:r>
      <w:r w:rsidRPr="00EE6FD2">
        <w:rPr>
          <w:rStyle w:val="FootnoteReference"/>
        </w:rPr>
        <w:footnoteReference w:id="31"/>
      </w:r>
      <w:r w:rsidRPr="00EE6FD2">
        <w:t xml:space="preserve"> As the Inter-American Commission has explained, this standard of review is the necessary consequence of the specific penalty at issue and the right to a fair trial and all attendant due process guarantees, among others.</w:t>
      </w:r>
      <w:r w:rsidRPr="00EE6FD2">
        <w:rPr>
          <w:rStyle w:val="FootnoteReference"/>
        </w:rPr>
        <w:footnoteReference w:id="32"/>
      </w:r>
      <w:r w:rsidRPr="00EE6FD2">
        <w:t xml:space="preserve"> In the words of the Commission:</w:t>
      </w:r>
    </w:p>
    <w:p w14:paraId="6AB9BD6F" w14:textId="77777777" w:rsidR="00835E6D" w:rsidRPr="00EE6FD2" w:rsidRDefault="00835E6D" w:rsidP="00835E6D">
      <w:pPr>
        <w:pStyle w:val="ListParagraph"/>
        <w:rPr>
          <w:sz w:val="20"/>
          <w:szCs w:val="20"/>
        </w:rPr>
      </w:pPr>
    </w:p>
    <w:p w14:paraId="72A54993" w14:textId="77777777" w:rsidR="00835E6D" w:rsidRPr="00EE6FD2" w:rsidRDefault="00835E6D" w:rsidP="00BF41F2">
      <w:pPr>
        <w:autoSpaceDE w:val="0"/>
        <w:autoSpaceDN w:val="0"/>
        <w:adjustRightInd w:val="0"/>
        <w:ind w:left="360" w:right="360"/>
        <w:jc w:val="both"/>
        <w:rPr>
          <w:rFonts w:ascii="Cambria" w:hAnsi="Cambria" w:cs="Calibri"/>
          <w:sz w:val="18"/>
          <w:szCs w:val="18"/>
        </w:rPr>
      </w:pPr>
      <w:r w:rsidRPr="00EE6FD2">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EE6FD2">
        <w:rPr>
          <w:rStyle w:val="FootnoteReference"/>
          <w:rFonts w:ascii="Cambria" w:hAnsi="Cambria"/>
          <w:sz w:val="18"/>
          <w:szCs w:val="18"/>
        </w:rPr>
        <w:footnoteReference w:id="33"/>
      </w:r>
    </w:p>
    <w:p w14:paraId="4A048F14" w14:textId="77777777" w:rsidR="00835E6D" w:rsidRPr="00EE6FD2" w:rsidRDefault="00835E6D" w:rsidP="00835E6D">
      <w:pPr>
        <w:jc w:val="both"/>
        <w:rPr>
          <w:rFonts w:ascii="Cambria" w:hAnsi="Cambria"/>
          <w:sz w:val="20"/>
          <w:szCs w:val="20"/>
        </w:rPr>
      </w:pPr>
    </w:p>
    <w:p w14:paraId="2BF1C3B7" w14:textId="77777777" w:rsidR="00C24867" w:rsidRPr="00EE6FD2" w:rsidRDefault="00835E6D" w:rsidP="00C24867">
      <w:pPr>
        <w:pStyle w:val="NormalWeb"/>
        <w:numPr>
          <w:ilvl w:val="0"/>
          <w:numId w:val="57"/>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rPr>
      </w:pPr>
      <w:r w:rsidRPr="00EE6FD2">
        <w:rPr>
          <w:rFonts w:asciiTheme="majorHAnsi" w:hAnsiTheme="majorHAnsi"/>
          <w:sz w:val="20"/>
          <w:szCs w:val="20"/>
        </w:rPr>
        <w:lastRenderedPageBreak/>
        <w:t>The Inter-American Commission will therefore review the petitioner’</w:t>
      </w:r>
      <w:r w:rsidR="007E126E" w:rsidRPr="00EE6FD2">
        <w:t>s</w:t>
      </w:r>
      <w:r w:rsidRPr="00EE6FD2">
        <w:rPr>
          <w:rFonts w:asciiTheme="majorHAnsi" w:hAnsiTheme="majorHAnsi"/>
          <w:sz w:val="20"/>
          <w:szCs w:val="20"/>
        </w:rPr>
        <w:t xml:space="preserve"> allegations in the present case with a heightened level of scrutiny, to ensure in particular that the rights to life, due process, and to a fair trial as prescribed under the American Declaration have been respected by the State. </w:t>
      </w:r>
      <w:r w:rsidR="00C24867" w:rsidRPr="00EE6FD2">
        <w:rPr>
          <w:rFonts w:ascii="Cambria" w:hAnsi="Cambria"/>
          <w:sz w:val="20"/>
        </w:rPr>
        <w:t>With regard to the legal status of the American Declaration, the IACHR reiterates that:</w:t>
      </w:r>
      <w:r w:rsidR="00515EA8" w:rsidRPr="00EE6FD2">
        <w:rPr>
          <w:rStyle w:val="FootnoteReference"/>
          <w:rFonts w:ascii="Cambria" w:hAnsi="Cambria"/>
          <w:sz w:val="20"/>
          <w:szCs w:val="20"/>
        </w:rPr>
        <w:footnoteReference w:id="34"/>
      </w:r>
      <w:r w:rsidR="00C24867" w:rsidRPr="00EE6FD2">
        <w:rPr>
          <w:rFonts w:ascii="Cambria" w:hAnsi="Cambria" w:cs="Tahoma"/>
          <w:color w:val="262626"/>
          <w:sz w:val="20"/>
          <w:szCs w:val="20"/>
        </w:rPr>
        <w:t xml:space="preserve"> </w:t>
      </w:r>
    </w:p>
    <w:p w14:paraId="74EE07F6" w14:textId="77777777" w:rsidR="00C24867" w:rsidRPr="00EE6FD2" w:rsidRDefault="00C24867" w:rsidP="00C24867">
      <w:pPr>
        <w:tabs>
          <w:tab w:val="left" w:pos="630"/>
          <w:tab w:val="left" w:pos="810"/>
        </w:tabs>
        <w:autoSpaceDE w:val="0"/>
        <w:autoSpaceDN w:val="0"/>
        <w:adjustRightInd w:val="0"/>
        <w:jc w:val="both"/>
        <w:rPr>
          <w:rFonts w:ascii="Cambria" w:hAnsi="Cambria" w:cs="Calibri"/>
          <w:sz w:val="20"/>
          <w:szCs w:val="20"/>
        </w:rPr>
      </w:pPr>
    </w:p>
    <w:p w14:paraId="6AB46951" w14:textId="77777777" w:rsidR="00C24867" w:rsidRPr="00EE6FD2" w:rsidRDefault="00C24867" w:rsidP="00BF41F2">
      <w:pPr>
        <w:tabs>
          <w:tab w:val="left" w:pos="630"/>
          <w:tab w:val="left" w:pos="810"/>
        </w:tabs>
        <w:autoSpaceDE w:val="0"/>
        <w:autoSpaceDN w:val="0"/>
        <w:adjustRightInd w:val="0"/>
        <w:ind w:left="360" w:right="360"/>
        <w:jc w:val="both"/>
        <w:rPr>
          <w:rFonts w:ascii="Cambria" w:hAnsi="Cambria" w:cs="Calibri"/>
          <w:sz w:val="18"/>
          <w:szCs w:val="18"/>
        </w:rPr>
      </w:pPr>
      <w:r w:rsidRPr="00EE6FD2">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2639397F" w14:textId="77777777" w:rsidR="00C24867" w:rsidRPr="00EE6FD2" w:rsidRDefault="00C24867" w:rsidP="00C24867">
      <w:pPr>
        <w:pStyle w:val="ListParagraph"/>
        <w:rPr>
          <w:sz w:val="20"/>
          <w:szCs w:val="20"/>
        </w:rPr>
      </w:pPr>
    </w:p>
    <w:p w14:paraId="7C5F7448" w14:textId="77777777" w:rsidR="00980F95" w:rsidRPr="00EE6FD2" w:rsidRDefault="00C24867" w:rsidP="00980F95">
      <w:pPr>
        <w:pStyle w:val="NormalWeb"/>
        <w:numPr>
          <w:ilvl w:val="0"/>
          <w:numId w:val="57"/>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EE6FD2">
        <w:rPr>
          <w:rFonts w:asciiTheme="majorHAnsi" w:hAnsiTheme="majorHAnsi"/>
          <w:sz w:val="20"/>
        </w:rPr>
        <w:t>Finally, the Commission recalls that its review does not consist of determining that the death penalty in and of itself violates the American Declaration. What this section addresses is the standard of review of the alleged human rights violations in the context of a trial culminating in the death penalty.</w:t>
      </w:r>
      <w:bookmarkStart w:id="25" w:name="_Toc485650798"/>
    </w:p>
    <w:p w14:paraId="74FCE25E" w14:textId="77777777" w:rsidR="00980F95" w:rsidRPr="00EE6FD2" w:rsidRDefault="00980F95" w:rsidP="00980F95">
      <w:pPr>
        <w:pStyle w:val="NormalWeb"/>
        <w:shd w:val="clear" w:color="auto" w:fill="FFFFFF"/>
        <w:tabs>
          <w:tab w:val="left" w:pos="360"/>
        </w:tabs>
        <w:spacing w:before="0" w:beforeAutospacing="0" w:after="0" w:afterAutospacing="0"/>
        <w:jc w:val="both"/>
        <w:rPr>
          <w:rFonts w:asciiTheme="majorHAnsi" w:hAnsiTheme="majorHAnsi"/>
          <w:sz w:val="20"/>
        </w:rPr>
      </w:pPr>
    </w:p>
    <w:p w14:paraId="248525DD" w14:textId="77777777" w:rsidR="00C853E4" w:rsidRPr="00EE6FD2" w:rsidRDefault="00AC18DB" w:rsidP="00AC18DB">
      <w:pPr>
        <w:pStyle w:val="Heading2"/>
        <w:tabs>
          <w:tab w:val="left" w:pos="360"/>
        </w:tabs>
        <w:spacing w:before="0"/>
        <w:rPr>
          <w:color w:val="auto"/>
          <w:sz w:val="20"/>
          <w:szCs w:val="20"/>
        </w:rPr>
      </w:pPr>
      <w:bookmarkStart w:id="26" w:name="_Toc41343332"/>
      <w:r w:rsidRPr="00EE6FD2">
        <w:rPr>
          <w:color w:val="auto"/>
          <w:sz w:val="20"/>
          <w:szCs w:val="20"/>
        </w:rPr>
        <w:t>B.</w:t>
      </w:r>
      <w:r w:rsidRPr="00EE6FD2">
        <w:rPr>
          <w:color w:val="auto"/>
          <w:sz w:val="20"/>
          <w:szCs w:val="20"/>
        </w:rPr>
        <w:tab/>
      </w:r>
      <w:r w:rsidR="00753FB3" w:rsidRPr="00EE6FD2">
        <w:rPr>
          <w:color w:val="auto"/>
          <w:sz w:val="20"/>
          <w:szCs w:val="20"/>
        </w:rPr>
        <w:t>E</w:t>
      </w:r>
      <w:r w:rsidR="001B29DC" w:rsidRPr="00EE6FD2">
        <w:rPr>
          <w:color w:val="auto"/>
          <w:sz w:val="20"/>
          <w:szCs w:val="20"/>
        </w:rPr>
        <w:t>xtra-territorial i</w:t>
      </w:r>
      <w:r w:rsidR="00753FB3" w:rsidRPr="00EE6FD2">
        <w:rPr>
          <w:color w:val="auto"/>
          <w:sz w:val="20"/>
          <w:szCs w:val="20"/>
        </w:rPr>
        <w:t xml:space="preserve">nternational </w:t>
      </w:r>
      <w:r w:rsidR="001B29DC" w:rsidRPr="00EE6FD2">
        <w:rPr>
          <w:color w:val="auto"/>
          <w:sz w:val="20"/>
          <w:szCs w:val="20"/>
        </w:rPr>
        <w:t>r</w:t>
      </w:r>
      <w:r w:rsidR="00753FB3" w:rsidRPr="00EE6FD2">
        <w:rPr>
          <w:color w:val="auto"/>
          <w:sz w:val="20"/>
          <w:szCs w:val="20"/>
        </w:rPr>
        <w:t>esponsibility</w:t>
      </w:r>
      <w:bookmarkEnd w:id="26"/>
    </w:p>
    <w:p w14:paraId="230A508D" w14:textId="77777777" w:rsidR="00C853E4" w:rsidRPr="00EE6FD2" w:rsidRDefault="00C853E4" w:rsidP="00D321AE">
      <w:pPr>
        <w:pStyle w:val="NormalWeb"/>
        <w:shd w:val="clear" w:color="auto" w:fill="FFFFFF"/>
        <w:tabs>
          <w:tab w:val="left" w:pos="360"/>
        </w:tabs>
        <w:spacing w:before="0" w:beforeAutospacing="0" w:after="0" w:afterAutospacing="0"/>
        <w:ind w:left="360" w:hanging="360"/>
        <w:jc w:val="both"/>
        <w:rPr>
          <w:rFonts w:asciiTheme="majorHAnsi" w:hAnsiTheme="majorHAnsi"/>
          <w:b/>
          <w:sz w:val="20"/>
        </w:rPr>
      </w:pPr>
    </w:p>
    <w:p w14:paraId="5DC0ECB7" w14:textId="77777777" w:rsidR="001B29DC" w:rsidRPr="00EE6FD2" w:rsidRDefault="0023238E" w:rsidP="007424F7">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 xml:space="preserve">As indicated in Section </w:t>
      </w:r>
      <w:r w:rsidR="00762B8A" w:rsidRPr="00EE6FD2">
        <w:rPr>
          <w:rFonts w:asciiTheme="majorHAnsi" w:hAnsiTheme="majorHAnsi"/>
          <w:sz w:val="20"/>
        </w:rPr>
        <w:t>III</w:t>
      </w:r>
      <w:r w:rsidRPr="00EE6FD2">
        <w:rPr>
          <w:rFonts w:asciiTheme="majorHAnsi" w:hAnsiTheme="majorHAnsi"/>
          <w:sz w:val="20"/>
        </w:rPr>
        <w:t xml:space="preserve"> of this report, </w:t>
      </w:r>
      <w:r w:rsidR="00980090" w:rsidRPr="00EE6FD2">
        <w:rPr>
          <w:rFonts w:asciiTheme="majorHAnsi" w:hAnsiTheme="majorHAnsi"/>
          <w:sz w:val="20"/>
        </w:rPr>
        <w:t xml:space="preserve">jurisdiction </w:t>
      </w:r>
      <w:r w:rsidRPr="00EE6FD2">
        <w:rPr>
          <w:rFonts w:asciiTheme="majorHAnsi" w:hAnsiTheme="majorHAnsi"/>
          <w:sz w:val="20"/>
        </w:rPr>
        <w:t>is</w:t>
      </w:r>
      <w:r w:rsidR="00980090" w:rsidRPr="00EE6FD2">
        <w:rPr>
          <w:rFonts w:asciiTheme="majorHAnsi" w:hAnsiTheme="majorHAnsi"/>
          <w:sz w:val="20"/>
        </w:rPr>
        <w:t xml:space="preserve"> not exclusively territorial</w:t>
      </w:r>
      <w:r w:rsidR="00762B8A" w:rsidRPr="00EE6FD2">
        <w:rPr>
          <w:rFonts w:asciiTheme="majorHAnsi" w:hAnsiTheme="majorHAnsi"/>
          <w:sz w:val="20"/>
        </w:rPr>
        <w:t xml:space="preserve">. States have the duty </w:t>
      </w:r>
      <w:r w:rsidR="00980090" w:rsidRPr="00EE6FD2">
        <w:rPr>
          <w:rFonts w:asciiTheme="majorHAnsi" w:hAnsiTheme="majorHAnsi"/>
          <w:sz w:val="20"/>
        </w:rPr>
        <w:t xml:space="preserve">to respect the rights of all persons within its territory and of those present in the territory of another State but subject to the control of its agents. </w:t>
      </w:r>
      <w:r w:rsidR="003263BD" w:rsidRPr="00EE6FD2">
        <w:rPr>
          <w:rFonts w:asciiTheme="majorHAnsi" w:hAnsiTheme="majorHAnsi"/>
          <w:sz w:val="20"/>
        </w:rPr>
        <w:t>The IACHR has stressed that</w:t>
      </w:r>
      <w:r w:rsidR="007424F7" w:rsidRPr="00EE6FD2">
        <w:rPr>
          <w:rFonts w:asciiTheme="majorHAnsi" w:hAnsiTheme="majorHAnsi"/>
          <w:sz w:val="20"/>
        </w:rPr>
        <w:t>,</w:t>
      </w:r>
      <w:r w:rsidR="003263BD" w:rsidRPr="00EE6FD2">
        <w:rPr>
          <w:rFonts w:asciiTheme="majorHAnsi" w:hAnsiTheme="majorHAnsi"/>
          <w:sz w:val="20"/>
        </w:rPr>
        <w:t xml:space="preserve"> when analyzing the scope of jurisdiction of the American Declaration, it is necessary to determine whether there is a causal </w:t>
      </w:r>
      <w:r w:rsidR="007424F7" w:rsidRPr="00EE6FD2">
        <w:rPr>
          <w:rFonts w:asciiTheme="majorHAnsi" w:hAnsiTheme="majorHAnsi"/>
          <w:sz w:val="20"/>
        </w:rPr>
        <w:t>nexus</w:t>
      </w:r>
      <w:r w:rsidR="003263BD" w:rsidRPr="00EE6FD2">
        <w:rPr>
          <w:rFonts w:asciiTheme="majorHAnsi" w:hAnsiTheme="majorHAnsi"/>
          <w:sz w:val="20"/>
        </w:rPr>
        <w:t xml:space="preserve"> between the extraterritorial conduct of a State through the acts or omissions of its agents and/or of persons who have acted under its command or acquiescence</w:t>
      </w:r>
      <w:r w:rsidR="007424F7" w:rsidRPr="00EE6FD2">
        <w:rPr>
          <w:rFonts w:asciiTheme="majorHAnsi" w:hAnsiTheme="majorHAnsi"/>
          <w:sz w:val="20"/>
        </w:rPr>
        <w:t>,</w:t>
      </w:r>
      <w:r w:rsidR="003263BD" w:rsidRPr="00EE6FD2">
        <w:rPr>
          <w:rFonts w:asciiTheme="majorHAnsi" w:hAnsiTheme="majorHAnsi"/>
          <w:sz w:val="20"/>
        </w:rPr>
        <w:t xml:space="preserve"> and the alleged violation of the rights</w:t>
      </w:r>
      <w:r w:rsidR="007424F7" w:rsidRPr="00EE6FD2">
        <w:rPr>
          <w:rFonts w:asciiTheme="majorHAnsi" w:hAnsiTheme="majorHAnsi"/>
          <w:sz w:val="20"/>
        </w:rPr>
        <w:t xml:space="preserve"> and freedoms of a person.</w:t>
      </w:r>
      <w:r w:rsidR="001B29DC" w:rsidRPr="00EE6FD2">
        <w:rPr>
          <w:rStyle w:val="FootnoteReference"/>
          <w:rFonts w:ascii="Cambria" w:hAnsi="Cambria"/>
          <w:sz w:val="20"/>
          <w:szCs w:val="20"/>
        </w:rPr>
        <w:footnoteReference w:id="35"/>
      </w:r>
      <w:r w:rsidR="003263BD" w:rsidRPr="00EE6FD2">
        <w:rPr>
          <w:rFonts w:ascii="Cambria" w:hAnsi="Cambria"/>
          <w:sz w:val="20"/>
          <w:szCs w:val="20"/>
        </w:rPr>
        <w:t xml:space="preserve"> </w:t>
      </w:r>
    </w:p>
    <w:p w14:paraId="4D460ADC" w14:textId="77777777" w:rsidR="001B29DC" w:rsidRPr="00EE6FD2" w:rsidRDefault="001B29DC" w:rsidP="00CD4F3F">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131B86B9" w14:textId="77777777" w:rsidR="007424F7" w:rsidRPr="00EE6FD2" w:rsidRDefault="007424F7" w:rsidP="008210A7">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EE6FD2">
        <w:rPr>
          <w:rFonts w:asciiTheme="majorHAnsi" w:hAnsiTheme="majorHAnsi"/>
          <w:sz w:val="20"/>
        </w:rPr>
        <w:t>Other international bodies, when analyzing the scope of application of international human rights instruments, have also considered their possible extraterritorial application.</w:t>
      </w:r>
      <w:r w:rsidRPr="00EE6FD2">
        <w:rPr>
          <w:rStyle w:val="FootnoteReference"/>
          <w:rFonts w:ascii="Cambria" w:hAnsi="Cambria"/>
          <w:sz w:val="20"/>
          <w:szCs w:val="20"/>
        </w:rPr>
        <w:footnoteReference w:id="36"/>
      </w:r>
      <w:r w:rsidRPr="00EE6FD2">
        <w:rPr>
          <w:rFonts w:asciiTheme="majorHAnsi" w:hAnsiTheme="majorHAnsi"/>
          <w:sz w:val="20"/>
        </w:rPr>
        <w:t xml:space="preserve"> </w:t>
      </w:r>
      <w:r w:rsidR="00515EA8" w:rsidRPr="00EE6FD2">
        <w:rPr>
          <w:rFonts w:asciiTheme="majorHAnsi" w:hAnsiTheme="majorHAnsi"/>
          <w:sz w:val="20"/>
          <w:szCs w:val="20"/>
        </w:rPr>
        <w:t>T</w:t>
      </w:r>
      <w:r w:rsidR="00CD4F3F" w:rsidRPr="00EE6FD2">
        <w:rPr>
          <w:rFonts w:asciiTheme="majorHAnsi" w:hAnsiTheme="majorHAnsi"/>
          <w:sz w:val="20"/>
          <w:szCs w:val="20"/>
        </w:rPr>
        <w:t>he European C</w:t>
      </w:r>
      <w:r w:rsidR="00980090" w:rsidRPr="00EE6FD2">
        <w:rPr>
          <w:rFonts w:asciiTheme="majorHAnsi" w:hAnsiTheme="majorHAnsi"/>
          <w:sz w:val="20"/>
          <w:szCs w:val="20"/>
        </w:rPr>
        <w:t xml:space="preserve">ourt of Human Rights has determined that the term “jurisdiction” is not </w:t>
      </w:r>
      <w:r w:rsidR="001E515E" w:rsidRPr="00EE6FD2">
        <w:rPr>
          <w:rFonts w:asciiTheme="majorHAnsi" w:hAnsiTheme="majorHAnsi"/>
          <w:sz w:val="20"/>
          <w:szCs w:val="20"/>
        </w:rPr>
        <w:t>l</w:t>
      </w:r>
      <w:r w:rsidR="00791987" w:rsidRPr="00EE6FD2">
        <w:rPr>
          <w:rFonts w:asciiTheme="majorHAnsi" w:hAnsiTheme="majorHAnsi"/>
          <w:sz w:val="20"/>
          <w:szCs w:val="20"/>
        </w:rPr>
        <w:t>i</w:t>
      </w:r>
      <w:r w:rsidR="001E515E" w:rsidRPr="00EE6FD2">
        <w:rPr>
          <w:rFonts w:asciiTheme="majorHAnsi" w:hAnsiTheme="majorHAnsi"/>
          <w:sz w:val="20"/>
          <w:szCs w:val="20"/>
        </w:rPr>
        <w:t>mited</w:t>
      </w:r>
      <w:r w:rsidR="00980090" w:rsidRPr="00EE6FD2">
        <w:rPr>
          <w:rFonts w:asciiTheme="majorHAnsi" w:hAnsiTheme="majorHAnsi"/>
          <w:sz w:val="20"/>
          <w:szCs w:val="20"/>
        </w:rPr>
        <w:t xml:space="preserve"> </w:t>
      </w:r>
      <w:r w:rsidR="001E515E" w:rsidRPr="00EE6FD2">
        <w:rPr>
          <w:rFonts w:asciiTheme="majorHAnsi" w:hAnsiTheme="majorHAnsi"/>
          <w:sz w:val="20"/>
          <w:szCs w:val="20"/>
        </w:rPr>
        <w:t>to the</w:t>
      </w:r>
      <w:r w:rsidR="008D6DD0" w:rsidRPr="00EE6FD2">
        <w:rPr>
          <w:rFonts w:asciiTheme="majorHAnsi" w:hAnsiTheme="majorHAnsi"/>
          <w:sz w:val="20"/>
          <w:szCs w:val="20"/>
        </w:rPr>
        <w:t xml:space="preserve"> national territory of a State p</w:t>
      </w:r>
      <w:r w:rsidR="00980090" w:rsidRPr="00EE6FD2">
        <w:rPr>
          <w:rFonts w:asciiTheme="majorHAnsi" w:hAnsiTheme="majorHAnsi"/>
          <w:sz w:val="20"/>
          <w:szCs w:val="20"/>
        </w:rPr>
        <w:t xml:space="preserve">arty, </w:t>
      </w:r>
      <w:r w:rsidR="001E515E" w:rsidRPr="00EE6FD2">
        <w:rPr>
          <w:rFonts w:asciiTheme="majorHAnsi" w:hAnsiTheme="majorHAnsi"/>
          <w:sz w:val="20"/>
          <w:szCs w:val="20"/>
        </w:rPr>
        <w:t>as</w:t>
      </w:r>
      <w:r w:rsidR="00980090" w:rsidRPr="00EE6FD2">
        <w:rPr>
          <w:rFonts w:asciiTheme="majorHAnsi" w:hAnsiTheme="majorHAnsi"/>
          <w:sz w:val="20"/>
          <w:szCs w:val="20"/>
        </w:rPr>
        <w:t xml:space="preserve"> responsibility may arise for acts </w:t>
      </w:r>
      <w:r w:rsidR="001E515E" w:rsidRPr="00EE6FD2">
        <w:rPr>
          <w:rFonts w:asciiTheme="majorHAnsi" w:hAnsiTheme="majorHAnsi"/>
          <w:sz w:val="20"/>
          <w:szCs w:val="20"/>
        </w:rPr>
        <w:t xml:space="preserve">of its authorities which produce effects </w:t>
      </w:r>
      <w:r w:rsidR="00980090" w:rsidRPr="00EE6FD2">
        <w:rPr>
          <w:rFonts w:asciiTheme="majorHAnsi" w:hAnsiTheme="majorHAnsi"/>
          <w:sz w:val="20"/>
          <w:szCs w:val="20"/>
        </w:rPr>
        <w:t>outside its territory.</w:t>
      </w:r>
      <w:r w:rsidR="00980090" w:rsidRPr="00EE6FD2">
        <w:rPr>
          <w:rStyle w:val="FootnoteReference"/>
          <w:rFonts w:ascii="Cambria" w:hAnsi="Cambria"/>
          <w:sz w:val="20"/>
          <w:szCs w:val="20"/>
        </w:rPr>
        <w:footnoteReference w:id="37"/>
      </w:r>
      <w:r w:rsidR="00980090" w:rsidRPr="00EE6FD2">
        <w:rPr>
          <w:rStyle w:val="FootnoteReference"/>
          <w:rFonts w:ascii="Cambria" w:hAnsi="Cambria"/>
        </w:rPr>
        <w:t xml:space="preserve"> </w:t>
      </w:r>
      <w:r w:rsidR="00980090" w:rsidRPr="00EE6FD2">
        <w:rPr>
          <w:rFonts w:asciiTheme="majorHAnsi" w:hAnsiTheme="majorHAnsi"/>
          <w:sz w:val="20"/>
          <w:szCs w:val="20"/>
        </w:rPr>
        <w:t xml:space="preserve">The exercise of jurisdiction is a necessary condition </w:t>
      </w:r>
      <w:r w:rsidR="00791987" w:rsidRPr="00EE6FD2">
        <w:rPr>
          <w:rFonts w:asciiTheme="majorHAnsi" w:hAnsiTheme="majorHAnsi"/>
          <w:sz w:val="20"/>
          <w:szCs w:val="20"/>
        </w:rPr>
        <w:t>for holding a S</w:t>
      </w:r>
      <w:r w:rsidR="00980090" w:rsidRPr="00EE6FD2">
        <w:rPr>
          <w:rFonts w:asciiTheme="majorHAnsi" w:hAnsiTheme="majorHAnsi"/>
          <w:sz w:val="20"/>
          <w:szCs w:val="20"/>
        </w:rPr>
        <w:t xml:space="preserve">tate responsible for acts or omissions </w:t>
      </w:r>
      <w:r w:rsidR="00791987" w:rsidRPr="00EE6FD2">
        <w:rPr>
          <w:rFonts w:asciiTheme="majorHAnsi" w:hAnsiTheme="majorHAnsi"/>
          <w:sz w:val="20"/>
          <w:szCs w:val="20"/>
        </w:rPr>
        <w:t xml:space="preserve">attributable </w:t>
      </w:r>
      <w:r w:rsidR="00980090" w:rsidRPr="00EE6FD2">
        <w:rPr>
          <w:rFonts w:asciiTheme="majorHAnsi" w:hAnsiTheme="majorHAnsi"/>
          <w:sz w:val="20"/>
          <w:szCs w:val="20"/>
        </w:rPr>
        <w:t xml:space="preserve">to it </w:t>
      </w:r>
      <w:r w:rsidR="00791987" w:rsidRPr="00EE6FD2">
        <w:rPr>
          <w:rFonts w:asciiTheme="majorHAnsi" w:hAnsiTheme="majorHAnsi"/>
          <w:sz w:val="20"/>
          <w:szCs w:val="20"/>
        </w:rPr>
        <w:t>that result in an</w:t>
      </w:r>
      <w:r w:rsidR="00980090" w:rsidRPr="00EE6FD2">
        <w:rPr>
          <w:rFonts w:asciiTheme="majorHAnsi" w:hAnsiTheme="majorHAnsi"/>
          <w:sz w:val="20"/>
          <w:szCs w:val="20"/>
        </w:rPr>
        <w:t xml:space="preserve"> infringement of protected rights and </w:t>
      </w:r>
      <w:r w:rsidR="00791987" w:rsidRPr="00EE6FD2">
        <w:rPr>
          <w:rFonts w:asciiTheme="majorHAnsi" w:hAnsiTheme="majorHAnsi"/>
          <w:sz w:val="20"/>
          <w:szCs w:val="20"/>
        </w:rPr>
        <w:t>freedoms</w:t>
      </w:r>
      <w:r w:rsidR="00980090" w:rsidRPr="00EE6FD2">
        <w:rPr>
          <w:rFonts w:asciiTheme="majorHAnsi" w:hAnsiTheme="majorHAnsi"/>
          <w:sz w:val="20"/>
          <w:szCs w:val="20"/>
        </w:rPr>
        <w:t>.</w:t>
      </w:r>
      <w:r w:rsidR="00980090" w:rsidRPr="00EE6FD2">
        <w:rPr>
          <w:rStyle w:val="FootnoteReference"/>
          <w:rFonts w:ascii="Cambria" w:hAnsi="Cambria"/>
          <w:sz w:val="20"/>
          <w:szCs w:val="20"/>
        </w:rPr>
        <w:footnoteReference w:id="38"/>
      </w:r>
      <w:r w:rsidR="00CD4F3F" w:rsidRPr="00EE6FD2">
        <w:rPr>
          <w:rStyle w:val="FootnoteReference"/>
          <w:rFonts w:ascii="Cambria" w:hAnsi="Cambria"/>
          <w:sz w:val="20"/>
          <w:szCs w:val="20"/>
        </w:rPr>
        <w:t xml:space="preserve"> </w:t>
      </w:r>
      <w:r w:rsidR="00DF0C3D" w:rsidRPr="00EE6FD2">
        <w:rPr>
          <w:rFonts w:asciiTheme="majorHAnsi" w:hAnsiTheme="majorHAnsi"/>
          <w:sz w:val="20"/>
          <w:szCs w:val="20"/>
        </w:rPr>
        <w:t xml:space="preserve">Similarly, in its decision in Bankovic et al. v. Belgium, the European Court held that the meaning of the term "jurisdiction" derives from international law and is </w:t>
      </w:r>
      <w:r w:rsidR="004661E1" w:rsidRPr="00EE6FD2">
        <w:rPr>
          <w:rFonts w:asciiTheme="majorHAnsi" w:hAnsiTheme="majorHAnsi"/>
          <w:sz w:val="20"/>
          <w:szCs w:val="20"/>
        </w:rPr>
        <w:t>primarily</w:t>
      </w:r>
      <w:r w:rsidR="00DF0C3D" w:rsidRPr="00EE6FD2">
        <w:rPr>
          <w:rFonts w:asciiTheme="majorHAnsi" w:hAnsiTheme="majorHAnsi"/>
          <w:sz w:val="20"/>
          <w:szCs w:val="20"/>
        </w:rPr>
        <w:t>, but not exclusively territorial.</w:t>
      </w:r>
      <w:r w:rsidR="00DF0C3D" w:rsidRPr="00EE6FD2">
        <w:rPr>
          <w:rFonts w:ascii="Cambria" w:hAnsi="Cambria"/>
          <w:sz w:val="20"/>
          <w:szCs w:val="20"/>
          <w:vertAlign w:val="superscript"/>
        </w:rPr>
        <w:t xml:space="preserve"> </w:t>
      </w:r>
      <w:r w:rsidR="00DF0C3D" w:rsidRPr="00EE6FD2">
        <w:rPr>
          <w:rFonts w:ascii="Cambria" w:hAnsi="Cambria"/>
          <w:sz w:val="20"/>
          <w:szCs w:val="20"/>
          <w:vertAlign w:val="superscript"/>
        </w:rPr>
        <w:footnoteReference w:id="39"/>
      </w:r>
      <w:r w:rsidR="008210A7" w:rsidRPr="00EE6FD2">
        <w:rPr>
          <w:rFonts w:asciiTheme="majorHAnsi" w:hAnsiTheme="majorHAnsi"/>
          <w:sz w:val="20"/>
          <w:szCs w:val="20"/>
          <w:vertAlign w:val="superscript"/>
        </w:rPr>
        <w:t xml:space="preserve"> </w:t>
      </w:r>
      <w:r w:rsidRPr="00EE6FD2">
        <w:rPr>
          <w:rFonts w:asciiTheme="majorHAnsi" w:hAnsiTheme="majorHAnsi"/>
          <w:sz w:val="20"/>
          <w:szCs w:val="20"/>
        </w:rPr>
        <w:t>Subsequently, in the case of Issa and others v. Turkey, the Eu</w:t>
      </w:r>
      <w:r w:rsidR="008210A7" w:rsidRPr="00EE6FD2">
        <w:rPr>
          <w:rFonts w:asciiTheme="majorHAnsi" w:hAnsiTheme="majorHAnsi"/>
          <w:sz w:val="20"/>
          <w:szCs w:val="20"/>
        </w:rPr>
        <w:t>ropean Court reiterated that a S</w:t>
      </w:r>
      <w:r w:rsidRPr="00EE6FD2">
        <w:rPr>
          <w:rFonts w:asciiTheme="majorHAnsi" w:hAnsiTheme="majorHAnsi"/>
          <w:sz w:val="20"/>
          <w:szCs w:val="20"/>
        </w:rPr>
        <w:t>tate may be held accountable for the violation of rights and freedoms of persons who a</w:t>
      </w:r>
      <w:r w:rsidR="008210A7" w:rsidRPr="00EE6FD2">
        <w:rPr>
          <w:rFonts w:asciiTheme="majorHAnsi" w:hAnsiTheme="majorHAnsi"/>
          <w:sz w:val="20"/>
          <w:szCs w:val="20"/>
        </w:rPr>
        <w:t>re in the territory of another S</w:t>
      </w:r>
      <w:r w:rsidRPr="00EE6FD2">
        <w:rPr>
          <w:rFonts w:asciiTheme="majorHAnsi" w:hAnsiTheme="majorHAnsi"/>
          <w:sz w:val="20"/>
          <w:szCs w:val="20"/>
        </w:rPr>
        <w:t xml:space="preserve">tate, but who </w:t>
      </w:r>
      <w:r w:rsidR="008210A7" w:rsidRPr="00EE6FD2">
        <w:rPr>
          <w:rFonts w:asciiTheme="majorHAnsi" w:hAnsiTheme="majorHAnsi"/>
          <w:sz w:val="20"/>
          <w:szCs w:val="20"/>
        </w:rPr>
        <w:t xml:space="preserve">were </w:t>
      </w:r>
      <w:r w:rsidRPr="00EE6FD2">
        <w:rPr>
          <w:rFonts w:asciiTheme="majorHAnsi" w:hAnsiTheme="majorHAnsi"/>
          <w:sz w:val="20"/>
          <w:szCs w:val="20"/>
        </w:rPr>
        <w:t xml:space="preserve">under the control and authority of </w:t>
      </w:r>
      <w:r w:rsidR="008210A7" w:rsidRPr="00EE6FD2">
        <w:rPr>
          <w:rFonts w:asciiTheme="majorHAnsi" w:hAnsiTheme="majorHAnsi"/>
          <w:sz w:val="20"/>
          <w:szCs w:val="20"/>
        </w:rPr>
        <w:t>agents of the former S</w:t>
      </w:r>
      <w:r w:rsidRPr="00EE6FD2">
        <w:rPr>
          <w:rFonts w:asciiTheme="majorHAnsi" w:hAnsiTheme="majorHAnsi"/>
          <w:sz w:val="20"/>
          <w:szCs w:val="20"/>
        </w:rPr>
        <w:t>tate</w:t>
      </w:r>
      <w:r w:rsidR="008210A7" w:rsidRPr="00EE6FD2">
        <w:rPr>
          <w:rFonts w:asciiTheme="majorHAnsi" w:hAnsiTheme="majorHAnsi"/>
          <w:sz w:val="20"/>
          <w:szCs w:val="20"/>
        </w:rPr>
        <w:t xml:space="preserve"> who</w:t>
      </w:r>
      <w:r w:rsidRPr="00EE6FD2">
        <w:rPr>
          <w:rFonts w:asciiTheme="majorHAnsi" w:hAnsiTheme="majorHAnsi"/>
          <w:sz w:val="20"/>
          <w:szCs w:val="20"/>
        </w:rPr>
        <w:t xml:space="preserve"> operat</w:t>
      </w:r>
      <w:r w:rsidR="008210A7" w:rsidRPr="00EE6FD2">
        <w:rPr>
          <w:rFonts w:asciiTheme="majorHAnsi" w:hAnsiTheme="majorHAnsi"/>
          <w:sz w:val="20"/>
          <w:szCs w:val="20"/>
        </w:rPr>
        <w:t>ed</w:t>
      </w:r>
      <w:r w:rsidRPr="00EE6FD2">
        <w:rPr>
          <w:rFonts w:asciiTheme="majorHAnsi" w:hAnsiTheme="majorHAnsi"/>
          <w:sz w:val="20"/>
          <w:szCs w:val="20"/>
        </w:rPr>
        <w:t xml:space="preserve">, lawfully or unlawfully, in the </w:t>
      </w:r>
      <w:r w:rsidR="00265850" w:rsidRPr="00EE6FD2">
        <w:rPr>
          <w:rFonts w:asciiTheme="majorHAnsi" w:hAnsiTheme="majorHAnsi"/>
          <w:sz w:val="20"/>
          <w:szCs w:val="20"/>
        </w:rPr>
        <w:t xml:space="preserve">territory of the </w:t>
      </w:r>
      <w:r w:rsidRPr="00EE6FD2">
        <w:rPr>
          <w:rFonts w:asciiTheme="majorHAnsi" w:hAnsiTheme="majorHAnsi"/>
          <w:sz w:val="20"/>
          <w:szCs w:val="20"/>
        </w:rPr>
        <w:t>latter.</w:t>
      </w:r>
      <w:r w:rsidR="006C2FF6" w:rsidRPr="00EE6FD2">
        <w:rPr>
          <w:rStyle w:val="FootnoteReference"/>
          <w:rFonts w:asciiTheme="majorHAnsi" w:hAnsiTheme="majorHAnsi"/>
          <w:sz w:val="20"/>
          <w:szCs w:val="20"/>
        </w:rPr>
        <w:footnoteReference w:id="40"/>
      </w:r>
      <w:r w:rsidRPr="00EE6FD2">
        <w:rPr>
          <w:rFonts w:asciiTheme="majorHAnsi" w:hAnsiTheme="majorHAnsi"/>
          <w:sz w:val="20"/>
          <w:szCs w:val="20"/>
        </w:rPr>
        <w:t xml:space="preserve"> </w:t>
      </w:r>
    </w:p>
    <w:p w14:paraId="220C10CB" w14:textId="77777777" w:rsidR="008210A7" w:rsidRPr="00EE6FD2" w:rsidRDefault="008210A7" w:rsidP="008210A7">
      <w:pPr>
        <w:pStyle w:val="parrafos"/>
        <w:numPr>
          <w:ilvl w:val="0"/>
          <w:numId w:val="0"/>
        </w:numPr>
        <w:shd w:val="clear" w:color="auto" w:fill="FFFFFF"/>
      </w:pPr>
    </w:p>
    <w:p w14:paraId="43ED0E51" w14:textId="77777777" w:rsidR="00980090" w:rsidRPr="00EE6FD2" w:rsidRDefault="00F4551D" w:rsidP="00F4551D">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EE6FD2">
        <w:rPr>
          <w:rFonts w:ascii="Cambria" w:hAnsi="Cambria"/>
          <w:spacing w:val="-2"/>
          <w:sz w:val="20"/>
          <w:szCs w:val="20"/>
        </w:rPr>
        <w:t>According to t</w:t>
      </w:r>
      <w:r w:rsidR="00980090" w:rsidRPr="00EE6FD2">
        <w:rPr>
          <w:rFonts w:ascii="Cambria" w:hAnsi="Cambria"/>
          <w:spacing w:val="-2"/>
          <w:sz w:val="20"/>
          <w:szCs w:val="20"/>
        </w:rPr>
        <w:t>he International Court of Justice, while the jurisdiction of States is primarily territorial, it may sometimes be exercised outside the national territory and</w:t>
      </w:r>
      <w:r w:rsidRPr="00EE6FD2">
        <w:rPr>
          <w:rFonts w:ascii="Cambria" w:hAnsi="Cambria"/>
          <w:spacing w:val="-2"/>
          <w:sz w:val="20"/>
          <w:szCs w:val="20"/>
        </w:rPr>
        <w:t xml:space="preserve">, in those cases, State parties to the International Covenant on Civil and Political Rights </w:t>
      </w:r>
      <w:r w:rsidR="00980090" w:rsidRPr="00EE6FD2">
        <w:rPr>
          <w:rFonts w:ascii="Cambria" w:hAnsi="Cambria"/>
          <w:spacing w:val="-2"/>
          <w:sz w:val="20"/>
          <w:szCs w:val="20"/>
        </w:rPr>
        <w:t>should be bound to comply with its provisions.</w:t>
      </w:r>
      <w:r w:rsidR="00980090" w:rsidRPr="00EE6FD2">
        <w:rPr>
          <w:rStyle w:val="FootnoteReference"/>
          <w:rFonts w:ascii="Cambria" w:hAnsi="Cambria"/>
          <w:sz w:val="20"/>
          <w:szCs w:val="20"/>
          <w:lang w:eastAsia="es-ES_tradnl" w:bidi="x-none"/>
        </w:rPr>
        <w:footnoteReference w:id="41"/>
      </w:r>
      <w:r w:rsidR="00980090" w:rsidRPr="00EE6FD2">
        <w:rPr>
          <w:rFonts w:ascii="Cambria" w:hAnsi="Cambria"/>
          <w:sz w:val="20"/>
          <w:szCs w:val="20"/>
          <w:lang w:eastAsia="es-ES_tradnl" w:bidi="x-none"/>
        </w:rPr>
        <w:t xml:space="preserve"> </w:t>
      </w:r>
      <w:r w:rsidRPr="00EE6FD2">
        <w:rPr>
          <w:rFonts w:ascii="Cambria" w:hAnsi="Cambria"/>
          <w:sz w:val="20"/>
          <w:szCs w:val="20"/>
          <w:lang w:eastAsia="es-ES_tradnl" w:bidi="x-none"/>
        </w:rPr>
        <w:t>T</w:t>
      </w:r>
      <w:r w:rsidR="00980090" w:rsidRPr="00EE6FD2">
        <w:rPr>
          <w:rFonts w:ascii="Cambria" w:hAnsi="Cambria"/>
          <w:sz w:val="20"/>
          <w:szCs w:val="20"/>
          <w:lang w:eastAsia="es-ES_tradnl" w:bidi="x-none"/>
        </w:rPr>
        <w:t xml:space="preserve">he Human Rights </w:t>
      </w:r>
      <w:r w:rsidR="00980090" w:rsidRPr="00EE6FD2">
        <w:rPr>
          <w:rFonts w:ascii="Cambria" w:hAnsi="Cambria"/>
          <w:sz w:val="20"/>
          <w:szCs w:val="20"/>
          <w:lang w:eastAsia="es-ES_tradnl" w:bidi="x-none"/>
        </w:rPr>
        <w:lastRenderedPageBreak/>
        <w:t>Committee</w:t>
      </w:r>
      <w:r w:rsidRPr="00EE6FD2">
        <w:rPr>
          <w:rFonts w:ascii="Cambria" w:hAnsi="Cambria"/>
          <w:sz w:val="20"/>
          <w:szCs w:val="20"/>
          <w:lang w:eastAsia="es-ES_tradnl" w:bidi="x-none"/>
        </w:rPr>
        <w:t xml:space="preserve"> has also </w:t>
      </w:r>
      <w:r w:rsidR="00980090" w:rsidRPr="00EE6FD2">
        <w:rPr>
          <w:rFonts w:ascii="Cambria" w:hAnsi="Cambria"/>
          <w:sz w:val="20"/>
          <w:szCs w:val="20"/>
        </w:rPr>
        <w:t>deemed the Covenant’s extraterritorial application admissible on the basis of the requirement of authority or control.</w:t>
      </w:r>
      <w:r w:rsidR="00980090" w:rsidRPr="00EE6FD2">
        <w:rPr>
          <w:rStyle w:val="FootnoteReference"/>
          <w:rFonts w:ascii="Cambria" w:hAnsi="Cambria"/>
          <w:sz w:val="20"/>
          <w:szCs w:val="20"/>
        </w:rPr>
        <w:footnoteReference w:id="42"/>
      </w:r>
    </w:p>
    <w:p w14:paraId="784B19B5" w14:textId="77777777" w:rsidR="00BE331E" w:rsidRPr="00EE6FD2" w:rsidRDefault="00BE331E" w:rsidP="00D321AE">
      <w:pPr>
        <w:pStyle w:val="NormalWeb"/>
        <w:shd w:val="clear" w:color="auto" w:fill="FFFFFF"/>
        <w:tabs>
          <w:tab w:val="left" w:pos="360"/>
        </w:tabs>
        <w:spacing w:before="0" w:beforeAutospacing="0" w:after="0" w:afterAutospacing="0"/>
        <w:ind w:left="360" w:hanging="360"/>
        <w:jc w:val="both"/>
        <w:rPr>
          <w:rFonts w:asciiTheme="majorHAnsi" w:hAnsiTheme="majorHAnsi"/>
          <w:b/>
          <w:sz w:val="20"/>
        </w:rPr>
      </w:pPr>
    </w:p>
    <w:p w14:paraId="74261E40" w14:textId="77777777" w:rsidR="00842818" w:rsidRPr="00EE6FD2" w:rsidRDefault="00AC18DB" w:rsidP="00AC18DB">
      <w:pPr>
        <w:pStyle w:val="Heading2"/>
        <w:tabs>
          <w:tab w:val="left" w:pos="360"/>
        </w:tabs>
        <w:spacing w:before="0"/>
        <w:rPr>
          <w:color w:val="auto"/>
          <w:sz w:val="20"/>
          <w:szCs w:val="20"/>
        </w:rPr>
      </w:pPr>
      <w:bookmarkStart w:id="27" w:name="_Toc41343333"/>
      <w:r w:rsidRPr="00EE6FD2">
        <w:rPr>
          <w:color w:val="auto"/>
          <w:sz w:val="20"/>
          <w:szCs w:val="20"/>
        </w:rPr>
        <w:t>C.</w:t>
      </w:r>
      <w:r w:rsidRPr="00EE6FD2">
        <w:rPr>
          <w:color w:val="auto"/>
          <w:sz w:val="20"/>
          <w:szCs w:val="20"/>
        </w:rPr>
        <w:tab/>
      </w:r>
      <w:r w:rsidR="00842818" w:rsidRPr="00EE6FD2">
        <w:rPr>
          <w:color w:val="auto"/>
          <w:sz w:val="20"/>
          <w:szCs w:val="20"/>
        </w:rPr>
        <w:t>Right of protection from arbitrary arrest</w:t>
      </w:r>
      <w:r w:rsidR="00842818" w:rsidRPr="00EE6FD2">
        <w:rPr>
          <w:rStyle w:val="FootnoteReference"/>
          <w:rFonts w:ascii="Cambria" w:eastAsia="Arial Unicode MS" w:hAnsi="Cambria"/>
          <w:bCs w:val="0"/>
          <w:color w:val="auto"/>
          <w:sz w:val="18"/>
          <w:szCs w:val="18"/>
        </w:rPr>
        <w:footnoteReference w:id="43"/>
      </w:r>
      <w:r w:rsidR="00842818" w:rsidRPr="00EE6FD2">
        <w:rPr>
          <w:color w:val="auto"/>
          <w:sz w:val="20"/>
          <w:szCs w:val="20"/>
        </w:rPr>
        <w:t xml:space="preserve"> of the American Declaration</w:t>
      </w:r>
      <w:bookmarkEnd w:id="27"/>
    </w:p>
    <w:p w14:paraId="756373DC" w14:textId="77777777" w:rsidR="00842818" w:rsidRPr="00EE6FD2" w:rsidRDefault="00842818" w:rsidP="00842818">
      <w:pPr>
        <w:pStyle w:val="NormalWeb"/>
        <w:shd w:val="clear" w:color="auto" w:fill="FFFFFF"/>
        <w:tabs>
          <w:tab w:val="left" w:pos="360"/>
        </w:tabs>
        <w:spacing w:before="0" w:beforeAutospacing="0" w:after="0" w:afterAutospacing="0"/>
        <w:ind w:left="360" w:hanging="360"/>
        <w:jc w:val="both"/>
        <w:rPr>
          <w:rFonts w:asciiTheme="majorHAnsi" w:hAnsiTheme="majorHAnsi"/>
          <w:b/>
          <w:sz w:val="20"/>
        </w:rPr>
      </w:pPr>
    </w:p>
    <w:p w14:paraId="0360AD72" w14:textId="77777777" w:rsidR="00842818" w:rsidRPr="00EE6FD2" w:rsidRDefault="00842818" w:rsidP="00624C78">
      <w:pPr>
        <w:pStyle w:val="Heading2"/>
        <w:numPr>
          <w:ilvl w:val="0"/>
          <w:numId w:val="64"/>
        </w:numPr>
        <w:tabs>
          <w:tab w:val="left" w:pos="360"/>
        </w:tabs>
        <w:spacing w:before="0"/>
        <w:ind w:left="360"/>
        <w:rPr>
          <w:color w:val="auto"/>
          <w:sz w:val="20"/>
          <w:szCs w:val="20"/>
        </w:rPr>
      </w:pPr>
      <w:bookmarkStart w:id="28" w:name="_Toc41343334"/>
      <w:r w:rsidRPr="00EE6FD2">
        <w:rPr>
          <w:color w:val="auto"/>
          <w:sz w:val="20"/>
          <w:szCs w:val="20"/>
        </w:rPr>
        <w:t xml:space="preserve">General considerations regarding </w:t>
      </w:r>
      <w:r w:rsidR="003049F8" w:rsidRPr="00EE6FD2">
        <w:rPr>
          <w:color w:val="auto"/>
          <w:sz w:val="20"/>
          <w:szCs w:val="20"/>
        </w:rPr>
        <w:t xml:space="preserve">the protection from illegal and arbitrary </w:t>
      </w:r>
      <w:r w:rsidR="00DB11DC" w:rsidRPr="00EE6FD2">
        <w:rPr>
          <w:color w:val="auto"/>
          <w:sz w:val="20"/>
          <w:szCs w:val="20"/>
        </w:rPr>
        <w:t>arrest</w:t>
      </w:r>
      <w:bookmarkEnd w:id="28"/>
    </w:p>
    <w:p w14:paraId="2EEA9EE5" w14:textId="77777777" w:rsidR="00842818" w:rsidRPr="00EE6FD2" w:rsidRDefault="00842818" w:rsidP="00842818">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79DE7EAB" w14:textId="77777777" w:rsidR="00842818" w:rsidRPr="00EE6FD2" w:rsidRDefault="00842818" w:rsidP="00842818">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Article XXV of the American Declaration provides for guarantees aimed at protecting persons from unlawful or arbitrary interference with their liberty by the State. The IACHR has established in this regard that, “[a]mong the protections guaranteed are the requirements that any deprivation of liberty be carried out in accordance with pre-established law, that a detainee be informed of the reasons for the detention and promptly notified of any charges against them, that any person deprived of liberty is entitled to juridical recourse, to obtain, without delay, a determination of the legality of the detention, and that the person be tried within a reasonable time or released pending the continuation of proceedings.”</w:t>
      </w:r>
      <w:r w:rsidRPr="00EE6FD2">
        <w:rPr>
          <w:rStyle w:val="FootnoteReference"/>
          <w:rFonts w:ascii="Cambria" w:eastAsia="Arial Unicode MS" w:hAnsi="Cambria"/>
          <w:sz w:val="18"/>
          <w:szCs w:val="18"/>
          <w:bdr w:val="nil"/>
        </w:rPr>
        <w:footnoteReference w:id="44"/>
      </w:r>
    </w:p>
    <w:p w14:paraId="67AE7143" w14:textId="77777777" w:rsidR="00842818" w:rsidRPr="00EE6FD2" w:rsidRDefault="00842818" w:rsidP="00842818">
      <w:pPr>
        <w:pStyle w:val="NormalWeb"/>
        <w:shd w:val="clear" w:color="auto" w:fill="FFFFFF"/>
        <w:tabs>
          <w:tab w:val="left" w:pos="360"/>
        </w:tabs>
        <w:spacing w:before="0" w:beforeAutospacing="0" w:after="0" w:afterAutospacing="0"/>
        <w:jc w:val="both"/>
        <w:rPr>
          <w:rFonts w:asciiTheme="majorHAnsi" w:hAnsiTheme="majorHAnsi"/>
          <w:sz w:val="20"/>
        </w:rPr>
      </w:pPr>
    </w:p>
    <w:p w14:paraId="2A3BFD05" w14:textId="77777777" w:rsidR="00782E30" w:rsidRPr="00EE6FD2" w:rsidRDefault="00842818" w:rsidP="00842818">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According to inter-American human rights standards, no one shall be subject</w:t>
      </w:r>
      <w:r w:rsidR="006569E8" w:rsidRPr="00EE6FD2">
        <w:rPr>
          <w:rFonts w:asciiTheme="majorHAnsi" w:hAnsiTheme="majorHAnsi"/>
          <w:sz w:val="20"/>
        </w:rPr>
        <w:t>ed</w:t>
      </w:r>
      <w:r w:rsidRPr="00EE6FD2">
        <w:rPr>
          <w:rFonts w:asciiTheme="majorHAnsi" w:hAnsiTheme="majorHAnsi"/>
          <w:sz w:val="20"/>
        </w:rPr>
        <w:t xml:space="preserve"> to arrest or imprisonment for </w:t>
      </w:r>
      <w:r w:rsidR="006569E8" w:rsidRPr="00EE6FD2">
        <w:rPr>
          <w:rFonts w:asciiTheme="majorHAnsi" w:hAnsiTheme="majorHAnsi"/>
          <w:sz w:val="20"/>
        </w:rPr>
        <w:t>reasons</w:t>
      </w:r>
      <w:r w:rsidRPr="00EE6FD2">
        <w:rPr>
          <w:rFonts w:asciiTheme="majorHAnsi" w:hAnsiTheme="majorHAnsi"/>
          <w:sz w:val="20"/>
        </w:rPr>
        <w:t xml:space="preserve"> or </w:t>
      </w:r>
      <w:r w:rsidR="000C1446" w:rsidRPr="00EE6FD2">
        <w:rPr>
          <w:rFonts w:asciiTheme="majorHAnsi" w:hAnsiTheme="majorHAnsi"/>
          <w:sz w:val="20"/>
        </w:rPr>
        <w:t xml:space="preserve"> by </w:t>
      </w:r>
      <w:r w:rsidRPr="00EE6FD2">
        <w:rPr>
          <w:rFonts w:asciiTheme="majorHAnsi" w:hAnsiTheme="majorHAnsi"/>
          <w:sz w:val="20"/>
        </w:rPr>
        <w:t xml:space="preserve">methods that – although </w:t>
      </w:r>
      <w:r w:rsidR="006569E8" w:rsidRPr="00EE6FD2">
        <w:rPr>
          <w:rFonts w:asciiTheme="majorHAnsi" w:hAnsiTheme="majorHAnsi"/>
          <w:sz w:val="20"/>
        </w:rPr>
        <w:t>classified</w:t>
      </w:r>
      <w:r w:rsidRPr="00EE6FD2">
        <w:rPr>
          <w:rFonts w:asciiTheme="majorHAnsi" w:hAnsiTheme="majorHAnsi"/>
          <w:sz w:val="20"/>
        </w:rPr>
        <w:t xml:space="preserve"> as legal – may be incompatible with the fundamental rights of the individual because they are, </w:t>
      </w:r>
      <w:r w:rsidR="006569E8" w:rsidRPr="00EE6FD2">
        <w:rPr>
          <w:rFonts w:asciiTheme="majorHAnsi" w:hAnsiTheme="majorHAnsi"/>
          <w:i/>
          <w:sz w:val="20"/>
        </w:rPr>
        <w:t>inter alia</w:t>
      </w:r>
      <w:r w:rsidRPr="00EE6FD2">
        <w:rPr>
          <w:rFonts w:asciiTheme="majorHAnsi" w:hAnsiTheme="majorHAnsi"/>
          <w:sz w:val="20"/>
        </w:rPr>
        <w:t>, unreasonable, un</w:t>
      </w:r>
      <w:r w:rsidR="006569E8" w:rsidRPr="00EE6FD2">
        <w:rPr>
          <w:rFonts w:asciiTheme="majorHAnsi" w:hAnsiTheme="majorHAnsi"/>
          <w:sz w:val="20"/>
        </w:rPr>
        <w:t>predictable</w:t>
      </w:r>
      <w:r w:rsidRPr="00EE6FD2">
        <w:rPr>
          <w:rFonts w:asciiTheme="majorHAnsi" w:hAnsiTheme="majorHAnsi"/>
          <w:sz w:val="20"/>
        </w:rPr>
        <w:t xml:space="preserve"> or </w:t>
      </w:r>
      <w:r w:rsidR="006569E8" w:rsidRPr="00EE6FD2">
        <w:rPr>
          <w:rFonts w:asciiTheme="majorHAnsi" w:hAnsiTheme="majorHAnsi"/>
          <w:sz w:val="20"/>
        </w:rPr>
        <w:t>disproportionate</w:t>
      </w:r>
      <w:r w:rsidRPr="00EE6FD2">
        <w:rPr>
          <w:rFonts w:asciiTheme="majorHAnsi" w:hAnsiTheme="majorHAnsi"/>
          <w:sz w:val="20"/>
        </w:rPr>
        <w:t>.</w:t>
      </w:r>
      <w:r w:rsidRPr="00EE6FD2">
        <w:rPr>
          <w:rStyle w:val="FootnoteReference"/>
          <w:rFonts w:ascii="Cambria" w:eastAsia="Arial Unicode MS" w:hAnsi="Cambria"/>
          <w:sz w:val="18"/>
          <w:szCs w:val="18"/>
          <w:bdr w:val="nil"/>
        </w:rPr>
        <w:footnoteReference w:id="45"/>
      </w:r>
      <w:r w:rsidR="009747A8" w:rsidRPr="00EE6FD2">
        <w:rPr>
          <w:rFonts w:asciiTheme="majorHAnsi" w:hAnsiTheme="majorHAnsi"/>
          <w:sz w:val="20"/>
        </w:rPr>
        <w:t xml:space="preserve"> </w:t>
      </w:r>
      <w:r w:rsidRPr="00EE6FD2">
        <w:rPr>
          <w:rFonts w:asciiTheme="majorHAnsi" w:hAnsiTheme="majorHAnsi"/>
          <w:sz w:val="20"/>
        </w:rPr>
        <w:t>Further, according to the United Nations Body of Principles for the Protection of All Persons under Any Form of Detention or Imprisonment “any form of detention or imprisonment and all measures affecting the human rights of a person under any form of detention or imprisonment shall be ordered by, or be subject to the effective control of, a judicial or other authority.”</w:t>
      </w:r>
      <w:r w:rsidRPr="00EE6FD2">
        <w:rPr>
          <w:rStyle w:val="FootnoteReference"/>
          <w:rFonts w:ascii="Cambria" w:eastAsia="Arial Unicode MS" w:hAnsi="Cambria"/>
          <w:sz w:val="18"/>
          <w:szCs w:val="18"/>
          <w:bdr w:val="nil"/>
        </w:rPr>
        <w:footnoteReference w:id="46"/>
      </w:r>
    </w:p>
    <w:p w14:paraId="5A666EF3" w14:textId="77777777" w:rsidR="000F7A2F" w:rsidRPr="00EE6FD2" w:rsidRDefault="000F7A2F" w:rsidP="000F7A2F">
      <w:pPr>
        <w:pStyle w:val="ListParagraph"/>
        <w:rPr>
          <w:rFonts w:asciiTheme="majorHAnsi" w:hAnsiTheme="majorHAnsi"/>
          <w:sz w:val="20"/>
        </w:rPr>
      </w:pPr>
    </w:p>
    <w:p w14:paraId="26BB3AB8" w14:textId="77777777" w:rsidR="00B549BC" w:rsidRPr="00EE6FD2" w:rsidRDefault="00097730" w:rsidP="00F00BA7">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According to the IACHR,</w:t>
      </w:r>
      <w:r w:rsidR="006B06A5" w:rsidRPr="00EE6FD2">
        <w:rPr>
          <w:rFonts w:asciiTheme="majorHAnsi" w:hAnsiTheme="majorHAnsi"/>
          <w:sz w:val="20"/>
        </w:rPr>
        <w:t xml:space="preserve"> the analysis of the compatibility of the deprivation of liberty with the </w:t>
      </w:r>
      <w:r w:rsidR="00462B76" w:rsidRPr="00EE6FD2">
        <w:rPr>
          <w:rFonts w:asciiTheme="majorHAnsi" w:hAnsiTheme="majorHAnsi"/>
          <w:sz w:val="20"/>
        </w:rPr>
        <w:t xml:space="preserve">prohibition of illegal and arbitrary </w:t>
      </w:r>
      <w:r w:rsidRPr="00EE6FD2">
        <w:rPr>
          <w:rFonts w:asciiTheme="majorHAnsi" w:hAnsiTheme="majorHAnsi"/>
          <w:sz w:val="20"/>
        </w:rPr>
        <w:t>detention</w:t>
      </w:r>
      <w:r w:rsidR="006B06A5" w:rsidRPr="00EE6FD2">
        <w:rPr>
          <w:rFonts w:asciiTheme="majorHAnsi" w:hAnsiTheme="majorHAnsi"/>
          <w:sz w:val="20"/>
        </w:rPr>
        <w:t xml:space="preserve"> should be do</w:t>
      </w:r>
      <w:r w:rsidR="00462B76" w:rsidRPr="00EE6FD2">
        <w:rPr>
          <w:rFonts w:asciiTheme="majorHAnsi" w:hAnsiTheme="majorHAnsi"/>
          <w:sz w:val="20"/>
        </w:rPr>
        <w:t>ne in three phases</w:t>
      </w:r>
      <w:r w:rsidR="00230CA9" w:rsidRPr="00EE6FD2">
        <w:rPr>
          <w:rFonts w:asciiTheme="majorHAnsi" w:hAnsiTheme="majorHAnsi"/>
          <w:sz w:val="20"/>
        </w:rPr>
        <w:t>.</w:t>
      </w:r>
      <w:r w:rsidR="000F7A2F" w:rsidRPr="00EE6FD2">
        <w:rPr>
          <w:rFonts w:asciiTheme="majorHAnsi" w:hAnsiTheme="majorHAnsi"/>
          <w:sz w:val="20"/>
        </w:rPr>
        <w:t xml:space="preserve"> </w:t>
      </w:r>
      <w:r w:rsidR="006B06A5" w:rsidRPr="00EE6FD2">
        <w:rPr>
          <w:rFonts w:asciiTheme="majorHAnsi" w:hAnsiTheme="majorHAnsi"/>
          <w:sz w:val="20"/>
        </w:rPr>
        <w:t>The first consists of determining the legality of the detention from a material and formal standpoint. To do so, it must be determined whether th</w:t>
      </w:r>
      <w:r w:rsidR="000F7A2F" w:rsidRPr="00EE6FD2">
        <w:rPr>
          <w:rFonts w:asciiTheme="majorHAnsi" w:hAnsiTheme="majorHAnsi"/>
          <w:sz w:val="20"/>
        </w:rPr>
        <w:t>e</w:t>
      </w:r>
      <w:r w:rsidR="006B06A5" w:rsidRPr="00EE6FD2">
        <w:rPr>
          <w:rFonts w:asciiTheme="majorHAnsi" w:hAnsiTheme="majorHAnsi"/>
          <w:sz w:val="20"/>
        </w:rPr>
        <w:t xml:space="preserve"> action is compatible with the domestic legislation of the State in question. The second step involves the analysis of these domestic provisions within the context of the guarantees established by </w:t>
      </w:r>
      <w:r w:rsidR="004A792A" w:rsidRPr="00EE6FD2">
        <w:rPr>
          <w:rFonts w:asciiTheme="majorHAnsi" w:hAnsiTheme="majorHAnsi"/>
          <w:sz w:val="20"/>
        </w:rPr>
        <w:t>inter-American human rights instruments</w:t>
      </w:r>
      <w:r w:rsidR="006B06A5" w:rsidRPr="00EE6FD2">
        <w:rPr>
          <w:rFonts w:asciiTheme="majorHAnsi" w:hAnsiTheme="majorHAnsi"/>
          <w:sz w:val="20"/>
        </w:rPr>
        <w:t xml:space="preserve">, in order to determine whether they are arbitrary. Finally, </w:t>
      </w:r>
      <w:r w:rsidR="00A11513" w:rsidRPr="00EE6FD2">
        <w:rPr>
          <w:rFonts w:asciiTheme="majorHAnsi" w:hAnsiTheme="majorHAnsi"/>
          <w:sz w:val="20"/>
        </w:rPr>
        <w:t xml:space="preserve">even </w:t>
      </w:r>
      <w:r w:rsidR="006B06A5" w:rsidRPr="00EE6FD2">
        <w:rPr>
          <w:rFonts w:asciiTheme="majorHAnsi" w:hAnsiTheme="majorHAnsi"/>
          <w:sz w:val="20"/>
        </w:rPr>
        <w:t xml:space="preserve">if the detention meets the requirements of a domestic legal provision that is compatible with </w:t>
      </w:r>
      <w:r w:rsidR="004A792A" w:rsidRPr="00EE6FD2">
        <w:rPr>
          <w:rFonts w:asciiTheme="majorHAnsi" w:hAnsiTheme="majorHAnsi"/>
          <w:sz w:val="20"/>
        </w:rPr>
        <w:t>said instruments</w:t>
      </w:r>
      <w:r w:rsidR="006B06A5" w:rsidRPr="00EE6FD2">
        <w:rPr>
          <w:rFonts w:asciiTheme="majorHAnsi" w:hAnsiTheme="majorHAnsi"/>
          <w:sz w:val="20"/>
        </w:rPr>
        <w:t>, it should be determined whether the application of th</w:t>
      </w:r>
      <w:r w:rsidR="004A792A" w:rsidRPr="00EE6FD2">
        <w:rPr>
          <w:rFonts w:asciiTheme="majorHAnsi" w:hAnsiTheme="majorHAnsi"/>
          <w:sz w:val="20"/>
        </w:rPr>
        <w:t>e</w:t>
      </w:r>
      <w:r w:rsidR="006B06A5" w:rsidRPr="00EE6FD2">
        <w:rPr>
          <w:rFonts w:asciiTheme="majorHAnsi" w:hAnsiTheme="majorHAnsi"/>
          <w:sz w:val="20"/>
        </w:rPr>
        <w:t xml:space="preserve"> law in th</w:t>
      </w:r>
      <w:r w:rsidR="004A792A" w:rsidRPr="00EE6FD2">
        <w:rPr>
          <w:rFonts w:asciiTheme="majorHAnsi" w:hAnsiTheme="majorHAnsi"/>
          <w:sz w:val="20"/>
        </w:rPr>
        <w:t>e</w:t>
      </w:r>
      <w:r w:rsidR="006B06A5" w:rsidRPr="00EE6FD2">
        <w:rPr>
          <w:rFonts w:asciiTheme="majorHAnsi" w:hAnsiTheme="majorHAnsi"/>
          <w:sz w:val="20"/>
        </w:rPr>
        <w:t xml:space="preserve"> specific case was arbitrary</w:t>
      </w:r>
      <w:r w:rsidR="004240A2" w:rsidRPr="00EE6FD2">
        <w:rPr>
          <w:rFonts w:asciiTheme="majorHAnsi" w:hAnsiTheme="majorHAnsi"/>
          <w:sz w:val="20"/>
        </w:rPr>
        <w:t>.</w:t>
      </w:r>
      <w:r w:rsidR="004240A2" w:rsidRPr="00EE6FD2">
        <w:rPr>
          <w:rStyle w:val="FootnoteReference"/>
          <w:rFonts w:asciiTheme="majorHAnsi" w:hAnsiTheme="majorHAnsi"/>
          <w:sz w:val="20"/>
        </w:rPr>
        <w:footnoteReference w:id="47"/>
      </w:r>
    </w:p>
    <w:p w14:paraId="77C86188" w14:textId="77777777" w:rsidR="006B06A5" w:rsidRPr="00EE6FD2" w:rsidRDefault="006B06A5" w:rsidP="00842818">
      <w:pPr>
        <w:pStyle w:val="ListParagraph"/>
        <w:tabs>
          <w:tab w:val="left" w:pos="360"/>
        </w:tabs>
        <w:ind w:left="0"/>
        <w:jc w:val="both"/>
        <w:rPr>
          <w:rFonts w:asciiTheme="majorHAnsi" w:eastAsia="Times New Roman" w:hAnsiTheme="majorHAnsi" w:cs="Times New Roman"/>
          <w:color w:val="auto"/>
          <w:sz w:val="20"/>
          <w:bdr w:val="none" w:sz="0" w:space="0" w:color="auto"/>
          <w:lang w:eastAsia="en-US"/>
        </w:rPr>
      </w:pPr>
    </w:p>
    <w:p w14:paraId="5D52A38D" w14:textId="77777777" w:rsidR="00842818" w:rsidRPr="00EE6FD2" w:rsidRDefault="00842818" w:rsidP="00624C78">
      <w:pPr>
        <w:pStyle w:val="Heading2"/>
        <w:numPr>
          <w:ilvl w:val="0"/>
          <w:numId w:val="64"/>
        </w:numPr>
        <w:tabs>
          <w:tab w:val="left" w:pos="360"/>
        </w:tabs>
        <w:spacing w:before="0"/>
        <w:ind w:left="360"/>
        <w:rPr>
          <w:color w:val="auto"/>
          <w:sz w:val="20"/>
          <w:szCs w:val="20"/>
        </w:rPr>
      </w:pPr>
      <w:bookmarkStart w:id="29" w:name="_Toc41343335"/>
      <w:r w:rsidRPr="00EE6FD2">
        <w:rPr>
          <w:color w:val="auto"/>
          <w:sz w:val="20"/>
          <w:szCs w:val="20"/>
        </w:rPr>
        <w:t>Analysis of the case</w:t>
      </w:r>
      <w:bookmarkEnd w:id="29"/>
    </w:p>
    <w:p w14:paraId="46594FE2" w14:textId="77777777" w:rsidR="009458ED" w:rsidRPr="00EE6FD2" w:rsidRDefault="009458ED" w:rsidP="009458ED">
      <w:pPr>
        <w:pStyle w:val="ListParagraph"/>
        <w:tabs>
          <w:tab w:val="left" w:pos="360"/>
        </w:tabs>
        <w:ind w:left="0"/>
        <w:jc w:val="both"/>
        <w:rPr>
          <w:rFonts w:asciiTheme="majorHAnsi" w:hAnsiTheme="majorHAnsi"/>
          <w:b/>
          <w:color w:val="auto"/>
          <w:sz w:val="20"/>
          <w:szCs w:val="20"/>
          <w:lang w:val="es-ES"/>
        </w:rPr>
      </w:pPr>
    </w:p>
    <w:p w14:paraId="6B5A6E03" w14:textId="77777777" w:rsidR="00F00BA7" w:rsidRPr="00EE6FD2" w:rsidRDefault="00F00BA7" w:rsidP="009458ED">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The Commission</w:t>
      </w:r>
      <w:r w:rsidR="00411DD4" w:rsidRPr="00EE6FD2">
        <w:rPr>
          <w:rFonts w:asciiTheme="majorHAnsi" w:hAnsiTheme="majorHAnsi"/>
          <w:sz w:val="20"/>
        </w:rPr>
        <w:t xml:space="preserve"> will now examine if Mr. Serrano’s </w:t>
      </w:r>
      <w:r w:rsidR="00DB11DC" w:rsidRPr="00EE6FD2">
        <w:rPr>
          <w:rFonts w:asciiTheme="majorHAnsi" w:hAnsiTheme="majorHAnsi"/>
          <w:sz w:val="20"/>
        </w:rPr>
        <w:t>arrest</w:t>
      </w:r>
      <w:r w:rsidR="00411DD4" w:rsidRPr="00EE6FD2">
        <w:rPr>
          <w:rFonts w:asciiTheme="majorHAnsi" w:hAnsiTheme="majorHAnsi"/>
          <w:sz w:val="20"/>
        </w:rPr>
        <w:t xml:space="preserve"> was compatible with the prohibition of illegal and arbitrary detention and the extent to which </w:t>
      </w:r>
      <w:r w:rsidR="00F05227" w:rsidRPr="00EE6FD2">
        <w:rPr>
          <w:rFonts w:asciiTheme="majorHAnsi" w:hAnsiTheme="majorHAnsi"/>
          <w:sz w:val="20"/>
        </w:rPr>
        <w:t xml:space="preserve">there was participation of </w:t>
      </w:r>
      <w:r w:rsidR="00411DD4" w:rsidRPr="00EE6FD2">
        <w:rPr>
          <w:rFonts w:asciiTheme="majorHAnsi" w:hAnsiTheme="majorHAnsi"/>
          <w:sz w:val="20"/>
        </w:rPr>
        <w:t>U.S. agents</w:t>
      </w:r>
      <w:r w:rsidR="009E3743" w:rsidRPr="00EE6FD2">
        <w:rPr>
          <w:rFonts w:asciiTheme="majorHAnsi" w:hAnsiTheme="majorHAnsi"/>
          <w:sz w:val="20"/>
        </w:rPr>
        <w:t xml:space="preserve"> in their official capacity.</w:t>
      </w:r>
      <w:r w:rsidR="00F05227" w:rsidRPr="00EE6FD2">
        <w:rPr>
          <w:rFonts w:asciiTheme="majorHAnsi" w:hAnsiTheme="majorHAnsi"/>
          <w:sz w:val="20"/>
        </w:rPr>
        <w:t xml:space="preserve"> </w:t>
      </w:r>
    </w:p>
    <w:p w14:paraId="073B4BED" w14:textId="77777777" w:rsidR="002532E1" w:rsidRPr="00EE6FD2" w:rsidRDefault="002532E1" w:rsidP="002532E1">
      <w:pPr>
        <w:pStyle w:val="NormalWeb"/>
        <w:shd w:val="clear" w:color="auto" w:fill="FFFFFF"/>
        <w:tabs>
          <w:tab w:val="left" w:pos="360"/>
        </w:tabs>
        <w:spacing w:before="0" w:beforeAutospacing="0" w:after="0" w:afterAutospacing="0"/>
        <w:jc w:val="both"/>
        <w:rPr>
          <w:rFonts w:asciiTheme="majorHAnsi" w:hAnsiTheme="majorHAnsi"/>
          <w:sz w:val="20"/>
        </w:rPr>
      </w:pPr>
    </w:p>
    <w:p w14:paraId="08DC66B1" w14:textId="77777777" w:rsidR="002532E1" w:rsidRPr="00EE6FD2" w:rsidRDefault="002532E1" w:rsidP="009458ED">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 xml:space="preserve">According to the proven facts described above, </w:t>
      </w:r>
      <w:r w:rsidR="00480F67" w:rsidRPr="00EE6FD2">
        <w:rPr>
          <w:rFonts w:asciiTheme="majorHAnsi" w:hAnsiTheme="majorHAnsi"/>
          <w:sz w:val="20"/>
        </w:rPr>
        <w:t>in 1971 Mr. Serrano became a naturalized U.S. citizen and renounced his Ecuadorian nationality. After the entry into force of a new Constitution that allowed dual nationality, he obtained his Ecuadorian passport and on August 21, 2000, entered Ecuador with his Ecuadorian passport. Sin</w:t>
      </w:r>
      <w:r w:rsidR="00634FDE" w:rsidRPr="00EE6FD2">
        <w:rPr>
          <w:rFonts w:asciiTheme="majorHAnsi" w:hAnsiTheme="majorHAnsi"/>
          <w:sz w:val="20"/>
        </w:rPr>
        <w:t>ce that date, he established</w:t>
      </w:r>
      <w:r w:rsidR="00480F67" w:rsidRPr="00EE6FD2">
        <w:rPr>
          <w:rFonts w:asciiTheme="majorHAnsi" w:hAnsiTheme="majorHAnsi"/>
          <w:sz w:val="20"/>
        </w:rPr>
        <w:t xml:space="preserve"> residence in Ecuador as a national of that country, and exercised legal acts as an Ecuadorian.</w:t>
      </w:r>
    </w:p>
    <w:p w14:paraId="0A5C527F" w14:textId="77777777" w:rsidR="00480F67" w:rsidRPr="00EE6FD2" w:rsidRDefault="00480F67" w:rsidP="00480F67">
      <w:pPr>
        <w:pStyle w:val="ListParagraph"/>
        <w:rPr>
          <w:rFonts w:asciiTheme="majorHAnsi" w:eastAsia="Times New Roman" w:hAnsiTheme="majorHAnsi" w:cs="Times New Roman"/>
          <w:color w:val="auto"/>
          <w:sz w:val="20"/>
          <w:bdr w:val="none" w:sz="0" w:space="0" w:color="auto"/>
          <w:lang w:eastAsia="en-US"/>
        </w:rPr>
      </w:pPr>
    </w:p>
    <w:p w14:paraId="12D57C79" w14:textId="77777777" w:rsidR="0029086D" w:rsidRPr="00EE6FD2" w:rsidRDefault="00617D2B" w:rsidP="00D122E6">
      <w:pPr>
        <w:pStyle w:val="NormalWeb"/>
        <w:numPr>
          <w:ilvl w:val="0"/>
          <w:numId w:val="57"/>
        </w:numPr>
        <w:shd w:val="clear" w:color="auto" w:fill="FFFFFF"/>
        <w:tabs>
          <w:tab w:val="left" w:pos="360"/>
        </w:tabs>
        <w:spacing w:before="0" w:beforeAutospacing="0" w:after="0" w:afterAutospacing="0"/>
        <w:ind w:left="0" w:firstLine="0"/>
        <w:jc w:val="both"/>
      </w:pPr>
      <w:r w:rsidRPr="00EE6FD2">
        <w:rPr>
          <w:rFonts w:asciiTheme="majorHAnsi" w:hAnsiTheme="majorHAnsi"/>
          <w:sz w:val="20"/>
        </w:rPr>
        <w:lastRenderedPageBreak/>
        <w:t>After Mr. Serrano wa</w:t>
      </w:r>
      <w:r w:rsidR="000D7751" w:rsidRPr="00EE6FD2">
        <w:rPr>
          <w:rFonts w:asciiTheme="majorHAnsi" w:hAnsiTheme="majorHAnsi"/>
          <w:sz w:val="20"/>
        </w:rPr>
        <w:t>s charged with four counts of first degree murder in Polk County, Florida</w:t>
      </w:r>
      <w:r w:rsidRPr="00EE6FD2">
        <w:rPr>
          <w:rFonts w:asciiTheme="majorHAnsi" w:hAnsiTheme="majorHAnsi"/>
          <w:sz w:val="20"/>
        </w:rPr>
        <w:t xml:space="preserve">, in 2001, </w:t>
      </w:r>
      <w:r w:rsidR="00E1683A" w:rsidRPr="00EE6FD2">
        <w:rPr>
          <w:rFonts w:asciiTheme="majorHAnsi" w:hAnsiTheme="majorHAnsi"/>
          <w:sz w:val="20"/>
        </w:rPr>
        <w:t>the United States requested his extradition and assured the Government of Ecuador that “the death penalty [would] not be sought or imposed</w:t>
      </w:r>
      <w:r w:rsidR="00CB0140" w:rsidRPr="00EE6FD2">
        <w:rPr>
          <w:rFonts w:asciiTheme="majorHAnsi" w:hAnsiTheme="majorHAnsi"/>
          <w:sz w:val="20"/>
        </w:rPr>
        <w:t>.</w:t>
      </w:r>
      <w:r w:rsidR="00E1683A" w:rsidRPr="00EE6FD2">
        <w:rPr>
          <w:rFonts w:asciiTheme="majorHAnsi" w:hAnsiTheme="majorHAnsi"/>
          <w:sz w:val="20"/>
        </w:rPr>
        <w:t>”</w:t>
      </w:r>
      <w:r w:rsidR="00CB0140" w:rsidRPr="00EE6FD2">
        <w:rPr>
          <w:rFonts w:asciiTheme="majorHAnsi" w:hAnsiTheme="majorHAnsi"/>
          <w:sz w:val="20"/>
        </w:rPr>
        <w:t xml:space="preserve"> </w:t>
      </w:r>
      <w:r w:rsidR="00D122E6" w:rsidRPr="00EE6FD2">
        <w:rPr>
          <w:rFonts w:asciiTheme="majorHAnsi" w:hAnsiTheme="majorHAnsi"/>
          <w:sz w:val="20"/>
        </w:rPr>
        <w:t>T</w:t>
      </w:r>
      <w:r w:rsidR="000D7751" w:rsidRPr="00EE6FD2">
        <w:rPr>
          <w:rFonts w:asciiTheme="majorHAnsi" w:hAnsiTheme="majorHAnsi"/>
          <w:sz w:val="20"/>
        </w:rPr>
        <w:t xml:space="preserve">he special agent in charge of the investigation </w:t>
      </w:r>
      <w:r w:rsidR="00D122E6" w:rsidRPr="00EE6FD2">
        <w:rPr>
          <w:rFonts w:asciiTheme="majorHAnsi" w:hAnsiTheme="majorHAnsi"/>
          <w:sz w:val="20"/>
        </w:rPr>
        <w:t xml:space="preserve">traveled to Quito, Ecuador, and </w:t>
      </w:r>
      <w:r w:rsidR="000D7751" w:rsidRPr="00EE6FD2">
        <w:rPr>
          <w:rFonts w:asciiTheme="majorHAnsi" w:hAnsiTheme="majorHAnsi"/>
          <w:sz w:val="20"/>
        </w:rPr>
        <w:t xml:space="preserve">spent several days visiting officials at various Ecuadorian Ministries and was told that Mr. Serrano would never be handed over. </w:t>
      </w:r>
    </w:p>
    <w:p w14:paraId="2314F97D" w14:textId="77777777" w:rsidR="0029086D" w:rsidRPr="00EE6FD2" w:rsidRDefault="0029086D" w:rsidP="0029086D">
      <w:pPr>
        <w:pStyle w:val="ListParagraph"/>
        <w:rPr>
          <w:rFonts w:asciiTheme="majorHAnsi" w:hAnsiTheme="majorHAnsi"/>
          <w:sz w:val="20"/>
        </w:rPr>
      </w:pPr>
    </w:p>
    <w:p w14:paraId="76B3E77B" w14:textId="77777777" w:rsidR="00C02B88" w:rsidRPr="00EE6FD2" w:rsidRDefault="00F804C2" w:rsidP="0029086D">
      <w:pPr>
        <w:pStyle w:val="parrafos"/>
        <w:ind w:left="0" w:firstLine="0"/>
        <w:rPr>
          <w:rFonts w:ascii="Times New Roman" w:hAnsi="Times New Roman"/>
          <w:sz w:val="24"/>
        </w:rPr>
      </w:pPr>
      <w:r w:rsidRPr="00EE6FD2">
        <w:t>T</w:t>
      </w:r>
      <w:r w:rsidR="000D7751" w:rsidRPr="00EE6FD2">
        <w:t>he special agent</w:t>
      </w:r>
      <w:r w:rsidRPr="00EE6FD2">
        <w:t>, however,</w:t>
      </w:r>
      <w:r w:rsidR="000D7751" w:rsidRPr="00EE6FD2">
        <w:t xml:space="preserve"> stayed in Ecuador </w:t>
      </w:r>
      <w:r w:rsidRPr="00EE6FD2">
        <w:t>looking for a</w:t>
      </w:r>
      <w:r w:rsidR="000D7751" w:rsidRPr="00EE6FD2">
        <w:t xml:space="preserve"> legal loophole </w:t>
      </w:r>
      <w:r w:rsidRPr="00EE6FD2">
        <w:t xml:space="preserve">to arrest Mr. Serrano. </w:t>
      </w:r>
      <w:r w:rsidR="0029086D" w:rsidRPr="00EE6FD2">
        <w:rPr>
          <w:rFonts w:eastAsia="Times New Roman"/>
          <w:color w:val="auto"/>
          <w:szCs w:val="24"/>
          <w:bdr w:val="none" w:sz="0" w:space="0" w:color="auto"/>
        </w:rPr>
        <w:t xml:space="preserve">Knowing that Mr. Serrano would never be extradited by his country of origin, he sought a way to demonstrate that Mr. Serrano was a U.S. citizen </w:t>
      </w:r>
      <w:r w:rsidR="000C1446" w:rsidRPr="00EE6FD2">
        <w:rPr>
          <w:rFonts w:eastAsia="Times New Roman"/>
          <w:color w:val="auto"/>
          <w:szCs w:val="24"/>
          <w:bdr w:val="none" w:sz="0" w:space="0" w:color="auto"/>
        </w:rPr>
        <w:t xml:space="preserve">and </w:t>
      </w:r>
      <w:r w:rsidR="0029086D" w:rsidRPr="00EE6FD2">
        <w:rPr>
          <w:rFonts w:eastAsia="Times New Roman"/>
          <w:color w:val="auto"/>
          <w:szCs w:val="24"/>
          <w:bdr w:val="none" w:sz="0" w:space="0" w:color="auto"/>
        </w:rPr>
        <w:t>because he had renounced his Ecuadorian citizenship</w:t>
      </w:r>
      <w:r w:rsidR="000C1446" w:rsidRPr="00EE6FD2">
        <w:rPr>
          <w:rFonts w:eastAsia="Times New Roman"/>
          <w:color w:val="auto"/>
          <w:szCs w:val="24"/>
          <w:bdr w:val="none" w:sz="0" w:space="0" w:color="auto"/>
        </w:rPr>
        <w:t xml:space="preserve">, he </w:t>
      </w:r>
      <w:r w:rsidR="00A83FAE" w:rsidRPr="00EE6FD2">
        <w:rPr>
          <w:rFonts w:eastAsia="Times New Roman"/>
          <w:color w:val="auto"/>
          <w:szCs w:val="24"/>
          <w:bdr w:val="none" w:sz="0" w:space="0" w:color="auto"/>
        </w:rPr>
        <w:t>therefore should not be extradited but rather deported</w:t>
      </w:r>
      <w:r w:rsidR="00B4304F" w:rsidRPr="00EE6FD2">
        <w:rPr>
          <w:rFonts w:eastAsia="Times New Roman"/>
          <w:color w:val="auto"/>
          <w:szCs w:val="24"/>
          <w:bdr w:val="none" w:sz="0" w:space="0" w:color="auto"/>
        </w:rPr>
        <w:t>. P</w:t>
      </w:r>
      <w:r w:rsidR="0029086D" w:rsidRPr="00EE6FD2">
        <w:rPr>
          <w:rFonts w:eastAsia="Times New Roman"/>
          <w:color w:val="auto"/>
          <w:szCs w:val="24"/>
          <w:bdr w:val="none" w:sz="0" w:space="0" w:color="auto"/>
        </w:rPr>
        <w:t xml:space="preserve">aying off-duty police officers, he managed to detain </w:t>
      </w:r>
      <w:r w:rsidR="006A094C" w:rsidRPr="00EE6FD2">
        <w:rPr>
          <w:rFonts w:eastAsia="Times New Roman"/>
          <w:color w:val="auto"/>
          <w:szCs w:val="24"/>
          <w:bdr w:val="none" w:sz="0" w:space="0" w:color="auto"/>
        </w:rPr>
        <w:t xml:space="preserve">Mr. </w:t>
      </w:r>
      <w:r w:rsidR="0029086D" w:rsidRPr="00EE6FD2">
        <w:rPr>
          <w:rFonts w:eastAsia="Times New Roman"/>
          <w:color w:val="auto"/>
          <w:szCs w:val="24"/>
          <w:bdr w:val="none" w:sz="0" w:space="0" w:color="auto"/>
        </w:rPr>
        <w:t xml:space="preserve">Serrano </w:t>
      </w:r>
      <w:r w:rsidR="006A094C" w:rsidRPr="00EE6FD2">
        <w:rPr>
          <w:rFonts w:eastAsia="Times New Roman"/>
          <w:color w:val="auto"/>
          <w:szCs w:val="24"/>
          <w:bdr w:val="none" w:sz="0" w:space="0" w:color="auto"/>
        </w:rPr>
        <w:t xml:space="preserve">on August 31, 2002, </w:t>
      </w:r>
      <w:r w:rsidR="0029086D" w:rsidRPr="00EE6FD2">
        <w:rPr>
          <w:rFonts w:eastAsia="Times New Roman"/>
          <w:color w:val="auto"/>
          <w:szCs w:val="24"/>
          <w:bdr w:val="none" w:sz="0" w:space="0" w:color="auto"/>
        </w:rPr>
        <w:t>and obtain his deportation within 24 hours.</w:t>
      </w:r>
      <w:r w:rsidR="005720E4" w:rsidRPr="00EE6FD2">
        <w:rPr>
          <w:rFonts w:eastAsia="Times New Roman"/>
          <w:color w:val="auto"/>
          <w:szCs w:val="24"/>
          <w:bdr w:val="none" w:sz="0" w:space="0" w:color="auto"/>
        </w:rPr>
        <w:t xml:space="preserve"> </w:t>
      </w:r>
      <w:r w:rsidR="000B5884" w:rsidRPr="00EE6FD2">
        <w:rPr>
          <w:rFonts w:eastAsia="Times New Roman"/>
          <w:color w:val="auto"/>
          <w:szCs w:val="24"/>
          <w:bdr w:val="none" w:sz="0" w:space="0" w:color="auto"/>
        </w:rPr>
        <w:t>The United States ha</w:t>
      </w:r>
      <w:r w:rsidR="00682164" w:rsidRPr="00EE6FD2">
        <w:rPr>
          <w:rFonts w:eastAsia="Times New Roman"/>
          <w:color w:val="auto"/>
          <w:szCs w:val="24"/>
          <w:bdr w:val="none" w:sz="0" w:space="0" w:color="auto"/>
        </w:rPr>
        <w:t>s</w:t>
      </w:r>
      <w:r w:rsidR="000B5884" w:rsidRPr="00EE6FD2">
        <w:rPr>
          <w:rFonts w:eastAsia="Times New Roman"/>
          <w:color w:val="auto"/>
          <w:szCs w:val="24"/>
          <w:bdr w:val="none" w:sz="0" w:space="0" w:color="auto"/>
        </w:rPr>
        <w:t xml:space="preserve"> not </w:t>
      </w:r>
      <w:r w:rsidR="00C8374E" w:rsidRPr="00EE6FD2">
        <w:rPr>
          <w:rFonts w:eastAsia="Times New Roman"/>
          <w:color w:val="auto"/>
          <w:szCs w:val="24"/>
          <w:bdr w:val="none" w:sz="0" w:space="0" w:color="auto"/>
        </w:rPr>
        <w:t>controverted</w:t>
      </w:r>
      <w:r w:rsidR="000B5884" w:rsidRPr="00EE6FD2">
        <w:rPr>
          <w:rFonts w:eastAsia="Times New Roman"/>
          <w:color w:val="auto"/>
          <w:szCs w:val="24"/>
          <w:bdr w:val="none" w:sz="0" w:space="0" w:color="auto"/>
        </w:rPr>
        <w:t xml:space="preserve"> that the special agent was in Ecuador acting in </w:t>
      </w:r>
      <w:r w:rsidR="00DA536C" w:rsidRPr="00EE6FD2">
        <w:rPr>
          <w:rFonts w:eastAsia="Times New Roman"/>
          <w:color w:val="auto"/>
          <w:szCs w:val="24"/>
          <w:bdr w:val="none" w:sz="0" w:space="0" w:color="auto"/>
        </w:rPr>
        <w:t>h</w:t>
      </w:r>
      <w:r w:rsidR="000B5884" w:rsidRPr="00EE6FD2">
        <w:rPr>
          <w:rFonts w:eastAsia="Times New Roman"/>
          <w:color w:val="auto"/>
          <w:szCs w:val="24"/>
          <w:bdr w:val="none" w:sz="0" w:space="0" w:color="auto"/>
        </w:rPr>
        <w:t>is official capacity.</w:t>
      </w:r>
    </w:p>
    <w:p w14:paraId="6EC446ED" w14:textId="77777777" w:rsidR="00C02B88" w:rsidRPr="00EE6FD2" w:rsidRDefault="00C02B88" w:rsidP="00C02B88">
      <w:pPr>
        <w:pStyle w:val="ListParagraph"/>
        <w:rPr>
          <w:rFonts w:asciiTheme="majorHAnsi" w:hAnsiTheme="majorHAnsi"/>
          <w:sz w:val="20"/>
        </w:rPr>
      </w:pPr>
    </w:p>
    <w:p w14:paraId="7AE1EC01" w14:textId="77777777" w:rsidR="00BD01B4" w:rsidRPr="00EE6FD2" w:rsidRDefault="00BD01B4" w:rsidP="009458ED">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rPr>
      </w:pPr>
      <w:r w:rsidRPr="00EE6FD2">
        <w:rPr>
          <w:rFonts w:asciiTheme="majorHAnsi" w:hAnsiTheme="majorHAnsi"/>
          <w:sz w:val="20"/>
        </w:rPr>
        <w:t xml:space="preserve">According to </w:t>
      </w:r>
      <w:r w:rsidR="00DF2989" w:rsidRPr="00EE6FD2">
        <w:rPr>
          <w:rFonts w:asciiTheme="majorHAnsi" w:hAnsiTheme="majorHAnsi"/>
          <w:sz w:val="20"/>
        </w:rPr>
        <w:t xml:space="preserve">Article XXV of the American Declaration and </w:t>
      </w:r>
      <w:r w:rsidRPr="00EE6FD2">
        <w:rPr>
          <w:rFonts w:asciiTheme="majorHAnsi" w:hAnsiTheme="majorHAnsi"/>
          <w:sz w:val="20"/>
        </w:rPr>
        <w:t>the above-mentioned inter-American standard</w:t>
      </w:r>
      <w:r w:rsidR="009458ED" w:rsidRPr="00EE6FD2">
        <w:rPr>
          <w:rFonts w:asciiTheme="majorHAnsi" w:hAnsiTheme="majorHAnsi"/>
          <w:sz w:val="20"/>
        </w:rPr>
        <w:t>s</w:t>
      </w:r>
      <w:r w:rsidRPr="00EE6FD2">
        <w:rPr>
          <w:rFonts w:asciiTheme="majorHAnsi" w:hAnsiTheme="majorHAnsi"/>
          <w:sz w:val="20"/>
        </w:rPr>
        <w:t>, the right to personal freedom can only be affected in accordance with pre-</w:t>
      </w:r>
      <w:r w:rsidR="00DF2989" w:rsidRPr="00EE6FD2">
        <w:rPr>
          <w:rFonts w:asciiTheme="majorHAnsi" w:hAnsiTheme="majorHAnsi"/>
          <w:sz w:val="20"/>
        </w:rPr>
        <w:t>existing</w:t>
      </w:r>
      <w:r w:rsidRPr="00EE6FD2">
        <w:rPr>
          <w:rFonts w:asciiTheme="majorHAnsi" w:hAnsiTheme="majorHAnsi"/>
          <w:sz w:val="20"/>
        </w:rPr>
        <w:t xml:space="preserve"> law. Therefore, any requirement established by domestic law that is not complied with when depriving a person of his or her liberty, will </w:t>
      </w:r>
      <w:r w:rsidR="009458ED" w:rsidRPr="00EE6FD2">
        <w:rPr>
          <w:rFonts w:asciiTheme="majorHAnsi" w:hAnsiTheme="majorHAnsi"/>
          <w:sz w:val="20"/>
        </w:rPr>
        <w:t>result in such</w:t>
      </w:r>
      <w:r w:rsidRPr="00EE6FD2">
        <w:rPr>
          <w:rFonts w:asciiTheme="majorHAnsi" w:hAnsiTheme="majorHAnsi"/>
          <w:sz w:val="20"/>
        </w:rPr>
        <w:t xml:space="preserve"> deprivation </w:t>
      </w:r>
      <w:r w:rsidR="009458ED" w:rsidRPr="00EE6FD2">
        <w:rPr>
          <w:rFonts w:asciiTheme="majorHAnsi" w:hAnsiTheme="majorHAnsi"/>
          <w:sz w:val="20"/>
        </w:rPr>
        <w:t>being</w:t>
      </w:r>
      <w:r w:rsidRPr="00EE6FD2">
        <w:rPr>
          <w:rFonts w:asciiTheme="majorHAnsi" w:hAnsiTheme="majorHAnsi"/>
          <w:sz w:val="20"/>
        </w:rPr>
        <w:t xml:space="preserve"> illegal and </w:t>
      </w:r>
      <w:r w:rsidR="009458ED" w:rsidRPr="00EE6FD2">
        <w:rPr>
          <w:rFonts w:asciiTheme="majorHAnsi" w:hAnsiTheme="majorHAnsi"/>
          <w:sz w:val="20"/>
        </w:rPr>
        <w:t xml:space="preserve">therefore </w:t>
      </w:r>
      <w:r w:rsidRPr="00EE6FD2">
        <w:rPr>
          <w:rFonts w:asciiTheme="majorHAnsi" w:hAnsiTheme="majorHAnsi"/>
          <w:sz w:val="20"/>
        </w:rPr>
        <w:t>contrary to the American Declaration.</w:t>
      </w:r>
    </w:p>
    <w:p w14:paraId="4827D095" w14:textId="77777777" w:rsidR="00E87282" w:rsidRPr="00EE6FD2" w:rsidRDefault="00E87282" w:rsidP="00E87282">
      <w:pPr>
        <w:pStyle w:val="NormalWeb"/>
        <w:shd w:val="clear" w:color="auto" w:fill="FFFFFF"/>
        <w:tabs>
          <w:tab w:val="left" w:pos="360"/>
        </w:tabs>
        <w:spacing w:before="0" w:beforeAutospacing="0" w:after="0" w:afterAutospacing="0"/>
        <w:jc w:val="both"/>
        <w:rPr>
          <w:rFonts w:asciiTheme="majorHAnsi" w:hAnsiTheme="majorHAnsi"/>
          <w:sz w:val="20"/>
        </w:rPr>
      </w:pPr>
    </w:p>
    <w:p w14:paraId="3A79C576" w14:textId="77777777" w:rsidR="003A4F25" w:rsidRPr="00EE6FD2" w:rsidRDefault="00325DD0" w:rsidP="003A4F25">
      <w:pPr>
        <w:pStyle w:val="parrafos"/>
        <w:ind w:left="0" w:firstLine="0"/>
        <w:rPr>
          <w:rFonts w:eastAsia="Times New Roman"/>
          <w:color w:val="auto"/>
          <w:szCs w:val="24"/>
          <w:bdr w:val="none" w:sz="0" w:space="0" w:color="auto"/>
        </w:rPr>
      </w:pPr>
      <w:r w:rsidRPr="00EE6FD2">
        <w:rPr>
          <w:rFonts w:eastAsia="Times New Roman"/>
          <w:color w:val="auto"/>
          <w:szCs w:val="24"/>
          <w:bdr w:val="none" w:sz="0" w:space="0" w:color="auto"/>
        </w:rPr>
        <w:t>With regard to the legality of Mr. Serrano’s detention, t</w:t>
      </w:r>
      <w:r w:rsidR="00E87282" w:rsidRPr="00EE6FD2">
        <w:rPr>
          <w:rFonts w:eastAsia="Times New Roman"/>
          <w:color w:val="auto"/>
          <w:szCs w:val="24"/>
          <w:bdr w:val="none" w:sz="0" w:space="0" w:color="auto"/>
        </w:rPr>
        <w:t xml:space="preserve">he IACHR notes that at the time of </w:t>
      </w:r>
      <w:r w:rsidRPr="00EE6FD2">
        <w:rPr>
          <w:rFonts w:eastAsia="Times New Roman"/>
          <w:color w:val="auto"/>
          <w:szCs w:val="24"/>
          <w:bdr w:val="none" w:sz="0" w:space="0" w:color="auto"/>
        </w:rPr>
        <w:t>his</w:t>
      </w:r>
      <w:r w:rsidR="00E87282" w:rsidRPr="00EE6FD2">
        <w:rPr>
          <w:rFonts w:eastAsia="Times New Roman"/>
          <w:color w:val="auto"/>
          <w:szCs w:val="24"/>
          <w:bdr w:val="none" w:sz="0" w:space="0" w:color="auto"/>
        </w:rPr>
        <w:t xml:space="preserve"> arrest Ecuadorian law </w:t>
      </w:r>
      <w:r w:rsidR="00911C79" w:rsidRPr="00EE6FD2">
        <w:rPr>
          <w:rFonts w:eastAsia="Times New Roman"/>
          <w:color w:val="auto"/>
          <w:szCs w:val="24"/>
          <w:bdr w:val="none" w:sz="0" w:space="0" w:color="auto"/>
        </w:rPr>
        <w:t xml:space="preserve">established that deportations applied </w:t>
      </w:r>
      <w:r w:rsidR="002A6745" w:rsidRPr="00EE6FD2">
        <w:rPr>
          <w:rFonts w:eastAsia="Times New Roman"/>
          <w:color w:val="auto"/>
          <w:szCs w:val="24"/>
          <w:bdr w:val="none" w:sz="0" w:space="0" w:color="auto"/>
        </w:rPr>
        <w:t>to</w:t>
      </w:r>
      <w:r w:rsidR="00911C79" w:rsidRPr="00EE6FD2">
        <w:rPr>
          <w:rFonts w:eastAsia="Times New Roman"/>
          <w:color w:val="auto"/>
          <w:szCs w:val="24"/>
          <w:bdr w:val="none" w:sz="0" w:space="0" w:color="auto"/>
        </w:rPr>
        <w:t xml:space="preserve"> “any alien subject to the territorial jurisdiction” of the State. </w:t>
      </w:r>
      <w:r w:rsidR="00DD6D4A" w:rsidRPr="00EE6FD2">
        <w:rPr>
          <w:rFonts w:eastAsia="Times New Roman"/>
          <w:color w:val="auto"/>
          <w:szCs w:val="24"/>
          <w:bdr w:val="none" w:sz="0" w:space="0" w:color="auto"/>
        </w:rPr>
        <w:t xml:space="preserve">At the time of his arrest, however, Mr. Serrano was an Ecuadorian citizen. </w:t>
      </w:r>
      <w:r w:rsidRPr="00EE6FD2">
        <w:rPr>
          <w:rFonts w:eastAsia="Times New Roman"/>
          <w:color w:val="auto"/>
          <w:szCs w:val="24"/>
          <w:bdr w:val="none" w:sz="0" w:space="0" w:color="auto"/>
        </w:rPr>
        <w:t>As a result</w:t>
      </w:r>
      <w:r w:rsidR="003A4F25" w:rsidRPr="00EE6FD2">
        <w:rPr>
          <w:rFonts w:eastAsia="Times New Roman"/>
          <w:color w:val="auto"/>
          <w:szCs w:val="24"/>
          <w:bdr w:val="none" w:sz="0" w:space="0" w:color="auto"/>
        </w:rPr>
        <w:t xml:space="preserve">, his detention </w:t>
      </w:r>
      <w:r w:rsidR="001764D6" w:rsidRPr="00EE6FD2">
        <w:rPr>
          <w:rFonts w:eastAsia="Times New Roman"/>
          <w:color w:val="auto"/>
          <w:szCs w:val="24"/>
          <w:bdr w:val="none" w:sz="0" w:space="0" w:color="auto"/>
        </w:rPr>
        <w:t>was not compatible with the domestic legislation</w:t>
      </w:r>
      <w:r w:rsidR="003A4F25" w:rsidRPr="00EE6FD2">
        <w:rPr>
          <w:rFonts w:eastAsia="Times New Roman"/>
          <w:color w:val="auto"/>
          <w:szCs w:val="24"/>
          <w:bdr w:val="none" w:sz="0" w:space="0" w:color="auto"/>
        </w:rPr>
        <w:t xml:space="preserve"> and was therefore illegal.</w:t>
      </w:r>
      <w:r w:rsidR="001764D6" w:rsidRPr="00EE6FD2">
        <w:rPr>
          <w:rFonts w:eastAsia="Times New Roman"/>
          <w:color w:val="auto"/>
          <w:szCs w:val="24"/>
          <w:bdr w:val="none" w:sz="0" w:space="0" w:color="auto"/>
        </w:rPr>
        <w:t xml:space="preserve"> </w:t>
      </w:r>
      <w:r w:rsidR="00075BEA" w:rsidRPr="00EE6FD2">
        <w:rPr>
          <w:rFonts w:eastAsia="Times New Roman"/>
          <w:color w:val="auto"/>
          <w:szCs w:val="24"/>
          <w:bdr w:val="none" w:sz="0" w:space="0" w:color="auto"/>
        </w:rPr>
        <w:t xml:space="preserve">The Commission notes that </w:t>
      </w:r>
      <w:r w:rsidR="0009709D" w:rsidRPr="00EE6FD2">
        <w:rPr>
          <w:rFonts w:eastAsia="Times New Roman"/>
          <w:color w:val="auto"/>
          <w:szCs w:val="24"/>
          <w:bdr w:val="none" w:sz="0" w:space="0" w:color="auto"/>
        </w:rPr>
        <w:t xml:space="preserve">the </w:t>
      </w:r>
      <w:r w:rsidR="00DB11DC" w:rsidRPr="00EE6FD2">
        <w:rPr>
          <w:rFonts w:eastAsia="Times New Roman"/>
          <w:color w:val="auto"/>
          <w:szCs w:val="24"/>
          <w:bdr w:val="none" w:sz="0" w:space="0" w:color="auto"/>
        </w:rPr>
        <w:t>arrest</w:t>
      </w:r>
      <w:r w:rsidR="003B08CC" w:rsidRPr="00EE6FD2">
        <w:rPr>
          <w:rFonts w:eastAsia="Times New Roman"/>
          <w:color w:val="auto"/>
          <w:szCs w:val="24"/>
          <w:bdr w:val="none" w:sz="0" w:space="0" w:color="auto"/>
        </w:rPr>
        <w:t xml:space="preserve"> of a national for the purpose of deportation from his own country in the face of obstacles to the use of the regular channel, namely extradition, is clearly unpredictable</w:t>
      </w:r>
      <w:r w:rsidR="0009709D" w:rsidRPr="00EE6FD2">
        <w:rPr>
          <w:rFonts w:eastAsia="Times New Roman"/>
          <w:color w:val="auto"/>
          <w:szCs w:val="24"/>
          <w:bdr w:val="none" w:sz="0" w:space="0" w:color="auto"/>
        </w:rPr>
        <w:t xml:space="preserve"> and abusive</w:t>
      </w:r>
      <w:r w:rsidR="005C7EB1" w:rsidRPr="00EE6FD2">
        <w:rPr>
          <w:rFonts w:eastAsia="Times New Roman"/>
          <w:color w:val="auto"/>
          <w:szCs w:val="24"/>
          <w:bdr w:val="none" w:sz="0" w:space="0" w:color="auto"/>
        </w:rPr>
        <w:t>,</w:t>
      </w:r>
      <w:r w:rsidR="0009709D" w:rsidRPr="00EE6FD2">
        <w:rPr>
          <w:rFonts w:eastAsia="Times New Roman"/>
          <w:color w:val="auto"/>
          <w:szCs w:val="24"/>
          <w:bdr w:val="none" w:sz="0" w:space="0" w:color="auto"/>
        </w:rPr>
        <w:t xml:space="preserve"> and therefore arbitrary.</w:t>
      </w:r>
    </w:p>
    <w:p w14:paraId="6C9917D5" w14:textId="77777777" w:rsidR="00325DD0" w:rsidRPr="00EE6FD2" w:rsidRDefault="00325DD0" w:rsidP="003A4F25">
      <w:pPr>
        <w:pStyle w:val="ListParagraph"/>
        <w:rPr>
          <w:sz w:val="20"/>
          <w:szCs w:val="20"/>
        </w:rPr>
      </w:pPr>
    </w:p>
    <w:p w14:paraId="483429A9" w14:textId="77777777" w:rsidR="004C0B6C" w:rsidRPr="00EE6FD2" w:rsidRDefault="003A4F25" w:rsidP="00464C6A">
      <w:pPr>
        <w:pStyle w:val="parrafos"/>
        <w:ind w:left="0" w:firstLine="0"/>
        <w:rPr>
          <w:rFonts w:eastAsia="Times New Roman"/>
          <w:color w:val="auto"/>
          <w:szCs w:val="24"/>
          <w:bdr w:val="none" w:sz="0" w:space="0" w:color="auto"/>
        </w:rPr>
      </w:pPr>
      <w:r w:rsidRPr="00EE6FD2">
        <w:t xml:space="preserve">Although Mr. Serrano's detention was carried out by Ecuadorian authorities, according to </w:t>
      </w:r>
      <w:r w:rsidR="00140A73" w:rsidRPr="00EE6FD2">
        <w:t xml:space="preserve">the findings of facts established above, </w:t>
      </w:r>
      <w:r w:rsidR="00FC1631" w:rsidRPr="00EE6FD2">
        <w:t xml:space="preserve">the U.S. investigator in charge of Mr. Serrano’s case </w:t>
      </w:r>
      <w:r w:rsidR="00714124" w:rsidRPr="00EE6FD2">
        <w:t xml:space="preserve">played an active and determining role in his </w:t>
      </w:r>
      <w:r w:rsidR="00DB11DC" w:rsidRPr="00EE6FD2">
        <w:t>arrest</w:t>
      </w:r>
      <w:r w:rsidR="00714124" w:rsidRPr="00EE6FD2">
        <w:t>. He not only traveled to Ecuador, but also found a way to circumvent the obstacles faced by U.S. authorities</w:t>
      </w:r>
      <w:r w:rsidR="005149F4" w:rsidRPr="00EE6FD2">
        <w:t xml:space="preserve"> </w:t>
      </w:r>
      <w:r w:rsidR="00DB11DC" w:rsidRPr="00EE6FD2">
        <w:t>to bring</w:t>
      </w:r>
      <w:r w:rsidR="005149F4" w:rsidRPr="00EE6FD2">
        <w:t xml:space="preserve"> Mr. Serrano</w:t>
      </w:r>
      <w:r w:rsidR="00DB11DC" w:rsidRPr="00EE6FD2">
        <w:t xml:space="preserve"> to justice</w:t>
      </w:r>
      <w:r w:rsidR="005149F4" w:rsidRPr="00EE6FD2">
        <w:t xml:space="preserve">. </w:t>
      </w:r>
    </w:p>
    <w:p w14:paraId="142F05CC" w14:textId="77777777" w:rsidR="004C0B6C" w:rsidRPr="00EE6FD2" w:rsidRDefault="004C0B6C" w:rsidP="004C0B6C">
      <w:pPr>
        <w:pStyle w:val="ListParagraph"/>
      </w:pPr>
    </w:p>
    <w:p w14:paraId="6AFE2EEF" w14:textId="77777777" w:rsidR="005D4583" w:rsidRPr="00EE6FD2" w:rsidRDefault="005149F4" w:rsidP="00464C6A">
      <w:pPr>
        <w:pStyle w:val="parrafos"/>
        <w:ind w:left="0" w:firstLine="0"/>
        <w:rPr>
          <w:rFonts w:eastAsia="Times New Roman"/>
          <w:color w:val="auto"/>
          <w:szCs w:val="24"/>
          <w:bdr w:val="none" w:sz="0" w:space="0" w:color="auto"/>
        </w:rPr>
      </w:pPr>
      <w:r w:rsidRPr="00EE6FD2">
        <w:t xml:space="preserve">Therefore, </w:t>
      </w:r>
      <w:r w:rsidR="00197AC8" w:rsidRPr="00EE6FD2">
        <w:t>considering the international standards</w:t>
      </w:r>
      <w:r w:rsidR="005D4583" w:rsidRPr="00EE6FD2">
        <w:t xml:space="preserve"> set out in the section on extraterritorial responsibility of the State, </w:t>
      </w:r>
      <w:r w:rsidR="00BB1EE4" w:rsidRPr="00EE6FD2">
        <w:t xml:space="preserve">and </w:t>
      </w:r>
      <w:r w:rsidR="000200F3" w:rsidRPr="00EE6FD2">
        <w:t xml:space="preserve">the </w:t>
      </w:r>
      <w:r w:rsidR="00BB1EE4" w:rsidRPr="00EE6FD2">
        <w:t xml:space="preserve">fact that the special agent was acting in </w:t>
      </w:r>
      <w:r w:rsidR="000200F3" w:rsidRPr="00EE6FD2">
        <w:t xml:space="preserve">his </w:t>
      </w:r>
      <w:r w:rsidR="00BB1EE4" w:rsidRPr="00EE6FD2">
        <w:t xml:space="preserve">official capacity, </w:t>
      </w:r>
      <w:r w:rsidR="005D4583" w:rsidRPr="00EE6FD2">
        <w:t xml:space="preserve">the Commission concludes that </w:t>
      </w:r>
      <w:r w:rsidR="00712C81" w:rsidRPr="00EE6FD2">
        <w:t xml:space="preserve">there is a causal nexus between the extraterritorial conduct of the United States through the acts of its agent in Ecuador and the violation of Mr. Serrano’s right of protection from </w:t>
      </w:r>
      <w:r w:rsidR="001B0767" w:rsidRPr="00EE6FD2">
        <w:t xml:space="preserve">illegal and </w:t>
      </w:r>
      <w:r w:rsidR="00712C81" w:rsidRPr="00EE6FD2">
        <w:t>arbitrary arrest</w:t>
      </w:r>
      <w:r w:rsidR="00197AC8" w:rsidRPr="00EE6FD2">
        <w:t xml:space="preserve"> set forth in</w:t>
      </w:r>
      <w:r w:rsidR="00BF5D64" w:rsidRPr="00EE6FD2">
        <w:t xml:space="preserve"> Article XXV of the American Declaration</w:t>
      </w:r>
      <w:r w:rsidR="00712C81" w:rsidRPr="00EE6FD2">
        <w:t xml:space="preserve">.  </w:t>
      </w:r>
    </w:p>
    <w:p w14:paraId="345B8022" w14:textId="77777777" w:rsidR="005D4583" w:rsidRPr="00EE6FD2" w:rsidRDefault="005D4583" w:rsidP="005D4583">
      <w:pPr>
        <w:pStyle w:val="parrafos"/>
        <w:numPr>
          <w:ilvl w:val="0"/>
          <w:numId w:val="0"/>
        </w:numPr>
        <w:rPr>
          <w:rFonts w:eastAsia="Times New Roman"/>
          <w:color w:val="auto"/>
          <w:szCs w:val="24"/>
          <w:bdr w:val="none" w:sz="0" w:space="0" w:color="auto"/>
        </w:rPr>
      </w:pPr>
    </w:p>
    <w:p w14:paraId="354F7530" w14:textId="77777777" w:rsidR="00D321AE" w:rsidRPr="00EE6FD2" w:rsidRDefault="00AC18DB" w:rsidP="00AC18DB">
      <w:pPr>
        <w:pStyle w:val="Heading2"/>
        <w:tabs>
          <w:tab w:val="left" w:pos="360"/>
        </w:tabs>
        <w:spacing w:before="0"/>
        <w:jc w:val="both"/>
        <w:rPr>
          <w:color w:val="auto"/>
          <w:sz w:val="20"/>
          <w:szCs w:val="20"/>
        </w:rPr>
      </w:pPr>
      <w:bookmarkStart w:id="30" w:name="_Toc41343336"/>
      <w:r w:rsidRPr="00EE6FD2">
        <w:rPr>
          <w:color w:val="auto"/>
          <w:sz w:val="20"/>
          <w:szCs w:val="20"/>
        </w:rPr>
        <w:t>D.</w:t>
      </w:r>
      <w:r w:rsidRPr="00EE6FD2">
        <w:rPr>
          <w:color w:val="auto"/>
          <w:sz w:val="20"/>
          <w:szCs w:val="20"/>
        </w:rPr>
        <w:tab/>
      </w:r>
      <w:r w:rsidR="00980F95" w:rsidRPr="00EE6FD2">
        <w:rPr>
          <w:color w:val="auto"/>
          <w:sz w:val="20"/>
          <w:szCs w:val="20"/>
        </w:rPr>
        <w:t>Right</w:t>
      </w:r>
      <w:r w:rsidR="00D321AE" w:rsidRPr="00EE6FD2">
        <w:rPr>
          <w:color w:val="auto"/>
          <w:sz w:val="20"/>
          <w:szCs w:val="20"/>
        </w:rPr>
        <w:t>s to a fair trial</w:t>
      </w:r>
      <w:r w:rsidR="00321E9B" w:rsidRPr="00EE6FD2">
        <w:rPr>
          <w:rStyle w:val="FootnoteReference"/>
          <w:rFonts w:ascii="Cambria" w:eastAsia="Arial Unicode MS" w:hAnsi="Cambria"/>
          <w:bCs w:val="0"/>
          <w:color w:val="auto"/>
          <w:sz w:val="18"/>
          <w:szCs w:val="18"/>
        </w:rPr>
        <w:footnoteReference w:id="48"/>
      </w:r>
      <w:r w:rsidR="00D321AE" w:rsidRPr="00EE6FD2">
        <w:rPr>
          <w:color w:val="auto"/>
          <w:sz w:val="20"/>
          <w:szCs w:val="20"/>
        </w:rPr>
        <w:t xml:space="preserve"> and to due process of law</w:t>
      </w:r>
      <w:r w:rsidR="00321E9B" w:rsidRPr="00EE6FD2">
        <w:rPr>
          <w:color w:val="auto"/>
          <w:sz w:val="20"/>
          <w:szCs w:val="20"/>
        </w:rPr>
        <w:t>,</w:t>
      </w:r>
      <w:r w:rsidR="00321E9B" w:rsidRPr="00EE6FD2">
        <w:rPr>
          <w:rStyle w:val="FootnoteReference"/>
          <w:rFonts w:ascii="Cambria" w:eastAsia="Arial Unicode MS" w:hAnsi="Cambria"/>
          <w:bCs w:val="0"/>
          <w:color w:val="auto"/>
          <w:sz w:val="18"/>
          <w:szCs w:val="18"/>
        </w:rPr>
        <w:footnoteReference w:id="49"/>
      </w:r>
      <w:r w:rsidR="00D321AE" w:rsidRPr="00EE6FD2">
        <w:rPr>
          <w:color w:val="auto"/>
          <w:sz w:val="20"/>
          <w:szCs w:val="20"/>
        </w:rPr>
        <w:t xml:space="preserve"> in relation to the right </w:t>
      </w:r>
      <w:r w:rsidR="00321E9B" w:rsidRPr="00EE6FD2">
        <w:rPr>
          <w:color w:val="auto"/>
          <w:sz w:val="20"/>
          <w:szCs w:val="20"/>
        </w:rPr>
        <w:t>to life, liberty and personal security</w:t>
      </w:r>
      <w:r w:rsidR="004F4146" w:rsidRPr="00EE6FD2">
        <w:rPr>
          <w:color w:val="auto"/>
          <w:sz w:val="20"/>
          <w:szCs w:val="20"/>
        </w:rPr>
        <w:t>,</w:t>
      </w:r>
      <w:r w:rsidR="00321E9B" w:rsidRPr="00EE6FD2">
        <w:rPr>
          <w:rStyle w:val="FootnoteReference"/>
          <w:rFonts w:ascii="Cambria" w:eastAsia="Arial Unicode MS" w:hAnsi="Cambria"/>
          <w:bCs w:val="0"/>
          <w:color w:val="auto"/>
          <w:sz w:val="18"/>
          <w:szCs w:val="18"/>
        </w:rPr>
        <w:footnoteReference w:id="50"/>
      </w:r>
      <w:r w:rsidR="00321E9B" w:rsidRPr="00EE6FD2">
        <w:rPr>
          <w:color w:val="auto"/>
          <w:sz w:val="20"/>
          <w:szCs w:val="20"/>
        </w:rPr>
        <w:t xml:space="preserve"> and the right </w:t>
      </w:r>
      <w:r w:rsidR="00D321AE" w:rsidRPr="00EE6FD2">
        <w:rPr>
          <w:color w:val="auto"/>
          <w:sz w:val="20"/>
          <w:szCs w:val="20"/>
        </w:rPr>
        <w:t>of protection from arbitrary arrest</w:t>
      </w:r>
      <w:r w:rsidR="006D778A" w:rsidRPr="00EE6FD2">
        <w:rPr>
          <w:color w:val="auto"/>
          <w:sz w:val="20"/>
          <w:szCs w:val="20"/>
        </w:rPr>
        <w:t xml:space="preserve"> of the American Declaration</w:t>
      </w:r>
      <w:bookmarkEnd w:id="30"/>
    </w:p>
    <w:p w14:paraId="444F8E4D" w14:textId="77777777" w:rsidR="00D321AE" w:rsidRPr="00EE6FD2" w:rsidRDefault="00D321AE" w:rsidP="0017601E">
      <w:pPr>
        <w:pStyle w:val="NormalWeb"/>
        <w:shd w:val="clear" w:color="auto" w:fill="FFFFFF"/>
        <w:tabs>
          <w:tab w:val="left" w:pos="360"/>
        </w:tabs>
        <w:spacing w:before="0" w:beforeAutospacing="0" w:after="0" w:afterAutospacing="0"/>
        <w:jc w:val="both"/>
        <w:rPr>
          <w:rFonts w:asciiTheme="majorHAnsi" w:hAnsiTheme="majorHAnsi"/>
          <w:sz w:val="20"/>
        </w:rPr>
      </w:pPr>
    </w:p>
    <w:p w14:paraId="3B12EDF9" w14:textId="77777777" w:rsidR="00904DE3" w:rsidRPr="00EE6FD2" w:rsidRDefault="003D73EE" w:rsidP="00904DE3">
      <w:pPr>
        <w:pStyle w:val="parrafos"/>
        <w:ind w:left="0" w:firstLine="0"/>
      </w:pPr>
      <w:r w:rsidRPr="00EE6FD2">
        <w:t xml:space="preserve">Once the extraterritorial responsibility of the United States in the illegal and arbitrary detention of Mr. Serrano has been established, it is necessary to analyze how this act was assessed by U.S. courts in the framework of the criminal trial that ended in Mr. Serrano’s sentence to the death penalty. </w:t>
      </w:r>
      <w:r w:rsidR="00904DE3" w:rsidRPr="00EE6FD2">
        <w:t>The Commission is not competent to review judgments handed down by domestic courts acting within their spheres of competence and with due judicial guarantees. In principle that is because the IACHR does not have the authority to superimpose its own interpretations on the assessment of facts made by national courts. The fourth instance formula, however, does not preclude the Commission from considering a case in which the petitioner’s allegations entail a possible violation of any of the rights set forth in the Declaration. This authority is heightened in cases involving imposition of the death penalty, given its irreversibility.</w:t>
      </w:r>
    </w:p>
    <w:p w14:paraId="604046AB" w14:textId="77777777" w:rsidR="00F47498" w:rsidRPr="00EE6FD2" w:rsidRDefault="00F47498" w:rsidP="00F47498">
      <w:pPr>
        <w:pStyle w:val="parrafos"/>
        <w:numPr>
          <w:ilvl w:val="0"/>
          <w:numId w:val="0"/>
        </w:numPr>
      </w:pPr>
    </w:p>
    <w:p w14:paraId="1CE3E677" w14:textId="77777777" w:rsidR="00AB2AD4" w:rsidRPr="00EE6FD2" w:rsidRDefault="00C934A3" w:rsidP="00AB2AD4">
      <w:pPr>
        <w:pStyle w:val="parrafos"/>
        <w:ind w:left="0" w:firstLine="0"/>
      </w:pPr>
      <w:r w:rsidRPr="00EE6FD2">
        <w:t>A</w:t>
      </w:r>
      <w:r w:rsidR="00BE24DB" w:rsidRPr="00EE6FD2">
        <w:t>s</w:t>
      </w:r>
      <w:r w:rsidRPr="00EE6FD2">
        <w:t xml:space="preserve"> </w:t>
      </w:r>
      <w:r w:rsidR="00BE24DB" w:rsidRPr="00EE6FD2">
        <w:t>previously mentioned</w:t>
      </w:r>
      <w:r w:rsidRPr="00EE6FD2">
        <w:t xml:space="preserve">, </w:t>
      </w:r>
      <w:r w:rsidR="001A28C0" w:rsidRPr="00EE6FD2">
        <w:t>after Mr. Serrano</w:t>
      </w:r>
      <w:r w:rsidR="00AB2AD4" w:rsidRPr="00EE6FD2">
        <w:t>’</w:t>
      </w:r>
      <w:r w:rsidR="00BE24DB" w:rsidRPr="00EE6FD2">
        <w:t>s indictment</w:t>
      </w:r>
      <w:r w:rsidR="001A28C0" w:rsidRPr="00EE6FD2">
        <w:t xml:space="preserve"> the United States requested his extradition and assured the Government of Ecuador that the death penalty would not be sought or imposed in his case. </w:t>
      </w:r>
      <w:r w:rsidR="00AB2AD4" w:rsidRPr="00EE6FD2">
        <w:t>However</w:t>
      </w:r>
      <w:r w:rsidR="000200F3" w:rsidRPr="00EE6FD2">
        <w:t>, the</w:t>
      </w:r>
      <w:r w:rsidR="00AB2AD4" w:rsidRPr="00EE6FD2">
        <w:t xml:space="preserve"> formal process established in Article 5 of the Extradition Treaty between the United States and Ecuador was circumvented by the United States and, as a result, Mr. Serrano was deported in an illegal and expedite</w:t>
      </w:r>
      <w:r w:rsidR="000200F3" w:rsidRPr="00EE6FD2">
        <w:t>d</w:t>
      </w:r>
      <w:r w:rsidR="00AB2AD4" w:rsidRPr="00EE6FD2">
        <w:t xml:space="preserve"> manner as it was </w:t>
      </w:r>
      <w:r w:rsidR="00DB11DC" w:rsidRPr="00EE6FD2">
        <w:t>found</w:t>
      </w:r>
      <w:r w:rsidR="00AB2AD4" w:rsidRPr="00EE6FD2">
        <w:t xml:space="preserve"> by the IACHR in its Report No. 84/09. </w:t>
      </w:r>
    </w:p>
    <w:p w14:paraId="6E0D1CA0" w14:textId="77777777" w:rsidR="00AB2AD4" w:rsidRPr="00EE6FD2" w:rsidRDefault="00AB2AD4" w:rsidP="00AB2AD4">
      <w:pPr>
        <w:pStyle w:val="parrafos"/>
        <w:numPr>
          <w:ilvl w:val="0"/>
          <w:numId w:val="0"/>
        </w:numPr>
        <w:ind w:left="720" w:hanging="360"/>
      </w:pPr>
    </w:p>
    <w:p w14:paraId="08100536" w14:textId="77777777" w:rsidR="00BF5AA6" w:rsidRPr="00EE6FD2" w:rsidRDefault="00BE24DB" w:rsidP="00F47498">
      <w:pPr>
        <w:pStyle w:val="parrafos"/>
        <w:ind w:left="0" w:firstLine="0"/>
      </w:pPr>
      <w:r w:rsidRPr="00EE6FD2">
        <w:t xml:space="preserve">According to the procedures described above, </w:t>
      </w:r>
      <w:r w:rsidR="00C934A3" w:rsidRPr="00EE6FD2">
        <w:t>Mr. Serrano</w:t>
      </w:r>
      <w:r w:rsidR="0074248D" w:rsidRPr="00EE6FD2">
        <w:t xml:space="preserve"> filed a </w:t>
      </w:r>
      <w:r w:rsidR="00C934A3" w:rsidRPr="00EE6FD2">
        <w:t xml:space="preserve">motion </w:t>
      </w:r>
      <w:r w:rsidR="0074248D" w:rsidRPr="00EE6FD2">
        <w:t xml:space="preserve">before the trial court </w:t>
      </w:r>
      <w:r w:rsidR="00C934A3" w:rsidRPr="00EE6FD2">
        <w:t>to divest jurisdict</w:t>
      </w:r>
      <w:r w:rsidR="0074248D" w:rsidRPr="00EE6FD2">
        <w:t xml:space="preserve">ion and dismiss the indictment </w:t>
      </w:r>
      <w:r w:rsidR="00DB11DC" w:rsidRPr="00EE6FD2">
        <w:t>arguing</w:t>
      </w:r>
      <w:r w:rsidR="00C934A3" w:rsidRPr="00EE6FD2">
        <w:t xml:space="preserve"> that law enforcement officials kidnapped him in Ecuador and forcibly brought him to the United States, in violation of the U.S. – Ecuador Extradition Treaty </w:t>
      </w:r>
      <w:r w:rsidR="00C91C25" w:rsidRPr="00EE6FD2">
        <w:t>that prohibits extradition in death penalty cases</w:t>
      </w:r>
      <w:r w:rsidR="00C934A3" w:rsidRPr="00EE6FD2">
        <w:t xml:space="preserve">. </w:t>
      </w:r>
      <w:r w:rsidR="0074248D" w:rsidRPr="00EE6FD2">
        <w:t>The trial court denied the motion and t</w:t>
      </w:r>
      <w:r w:rsidR="00C934A3" w:rsidRPr="00EE6FD2">
        <w:t>he Supreme Court of Florida</w:t>
      </w:r>
      <w:r w:rsidR="0074248D" w:rsidRPr="00EE6FD2">
        <w:t xml:space="preserve"> affirmed the denial</w:t>
      </w:r>
      <w:r w:rsidR="00884C0B" w:rsidRPr="00EE6FD2">
        <w:t xml:space="preserve"> in direct appeal based on U.S. Supreme Court jurisprudence establishing that</w:t>
      </w:r>
      <w:r w:rsidR="006E770C" w:rsidRPr="00EE6FD2">
        <w:t xml:space="preserve"> a criminal defendant who was abducted from a country with which the United States has an extradition treaty cannot allege lack of jurisdiction. </w:t>
      </w:r>
      <w:r w:rsidR="00C91C25" w:rsidRPr="00EE6FD2">
        <w:t>Mr. Serrano’s</w:t>
      </w:r>
      <w:r w:rsidR="006E770C" w:rsidRPr="00EE6FD2">
        <w:t xml:space="preserve"> motion for post-conviction relief</w:t>
      </w:r>
      <w:r w:rsidR="00C91C25" w:rsidRPr="00EE6FD2">
        <w:t xml:space="preserve"> on the same grounds was also denied</w:t>
      </w:r>
      <w:r w:rsidR="006E770C" w:rsidRPr="00EE6FD2">
        <w:t xml:space="preserve">. The court </w:t>
      </w:r>
      <w:r w:rsidR="00C91C25" w:rsidRPr="00EE6FD2">
        <w:t>held</w:t>
      </w:r>
      <w:r w:rsidR="006E770C" w:rsidRPr="00EE6FD2">
        <w:t xml:space="preserve"> that</w:t>
      </w:r>
      <w:r w:rsidR="00C91C25" w:rsidRPr="00EE6FD2">
        <w:t xml:space="preserve"> “[w]hile extradition proceedings had been initiated and were ongoing, it became clear that the country of Ecuador would not extradite Mr. Serrano […], an effort was made </w:t>
      </w:r>
      <w:r w:rsidR="00BF5AA6" w:rsidRPr="00EE6FD2">
        <w:t>to demonstrate that Mr. Serrano held himself out as a United States Citizen,” and concluded that he “was not extradited but was deported from Ecuador.”</w:t>
      </w:r>
      <w:r w:rsidR="00E955E2" w:rsidRPr="00EE6FD2">
        <w:t xml:space="preserve"> The court also held that Mr. Serrano “had renounced his Ecuadorian citizenship and had not regained Ecuadorian citizenship until March 27, 2003, some seven month after he was deported.”</w:t>
      </w:r>
      <w:r w:rsidR="006D6646" w:rsidRPr="00EE6FD2">
        <w:t xml:space="preserve"> As </w:t>
      </w:r>
      <w:r w:rsidR="00603CD4" w:rsidRPr="00EE6FD2">
        <w:t>it has been proven, on August 21, 2000, Mr. Serrano entered Ecuador with his Ecuadorian passport and established residence in Ecuador as a national of that country.</w:t>
      </w:r>
    </w:p>
    <w:p w14:paraId="69A4AF6C" w14:textId="77777777" w:rsidR="00F501E2" w:rsidRPr="00EE6FD2" w:rsidRDefault="00F501E2" w:rsidP="00F501E2">
      <w:pPr>
        <w:pStyle w:val="parrafos"/>
        <w:numPr>
          <w:ilvl w:val="0"/>
          <w:numId w:val="0"/>
        </w:numPr>
      </w:pPr>
    </w:p>
    <w:p w14:paraId="6DEAB506" w14:textId="77777777" w:rsidR="000219FF" w:rsidRPr="00EE6FD2" w:rsidRDefault="0020221F" w:rsidP="00D064A8">
      <w:pPr>
        <w:pStyle w:val="parrafos"/>
        <w:ind w:left="0" w:firstLine="0"/>
      </w:pPr>
      <w:r w:rsidRPr="00EE6FD2">
        <w:t>F</w:t>
      </w:r>
      <w:r w:rsidR="00D064A8" w:rsidRPr="00EE6FD2">
        <w:t xml:space="preserve">rom the information available </w:t>
      </w:r>
      <w:r w:rsidRPr="00EE6FD2">
        <w:t xml:space="preserve">the IACHR notes </w:t>
      </w:r>
      <w:r w:rsidR="000219FF" w:rsidRPr="00EE6FD2">
        <w:t>that U.S. courts</w:t>
      </w:r>
      <w:r w:rsidR="00D064A8" w:rsidRPr="00EE6FD2">
        <w:t xml:space="preserve"> did not </w:t>
      </w:r>
      <w:r w:rsidRPr="00EE6FD2">
        <w:t>assess</w:t>
      </w:r>
      <w:r w:rsidR="00D064A8" w:rsidRPr="00EE6FD2">
        <w:t xml:space="preserve"> the fact that the </w:t>
      </w:r>
      <w:r w:rsidR="00F72EE7" w:rsidRPr="00EE6FD2">
        <w:t xml:space="preserve">Extradition Treaty, and therefore the </w:t>
      </w:r>
      <w:r w:rsidR="00D064A8" w:rsidRPr="00EE6FD2">
        <w:t xml:space="preserve">diplomatic </w:t>
      </w:r>
      <w:r w:rsidRPr="00EE6FD2">
        <w:t>assurance</w:t>
      </w:r>
      <w:r w:rsidR="00F72EE7" w:rsidRPr="00EE6FD2">
        <w:t>,</w:t>
      </w:r>
      <w:r w:rsidR="00D064A8" w:rsidRPr="00EE6FD2">
        <w:t xml:space="preserve"> </w:t>
      </w:r>
      <w:r w:rsidR="00F72EE7" w:rsidRPr="00EE6FD2">
        <w:t>was circumvented</w:t>
      </w:r>
      <w:r w:rsidR="00D064A8" w:rsidRPr="00EE6FD2">
        <w:t xml:space="preserve"> because United States</w:t>
      </w:r>
      <w:r w:rsidR="00806652" w:rsidRPr="00EE6FD2">
        <w:t xml:space="preserve"> authorities actively participated in changing the avenue used to bring Mr. Serrano to </w:t>
      </w:r>
      <w:r w:rsidR="007B5674" w:rsidRPr="00EE6FD2">
        <w:t>the United States</w:t>
      </w:r>
      <w:r w:rsidR="00806652" w:rsidRPr="00EE6FD2">
        <w:t xml:space="preserve">. </w:t>
      </w:r>
      <w:r w:rsidR="00BE3696" w:rsidRPr="00EE6FD2">
        <w:t xml:space="preserve">Considering that U.S. agents acted illegally in order to bring Mr. Serrano to justice, </w:t>
      </w:r>
      <w:r w:rsidR="00BE79B7" w:rsidRPr="00EE6FD2">
        <w:t xml:space="preserve">the diplomatic assurance of non-application of the death penalty should have been </w:t>
      </w:r>
      <w:r w:rsidR="00BE3696" w:rsidRPr="00EE6FD2">
        <w:t xml:space="preserve">respected </w:t>
      </w:r>
      <w:r w:rsidR="00BE79B7" w:rsidRPr="00EE6FD2">
        <w:t xml:space="preserve">in </w:t>
      </w:r>
      <w:r w:rsidR="007B5674" w:rsidRPr="00EE6FD2">
        <w:t>his</w:t>
      </w:r>
      <w:r w:rsidR="00BE79B7" w:rsidRPr="00EE6FD2">
        <w:t xml:space="preserve"> case</w:t>
      </w:r>
      <w:r w:rsidR="00BE3696" w:rsidRPr="00EE6FD2">
        <w:t>.</w:t>
      </w:r>
      <w:r w:rsidR="00865FA5" w:rsidRPr="00EE6FD2">
        <w:t xml:space="preserve"> The IACHR also notes that, according to the information available, the illegal actions of the U.S. agent in Ecuador were never investigated.</w:t>
      </w:r>
    </w:p>
    <w:p w14:paraId="602F8B82" w14:textId="77777777" w:rsidR="005B0477" w:rsidRPr="00EE6FD2" w:rsidRDefault="005B0477" w:rsidP="005C7EB1">
      <w:pPr>
        <w:pStyle w:val="ListParagraph"/>
      </w:pPr>
    </w:p>
    <w:p w14:paraId="1B07DC76" w14:textId="77777777" w:rsidR="006D545C" w:rsidRPr="00EE6FD2" w:rsidRDefault="006D545C" w:rsidP="006D545C">
      <w:pPr>
        <w:pStyle w:val="parrafos"/>
        <w:ind w:left="0" w:firstLine="0"/>
      </w:pPr>
      <w:r w:rsidRPr="00EE6FD2">
        <w:t xml:space="preserve">The Commission considers that a serious and exhaustive determination by the U.S. judicial authorities of the legal status by which Mr. Serrano was brought to its jurisdiction was fundamental, taking into account that, if it were determined that he could not be deported because he was an Ecuadorian national, the only other acceptable avenue was extradition, under which the United States had already provided diplomatic assurances not to impose the death penalty.  In that sense, it was an analysis directly linked to the right to life of the victim and not only to issues related to the legality or arbitrariness of his arrest or to due process. </w:t>
      </w:r>
    </w:p>
    <w:p w14:paraId="17A1535E" w14:textId="77777777" w:rsidR="006B7A06" w:rsidRPr="00EE6FD2" w:rsidRDefault="006B7A06" w:rsidP="006B7A06">
      <w:pPr>
        <w:pStyle w:val="ListParagraph"/>
        <w:rPr>
          <w:sz w:val="20"/>
          <w:szCs w:val="20"/>
        </w:rPr>
      </w:pPr>
    </w:p>
    <w:p w14:paraId="2307EEFA" w14:textId="77777777" w:rsidR="00E82D3C" w:rsidRPr="00EE6FD2" w:rsidRDefault="00E82D3C" w:rsidP="005318B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eastAsia="Times New Roman"/>
          <w:bCs/>
          <w:sz w:val="20"/>
          <w:szCs w:val="20"/>
          <w:bdr w:val="none" w:sz="0" w:space="0" w:color="auto"/>
        </w:rPr>
      </w:pPr>
      <w:r w:rsidRPr="00EE6FD2">
        <w:rPr>
          <w:rFonts w:eastAsia="Times New Roman"/>
          <w:bCs/>
          <w:sz w:val="20"/>
          <w:szCs w:val="20"/>
          <w:bdr w:val="none" w:sz="0" w:space="0" w:color="auto"/>
        </w:rPr>
        <w:t xml:space="preserve">In light of the above considerations, the IACHR concludes that the failure of the courts to respect the diplomatic assurance of non-application of the death penalty in the specific case amounts to a violation of Mr. Serrano’s rights under Articles XVIII, XXVI and I of the American Declaration. </w:t>
      </w:r>
    </w:p>
    <w:p w14:paraId="0267BEA5" w14:textId="77777777" w:rsidR="00E82D3C" w:rsidRPr="00EE6FD2" w:rsidRDefault="00E82D3C" w:rsidP="00E82D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s>
        <w:ind w:left="0"/>
        <w:jc w:val="both"/>
        <w:rPr>
          <w:rFonts w:eastAsia="Times New Roman"/>
          <w:bCs/>
          <w:sz w:val="20"/>
          <w:szCs w:val="20"/>
          <w:bdr w:val="none" w:sz="0" w:space="0" w:color="auto"/>
        </w:rPr>
      </w:pPr>
    </w:p>
    <w:p w14:paraId="610980E7" w14:textId="77777777" w:rsidR="006B7A06" w:rsidRPr="00EE6FD2" w:rsidRDefault="006B7A06" w:rsidP="00D064A8">
      <w:pPr>
        <w:pStyle w:val="parrafos"/>
        <w:ind w:left="0" w:firstLine="0"/>
      </w:pPr>
      <w:r w:rsidRPr="00EE6FD2">
        <w:t>With regard to the alleged lack</w:t>
      </w:r>
      <w:r w:rsidR="004C2FB1" w:rsidRPr="00EE6FD2">
        <w:t xml:space="preserve"> of effective assistance of </w:t>
      </w:r>
      <w:r w:rsidRPr="00EE6FD2">
        <w:t xml:space="preserve">state-appointed trial </w:t>
      </w:r>
      <w:r w:rsidR="004C2FB1" w:rsidRPr="00EE6FD2">
        <w:t>counsel</w:t>
      </w:r>
      <w:r w:rsidRPr="00EE6FD2">
        <w:t>, the Commission notes that</w:t>
      </w:r>
      <w:r w:rsidR="004C2FB1" w:rsidRPr="00EE6FD2">
        <w:t>, during trial,</w:t>
      </w:r>
      <w:r w:rsidRPr="00EE6FD2">
        <w:t xml:space="preserve"> </w:t>
      </w:r>
      <w:r w:rsidR="00382724" w:rsidRPr="00EE6FD2">
        <w:t>Mr. Serrano’s counsel</w:t>
      </w:r>
      <w:r w:rsidR="00195CF3" w:rsidRPr="00EE6FD2">
        <w:t xml:space="preserve"> </w:t>
      </w:r>
      <w:r w:rsidR="004C2FB1" w:rsidRPr="00EE6FD2">
        <w:t>argued</w:t>
      </w:r>
      <w:r w:rsidR="00195CF3" w:rsidRPr="00EE6FD2">
        <w:t xml:space="preserve">, </w:t>
      </w:r>
      <w:r w:rsidR="00195CF3" w:rsidRPr="00EE6FD2">
        <w:rPr>
          <w:i/>
        </w:rPr>
        <w:t>inter alia</w:t>
      </w:r>
      <w:r w:rsidR="00195CF3" w:rsidRPr="00EE6FD2">
        <w:t xml:space="preserve">, that the prosecution’s case was circumstantial, that circumstantial evidence is insufficient for convictions, and that the indictment should be dismissed based on lack of jurisdiction. </w:t>
      </w:r>
      <w:r w:rsidR="00382724" w:rsidRPr="00EE6FD2">
        <w:t xml:space="preserve">It also notes that in direct appeal the defense raised nine issues. </w:t>
      </w:r>
      <w:r w:rsidR="004C2FB1" w:rsidRPr="00EE6FD2">
        <w:t xml:space="preserve">Post-conviction counsel alleged ineffective assistance of trial counsel and </w:t>
      </w:r>
      <w:r w:rsidR="00382724" w:rsidRPr="00EE6FD2">
        <w:t>th</w:t>
      </w:r>
      <w:r w:rsidR="004C2FB1" w:rsidRPr="00EE6FD2">
        <w:t>e</w:t>
      </w:r>
      <w:r w:rsidR="00382724" w:rsidRPr="00EE6FD2">
        <w:t xml:space="preserve"> court</w:t>
      </w:r>
      <w:r w:rsidR="004C2FB1" w:rsidRPr="00EE6FD2">
        <w:t xml:space="preserve">, after analyzing the merits of </w:t>
      </w:r>
      <w:r w:rsidR="00382724" w:rsidRPr="00EE6FD2">
        <w:t>each</w:t>
      </w:r>
      <w:r w:rsidR="004C2FB1" w:rsidRPr="00EE6FD2">
        <w:t xml:space="preserve"> of the</w:t>
      </w:r>
      <w:r w:rsidR="00382724" w:rsidRPr="00EE6FD2">
        <w:t xml:space="preserve"> subclaim</w:t>
      </w:r>
      <w:r w:rsidR="004C2FB1" w:rsidRPr="00EE6FD2">
        <w:t>s,</w:t>
      </w:r>
      <w:r w:rsidR="00382724" w:rsidRPr="00EE6FD2">
        <w:t xml:space="preserve"> found that counsels’ performance did not f</w:t>
      </w:r>
      <w:r w:rsidR="000200F3" w:rsidRPr="00EE6FD2">
        <w:t>a</w:t>
      </w:r>
      <w:r w:rsidR="00382724" w:rsidRPr="00EE6FD2">
        <w:t xml:space="preserve">ll below an objective standard of reasonableness. </w:t>
      </w:r>
      <w:r w:rsidR="004C2FB1" w:rsidRPr="00EE6FD2">
        <w:t xml:space="preserve">The Commission has no information to arrive to a different conclusion. </w:t>
      </w:r>
      <w:r w:rsidR="00382724" w:rsidRPr="00EE6FD2">
        <w:t xml:space="preserve">  </w:t>
      </w:r>
      <w:r w:rsidR="00195CF3" w:rsidRPr="00EE6FD2">
        <w:t xml:space="preserve"> </w:t>
      </w:r>
    </w:p>
    <w:p w14:paraId="44A30A44" w14:textId="77777777" w:rsidR="00901310" w:rsidRPr="00EE6FD2" w:rsidRDefault="00901310" w:rsidP="00901310">
      <w:pPr>
        <w:pStyle w:val="ListParagraph"/>
        <w:rPr>
          <w:rFonts w:eastAsia="Times New Roman"/>
          <w:bCs/>
          <w:sz w:val="20"/>
          <w:szCs w:val="20"/>
          <w:bdr w:val="none" w:sz="0" w:space="0" w:color="auto"/>
        </w:rPr>
      </w:pPr>
    </w:p>
    <w:p w14:paraId="3DCDB635" w14:textId="77777777" w:rsidR="00901310" w:rsidRPr="00EE6FD2" w:rsidRDefault="00AC18DB" w:rsidP="00AC18DB">
      <w:pPr>
        <w:pStyle w:val="Heading2"/>
        <w:tabs>
          <w:tab w:val="left" w:pos="360"/>
        </w:tabs>
        <w:spacing w:before="0"/>
        <w:jc w:val="both"/>
        <w:rPr>
          <w:color w:val="auto"/>
          <w:sz w:val="20"/>
          <w:szCs w:val="20"/>
        </w:rPr>
      </w:pPr>
      <w:bookmarkStart w:id="31" w:name="_Toc41343337"/>
      <w:bookmarkStart w:id="32" w:name="_Toc10792024"/>
      <w:bookmarkStart w:id="33" w:name="_Toc10792026"/>
      <w:bookmarkEnd w:id="25"/>
      <w:r w:rsidRPr="00EE6FD2">
        <w:rPr>
          <w:color w:val="auto"/>
          <w:sz w:val="20"/>
          <w:szCs w:val="20"/>
        </w:rPr>
        <w:t>E.</w:t>
      </w:r>
      <w:r w:rsidRPr="00EE6FD2">
        <w:rPr>
          <w:color w:val="auto"/>
          <w:sz w:val="20"/>
          <w:szCs w:val="20"/>
        </w:rPr>
        <w:tab/>
      </w:r>
      <w:r w:rsidR="00901310" w:rsidRPr="00EE6FD2">
        <w:rPr>
          <w:color w:val="auto"/>
          <w:sz w:val="20"/>
          <w:szCs w:val="20"/>
        </w:rPr>
        <w:t>Right of protection against cruel, infamous or unusual punishment</w:t>
      </w:r>
      <w:r w:rsidR="00901310" w:rsidRPr="00EE6FD2">
        <w:rPr>
          <w:rStyle w:val="FootnoteReference"/>
          <w:rFonts w:ascii="Cambria" w:eastAsia="Arial Unicode MS" w:hAnsi="Cambria"/>
          <w:bCs w:val="0"/>
          <w:color w:val="auto"/>
          <w:sz w:val="20"/>
          <w:szCs w:val="20"/>
        </w:rPr>
        <w:footnoteReference w:id="51"/>
      </w:r>
      <w:bookmarkEnd w:id="31"/>
    </w:p>
    <w:bookmarkEnd w:id="32"/>
    <w:p w14:paraId="17D3F17D" w14:textId="77777777" w:rsidR="003F4494" w:rsidRPr="00EE6FD2" w:rsidRDefault="003F4494" w:rsidP="003F449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bCs/>
          <w:sz w:val="20"/>
          <w:szCs w:val="20"/>
        </w:rPr>
      </w:pPr>
    </w:p>
    <w:p w14:paraId="38E400E8" w14:textId="77777777" w:rsidR="00901310" w:rsidRPr="00EE6FD2" w:rsidRDefault="00901310" w:rsidP="00C804C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num" w:pos="2040"/>
        </w:tabs>
        <w:ind w:left="0" w:firstLine="0"/>
        <w:jc w:val="both"/>
        <w:rPr>
          <w:rFonts w:ascii="Cambria" w:hAnsi="Cambria"/>
          <w:bCs/>
          <w:sz w:val="20"/>
          <w:szCs w:val="20"/>
        </w:rPr>
      </w:pPr>
      <w:r w:rsidRPr="00EE6FD2">
        <w:rPr>
          <w:rFonts w:ascii="Cambria" w:hAnsi="Cambria"/>
          <w:sz w:val="20"/>
          <w:szCs w:val="20"/>
        </w:rPr>
        <w:t xml:space="preserve">In both international human rights law and comparative law, the issue of long term deprivation of liberty on death row, known as the “death row phenomenon,” has been developed for decades, in light of the </w:t>
      </w:r>
      <w:r w:rsidRPr="00EE6FD2">
        <w:rPr>
          <w:rFonts w:ascii="Cambria" w:hAnsi="Cambria"/>
          <w:sz w:val="20"/>
          <w:szCs w:val="20"/>
        </w:rPr>
        <w:lastRenderedPageBreak/>
        <w:t>prohibition of cruel, inhuman or degrading punishment in Constitutions and in multiple international treaties, including the American Declaration (Articles XXV and XXVI).</w:t>
      </w:r>
      <w:r w:rsidRPr="00EE6FD2">
        <w:rPr>
          <w:rStyle w:val="FootnoteReference"/>
          <w:rFonts w:ascii="Cambria" w:hAnsi="Cambria"/>
          <w:sz w:val="20"/>
          <w:szCs w:val="20"/>
        </w:rPr>
        <w:footnoteReference w:id="52"/>
      </w:r>
      <w:r w:rsidRPr="00EE6FD2">
        <w:rPr>
          <w:rFonts w:ascii="Cambria" w:hAnsi="Cambria"/>
          <w:sz w:val="20"/>
          <w:szCs w:val="20"/>
        </w:rPr>
        <w:t xml:space="preserve"> Based on those standards, in the case of Russell Bucklew the IACHR found that “the very fact of spending 20 years on death row is, by any account, excessive and inhuman.”</w:t>
      </w:r>
      <w:r w:rsidRPr="00EE6FD2">
        <w:rPr>
          <w:rStyle w:val="FootnoteReference"/>
          <w:rFonts w:ascii="Cambria" w:hAnsi="Cambria"/>
          <w:sz w:val="20"/>
          <w:szCs w:val="20"/>
        </w:rPr>
        <w:footnoteReference w:id="53"/>
      </w:r>
    </w:p>
    <w:p w14:paraId="1E039C79" w14:textId="77777777" w:rsidR="00901310" w:rsidRPr="00EE6FD2" w:rsidRDefault="00901310" w:rsidP="009013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0B969FC8" w14:textId="77777777" w:rsidR="00901310" w:rsidRPr="00EE6FD2" w:rsidRDefault="00901310" w:rsidP="00C804C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2040"/>
        </w:tabs>
        <w:ind w:left="0" w:firstLine="0"/>
        <w:jc w:val="both"/>
        <w:rPr>
          <w:rFonts w:ascii="Cambria" w:hAnsi="Cambria"/>
          <w:bCs/>
          <w:i/>
          <w:sz w:val="20"/>
          <w:szCs w:val="20"/>
        </w:rPr>
      </w:pPr>
      <w:r w:rsidRPr="00EE6FD2">
        <w:rPr>
          <w:rFonts w:ascii="Cambria" w:hAnsi="Cambria"/>
          <w:sz w:val="20"/>
          <w:szCs w:val="20"/>
        </w:rPr>
        <w:t xml:space="preserve">As established in this report, Mr. </w:t>
      </w:r>
      <w:r w:rsidR="00C877FD" w:rsidRPr="00EE6FD2">
        <w:rPr>
          <w:rFonts w:asciiTheme="majorHAnsi" w:hAnsiTheme="majorHAnsi"/>
          <w:color w:val="000000" w:themeColor="text1"/>
          <w:sz w:val="20"/>
          <w:szCs w:val="20"/>
        </w:rPr>
        <w:t>Serrano</w:t>
      </w:r>
      <w:r w:rsidRPr="00EE6FD2">
        <w:rPr>
          <w:rFonts w:ascii="Cambria" w:hAnsi="Cambria"/>
          <w:sz w:val="20"/>
          <w:szCs w:val="20"/>
        </w:rPr>
        <w:t xml:space="preserve"> has been deprived of his liberty on death row for </w:t>
      </w:r>
      <w:r w:rsidR="00C877FD" w:rsidRPr="00EE6FD2">
        <w:rPr>
          <w:rFonts w:ascii="Cambria" w:hAnsi="Cambria"/>
          <w:sz w:val="20"/>
          <w:szCs w:val="20"/>
        </w:rPr>
        <w:t>1</w:t>
      </w:r>
      <w:r w:rsidRPr="00EE6FD2">
        <w:rPr>
          <w:rFonts w:ascii="Cambria" w:hAnsi="Cambria"/>
          <w:sz w:val="20"/>
          <w:szCs w:val="20"/>
        </w:rPr>
        <w:t>7 years.</w:t>
      </w:r>
      <w:r w:rsidRPr="00EE6FD2">
        <w:rPr>
          <w:rFonts w:ascii="Cambria" w:hAnsi="Cambria"/>
          <w:bCs/>
          <w:sz w:val="20"/>
          <w:szCs w:val="20"/>
        </w:rPr>
        <w:t xml:space="preserve"> </w:t>
      </w:r>
      <w:r w:rsidRPr="00EE6FD2">
        <w:rPr>
          <w:rFonts w:ascii="Cambria" w:hAnsi="Cambria"/>
          <w:sz w:val="20"/>
          <w:szCs w:val="20"/>
        </w:rPr>
        <w:t xml:space="preserve">The Commission notes that the time spent on death row exceeds the length of time that other international and domestic courts have characterized as cruel, inhuman and degrading treatment. The very fact of spending </w:t>
      </w:r>
      <w:r w:rsidR="00C877FD" w:rsidRPr="00EE6FD2">
        <w:rPr>
          <w:rFonts w:ascii="Cambria" w:hAnsi="Cambria"/>
          <w:sz w:val="20"/>
          <w:szCs w:val="20"/>
        </w:rPr>
        <w:t>1</w:t>
      </w:r>
      <w:r w:rsidRPr="00EE6FD2">
        <w:rPr>
          <w:rFonts w:ascii="Cambria" w:hAnsi="Cambria"/>
          <w:sz w:val="20"/>
          <w:szCs w:val="20"/>
        </w:rPr>
        <w:t>7 years on death row is, by any account, excessive and inhuman, and is aggravated by the prolonged expectation that the death sentence could be executed.</w:t>
      </w:r>
      <w:r w:rsidRPr="00EE6FD2">
        <w:rPr>
          <w:rFonts w:ascii="Cambria" w:hAnsi="Cambria"/>
          <w:bCs/>
          <w:i/>
          <w:sz w:val="20"/>
          <w:szCs w:val="20"/>
        </w:rPr>
        <w:t xml:space="preserve"> </w:t>
      </w:r>
      <w:r w:rsidR="00252355" w:rsidRPr="00EE6FD2">
        <w:rPr>
          <w:rFonts w:ascii="Cambria" w:hAnsi="Cambria"/>
          <w:bCs/>
          <w:sz w:val="20"/>
          <w:szCs w:val="20"/>
        </w:rPr>
        <w:t>This</w:t>
      </w:r>
      <w:r w:rsidR="00252355" w:rsidRPr="00EE6FD2">
        <w:rPr>
          <w:rFonts w:ascii="Cambria" w:hAnsi="Cambria"/>
          <w:sz w:val="20"/>
          <w:szCs w:val="20"/>
        </w:rPr>
        <w:t xml:space="preserve"> is also aggravated by the fact that Mr. Serrano is currently 80 years old </w:t>
      </w:r>
      <w:r w:rsidR="006763F3" w:rsidRPr="00EE6FD2">
        <w:rPr>
          <w:rFonts w:ascii="Cambria" w:hAnsi="Cambria"/>
          <w:sz w:val="20"/>
          <w:szCs w:val="20"/>
        </w:rPr>
        <w:t>and is therefore in a situation of vulnerability.</w:t>
      </w:r>
      <w:r w:rsidR="00252355" w:rsidRPr="00EE6FD2">
        <w:rPr>
          <w:rFonts w:ascii="Cambria" w:hAnsi="Cambria"/>
          <w:sz w:val="20"/>
          <w:szCs w:val="20"/>
        </w:rPr>
        <w:t xml:space="preserve"> </w:t>
      </w:r>
      <w:r w:rsidRPr="00EE6FD2">
        <w:rPr>
          <w:rFonts w:ascii="Cambria" w:hAnsi="Cambria"/>
          <w:sz w:val="20"/>
          <w:szCs w:val="20"/>
        </w:rPr>
        <w:t xml:space="preserve">Consequently, the United States is responsible for violating, to the detriment of Mr. </w:t>
      </w:r>
      <w:r w:rsidR="00C877FD" w:rsidRPr="00EE6FD2">
        <w:rPr>
          <w:rFonts w:asciiTheme="majorHAnsi" w:hAnsiTheme="majorHAnsi"/>
          <w:color w:val="000000" w:themeColor="text1"/>
          <w:sz w:val="20"/>
          <w:szCs w:val="20"/>
        </w:rPr>
        <w:t>Serrano</w:t>
      </w:r>
      <w:r w:rsidRPr="00EE6FD2">
        <w:rPr>
          <w:rFonts w:ascii="Cambria" w:hAnsi="Cambria"/>
          <w:sz w:val="20"/>
          <w:szCs w:val="20"/>
        </w:rPr>
        <w:t>, the right to humane treatment, and not to receive cruel, infamous or unusual punishment established in the American Declaration.</w:t>
      </w:r>
      <w:r w:rsidRPr="00EE6FD2">
        <w:rPr>
          <w:rFonts w:ascii="Cambria" w:hAnsi="Cambria"/>
          <w:b/>
          <w:sz w:val="20"/>
          <w:szCs w:val="20"/>
        </w:rPr>
        <w:t xml:space="preserve">  </w:t>
      </w:r>
    </w:p>
    <w:p w14:paraId="2C7C7C9F" w14:textId="77777777" w:rsidR="00901310" w:rsidRPr="00EE6FD2" w:rsidRDefault="00901310" w:rsidP="00901310">
      <w:pPr>
        <w:pStyle w:val="NormalWeb"/>
        <w:shd w:val="clear" w:color="auto" w:fill="FFFFFF"/>
        <w:tabs>
          <w:tab w:val="left" w:pos="360"/>
        </w:tabs>
        <w:spacing w:before="0" w:beforeAutospacing="0" w:after="0" w:afterAutospacing="0"/>
        <w:jc w:val="both"/>
        <w:rPr>
          <w:rFonts w:asciiTheme="majorHAnsi" w:hAnsiTheme="majorHAnsi"/>
          <w:b/>
          <w:sz w:val="20"/>
        </w:rPr>
      </w:pPr>
    </w:p>
    <w:p w14:paraId="3EC5A5BF" w14:textId="77777777" w:rsidR="00052210" w:rsidRPr="00EE6FD2" w:rsidRDefault="00AC18DB" w:rsidP="00AC18DB">
      <w:pPr>
        <w:pStyle w:val="Heading2"/>
        <w:tabs>
          <w:tab w:val="left" w:pos="360"/>
        </w:tabs>
        <w:spacing w:before="0"/>
        <w:jc w:val="both"/>
        <w:rPr>
          <w:color w:val="auto"/>
          <w:sz w:val="20"/>
          <w:szCs w:val="20"/>
        </w:rPr>
      </w:pPr>
      <w:bookmarkStart w:id="34" w:name="_Toc41343338"/>
      <w:r w:rsidRPr="00EE6FD2">
        <w:rPr>
          <w:color w:val="auto"/>
          <w:sz w:val="20"/>
          <w:szCs w:val="20"/>
        </w:rPr>
        <w:t>F.</w:t>
      </w:r>
      <w:r w:rsidRPr="00EE6FD2">
        <w:rPr>
          <w:color w:val="auto"/>
          <w:sz w:val="20"/>
          <w:szCs w:val="20"/>
        </w:rPr>
        <w:tab/>
      </w:r>
      <w:r w:rsidR="00052210" w:rsidRPr="00EE6FD2">
        <w:rPr>
          <w:color w:val="auto"/>
          <w:sz w:val="20"/>
          <w:szCs w:val="20"/>
        </w:rPr>
        <w:t xml:space="preserve">The right to life and the right to protection against cruel, infamous or unusual punishment with respect to the eventual execution of </w:t>
      </w:r>
      <w:bookmarkEnd w:id="33"/>
      <w:r w:rsidR="00052210" w:rsidRPr="00EE6FD2">
        <w:rPr>
          <w:color w:val="auto"/>
          <w:sz w:val="20"/>
          <w:szCs w:val="20"/>
        </w:rPr>
        <w:t>Nelson Ivan Serrano Saenz</w:t>
      </w:r>
      <w:bookmarkEnd w:id="34"/>
    </w:p>
    <w:p w14:paraId="3F745CE4" w14:textId="77777777" w:rsidR="00052210" w:rsidRPr="00EE6FD2" w:rsidRDefault="00052210" w:rsidP="0005221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6E1C5BC2" w14:textId="77777777" w:rsidR="00052210" w:rsidRPr="00EE6FD2" w:rsidRDefault="00052210" w:rsidP="000522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E6FD2">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EE6FD2">
        <w:rPr>
          <w:rStyle w:val="FootnoteReference"/>
          <w:rFonts w:ascii="Cambria" w:hAnsi="Cambria"/>
          <w:sz w:val="20"/>
          <w:szCs w:val="20"/>
        </w:rPr>
        <w:footnoteReference w:id="54"/>
      </w:r>
    </w:p>
    <w:p w14:paraId="50F925E0" w14:textId="77777777" w:rsidR="00052210" w:rsidRPr="00EE6FD2" w:rsidRDefault="00052210" w:rsidP="000522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cs="Times New Roman"/>
          <w:color w:val="auto"/>
          <w:sz w:val="20"/>
          <w:szCs w:val="20"/>
          <w:lang w:eastAsia="en-US"/>
        </w:rPr>
      </w:pPr>
    </w:p>
    <w:p w14:paraId="012EDAB8" w14:textId="77777777" w:rsidR="00D03984" w:rsidRPr="00EE6FD2" w:rsidRDefault="00052210" w:rsidP="000522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E6FD2">
        <w:rPr>
          <w:rFonts w:ascii="Cambria" w:hAnsi="Cambria"/>
          <w:sz w:val="20"/>
          <w:szCs w:val="20"/>
        </w:rPr>
        <w:t>Throughout this report, the Commission established that</w:t>
      </w:r>
      <w:r w:rsidR="00D03984" w:rsidRPr="00EE6FD2">
        <w:rPr>
          <w:rFonts w:ascii="Cambria" w:hAnsi="Cambria"/>
          <w:sz w:val="20"/>
          <w:szCs w:val="20"/>
        </w:rPr>
        <w:t xml:space="preserve"> Mr. Serrano was subjected to illegal and arbitrary arrest, that </w:t>
      </w:r>
      <w:r w:rsidR="003A7D69" w:rsidRPr="00EE6FD2">
        <w:rPr>
          <w:rFonts w:ascii="Cambria" w:hAnsi="Cambria"/>
          <w:sz w:val="20"/>
          <w:szCs w:val="20"/>
        </w:rPr>
        <w:t>domestic courts failed to respect the diplomatic assurance of non-application of the death penalty, and that the 17 years that Mr. Serrano has been on death row constitute cruel and inhumane treatment.</w:t>
      </w:r>
    </w:p>
    <w:p w14:paraId="7D897E3C" w14:textId="77777777" w:rsidR="00D03984" w:rsidRPr="00EE6FD2" w:rsidRDefault="00D03984" w:rsidP="00D03984">
      <w:pPr>
        <w:pStyle w:val="ListParagraph"/>
        <w:rPr>
          <w:sz w:val="20"/>
          <w:szCs w:val="20"/>
        </w:rPr>
      </w:pPr>
    </w:p>
    <w:p w14:paraId="1EBCC93F" w14:textId="77777777" w:rsidR="00052210" w:rsidRPr="00EE6FD2" w:rsidRDefault="00052210" w:rsidP="000522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E6FD2">
        <w:rPr>
          <w:rFonts w:ascii="Cambria" w:hAnsi="Cambria"/>
          <w:sz w:val="20"/>
          <w:szCs w:val="20"/>
        </w:rPr>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EE6FD2">
        <w:rPr>
          <w:rStyle w:val="FootnoteReference"/>
          <w:rFonts w:ascii="Cambria" w:hAnsi="Cambria"/>
          <w:sz w:val="20"/>
          <w:szCs w:val="20"/>
        </w:rPr>
        <w:footnoteReference w:id="55"/>
      </w:r>
      <w:r w:rsidRPr="00EE6FD2">
        <w:rPr>
          <w:rFonts w:ascii="Cambria" w:hAnsi="Cambria"/>
          <w:sz w:val="20"/>
          <w:szCs w:val="20"/>
        </w:rPr>
        <w:t xml:space="preserve"> Further, based on the conclusions regarding the deprivation of liberty on death row, the eventual execution of Mr. Serrano would constitute, by any account, a violation of the right to protection against cruel, infamous or unusual punishment. In light of the foregoing and taking into account the determinations made throughout this report, the IACHR concludes that the execution of Mr. Serrano would constitute a serious violation of his right to life established in Articles I of the American Declaration.</w:t>
      </w:r>
    </w:p>
    <w:p w14:paraId="4B81483C" w14:textId="77777777" w:rsidR="003F4494" w:rsidRPr="00EE6FD2" w:rsidRDefault="003F4494">
      <w:pPr>
        <w:rPr>
          <w:rFonts w:asciiTheme="majorHAnsi" w:eastAsiaTheme="majorEastAsia" w:hAnsiTheme="majorHAnsi" w:cstheme="majorBidi"/>
          <w:b/>
          <w:bCs/>
          <w:sz w:val="20"/>
          <w:szCs w:val="20"/>
        </w:rPr>
      </w:pPr>
      <w:bookmarkStart w:id="35" w:name="_Toc535334407"/>
    </w:p>
    <w:p w14:paraId="39BCF12D" w14:textId="77777777" w:rsidR="00C451FC" w:rsidRPr="00EE6FD2" w:rsidRDefault="00C451FC" w:rsidP="00F22563">
      <w:pPr>
        <w:pStyle w:val="Heading1"/>
        <w:keepNext w:val="0"/>
        <w:keepLines w:val="0"/>
        <w:numPr>
          <w:ilvl w:val="0"/>
          <w:numId w:val="55"/>
        </w:numPr>
        <w:suppressAutoHyphens/>
        <w:spacing w:before="0"/>
        <w:ind w:left="360" w:hanging="360"/>
        <w:rPr>
          <w:color w:val="auto"/>
          <w:sz w:val="20"/>
          <w:szCs w:val="20"/>
        </w:rPr>
      </w:pPr>
      <w:bookmarkStart w:id="36" w:name="_Toc41343339"/>
      <w:r w:rsidRPr="00EE6FD2">
        <w:rPr>
          <w:color w:val="auto"/>
          <w:sz w:val="20"/>
          <w:szCs w:val="20"/>
        </w:rPr>
        <w:t xml:space="preserve">ACTIONS SUBSEQUENT TO REPORT No. </w:t>
      </w:r>
      <w:r w:rsidR="000C6013" w:rsidRPr="00EE6FD2">
        <w:rPr>
          <w:color w:val="auto"/>
          <w:sz w:val="20"/>
          <w:szCs w:val="20"/>
        </w:rPr>
        <w:t>153</w:t>
      </w:r>
      <w:r w:rsidRPr="00EE6FD2">
        <w:rPr>
          <w:color w:val="auto"/>
          <w:sz w:val="20"/>
          <w:szCs w:val="20"/>
        </w:rPr>
        <w:t>/19</w:t>
      </w:r>
      <w:bookmarkEnd w:id="36"/>
    </w:p>
    <w:p w14:paraId="207D1AD9" w14:textId="77777777" w:rsidR="00C451FC" w:rsidRPr="00EE6FD2" w:rsidRDefault="00C451FC" w:rsidP="00C451FC"/>
    <w:p w14:paraId="7A7BC5F4" w14:textId="77777777" w:rsidR="00C451FC" w:rsidRPr="00EE6FD2" w:rsidRDefault="00C451FC" w:rsidP="00C451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E6FD2">
        <w:rPr>
          <w:rFonts w:ascii="Cambria" w:hAnsi="Cambria"/>
          <w:sz w:val="20"/>
          <w:szCs w:val="20"/>
        </w:rPr>
        <w:t xml:space="preserve">On </w:t>
      </w:r>
      <w:r w:rsidR="000C6013" w:rsidRPr="00EE6FD2">
        <w:rPr>
          <w:rFonts w:ascii="Cambria" w:hAnsi="Cambria"/>
          <w:sz w:val="20"/>
          <w:szCs w:val="20"/>
        </w:rPr>
        <w:t>September 28</w:t>
      </w:r>
      <w:r w:rsidRPr="00EE6FD2">
        <w:rPr>
          <w:rFonts w:ascii="Cambria" w:hAnsi="Cambria"/>
          <w:sz w:val="20"/>
          <w:szCs w:val="20"/>
        </w:rPr>
        <w:t xml:space="preserve">, 2019, the Commission </w:t>
      </w:r>
      <w:r w:rsidR="000C6013" w:rsidRPr="00EE6FD2">
        <w:rPr>
          <w:rFonts w:ascii="Cambria" w:hAnsi="Cambria"/>
          <w:sz w:val="20"/>
          <w:szCs w:val="20"/>
        </w:rPr>
        <w:t>adopted</w:t>
      </w:r>
      <w:r w:rsidRPr="00EE6FD2">
        <w:rPr>
          <w:rFonts w:ascii="Cambria" w:hAnsi="Cambria"/>
          <w:sz w:val="20"/>
          <w:szCs w:val="20"/>
        </w:rPr>
        <w:t xml:space="preserve"> Report No. </w:t>
      </w:r>
      <w:r w:rsidR="000C6013" w:rsidRPr="00EE6FD2">
        <w:rPr>
          <w:rFonts w:ascii="Cambria" w:hAnsi="Cambria"/>
          <w:sz w:val="20"/>
          <w:szCs w:val="20"/>
        </w:rPr>
        <w:t>153</w:t>
      </w:r>
      <w:r w:rsidRPr="00EE6FD2">
        <w:rPr>
          <w:rFonts w:ascii="Cambria" w:hAnsi="Cambria"/>
          <w:sz w:val="20"/>
          <w:szCs w:val="20"/>
        </w:rPr>
        <w:t xml:space="preserve">/19 on the merits of the instant case, which encompasses paragraphs 1 to 73 </w:t>
      </w:r>
      <w:r w:rsidRPr="00EE6FD2">
        <w:rPr>
          <w:rFonts w:ascii="Cambria" w:hAnsi="Cambria"/>
          <w:i/>
          <w:sz w:val="20"/>
          <w:szCs w:val="20"/>
        </w:rPr>
        <w:t>supra</w:t>
      </w:r>
      <w:r w:rsidRPr="00EE6FD2">
        <w:rPr>
          <w:rFonts w:ascii="Cambria" w:hAnsi="Cambria"/>
          <w:sz w:val="20"/>
          <w:szCs w:val="20"/>
        </w:rPr>
        <w:t xml:space="preserve">, and issued the following recommendations to the State: </w:t>
      </w:r>
    </w:p>
    <w:p w14:paraId="79661AA6" w14:textId="77777777" w:rsidR="00C451FC" w:rsidRPr="00EE6FD2" w:rsidRDefault="00C451FC" w:rsidP="00C451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5D1939A1" w14:textId="77777777" w:rsidR="00C451FC" w:rsidRPr="00EE6FD2" w:rsidRDefault="00C451FC" w:rsidP="00C451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rFonts w:eastAsia="Times New Roman" w:cs="Tahoma"/>
          <w:sz w:val="20"/>
          <w:szCs w:val="20"/>
          <w:bdr w:val="none" w:sz="0" w:space="0" w:color="auto"/>
        </w:rPr>
        <w:t xml:space="preserve">Grant </w:t>
      </w:r>
      <w:r w:rsidRPr="00EE6FD2">
        <w:rPr>
          <w:rFonts w:asciiTheme="majorHAnsi" w:hAnsiTheme="majorHAnsi"/>
          <w:color w:val="000000" w:themeColor="text1"/>
          <w:sz w:val="20"/>
          <w:szCs w:val="20"/>
        </w:rPr>
        <w:t>Nelson Ivan Serrano Saenz</w:t>
      </w:r>
      <w:r w:rsidRPr="00EE6FD2">
        <w:rPr>
          <w:rFonts w:eastAsia="Times New Roman" w:cs="Tahoma"/>
          <w:sz w:val="20"/>
          <w:szCs w:val="20"/>
          <w:bdr w:val="none" w:sz="0" w:space="0" w:color="auto"/>
        </w:rPr>
        <w:t xml:space="preserve"> effective relief, including the review of his trial and sentence in accordance with the guarantees of fair trial and due process set forth in Articles </w:t>
      </w:r>
      <w:r w:rsidRPr="00EE6FD2">
        <w:rPr>
          <w:rFonts w:asciiTheme="majorHAnsi" w:hAnsiTheme="majorHAnsi"/>
          <w:color w:val="000000" w:themeColor="text1"/>
          <w:sz w:val="20"/>
          <w:szCs w:val="20"/>
        </w:rPr>
        <w:t xml:space="preserve">XVIII, XXV and XXVI </w:t>
      </w:r>
      <w:r w:rsidRPr="00EE6FD2">
        <w:rPr>
          <w:rFonts w:eastAsia="Times New Roman" w:cs="Tahoma"/>
          <w:sz w:val="20"/>
          <w:szCs w:val="20"/>
          <w:bdr w:val="none" w:sz="0" w:space="0" w:color="auto"/>
        </w:rPr>
        <w:t xml:space="preserve">of the American Declaration, and the payment of pecuniary compensation. </w:t>
      </w:r>
      <w:r w:rsidRPr="00EE6FD2">
        <w:rPr>
          <w:rFonts w:cs="Arial"/>
          <w:color w:val="auto"/>
          <w:sz w:val="20"/>
          <w:szCs w:val="20"/>
        </w:rPr>
        <w:t xml:space="preserve">Taking into account the conclusions of the IACHR on the time </w:t>
      </w:r>
      <w:r w:rsidRPr="00EE6FD2">
        <w:rPr>
          <w:rFonts w:asciiTheme="majorHAnsi" w:hAnsiTheme="majorHAnsi"/>
          <w:color w:val="000000" w:themeColor="text1"/>
          <w:sz w:val="20"/>
          <w:szCs w:val="20"/>
        </w:rPr>
        <w:t>Nelson Ivan Serrano Saenz</w:t>
      </w:r>
      <w:r w:rsidRPr="00EE6FD2">
        <w:rPr>
          <w:rFonts w:cs="Arial"/>
          <w:color w:val="auto"/>
          <w:sz w:val="20"/>
          <w:szCs w:val="20"/>
        </w:rPr>
        <w:t xml:space="preserve"> has been held on death row, the Commission recommends that his sentence be commuted</w:t>
      </w:r>
      <w:r w:rsidRPr="00EE6FD2">
        <w:rPr>
          <w:rFonts w:eastAsia="Times New Roman" w:cs="Tahoma"/>
          <w:sz w:val="20"/>
          <w:szCs w:val="20"/>
          <w:bdr w:val="none" w:sz="0" w:space="0" w:color="auto"/>
        </w:rPr>
        <w:t>.</w:t>
      </w:r>
    </w:p>
    <w:p w14:paraId="2BC4C1E9" w14:textId="77777777" w:rsidR="00C451FC" w:rsidRPr="00EE6FD2" w:rsidRDefault="00C451FC" w:rsidP="00C451F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p>
    <w:p w14:paraId="364FDB1E" w14:textId="77777777" w:rsidR="00C451FC" w:rsidRPr="00EE6FD2" w:rsidRDefault="00C451FC" w:rsidP="00C451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sz w:val="20"/>
        </w:rPr>
        <w:t>Review its laws, procedures, and practices at the state, and if applicable, at the federal level to ensure that persons accused of capital crimes are tried and, if convicted, sentenced in accordance with the rights established in the American Declaration, including Articles I, XVIII, XXV and XXVI thereof, and, in particular,</w:t>
      </w:r>
      <w:r w:rsidRPr="00EE6FD2">
        <w:rPr>
          <w:rFonts w:eastAsia="Times New Roman"/>
          <w:sz w:val="20"/>
          <w:szCs w:val="20"/>
          <w:bdr w:val="none" w:sz="0" w:space="0" w:color="auto"/>
        </w:rPr>
        <w:t xml:space="preserve"> </w:t>
      </w:r>
      <w:r w:rsidRPr="00EE6FD2">
        <w:rPr>
          <w:rFonts w:eastAsia="Times New Roman"/>
          <w:sz w:val="20"/>
          <w:szCs w:val="20"/>
          <w:bdr w:val="none" w:sz="0" w:space="0" w:color="auto"/>
        </w:rPr>
        <w:lastRenderedPageBreak/>
        <w:t xml:space="preserve">that defendants residing abroad are brought to the United States according to due process guarantees and that diplomatic assurances </w:t>
      </w:r>
      <w:r w:rsidRPr="00EE6FD2">
        <w:rPr>
          <w:rFonts w:eastAsia="Arial Unicode MS"/>
          <w:sz w:val="20"/>
          <w:szCs w:val="20"/>
        </w:rPr>
        <w:t>of non-application of the death penalty are respected.</w:t>
      </w:r>
    </w:p>
    <w:p w14:paraId="3095CEB6" w14:textId="77777777" w:rsidR="00C451FC" w:rsidRPr="00EE6FD2" w:rsidRDefault="00C451FC" w:rsidP="00C451FC">
      <w:pPr>
        <w:pStyle w:val="ListParagraph"/>
        <w:rPr>
          <w:rFonts w:eastAsia="Times New Roman" w:cs="Tahoma"/>
          <w:sz w:val="20"/>
          <w:szCs w:val="20"/>
          <w:bdr w:val="none" w:sz="0" w:space="0" w:color="auto"/>
        </w:rPr>
      </w:pPr>
    </w:p>
    <w:p w14:paraId="7E27FA86" w14:textId="77777777" w:rsidR="00C451FC" w:rsidRPr="00EE6FD2" w:rsidRDefault="00C451FC" w:rsidP="00C451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rFonts w:eastAsia="Times New Roman" w:cs="Tahoma"/>
          <w:sz w:val="20"/>
          <w:szCs w:val="20"/>
          <w:bdr w:val="none" w:sz="0" w:space="0" w:color="auto" w:frame="1"/>
        </w:rPr>
        <w:t>Ensure that conditions on death row are compatible with international human rights standards in accordance with the right of protection against cruel, infamous or unusual punishment.</w:t>
      </w:r>
    </w:p>
    <w:p w14:paraId="5EC2E1C9" w14:textId="77777777" w:rsidR="00C451FC" w:rsidRPr="00EE6FD2" w:rsidRDefault="00C451FC" w:rsidP="00C451F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p>
    <w:p w14:paraId="755CC6A4" w14:textId="77777777" w:rsidR="00C451FC" w:rsidRPr="00EE6FD2" w:rsidRDefault="00C451FC" w:rsidP="00C451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rFonts w:asciiTheme="majorHAnsi" w:hAnsiTheme="majorHAnsi"/>
          <w:sz w:val="20"/>
        </w:rPr>
        <w:t>Given the violations of the American Declaration the IACHR has established in the present</w:t>
      </w:r>
      <w:r w:rsidRPr="00EE6FD2">
        <w:rPr>
          <w:sz w:val="20"/>
        </w:rPr>
        <w:t xml:space="preserve"> case and in others involving application of the death penalty, the Inter-American Commission also recommends to the United States that it adopt a moratorium on executions of persons sentenced to death.</w:t>
      </w:r>
      <w:r w:rsidRPr="00EE6FD2">
        <w:rPr>
          <w:rStyle w:val="FootnoteReference"/>
          <w:sz w:val="20"/>
        </w:rPr>
        <w:footnoteReference w:id="56"/>
      </w:r>
    </w:p>
    <w:p w14:paraId="033D6DA1" w14:textId="77777777" w:rsidR="00C451FC" w:rsidRPr="00EE6FD2" w:rsidRDefault="00C451FC" w:rsidP="00C451FC"/>
    <w:p w14:paraId="66A36A44" w14:textId="77777777" w:rsidR="00C451FC" w:rsidRPr="00EE6FD2" w:rsidRDefault="00C451FC" w:rsidP="00C451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sidRPr="00EE6FD2">
        <w:rPr>
          <w:rFonts w:ascii="Cambria" w:hAnsi="Cambria"/>
          <w:sz w:val="20"/>
          <w:szCs w:val="20"/>
        </w:rPr>
        <w:t xml:space="preserve">On November 21, 2019, the Commission transmitted the report to the State with a time period of two months to inform the Inter-American Commission on the measures taken to comply with its recommendations. On that same date the IACHR notified the petitioners about the adoption of the report. To date, the IACHR has not received any response from the United States regarding Report No. </w:t>
      </w:r>
      <w:r w:rsidR="000C6013" w:rsidRPr="00EE6FD2">
        <w:rPr>
          <w:rFonts w:ascii="Cambria" w:hAnsi="Cambria"/>
          <w:sz w:val="20"/>
          <w:szCs w:val="20"/>
        </w:rPr>
        <w:t>153</w:t>
      </w:r>
      <w:r w:rsidRPr="00EE6FD2">
        <w:rPr>
          <w:rFonts w:ascii="Cambria" w:hAnsi="Cambria"/>
          <w:sz w:val="20"/>
          <w:szCs w:val="20"/>
        </w:rPr>
        <w:t>/19.</w:t>
      </w:r>
    </w:p>
    <w:p w14:paraId="26309610" w14:textId="77777777" w:rsidR="00C451FC" w:rsidRPr="00EE6FD2" w:rsidRDefault="00C451FC" w:rsidP="00C451FC"/>
    <w:p w14:paraId="30F9A8BF" w14:textId="77777777" w:rsidR="00EE6FD2" w:rsidRPr="00D67B2A" w:rsidRDefault="00EE6FD2" w:rsidP="00EE6FD2">
      <w:pPr>
        <w:pStyle w:val="Heading1"/>
        <w:keepNext w:val="0"/>
        <w:keepLines w:val="0"/>
        <w:numPr>
          <w:ilvl w:val="0"/>
          <w:numId w:val="55"/>
        </w:numPr>
        <w:tabs>
          <w:tab w:val="left" w:pos="540"/>
          <w:tab w:val="left" w:pos="720"/>
        </w:tabs>
        <w:suppressAutoHyphens/>
        <w:spacing w:before="0"/>
        <w:ind w:left="0" w:firstLine="0"/>
        <w:rPr>
          <w:color w:val="auto"/>
          <w:sz w:val="20"/>
          <w:szCs w:val="20"/>
        </w:rPr>
      </w:pPr>
      <w:bookmarkStart w:id="37" w:name="_Toc41343340"/>
      <w:r w:rsidRPr="00D67B2A">
        <w:rPr>
          <w:color w:val="auto"/>
          <w:sz w:val="20"/>
          <w:szCs w:val="20"/>
        </w:rPr>
        <w:t>ACTIONS SUBSEQUENT TO REPORT No. 24/20</w:t>
      </w:r>
      <w:bookmarkEnd w:id="37"/>
    </w:p>
    <w:p w14:paraId="74CB856B" w14:textId="77777777" w:rsidR="00EE6FD2" w:rsidRPr="00D67B2A" w:rsidRDefault="00EE6FD2" w:rsidP="00EE6FD2"/>
    <w:p w14:paraId="3ECA5880" w14:textId="77777777" w:rsidR="00EE6FD2" w:rsidRPr="00D67B2A" w:rsidRDefault="00EE6FD2" w:rsidP="006B697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pPr>
      <w:r w:rsidRPr="00D67B2A">
        <w:rPr>
          <w:rFonts w:ascii="Cambria" w:hAnsi="Cambria"/>
          <w:sz w:val="20"/>
          <w:szCs w:val="20"/>
        </w:rPr>
        <w:t xml:space="preserve">On </w:t>
      </w:r>
      <w:r w:rsidR="002314E3" w:rsidRPr="00D67B2A">
        <w:rPr>
          <w:rFonts w:ascii="Cambria" w:hAnsi="Cambria"/>
          <w:sz w:val="20"/>
          <w:szCs w:val="20"/>
        </w:rPr>
        <w:t>April 22, 2020</w:t>
      </w:r>
      <w:r w:rsidRPr="00D67B2A">
        <w:rPr>
          <w:rFonts w:ascii="Cambria" w:hAnsi="Cambria"/>
          <w:sz w:val="20"/>
          <w:szCs w:val="20"/>
        </w:rPr>
        <w:t xml:space="preserve">, the Commission approved Final Merits Report No. 24/20, which encompasses paragraphs 1 to 75 </w:t>
      </w:r>
      <w:r w:rsidRPr="00D67B2A">
        <w:rPr>
          <w:rFonts w:ascii="Cambria" w:hAnsi="Cambria"/>
          <w:i/>
          <w:sz w:val="20"/>
          <w:szCs w:val="20"/>
        </w:rPr>
        <w:t>supra</w:t>
      </w:r>
      <w:r w:rsidRPr="00D67B2A">
        <w:rPr>
          <w:rFonts w:ascii="Cambria" w:hAnsi="Cambria"/>
          <w:sz w:val="20"/>
          <w:szCs w:val="20"/>
        </w:rPr>
        <w:t xml:space="preserve">, and issued its final conclusions and recommendations to the State. On </w:t>
      </w:r>
      <w:r w:rsidR="002314E3" w:rsidRPr="00D67B2A">
        <w:rPr>
          <w:rFonts w:ascii="Cambria" w:hAnsi="Cambria"/>
          <w:sz w:val="20"/>
          <w:szCs w:val="20"/>
        </w:rPr>
        <w:t>April 24, 2020</w:t>
      </w:r>
      <w:r w:rsidRPr="00D67B2A">
        <w:rPr>
          <w:rFonts w:ascii="Cambria" w:hAnsi="Cambria"/>
          <w:sz w:val="20"/>
          <w:szCs w:val="20"/>
        </w:rPr>
        <w:t xml:space="preserve">, the Commission </w:t>
      </w:r>
      <w:r w:rsidR="0079594F" w:rsidRPr="00D67B2A">
        <w:rPr>
          <w:rFonts w:ascii="Cambria" w:hAnsi="Cambria"/>
          <w:sz w:val="20"/>
          <w:szCs w:val="20"/>
        </w:rPr>
        <w:t>forwarded</w:t>
      </w:r>
      <w:r w:rsidRPr="00D67B2A">
        <w:rPr>
          <w:rFonts w:ascii="Cambria" w:hAnsi="Cambria"/>
          <w:sz w:val="20"/>
          <w:szCs w:val="20"/>
        </w:rPr>
        <w:t xml:space="preserve"> the report to the State and the petitioner with a time period of one month to inform the Inter-American Commission on the measures taken to comply with its recommendations. </w:t>
      </w:r>
      <w:r w:rsidR="00FC6BE8" w:rsidRPr="00D67B2A">
        <w:rPr>
          <w:rFonts w:ascii="Cambria" w:hAnsi="Cambria"/>
          <w:sz w:val="20"/>
          <w:szCs w:val="20"/>
        </w:rPr>
        <w:t>On June 22, 2020, the IACHR received the petitioner</w:t>
      </w:r>
      <w:r w:rsidR="006B697B" w:rsidRPr="00D67B2A">
        <w:rPr>
          <w:rFonts w:ascii="Cambria" w:hAnsi="Cambria"/>
          <w:sz w:val="20"/>
          <w:szCs w:val="20"/>
        </w:rPr>
        <w:t>’</w:t>
      </w:r>
      <w:r w:rsidR="00FC6BE8" w:rsidRPr="00D67B2A">
        <w:rPr>
          <w:rFonts w:ascii="Cambria" w:hAnsi="Cambria"/>
          <w:sz w:val="20"/>
          <w:szCs w:val="20"/>
        </w:rPr>
        <w:t xml:space="preserve">s observations.  </w:t>
      </w:r>
      <w:r w:rsidRPr="00D67B2A">
        <w:rPr>
          <w:rFonts w:ascii="Cambria" w:hAnsi="Cambria"/>
          <w:sz w:val="20"/>
          <w:szCs w:val="20"/>
        </w:rPr>
        <w:t xml:space="preserve">To date, the IACHR has not received any </w:t>
      </w:r>
      <w:r w:rsidR="00FC6BE8" w:rsidRPr="00D67B2A">
        <w:rPr>
          <w:rFonts w:ascii="Cambria" w:hAnsi="Cambria"/>
          <w:sz w:val="20"/>
          <w:szCs w:val="20"/>
        </w:rPr>
        <w:t>response from the United States</w:t>
      </w:r>
      <w:r w:rsidRPr="00D67B2A">
        <w:rPr>
          <w:rFonts w:ascii="Cambria" w:hAnsi="Cambria"/>
          <w:sz w:val="20"/>
          <w:szCs w:val="20"/>
        </w:rPr>
        <w:t xml:space="preserve"> regarding Report No. 24/20.</w:t>
      </w:r>
    </w:p>
    <w:p w14:paraId="73B1FF70" w14:textId="77777777" w:rsidR="00832F1F" w:rsidRPr="00D67B2A" w:rsidRDefault="00832F1F" w:rsidP="00832F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pPr>
    </w:p>
    <w:p w14:paraId="0EA15CD5" w14:textId="77777777" w:rsidR="00763F00" w:rsidRPr="00D67B2A" w:rsidRDefault="00832F1F" w:rsidP="0022064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pPr>
      <w:r w:rsidRPr="00D67B2A">
        <w:rPr>
          <w:rFonts w:asciiTheme="majorHAnsi" w:hAnsiTheme="majorHAnsi"/>
          <w:sz w:val="20"/>
          <w:szCs w:val="20"/>
        </w:rPr>
        <w:t>The petitioner inform</w:t>
      </w:r>
      <w:r w:rsidR="006B697B" w:rsidRPr="00D67B2A">
        <w:rPr>
          <w:rFonts w:asciiTheme="majorHAnsi" w:hAnsiTheme="majorHAnsi"/>
          <w:sz w:val="20"/>
          <w:szCs w:val="20"/>
        </w:rPr>
        <w:t>s</w:t>
      </w:r>
      <w:r w:rsidRPr="00D67B2A">
        <w:rPr>
          <w:rFonts w:asciiTheme="majorHAnsi" w:hAnsiTheme="majorHAnsi"/>
          <w:sz w:val="20"/>
          <w:szCs w:val="20"/>
        </w:rPr>
        <w:t xml:space="preserve"> that the Florida</w:t>
      </w:r>
      <w:r w:rsidR="009E6741" w:rsidRPr="00D67B2A">
        <w:rPr>
          <w:rFonts w:asciiTheme="majorHAnsi" w:hAnsiTheme="majorHAnsi"/>
          <w:sz w:val="20"/>
          <w:szCs w:val="20"/>
        </w:rPr>
        <w:t xml:space="preserve"> Supreme Court</w:t>
      </w:r>
      <w:r w:rsidRPr="00D67B2A">
        <w:rPr>
          <w:rFonts w:asciiTheme="majorHAnsi" w:hAnsiTheme="majorHAnsi"/>
          <w:sz w:val="20"/>
          <w:szCs w:val="20"/>
        </w:rPr>
        <w:t xml:space="preserve"> issued a decision in 2020 that calls into question the </w:t>
      </w:r>
      <w:r w:rsidRPr="00D67B2A">
        <w:rPr>
          <w:rFonts w:asciiTheme="majorHAnsi" w:hAnsiTheme="majorHAnsi"/>
          <w:i/>
          <w:iCs/>
          <w:sz w:val="20"/>
          <w:szCs w:val="20"/>
        </w:rPr>
        <w:t xml:space="preserve">Hurst v. State </w:t>
      </w:r>
      <w:r w:rsidRPr="00D67B2A">
        <w:rPr>
          <w:rFonts w:asciiTheme="majorHAnsi" w:hAnsiTheme="majorHAnsi"/>
          <w:sz w:val="20"/>
          <w:szCs w:val="20"/>
        </w:rPr>
        <w:t xml:space="preserve">decision. </w:t>
      </w:r>
      <w:r w:rsidR="006B697B" w:rsidRPr="00D67B2A">
        <w:rPr>
          <w:rFonts w:asciiTheme="majorHAnsi" w:hAnsiTheme="majorHAnsi"/>
          <w:sz w:val="20"/>
          <w:szCs w:val="20"/>
        </w:rPr>
        <w:t>The petitioner indicates that i</w:t>
      </w:r>
      <w:r w:rsidRPr="00D67B2A">
        <w:rPr>
          <w:rFonts w:asciiTheme="majorHAnsi" w:hAnsiTheme="majorHAnsi"/>
          <w:sz w:val="20"/>
          <w:szCs w:val="20"/>
        </w:rPr>
        <w:t xml:space="preserve">n </w:t>
      </w:r>
      <w:r w:rsidRPr="00D67B2A">
        <w:rPr>
          <w:rFonts w:asciiTheme="majorHAnsi" w:hAnsiTheme="majorHAnsi"/>
          <w:i/>
          <w:iCs/>
          <w:sz w:val="20"/>
          <w:szCs w:val="20"/>
        </w:rPr>
        <w:t>State v. Poole</w:t>
      </w:r>
      <w:r w:rsidRPr="00D67B2A">
        <w:rPr>
          <w:rFonts w:asciiTheme="majorHAnsi" w:hAnsiTheme="majorHAnsi"/>
          <w:sz w:val="20"/>
          <w:szCs w:val="20"/>
        </w:rPr>
        <w:t>, the Florida</w:t>
      </w:r>
      <w:r w:rsidR="009E6741" w:rsidRPr="00D67B2A">
        <w:rPr>
          <w:rFonts w:asciiTheme="majorHAnsi" w:hAnsiTheme="majorHAnsi"/>
          <w:sz w:val="20"/>
          <w:szCs w:val="20"/>
        </w:rPr>
        <w:t xml:space="preserve"> Supreme Court</w:t>
      </w:r>
      <w:r w:rsidRPr="00D67B2A">
        <w:rPr>
          <w:rFonts w:asciiTheme="majorHAnsi" w:hAnsiTheme="majorHAnsi"/>
          <w:sz w:val="20"/>
          <w:szCs w:val="20"/>
        </w:rPr>
        <w:t xml:space="preserve"> detailed what it considered to be several errors in the remanded case of </w:t>
      </w:r>
      <w:r w:rsidRPr="00D67B2A">
        <w:rPr>
          <w:rFonts w:asciiTheme="majorHAnsi" w:hAnsiTheme="majorHAnsi"/>
          <w:i/>
          <w:iCs/>
          <w:sz w:val="20"/>
          <w:szCs w:val="20"/>
        </w:rPr>
        <w:t>Hurst v. State</w:t>
      </w:r>
      <w:r w:rsidRPr="00D67B2A">
        <w:rPr>
          <w:rFonts w:asciiTheme="majorHAnsi" w:hAnsiTheme="majorHAnsi"/>
          <w:sz w:val="20"/>
          <w:szCs w:val="20"/>
        </w:rPr>
        <w:t>, holding that a jury’s selection of whether to sentence a defendant to life imprisonment or death “. . . is not a ‘fact’ that exposes the defendant to a greater punishment t</w:t>
      </w:r>
      <w:r w:rsidR="006B697B" w:rsidRPr="00D67B2A">
        <w:rPr>
          <w:rFonts w:asciiTheme="majorHAnsi" w:hAnsiTheme="majorHAnsi"/>
          <w:sz w:val="20"/>
          <w:szCs w:val="20"/>
        </w:rPr>
        <w:t>han that authorized by the jury’</w:t>
      </w:r>
      <w:r w:rsidRPr="00D67B2A">
        <w:rPr>
          <w:rFonts w:asciiTheme="majorHAnsi" w:hAnsiTheme="majorHAnsi"/>
          <w:sz w:val="20"/>
          <w:szCs w:val="20"/>
        </w:rPr>
        <w:t>s guilty verdict, it is not an element. And because it is not an element, it nee</w:t>
      </w:r>
      <w:r w:rsidR="0079594F" w:rsidRPr="00D67B2A">
        <w:rPr>
          <w:rFonts w:asciiTheme="majorHAnsi" w:hAnsiTheme="majorHAnsi"/>
          <w:sz w:val="20"/>
          <w:szCs w:val="20"/>
        </w:rPr>
        <w:t>d not be submitted to a jury.” According to the petitioner, t</w:t>
      </w:r>
      <w:r w:rsidRPr="00D67B2A">
        <w:rPr>
          <w:rFonts w:asciiTheme="majorHAnsi" w:hAnsiTheme="majorHAnsi"/>
          <w:sz w:val="20"/>
          <w:szCs w:val="20"/>
        </w:rPr>
        <w:t>he Court further stated “. . . lest there be any doubt, we hold that our sta</w:t>
      </w:r>
      <w:r w:rsidR="006B697B" w:rsidRPr="00D67B2A">
        <w:rPr>
          <w:rFonts w:asciiTheme="majorHAnsi" w:hAnsiTheme="majorHAnsi"/>
          <w:sz w:val="20"/>
          <w:szCs w:val="20"/>
        </w:rPr>
        <w:t>te constitution’</w:t>
      </w:r>
      <w:r w:rsidRPr="00D67B2A">
        <w:rPr>
          <w:rFonts w:asciiTheme="majorHAnsi" w:hAnsiTheme="majorHAnsi"/>
          <w:sz w:val="20"/>
          <w:szCs w:val="20"/>
        </w:rPr>
        <w:t xml:space="preserve">s prohibition on cruel and unusual punishment, article I, section 17 does not require a unanimous jury recommendation—or any jury recommendation—before a death sentence can be imposed.” </w:t>
      </w:r>
    </w:p>
    <w:p w14:paraId="5F7315A5" w14:textId="77777777" w:rsidR="00763F00" w:rsidRPr="00D67B2A" w:rsidRDefault="00763F00" w:rsidP="00763F00">
      <w:pPr>
        <w:pStyle w:val="ListParagraph"/>
        <w:rPr>
          <w:rFonts w:asciiTheme="majorHAnsi" w:hAnsiTheme="majorHAnsi"/>
          <w:sz w:val="20"/>
          <w:szCs w:val="20"/>
        </w:rPr>
      </w:pPr>
    </w:p>
    <w:p w14:paraId="5D12329B" w14:textId="77777777" w:rsidR="00832F1F" w:rsidRPr="00D67B2A" w:rsidRDefault="00832F1F" w:rsidP="0022064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pPr>
      <w:r w:rsidRPr="00D67B2A">
        <w:rPr>
          <w:rFonts w:asciiTheme="majorHAnsi" w:hAnsiTheme="majorHAnsi"/>
          <w:sz w:val="20"/>
          <w:szCs w:val="20"/>
        </w:rPr>
        <w:t xml:space="preserve">Furthermore, </w:t>
      </w:r>
      <w:r w:rsidR="0079594F" w:rsidRPr="00D67B2A">
        <w:rPr>
          <w:rFonts w:asciiTheme="majorHAnsi" w:hAnsiTheme="majorHAnsi"/>
          <w:sz w:val="20"/>
          <w:szCs w:val="20"/>
        </w:rPr>
        <w:t>the petitioner states that</w:t>
      </w:r>
      <w:r w:rsidR="006B697B" w:rsidRPr="00D67B2A">
        <w:rPr>
          <w:rFonts w:asciiTheme="majorHAnsi" w:hAnsiTheme="majorHAnsi"/>
          <w:sz w:val="20"/>
          <w:szCs w:val="20"/>
        </w:rPr>
        <w:t xml:space="preserve"> the serious consequences Mr. Serrano faces in light of this reversal is further evidenced by the Florida</w:t>
      </w:r>
      <w:r w:rsidR="009E6741" w:rsidRPr="00D67B2A">
        <w:rPr>
          <w:rFonts w:asciiTheme="majorHAnsi" w:hAnsiTheme="majorHAnsi"/>
          <w:sz w:val="20"/>
          <w:szCs w:val="20"/>
        </w:rPr>
        <w:t xml:space="preserve"> Supreme Court’s </w:t>
      </w:r>
      <w:r w:rsidR="006B697B" w:rsidRPr="00D67B2A">
        <w:rPr>
          <w:rFonts w:asciiTheme="majorHAnsi" w:hAnsiTheme="majorHAnsi"/>
          <w:sz w:val="20"/>
          <w:szCs w:val="20"/>
        </w:rPr>
        <w:t xml:space="preserve">June 2020 hearings to reinstate the death sentences of two defendants whose sentences had previously been vacated after the </w:t>
      </w:r>
      <w:r w:rsidR="006B697B" w:rsidRPr="00D67B2A">
        <w:rPr>
          <w:rFonts w:asciiTheme="majorHAnsi" w:hAnsiTheme="majorHAnsi"/>
          <w:i/>
          <w:iCs/>
          <w:sz w:val="20"/>
          <w:szCs w:val="20"/>
        </w:rPr>
        <w:t xml:space="preserve">Hurst v. State </w:t>
      </w:r>
      <w:r w:rsidR="006B697B" w:rsidRPr="00D67B2A">
        <w:rPr>
          <w:rFonts w:asciiTheme="majorHAnsi" w:hAnsiTheme="majorHAnsi"/>
          <w:sz w:val="20"/>
          <w:szCs w:val="20"/>
        </w:rPr>
        <w:t>decision.</w:t>
      </w:r>
    </w:p>
    <w:p w14:paraId="1E2C5215" w14:textId="77777777" w:rsidR="00220645" w:rsidRPr="00D67B2A" w:rsidRDefault="00220645" w:rsidP="0022064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pPr>
    </w:p>
    <w:p w14:paraId="2555A714" w14:textId="77777777" w:rsidR="00F22563" w:rsidRPr="00D67B2A" w:rsidRDefault="00C451FC" w:rsidP="00EE6FD2">
      <w:pPr>
        <w:pStyle w:val="Heading1"/>
        <w:keepNext w:val="0"/>
        <w:keepLines w:val="0"/>
        <w:numPr>
          <w:ilvl w:val="0"/>
          <w:numId w:val="55"/>
        </w:numPr>
        <w:tabs>
          <w:tab w:val="left" w:pos="180"/>
          <w:tab w:val="left" w:pos="360"/>
          <w:tab w:val="left" w:pos="540"/>
        </w:tabs>
        <w:suppressAutoHyphens/>
        <w:spacing w:before="0"/>
        <w:ind w:left="0" w:firstLine="0"/>
        <w:rPr>
          <w:color w:val="auto"/>
          <w:sz w:val="20"/>
          <w:szCs w:val="20"/>
        </w:rPr>
      </w:pPr>
      <w:bookmarkStart w:id="38" w:name="_Toc41343341"/>
      <w:r w:rsidRPr="00D67B2A">
        <w:rPr>
          <w:color w:val="auto"/>
          <w:sz w:val="20"/>
          <w:szCs w:val="20"/>
        </w:rPr>
        <w:t xml:space="preserve">FINAL </w:t>
      </w:r>
      <w:r w:rsidR="00F22563" w:rsidRPr="00D67B2A">
        <w:rPr>
          <w:color w:val="auto"/>
          <w:sz w:val="20"/>
          <w:szCs w:val="20"/>
        </w:rPr>
        <w:t>CONCLUSIONS AND RECOMMENDATIONS</w:t>
      </w:r>
      <w:bookmarkEnd w:id="35"/>
      <w:bookmarkEnd w:id="38"/>
    </w:p>
    <w:p w14:paraId="61F76DA0" w14:textId="77777777" w:rsidR="00F22563" w:rsidRPr="00D67B2A" w:rsidRDefault="00F22563" w:rsidP="00F22563">
      <w:pPr>
        <w:suppressAutoHyphens/>
        <w:ind w:left="1440" w:hanging="720"/>
        <w:rPr>
          <w:rFonts w:asciiTheme="majorHAnsi" w:hAnsiTheme="majorHAnsi"/>
          <w:b/>
          <w:sz w:val="20"/>
          <w:szCs w:val="20"/>
        </w:rPr>
      </w:pPr>
    </w:p>
    <w:p w14:paraId="6C357847" w14:textId="77777777" w:rsidR="00137D09" w:rsidRPr="00D67B2A" w:rsidRDefault="000327B9" w:rsidP="00E13839">
      <w:pPr>
        <w:pStyle w:val="parrafos"/>
        <w:ind w:left="0" w:firstLine="0"/>
      </w:pPr>
      <w:r w:rsidRPr="00D67B2A">
        <w:t>As indicated in this report, f</w:t>
      </w:r>
      <w:r w:rsidR="009C5BFC" w:rsidRPr="00D67B2A">
        <w:t xml:space="preserve">ollowing the </w:t>
      </w:r>
      <w:r w:rsidR="009C5BFC" w:rsidRPr="00D67B2A">
        <w:rPr>
          <w:i/>
          <w:iCs/>
        </w:rPr>
        <w:t xml:space="preserve">Hurst v. State </w:t>
      </w:r>
      <w:r w:rsidR="009C5BFC" w:rsidRPr="00D67B2A">
        <w:t>decision</w:t>
      </w:r>
      <w:r w:rsidRPr="00D67B2A">
        <w:t>,</w:t>
      </w:r>
      <w:r w:rsidR="009C5BFC" w:rsidRPr="00D67B2A">
        <w:t xml:space="preserve"> Mr. Serrano amended the appeal of his death sentence given that he had been sentenced to death by a jury vote of 9-3 in 2007.</w:t>
      </w:r>
      <w:r w:rsidRPr="00D67B2A">
        <w:t xml:space="preserve"> </w:t>
      </w:r>
      <w:r w:rsidR="00AC38E6" w:rsidRPr="00D67B2A">
        <w:t xml:space="preserve">The IACHR finds that the </w:t>
      </w:r>
      <w:r w:rsidR="000B1C98" w:rsidRPr="00D67B2A">
        <w:t>4-1 opinion</w:t>
      </w:r>
      <w:r w:rsidR="00AC38E6" w:rsidRPr="00D67B2A">
        <w:t xml:space="preserve"> </w:t>
      </w:r>
      <w:r w:rsidR="00F2049C" w:rsidRPr="00D67B2A">
        <w:t xml:space="preserve">issued on January 23, 2020, </w:t>
      </w:r>
      <w:r w:rsidR="00AC38E6" w:rsidRPr="00D67B2A">
        <w:t xml:space="preserve">by the Florida </w:t>
      </w:r>
      <w:r w:rsidR="009E6741" w:rsidRPr="00D67B2A">
        <w:t xml:space="preserve">Supreme Court </w:t>
      </w:r>
      <w:r w:rsidR="00AC38E6" w:rsidRPr="00D67B2A">
        <w:t xml:space="preserve">in </w:t>
      </w:r>
      <w:r w:rsidR="00AC38E6" w:rsidRPr="00D67B2A">
        <w:rPr>
          <w:i/>
          <w:iCs/>
        </w:rPr>
        <w:t>State v. Poole</w:t>
      </w:r>
      <w:r w:rsidR="00F2049C" w:rsidRPr="00D67B2A">
        <w:rPr>
          <w:i/>
          <w:iCs/>
        </w:rPr>
        <w:t xml:space="preserve"> </w:t>
      </w:r>
      <w:r w:rsidR="00F2049C" w:rsidRPr="00D67B2A">
        <w:t xml:space="preserve">creates uncertainty about </w:t>
      </w:r>
      <w:r w:rsidR="009E6741" w:rsidRPr="00D67B2A">
        <w:t xml:space="preserve">the </w:t>
      </w:r>
      <w:r w:rsidR="00F2049C" w:rsidRPr="00D67B2A">
        <w:t>s</w:t>
      </w:r>
      <w:r w:rsidR="00F2049C" w:rsidRPr="00D67B2A">
        <w:rPr>
          <w:color w:val="auto"/>
        </w:rPr>
        <w:t>tatus</w:t>
      </w:r>
      <w:r w:rsidR="009E6741" w:rsidRPr="00D67B2A">
        <w:t xml:space="preserve"> of Mr. Serrano’s appeal</w:t>
      </w:r>
      <w:r w:rsidR="00137D09" w:rsidRPr="00D67B2A">
        <w:t xml:space="preserve"> as he has not yet been scheduled for a new sentencing hearing.</w:t>
      </w:r>
    </w:p>
    <w:p w14:paraId="5A541DDF" w14:textId="77777777" w:rsidR="00E13839" w:rsidRPr="00D67B2A" w:rsidRDefault="00E13839" w:rsidP="00E13839">
      <w:pPr>
        <w:pStyle w:val="parrafos"/>
        <w:numPr>
          <w:ilvl w:val="0"/>
          <w:numId w:val="0"/>
        </w:numPr>
      </w:pPr>
    </w:p>
    <w:p w14:paraId="680AEB5F" w14:textId="77777777" w:rsidR="002546C8" w:rsidRPr="00D67B2A" w:rsidRDefault="00724A36" w:rsidP="009C5B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color w:val="000000"/>
          <w:sz w:val="20"/>
          <w:szCs w:val="20"/>
          <w:lang w:val="en"/>
        </w:rPr>
      </w:pPr>
      <w:r w:rsidRPr="00D67B2A">
        <w:rPr>
          <w:rFonts w:asciiTheme="majorHAnsi" w:hAnsiTheme="majorHAnsi"/>
          <w:sz w:val="20"/>
          <w:szCs w:val="20"/>
        </w:rPr>
        <w:t>The IACHR also notes that, according to the American Bar Association “e</w:t>
      </w:r>
      <w:r w:rsidRPr="00D67B2A">
        <w:rPr>
          <w:rFonts w:asciiTheme="majorHAnsi" w:hAnsiTheme="majorHAnsi"/>
          <w:color w:val="000000"/>
          <w:sz w:val="20"/>
          <w:szCs w:val="20"/>
          <w:lang w:val="en"/>
        </w:rPr>
        <w:t>very death penalty state -except Alabama- as well as the federal death penalty system requires that the jury unanimously recommend a death sentence.”</w:t>
      </w:r>
      <w:r w:rsidRPr="00D67B2A">
        <w:rPr>
          <w:rStyle w:val="FootnoteReference"/>
          <w:rFonts w:asciiTheme="majorHAnsi" w:hAnsiTheme="majorHAnsi"/>
          <w:color w:val="000000"/>
          <w:sz w:val="20"/>
          <w:szCs w:val="20"/>
          <w:lang w:val="en"/>
        </w:rPr>
        <w:footnoteReference w:id="57"/>
      </w:r>
      <w:r w:rsidRPr="00D67B2A">
        <w:rPr>
          <w:rFonts w:asciiTheme="majorHAnsi" w:hAnsiTheme="majorHAnsi"/>
          <w:color w:val="000000"/>
          <w:sz w:val="20"/>
          <w:szCs w:val="20"/>
          <w:lang w:val="en"/>
        </w:rPr>
        <w:t xml:space="preserve"> Further, in his dissent in </w:t>
      </w:r>
      <w:r w:rsidRPr="00D67B2A">
        <w:rPr>
          <w:rFonts w:asciiTheme="majorHAnsi" w:hAnsiTheme="majorHAnsi"/>
          <w:i/>
          <w:iCs/>
          <w:color w:val="000000"/>
          <w:sz w:val="20"/>
          <w:szCs w:val="20"/>
          <w:lang w:val="en"/>
        </w:rPr>
        <w:t>Poole</w:t>
      </w:r>
      <w:r w:rsidRPr="00D67B2A">
        <w:rPr>
          <w:rFonts w:asciiTheme="majorHAnsi" w:hAnsiTheme="majorHAnsi"/>
          <w:color w:val="000000"/>
          <w:sz w:val="20"/>
          <w:szCs w:val="20"/>
          <w:lang w:val="en"/>
        </w:rPr>
        <w:t xml:space="preserve">, Justice Jorge Labarga emphasized this discrepancy, writing that </w:t>
      </w:r>
      <w:r w:rsidRPr="00D67B2A">
        <w:rPr>
          <w:rFonts w:asciiTheme="majorHAnsi" w:hAnsiTheme="majorHAnsi"/>
          <w:color w:val="000000"/>
          <w:sz w:val="20"/>
          <w:szCs w:val="20"/>
          <w:lang w:val="en"/>
        </w:rPr>
        <w:lastRenderedPageBreak/>
        <w:t>Florida had returned “to its status as an absolute outlier among the jurisdictions in this country that utilize the death penalty. The majority gives the green light to return to a practice that is not only inconsistent with laws of all but one of the 29 states that retain the death penalty, but inconsistent with the law governing the federal death penalty.”</w:t>
      </w:r>
    </w:p>
    <w:p w14:paraId="05F482EB" w14:textId="77777777" w:rsidR="002546C8" w:rsidRPr="00D67B2A" w:rsidRDefault="002546C8" w:rsidP="002546C8">
      <w:pPr>
        <w:pStyle w:val="ListParagraph"/>
        <w:rPr>
          <w:rFonts w:asciiTheme="majorHAnsi" w:hAnsiTheme="majorHAnsi"/>
          <w:sz w:val="20"/>
          <w:szCs w:val="20"/>
          <w:lang w:val="en"/>
        </w:rPr>
      </w:pPr>
    </w:p>
    <w:p w14:paraId="104F17F6" w14:textId="77777777" w:rsidR="002546C8" w:rsidRPr="00D67B2A" w:rsidRDefault="001A616D" w:rsidP="009C5B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color w:val="000000"/>
          <w:sz w:val="20"/>
          <w:szCs w:val="20"/>
          <w:lang w:val="en"/>
        </w:rPr>
      </w:pPr>
      <w:r w:rsidRPr="00D67B2A">
        <w:rPr>
          <w:rFonts w:asciiTheme="majorHAnsi" w:hAnsiTheme="majorHAnsi"/>
          <w:color w:val="000000"/>
          <w:sz w:val="20"/>
          <w:szCs w:val="20"/>
          <w:lang w:val="en"/>
        </w:rPr>
        <w:t xml:space="preserve">The American Bar Association </w:t>
      </w:r>
      <w:r w:rsidR="002546C8" w:rsidRPr="00D67B2A">
        <w:rPr>
          <w:rFonts w:asciiTheme="majorHAnsi" w:hAnsiTheme="majorHAnsi"/>
          <w:color w:val="000000"/>
          <w:sz w:val="20"/>
          <w:szCs w:val="20"/>
          <w:lang w:val="en"/>
        </w:rPr>
        <w:t xml:space="preserve">also expressed its concern regarding the creation of several arbitrary distinctions between </w:t>
      </w:r>
      <w:r w:rsidR="00137D09" w:rsidRPr="00D67B2A">
        <w:rPr>
          <w:rFonts w:asciiTheme="majorHAnsi" w:hAnsiTheme="majorHAnsi"/>
          <w:color w:val="000000"/>
          <w:sz w:val="20"/>
          <w:szCs w:val="20"/>
          <w:lang w:val="en"/>
        </w:rPr>
        <w:t xml:space="preserve">which prisoners can obtain relief from non-unanimous death sentences and which cannot. </w:t>
      </w:r>
      <w:r w:rsidR="002546C8" w:rsidRPr="00D67B2A">
        <w:rPr>
          <w:rFonts w:asciiTheme="majorHAnsi" w:hAnsiTheme="majorHAnsi"/>
          <w:color w:val="000000"/>
          <w:sz w:val="20"/>
          <w:szCs w:val="20"/>
          <w:lang w:val="en"/>
        </w:rPr>
        <w:t>In this regard, the ABA noted the following:</w:t>
      </w:r>
      <w:r w:rsidR="006C1176" w:rsidRPr="00D67B2A">
        <w:rPr>
          <w:rStyle w:val="FootnoteReference"/>
          <w:rFonts w:asciiTheme="majorHAnsi" w:hAnsiTheme="majorHAnsi"/>
          <w:color w:val="000000"/>
          <w:sz w:val="20"/>
          <w:szCs w:val="20"/>
          <w:lang w:val="en"/>
        </w:rPr>
        <w:footnoteReference w:id="58"/>
      </w:r>
    </w:p>
    <w:p w14:paraId="455700BF" w14:textId="77777777" w:rsidR="002546C8" w:rsidRPr="00D67B2A" w:rsidRDefault="002546C8" w:rsidP="002546C8">
      <w:pPr>
        <w:pStyle w:val="ListParagraph"/>
        <w:rPr>
          <w:rFonts w:asciiTheme="majorHAnsi" w:hAnsiTheme="majorHAnsi"/>
          <w:sz w:val="20"/>
          <w:szCs w:val="20"/>
          <w:lang w:val="en"/>
        </w:rPr>
      </w:pPr>
    </w:p>
    <w:p w14:paraId="35C48B0F" w14:textId="77777777" w:rsidR="00724A36" w:rsidRPr="00D67B2A" w:rsidRDefault="00137D09" w:rsidP="002546C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sz w:val="18"/>
          <w:szCs w:val="18"/>
          <w:lang w:val="en"/>
        </w:rPr>
      </w:pPr>
      <w:r w:rsidRPr="00D67B2A">
        <w:rPr>
          <w:rFonts w:asciiTheme="majorHAnsi" w:hAnsiTheme="majorHAnsi"/>
          <w:color w:val="000000"/>
          <w:sz w:val="18"/>
          <w:szCs w:val="18"/>
          <w:lang w:val="en"/>
        </w:rPr>
        <w:t>Some prisoners have already received </w:t>
      </w:r>
      <w:r w:rsidRPr="00D67B2A">
        <w:rPr>
          <w:rFonts w:asciiTheme="majorHAnsi" w:hAnsiTheme="majorHAnsi"/>
          <w:i/>
          <w:iCs/>
          <w:color w:val="000000"/>
          <w:sz w:val="18"/>
          <w:szCs w:val="18"/>
          <w:lang w:val="en"/>
        </w:rPr>
        <w:t>Hurst </w:t>
      </w:r>
      <w:r w:rsidRPr="00D67B2A">
        <w:rPr>
          <w:rFonts w:asciiTheme="majorHAnsi" w:hAnsiTheme="majorHAnsi"/>
          <w:color w:val="000000"/>
          <w:sz w:val="18"/>
          <w:szCs w:val="18"/>
          <w:lang w:val="en"/>
        </w:rPr>
        <w:t>relief and have been resentenced; some were about to begin resentencing hearings when </w:t>
      </w:r>
      <w:r w:rsidRPr="00D67B2A">
        <w:rPr>
          <w:rFonts w:asciiTheme="majorHAnsi" w:hAnsiTheme="majorHAnsi"/>
          <w:i/>
          <w:iCs/>
          <w:color w:val="000000"/>
          <w:sz w:val="18"/>
          <w:szCs w:val="18"/>
          <w:lang w:val="en"/>
        </w:rPr>
        <w:t>Poole</w:t>
      </w:r>
      <w:r w:rsidRPr="00D67B2A">
        <w:rPr>
          <w:rFonts w:asciiTheme="majorHAnsi" w:hAnsiTheme="majorHAnsi"/>
          <w:color w:val="000000"/>
          <w:sz w:val="18"/>
          <w:szCs w:val="18"/>
          <w:lang w:val="en"/>
        </w:rPr>
        <w:t> was decided; and some that were awaiting their turn in line as courts worked through judicial dockets. Where any particular prisoner falls within these categories is largely a matter of chance—influenced by factors such as weather delays, illness of court officers, and other issues well beyond the prisoners’ control and unrelated to the nature of the underlying criminal case.</w:t>
      </w:r>
    </w:p>
    <w:p w14:paraId="501798F6" w14:textId="77777777" w:rsidR="001A616D" w:rsidRPr="00D67B2A" w:rsidRDefault="001A616D" w:rsidP="002546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n"/>
        </w:rPr>
      </w:pPr>
    </w:p>
    <w:p w14:paraId="3453FF64" w14:textId="77777777" w:rsidR="001A616D" w:rsidRPr="00D67B2A" w:rsidRDefault="002546C8" w:rsidP="003C12B7">
      <w:pPr>
        <w:pStyle w:val="parrafos"/>
        <w:tabs>
          <w:tab w:val="left" w:pos="0"/>
        </w:tabs>
        <w:ind w:left="0" w:firstLine="0"/>
      </w:pPr>
      <w:r w:rsidRPr="00D67B2A">
        <w:t xml:space="preserve">The Commission notes in this regard that </w:t>
      </w:r>
      <w:r w:rsidR="001A616D" w:rsidRPr="00D67B2A">
        <w:t>Mr. Serrano’s resentencing hearing has been repeatedly rescheduled since 2017.</w:t>
      </w:r>
      <w:r w:rsidRPr="00D67B2A">
        <w:t xml:space="preserve"> Therefore, for reasons beyond his control, Mr. Serrano has fallen in the category of prisoners</w:t>
      </w:r>
      <w:r w:rsidR="003C12B7" w:rsidRPr="00D67B2A">
        <w:t xml:space="preserve"> who were about to begin resentencing hearings and who might not obtain relief from the non-unanimous death sentence given the Florida Supreme Court’s reversal.</w:t>
      </w:r>
    </w:p>
    <w:p w14:paraId="157979FF" w14:textId="77777777" w:rsidR="0079594F" w:rsidRPr="00D67B2A" w:rsidRDefault="0079594F" w:rsidP="0079594F">
      <w:pPr>
        <w:pStyle w:val="parrafos"/>
        <w:numPr>
          <w:ilvl w:val="0"/>
          <w:numId w:val="0"/>
        </w:numPr>
        <w:tabs>
          <w:tab w:val="left" w:pos="0"/>
        </w:tabs>
      </w:pPr>
    </w:p>
    <w:p w14:paraId="7049D6DE" w14:textId="77777777" w:rsidR="0079594F" w:rsidRPr="00D67B2A" w:rsidRDefault="0079594F" w:rsidP="00D67B2A">
      <w:pPr>
        <w:pStyle w:val="parrafos"/>
        <w:tabs>
          <w:tab w:val="left" w:pos="0"/>
        </w:tabs>
        <w:ind w:left="0" w:firstLine="0"/>
        <w:rPr>
          <w:rFonts w:ascii="Cambria" w:hAnsi="Cambria"/>
        </w:rPr>
      </w:pPr>
      <w:r w:rsidRPr="00D67B2A">
        <w:t xml:space="preserve">Based on this information, the Commission finds that the Florida Supreme Court’s decision in </w:t>
      </w:r>
      <w:r w:rsidRPr="00D67B2A">
        <w:rPr>
          <w:i/>
          <w:iCs/>
          <w:color w:val="000000"/>
          <w:lang w:val="en"/>
        </w:rPr>
        <w:t xml:space="preserve">Poole </w:t>
      </w:r>
      <w:r w:rsidRPr="00D67B2A">
        <w:t>creates greater uncertainty in Mr. Serrano’s situation with respect to his chances of being resentenced in accordance with the guarantees of fair trial and due process.</w:t>
      </w:r>
    </w:p>
    <w:p w14:paraId="5BC4FB6E" w14:textId="77777777" w:rsidR="0079594F" w:rsidRPr="0079594F" w:rsidRDefault="0079594F" w:rsidP="0079594F">
      <w:pPr>
        <w:pStyle w:val="parrafos"/>
        <w:numPr>
          <w:ilvl w:val="0"/>
          <w:numId w:val="0"/>
        </w:numPr>
        <w:tabs>
          <w:tab w:val="left" w:pos="0"/>
        </w:tabs>
        <w:rPr>
          <w:rFonts w:ascii="Cambria" w:hAnsi="Cambria"/>
        </w:rPr>
      </w:pPr>
    </w:p>
    <w:p w14:paraId="2EEEA3AC" w14:textId="77777777" w:rsidR="00F22563" w:rsidRPr="00EE6FD2" w:rsidRDefault="00F22563" w:rsidP="00F2256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rPr>
      </w:pPr>
      <w:r w:rsidRPr="00EE6FD2">
        <w:rPr>
          <w:rFonts w:asciiTheme="majorHAnsi" w:hAnsiTheme="majorHAnsi"/>
          <w:color w:val="000000" w:themeColor="text1"/>
          <w:sz w:val="20"/>
          <w:szCs w:val="20"/>
        </w:rPr>
        <w:t xml:space="preserve">On the basis of determinations of fact and law, the Inter-American Commission concludes that the State is responsible for the violation of Articles I (life, liberty, and security), XVIII (fair trial), XXV (protection from arbitrary detention), and XXVI (due process) of the American Declaration. </w:t>
      </w:r>
    </w:p>
    <w:p w14:paraId="1409C8DE" w14:textId="77777777" w:rsidR="00F22563" w:rsidRPr="00EE6FD2" w:rsidRDefault="00F22563" w:rsidP="00F2256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566B95C8" w14:textId="77777777" w:rsidR="00F22563" w:rsidRPr="00EE6FD2" w:rsidRDefault="00F22563" w:rsidP="00861F9A">
      <w:pPr>
        <w:tabs>
          <w:tab w:val="left" w:pos="360"/>
        </w:tabs>
        <w:jc w:val="both"/>
        <w:rPr>
          <w:rFonts w:ascii="Cambria" w:hAnsi="Cambria"/>
          <w:b/>
          <w:sz w:val="20"/>
          <w:szCs w:val="20"/>
        </w:rPr>
      </w:pPr>
      <w:r w:rsidRPr="00EE6FD2">
        <w:rPr>
          <w:rFonts w:ascii="Cambria" w:hAnsi="Cambria"/>
          <w:b/>
          <w:sz w:val="20"/>
          <w:szCs w:val="20"/>
        </w:rPr>
        <w:t xml:space="preserve">THE INTER-AMERICAN COMMISSION ON HUMAN RIGHTS </w:t>
      </w:r>
      <w:r w:rsidR="000C6013" w:rsidRPr="00EE6FD2">
        <w:rPr>
          <w:rFonts w:ascii="Cambria" w:hAnsi="Cambria"/>
          <w:b/>
          <w:sz w:val="20"/>
          <w:szCs w:val="20"/>
        </w:rPr>
        <w:t>REITERATES</w:t>
      </w:r>
      <w:r w:rsidRPr="00EE6FD2">
        <w:rPr>
          <w:rFonts w:ascii="Cambria" w:hAnsi="Cambria"/>
          <w:b/>
          <w:sz w:val="20"/>
          <w:szCs w:val="20"/>
        </w:rPr>
        <w:t xml:space="preserve"> THAT THE UNITED STATES OF AMERICA,</w:t>
      </w:r>
    </w:p>
    <w:p w14:paraId="785E0F24" w14:textId="77777777" w:rsidR="00F22563" w:rsidRPr="00EE6FD2" w:rsidRDefault="00F22563" w:rsidP="00F22563">
      <w:pPr>
        <w:ind w:firstLine="720"/>
        <w:jc w:val="both"/>
        <w:rPr>
          <w:rFonts w:ascii="Cambria" w:hAnsi="Cambria"/>
          <w:b/>
          <w:sz w:val="20"/>
          <w:szCs w:val="20"/>
        </w:rPr>
      </w:pPr>
    </w:p>
    <w:p w14:paraId="4B77D116" w14:textId="77777777" w:rsidR="00F22563" w:rsidRPr="00EE6FD2" w:rsidRDefault="00F22563" w:rsidP="000C601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rFonts w:eastAsia="Times New Roman" w:cs="Tahoma"/>
          <w:sz w:val="20"/>
          <w:szCs w:val="20"/>
          <w:bdr w:val="none" w:sz="0" w:space="0" w:color="auto"/>
        </w:rPr>
        <w:t xml:space="preserve">Grant </w:t>
      </w:r>
      <w:r w:rsidR="007B4047" w:rsidRPr="00EE6FD2">
        <w:rPr>
          <w:rFonts w:asciiTheme="majorHAnsi" w:hAnsiTheme="majorHAnsi"/>
          <w:color w:val="000000" w:themeColor="text1"/>
          <w:sz w:val="20"/>
          <w:szCs w:val="20"/>
        </w:rPr>
        <w:t>Nelson Ivan Serrano Saenz</w:t>
      </w:r>
      <w:r w:rsidRPr="00EE6FD2">
        <w:rPr>
          <w:rFonts w:eastAsia="Times New Roman" w:cs="Tahoma"/>
          <w:sz w:val="20"/>
          <w:szCs w:val="20"/>
          <w:bdr w:val="none" w:sz="0" w:space="0" w:color="auto"/>
        </w:rPr>
        <w:t xml:space="preserve"> effective relief, including the review of his trial and sentence in accordance with the guarantees of fair trial and due process set forth in Articles </w:t>
      </w:r>
      <w:r w:rsidRPr="00EE6FD2">
        <w:rPr>
          <w:rFonts w:asciiTheme="majorHAnsi" w:hAnsiTheme="majorHAnsi"/>
          <w:color w:val="000000" w:themeColor="text1"/>
          <w:sz w:val="20"/>
          <w:szCs w:val="20"/>
        </w:rPr>
        <w:t xml:space="preserve">XVIII, XXV and XXVI </w:t>
      </w:r>
      <w:r w:rsidRPr="00EE6FD2">
        <w:rPr>
          <w:rFonts w:eastAsia="Times New Roman" w:cs="Tahoma"/>
          <w:sz w:val="20"/>
          <w:szCs w:val="20"/>
          <w:bdr w:val="none" w:sz="0" w:space="0" w:color="auto"/>
        </w:rPr>
        <w:t>of the American Declaration</w:t>
      </w:r>
      <w:r w:rsidR="000735B1" w:rsidRPr="00EE6FD2">
        <w:rPr>
          <w:rFonts w:eastAsia="Times New Roman" w:cs="Tahoma"/>
          <w:sz w:val="20"/>
          <w:szCs w:val="20"/>
          <w:bdr w:val="none" w:sz="0" w:space="0" w:color="auto"/>
        </w:rPr>
        <w:t xml:space="preserve">, and the payment of pecuniary compensation. </w:t>
      </w:r>
      <w:r w:rsidRPr="00EE6FD2">
        <w:rPr>
          <w:rFonts w:cs="Arial"/>
          <w:color w:val="auto"/>
          <w:sz w:val="20"/>
          <w:szCs w:val="20"/>
        </w:rPr>
        <w:t xml:space="preserve">Taking into account the conclusions of the IACHR on the time </w:t>
      </w:r>
      <w:r w:rsidR="007B4047" w:rsidRPr="00EE6FD2">
        <w:rPr>
          <w:rFonts w:asciiTheme="majorHAnsi" w:hAnsiTheme="majorHAnsi"/>
          <w:color w:val="000000" w:themeColor="text1"/>
          <w:sz w:val="20"/>
          <w:szCs w:val="20"/>
        </w:rPr>
        <w:t>Nelson Ivan Serrano Saenz</w:t>
      </w:r>
      <w:r w:rsidRPr="00EE6FD2">
        <w:rPr>
          <w:rFonts w:cs="Arial"/>
          <w:color w:val="auto"/>
          <w:sz w:val="20"/>
          <w:szCs w:val="20"/>
        </w:rPr>
        <w:t xml:space="preserve"> has been held on death row, the Commission recommends that his sentence be commuted</w:t>
      </w:r>
      <w:r w:rsidRPr="00EE6FD2">
        <w:rPr>
          <w:rFonts w:eastAsia="Times New Roman" w:cs="Tahoma"/>
          <w:sz w:val="20"/>
          <w:szCs w:val="20"/>
          <w:bdr w:val="none" w:sz="0" w:space="0" w:color="auto"/>
        </w:rPr>
        <w:t>.</w:t>
      </w:r>
    </w:p>
    <w:p w14:paraId="4E9D2051" w14:textId="77777777" w:rsidR="00F22563" w:rsidRPr="00EE6FD2" w:rsidRDefault="00F22563" w:rsidP="000C601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p>
    <w:p w14:paraId="7CEDAFC5" w14:textId="77777777" w:rsidR="007B4047" w:rsidRPr="00EE6FD2" w:rsidRDefault="00F22563" w:rsidP="000C601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sz w:val="20"/>
        </w:rPr>
        <w:t xml:space="preserve">Review its laws, procedures, and practices </w:t>
      </w:r>
      <w:r w:rsidR="00222A64" w:rsidRPr="00EE6FD2">
        <w:rPr>
          <w:sz w:val="20"/>
        </w:rPr>
        <w:t xml:space="preserve">at the state, and if applicable, at the federal level </w:t>
      </w:r>
      <w:r w:rsidRPr="00EE6FD2">
        <w:rPr>
          <w:sz w:val="20"/>
        </w:rPr>
        <w:t>to ensure that persons accused of capital crimes are tried and, if convicted, sentenced in accordance with the rights established in the American Declaration, including Articles I, XVIII, XXV and XXVI thereof</w:t>
      </w:r>
      <w:bookmarkStart w:id="39" w:name="_ftn34"/>
      <w:bookmarkEnd w:id="39"/>
      <w:r w:rsidRPr="00EE6FD2">
        <w:rPr>
          <w:sz w:val="20"/>
        </w:rPr>
        <w:t>, and, in particular,</w:t>
      </w:r>
      <w:r w:rsidRPr="00EE6FD2">
        <w:rPr>
          <w:rFonts w:eastAsia="Times New Roman"/>
          <w:sz w:val="20"/>
          <w:szCs w:val="20"/>
          <w:bdr w:val="none" w:sz="0" w:space="0" w:color="auto"/>
        </w:rPr>
        <w:t xml:space="preserve"> that </w:t>
      </w:r>
      <w:r w:rsidR="00BD1EE2" w:rsidRPr="00EE6FD2">
        <w:rPr>
          <w:rFonts w:eastAsia="Times New Roman"/>
          <w:sz w:val="20"/>
          <w:szCs w:val="20"/>
          <w:bdr w:val="none" w:sz="0" w:space="0" w:color="auto"/>
        </w:rPr>
        <w:t xml:space="preserve">defendants residing abroad are brought to the United States according to due process guarantees and that diplomatic assurances </w:t>
      </w:r>
      <w:r w:rsidR="00BD1EE2" w:rsidRPr="00EE6FD2">
        <w:rPr>
          <w:rFonts w:eastAsia="Arial Unicode MS"/>
          <w:sz w:val="20"/>
          <w:szCs w:val="20"/>
        </w:rPr>
        <w:t>of non-application of the death penalty are respected.</w:t>
      </w:r>
    </w:p>
    <w:p w14:paraId="457D0B6E" w14:textId="77777777" w:rsidR="00222A64" w:rsidRPr="00EE6FD2" w:rsidRDefault="00222A64" w:rsidP="000C6013">
      <w:pPr>
        <w:pStyle w:val="ListParagraph"/>
        <w:tabs>
          <w:tab w:val="left" w:pos="360"/>
        </w:tabs>
        <w:ind w:left="360" w:hanging="360"/>
        <w:rPr>
          <w:rFonts w:eastAsia="Times New Roman" w:cs="Tahoma"/>
          <w:sz w:val="20"/>
          <w:szCs w:val="20"/>
          <w:bdr w:val="none" w:sz="0" w:space="0" w:color="auto"/>
        </w:rPr>
      </w:pPr>
    </w:p>
    <w:p w14:paraId="692C6655" w14:textId="77777777" w:rsidR="00222A64" w:rsidRPr="00EE6FD2" w:rsidRDefault="000860AC" w:rsidP="000C601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EE6FD2">
        <w:rPr>
          <w:rFonts w:eastAsia="Times New Roman" w:cs="Tahoma"/>
          <w:sz w:val="20"/>
          <w:szCs w:val="20"/>
          <w:bdr w:val="none" w:sz="0" w:space="0" w:color="auto" w:frame="1"/>
        </w:rPr>
        <w:t>Ensure that conditions on death row are compatible with international human rights standards in accordance with the right of protection against cruel, infamous or unusual punishment.</w:t>
      </w:r>
    </w:p>
    <w:p w14:paraId="675EAFE1" w14:textId="77777777" w:rsidR="00F22563" w:rsidRPr="00EE6FD2" w:rsidRDefault="00F22563" w:rsidP="000C601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p>
    <w:p w14:paraId="368E453F" w14:textId="77777777" w:rsidR="00C55560" w:rsidRPr="00D67B2A" w:rsidRDefault="00F22563" w:rsidP="00EE6FD2">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rPr>
      </w:pPr>
      <w:r w:rsidRPr="00D67B2A">
        <w:rPr>
          <w:rFonts w:asciiTheme="majorHAnsi" w:hAnsiTheme="majorHAnsi"/>
          <w:sz w:val="20"/>
        </w:rPr>
        <w:t>Given the violations of the American Declaration the IACHR has established in the present</w:t>
      </w:r>
      <w:r w:rsidRPr="00D67B2A">
        <w:rPr>
          <w:sz w:val="20"/>
        </w:rPr>
        <w:t xml:space="preserve"> case and in others involving application of the death penalty, the Inter-American Commission also recommends to the United States that it adopt a moratorium on executions of persons sentenced to death.</w:t>
      </w:r>
      <w:r w:rsidRPr="00D67B2A">
        <w:rPr>
          <w:rStyle w:val="FootnoteReference"/>
          <w:sz w:val="20"/>
        </w:rPr>
        <w:footnoteReference w:id="59"/>
      </w:r>
    </w:p>
    <w:p w14:paraId="0B035B0E" w14:textId="77777777" w:rsidR="00EE6FD2" w:rsidRPr="00D67B2A" w:rsidRDefault="00EE6FD2" w:rsidP="00EE6FD2">
      <w:pPr>
        <w:pStyle w:val="ListParagraph"/>
        <w:rPr>
          <w:rFonts w:eastAsia="Times New Roman" w:cs="Tahoma"/>
          <w:sz w:val="20"/>
          <w:szCs w:val="20"/>
          <w:bdr w:val="none" w:sz="0" w:space="0" w:color="auto"/>
        </w:rPr>
      </w:pPr>
    </w:p>
    <w:p w14:paraId="1AC8E169" w14:textId="77777777" w:rsidR="00EE6FD2" w:rsidRPr="00D67B2A" w:rsidRDefault="00EE6FD2" w:rsidP="002721E5">
      <w:pPr>
        <w:pStyle w:val="Heading1"/>
        <w:keepNext w:val="0"/>
        <w:keepLines w:val="0"/>
        <w:numPr>
          <w:ilvl w:val="0"/>
          <w:numId w:val="55"/>
        </w:numPr>
        <w:tabs>
          <w:tab w:val="left" w:pos="180"/>
          <w:tab w:val="left" w:pos="360"/>
          <w:tab w:val="left" w:pos="540"/>
        </w:tabs>
        <w:suppressAutoHyphens/>
        <w:spacing w:before="0"/>
        <w:ind w:left="0" w:firstLine="0"/>
        <w:rPr>
          <w:color w:val="auto"/>
          <w:sz w:val="20"/>
          <w:szCs w:val="20"/>
          <w:lang w:val="es-ES_tradnl"/>
        </w:rPr>
      </w:pPr>
      <w:bookmarkStart w:id="40" w:name="_Toc26556105"/>
      <w:bookmarkStart w:id="41" w:name="_Toc41343342"/>
      <w:r w:rsidRPr="002721E5">
        <w:rPr>
          <w:color w:val="auto"/>
          <w:sz w:val="20"/>
          <w:szCs w:val="20"/>
        </w:rPr>
        <w:t>PUBLICATION</w:t>
      </w:r>
      <w:bookmarkEnd w:id="40"/>
      <w:bookmarkEnd w:id="41"/>
    </w:p>
    <w:p w14:paraId="277C2AE6" w14:textId="77777777" w:rsidR="00EE6FD2" w:rsidRPr="00FC14A3" w:rsidRDefault="00EE6FD2" w:rsidP="00EE6FD2">
      <w:pPr>
        <w:rPr>
          <w:sz w:val="20"/>
          <w:szCs w:val="20"/>
        </w:rPr>
      </w:pPr>
    </w:p>
    <w:p w14:paraId="61868468" w14:textId="77777777" w:rsidR="00EE6FD2" w:rsidRPr="00D67B2A" w:rsidRDefault="00EE6FD2" w:rsidP="00EE6FD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s>
        <w:ind w:left="0" w:firstLine="0"/>
        <w:jc w:val="both"/>
        <w:rPr>
          <w:rFonts w:ascii="Cambria" w:eastAsia="Times New Roman" w:hAnsi="Cambria"/>
          <w:sz w:val="20"/>
          <w:szCs w:val="20"/>
        </w:rPr>
      </w:pPr>
      <w:r w:rsidRPr="00D67B2A">
        <w:rPr>
          <w:rFonts w:ascii="Cambria" w:eastAsia="Times New Roman" w:hAnsi="Cambria"/>
          <w:sz w:val="20"/>
          <w:szCs w:val="20"/>
        </w:rPr>
        <w:lastRenderedPageBreak/>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0092753C" w14:textId="77777777" w:rsidR="00FC14A3" w:rsidRPr="00FC14A3" w:rsidRDefault="00FC14A3" w:rsidP="00FC14A3">
      <w:pPr>
        <w:suppressAutoHyphens/>
        <w:ind w:firstLine="720"/>
        <w:jc w:val="both"/>
        <w:rPr>
          <w:rFonts w:ascii="Cambria" w:hAnsi="Cambria"/>
          <w:spacing w:val="-2"/>
          <w:sz w:val="20"/>
          <w:szCs w:val="20"/>
        </w:rPr>
      </w:pPr>
    </w:p>
    <w:p w14:paraId="0DA81E0C" w14:textId="77777777" w:rsidR="00FC14A3" w:rsidRDefault="00FC14A3" w:rsidP="00FC14A3">
      <w:pPr>
        <w:suppressAutoHyphens/>
        <w:ind w:firstLine="720"/>
        <w:jc w:val="both"/>
        <w:rPr>
          <w:rFonts w:ascii="Cambria" w:hAnsi="Cambria"/>
          <w:spacing w:val="-2"/>
          <w:sz w:val="20"/>
        </w:rPr>
      </w:pPr>
      <w:r>
        <w:rPr>
          <w:rFonts w:ascii="Cambria" w:hAnsi="Cambria"/>
          <w:spacing w:val="-2"/>
          <w:sz w:val="20"/>
        </w:rPr>
        <w:t xml:space="preserve">Approved by </w:t>
      </w:r>
      <w:r>
        <w:rPr>
          <w:rFonts w:ascii="Cambria" w:hAnsi="Cambria" w:cs="Arial"/>
          <w:sz w:val="20"/>
          <w:szCs w:val="20"/>
        </w:rPr>
        <w:t xml:space="preserve">the </w:t>
      </w:r>
      <w:r w:rsidRPr="00365F2F">
        <w:rPr>
          <w:rFonts w:ascii="Cambria" w:hAnsi="Cambria"/>
          <w:sz w:val="20"/>
        </w:rPr>
        <w:t>Inter-American Commission on Human Rights</w:t>
      </w:r>
      <w:r w:rsidRPr="00365F2F">
        <w:rPr>
          <w:rFonts w:ascii="Cambria" w:hAnsi="Cambria"/>
          <w:spacing w:val="-2"/>
          <w:sz w:val="20"/>
        </w:rPr>
        <w:t xml:space="preserve"> on the </w:t>
      </w:r>
      <w:r>
        <w:rPr>
          <w:rFonts w:ascii="Cambria" w:hAnsi="Cambria"/>
          <w:spacing w:val="-2"/>
          <w:sz w:val="20"/>
        </w:rPr>
        <w:t>3</w:t>
      </w:r>
      <w:r w:rsidRPr="00CC164D">
        <w:rPr>
          <w:rFonts w:ascii="Cambria" w:hAnsi="Cambria"/>
          <w:spacing w:val="-2"/>
          <w:sz w:val="20"/>
        </w:rPr>
        <w:t xml:space="preserve"> day of the month of </w:t>
      </w:r>
      <w:r>
        <w:rPr>
          <w:rFonts w:ascii="Cambria" w:hAnsi="Cambria"/>
          <w:spacing w:val="-2"/>
          <w:sz w:val="20"/>
        </w:rPr>
        <w:t>A</w:t>
      </w:r>
      <w:r w:rsidR="00D5372C">
        <w:rPr>
          <w:rFonts w:ascii="Cambria" w:hAnsi="Cambria"/>
          <w:spacing w:val="-2"/>
          <w:sz w:val="20"/>
        </w:rPr>
        <w:t xml:space="preserve">ugust </w:t>
      </w:r>
      <w:r>
        <w:rPr>
          <w:rFonts w:ascii="Cambria" w:hAnsi="Cambria"/>
          <w:spacing w:val="-2"/>
          <w:sz w:val="20"/>
        </w:rPr>
        <w:t>2020</w:t>
      </w:r>
      <w:r w:rsidRPr="00365F2F">
        <w:rPr>
          <w:rFonts w:ascii="Cambria" w:hAnsi="Cambria"/>
          <w:spacing w:val="-2"/>
          <w:sz w:val="20"/>
        </w:rPr>
        <w:t>.</w:t>
      </w:r>
      <w:r>
        <w:rPr>
          <w:rFonts w:ascii="Cambria" w:hAnsi="Cambria"/>
          <w:spacing w:val="-2"/>
          <w:sz w:val="20"/>
        </w:rPr>
        <w:t xml:space="preserve"> (Signed): </w:t>
      </w:r>
      <w:r w:rsidRPr="006C0DB3">
        <w:rPr>
          <w:rFonts w:ascii="Cambria" w:hAnsi="Cambria"/>
          <w:spacing w:val="-2"/>
          <w:sz w:val="20"/>
          <w:szCs w:val="20"/>
        </w:rPr>
        <w:t>Joel Hernández García, President;</w:t>
      </w:r>
      <w:r>
        <w:rPr>
          <w:rFonts w:ascii="Cambria" w:hAnsi="Cambria"/>
          <w:spacing w:val="-2"/>
          <w:sz w:val="20"/>
          <w:szCs w:val="20"/>
        </w:rPr>
        <w:t xml:space="preserve"> </w:t>
      </w:r>
      <w:r w:rsidRPr="00CC164D">
        <w:rPr>
          <w:rFonts w:ascii="Cambria" w:hAnsi="Cambria"/>
          <w:spacing w:val="-2"/>
          <w:sz w:val="20"/>
        </w:rPr>
        <w:t>Antonia Urrejola Noguera</w:t>
      </w:r>
      <w:r>
        <w:rPr>
          <w:rFonts w:ascii="Cambria" w:hAnsi="Cambria"/>
          <w:spacing w:val="-2"/>
          <w:sz w:val="20"/>
        </w:rPr>
        <w:t xml:space="preserve">, </w:t>
      </w:r>
      <w:r w:rsidRPr="00E578CC">
        <w:rPr>
          <w:rFonts w:ascii="Cambria" w:hAnsi="Cambria" w:cs="Arial"/>
          <w:sz w:val="20"/>
        </w:rPr>
        <w:t>First Vice President</w:t>
      </w:r>
      <w:r>
        <w:rPr>
          <w:rFonts w:ascii="Cambria" w:hAnsi="Cambria" w:cs="Arial"/>
          <w:sz w:val="20"/>
        </w:rPr>
        <w:t xml:space="preserve">; </w:t>
      </w:r>
      <w:r>
        <w:rPr>
          <w:rFonts w:ascii="Cambria" w:hAnsi="Cambria"/>
          <w:spacing w:val="-2"/>
          <w:sz w:val="20"/>
        </w:rPr>
        <w:t>Flávia Piovesan</w:t>
      </w:r>
      <w:r w:rsidRPr="00CD27AC">
        <w:rPr>
          <w:rFonts w:ascii="Cambria" w:hAnsi="Cambria"/>
          <w:spacing w:val="-2"/>
          <w:sz w:val="20"/>
        </w:rPr>
        <w:t>, Second Vice President;</w:t>
      </w:r>
      <w:r>
        <w:rPr>
          <w:rFonts w:ascii="Cambria" w:hAnsi="Cambria" w:cs="Arial"/>
          <w:sz w:val="20"/>
        </w:rPr>
        <w:t xml:space="preserve"> </w:t>
      </w:r>
      <w:r w:rsidRPr="00571170">
        <w:rPr>
          <w:rFonts w:ascii="Cambria" w:hAnsi="Cambria"/>
          <w:spacing w:val="-2"/>
          <w:sz w:val="20"/>
        </w:rPr>
        <w:t>Esmeralda E. Arosemena Bernal de Troitiño</w:t>
      </w:r>
      <w:r>
        <w:rPr>
          <w:rFonts w:ascii="Cambria" w:hAnsi="Cambria"/>
          <w:spacing w:val="-2"/>
          <w:sz w:val="20"/>
        </w:rPr>
        <w:t xml:space="preserve"> and </w:t>
      </w:r>
      <w:r w:rsidRPr="00CC164D">
        <w:rPr>
          <w:rFonts w:ascii="Cambria" w:hAnsi="Cambria"/>
          <w:spacing w:val="-2"/>
          <w:sz w:val="20"/>
        </w:rPr>
        <w:t>Julissa Mantilla Falcón</w:t>
      </w:r>
      <w:r>
        <w:rPr>
          <w:rFonts w:ascii="Cambria" w:hAnsi="Cambria"/>
          <w:spacing w:val="-2"/>
          <w:sz w:val="20"/>
        </w:rPr>
        <w:t>, Commissioners.</w:t>
      </w:r>
    </w:p>
    <w:p w14:paraId="05955C06" w14:textId="77777777" w:rsidR="00FC14A3" w:rsidRPr="00447CFC" w:rsidRDefault="00FC14A3" w:rsidP="00FC14A3">
      <w:pPr>
        <w:suppressAutoHyphens/>
        <w:jc w:val="both"/>
        <w:rPr>
          <w:rFonts w:ascii="Cambria" w:hAnsi="Cambria"/>
          <w:spacing w:val="-2"/>
          <w:sz w:val="16"/>
          <w:szCs w:val="16"/>
        </w:rPr>
      </w:pPr>
    </w:p>
    <w:p w14:paraId="4DF810DB" w14:textId="77777777" w:rsidR="00FC14A3" w:rsidRPr="0015272D" w:rsidRDefault="00FC14A3" w:rsidP="00FC14A3">
      <w:pPr>
        <w:tabs>
          <w:tab w:val="left" w:pos="-720"/>
          <w:tab w:val="left" w:pos="5760"/>
        </w:tabs>
        <w:jc w:val="center"/>
        <w:rPr>
          <w:rFonts w:asciiTheme="majorHAnsi" w:hAnsiTheme="majorHAnsi"/>
          <w:sz w:val="20"/>
          <w:szCs w:val="20"/>
        </w:rPr>
      </w:pPr>
    </w:p>
    <w:p w14:paraId="40AB8C5F" w14:textId="77777777" w:rsidR="00FC14A3" w:rsidRPr="00EE6FD2" w:rsidRDefault="00FC14A3" w:rsidP="00EE6FD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rPr>
      </w:pPr>
    </w:p>
    <w:sectPr w:rsidR="00FC14A3" w:rsidRPr="00EE6FD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011E" w14:textId="77777777" w:rsidR="00CC2D86" w:rsidRDefault="00CC2D86" w:rsidP="00036A8A">
      <w:r>
        <w:separator/>
      </w:r>
    </w:p>
  </w:endnote>
  <w:endnote w:type="continuationSeparator" w:id="0">
    <w:p w14:paraId="711BCA51" w14:textId="77777777" w:rsidR="00CC2D86" w:rsidRDefault="00CC2D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36D9A26" w14:textId="77777777" w:rsidR="00D67B2A" w:rsidRPr="006311DA" w:rsidRDefault="00D67B2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C5488">
          <w:rPr>
            <w:noProof/>
            <w:sz w:val="16"/>
          </w:rPr>
          <w:t>18</w:t>
        </w:r>
        <w:r w:rsidRPr="006311DA">
          <w:rPr>
            <w:noProof/>
            <w:sz w:val="16"/>
          </w:rPr>
          <w:fldChar w:fldCharType="end"/>
        </w:r>
      </w:p>
    </w:sdtContent>
  </w:sdt>
  <w:p w14:paraId="2EBF7986" w14:textId="77777777" w:rsidR="00D67B2A" w:rsidRDefault="00D67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4470" w14:textId="77777777" w:rsidR="00D67B2A" w:rsidRDefault="00D67B2A">
    <w:pPr>
      <w:pStyle w:val="Footer"/>
      <w:jc w:val="center"/>
    </w:pPr>
  </w:p>
  <w:p w14:paraId="6FAD5CAC" w14:textId="77777777" w:rsidR="00D67B2A" w:rsidRDefault="00D67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5888B48" w14:textId="77777777" w:rsidR="00D67B2A" w:rsidRDefault="00D67B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53F12B" w14:textId="77777777" w:rsidR="00D67B2A" w:rsidRDefault="00D6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F66D" w14:textId="77777777" w:rsidR="00CC2D86" w:rsidRPr="00036A8A" w:rsidRDefault="00CC2D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E98378" w14:textId="77777777" w:rsidR="00CC2D86" w:rsidRPr="00036A8A" w:rsidRDefault="00CC2D86" w:rsidP="00036A8A">
      <w:pPr>
        <w:rPr>
          <w:rFonts w:asciiTheme="majorHAnsi" w:hAnsiTheme="majorHAnsi"/>
          <w:sz w:val="16"/>
          <w:szCs w:val="16"/>
        </w:rPr>
      </w:pPr>
      <w:r w:rsidRPr="00036A8A">
        <w:rPr>
          <w:rFonts w:asciiTheme="majorHAnsi" w:hAnsiTheme="majorHAnsi"/>
          <w:sz w:val="16"/>
          <w:szCs w:val="16"/>
        </w:rPr>
        <w:separator/>
      </w:r>
    </w:p>
    <w:p w14:paraId="7B656AA2" w14:textId="77777777" w:rsidR="00CC2D86" w:rsidRPr="00036A8A" w:rsidRDefault="00CC2D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4BBB5CD" w14:textId="77777777" w:rsidR="00CC2D86" w:rsidRPr="0093441A" w:rsidRDefault="00CC2D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C0D7C6F" w14:textId="77777777" w:rsidR="00D67B2A" w:rsidRPr="004228F5" w:rsidRDefault="00D67B2A" w:rsidP="004B5893">
      <w:pPr>
        <w:pStyle w:val="FootnoteText"/>
        <w:jc w:val="both"/>
        <w:rPr>
          <w:rFonts w:asciiTheme="majorHAnsi" w:hAnsiTheme="majorHAnsi"/>
          <w:sz w:val="16"/>
          <w:szCs w:val="16"/>
        </w:rPr>
      </w:pPr>
      <w:r w:rsidRPr="00BD7433">
        <w:rPr>
          <w:rStyle w:val="FootnoteReference"/>
          <w:rFonts w:asciiTheme="majorHAnsi" w:hAnsiTheme="majorHAnsi"/>
          <w:sz w:val="16"/>
          <w:szCs w:val="16"/>
        </w:rPr>
        <w:footnoteRef/>
      </w:r>
      <w:r w:rsidRPr="004228F5">
        <w:rPr>
          <w:rFonts w:asciiTheme="majorHAnsi" w:hAnsiTheme="majorHAnsi"/>
          <w:sz w:val="16"/>
          <w:szCs w:val="16"/>
        </w:rPr>
        <w:t xml:space="preserve"> </w:t>
      </w:r>
      <w:r>
        <w:rPr>
          <w:rFonts w:asciiTheme="majorHAnsi" w:hAnsiTheme="majorHAnsi"/>
          <w:sz w:val="16"/>
          <w:szCs w:val="16"/>
        </w:rPr>
        <w:t>On December 15, 2011, the IACHR granted precautionary measures on behalf of Mr. Serrano pursuant to Article 25(1) of its Rules of Procedure and requested the United States to take the measures necessary to preserve his life and physical integrity so as not to hinder the processing of his case before the inter-American system. These measures are still in force.</w:t>
      </w:r>
    </w:p>
  </w:footnote>
  <w:footnote w:id="3">
    <w:p w14:paraId="3C6B8B76" w14:textId="77777777" w:rsidR="00D67B2A" w:rsidRPr="00BD7433" w:rsidRDefault="00D67B2A" w:rsidP="007D191E">
      <w:pPr>
        <w:pStyle w:val="FootnoteText"/>
        <w:jc w:val="both"/>
        <w:rPr>
          <w:rFonts w:asciiTheme="majorHAnsi" w:hAnsiTheme="majorHAnsi"/>
          <w:sz w:val="16"/>
          <w:szCs w:val="16"/>
        </w:rPr>
      </w:pPr>
      <w:r w:rsidRPr="00BD7433">
        <w:rPr>
          <w:rStyle w:val="FootnoteReference"/>
          <w:rFonts w:asciiTheme="majorHAnsi" w:hAnsiTheme="majorHAnsi"/>
          <w:sz w:val="16"/>
          <w:szCs w:val="16"/>
        </w:rPr>
        <w:footnoteRef/>
      </w:r>
      <w:r>
        <w:rPr>
          <w:rFonts w:asciiTheme="majorHAnsi" w:hAnsiTheme="majorHAnsi"/>
          <w:sz w:val="16"/>
          <w:szCs w:val="16"/>
        </w:rPr>
        <w:t xml:space="preserve"> On March 7, 2013, the American University International Human Rights Clinic (IHRC) </w:t>
      </w:r>
      <w:r w:rsidRPr="00BD7433">
        <w:rPr>
          <w:rFonts w:asciiTheme="majorHAnsi" w:hAnsiTheme="majorHAnsi"/>
          <w:sz w:val="16"/>
          <w:szCs w:val="16"/>
        </w:rPr>
        <w:t xml:space="preserve">joined as </w:t>
      </w:r>
      <w:r>
        <w:rPr>
          <w:rFonts w:asciiTheme="majorHAnsi" w:hAnsiTheme="majorHAnsi"/>
          <w:sz w:val="16"/>
          <w:szCs w:val="16"/>
        </w:rPr>
        <w:t>co-</w:t>
      </w:r>
      <w:r w:rsidRPr="00BD7433">
        <w:rPr>
          <w:rFonts w:asciiTheme="majorHAnsi" w:hAnsiTheme="majorHAnsi"/>
          <w:sz w:val="16"/>
          <w:szCs w:val="16"/>
        </w:rPr>
        <w:t>petitioner</w:t>
      </w:r>
      <w:r>
        <w:rPr>
          <w:rFonts w:asciiTheme="majorHAnsi" w:hAnsiTheme="majorHAnsi"/>
          <w:sz w:val="16"/>
          <w:szCs w:val="16"/>
        </w:rPr>
        <w:t xml:space="preserve">. On May 16, 2013, the IHRC filed an amended petition. </w:t>
      </w:r>
    </w:p>
  </w:footnote>
  <w:footnote w:id="4">
    <w:p w14:paraId="04D1FF3E" w14:textId="77777777" w:rsidR="00D67B2A" w:rsidRDefault="00D67B2A" w:rsidP="00A75EE5">
      <w:pPr>
        <w:pStyle w:val="FootnoteText"/>
        <w:jc w:val="both"/>
      </w:pPr>
      <w:r w:rsidRPr="00C43056">
        <w:rPr>
          <w:rStyle w:val="FootnoteReference"/>
          <w:rFonts w:asciiTheme="majorHAnsi" w:hAnsiTheme="majorHAnsi"/>
          <w:sz w:val="16"/>
          <w:szCs w:val="16"/>
        </w:rPr>
        <w:footnoteRef/>
      </w:r>
      <w:r w:rsidRPr="00C43056">
        <w:rPr>
          <w:rFonts w:asciiTheme="majorHAnsi" w:hAnsiTheme="majorHAnsi"/>
          <w:sz w:val="16"/>
          <w:szCs w:val="16"/>
        </w:rPr>
        <w:t xml:space="preserve"> IACHR, Report No. 121/18, Case No. 10.573. Merits (Publication). Jose Isabel Salas Galindo and others. United States. October 5, 2018, para.</w:t>
      </w:r>
      <w:r>
        <w:rPr>
          <w:rFonts w:asciiTheme="majorHAnsi" w:hAnsiTheme="majorHAnsi"/>
          <w:sz w:val="16"/>
          <w:szCs w:val="16"/>
        </w:rPr>
        <w:t xml:space="preserve"> 308</w:t>
      </w:r>
      <w:r w:rsidRPr="00C43056">
        <w:rPr>
          <w:rFonts w:asciiTheme="majorHAnsi" w:hAnsiTheme="majorHAnsi"/>
          <w:sz w:val="16"/>
          <w:szCs w:val="16"/>
        </w:rPr>
        <w:t>.</w:t>
      </w:r>
    </w:p>
  </w:footnote>
  <w:footnote w:id="5">
    <w:p w14:paraId="0739AB0B" w14:textId="77777777" w:rsidR="00D67B2A" w:rsidRDefault="00D67B2A">
      <w:pPr>
        <w:pStyle w:val="FootnoteText"/>
      </w:pPr>
      <w:r w:rsidRPr="00970CBE">
        <w:rPr>
          <w:rStyle w:val="FootnoteReference"/>
          <w:rFonts w:asciiTheme="majorHAnsi" w:hAnsiTheme="majorHAnsi"/>
          <w:color w:val="auto"/>
          <w:sz w:val="16"/>
          <w:szCs w:val="16"/>
        </w:rPr>
        <w:footnoteRef/>
      </w:r>
      <w:r w:rsidRPr="00970CBE">
        <w:rPr>
          <w:rStyle w:val="FootnoteReference"/>
          <w:rFonts w:asciiTheme="majorHAnsi" w:hAnsiTheme="majorHAnsi"/>
          <w:color w:val="auto"/>
          <w:sz w:val="16"/>
          <w:szCs w:val="16"/>
        </w:rPr>
        <w:t xml:space="preserve"> </w:t>
      </w:r>
      <w:r w:rsidRPr="00970CBE">
        <w:rPr>
          <w:rFonts w:asciiTheme="majorHAnsi" w:hAnsiTheme="majorHAnsi"/>
          <w:color w:val="auto"/>
          <w:sz w:val="16"/>
          <w:szCs w:val="16"/>
        </w:rPr>
        <w:t xml:space="preserve">In </w:t>
      </w:r>
      <w:r w:rsidRPr="00430827">
        <w:rPr>
          <w:rFonts w:asciiTheme="majorHAnsi" w:hAnsiTheme="majorHAnsi"/>
          <w:color w:val="auto"/>
          <w:sz w:val="16"/>
          <w:szCs w:val="16"/>
        </w:rPr>
        <w:t>Hurst v. Florida, 577 U.S.</w:t>
      </w:r>
      <w:r>
        <w:rPr>
          <w:rFonts w:asciiTheme="majorHAnsi" w:hAnsiTheme="majorHAnsi"/>
          <w:color w:val="auto"/>
          <w:sz w:val="16"/>
          <w:szCs w:val="16"/>
        </w:rPr>
        <w:t xml:space="preserve"> </w:t>
      </w:r>
      <w:r w:rsidRPr="00430827">
        <w:rPr>
          <w:rFonts w:asciiTheme="majorHAnsi" w:hAnsiTheme="majorHAnsi"/>
          <w:color w:val="auto"/>
          <w:sz w:val="16"/>
          <w:szCs w:val="16"/>
        </w:rPr>
        <w:t>_</w:t>
      </w:r>
      <w:r>
        <w:rPr>
          <w:rFonts w:asciiTheme="majorHAnsi" w:hAnsiTheme="majorHAnsi"/>
          <w:color w:val="auto"/>
          <w:sz w:val="16"/>
          <w:szCs w:val="16"/>
        </w:rPr>
        <w:t xml:space="preserve"> </w:t>
      </w:r>
      <w:r w:rsidRPr="00430827">
        <w:rPr>
          <w:rFonts w:asciiTheme="majorHAnsi" w:hAnsiTheme="majorHAnsi"/>
          <w:color w:val="auto"/>
          <w:sz w:val="16"/>
          <w:szCs w:val="16"/>
        </w:rPr>
        <w:t>(2016)</w:t>
      </w:r>
      <w:r>
        <w:rPr>
          <w:rFonts w:asciiTheme="majorHAnsi" w:hAnsiTheme="majorHAnsi"/>
          <w:color w:val="auto"/>
          <w:sz w:val="16"/>
          <w:szCs w:val="16"/>
        </w:rPr>
        <w:t>, the U.S. Supreme Court declared that</w:t>
      </w:r>
      <w:r w:rsidRPr="00970CBE">
        <w:rPr>
          <w:rFonts w:asciiTheme="majorHAnsi" w:hAnsiTheme="majorHAnsi"/>
          <w:color w:val="auto"/>
          <w:sz w:val="16"/>
          <w:szCs w:val="16"/>
        </w:rPr>
        <w:t xml:space="preserve"> the Florida’s capital sentencing scheme violated the Sixth Amendment given that it did not require a unanimous jury to sentence a defendant to death</w:t>
      </w:r>
      <w:r>
        <w:rPr>
          <w:rFonts w:asciiTheme="majorHAnsi" w:hAnsiTheme="majorHAnsi"/>
          <w:color w:val="auto"/>
          <w:sz w:val="16"/>
          <w:szCs w:val="16"/>
        </w:rPr>
        <w:t xml:space="preserve">. </w:t>
      </w:r>
    </w:p>
  </w:footnote>
  <w:footnote w:id="6">
    <w:p w14:paraId="4A637D58" w14:textId="77777777" w:rsidR="00D67B2A" w:rsidRDefault="00D67B2A">
      <w:pPr>
        <w:pStyle w:val="FootnoteText"/>
      </w:pPr>
      <w:r w:rsidRPr="00D76740">
        <w:rPr>
          <w:rStyle w:val="FootnoteReference"/>
          <w:rFonts w:asciiTheme="majorHAnsi" w:hAnsiTheme="majorHAnsi"/>
          <w:color w:val="auto"/>
          <w:sz w:val="16"/>
          <w:szCs w:val="16"/>
        </w:rPr>
        <w:footnoteRef/>
      </w:r>
      <w:r w:rsidRPr="00D76740">
        <w:rPr>
          <w:rStyle w:val="FootnoteReference"/>
          <w:rFonts w:asciiTheme="majorHAnsi" w:hAnsiTheme="majorHAnsi"/>
          <w:color w:val="auto"/>
          <w:sz w:val="16"/>
          <w:szCs w:val="16"/>
        </w:rPr>
        <w:t xml:space="preserve"> </w:t>
      </w:r>
      <w:r w:rsidRPr="00D76740">
        <w:rPr>
          <w:rFonts w:asciiTheme="majorHAnsi" w:hAnsiTheme="majorHAnsi"/>
          <w:color w:val="auto"/>
          <w:sz w:val="16"/>
          <w:szCs w:val="16"/>
        </w:rPr>
        <w:t>IACHR, Report No. 54/14, Petition 684-14. Admissibility. Russel Bucklew and Charles Warner. United States. July 21, 2014, para. 28.</w:t>
      </w:r>
    </w:p>
  </w:footnote>
  <w:footnote w:id="7">
    <w:p w14:paraId="65CC6339" w14:textId="77777777" w:rsidR="00D67B2A" w:rsidRDefault="00D67B2A">
      <w:pPr>
        <w:pStyle w:val="FootnoteText"/>
      </w:pPr>
      <w:r w:rsidRPr="00D76740">
        <w:rPr>
          <w:rStyle w:val="FootnoteReference"/>
          <w:rFonts w:asciiTheme="majorHAnsi" w:hAnsiTheme="majorHAnsi"/>
          <w:color w:val="auto"/>
          <w:sz w:val="16"/>
          <w:szCs w:val="16"/>
        </w:rPr>
        <w:footnoteRef/>
      </w:r>
      <w:r w:rsidRPr="00D76740">
        <w:rPr>
          <w:rStyle w:val="FootnoteReference"/>
          <w:rFonts w:asciiTheme="majorHAnsi" w:hAnsiTheme="majorHAnsi"/>
          <w:color w:val="auto"/>
          <w:sz w:val="16"/>
          <w:szCs w:val="16"/>
        </w:rPr>
        <w:t xml:space="preserve"> </w:t>
      </w:r>
      <w:r w:rsidRPr="00D76740">
        <w:rPr>
          <w:rFonts w:asciiTheme="majorHAnsi" w:hAnsiTheme="majorHAnsi"/>
          <w:color w:val="auto"/>
          <w:sz w:val="16"/>
          <w:szCs w:val="16"/>
        </w:rPr>
        <w:t>IACHR, Report No. 54/14, Petition 684-14. Admissibility. Russel Bucklew and Charles Warner. United States. July 21, 2014, para. 28.</w:t>
      </w:r>
    </w:p>
  </w:footnote>
  <w:footnote w:id="8">
    <w:p w14:paraId="6D075BC5" w14:textId="77777777" w:rsidR="00D67B2A" w:rsidRPr="00633331" w:rsidRDefault="00D67B2A" w:rsidP="00701C45">
      <w:pPr>
        <w:pStyle w:val="FootnoteText"/>
        <w:jc w:val="both"/>
        <w:rPr>
          <w:rFonts w:asciiTheme="majorHAnsi" w:hAnsiTheme="majorHAnsi"/>
          <w:color w:val="auto"/>
          <w:sz w:val="16"/>
          <w:szCs w:val="16"/>
        </w:rPr>
      </w:pPr>
      <w:r w:rsidRPr="00633331">
        <w:rPr>
          <w:rStyle w:val="FootnoteReference"/>
          <w:rFonts w:asciiTheme="majorHAnsi" w:hAnsiTheme="majorHAnsi"/>
          <w:color w:val="auto"/>
          <w:sz w:val="16"/>
          <w:szCs w:val="16"/>
        </w:rPr>
        <w:footnoteRef/>
      </w:r>
      <w:r w:rsidRPr="00633331">
        <w:rPr>
          <w:rFonts w:asciiTheme="majorHAnsi" w:hAnsiTheme="majorHAnsi"/>
          <w:color w:val="auto"/>
          <w:sz w:val="16"/>
          <w:szCs w:val="16"/>
        </w:rPr>
        <w:t xml:space="preserve"> Merits Report No. 29/08 and its conclusions are referenced in IACHR, Report No. 84/</w:t>
      </w:r>
      <w:r>
        <w:rPr>
          <w:rFonts w:asciiTheme="majorHAnsi" w:hAnsiTheme="majorHAnsi"/>
          <w:color w:val="auto"/>
          <w:sz w:val="16"/>
          <w:szCs w:val="16"/>
        </w:rPr>
        <w:t>0</w:t>
      </w:r>
      <w:r w:rsidRPr="00633331">
        <w:rPr>
          <w:rFonts w:asciiTheme="majorHAnsi" w:hAnsiTheme="majorHAnsi"/>
          <w:color w:val="auto"/>
          <w:sz w:val="16"/>
          <w:szCs w:val="16"/>
        </w:rPr>
        <w:t>9, Case 12.525. Merits (Publication). Nelson Ivan Serrano Saenz. United States of America. August 6, 2009, paras. 82 and 102.</w:t>
      </w:r>
    </w:p>
  </w:footnote>
  <w:footnote w:id="9">
    <w:p w14:paraId="4E587B25" w14:textId="77777777" w:rsidR="00D67B2A" w:rsidRDefault="00D67B2A" w:rsidP="00701C45">
      <w:pPr>
        <w:pStyle w:val="FootnoteText"/>
        <w:jc w:val="both"/>
      </w:pPr>
      <w:r w:rsidRPr="00CF09B6">
        <w:rPr>
          <w:rStyle w:val="FootnoteReference"/>
          <w:rFonts w:asciiTheme="majorHAnsi" w:hAnsiTheme="majorHAnsi"/>
          <w:color w:val="auto"/>
          <w:sz w:val="16"/>
          <w:szCs w:val="16"/>
        </w:rPr>
        <w:footnoteRef/>
      </w:r>
      <w:r w:rsidRPr="00CF09B6">
        <w:rPr>
          <w:rStyle w:val="FootnoteReference"/>
          <w:rFonts w:asciiTheme="majorHAnsi" w:hAnsiTheme="majorHAnsi"/>
          <w:color w:val="auto"/>
          <w:sz w:val="16"/>
          <w:szCs w:val="16"/>
        </w:rPr>
        <w:t xml:space="preserve"> </w:t>
      </w:r>
      <w:r w:rsidRPr="00633331">
        <w:rPr>
          <w:rFonts w:asciiTheme="majorHAnsi" w:hAnsiTheme="majorHAnsi"/>
          <w:color w:val="auto"/>
          <w:sz w:val="16"/>
          <w:szCs w:val="16"/>
        </w:rPr>
        <w:t>IACHR, Report No. 84/</w:t>
      </w:r>
      <w:r>
        <w:rPr>
          <w:rFonts w:asciiTheme="majorHAnsi" w:hAnsiTheme="majorHAnsi"/>
          <w:color w:val="auto"/>
          <w:sz w:val="16"/>
          <w:szCs w:val="16"/>
        </w:rPr>
        <w:t>0</w:t>
      </w:r>
      <w:r w:rsidRPr="00633331">
        <w:rPr>
          <w:rFonts w:asciiTheme="majorHAnsi" w:hAnsiTheme="majorHAnsi"/>
          <w:color w:val="auto"/>
          <w:sz w:val="16"/>
          <w:szCs w:val="16"/>
        </w:rPr>
        <w:t>9, Case 12.525. Merits (Publication). Nelson Ivan Serrano Saenz. United States of America. August 6, 2009, para</w:t>
      </w:r>
      <w:r>
        <w:rPr>
          <w:rFonts w:asciiTheme="majorHAnsi" w:hAnsiTheme="majorHAnsi"/>
          <w:color w:val="auto"/>
          <w:sz w:val="16"/>
          <w:szCs w:val="16"/>
        </w:rPr>
        <w:t>. 95.</w:t>
      </w:r>
    </w:p>
  </w:footnote>
  <w:footnote w:id="10">
    <w:p w14:paraId="3379078B" w14:textId="77777777" w:rsidR="00D67B2A" w:rsidRPr="00700A87" w:rsidRDefault="00D67B2A" w:rsidP="00225685">
      <w:pPr>
        <w:pStyle w:val="NoSpacing"/>
        <w:ind w:firstLine="0"/>
        <w:rPr>
          <w:rFonts w:asciiTheme="majorHAnsi" w:hAnsiTheme="majorHAnsi"/>
          <w:sz w:val="16"/>
          <w:szCs w:val="16"/>
          <w:lang w:val="en-US"/>
        </w:rPr>
      </w:pPr>
      <w:r w:rsidRPr="00700A87">
        <w:rPr>
          <w:rStyle w:val="FootnoteReference"/>
          <w:rFonts w:asciiTheme="majorHAnsi" w:hAnsiTheme="majorHAnsi"/>
          <w:sz w:val="16"/>
          <w:szCs w:val="16"/>
          <w:lang w:val="en-US"/>
        </w:rPr>
        <w:footnoteRef/>
      </w:r>
      <w:r w:rsidRPr="00700A87">
        <w:rPr>
          <w:rFonts w:asciiTheme="majorHAnsi" w:hAnsiTheme="majorHAnsi"/>
          <w:sz w:val="16"/>
          <w:szCs w:val="16"/>
          <w:lang w:val="en-US"/>
        </w:rPr>
        <w:t xml:space="preserve"> Immigration Law. Supreme Decree No. 1899 of December 30, 1971. </w:t>
      </w:r>
    </w:p>
  </w:footnote>
  <w:footnote w:id="11">
    <w:p w14:paraId="452335D0" w14:textId="77777777" w:rsidR="00D67B2A" w:rsidRDefault="00D67B2A" w:rsidP="000608ED">
      <w:pPr>
        <w:pStyle w:val="FootnoteText"/>
        <w:jc w:val="both"/>
      </w:pPr>
      <w:r w:rsidRPr="00C65140">
        <w:rPr>
          <w:rStyle w:val="FootnoteReference"/>
          <w:rFonts w:asciiTheme="majorHAnsi" w:hAnsiTheme="majorHAnsi"/>
          <w:sz w:val="16"/>
          <w:szCs w:val="16"/>
        </w:rPr>
        <w:footnoteRef/>
      </w:r>
      <w:r w:rsidRPr="00C65140">
        <w:rPr>
          <w:rFonts w:asciiTheme="majorHAnsi" w:hAnsiTheme="majorHAnsi"/>
          <w:sz w:val="16"/>
          <w:szCs w:val="16"/>
        </w:rPr>
        <w:t xml:space="preserve"> </w:t>
      </w:r>
      <w:r w:rsidRPr="00633331">
        <w:rPr>
          <w:rFonts w:asciiTheme="majorHAnsi" w:hAnsiTheme="majorHAnsi"/>
          <w:color w:val="auto"/>
          <w:sz w:val="16"/>
          <w:szCs w:val="16"/>
        </w:rPr>
        <w:t>IACHR, Report No. 84/89, Case 12.525. Merits (Publication). Nelson Ivan Serrano Saenz. United States of America. August 6, 2009, para</w:t>
      </w:r>
      <w:r>
        <w:rPr>
          <w:rFonts w:asciiTheme="majorHAnsi" w:hAnsiTheme="majorHAnsi"/>
          <w:color w:val="auto"/>
          <w:sz w:val="16"/>
          <w:szCs w:val="16"/>
        </w:rPr>
        <w:t>s. 27-29.</w:t>
      </w:r>
    </w:p>
  </w:footnote>
  <w:footnote w:id="12">
    <w:p w14:paraId="72D44FFD" w14:textId="77777777" w:rsidR="00D67B2A" w:rsidRDefault="00D67B2A" w:rsidP="00C65140">
      <w:pPr>
        <w:pStyle w:val="FootnoteText"/>
        <w:jc w:val="both"/>
      </w:pPr>
      <w:r w:rsidRPr="00C65140">
        <w:rPr>
          <w:rStyle w:val="FootnoteReference"/>
          <w:rFonts w:asciiTheme="majorHAnsi" w:hAnsiTheme="majorHAnsi"/>
          <w:sz w:val="16"/>
          <w:szCs w:val="16"/>
        </w:rPr>
        <w:footnoteRef/>
      </w:r>
      <w:r w:rsidRPr="00C65140">
        <w:rPr>
          <w:rFonts w:asciiTheme="majorHAnsi" w:hAnsiTheme="majorHAnsi"/>
          <w:sz w:val="16"/>
          <w:szCs w:val="16"/>
        </w:rPr>
        <w:t xml:space="preserve"> </w:t>
      </w:r>
      <w:r w:rsidRPr="00C65140">
        <w:rPr>
          <w:rFonts w:asciiTheme="majorHAnsi" w:hAnsiTheme="majorHAnsi"/>
          <w:color w:val="auto"/>
          <w:sz w:val="16"/>
          <w:szCs w:val="16"/>
        </w:rPr>
        <w:t>State v. Serrano, Case No. CF01-003262-XX (Fla. 10th Cir. Ct. 2014), p. 2. Exhibit A submitted with petitioner’s additional information on February 11, 2015.</w:t>
      </w:r>
    </w:p>
  </w:footnote>
  <w:footnote w:id="13">
    <w:p w14:paraId="560D9E89" w14:textId="77777777" w:rsidR="00D67B2A" w:rsidRDefault="00D67B2A">
      <w:pPr>
        <w:pStyle w:val="FootnoteText"/>
      </w:pPr>
      <w:r w:rsidRPr="00D07D0C">
        <w:rPr>
          <w:rStyle w:val="FootnoteReference"/>
          <w:rFonts w:asciiTheme="majorHAnsi" w:hAnsiTheme="majorHAnsi"/>
          <w:sz w:val="16"/>
          <w:szCs w:val="16"/>
        </w:rPr>
        <w:footnoteRef/>
      </w:r>
      <w:r w:rsidRPr="00D07D0C">
        <w:rPr>
          <w:rStyle w:val="FootnoteReference"/>
          <w:rFonts w:asciiTheme="majorHAnsi" w:hAnsiTheme="majorHAnsi"/>
          <w:sz w:val="16"/>
          <w:szCs w:val="16"/>
        </w:rPr>
        <w:t xml:space="preserve"> </w:t>
      </w:r>
      <w:r w:rsidRPr="003B4516">
        <w:rPr>
          <w:rFonts w:asciiTheme="majorHAnsi" w:hAnsiTheme="majorHAnsi"/>
          <w:color w:val="auto"/>
          <w:sz w:val="16"/>
          <w:szCs w:val="16"/>
        </w:rPr>
        <w:t xml:space="preserve">Amended petition submitted by the </w:t>
      </w:r>
      <w:r>
        <w:rPr>
          <w:rFonts w:asciiTheme="majorHAnsi" w:hAnsiTheme="majorHAnsi"/>
          <w:color w:val="auto"/>
          <w:sz w:val="16"/>
          <w:szCs w:val="16"/>
        </w:rPr>
        <w:t>American University International Human Rights Law Clinic on May 16, 2013, pages 5-7; CBS News Transcripts, 48 Hours Mystery: to Catch a Killer. Exhibit B submitted with petitioner’s amended petition on May 16, 2013.</w:t>
      </w:r>
    </w:p>
  </w:footnote>
  <w:footnote w:id="14">
    <w:p w14:paraId="6387D0E6" w14:textId="77777777" w:rsidR="00D67B2A" w:rsidRDefault="00D67B2A" w:rsidP="009E1B96">
      <w:pPr>
        <w:pStyle w:val="FootnoteText"/>
        <w:jc w:val="both"/>
      </w:pPr>
      <w:r w:rsidRPr="000B2B59">
        <w:rPr>
          <w:rStyle w:val="FootnoteReference"/>
          <w:rFonts w:asciiTheme="majorHAnsi" w:hAnsiTheme="majorHAnsi"/>
          <w:sz w:val="16"/>
          <w:szCs w:val="16"/>
        </w:rPr>
        <w:footnoteRef/>
      </w:r>
      <w:r w:rsidRPr="000B2B59">
        <w:rPr>
          <w:rStyle w:val="FootnoteReference"/>
          <w:rFonts w:asciiTheme="majorHAnsi" w:hAnsiTheme="majorHAnsi"/>
          <w:sz w:val="16"/>
          <w:szCs w:val="16"/>
        </w:rPr>
        <w:t xml:space="preserve"> </w:t>
      </w:r>
      <w:r w:rsidRPr="000B2B59">
        <w:rPr>
          <w:rFonts w:asciiTheme="majorHAnsi" w:hAnsiTheme="majorHAnsi"/>
          <w:color w:val="auto"/>
          <w:sz w:val="16"/>
          <w:szCs w:val="16"/>
        </w:rPr>
        <w:t>Letter addressed to Linda Jacobson, Assistant Legal Adviser, Law Enforcement and Intelligence, U.S. Department of State, dated August 23, 2002. Exhibit submitted with petitioner’s additional information on January 20, 2014.</w:t>
      </w:r>
    </w:p>
  </w:footnote>
  <w:footnote w:id="15">
    <w:p w14:paraId="6C65ED4E" w14:textId="77777777" w:rsidR="00D67B2A" w:rsidRPr="00B90D18" w:rsidRDefault="00D67B2A">
      <w:pPr>
        <w:pStyle w:val="FootnoteText"/>
      </w:pPr>
      <w:r w:rsidRPr="003B4516">
        <w:rPr>
          <w:rStyle w:val="FootnoteReference"/>
          <w:rFonts w:asciiTheme="majorHAnsi" w:hAnsiTheme="majorHAnsi"/>
          <w:sz w:val="16"/>
          <w:szCs w:val="16"/>
        </w:rPr>
        <w:footnoteRef/>
      </w:r>
      <w:r w:rsidRPr="003B4516">
        <w:rPr>
          <w:rStyle w:val="FootnoteReference"/>
          <w:rFonts w:asciiTheme="majorHAnsi" w:hAnsiTheme="majorHAnsi"/>
          <w:sz w:val="16"/>
          <w:szCs w:val="16"/>
        </w:rPr>
        <w:t xml:space="preserve"> </w:t>
      </w:r>
      <w:r w:rsidRPr="003B4516">
        <w:rPr>
          <w:rFonts w:asciiTheme="majorHAnsi" w:hAnsiTheme="majorHAnsi"/>
          <w:color w:val="auto"/>
          <w:sz w:val="16"/>
          <w:szCs w:val="16"/>
        </w:rPr>
        <w:t xml:space="preserve">Amended petition submitted by the </w:t>
      </w:r>
      <w:r>
        <w:rPr>
          <w:rFonts w:asciiTheme="majorHAnsi" w:hAnsiTheme="majorHAnsi"/>
          <w:color w:val="auto"/>
          <w:sz w:val="16"/>
          <w:szCs w:val="16"/>
        </w:rPr>
        <w:t>American University International Human Rights Law Clinic on May 16, 2013, pages 5-7; CBS News Transcripts, 48 Hours Mystery: to Catch a Killer. Exhibit B submitted with petitioner’s amended petition on May 16, 2013.</w:t>
      </w:r>
    </w:p>
  </w:footnote>
  <w:footnote w:id="16">
    <w:p w14:paraId="1D4DBCCE" w14:textId="77777777" w:rsidR="00D67B2A" w:rsidRPr="00A0151C" w:rsidRDefault="00D67B2A">
      <w:pPr>
        <w:pStyle w:val="FootnoteText"/>
        <w:rPr>
          <w:sz w:val="16"/>
          <w:szCs w:val="16"/>
        </w:rPr>
      </w:pPr>
      <w:r w:rsidRPr="002134E3">
        <w:rPr>
          <w:rStyle w:val="FootnoteReference"/>
          <w:rFonts w:asciiTheme="majorHAnsi" w:hAnsiTheme="majorHAnsi"/>
          <w:sz w:val="16"/>
          <w:szCs w:val="16"/>
        </w:rPr>
        <w:footnoteRef/>
      </w:r>
      <w:r>
        <w:t xml:space="preserve"> </w:t>
      </w:r>
      <w:r w:rsidRPr="005D6168">
        <w:rPr>
          <w:rFonts w:asciiTheme="majorHAnsi" w:hAnsiTheme="majorHAnsi"/>
          <w:color w:val="auto"/>
          <w:sz w:val="16"/>
          <w:szCs w:val="16"/>
        </w:rPr>
        <w:t xml:space="preserve">Partial Transcript of Testimony of Special Agent Tommy Ray, State v. Serrano, CF01-03262A-XX (Mar. 15, 2007), pages 10-12. </w:t>
      </w:r>
      <w:r>
        <w:rPr>
          <w:rFonts w:asciiTheme="majorHAnsi" w:hAnsiTheme="majorHAnsi"/>
          <w:color w:val="auto"/>
          <w:sz w:val="16"/>
          <w:szCs w:val="16"/>
        </w:rPr>
        <w:t>Exhibit C submitted with petitioner’s amended petition on May 16, 2013.</w:t>
      </w:r>
    </w:p>
  </w:footnote>
  <w:footnote w:id="17">
    <w:p w14:paraId="4A50DADD" w14:textId="77777777" w:rsidR="00D67B2A" w:rsidRDefault="00D67B2A" w:rsidP="00AD7317">
      <w:pPr>
        <w:pStyle w:val="FootnoteText"/>
        <w:jc w:val="both"/>
      </w:pPr>
      <w:r w:rsidRPr="00AD7317">
        <w:rPr>
          <w:rStyle w:val="FootnoteReference"/>
          <w:rFonts w:asciiTheme="majorHAnsi" w:hAnsiTheme="majorHAnsi"/>
          <w:sz w:val="16"/>
          <w:szCs w:val="16"/>
        </w:rPr>
        <w:footnoteRef/>
      </w:r>
      <w:r w:rsidRPr="00AD7317">
        <w:rPr>
          <w:rStyle w:val="FootnoteReference"/>
          <w:rFonts w:asciiTheme="majorHAnsi" w:hAnsiTheme="majorHAnsi"/>
          <w:sz w:val="16"/>
          <w:szCs w:val="16"/>
        </w:rPr>
        <w:t xml:space="preserve"> </w:t>
      </w:r>
      <w:r w:rsidRPr="00633331">
        <w:rPr>
          <w:rFonts w:asciiTheme="majorHAnsi" w:hAnsiTheme="majorHAnsi"/>
          <w:color w:val="auto"/>
          <w:sz w:val="16"/>
          <w:szCs w:val="16"/>
        </w:rPr>
        <w:t xml:space="preserve">IACHR, Report No. 84/89, Case 12.525. </w:t>
      </w:r>
      <w:r w:rsidRPr="002721E5">
        <w:rPr>
          <w:rFonts w:asciiTheme="majorHAnsi" w:hAnsiTheme="majorHAnsi"/>
          <w:color w:val="auto"/>
          <w:sz w:val="16"/>
          <w:szCs w:val="16"/>
        </w:rPr>
        <w:t xml:space="preserve">Merits (Publication). Nelson Ivan Serrano Saenz. </w:t>
      </w:r>
      <w:r w:rsidRPr="00633331">
        <w:rPr>
          <w:rFonts w:asciiTheme="majorHAnsi" w:hAnsiTheme="majorHAnsi"/>
          <w:color w:val="auto"/>
          <w:sz w:val="16"/>
          <w:szCs w:val="16"/>
        </w:rPr>
        <w:t>United States of America. August 6, 2009, para</w:t>
      </w:r>
      <w:r>
        <w:rPr>
          <w:rFonts w:asciiTheme="majorHAnsi" w:hAnsiTheme="majorHAnsi"/>
          <w:color w:val="auto"/>
          <w:sz w:val="16"/>
          <w:szCs w:val="16"/>
        </w:rPr>
        <w:t>. 30.</w:t>
      </w:r>
    </w:p>
  </w:footnote>
  <w:footnote w:id="18">
    <w:p w14:paraId="1AE93AB0" w14:textId="77777777" w:rsidR="00D67B2A" w:rsidRDefault="00D67B2A" w:rsidP="000B2B59">
      <w:pPr>
        <w:pStyle w:val="FootnoteText"/>
        <w:jc w:val="both"/>
      </w:pPr>
      <w:r w:rsidRPr="00607096">
        <w:rPr>
          <w:rStyle w:val="FootnoteReference"/>
          <w:rFonts w:asciiTheme="majorHAnsi" w:hAnsiTheme="majorHAnsi"/>
          <w:sz w:val="16"/>
          <w:szCs w:val="16"/>
        </w:rPr>
        <w:footnoteRef/>
      </w:r>
      <w:r w:rsidRPr="00607096">
        <w:rPr>
          <w:rStyle w:val="FootnoteReference"/>
          <w:rFonts w:asciiTheme="majorHAnsi" w:hAnsiTheme="majorHAnsi"/>
          <w:sz w:val="16"/>
          <w:szCs w:val="16"/>
        </w:rPr>
        <w:t xml:space="preserve"> </w:t>
      </w:r>
      <w:r w:rsidRPr="00633331">
        <w:rPr>
          <w:rFonts w:asciiTheme="majorHAnsi" w:hAnsiTheme="majorHAnsi"/>
          <w:color w:val="auto"/>
          <w:sz w:val="16"/>
          <w:szCs w:val="16"/>
        </w:rPr>
        <w:t xml:space="preserve">IACHR, Report No. 84/89, Case 12.525. </w:t>
      </w:r>
      <w:r w:rsidRPr="002721E5">
        <w:rPr>
          <w:rFonts w:asciiTheme="majorHAnsi" w:hAnsiTheme="majorHAnsi"/>
          <w:color w:val="auto"/>
          <w:sz w:val="16"/>
          <w:szCs w:val="16"/>
        </w:rPr>
        <w:t xml:space="preserve">Merits (Publication). Nelson Ivan Serrano Saenz. </w:t>
      </w:r>
      <w:r w:rsidRPr="00633331">
        <w:rPr>
          <w:rFonts w:asciiTheme="majorHAnsi" w:hAnsiTheme="majorHAnsi"/>
          <w:color w:val="auto"/>
          <w:sz w:val="16"/>
          <w:szCs w:val="16"/>
        </w:rPr>
        <w:t>United States of America. August 6, 2009, para</w:t>
      </w:r>
      <w:r>
        <w:rPr>
          <w:rFonts w:asciiTheme="majorHAnsi" w:hAnsiTheme="majorHAnsi"/>
          <w:color w:val="auto"/>
          <w:sz w:val="16"/>
          <w:szCs w:val="16"/>
        </w:rPr>
        <w:t>s. 30-36.</w:t>
      </w:r>
    </w:p>
  </w:footnote>
  <w:footnote w:id="19">
    <w:p w14:paraId="007D22B8" w14:textId="77777777" w:rsidR="00D67B2A" w:rsidRDefault="00D67B2A" w:rsidP="000E51B8">
      <w:pPr>
        <w:pStyle w:val="FootnoteText"/>
        <w:jc w:val="both"/>
      </w:pPr>
      <w:r w:rsidRPr="00EB3CEF">
        <w:rPr>
          <w:rStyle w:val="FootnoteReference"/>
          <w:rFonts w:asciiTheme="majorHAnsi" w:hAnsiTheme="majorHAnsi"/>
          <w:sz w:val="16"/>
          <w:szCs w:val="16"/>
        </w:rPr>
        <w:footnoteRef/>
      </w:r>
      <w:r w:rsidRPr="00EB3CEF">
        <w:rPr>
          <w:rStyle w:val="FootnoteReference"/>
          <w:rFonts w:asciiTheme="majorHAnsi" w:hAnsiTheme="majorHAnsi"/>
          <w:sz w:val="16"/>
          <w:szCs w:val="16"/>
        </w:rPr>
        <w:t xml:space="preserve"> </w:t>
      </w:r>
      <w:r w:rsidRPr="00C65140">
        <w:rPr>
          <w:rFonts w:asciiTheme="majorHAnsi" w:hAnsiTheme="majorHAnsi"/>
          <w:color w:val="auto"/>
          <w:sz w:val="16"/>
          <w:szCs w:val="16"/>
        </w:rPr>
        <w:t>State v. Serrano, Case No. CF01-003262-XX (Fla. 10th Cir. Ct. 2014), p. 2. Exhibit A submitted with petitioner’s additional information on February 11, 2015.</w:t>
      </w:r>
    </w:p>
  </w:footnote>
  <w:footnote w:id="20">
    <w:p w14:paraId="5BA9A9D6" w14:textId="77777777" w:rsidR="00D67B2A" w:rsidRDefault="00D67B2A" w:rsidP="008957E9">
      <w:pPr>
        <w:pStyle w:val="FootnoteText"/>
        <w:jc w:val="both"/>
      </w:pPr>
      <w:r w:rsidRPr="008957E9">
        <w:rPr>
          <w:rStyle w:val="FootnoteReference"/>
          <w:rFonts w:asciiTheme="majorHAnsi" w:hAnsiTheme="majorHAnsi"/>
          <w:sz w:val="16"/>
          <w:szCs w:val="16"/>
        </w:rPr>
        <w:footnoteRef/>
      </w:r>
      <w:r w:rsidRPr="008957E9">
        <w:rPr>
          <w:rStyle w:val="FootnoteReference"/>
          <w:rFonts w:asciiTheme="majorHAnsi" w:hAnsiTheme="majorHAnsi"/>
          <w:sz w:val="16"/>
          <w:szCs w:val="16"/>
        </w:rPr>
        <w:t xml:space="preserve"> </w:t>
      </w:r>
      <w:r w:rsidRPr="008957E9">
        <w:rPr>
          <w:rFonts w:asciiTheme="majorHAnsi" w:hAnsiTheme="majorHAnsi"/>
          <w:color w:val="auto"/>
          <w:sz w:val="16"/>
          <w:szCs w:val="16"/>
        </w:rPr>
        <w:t xml:space="preserve">Serrano v. State of Florida, 2008 WL 2805854 (Fla.)(Appellate Brief). </w:t>
      </w:r>
      <w:r w:rsidRPr="000E51B8">
        <w:rPr>
          <w:rFonts w:asciiTheme="majorHAnsi" w:hAnsiTheme="majorHAnsi"/>
          <w:color w:val="auto"/>
          <w:sz w:val="16"/>
          <w:szCs w:val="16"/>
        </w:rPr>
        <w:t>Exhibit submitted with the original petition on November 20, 2011.</w:t>
      </w:r>
    </w:p>
  </w:footnote>
  <w:footnote w:id="21">
    <w:p w14:paraId="16E54B0A" w14:textId="77777777" w:rsidR="00D67B2A" w:rsidRDefault="00D67B2A" w:rsidP="009E1B96">
      <w:pPr>
        <w:pStyle w:val="FootnoteText"/>
        <w:jc w:val="both"/>
      </w:pPr>
      <w:r w:rsidRPr="000E51B8">
        <w:rPr>
          <w:rStyle w:val="FootnoteReference"/>
          <w:rFonts w:asciiTheme="majorHAnsi" w:hAnsiTheme="majorHAnsi"/>
          <w:sz w:val="16"/>
          <w:szCs w:val="16"/>
        </w:rPr>
        <w:footnoteRef/>
      </w:r>
      <w:r w:rsidRPr="000E51B8">
        <w:rPr>
          <w:rStyle w:val="FootnoteReference"/>
          <w:rFonts w:asciiTheme="majorHAnsi" w:hAnsiTheme="majorHAnsi"/>
          <w:sz w:val="16"/>
          <w:szCs w:val="16"/>
        </w:rPr>
        <w:t xml:space="preserve"> </w:t>
      </w:r>
      <w:r w:rsidRPr="000E51B8">
        <w:rPr>
          <w:rFonts w:asciiTheme="majorHAnsi" w:hAnsiTheme="majorHAnsi"/>
          <w:color w:val="auto"/>
          <w:sz w:val="16"/>
          <w:szCs w:val="16"/>
        </w:rPr>
        <w:t>Serrano v. State of Florida, 64 So. 3d 93 (2011). Exhibit submitted with the original petition on November 20, 2011.</w:t>
      </w:r>
      <w:r>
        <w:t xml:space="preserve"> </w:t>
      </w:r>
    </w:p>
  </w:footnote>
  <w:footnote w:id="22">
    <w:p w14:paraId="757C8AD5" w14:textId="77777777" w:rsidR="00D67B2A" w:rsidRDefault="00D67B2A" w:rsidP="009E1B96">
      <w:pPr>
        <w:pStyle w:val="FootnoteText"/>
      </w:pPr>
      <w:r w:rsidRPr="007F5D1D">
        <w:rPr>
          <w:rStyle w:val="FootnoteReference"/>
          <w:rFonts w:asciiTheme="majorHAnsi" w:hAnsiTheme="majorHAnsi"/>
          <w:sz w:val="16"/>
          <w:szCs w:val="16"/>
        </w:rPr>
        <w:footnoteRef/>
      </w:r>
      <w:r w:rsidRPr="007F5D1D">
        <w:rPr>
          <w:rStyle w:val="FootnoteReference"/>
          <w:rFonts w:asciiTheme="majorHAnsi" w:hAnsiTheme="majorHAnsi"/>
          <w:sz w:val="16"/>
          <w:szCs w:val="16"/>
        </w:rPr>
        <w:t xml:space="preserve"> </w:t>
      </w:r>
      <w:r w:rsidRPr="000E51B8">
        <w:rPr>
          <w:rFonts w:asciiTheme="majorHAnsi" w:hAnsiTheme="majorHAnsi"/>
          <w:color w:val="auto"/>
          <w:sz w:val="16"/>
          <w:szCs w:val="16"/>
        </w:rPr>
        <w:t>Serrano v. State of Florida, 64 So. 3d 93 (2011). Exhibit submitted with the original petition on November 20, 2011.</w:t>
      </w:r>
    </w:p>
  </w:footnote>
  <w:footnote w:id="23">
    <w:p w14:paraId="45E7032B" w14:textId="77777777" w:rsidR="00D67B2A" w:rsidRDefault="00D67B2A">
      <w:pPr>
        <w:pStyle w:val="FootnoteText"/>
      </w:pPr>
      <w:r w:rsidRPr="008E443A">
        <w:rPr>
          <w:rStyle w:val="FootnoteReference"/>
          <w:rFonts w:asciiTheme="majorHAnsi" w:hAnsiTheme="majorHAnsi"/>
          <w:sz w:val="16"/>
          <w:szCs w:val="16"/>
        </w:rPr>
        <w:footnoteRef/>
      </w:r>
      <w:r w:rsidRPr="008E443A">
        <w:rPr>
          <w:rStyle w:val="FootnoteReference"/>
          <w:rFonts w:asciiTheme="majorHAnsi" w:hAnsiTheme="majorHAnsi"/>
          <w:sz w:val="16"/>
          <w:szCs w:val="16"/>
        </w:rPr>
        <w:t xml:space="preserve"> </w:t>
      </w:r>
      <w:r w:rsidRPr="008E443A">
        <w:rPr>
          <w:rFonts w:asciiTheme="majorHAnsi" w:hAnsiTheme="majorHAnsi"/>
          <w:color w:val="auto"/>
          <w:sz w:val="16"/>
          <w:szCs w:val="16"/>
        </w:rPr>
        <w:t>Frisbie v. Collins, 342 U.S. 519 (1952)</w:t>
      </w:r>
      <w:r>
        <w:rPr>
          <w:rFonts w:asciiTheme="majorHAnsi" w:hAnsiTheme="majorHAnsi"/>
          <w:color w:val="auto"/>
          <w:sz w:val="16"/>
          <w:szCs w:val="16"/>
        </w:rPr>
        <w:t xml:space="preserve"> at 523</w:t>
      </w:r>
      <w:r w:rsidRPr="008E443A">
        <w:rPr>
          <w:rFonts w:asciiTheme="majorHAnsi" w:hAnsiTheme="majorHAnsi"/>
          <w:color w:val="auto"/>
          <w:sz w:val="16"/>
          <w:szCs w:val="16"/>
        </w:rPr>
        <w:t>.</w:t>
      </w:r>
    </w:p>
  </w:footnote>
  <w:footnote w:id="24">
    <w:p w14:paraId="4A7150C7" w14:textId="77777777" w:rsidR="00D67B2A" w:rsidRDefault="00D67B2A" w:rsidP="008957E9">
      <w:pPr>
        <w:pStyle w:val="FootnoteText"/>
        <w:jc w:val="both"/>
      </w:pPr>
      <w:r w:rsidRPr="00B5174C">
        <w:rPr>
          <w:rStyle w:val="FootnoteReference"/>
          <w:rFonts w:asciiTheme="majorHAnsi" w:hAnsiTheme="majorHAnsi"/>
          <w:sz w:val="16"/>
          <w:szCs w:val="16"/>
        </w:rPr>
        <w:footnoteRef/>
      </w:r>
      <w:r w:rsidRPr="00B5174C">
        <w:rPr>
          <w:rStyle w:val="FootnoteReference"/>
          <w:rFonts w:asciiTheme="majorHAnsi" w:hAnsiTheme="majorHAnsi"/>
          <w:sz w:val="16"/>
          <w:szCs w:val="16"/>
        </w:rPr>
        <w:t xml:space="preserve"> </w:t>
      </w:r>
      <w:r w:rsidRPr="00C65140">
        <w:rPr>
          <w:rFonts w:asciiTheme="majorHAnsi" w:hAnsiTheme="majorHAnsi"/>
          <w:color w:val="auto"/>
          <w:sz w:val="16"/>
          <w:szCs w:val="16"/>
        </w:rPr>
        <w:t xml:space="preserve">State v. Serrano, Case No. CF01-003262-XX (Fla. 10th Cir. Ct. 2014), p. </w:t>
      </w:r>
      <w:r>
        <w:rPr>
          <w:rFonts w:asciiTheme="majorHAnsi" w:hAnsiTheme="majorHAnsi"/>
          <w:color w:val="auto"/>
          <w:sz w:val="16"/>
          <w:szCs w:val="16"/>
        </w:rPr>
        <w:t>4</w:t>
      </w:r>
      <w:r w:rsidRPr="00C65140">
        <w:rPr>
          <w:rFonts w:asciiTheme="majorHAnsi" w:hAnsiTheme="majorHAnsi"/>
          <w:color w:val="auto"/>
          <w:sz w:val="16"/>
          <w:szCs w:val="16"/>
        </w:rPr>
        <w:t>. Exhibit A submitted with petitioner’s additional information on February 11, 2015.</w:t>
      </w:r>
    </w:p>
  </w:footnote>
  <w:footnote w:id="25">
    <w:p w14:paraId="7834B90F" w14:textId="77777777" w:rsidR="00D67B2A" w:rsidRDefault="00D67B2A" w:rsidP="00B114CE">
      <w:pPr>
        <w:pStyle w:val="FootnoteText"/>
        <w:jc w:val="both"/>
      </w:pPr>
      <w:r w:rsidRPr="00E9226A">
        <w:rPr>
          <w:rStyle w:val="FootnoteReference"/>
          <w:rFonts w:asciiTheme="majorHAnsi" w:hAnsiTheme="majorHAnsi"/>
          <w:sz w:val="16"/>
          <w:szCs w:val="16"/>
        </w:rPr>
        <w:footnoteRef/>
      </w:r>
      <w:r w:rsidRPr="00E9226A">
        <w:rPr>
          <w:rStyle w:val="FootnoteReference"/>
          <w:rFonts w:asciiTheme="majorHAnsi" w:hAnsiTheme="majorHAnsi"/>
          <w:sz w:val="16"/>
          <w:szCs w:val="16"/>
        </w:rPr>
        <w:t xml:space="preserve"> </w:t>
      </w:r>
      <w:r w:rsidRPr="00C65140">
        <w:rPr>
          <w:rFonts w:asciiTheme="majorHAnsi" w:hAnsiTheme="majorHAnsi"/>
          <w:color w:val="auto"/>
          <w:sz w:val="16"/>
          <w:szCs w:val="16"/>
        </w:rPr>
        <w:t>State v. Serrano, Case No. CF01-003262-XX (Fla. 10th Cir. Ct. 2014). Exhibit A submitted with petitioner’s additional information on February 11, 2015.</w:t>
      </w:r>
    </w:p>
  </w:footnote>
  <w:footnote w:id="26">
    <w:p w14:paraId="19AC5B54" w14:textId="77777777" w:rsidR="00D67B2A" w:rsidRDefault="00D67B2A" w:rsidP="00E9226A">
      <w:pPr>
        <w:pStyle w:val="FootnoteText"/>
        <w:jc w:val="both"/>
      </w:pPr>
      <w:r w:rsidRPr="00E9226A">
        <w:rPr>
          <w:rStyle w:val="FootnoteReference"/>
          <w:rFonts w:asciiTheme="majorHAnsi" w:hAnsiTheme="majorHAnsi"/>
          <w:sz w:val="16"/>
          <w:szCs w:val="16"/>
        </w:rPr>
        <w:footnoteRef/>
      </w:r>
      <w:r w:rsidRPr="00E9226A">
        <w:rPr>
          <w:rStyle w:val="FootnoteReference"/>
          <w:rFonts w:asciiTheme="majorHAnsi" w:hAnsiTheme="majorHAnsi"/>
          <w:sz w:val="16"/>
          <w:szCs w:val="16"/>
        </w:rPr>
        <w:t xml:space="preserve"> </w:t>
      </w:r>
      <w:r w:rsidRPr="00C65140">
        <w:rPr>
          <w:rFonts w:asciiTheme="majorHAnsi" w:hAnsiTheme="majorHAnsi"/>
          <w:color w:val="auto"/>
          <w:sz w:val="16"/>
          <w:szCs w:val="16"/>
        </w:rPr>
        <w:t xml:space="preserve">State v. Serrano, Case No. CF01-003262-XX (Fla. 10th Cir. Ct. 2014), p. </w:t>
      </w:r>
      <w:r>
        <w:rPr>
          <w:rFonts w:asciiTheme="majorHAnsi" w:hAnsiTheme="majorHAnsi"/>
          <w:color w:val="auto"/>
          <w:sz w:val="16"/>
          <w:szCs w:val="16"/>
        </w:rPr>
        <w:t>54</w:t>
      </w:r>
      <w:r w:rsidRPr="00C65140">
        <w:rPr>
          <w:rFonts w:asciiTheme="majorHAnsi" w:hAnsiTheme="majorHAnsi"/>
          <w:color w:val="auto"/>
          <w:sz w:val="16"/>
          <w:szCs w:val="16"/>
        </w:rPr>
        <w:t>. Exhibit A submitted with petitioner’s additional information on February 11, 2015.</w:t>
      </w:r>
    </w:p>
  </w:footnote>
  <w:footnote w:id="27">
    <w:p w14:paraId="04386821" w14:textId="77777777" w:rsidR="00D67B2A" w:rsidRDefault="00D67B2A" w:rsidP="00D53348">
      <w:pPr>
        <w:pStyle w:val="FootnoteText"/>
        <w:jc w:val="both"/>
      </w:pPr>
      <w:r w:rsidRPr="00E9226A">
        <w:rPr>
          <w:rStyle w:val="FootnoteReference"/>
          <w:rFonts w:asciiTheme="majorHAnsi" w:hAnsiTheme="majorHAnsi"/>
          <w:sz w:val="16"/>
          <w:szCs w:val="16"/>
        </w:rPr>
        <w:footnoteRef/>
      </w:r>
      <w:r w:rsidRPr="00E9226A">
        <w:rPr>
          <w:rStyle w:val="FootnoteReference"/>
          <w:rFonts w:asciiTheme="majorHAnsi" w:hAnsiTheme="majorHAnsi"/>
          <w:sz w:val="16"/>
          <w:szCs w:val="16"/>
        </w:rPr>
        <w:t xml:space="preserve"> </w:t>
      </w:r>
      <w:r w:rsidRPr="00C65140">
        <w:rPr>
          <w:rFonts w:asciiTheme="majorHAnsi" w:hAnsiTheme="majorHAnsi"/>
          <w:color w:val="auto"/>
          <w:sz w:val="16"/>
          <w:szCs w:val="16"/>
        </w:rPr>
        <w:t>State v. Serrano, Case No. CF01-003262-XX (Fla. 10th Cir. Ct. 2014), p</w:t>
      </w:r>
      <w:r>
        <w:rPr>
          <w:rFonts w:asciiTheme="majorHAnsi" w:hAnsiTheme="majorHAnsi"/>
          <w:color w:val="auto"/>
          <w:sz w:val="16"/>
          <w:szCs w:val="16"/>
        </w:rPr>
        <w:t>ages</w:t>
      </w:r>
      <w:r w:rsidRPr="00C65140">
        <w:rPr>
          <w:rFonts w:asciiTheme="majorHAnsi" w:hAnsiTheme="majorHAnsi"/>
          <w:color w:val="auto"/>
          <w:sz w:val="16"/>
          <w:szCs w:val="16"/>
        </w:rPr>
        <w:t xml:space="preserve"> </w:t>
      </w:r>
      <w:r>
        <w:rPr>
          <w:rFonts w:asciiTheme="majorHAnsi" w:hAnsiTheme="majorHAnsi"/>
          <w:color w:val="auto"/>
          <w:sz w:val="16"/>
          <w:szCs w:val="16"/>
        </w:rPr>
        <w:t>55-56</w:t>
      </w:r>
      <w:r w:rsidRPr="00C65140">
        <w:rPr>
          <w:rFonts w:asciiTheme="majorHAnsi" w:hAnsiTheme="majorHAnsi"/>
          <w:color w:val="auto"/>
          <w:sz w:val="16"/>
          <w:szCs w:val="16"/>
        </w:rPr>
        <w:t>. Exhibit A submitted with petitioner’s additional information on February 11, 2015.</w:t>
      </w:r>
    </w:p>
  </w:footnote>
  <w:footnote w:id="28">
    <w:p w14:paraId="02FF7FD3" w14:textId="77777777" w:rsidR="00D67B2A" w:rsidRPr="002721E5" w:rsidRDefault="00D67B2A">
      <w:pPr>
        <w:pStyle w:val="FootnoteText"/>
        <w:rPr>
          <w:lang w:val="it-IT"/>
        </w:rPr>
      </w:pPr>
      <w:r w:rsidRPr="00187174">
        <w:rPr>
          <w:rStyle w:val="FootnoteReference"/>
          <w:rFonts w:asciiTheme="majorHAnsi" w:hAnsiTheme="majorHAnsi"/>
          <w:sz w:val="16"/>
          <w:szCs w:val="16"/>
        </w:rPr>
        <w:footnoteRef/>
      </w:r>
      <w:r w:rsidRPr="002721E5">
        <w:rPr>
          <w:rStyle w:val="FootnoteReference"/>
          <w:rFonts w:asciiTheme="majorHAnsi" w:hAnsiTheme="majorHAnsi"/>
          <w:sz w:val="16"/>
          <w:szCs w:val="16"/>
          <w:lang w:val="it-IT"/>
        </w:rPr>
        <w:t xml:space="preserve"> </w:t>
      </w:r>
      <w:r w:rsidRPr="002721E5">
        <w:rPr>
          <w:rFonts w:asciiTheme="majorHAnsi" w:hAnsiTheme="majorHAnsi"/>
          <w:color w:val="auto"/>
          <w:sz w:val="16"/>
          <w:szCs w:val="16"/>
          <w:lang w:val="it-IT"/>
        </w:rPr>
        <w:t>Serrano v. State, Docket No. 17-6928</w:t>
      </w:r>
    </w:p>
  </w:footnote>
  <w:footnote w:id="29">
    <w:p w14:paraId="1ED78038" w14:textId="77777777" w:rsidR="00D67B2A" w:rsidRDefault="00D67B2A" w:rsidP="00EE4B2E">
      <w:pPr>
        <w:pStyle w:val="FootnoteText"/>
      </w:pPr>
      <w:r w:rsidRPr="00430827">
        <w:rPr>
          <w:rStyle w:val="FootnoteReference"/>
          <w:rFonts w:asciiTheme="majorHAnsi" w:hAnsiTheme="majorHAnsi"/>
          <w:sz w:val="16"/>
          <w:szCs w:val="16"/>
        </w:rPr>
        <w:footnoteRef/>
      </w:r>
      <w:r w:rsidRPr="00430827">
        <w:rPr>
          <w:rStyle w:val="FootnoteReference"/>
          <w:rFonts w:asciiTheme="majorHAnsi" w:hAnsiTheme="majorHAnsi"/>
          <w:sz w:val="16"/>
          <w:szCs w:val="16"/>
        </w:rPr>
        <w:t xml:space="preserve"> </w:t>
      </w:r>
      <w:r w:rsidRPr="00430827">
        <w:rPr>
          <w:rFonts w:asciiTheme="majorHAnsi" w:hAnsiTheme="majorHAnsi"/>
          <w:color w:val="auto"/>
          <w:sz w:val="16"/>
          <w:szCs w:val="16"/>
        </w:rPr>
        <w:t>Hurst v. Florida, 577 U.S.</w:t>
      </w:r>
      <w:r>
        <w:rPr>
          <w:rFonts w:asciiTheme="majorHAnsi" w:hAnsiTheme="majorHAnsi"/>
          <w:color w:val="auto"/>
          <w:sz w:val="16"/>
          <w:szCs w:val="16"/>
        </w:rPr>
        <w:t xml:space="preserve"> </w:t>
      </w:r>
      <w:r w:rsidRPr="00430827">
        <w:rPr>
          <w:rFonts w:asciiTheme="majorHAnsi" w:hAnsiTheme="majorHAnsi"/>
          <w:color w:val="auto"/>
          <w:sz w:val="16"/>
          <w:szCs w:val="16"/>
        </w:rPr>
        <w:t>_</w:t>
      </w:r>
      <w:r>
        <w:rPr>
          <w:rFonts w:asciiTheme="majorHAnsi" w:hAnsiTheme="majorHAnsi"/>
          <w:color w:val="auto"/>
          <w:sz w:val="16"/>
          <w:szCs w:val="16"/>
        </w:rPr>
        <w:t xml:space="preserve"> </w:t>
      </w:r>
      <w:r w:rsidRPr="00430827">
        <w:rPr>
          <w:rFonts w:asciiTheme="majorHAnsi" w:hAnsiTheme="majorHAnsi"/>
          <w:color w:val="auto"/>
          <w:sz w:val="16"/>
          <w:szCs w:val="16"/>
        </w:rPr>
        <w:t>(2016)</w:t>
      </w:r>
      <w:r>
        <w:rPr>
          <w:rFonts w:asciiTheme="majorHAnsi" w:hAnsiTheme="majorHAnsi"/>
          <w:color w:val="auto"/>
          <w:sz w:val="16"/>
          <w:szCs w:val="16"/>
        </w:rPr>
        <w:t>, p. 1</w:t>
      </w:r>
      <w:r w:rsidRPr="00430827">
        <w:rPr>
          <w:rFonts w:asciiTheme="majorHAnsi" w:hAnsiTheme="majorHAnsi"/>
          <w:color w:val="auto"/>
          <w:sz w:val="16"/>
          <w:szCs w:val="16"/>
        </w:rPr>
        <w:t>.</w:t>
      </w:r>
    </w:p>
  </w:footnote>
  <w:footnote w:id="30">
    <w:p w14:paraId="4C5EB186" w14:textId="77777777" w:rsidR="00D67B2A" w:rsidRPr="008C5978" w:rsidRDefault="00D67B2A" w:rsidP="00835E6D">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See, for example: I/A Court H. R., Advisory Opinion OC-16/99 (October 1, 1999), </w:t>
      </w:r>
      <w:r w:rsidRPr="008C5978">
        <w:rPr>
          <w:rFonts w:asciiTheme="majorHAnsi" w:hAnsiTheme="majorHAnsi"/>
          <w:i/>
          <w:iCs/>
          <w:color w:val="auto"/>
          <w:sz w:val="16"/>
          <w:szCs w:val="16"/>
        </w:rPr>
        <w:t>The Right to Information on Consular Assistance in the Framework of the Guarantees of the Due Process of Law</w:t>
      </w:r>
      <w:r w:rsidRPr="008C5978">
        <w:rPr>
          <w:rFonts w:asciiTheme="majorHAnsi" w:hAnsiTheme="majorHAnsi"/>
          <w:color w:val="auto"/>
          <w:sz w:val="16"/>
          <w:szCs w:val="16"/>
        </w:rPr>
        <w:t xml:space="preserve">, para. 136; United Nations Human Rights Committee, </w:t>
      </w:r>
      <w:r w:rsidRPr="008C5978">
        <w:rPr>
          <w:rFonts w:asciiTheme="majorHAnsi" w:hAnsiTheme="majorHAnsi"/>
          <w:i/>
          <w:iCs/>
          <w:color w:val="auto"/>
          <w:sz w:val="16"/>
          <w:szCs w:val="16"/>
        </w:rPr>
        <w:t>Baboheram-Adhin et al. v. Suriname</w:t>
      </w:r>
      <w:r w:rsidRPr="008C5978">
        <w:rPr>
          <w:rFonts w:asciiTheme="majorHAnsi" w:hAnsiTheme="majorHAnsi"/>
          <w:color w:val="auto"/>
          <w:sz w:val="16"/>
          <w:szCs w:val="16"/>
        </w:rPr>
        <w:t>,</w:t>
      </w:r>
      <w:r w:rsidRPr="008C5978">
        <w:rPr>
          <w:rFonts w:asciiTheme="majorHAnsi" w:hAnsiTheme="majorHAnsi"/>
          <w:i/>
          <w:iCs/>
          <w:color w:val="auto"/>
          <w:sz w:val="16"/>
          <w:szCs w:val="16"/>
        </w:rPr>
        <w:t xml:space="preserve"> </w:t>
      </w:r>
      <w:r w:rsidRPr="008C5978">
        <w:rPr>
          <w:rFonts w:asciiTheme="majorHAnsi" w:hAnsiTheme="majorHAnsi"/>
          <w:color w:val="auto"/>
          <w:sz w:val="16"/>
          <w:szCs w:val="16"/>
        </w:rPr>
        <w:t xml:space="preserve">Communications Nos. 148-154/1983, adopted on April 4, 1985, para. 14.3; </w:t>
      </w:r>
      <w:r w:rsidRPr="008C5978">
        <w:rPr>
          <w:rFonts w:asciiTheme="majorHAnsi" w:hAnsiTheme="majorHAnsi"/>
          <w:i/>
          <w:iCs/>
          <w:color w:val="auto"/>
          <w:sz w:val="16"/>
          <w:szCs w:val="16"/>
        </w:rPr>
        <w:t>Report of the United Nations Special Rapporteur on Extrajudicial Executions</w:t>
      </w:r>
      <w:r w:rsidRPr="008C5978">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31">
    <w:p w14:paraId="67CD2F9A" w14:textId="77777777" w:rsidR="00D67B2A" w:rsidRPr="008C5978" w:rsidRDefault="00D67B2A" w:rsidP="00835E6D">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w:t>
      </w:r>
      <w:r w:rsidRPr="008C5978">
        <w:rPr>
          <w:rFonts w:asciiTheme="majorHAnsi" w:hAnsiTheme="majorHAnsi"/>
          <w:i/>
          <w:iCs/>
          <w:color w:val="auto"/>
          <w:sz w:val="16"/>
          <w:szCs w:val="16"/>
        </w:rPr>
        <w:t xml:space="preserve"> </w:t>
      </w:r>
      <w:r w:rsidRPr="008C5978">
        <w:rPr>
          <w:rFonts w:asciiTheme="majorHAnsi" w:hAnsiTheme="majorHAnsi"/>
          <w:color w:val="auto"/>
          <w:sz w:val="16"/>
          <w:szCs w:val="16"/>
        </w:rPr>
        <w:t xml:space="preserve">Report No. 57/96, </w:t>
      </w:r>
      <w:r w:rsidRPr="008C5978">
        <w:rPr>
          <w:rFonts w:asciiTheme="majorHAnsi" w:hAnsiTheme="majorHAnsi"/>
          <w:iCs/>
          <w:color w:val="auto"/>
          <w:sz w:val="16"/>
          <w:szCs w:val="16"/>
        </w:rPr>
        <w:t>Andrews, United States</w:t>
      </w:r>
      <w:r w:rsidRPr="008C5978">
        <w:rPr>
          <w:rFonts w:asciiTheme="majorHAnsi" w:hAnsiTheme="majorHAnsi"/>
          <w:color w:val="auto"/>
          <w:sz w:val="16"/>
          <w:szCs w:val="16"/>
        </w:rPr>
        <w:t xml:space="preserve">, IACHR Annual Report 1997, para. 170-171; Report No. 38/00 Baptiste, Grenada, IACHR Annual Report 1999, paras. 64-66; Report No. 41/00, McKenzie </w:t>
      </w:r>
      <w:r w:rsidRPr="008C5978">
        <w:rPr>
          <w:rFonts w:asciiTheme="majorHAnsi" w:hAnsiTheme="majorHAnsi"/>
          <w:i/>
          <w:iCs/>
          <w:color w:val="auto"/>
          <w:sz w:val="16"/>
          <w:szCs w:val="16"/>
        </w:rPr>
        <w:t>et al.</w:t>
      </w:r>
      <w:r w:rsidRPr="008C5978">
        <w:rPr>
          <w:rFonts w:asciiTheme="majorHAnsi" w:hAnsiTheme="majorHAnsi"/>
          <w:iCs/>
          <w:color w:val="auto"/>
          <w:sz w:val="16"/>
          <w:szCs w:val="16"/>
        </w:rPr>
        <w:t>,</w:t>
      </w:r>
      <w:r w:rsidRPr="008C5978">
        <w:rPr>
          <w:rFonts w:asciiTheme="majorHAnsi" w:hAnsiTheme="majorHAnsi"/>
          <w:color w:val="auto"/>
          <w:sz w:val="16"/>
          <w:szCs w:val="16"/>
        </w:rPr>
        <w:t xml:space="preserve"> Jamaica, IACHR Annual Report 1999, paras. 169-171.</w:t>
      </w:r>
    </w:p>
  </w:footnote>
  <w:footnote w:id="32">
    <w:p w14:paraId="45A8238D" w14:textId="77777777" w:rsidR="00D67B2A" w:rsidRPr="008C5978" w:rsidRDefault="00D67B2A" w:rsidP="00835E6D">
      <w:pPr>
        <w:autoSpaceDE w:val="0"/>
        <w:autoSpaceDN w:val="0"/>
        <w:adjustRightInd w:val="0"/>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IACHR, The death penalty in the Inter-American System of Human Rights: From restrictions to abolition, </w:t>
      </w:r>
      <w:r w:rsidRPr="008C5978">
        <w:rPr>
          <w:rFonts w:asciiTheme="majorHAnsi" w:hAnsiTheme="majorHAnsi" w:cs="Calibri"/>
          <w:sz w:val="16"/>
          <w:szCs w:val="16"/>
        </w:rPr>
        <w:t xml:space="preserve">OEA/Ser.L/V/II.Doc. 68, December 31, 2011, </w:t>
      </w:r>
      <w:r w:rsidRPr="008C5978">
        <w:rPr>
          <w:rFonts w:asciiTheme="majorHAnsi" w:hAnsiTheme="majorHAnsi"/>
          <w:sz w:val="16"/>
          <w:szCs w:val="16"/>
        </w:rPr>
        <w:t>para. 41.</w:t>
      </w:r>
    </w:p>
  </w:footnote>
  <w:footnote w:id="33">
    <w:p w14:paraId="5E68B4AF" w14:textId="77777777" w:rsidR="00D67B2A" w:rsidRPr="008C5978" w:rsidRDefault="00D67B2A" w:rsidP="00835E6D">
      <w:pPr>
        <w:autoSpaceDE w:val="0"/>
        <w:autoSpaceDN w:val="0"/>
        <w:adjustRightInd w:val="0"/>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IACHR, Report No. 78/07, Case 12.265, Merits (Publication), Chad Roger Goodman, The Bahamas, October 15, 2007, para. 34.</w:t>
      </w:r>
    </w:p>
  </w:footnote>
  <w:footnote w:id="34">
    <w:p w14:paraId="71E87CF5" w14:textId="77777777" w:rsidR="00D67B2A" w:rsidRPr="00ED56AB" w:rsidRDefault="00D67B2A" w:rsidP="00515EA8">
      <w:pPr>
        <w:pStyle w:val="FootnoteText"/>
        <w:jc w:val="both"/>
        <w:rPr>
          <w:rFonts w:asciiTheme="majorHAnsi" w:hAnsiTheme="majorHAnsi" w:cs="Times New Roman"/>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Report on Merits (Publication), Edgar Tamayo Arias, United States, July 17, 2014, para. 214.</w:t>
      </w:r>
    </w:p>
  </w:footnote>
  <w:footnote w:id="35">
    <w:p w14:paraId="7F0EA59B" w14:textId="77777777" w:rsidR="00D67B2A" w:rsidRPr="00931FFF" w:rsidRDefault="00D67B2A" w:rsidP="001B29DC">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 xml:space="preserve">IACHR. Report No. 112/10, Inter-state petition PI-02. </w:t>
      </w:r>
      <w:r w:rsidRPr="00BF4967">
        <w:rPr>
          <w:rFonts w:ascii="Cambria" w:hAnsi="Cambria" w:cs="Times New Roman"/>
          <w:sz w:val="16"/>
          <w:szCs w:val="16"/>
        </w:rPr>
        <w:t xml:space="preserve">Admissibility. Case Franklin Guillermo Aisalla Molina, Ecuador v. Colombia. </w:t>
      </w:r>
      <w:r w:rsidRPr="00931FFF">
        <w:rPr>
          <w:rFonts w:ascii="Cambria" w:hAnsi="Cambria" w:cs="Times New Roman"/>
          <w:sz w:val="16"/>
          <w:szCs w:val="16"/>
        </w:rPr>
        <w:t>October 21, 2010, para. 99.</w:t>
      </w:r>
    </w:p>
  </w:footnote>
  <w:footnote w:id="36">
    <w:p w14:paraId="6FF42D02" w14:textId="77777777" w:rsidR="00D67B2A" w:rsidRDefault="00D67B2A" w:rsidP="007424F7">
      <w:pPr>
        <w:pStyle w:val="FootnoteText"/>
        <w:jc w:val="both"/>
      </w:pPr>
      <w:r w:rsidRPr="00C67911">
        <w:rPr>
          <w:rStyle w:val="FootnoteReference"/>
          <w:rFonts w:asciiTheme="majorHAnsi" w:hAnsiTheme="majorHAnsi"/>
          <w:color w:val="auto"/>
          <w:sz w:val="16"/>
          <w:szCs w:val="16"/>
        </w:rPr>
        <w:footnoteRef/>
      </w:r>
      <w:r w:rsidRPr="00C67911">
        <w:rPr>
          <w:rStyle w:val="FootnoteReference"/>
          <w:rFonts w:asciiTheme="majorHAnsi" w:hAnsiTheme="majorHAnsi"/>
          <w:color w:val="auto"/>
          <w:sz w:val="16"/>
          <w:szCs w:val="16"/>
        </w:rPr>
        <w:t xml:space="preserve"> </w:t>
      </w:r>
      <w:r w:rsidRPr="00C43056">
        <w:rPr>
          <w:rFonts w:asciiTheme="majorHAnsi" w:hAnsiTheme="majorHAnsi"/>
          <w:sz w:val="16"/>
          <w:szCs w:val="16"/>
        </w:rPr>
        <w:t>IACHR, Report No. 121/18, Case No. 10.573. Merits (Publication). Jose Isabel Salas Galindo and others. United States. October 5, 2018, para.</w:t>
      </w:r>
      <w:r>
        <w:rPr>
          <w:rFonts w:asciiTheme="majorHAnsi" w:hAnsiTheme="majorHAnsi"/>
          <w:sz w:val="16"/>
          <w:szCs w:val="16"/>
        </w:rPr>
        <w:t xml:space="preserve"> 309</w:t>
      </w:r>
      <w:r w:rsidRPr="00C43056">
        <w:rPr>
          <w:rFonts w:asciiTheme="majorHAnsi" w:hAnsiTheme="majorHAnsi"/>
          <w:sz w:val="16"/>
          <w:szCs w:val="16"/>
        </w:rPr>
        <w:t>.</w:t>
      </w:r>
    </w:p>
  </w:footnote>
  <w:footnote w:id="37">
    <w:p w14:paraId="056F8FC1" w14:textId="77777777" w:rsidR="00D67B2A" w:rsidRPr="00980090" w:rsidRDefault="00D67B2A" w:rsidP="00CD4F3F">
      <w:pPr>
        <w:pStyle w:val="NoSpacing"/>
        <w:ind w:firstLine="0"/>
        <w:rPr>
          <w:sz w:val="16"/>
          <w:szCs w:val="16"/>
          <w:lang w:val="en-US"/>
        </w:rPr>
      </w:pPr>
      <w:r w:rsidRPr="00931FFF">
        <w:rPr>
          <w:rStyle w:val="FootnoteReference"/>
          <w:sz w:val="16"/>
          <w:szCs w:val="16"/>
        </w:rPr>
        <w:footnoteRef/>
      </w:r>
      <w:r w:rsidRPr="00980090">
        <w:rPr>
          <w:sz w:val="16"/>
          <w:szCs w:val="16"/>
          <w:lang w:val="en-US"/>
        </w:rPr>
        <w:t xml:space="preserve"> ECHR. Drozd and Janousek v. France and Spain, Judgment of June 26, 1992, para. 91. See also the decisions of the European Commission of Human Rights on the Admissibility of Petition 1611/62, X v. the Federal Republic of Germany, September 25, 1965; Petition No. 6231/73, Hess v. United Kingdom, May 28, 1975; petitions 6780/74 and 6950/75, Cyprus v. Turkey, May 26, 1975; petitions 7289/75 and 7349/76, X and Y v. Switzerland, July 14, 1977; Petition 9348/81, W. v. United Kingdom, February 28, 1983.</w:t>
      </w:r>
    </w:p>
  </w:footnote>
  <w:footnote w:id="38">
    <w:p w14:paraId="23EA937D" w14:textId="77777777" w:rsidR="00D67B2A" w:rsidRPr="00980090" w:rsidRDefault="00D67B2A" w:rsidP="00CD4F3F">
      <w:pPr>
        <w:pStyle w:val="NoSpacing"/>
        <w:ind w:firstLine="0"/>
        <w:rPr>
          <w:sz w:val="16"/>
          <w:szCs w:val="16"/>
          <w:lang w:val="en-US"/>
        </w:rPr>
      </w:pPr>
      <w:r w:rsidRPr="00931FFF">
        <w:rPr>
          <w:rStyle w:val="FootnoteReference"/>
          <w:sz w:val="16"/>
          <w:szCs w:val="16"/>
        </w:rPr>
        <w:footnoteRef/>
      </w:r>
      <w:r w:rsidRPr="00980090">
        <w:rPr>
          <w:sz w:val="16"/>
          <w:szCs w:val="16"/>
          <w:lang w:val="en-US"/>
        </w:rPr>
        <w:t xml:space="preserve"> ECHR. Ilascu and others v. Moldava and Russia, [GC] Application No. 48787/99. Judgment of July 8, 2004, para. 311.</w:t>
      </w:r>
    </w:p>
  </w:footnote>
  <w:footnote w:id="39">
    <w:p w14:paraId="7928FAF9" w14:textId="77777777" w:rsidR="00D67B2A" w:rsidRPr="00980090" w:rsidRDefault="00D67B2A" w:rsidP="00DF0C3D">
      <w:pPr>
        <w:pStyle w:val="NoSpacing"/>
        <w:ind w:firstLine="0"/>
        <w:rPr>
          <w:sz w:val="16"/>
          <w:szCs w:val="16"/>
          <w:lang w:val="en-US"/>
        </w:rPr>
      </w:pPr>
      <w:r w:rsidRPr="00931FFF">
        <w:rPr>
          <w:rStyle w:val="FootnoteReference"/>
          <w:sz w:val="16"/>
          <w:szCs w:val="16"/>
        </w:rPr>
        <w:footnoteRef/>
      </w:r>
      <w:r w:rsidRPr="00980090">
        <w:rPr>
          <w:sz w:val="16"/>
          <w:szCs w:val="16"/>
          <w:lang w:val="en-US"/>
        </w:rPr>
        <w:t xml:space="preserve"> ECHR. Bankovic and others v. Belgium and others. Judgment of December 12, 2001, paras. 59-61.</w:t>
      </w:r>
    </w:p>
  </w:footnote>
  <w:footnote w:id="40">
    <w:p w14:paraId="3431171F" w14:textId="77777777" w:rsidR="00D67B2A" w:rsidRDefault="00D67B2A">
      <w:pPr>
        <w:pStyle w:val="FootnoteText"/>
      </w:pPr>
      <w:r w:rsidRPr="006C2FF6">
        <w:rPr>
          <w:rStyle w:val="FootnoteReference"/>
          <w:rFonts w:ascii="Cambria" w:eastAsia="Cambria" w:hAnsi="Cambria"/>
          <w:sz w:val="16"/>
          <w:szCs w:val="16"/>
          <w:lang w:val="es-ES_tradnl" w:eastAsia="es-CL"/>
        </w:rPr>
        <w:footnoteRef/>
      </w:r>
      <w:r>
        <w:t xml:space="preserve"> </w:t>
      </w:r>
      <w:r w:rsidRPr="006C2FF6">
        <w:rPr>
          <w:rFonts w:ascii="Cambria" w:eastAsia="Cambria" w:hAnsi="Cambria" w:cs="Cambria"/>
          <w:sz w:val="16"/>
          <w:szCs w:val="16"/>
          <w:lang w:eastAsia="es-CL"/>
        </w:rPr>
        <w:t>ECHR. Issa and others v. Turkey. Judgment of November 16, 2004, para. 71.</w:t>
      </w:r>
    </w:p>
  </w:footnote>
  <w:footnote w:id="41">
    <w:p w14:paraId="5A50D30E" w14:textId="77777777" w:rsidR="00D67B2A" w:rsidRPr="002721E5" w:rsidRDefault="00D67B2A" w:rsidP="00265850">
      <w:pPr>
        <w:pStyle w:val="NoSpacing"/>
        <w:ind w:firstLine="0"/>
        <w:rPr>
          <w:sz w:val="16"/>
          <w:szCs w:val="16"/>
          <w:lang w:val="en-US"/>
        </w:rPr>
      </w:pPr>
      <w:r w:rsidRPr="00931FFF">
        <w:rPr>
          <w:rStyle w:val="FootnoteReference"/>
          <w:sz w:val="16"/>
          <w:szCs w:val="16"/>
        </w:rPr>
        <w:footnoteRef/>
      </w:r>
      <w:r w:rsidRPr="00980090">
        <w:rPr>
          <w:sz w:val="16"/>
          <w:szCs w:val="16"/>
          <w:lang w:val="en-US"/>
        </w:rPr>
        <w:t xml:space="preserve"> ICJ. Advisory Opinion on the Legal Consequences of the Construction of a Wall in the Occupied Palestinian Territory, July 9, 2004, para. </w:t>
      </w:r>
      <w:r w:rsidRPr="002721E5">
        <w:rPr>
          <w:sz w:val="16"/>
          <w:szCs w:val="16"/>
          <w:lang w:val="en-US"/>
        </w:rPr>
        <w:t xml:space="preserve">109. </w:t>
      </w:r>
    </w:p>
  </w:footnote>
  <w:footnote w:id="42">
    <w:p w14:paraId="69BDB546" w14:textId="77777777" w:rsidR="00D67B2A" w:rsidRPr="00980090" w:rsidRDefault="00D67B2A" w:rsidP="00265850">
      <w:pPr>
        <w:pStyle w:val="NoSpacing"/>
        <w:ind w:firstLine="0"/>
        <w:rPr>
          <w:sz w:val="16"/>
          <w:szCs w:val="16"/>
          <w:lang w:val="en-US"/>
        </w:rPr>
      </w:pPr>
      <w:r w:rsidRPr="00931FFF">
        <w:rPr>
          <w:rStyle w:val="FootnoteReference"/>
          <w:sz w:val="16"/>
          <w:szCs w:val="16"/>
        </w:rPr>
        <w:footnoteRef/>
      </w:r>
      <w:r w:rsidRPr="002721E5">
        <w:rPr>
          <w:sz w:val="16"/>
          <w:szCs w:val="16"/>
          <w:lang w:val="en-US"/>
        </w:rPr>
        <w:t xml:space="preserve"> CCPR. López Burgos v. Uruguay, Doc. UN CCPR/C/13/D/52/1979, July 29, 1981; Celiberti v. Uruguay, Doc. </w:t>
      </w:r>
      <w:r w:rsidRPr="00980090">
        <w:rPr>
          <w:sz w:val="16"/>
          <w:szCs w:val="16"/>
          <w:lang w:val="en-US"/>
        </w:rPr>
        <w:t>UN CCPR/C/13/D/56/1979, 29 July 1981; Final observations on Cyprus, Doc. UN CCPR/C/79/Add.39, September 21, 1994, para. 3; Final observations on Israel, Doc. UN CCPR/C/79/Add.93, August 18, 1998, para. 10; Final observations on Israel, Doc. UN CCPR/CO/78/ISR, August 21, 2003, para.11; Final observations on Belgium, Doc. UN CCPR/C/79/Add.99, November 19, 1998, para. 14; Final observations on the Netherlands, Doc. UN CCPR/CO/72/NET, August 27, 2001, para. 8; and Final observations on Belgium, Doc. UN CCPR/CO/81/BEL, August 12, 2004, para. 6.</w:t>
      </w:r>
    </w:p>
  </w:footnote>
  <w:footnote w:id="43">
    <w:p w14:paraId="2DE01B91" w14:textId="77777777" w:rsidR="00D67B2A" w:rsidRDefault="00D67B2A" w:rsidP="00842818">
      <w:pPr>
        <w:pStyle w:val="FootnoteText"/>
        <w:jc w:val="both"/>
      </w:pPr>
      <w:r w:rsidRPr="005764DA">
        <w:rPr>
          <w:rStyle w:val="FootnoteReference"/>
          <w:rFonts w:asciiTheme="majorHAnsi" w:hAnsiTheme="majorHAnsi"/>
          <w:color w:val="auto"/>
          <w:sz w:val="16"/>
          <w:szCs w:val="16"/>
        </w:rPr>
        <w:footnoteRef/>
      </w:r>
      <w:r>
        <w:t xml:space="preserve"> </w:t>
      </w:r>
      <w:r w:rsidRPr="005764DA">
        <w:rPr>
          <w:rFonts w:asciiTheme="majorHAnsi" w:eastAsia="Arial Unicode MS" w:hAnsiTheme="majorHAnsi" w:cs="Times New Roman"/>
          <w:color w:val="auto"/>
          <w:sz w:val="16"/>
          <w:szCs w:val="16"/>
          <w:lang w:eastAsia="en-US"/>
        </w:rPr>
        <w:t>Article XXV of the American Declaration establishes: No person may be deprived of his liberty except in the cases and according to the procedures established by pre-existing law</w:t>
      </w:r>
      <w:r>
        <w:rPr>
          <w:rFonts w:asciiTheme="majorHAnsi" w:eastAsia="Arial Unicode MS" w:hAnsiTheme="majorHAnsi" w:cs="Times New Roman"/>
          <w:color w:val="auto"/>
          <w:sz w:val="16"/>
          <w:szCs w:val="16"/>
          <w:lang w:eastAsia="en-US"/>
        </w:rPr>
        <w:t>. […]</w:t>
      </w:r>
    </w:p>
  </w:footnote>
  <w:footnote w:id="44">
    <w:p w14:paraId="098E5B0D" w14:textId="77777777" w:rsidR="00D67B2A" w:rsidRDefault="00D67B2A" w:rsidP="00842818">
      <w:pPr>
        <w:pStyle w:val="FootnoteText"/>
      </w:pPr>
      <w:r w:rsidRPr="007B7023">
        <w:rPr>
          <w:rStyle w:val="FootnoteReference"/>
          <w:rFonts w:asciiTheme="majorHAnsi" w:hAnsiTheme="majorHAnsi"/>
          <w:color w:val="auto"/>
          <w:sz w:val="16"/>
          <w:szCs w:val="16"/>
        </w:rPr>
        <w:footnoteRef/>
      </w:r>
      <w:r w:rsidRPr="007B7023">
        <w:rPr>
          <w:rStyle w:val="FootnoteReference"/>
          <w:rFonts w:asciiTheme="majorHAnsi" w:hAnsiTheme="majorHAnsi"/>
          <w:color w:val="auto"/>
          <w:sz w:val="16"/>
          <w:szCs w:val="16"/>
        </w:rPr>
        <w:t xml:space="preserve"> </w:t>
      </w:r>
      <w:r w:rsidRPr="007B7023">
        <w:rPr>
          <w:rFonts w:asciiTheme="majorHAnsi" w:eastAsia="Arial Unicode MS" w:hAnsiTheme="majorHAnsi" w:cs="Times New Roman"/>
          <w:color w:val="auto"/>
          <w:sz w:val="16"/>
          <w:szCs w:val="16"/>
          <w:lang w:eastAsia="en-US"/>
        </w:rPr>
        <w:t>IACHR, Report on Terrorism and Human Rights, OEA/Ser.L/V/II.116.Doc.5 rev.1, October 22, 2002, para. 120.</w:t>
      </w:r>
    </w:p>
  </w:footnote>
  <w:footnote w:id="45">
    <w:p w14:paraId="3547BF3D" w14:textId="77777777" w:rsidR="00D67B2A" w:rsidRDefault="00D67B2A" w:rsidP="00842818">
      <w:pPr>
        <w:pStyle w:val="FootnoteText"/>
        <w:jc w:val="both"/>
      </w:pPr>
      <w:r w:rsidRPr="00D24404">
        <w:rPr>
          <w:rStyle w:val="FootnoteReference"/>
          <w:rFonts w:asciiTheme="majorHAnsi" w:hAnsiTheme="majorHAnsi"/>
          <w:color w:val="auto"/>
          <w:sz w:val="16"/>
          <w:szCs w:val="16"/>
        </w:rPr>
        <w:footnoteRef/>
      </w:r>
      <w:r w:rsidRPr="00D24404">
        <w:rPr>
          <w:rStyle w:val="FootnoteReference"/>
          <w:rFonts w:asciiTheme="majorHAnsi" w:hAnsiTheme="majorHAnsi"/>
          <w:color w:val="auto"/>
          <w:sz w:val="16"/>
          <w:szCs w:val="16"/>
        </w:rPr>
        <w:t xml:space="preserve"> </w:t>
      </w:r>
      <w:r>
        <w:rPr>
          <w:rFonts w:asciiTheme="majorHAnsi" w:hAnsiTheme="majorHAnsi"/>
          <w:color w:val="auto"/>
          <w:sz w:val="16"/>
          <w:szCs w:val="16"/>
        </w:rPr>
        <w:t>IACHR, Application to the Inter-American Court of Human Rights in the case of Juan Carlos Chaparro and Freddy Hernan Lapo. Case 12.091. Ecuador. June 23, 2006, para 59.</w:t>
      </w:r>
    </w:p>
  </w:footnote>
  <w:footnote w:id="46">
    <w:p w14:paraId="1C8065DF" w14:textId="77777777" w:rsidR="00D67B2A" w:rsidRDefault="00D67B2A" w:rsidP="00842818">
      <w:pPr>
        <w:pStyle w:val="FootnoteText"/>
        <w:jc w:val="both"/>
      </w:pPr>
      <w:r w:rsidRPr="00D24404">
        <w:rPr>
          <w:rStyle w:val="FootnoteReference"/>
          <w:rFonts w:asciiTheme="majorHAnsi" w:hAnsiTheme="majorHAnsi"/>
          <w:color w:val="auto"/>
          <w:sz w:val="16"/>
          <w:szCs w:val="16"/>
        </w:rPr>
        <w:footnoteRef/>
      </w:r>
      <w:r w:rsidRPr="00D24404">
        <w:rPr>
          <w:rStyle w:val="FootnoteReference"/>
          <w:rFonts w:asciiTheme="majorHAnsi" w:hAnsiTheme="majorHAnsi"/>
          <w:color w:val="auto"/>
          <w:sz w:val="16"/>
          <w:szCs w:val="16"/>
        </w:rPr>
        <w:t xml:space="preserve"> </w:t>
      </w:r>
      <w:r w:rsidRPr="00D24404">
        <w:rPr>
          <w:rFonts w:asciiTheme="majorHAnsi" w:hAnsiTheme="majorHAnsi"/>
          <w:color w:val="auto"/>
          <w:sz w:val="16"/>
          <w:szCs w:val="16"/>
        </w:rPr>
        <w:t>United Nations, Body of Principles for the Protection of All Persons under Any Form of Detention or Imprisonment, adopted by the General Assembly in Resolution 43/173 of 9 December 1988, Principle 4.</w:t>
      </w:r>
    </w:p>
  </w:footnote>
  <w:footnote w:id="47">
    <w:p w14:paraId="04D0E645" w14:textId="77777777" w:rsidR="00D67B2A" w:rsidRDefault="00D67B2A" w:rsidP="007040CC">
      <w:pPr>
        <w:pStyle w:val="FootnoteText"/>
        <w:jc w:val="both"/>
      </w:pPr>
      <w:r w:rsidRPr="007040CC">
        <w:rPr>
          <w:rStyle w:val="FootnoteReference"/>
          <w:rFonts w:asciiTheme="majorHAnsi" w:hAnsiTheme="majorHAnsi"/>
          <w:color w:val="auto"/>
          <w:sz w:val="16"/>
          <w:szCs w:val="16"/>
        </w:rPr>
        <w:footnoteRef/>
      </w:r>
      <w:r w:rsidRPr="007040CC">
        <w:rPr>
          <w:rStyle w:val="FootnoteReference"/>
          <w:rFonts w:asciiTheme="majorHAnsi" w:hAnsiTheme="majorHAnsi"/>
          <w:color w:val="auto"/>
          <w:sz w:val="16"/>
          <w:szCs w:val="16"/>
        </w:rPr>
        <w:t xml:space="preserve"> </w:t>
      </w:r>
      <w:r w:rsidRPr="007040CC">
        <w:rPr>
          <w:rFonts w:asciiTheme="majorHAnsi" w:hAnsiTheme="majorHAnsi"/>
          <w:color w:val="auto"/>
          <w:sz w:val="16"/>
          <w:szCs w:val="16"/>
        </w:rPr>
        <w:t>IACHR, Application to the Inter-American Court of Human Rights in the case of Juan Carlos Chaparro and Freddy Hernan Lapo. Case 12.091. Ecuador. June 23, 2006, para.</w:t>
      </w:r>
      <w:r>
        <w:rPr>
          <w:rFonts w:asciiTheme="majorHAnsi" w:hAnsiTheme="majorHAnsi"/>
          <w:color w:val="auto"/>
          <w:sz w:val="16"/>
          <w:szCs w:val="16"/>
        </w:rPr>
        <w:t xml:space="preserve"> 72</w:t>
      </w:r>
      <w:r w:rsidRPr="007040CC">
        <w:rPr>
          <w:rFonts w:asciiTheme="majorHAnsi" w:hAnsiTheme="majorHAnsi"/>
          <w:color w:val="auto"/>
          <w:sz w:val="16"/>
          <w:szCs w:val="16"/>
        </w:rPr>
        <w:t>.</w:t>
      </w:r>
    </w:p>
  </w:footnote>
  <w:footnote w:id="48">
    <w:p w14:paraId="5D1E98C4" w14:textId="77777777" w:rsidR="00D67B2A" w:rsidRDefault="00D67B2A" w:rsidP="00966854">
      <w:pPr>
        <w:pStyle w:val="FootnoteText"/>
        <w:jc w:val="both"/>
      </w:pPr>
      <w:r w:rsidRPr="005764DA">
        <w:rPr>
          <w:rStyle w:val="FootnoteReference"/>
          <w:rFonts w:asciiTheme="majorHAnsi" w:hAnsiTheme="majorHAnsi"/>
          <w:color w:val="auto"/>
          <w:sz w:val="16"/>
          <w:szCs w:val="16"/>
        </w:rPr>
        <w:footnoteRef/>
      </w:r>
      <w:r>
        <w:t xml:space="preserve"> </w:t>
      </w:r>
      <w:r>
        <w:rPr>
          <w:rFonts w:asciiTheme="majorHAnsi" w:eastAsia="Arial Unicode MS" w:hAnsiTheme="majorHAnsi" w:cs="Times New Roman"/>
          <w:color w:val="auto"/>
          <w:sz w:val="16"/>
          <w:szCs w:val="16"/>
          <w:lang w:eastAsia="en-US"/>
        </w:rPr>
        <w:t>Article X</w:t>
      </w:r>
      <w:r w:rsidRPr="00966854">
        <w:rPr>
          <w:rFonts w:asciiTheme="majorHAnsi" w:eastAsia="Arial Unicode MS" w:hAnsiTheme="majorHAnsi" w:cs="Times New Roman"/>
          <w:color w:val="auto"/>
          <w:sz w:val="16"/>
          <w:szCs w:val="16"/>
          <w:lang w:eastAsia="en-US"/>
        </w:rPr>
        <w:t>VIII of the American Declaration establishes: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r>
        <w:t xml:space="preserve"> </w:t>
      </w:r>
    </w:p>
  </w:footnote>
  <w:footnote w:id="49">
    <w:p w14:paraId="79D77DC7" w14:textId="77777777" w:rsidR="00D67B2A" w:rsidRDefault="00D67B2A" w:rsidP="00966854">
      <w:pPr>
        <w:pStyle w:val="FootnoteText"/>
        <w:jc w:val="both"/>
        <w:rPr>
          <w:rFonts w:asciiTheme="majorHAnsi" w:hAnsiTheme="majorHAnsi"/>
          <w:color w:val="auto"/>
          <w:sz w:val="16"/>
          <w:szCs w:val="16"/>
        </w:rPr>
      </w:pPr>
      <w:r w:rsidRPr="005764DA">
        <w:rPr>
          <w:rStyle w:val="FootnoteReference"/>
          <w:rFonts w:asciiTheme="majorHAnsi" w:hAnsiTheme="majorHAnsi"/>
          <w:color w:val="auto"/>
          <w:sz w:val="16"/>
          <w:szCs w:val="16"/>
        </w:rPr>
        <w:footnoteRef/>
      </w:r>
      <w:r w:rsidRPr="005764DA">
        <w:rPr>
          <w:rStyle w:val="FootnoteReference"/>
          <w:rFonts w:asciiTheme="majorHAnsi" w:hAnsiTheme="majorHAnsi"/>
          <w:color w:val="auto"/>
          <w:sz w:val="16"/>
          <w:szCs w:val="16"/>
        </w:rPr>
        <w:t xml:space="preserve"> </w:t>
      </w:r>
      <w:r>
        <w:rPr>
          <w:rFonts w:asciiTheme="majorHAnsi" w:hAnsiTheme="majorHAnsi"/>
          <w:color w:val="auto"/>
          <w:sz w:val="16"/>
          <w:szCs w:val="16"/>
        </w:rPr>
        <w:t xml:space="preserve">Article XXVI of the American Declaration establishes: Every accused person is presumed to be innocent until proved guilty. </w:t>
      </w:r>
    </w:p>
    <w:p w14:paraId="5B012EAE" w14:textId="77777777" w:rsidR="00D67B2A" w:rsidRDefault="00D67B2A" w:rsidP="00966854">
      <w:pPr>
        <w:pStyle w:val="FootnoteText"/>
        <w:jc w:val="both"/>
      </w:pPr>
      <w:r>
        <w:rPr>
          <w:rFonts w:asciiTheme="majorHAnsi" w:hAnsiTheme="majorHAnsi"/>
          <w:color w:val="auto"/>
          <w:sz w:val="16"/>
          <w:szCs w:val="16"/>
        </w:rPr>
        <w:t xml:space="preserve">Every person accused of an offense has the rights to be given an impartial and public hearing, and to be tried by courts previously established in accordance with pre-existing laws, and not to receive cruel, infamous or unusual punishment. </w:t>
      </w:r>
    </w:p>
  </w:footnote>
  <w:footnote w:id="50">
    <w:p w14:paraId="5768BEEC" w14:textId="77777777" w:rsidR="00D67B2A" w:rsidRDefault="00D67B2A" w:rsidP="00966854">
      <w:pPr>
        <w:pStyle w:val="FootnoteText"/>
        <w:jc w:val="both"/>
      </w:pPr>
      <w:r w:rsidRPr="005764DA">
        <w:rPr>
          <w:rStyle w:val="FootnoteReference"/>
          <w:rFonts w:asciiTheme="majorHAnsi" w:hAnsiTheme="majorHAnsi"/>
          <w:color w:val="auto"/>
          <w:sz w:val="16"/>
          <w:szCs w:val="16"/>
        </w:rPr>
        <w:footnoteRef/>
      </w:r>
      <w:r w:rsidRPr="005764DA">
        <w:rPr>
          <w:rStyle w:val="FootnoteReference"/>
          <w:rFonts w:asciiTheme="majorHAnsi" w:hAnsiTheme="majorHAnsi"/>
          <w:color w:val="auto"/>
          <w:sz w:val="16"/>
          <w:szCs w:val="16"/>
        </w:rPr>
        <w:t xml:space="preserve"> </w:t>
      </w:r>
      <w:r>
        <w:rPr>
          <w:rFonts w:asciiTheme="majorHAnsi" w:hAnsiTheme="majorHAnsi"/>
          <w:color w:val="auto"/>
          <w:sz w:val="16"/>
          <w:szCs w:val="16"/>
        </w:rPr>
        <w:t>Article I of the American Declaration establishes: Every human being has the right to life, liberty and the security of his person.</w:t>
      </w:r>
    </w:p>
  </w:footnote>
  <w:footnote w:id="51">
    <w:p w14:paraId="68714B48" w14:textId="77777777" w:rsidR="00D67B2A" w:rsidRPr="00AD7A33" w:rsidRDefault="00D67B2A" w:rsidP="00901310">
      <w:pPr>
        <w:pStyle w:val="FootnoteText"/>
        <w:jc w:val="both"/>
        <w:rPr>
          <w:rFonts w:asciiTheme="majorHAnsi" w:hAnsiTheme="majorHAnsi"/>
          <w:color w:val="auto"/>
          <w:sz w:val="16"/>
          <w:szCs w:val="16"/>
        </w:rPr>
      </w:pPr>
      <w:r w:rsidRPr="00AD7A33">
        <w:rPr>
          <w:rStyle w:val="FootnoteReference"/>
          <w:rFonts w:asciiTheme="majorHAnsi" w:hAnsiTheme="majorHAnsi"/>
          <w:color w:val="auto"/>
          <w:sz w:val="16"/>
          <w:szCs w:val="16"/>
        </w:rPr>
        <w:footnoteRef/>
      </w:r>
      <w:r w:rsidRPr="00AD7A33">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footnote>
  <w:footnote w:id="52">
    <w:p w14:paraId="5D620A68" w14:textId="77777777" w:rsidR="00D67B2A" w:rsidRPr="00ED56AB" w:rsidRDefault="00D67B2A" w:rsidP="0090131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paras. 86-90. In this report the Commission has cite</w:t>
      </w:r>
      <w:r>
        <w:rPr>
          <w:rFonts w:asciiTheme="majorHAnsi" w:hAnsiTheme="majorHAnsi"/>
          <w:color w:val="auto"/>
          <w:sz w:val="16"/>
          <w:szCs w:val="16"/>
        </w:rPr>
        <w:t>d</w:t>
      </w:r>
      <w:r w:rsidRPr="00ED56AB">
        <w:rPr>
          <w:rFonts w:asciiTheme="majorHAnsi" w:hAnsiTheme="majorHAnsi"/>
          <w:color w:val="auto"/>
          <w:sz w:val="16"/>
          <w:szCs w:val="16"/>
        </w:rPr>
        <w:t xml:space="preserve"> a number of developments in the inter-American and other protections systems, including the regional and United Nations systems.</w:t>
      </w:r>
    </w:p>
  </w:footnote>
  <w:footnote w:id="53">
    <w:p w14:paraId="15361E49" w14:textId="77777777" w:rsidR="00D67B2A" w:rsidRPr="006C1815" w:rsidRDefault="00D67B2A" w:rsidP="00901310">
      <w:pPr>
        <w:pStyle w:val="FootnoteText"/>
      </w:pPr>
      <w:r w:rsidRPr="006C1815">
        <w:rPr>
          <w:rStyle w:val="FootnoteReference"/>
          <w:rFonts w:asciiTheme="majorHAnsi" w:hAnsiTheme="majorHAnsi"/>
          <w:color w:val="auto"/>
          <w:sz w:val="16"/>
          <w:szCs w:val="16"/>
        </w:rPr>
        <w:footnoteRef/>
      </w:r>
      <w:r w:rsidRPr="006C1815">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w:t>
      </w:r>
      <w:r>
        <w:rPr>
          <w:rFonts w:asciiTheme="majorHAnsi" w:hAnsiTheme="majorHAnsi"/>
          <w:color w:val="auto"/>
          <w:sz w:val="16"/>
          <w:szCs w:val="16"/>
        </w:rPr>
        <w:t>. 83.</w:t>
      </w:r>
    </w:p>
  </w:footnote>
  <w:footnote w:id="54">
    <w:p w14:paraId="58349C94" w14:textId="77777777" w:rsidR="00D67B2A" w:rsidRPr="00ED56AB" w:rsidRDefault="00D67B2A" w:rsidP="0005221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Teleguz, United States, July 15, 2013, para. 129.</w:t>
      </w:r>
    </w:p>
  </w:footnote>
  <w:footnote w:id="55">
    <w:p w14:paraId="7567AD3C" w14:textId="77777777" w:rsidR="00D67B2A" w:rsidRPr="00700471" w:rsidRDefault="00D67B2A" w:rsidP="00052210">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56">
    <w:p w14:paraId="256DBDFA" w14:textId="77777777" w:rsidR="00D67B2A" w:rsidRPr="00700471" w:rsidRDefault="00D67B2A" w:rsidP="00C451FC">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57">
    <w:p w14:paraId="7E1DD7F0" w14:textId="77777777" w:rsidR="00D67B2A" w:rsidRPr="00D67B2A" w:rsidRDefault="00D67B2A" w:rsidP="00831D98">
      <w:pPr>
        <w:pStyle w:val="FootnoteText"/>
        <w:jc w:val="both"/>
      </w:pPr>
      <w:r w:rsidRPr="00D67B2A">
        <w:rPr>
          <w:rStyle w:val="FootnoteReference"/>
          <w:rFonts w:asciiTheme="majorHAnsi" w:hAnsiTheme="majorHAnsi"/>
          <w:color w:val="auto"/>
          <w:sz w:val="16"/>
          <w:szCs w:val="16"/>
        </w:rPr>
        <w:footnoteRef/>
      </w:r>
      <w:r w:rsidRPr="00D67B2A">
        <w:t xml:space="preserve"> </w:t>
      </w:r>
      <w:r w:rsidRPr="00D67B2A">
        <w:rPr>
          <w:rFonts w:asciiTheme="majorHAnsi" w:hAnsiTheme="majorHAnsi"/>
          <w:color w:val="auto"/>
          <w:sz w:val="16"/>
          <w:szCs w:val="16"/>
        </w:rPr>
        <w:t xml:space="preserve">American Bar Association. Death Penalty Representation Project. Florida Supreme Court “Recedes” from Major Death Penalty Decision Creating Uncertainty About Status of Dozens of Cases. March 11, 2020. Available at: </w:t>
      </w:r>
      <w:hyperlink r:id="rId1" w:history="1">
        <w:r w:rsidRPr="00D67B2A">
          <w:rPr>
            <w:rStyle w:val="Hyperlink"/>
            <w:rFonts w:asciiTheme="majorHAnsi" w:hAnsiTheme="majorHAnsi"/>
            <w:sz w:val="16"/>
            <w:szCs w:val="16"/>
          </w:rPr>
          <w:t>https://www.americanbar.org/groups/committees/death_penalty_representation/project_press/2020/spring/florida-supreme-court-state-v-poole/</w:t>
        </w:r>
      </w:hyperlink>
      <w:r w:rsidRPr="00D67B2A">
        <w:rPr>
          <w:rFonts w:asciiTheme="majorHAnsi" w:hAnsiTheme="majorHAnsi"/>
          <w:color w:val="auto"/>
          <w:sz w:val="16"/>
          <w:szCs w:val="16"/>
        </w:rPr>
        <w:t xml:space="preserve"> </w:t>
      </w:r>
    </w:p>
  </w:footnote>
  <w:footnote w:id="58">
    <w:p w14:paraId="59F21443" w14:textId="77777777" w:rsidR="00D67B2A" w:rsidRDefault="00D67B2A">
      <w:pPr>
        <w:pStyle w:val="FootnoteText"/>
      </w:pPr>
      <w:r w:rsidRPr="00D67B2A">
        <w:rPr>
          <w:rStyle w:val="FootnoteReference"/>
          <w:rFonts w:asciiTheme="majorHAnsi" w:hAnsiTheme="majorHAnsi"/>
          <w:color w:val="auto"/>
          <w:sz w:val="16"/>
          <w:szCs w:val="16"/>
        </w:rPr>
        <w:footnoteRef/>
      </w:r>
      <w:r w:rsidRPr="00D67B2A">
        <w:rPr>
          <w:rStyle w:val="FootnoteReference"/>
          <w:rFonts w:asciiTheme="majorHAnsi" w:hAnsiTheme="majorHAnsi"/>
          <w:color w:val="auto"/>
          <w:sz w:val="16"/>
          <w:szCs w:val="16"/>
        </w:rPr>
        <w:t xml:space="preserve"> </w:t>
      </w:r>
      <w:r w:rsidRPr="00D67B2A">
        <w:rPr>
          <w:i/>
          <w:sz w:val="16"/>
          <w:szCs w:val="16"/>
        </w:rPr>
        <w:t>Idem.</w:t>
      </w:r>
    </w:p>
  </w:footnote>
  <w:footnote w:id="59">
    <w:p w14:paraId="370034C5" w14:textId="77777777" w:rsidR="00D67B2A" w:rsidRPr="00700471" w:rsidRDefault="00D67B2A" w:rsidP="00F22563">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D660" w14:textId="77777777" w:rsidR="00D67B2A" w:rsidRDefault="00D67B2A" w:rsidP="002022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EA6FD57" w14:textId="77777777" w:rsidR="00D67B2A" w:rsidRDefault="00D67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FBBB" w14:textId="77777777" w:rsidR="00D67B2A" w:rsidRDefault="00D67B2A" w:rsidP="002C1641">
    <w:pPr>
      <w:pStyle w:val="Header"/>
      <w:tabs>
        <w:tab w:val="clear" w:pos="4320"/>
        <w:tab w:val="clear" w:pos="8640"/>
      </w:tabs>
      <w:jc w:val="center"/>
      <w:rPr>
        <w:sz w:val="22"/>
        <w:szCs w:val="22"/>
      </w:rPr>
    </w:pPr>
    <w:r>
      <w:rPr>
        <w:noProof/>
        <w:sz w:val="22"/>
        <w:szCs w:val="22"/>
      </w:rPr>
      <w:drawing>
        <wp:inline distT="0" distB="0" distL="0" distR="0" wp14:anchorId="3819CBBE" wp14:editId="50AA058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F931046" w14:textId="77777777" w:rsidR="00D67B2A" w:rsidRPr="00EC7D62" w:rsidRDefault="005A47F2" w:rsidP="002C1641">
    <w:pPr>
      <w:pStyle w:val="Header"/>
      <w:tabs>
        <w:tab w:val="clear" w:pos="4320"/>
        <w:tab w:val="clear" w:pos="8640"/>
      </w:tabs>
      <w:jc w:val="center"/>
      <w:rPr>
        <w:sz w:val="22"/>
        <w:szCs w:val="22"/>
      </w:rPr>
    </w:pPr>
    <w:r>
      <w:rPr>
        <w:noProof/>
        <w:sz w:val="22"/>
        <w:szCs w:val="22"/>
        <w:bdr w:val="nil"/>
      </w:rPr>
      <w:pict w14:anchorId="25A1D2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3DF4848"/>
    <w:multiLevelType w:val="hybridMultilevel"/>
    <w:tmpl w:val="01185F5C"/>
    <w:lvl w:ilvl="0" w:tplc="8D6E258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B68F9"/>
    <w:multiLevelType w:val="hybridMultilevel"/>
    <w:tmpl w:val="AC583B28"/>
    <w:lvl w:ilvl="0" w:tplc="CA629B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200E2F06"/>
    <w:lvl w:ilvl="0" w:tplc="44D2772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DA44CA0"/>
    <w:multiLevelType w:val="hybridMultilevel"/>
    <w:tmpl w:val="9E549F6C"/>
    <w:lvl w:ilvl="0" w:tplc="64D820EE">
      <w:start w:val="1"/>
      <w:numFmt w:val="decimal"/>
      <w:lvlText w:val="%1."/>
      <w:lvlJc w:val="left"/>
      <w:pPr>
        <w:ind w:left="1080" w:hanging="360"/>
      </w:pPr>
      <w:rPr>
        <w:rFonts w:asciiTheme="majorHAnsi" w:eastAsia="Arial Unicode MS"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DF1A838C"/>
    <w:lvl w:ilvl="0" w:tplc="F8D25D9C">
      <w:start w:val="1"/>
      <w:numFmt w:val="decimal"/>
      <w:pStyle w:val="parrafos"/>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3A1BE7"/>
    <w:multiLevelType w:val="hybridMultilevel"/>
    <w:tmpl w:val="8722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841B8"/>
    <w:multiLevelType w:val="hybridMultilevel"/>
    <w:tmpl w:val="CC08D00A"/>
    <w:lvl w:ilvl="0" w:tplc="BA1680B6">
      <w:start w:val="1"/>
      <w:numFmt w:val="decimal"/>
      <w:pStyle w:val="Heading3"/>
      <w:lvlText w:val="%1."/>
      <w:lvlJc w:val="left"/>
      <w:pPr>
        <w:ind w:left="720" w:hanging="360"/>
      </w:pPr>
    </w:lvl>
    <w:lvl w:ilvl="1" w:tplc="5678A4FC" w:tentative="1">
      <w:start w:val="1"/>
      <w:numFmt w:val="lowerLetter"/>
      <w:lvlText w:val="%2."/>
      <w:lvlJc w:val="left"/>
      <w:pPr>
        <w:ind w:left="1440" w:hanging="360"/>
      </w:pPr>
    </w:lvl>
    <w:lvl w:ilvl="2" w:tplc="FE1E69C0" w:tentative="1">
      <w:start w:val="1"/>
      <w:numFmt w:val="lowerRoman"/>
      <w:lvlText w:val="%3."/>
      <w:lvlJc w:val="right"/>
      <w:pPr>
        <w:ind w:left="2160" w:hanging="180"/>
      </w:pPr>
    </w:lvl>
    <w:lvl w:ilvl="3" w:tplc="7C5C55F6" w:tentative="1">
      <w:start w:val="1"/>
      <w:numFmt w:val="decimal"/>
      <w:lvlText w:val="%4."/>
      <w:lvlJc w:val="left"/>
      <w:pPr>
        <w:ind w:left="2880" w:hanging="360"/>
      </w:pPr>
    </w:lvl>
    <w:lvl w:ilvl="4" w:tplc="0FB85624" w:tentative="1">
      <w:start w:val="1"/>
      <w:numFmt w:val="lowerLetter"/>
      <w:lvlText w:val="%5."/>
      <w:lvlJc w:val="left"/>
      <w:pPr>
        <w:ind w:left="3600" w:hanging="360"/>
      </w:pPr>
    </w:lvl>
    <w:lvl w:ilvl="5" w:tplc="FFAC2E3E" w:tentative="1">
      <w:start w:val="1"/>
      <w:numFmt w:val="lowerRoman"/>
      <w:lvlText w:val="%6."/>
      <w:lvlJc w:val="right"/>
      <w:pPr>
        <w:ind w:left="4320" w:hanging="180"/>
      </w:pPr>
    </w:lvl>
    <w:lvl w:ilvl="6" w:tplc="7D90A40A" w:tentative="1">
      <w:start w:val="1"/>
      <w:numFmt w:val="decimal"/>
      <w:lvlText w:val="%7."/>
      <w:lvlJc w:val="left"/>
      <w:pPr>
        <w:ind w:left="5040" w:hanging="360"/>
      </w:pPr>
    </w:lvl>
    <w:lvl w:ilvl="7" w:tplc="99A61DD6" w:tentative="1">
      <w:start w:val="1"/>
      <w:numFmt w:val="lowerLetter"/>
      <w:lvlText w:val="%8."/>
      <w:lvlJc w:val="left"/>
      <w:pPr>
        <w:ind w:left="5760" w:hanging="360"/>
      </w:pPr>
    </w:lvl>
    <w:lvl w:ilvl="8" w:tplc="FD88E678" w:tentative="1">
      <w:start w:val="1"/>
      <w:numFmt w:val="lowerRoman"/>
      <w:lvlText w:val="%9."/>
      <w:lvlJc w:val="right"/>
      <w:pPr>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C470AD"/>
    <w:multiLevelType w:val="hybridMultilevel"/>
    <w:tmpl w:val="C400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6D03FE"/>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2"/>
  </w:num>
  <w:num w:numId="5">
    <w:abstractNumId w:val="50"/>
  </w:num>
  <w:num w:numId="6">
    <w:abstractNumId w:val="28"/>
  </w:num>
  <w:num w:numId="7">
    <w:abstractNumId w:val="6"/>
  </w:num>
  <w:num w:numId="8">
    <w:abstractNumId w:val="18"/>
  </w:num>
  <w:num w:numId="9">
    <w:abstractNumId w:val="43"/>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1"/>
  </w:num>
  <w:num w:numId="43">
    <w:abstractNumId w:val="53"/>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1"/>
  </w:num>
  <w:num w:numId="52">
    <w:abstractNumId w:val="42"/>
  </w:num>
  <w:num w:numId="53">
    <w:abstractNumId w:val="54"/>
  </w:num>
  <w:num w:numId="54">
    <w:abstractNumId w:val="46"/>
  </w:num>
  <w:num w:numId="55">
    <w:abstractNumId w:val="26"/>
  </w:num>
  <w:num w:numId="56">
    <w:abstractNumId w:val="17"/>
  </w:num>
  <w:num w:numId="57">
    <w:abstractNumId w:val="47"/>
  </w:num>
  <w:num w:numId="58">
    <w:abstractNumId w:val="44"/>
  </w:num>
  <w:num w:numId="59">
    <w:abstractNumId w:val="39"/>
  </w:num>
  <w:num w:numId="60">
    <w:abstractNumId w:val="55"/>
  </w:num>
  <w:num w:numId="61">
    <w:abstractNumId w:val="56"/>
  </w:num>
  <w:num w:numId="62">
    <w:abstractNumId w:val="56"/>
    <w:lvlOverride w:ilvl="0">
      <w:startOverride w:val="1"/>
    </w:lvlOverride>
  </w:num>
  <w:num w:numId="63">
    <w:abstractNumId w:val="52"/>
  </w:num>
  <w:num w:numId="64">
    <w:abstractNumId w:val="48"/>
  </w:num>
  <w:num w:numId="65">
    <w:abstractNumId w:val="4"/>
  </w:num>
  <w:num w:numId="66">
    <w:abstractNumId w:val="58"/>
  </w:num>
  <w:num w:numId="67">
    <w:abstractNumId w:val="54"/>
  </w:num>
  <w:num w:numId="68">
    <w:abstractNumId w:val="14"/>
  </w:num>
  <w:num w:numId="69">
    <w:abstractNumId w:val="54"/>
  </w:num>
  <w:num w:numId="70">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FA6"/>
    <w:rsid w:val="0000671A"/>
    <w:rsid w:val="000070D7"/>
    <w:rsid w:val="000111A8"/>
    <w:rsid w:val="00011946"/>
    <w:rsid w:val="00012771"/>
    <w:rsid w:val="00014A48"/>
    <w:rsid w:val="0001521C"/>
    <w:rsid w:val="00015F0F"/>
    <w:rsid w:val="0001788C"/>
    <w:rsid w:val="00017B2D"/>
    <w:rsid w:val="000200F3"/>
    <w:rsid w:val="000219FF"/>
    <w:rsid w:val="00025D78"/>
    <w:rsid w:val="0002776D"/>
    <w:rsid w:val="000327B9"/>
    <w:rsid w:val="00036A8A"/>
    <w:rsid w:val="00040C3A"/>
    <w:rsid w:val="00041755"/>
    <w:rsid w:val="00042146"/>
    <w:rsid w:val="000433E8"/>
    <w:rsid w:val="000450FB"/>
    <w:rsid w:val="0004664B"/>
    <w:rsid w:val="00052210"/>
    <w:rsid w:val="00052A4B"/>
    <w:rsid w:val="000608ED"/>
    <w:rsid w:val="000639C0"/>
    <w:rsid w:val="000657B9"/>
    <w:rsid w:val="00070F3A"/>
    <w:rsid w:val="000716C5"/>
    <w:rsid w:val="000735B1"/>
    <w:rsid w:val="00075BEA"/>
    <w:rsid w:val="00075E23"/>
    <w:rsid w:val="000860AC"/>
    <w:rsid w:val="00086498"/>
    <w:rsid w:val="00090816"/>
    <w:rsid w:val="00092F32"/>
    <w:rsid w:val="0009344A"/>
    <w:rsid w:val="0009587A"/>
    <w:rsid w:val="00096036"/>
    <w:rsid w:val="00096DED"/>
    <w:rsid w:val="0009709D"/>
    <w:rsid w:val="00097730"/>
    <w:rsid w:val="000A4DF2"/>
    <w:rsid w:val="000A575F"/>
    <w:rsid w:val="000A5F58"/>
    <w:rsid w:val="000B1C98"/>
    <w:rsid w:val="000B2B59"/>
    <w:rsid w:val="000B32AE"/>
    <w:rsid w:val="000B5884"/>
    <w:rsid w:val="000C1446"/>
    <w:rsid w:val="000C367D"/>
    <w:rsid w:val="000C6013"/>
    <w:rsid w:val="000C707B"/>
    <w:rsid w:val="000D10DB"/>
    <w:rsid w:val="000D2B54"/>
    <w:rsid w:val="000D7751"/>
    <w:rsid w:val="000E51B8"/>
    <w:rsid w:val="000F7A2F"/>
    <w:rsid w:val="001060DA"/>
    <w:rsid w:val="001061FC"/>
    <w:rsid w:val="001075AE"/>
    <w:rsid w:val="00115A97"/>
    <w:rsid w:val="0013104F"/>
    <w:rsid w:val="00133F95"/>
    <w:rsid w:val="001366D6"/>
    <w:rsid w:val="00137D09"/>
    <w:rsid w:val="00137EBA"/>
    <w:rsid w:val="00140A73"/>
    <w:rsid w:val="00143845"/>
    <w:rsid w:val="00145EDC"/>
    <w:rsid w:val="00157AE2"/>
    <w:rsid w:val="00160F0B"/>
    <w:rsid w:val="0016349D"/>
    <w:rsid w:val="00167A34"/>
    <w:rsid w:val="00171D8C"/>
    <w:rsid w:val="001738CB"/>
    <w:rsid w:val="0017601E"/>
    <w:rsid w:val="001764D6"/>
    <w:rsid w:val="0018037F"/>
    <w:rsid w:val="0018263D"/>
    <w:rsid w:val="001839B9"/>
    <w:rsid w:val="0018673F"/>
    <w:rsid w:val="00187174"/>
    <w:rsid w:val="00190243"/>
    <w:rsid w:val="00194CE9"/>
    <w:rsid w:val="00195CF3"/>
    <w:rsid w:val="0019756B"/>
    <w:rsid w:val="00197AC8"/>
    <w:rsid w:val="001A0202"/>
    <w:rsid w:val="001A28C0"/>
    <w:rsid w:val="001A367B"/>
    <w:rsid w:val="001A40D6"/>
    <w:rsid w:val="001A4640"/>
    <w:rsid w:val="001A5F27"/>
    <w:rsid w:val="001A616D"/>
    <w:rsid w:val="001A7870"/>
    <w:rsid w:val="001B0767"/>
    <w:rsid w:val="001B29DC"/>
    <w:rsid w:val="001B355A"/>
    <w:rsid w:val="001B4605"/>
    <w:rsid w:val="001B5B84"/>
    <w:rsid w:val="001B73BE"/>
    <w:rsid w:val="001C1B41"/>
    <w:rsid w:val="001C6000"/>
    <w:rsid w:val="001D1E51"/>
    <w:rsid w:val="001E09B0"/>
    <w:rsid w:val="001E515E"/>
    <w:rsid w:val="001F2596"/>
    <w:rsid w:val="001F30CC"/>
    <w:rsid w:val="00200B84"/>
    <w:rsid w:val="0020221F"/>
    <w:rsid w:val="00210E0E"/>
    <w:rsid w:val="002134E3"/>
    <w:rsid w:val="002163A1"/>
    <w:rsid w:val="00216774"/>
    <w:rsid w:val="00216B47"/>
    <w:rsid w:val="00220645"/>
    <w:rsid w:val="00222A64"/>
    <w:rsid w:val="00223FE5"/>
    <w:rsid w:val="00225685"/>
    <w:rsid w:val="00230CA9"/>
    <w:rsid w:val="002314E3"/>
    <w:rsid w:val="0023238E"/>
    <w:rsid w:val="00235327"/>
    <w:rsid w:val="00235CAA"/>
    <w:rsid w:val="00236031"/>
    <w:rsid w:val="00240779"/>
    <w:rsid w:val="00241285"/>
    <w:rsid w:val="00247403"/>
    <w:rsid w:val="00247542"/>
    <w:rsid w:val="00247E7E"/>
    <w:rsid w:val="00250163"/>
    <w:rsid w:val="00252355"/>
    <w:rsid w:val="002532E1"/>
    <w:rsid w:val="002546C8"/>
    <w:rsid w:val="00255D20"/>
    <w:rsid w:val="002564DA"/>
    <w:rsid w:val="00257893"/>
    <w:rsid w:val="00265850"/>
    <w:rsid w:val="00266092"/>
    <w:rsid w:val="002663EC"/>
    <w:rsid w:val="00266A59"/>
    <w:rsid w:val="00266B61"/>
    <w:rsid w:val="0026712A"/>
    <w:rsid w:val="002704DB"/>
    <w:rsid w:val="00270F6A"/>
    <w:rsid w:val="002721E5"/>
    <w:rsid w:val="00284FC8"/>
    <w:rsid w:val="0029086D"/>
    <w:rsid w:val="00292A8C"/>
    <w:rsid w:val="00294015"/>
    <w:rsid w:val="0029410C"/>
    <w:rsid w:val="002A3453"/>
    <w:rsid w:val="002A623D"/>
    <w:rsid w:val="002A6745"/>
    <w:rsid w:val="002A7C40"/>
    <w:rsid w:val="002B57AA"/>
    <w:rsid w:val="002C1641"/>
    <w:rsid w:val="002C63F7"/>
    <w:rsid w:val="002C6A43"/>
    <w:rsid w:val="002D6E01"/>
    <w:rsid w:val="002D7EA2"/>
    <w:rsid w:val="002E15DF"/>
    <w:rsid w:val="002E187C"/>
    <w:rsid w:val="002E270B"/>
    <w:rsid w:val="002E5E81"/>
    <w:rsid w:val="002E6880"/>
    <w:rsid w:val="002E6E57"/>
    <w:rsid w:val="002F0D88"/>
    <w:rsid w:val="002F0DE5"/>
    <w:rsid w:val="002F152E"/>
    <w:rsid w:val="002F3506"/>
    <w:rsid w:val="002F6446"/>
    <w:rsid w:val="00301075"/>
    <w:rsid w:val="00302733"/>
    <w:rsid w:val="00303BD9"/>
    <w:rsid w:val="003049F8"/>
    <w:rsid w:val="00307397"/>
    <w:rsid w:val="00307BBF"/>
    <w:rsid w:val="0031173C"/>
    <w:rsid w:val="00311A4F"/>
    <w:rsid w:val="0031267C"/>
    <w:rsid w:val="00314078"/>
    <w:rsid w:val="00316286"/>
    <w:rsid w:val="003219CD"/>
    <w:rsid w:val="00321E9B"/>
    <w:rsid w:val="00322285"/>
    <w:rsid w:val="00322450"/>
    <w:rsid w:val="003246B5"/>
    <w:rsid w:val="0032585D"/>
    <w:rsid w:val="00325DD0"/>
    <w:rsid w:val="003263BD"/>
    <w:rsid w:val="0033169F"/>
    <w:rsid w:val="00331AE0"/>
    <w:rsid w:val="00332132"/>
    <w:rsid w:val="003362F0"/>
    <w:rsid w:val="003414AC"/>
    <w:rsid w:val="00344564"/>
    <w:rsid w:val="00350364"/>
    <w:rsid w:val="003517CD"/>
    <w:rsid w:val="00351FDA"/>
    <w:rsid w:val="00356185"/>
    <w:rsid w:val="00360380"/>
    <w:rsid w:val="00362950"/>
    <w:rsid w:val="00363465"/>
    <w:rsid w:val="00375ACA"/>
    <w:rsid w:val="00375F5D"/>
    <w:rsid w:val="00376B02"/>
    <w:rsid w:val="00382724"/>
    <w:rsid w:val="00386CF0"/>
    <w:rsid w:val="00387FA8"/>
    <w:rsid w:val="00391A3F"/>
    <w:rsid w:val="00394070"/>
    <w:rsid w:val="00396575"/>
    <w:rsid w:val="003A49E5"/>
    <w:rsid w:val="003A4F25"/>
    <w:rsid w:val="003A5BF5"/>
    <w:rsid w:val="003A7D69"/>
    <w:rsid w:val="003B08CC"/>
    <w:rsid w:val="003B2BDB"/>
    <w:rsid w:val="003B4516"/>
    <w:rsid w:val="003B6499"/>
    <w:rsid w:val="003C00E8"/>
    <w:rsid w:val="003C0ACD"/>
    <w:rsid w:val="003C0D6F"/>
    <w:rsid w:val="003C12B7"/>
    <w:rsid w:val="003C32BC"/>
    <w:rsid w:val="003C5117"/>
    <w:rsid w:val="003D05BF"/>
    <w:rsid w:val="003D1CBD"/>
    <w:rsid w:val="003D73EE"/>
    <w:rsid w:val="003D7C94"/>
    <w:rsid w:val="003E30BF"/>
    <w:rsid w:val="003E7E0C"/>
    <w:rsid w:val="003F1BBF"/>
    <w:rsid w:val="003F2701"/>
    <w:rsid w:val="003F3D4A"/>
    <w:rsid w:val="003F4494"/>
    <w:rsid w:val="00402215"/>
    <w:rsid w:val="00403C5D"/>
    <w:rsid w:val="00411DD4"/>
    <w:rsid w:val="004124F3"/>
    <w:rsid w:val="004165C2"/>
    <w:rsid w:val="0042246D"/>
    <w:rsid w:val="004240A2"/>
    <w:rsid w:val="00430827"/>
    <w:rsid w:val="00450A4A"/>
    <w:rsid w:val="00451F0E"/>
    <w:rsid w:val="004612BD"/>
    <w:rsid w:val="00462B76"/>
    <w:rsid w:val="00464C6A"/>
    <w:rsid w:val="004661E1"/>
    <w:rsid w:val="004666FB"/>
    <w:rsid w:val="00467B7E"/>
    <w:rsid w:val="00473FCA"/>
    <w:rsid w:val="00474247"/>
    <w:rsid w:val="004774F6"/>
    <w:rsid w:val="00480F67"/>
    <w:rsid w:val="00482420"/>
    <w:rsid w:val="004923E0"/>
    <w:rsid w:val="00493C16"/>
    <w:rsid w:val="0049419D"/>
    <w:rsid w:val="00496048"/>
    <w:rsid w:val="004A34F0"/>
    <w:rsid w:val="004A41AE"/>
    <w:rsid w:val="004A7319"/>
    <w:rsid w:val="004A792A"/>
    <w:rsid w:val="004B2762"/>
    <w:rsid w:val="004B5893"/>
    <w:rsid w:val="004B7EB6"/>
    <w:rsid w:val="004C000D"/>
    <w:rsid w:val="004C0B6C"/>
    <w:rsid w:val="004C1F43"/>
    <w:rsid w:val="004C2D73"/>
    <w:rsid w:val="004C2FB1"/>
    <w:rsid w:val="004C35A4"/>
    <w:rsid w:val="004C4565"/>
    <w:rsid w:val="004C4B62"/>
    <w:rsid w:val="004C7131"/>
    <w:rsid w:val="004D2B6F"/>
    <w:rsid w:val="004D3739"/>
    <w:rsid w:val="004D4616"/>
    <w:rsid w:val="004D6025"/>
    <w:rsid w:val="004D69D3"/>
    <w:rsid w:val="004D72BC"/>
    <w:rsid w:val="004E00B5"/>
    <w:rsid w:val="004E66E7"/>
    <w:rsid w:val="004F2857"/>
    <w:rsid w:val="004F4146"/>
    <w:rsid w:val="00500E3E"/>
    <w:rsid w:val="00501399"/>
    <w:rsid w:val="00507BC4"/>
    <w:rsid w:val="005128E4"/>
    <w:rsid w:val="005145B0"/>
    <w:rsid w:val="005149F4"/>
    <w:rsid w:val="00515A7C"/>
    <w:rsid w:val="00515EA8"/>
    <w:rsid w:val="00522DFF"/>
    <w:rsid w:val="00525560"/>
    <w:rsid w:val="00527512"/>
    <w:rsid w:val="0052781C"/>
    <w:rsid w:val="005318B7"/>
    <w:rsid w:val="005357A6"/>
    <w:rsid w:val="00542902"/>
    <w:rsid w:val="00544C49"/>
    <w:rsid w:val="00547754"/>
    <w:rsid w:val="0055169F"/>
    <w:rsid w:val="005550D8"/>
    <w:rsid w:val="00557D1D"/>
    <w:rsid w:val="005619DF"/>
    <w:rsid w:val="00561A4E"/>
    <w:rsid w:val="005621F9"/>
    <w:rsid w:val="00571170"/>
    <w:rsid w:val="005720E4"/>
    <w:rsid w:val="0057402A"/>
    <w:rsid w:val="0057444A"/>
    <w:rsid w:val="005751B6"/>
    <w:rsid w:val="005764DA"/>
    <w:rsid w:val="00576DBD"/>
    <w:rsid w:val="005771D0"/>
    <w:rsid w:val="0059191A"/>
    <w:rsid w:val="00591D59"/>
    <w:rsid w:val="005921FF"/>
    <w:rsid w:val="00596815"/>
    <w:rsid w:val="00597788"/>
    <w:rsid w:val="005A47F2"/>
    <w:rsid w:val="005A6814"/>
    <w:rsid w:val="005A6D0E"/>
    <w:rsid w:val="005B0477"/>
    <w:rsid w:val="005B0E72"/>
    <w:rsid w:val="005B222D"/>
    <w:rsid w:val="005B52B0"/>
    <w:rsid w:val="005B57E6"/>
    <w:rsid w:val="005B6806"/>
    <w:rsid w:val="005C00F9"/>
    <w:rsid w:val="005C4225"/>
    <w:rsid w:val="005C79B6"/>
    <w:rsid w:val="005C7EB1"/>
    <w:rsid w:val="005D10F1"/>
    <w:rsid w:val="005D1F19"/>
    <w:rsid w:val="005D4583"/>
    <w:rsid w:val="005D6168"/>
    <w:rsid w:val="005D7630"/>
    <w:rsid w:val="005E4C49"/>
    <w:rsid w:val="005E535E"/>
    <w:rsid w:val="005F0F33"/>
    <w:rsid w:val="005F2944"/>
    <w:rsid w:val="005F412A"/>
    <w:rsid w:val="005F454E"/>
    <w:rsid w:val="0060082D"/>
    <w:rsid w:val="00600DEB"/>
    <w:rsid w:val="00603CD4"/>
    <w:rsid w:val="00607096"/>
    <w:rsid w:val="00607E10"/>
    <w:rsid w:val="0061266A"/>
    <w:rsid w:val="00613027"/>
    <w:rsid w:val="006167F5"/>
    <w:rsid w:val="00617D2B"/>
    <w:rsid w:val="00624C78"/>
    <w:rsid w:val="006257DF"/>
    <w:rsid w:val="00627C9F"/>
    <w:rsid w:val="006311DA"/>
    <w:rsid w:val="006311E9"/>
    <w:rsid w:val="006315C8"/>
    <w:rsid w:val="00632354"/>
    <w:rsid w:val="00633331"/>
    <w:rsid w:val="00634BED"/>
    <w:rsid w:val="00634FDE"/>
    <w:rsid w:val="006352B3"/>
    <w:rsid w:val="00640E70"/>
    <w:rsid w:val="00642810"/>
    <w:rsid w:val="00652333"/>
    <w:rsid w:val="0065626C"/>
    <w:rsid w:val="006569E8"/>
    <w:rsid w:val="00660F1C"/>
    <w:rsid w:val="006655B8"/>
    <w:rsid w:val="006763F3"/>
    <w:rsid w:val="0068009E"/>
    <w:rsid w:val="006801B2"/>
    <w:rsid w:val="00682164"/>
    <w:rsid w:val="00684459"/>
    <w:rsid w:val="00690C6F"/>
    <w:rsid w:val="00697453"/>
    <w:rsid w:val="006A094C"/>
    <w:rsid w:val="006A17D2"/>
    <w:rsid w:val="006A2330"/>
    <w:rsid w:val="006A73E6"/>
    <w:rsid w:val="006B06A5"/>
    <w:rsid w:val="006B211C"/>
    <w:rsid w:val="006B2D5C"/>
    <w:rsid w:val="006B697B"/>
    <w:rsid w:val="006B7A06"/>
    <w:rsid w:val="006C1176"/>
    <w:rsid w:val="006C1C0E"/>
    <w:rsid w:val="006C2FF6"/>
    <w:rsid w:val="006C4AB5"/>
    <w:rsid w:val="006C4EB1"/>
    <w:rsid w:val="006C52B4"/>
    <w:rsid w:val="006C6D24"/>
    <w:rsid w:val="006D1F29"/>
    <w:rsid w:val="006D545C"/>
    <w:rsid w:val="006D6646"/>
    <w:rsid w:val="006D778A"/>
    <w:rsid w:val="006E0166"/>
    <w:rsid w:val="006E770C"/>
    <w:rsid w:val="006E7B34"/>
    <w:rsid w:val="006F47A4"/>
    <w:rsid w:val="00701B24"/>
    <w:rsid w:val="00701C45"/>
    <w:rsid w:val="00702B27"/>
    <w:rsid w:val="007040CC"/>
    <w:rsid w:val="00704516"/>
    <w:rsid w:val="00704CA2"/>
    <w:rsid w:val="00704DDC"/>
    <w:rsid w:val="007053D1"/>
    <w:rsid w:val="00706868"/>
    <w:rsid w:val="007126AA"/>
    <w:rsid w:val="00712C81"/>
    <w:rsid w:val="00714124"/>
    <w:rsid w:val="00716DBF"/>
    <w:rsid w:val="007220A2"/>
    <w:rsid w:val="007232D2"/>
    <w:rsid w:val="00724A36"/>
    <w:rsid w:val="007303F6"/>
    <w:rsid w:val="0073235F"/>
    <w:rsid w:val="007329B5"/>
    <w:rsid w:val="00740BA9"/>
    <w:rsid w:val="0074248D"/>
    <w:rsid w:val="007424F7"/>
    <w:rsid w:val="00745899"/>
    <w:rsid w:val="00745C83"/>
    <w:rsid w:val="007514D4"/>
    <w:rsid w:val="00753F77"/>
    <w:rsid w:val="00753FB3"/>
    <w:rsid w:val="0075470E"/>
    <w:rsid w:val="007607C4"/>
    <w:rsid w:val="00760ED3"/>
    <w:rsid w:val="00762B8A"/>
    <w:rsid w:val="00763F00"/>
    <w:rsid w:val="0076643F"/>
    <w:rsid w:val="00766C24"/>
    <w:rsid w:val="00771B3A"/>
    <w:rsid w:val="00775A88"/>
    <w:rsid w:val="0078052D"/>
    <w:rsid w:val="00780FEB"/>
    <w:rsid w:val="00782E30"/>
    <w:rsid w:val="0078405B"/>
    <w:rsid w:val="00784795"/>
    <w:rsid w:val="0078563F"/>
    <w:rsid w:val="007862BF"/>
    <w:rsid w:val="00790473"/>
    <w:rsid w:val="007912C5"/>
    <w:rsid w:val="00791987"/>
    <w:rsid w:val="0079594F"/>
    <w:rsid w:val="007A02DC"/>
    <w:rsid w:val="007A23BB"/>
    <w:rsid w:val="007A2F70"/>
    <w:rsid w:val="007A5698"/>
    <w:rsid w:val="007A7918"/>
    <w:rsid w:val="007B4047"/>
    <w:rsid w:val="007B5674"/>
    <w:rsid w:val="007B57D7"/>
    <w:rsid w:val="007B7023"/>
    <w:rsid w:val="007C3334"/>
    <w:rsid w:val="007C52BB"/>
    <w:rsid w:val="007C6EBF"/>
    <w:rsid w:val="007C78FF"/>
    <w:rsid w:val="007D191E"/>
    <w:rsid w:val="007D2B98"/>
    <w:rsid w:val="007D4A99"/>
    <w:rsid w:val="007D75F5"/>
    <w:rsid w:val="007D7DC2"/>
    <w:rsid w:val="007E126E"/>
    <w:rsid w:val="007E76BF"/>
    <w:rsid w:val="007F4CDD"/>
    <w:rsid w:val="007F5D1D"/>
    <w:rsid w:val="00803F1C"/>
    <w:rsid w:val="0080600E"/>
    <w:rsid w:val="00806652"/>
    <w:rsid w:val="00807CE3"/>
    <w:rsid w:val="008110AD"/>
    <w:rsid w:val="00817612"/>
    <w:rsid w:val="008210A7"/>
    <w:rsid w:val="00822D91"/>
    <w:rsid w:val="00831D98"/>
    <w:rsid w:val="00832D9A"/>
    <w:rsid w:val="00832F1F"/>
    <w:rsid w:val="008335EA"/>
    <w:rsid w:val="00835E6D"/>
    <w:rsid w:val="00837C45"/>
    <w:rsid w:val="00840364"/>
    <w:rsid w:val="00842818"/>
    <w:rsid w:val="00844FA1"/>
    <w:rsid w:val="008454EC"/>
    <w:rsid w:val="00845538"/>
    <w:rsid w:val="00845E57"/>
    <w:rsid w:val="0084677C"/>
    <w:rsid w:val="00846CD1"/>
    <w:rsid w:val="00850323"/>
    <w:rsid w:val="00852B48"/>
    <w:rsid w:val="00853419"/>
    <w:rsid w:val="008556DF"/>
    <w:rsid w:val="00856796"/>
    <w:rsid w:val="00857279"/>
    <w:rsid w:val="008575B1"/>
    <w:rsid w:val="00860AF5"/>
    <w:rsid w:val="00861F9A"/>
    <w:rsid w:val="0086513A"/>
    <w:rsid w:val="00865FA5"/>
    <w:rsid w:val="00872C3F"/>
    <w:rsid w:val="00881E4C"/>
    <w:rsid w:val="008827CA"/>
    <w:rsid w:val="00884C0B"/>
    <w:rsid w:val="00887868"/>
    <w:rsid w:val="00895270"/>
    <w:rsid w:val="008957E9"/>
    <w:rsid w:val="008959ED"/>
    <w:rsid w:val="00895B0E"/>
    <w:rsid w:val="00897E12"/>
    <w:rsid w:val="008A7308"/>
    <w:rsid w:val="008B56FA"/>
    <w:rsid w:val="008D1F53"/>
    <w:rsid w:val="008D2F88"/>
    <w:rsid w:val="008D43BA"/>
    <w:rsid w:val="008D4CF3"/>
    <w:rsid w:val="008D6DD0"/>
    <w:rsid w:val="008E3759"/>
    <w:rsid w:val="008E443A"/>
    <w:rsid w:val="00901310"/>
    <w:rsid w:val="009041DC"/>
    <w:rsid w:val="00904DE3"/>
    <w:rsid w:val="00907161"/>
    <w:rsid w:val="009104B4"/>
    <w:rsid w:val="00911C79"/>
    <w:rsid w:val="009120E2"/>
    <w:rsid w:val="0091603E"/>
    <w:rsid w:val="00916828"/>
    <w:rsid w:val="00925A8E"/>
    <w:rsid w:val="00925FCD"/>
    <w:rsid w:val="00927C0B"/>
    <w:rsid w:val="0093441A"/>
    <w:rsid w:val="009362B4"/>
    <w:rsid w:val="0094200B"/>
    <w:rsid w:val="009458ED"/>
    <w:rsid w:val="009459A0"/>
    <w:rsid w:val="00950BC5"/>
    <w:rsid w:val="0095102D"/>
    <w:rsid w:val="0095368C"/>
    <w:rsid w:val="009538EF"/>
    <w:rsid w:val="00954BF7"/>
    <w:rsid w:val="009601A0"/>
    <w:rsid w:val="009611F8"/>
    <w:rsid w:val="00966854"/>
    <w:rsid w:val="0096706E"/>
    <w:rsid w:val="00970CBE"/>
    <w:rsid w:val="00971627"/>
    <w:rsid w:val="00971F1D"/>
    <w:rsid w:val="00972E1D"/>
    <w:rsid w:val="009747A8"/>
    <w:rsid w:val="00980090"/>
    <w:rsid w:val="00980F95"/>
    <w:rsid w:val="00981FBA"/>
    <w:rsid w:val="009838F4"/>
    <w:rsid w:val="00987C18"/>
    <w:rsid w:val="00996061"/>
    <w:rsid w:val="009A03E5"/>
    <w:rsid w:val="009A2BE3"/>
    <w:rsid w:val="009A531C"/>
    <w:rsid w:val="009B2EE7"/>
    <w:rsid w:val="009B381B"/>
    <w:rsid w:val="009C5154"/>
    <w:rsid w:val="009C5488"/>
    <w:rsid w:val="009C5504"/>
    <w:rsid w:val="009C5BFC"/>
    <w:rsid w:val="009C6C25"/>
    <w:rsid w:val="009D2207"/>
    <w:rsid w:val="009D30ED"/>
    <w:rsid w:val="009D4B0B"/>
    <w:rsid w:val="009D7611"/>
    <w:rsid w:val="009E1B96"/>
    <w:rsid w:val="009E1E6F"/>
    <w:rsid w:val="009E3743"/>
    <w:rsid w:val="009E3B81"/>
    <w:rsid w:val="009E43C1"/>
    <w:rsid w:val="009E53DE"/>
    <w:rsid w:val="009E6741"/>
    <w:rsid w:val="009E6B9C"/>
    <w:rsid w:val="009F2778"/>
    <w:rsid w:val="009F4BDE"/>
    <w:rsid w:val="009F7658"/>
    <w:rsid w:val="009F77DA"/>
    <w:rsid w:val="00A0151C"/>
    <w:rsid w:val="00A0509C"/>
    <w:rsid w:val="00A11513"/>
    <w:rsid w:val="00A11E86"/>
    <w:rsid w:val="00A30D05"/>
    <w:rsid w:val="00A32D05"/>
    <w:rsid w:val="00A34548"/>
    <w:rsid w:val="00A415F3"/>
    <w:rsid w:val="00A431EE"/>
    <w:rsid w:val="00A43220"/>
    <w:rsid w:val="00A43458"/>
    <w:rsid w:val="00A528D1"/>
    <w:rsid w:val="00A554C0"/>
    <w:rsid w:val="00A55AC2"/>
    <w:rsid w:val="00A618B6"/>
    <w:rsid w:val="00A628A3"/>
    <w:rsid w:val="00A659E4"/>
    <w:rsid w:val="00A6651B"/>
    <w:rsid w:val="00A66BE5"/>
    <w:rsid w:val="00A75EE5"/>
    <w:rsid w:val="00A76C1B"/>
    <w:rsid w:val="00A81165"/>
    <w:rsid w:val="00A83FAE"/>
    <w:rsid w:val="00A85CA3"/>
    <w:rsid w:val="00A87A17"/>
    <w:rsid w:val="00A925B5"/>
    <w:rsid w:val="00A97550"/>
    <w:rsid w:val="00AA2B28"/>
    <w:rsid w:val="00AA42D0"/>
    <w:rsid w:val="00AB0481"/>
    <w:rsid w:val="00AB127D"/>
    <w:rsid w:val="00AB2AD4"/>
    <w:rsid w:val="00AB3449"/>
    <w:rsid w:val="00AB69CB"/>
    <w:rsid w:val="00AC16E9"/>
    <w:rsid w:val="00AC18DB"/>
    <w:rsid w:val="00AC377F"/>
    <w:rsid w:val="00AC38E6"/>
    <w:rsid w:val="00AC65A1"/>
    <w:rsid w:val="00AC77E6"/>
    <w:rsid w:val="00AC7D32"/>
    <w:rsid w:val="00AD18C9"/>
    <w:rsid w:val="00AD37C1"/>
    <w:rsid w:val="00AD7317"/>
    <w:rsid w:val="00AE2FA3"/>
    <w:rsid w:val="00AE66EC"/>
    <w:rsid w:val="00AE6817"/>
    <w:rsid w:val="00AE6F91"/>
    <w:rsid w:val="00AE70A3"/>
    <w:rsid w:val="00AE7467"/>
    <w:rsid w:val="00AF1DDB"/>
    <w:rsid w:val="00AF2D08"/>
    <w:rsid w:val="00AF308A"/>
    <w:rsid w:val="00AF4963"/>
    <w:rsid w:val="00AF5571"/>
    <w:rsid w:val="00B01667"/>
    <w:rsid w:val="00B02839"/>
    <w:rsid w:val="00B03C15"/>
    <w:rsid w:val="00B05C5A"/>
    <w:rsid w:val="00B114CE"/>
    <w:rsid w:val="00B12B88"/>
    <w:rsid w:val="00B15307"/>
    <w:rsid w:val="00B16299"/>
    <w:rsid w:val="00B167E9"/>
    <w:rsid w:val="00B205C3"/>
    <w:rsid w:val="00B314DB"/>
    <w:rsid w:val="00B31EBE"/>
    <w:rsid w:val="00B3718B"/>
    <w:rsid w:val="00B37831"/>
    <w:rsid w:val="00B4304F"/>
    <w:rsid w:val="00B43659"/>
    <w:rsid w:val="00B4632A"/>
    <w:rsid w:val="00B51043"/>
    <w:rsid w:val="00B5174C"/>
    <w:rsid w:val="00B525B9"/>
    <w:rsid w:val="00B549BC"/>
    <w:rsid w:val="00B71189"/>
    <w:rsid w:val="00B712E9"/>
    <w:rsid w:val="00B81FB6"/>
    <w:rsid w:val="00B82318"/>
    <w:rsid w:val="00B83414"/>
    <w:rsid w:val="00B8649C"/>
    <w:rsid w:val="00B875FF"/>
    <w:rsid w:val="00B90024"/>
    <w:rsid w:val="00B90D18"/>
    <w:rsid w:val="00B90F45"/>
    <w:rsid w:val="00B91079"/>
    <w:rsid w:val="00BA0E9E"/>
    <w:rsid w:val="00BA276C"/>
    <w:rsid w:val="00BA4F4D"/>
    <w:rsid w:val="00BB19E7"/>
    <w:rsid w:val="00BB1EE4"/>
    <w:rsid w:val="00BB306F"/>
    <w:rsid w:val="00BB52A5"/>
    <w:rsid w:val="00BC5C0D"/>
    <w:rsid w:val="00BD01B4"/>
    <w:rsid w:val="00BD1EE2"/>
    <w:rsid w:val="00BD232B"/>
    <w:rsid w:val="00BD4B89"/>
    <w:rsid w:val="00BD5E0D"/>
    <w:rsid w:val="00BD779E"/>
    <w:rsid w:val="00BE22DF"/>
    <w:rsid w:val="00BE24DB"/>
    <w:rsid w:val="00BE2943"/>
    <w:rsid w:val="00BE331E"/>
    <w:rsid w:val="00BE3696"/>
    <w:rsid w:val="00BE79B7"/>
    <w:rsid w:val="00BF1908"/>
    <w:rsid w:val="00BF3050"/>
    <w:rsid w:val="00BF41F2"/>
    <w:rsid w:val="00BF4967"/>
    <w:rsid w:val="00BF5AA6"/>
    <w:rsid w:val="00BF5D64"/>
    <w:rsid w:val="00C01687"/>
    <w:rsid w:val="00C02B88"/>
    <w:rsid w:val="00C06863"/>
    <w:rsid w:val="00C17022"/>
    <w:rsid w:val="00C20519"/>
    <w:rsid w:val="00C21762"/>
    <w:rsid w:val="00C24543"/>
    <w:rsid w:val="00C24867"/>
    <w:rsid w:val="00C256A2"/>
    <w:rsid w:val="00C27B09"/>
    <w:rsid w:val="00C30A86"/>
    <w:rsid w:val="00C3492D"/>
    <w:rsid w:val="00C36DF0"/>
    <w:rsid w:val="00C43056"/>
    <w:rsid w:val="00C451FC"/>
    <w:rsid w:val="00C472BC"/>
    <w:rsid w:val="00C514EB"/>
    <w:rsid w:val="00C540FD"/>
    <w:rsid w:val="00C55560"/>
    <w:rsid w:val="00C55847"/>
    <w:rsid w:val="00C61BDA"/>
    <w:rsid w:val="00C6253C"/>
    <w:rsid w:val="00C65140"/>
    <w:rsid w:val="00C66B72"/>
    <w:rsid w:val="00C6780D"/>
    <w:rsid w:val="00C67911"/>
    <w:rsid w:val="00C804C1"/>
    <w:rsid w:val="00C8309A"/>
    <w:rsid w:val="00C8374E"/>
    <w:rsid w:val="00C84633"/>
    <w:rsid w:val="00C853E4"/>
    <w:rsid w:val="00C877FD"/>
    <w:rsid w:val="00C904E5"/>
    <w:rsid w:val="00C91C25"/>
    <w:rsid w:val="00C928B7"/>
    <w:rsid w:val="00C934A3"/>
    <w:rsid w:val="00C9567A"/>
    <w:rsid w:val="00C96256"/>
    <w:rsid w:val="00C963E4"/>
    <w:rsid w:val="00CB0140"/>
    <w:rsid w:val="00CB2660"/>
    <w:rsid w:val="00CB3154"/>
    <w:rsid w:val="00CB735B"/>
    <w:rsid w:val="00CC20DD"/>
    <w:rsid w:val="00CC27B3"/>
    <w:rsid w:val="00CC2D86"/>
    <w:rsid w:val="00CC321F"/>
    <w:rsid w:val="00CC5E90"/>
    <w:rsid w:val="00CD0281"/>
    <w:rsid w:val="00CD046C"/>
    <w:rsid w:val="00CD2658"/>
    <w:rsid w:val="00CD4F3F"/>
    <w:rsid w:val="00CE0328"/>
    <w:rsid w:val="00CE0B0E"/>
    <w:rsid w:val="00CE5199"/>
    <w:rsid w:val="00CE609B"/>
    <w:rsid w:val="00CE66D5"/>
    <w:rsid w:val="00CF0807"/>
    <w:rsid w:val="00CF09B6"/>
    <w:rsid w:val="00CF30D1"/>
    <w:rsid w:val="00CF4D9F"/>
    <w:rsid w:val="00CF76E7"/>
    <w:rsid w:val="00D00B64"/>
    <w:rsid w:val="00D00EF0"/>
    <w:rsid w:val="00D03984"/>
    <w:rsid w:val="00D03DC6"/>
    <w:rsid w:val="00D06362"/>
    <w:rsid w:val="00D064A8"/>
    <w:rsid w:val="00D06577"/>
    <w:rsid w:val="00D06A3E"/>
    <w:rsid w:val="00D07D0C"/>
    <w:rsid w:val="00D122E6"/>
    <w:rsid w:val="00D12C47"/>
    <w:rsid w:val="00D24404"/>
    <w:rsid w:val="00D26FBC"/>
    <w:rsid w:val="00D27B0A"/>
    <w:rsid w:val="00D321AE"/>
    <w:rsid w:val="00D33C9F"/>
    <w:rsid w:val="00D33D7C"/>
    <w:rsid w:val="00D34786"/>
    <w:rsid w:val="00D35191"/>
    <w:rsid w:val="00D40A1E"/>
    <w:rsid w:val="00D53348"/>
    <w:rsid w:val="00D5372C"/>
    <w:rsid w:val="00D544EB"/>
    <w:rsid w:val="00D55668"/>
    <w:rsid w:val="00D637D7"/>
    <w:rsid w:val="00D664F0"/>
    <w:rsid w:val="00D6718C"/>
    <w:rsid w:val="00D67B2A"/>
    <w:rsid w:val="00D712D3"/>
    <w:rsid w:val="00D71422"/>
    <w:rsid w:val="00D7145E"/>
    <w:rsid w:val="00D7558D"/>
    <w:rsid w:val="00D76740"/>
    <w:rsid w:val="00D76961"/>
    <w:rsid w:val="00D81D92"/>
    <w:rsid w:val="00D82DDF"/>
    <w:rsid w:val="00D83C3C"/>
    <w:rsid w:val="00D93446"/>
    <w:rsid w:val="00D94762"/>
    <w:rsid w:val="00D97E6E"/>
    <w:rsid w:val="00DA52D7"/>
    <w:rsid w:val="00DA536C"/>
    <w:rsid w:val="00DA7B5F"/>
    <w:rsid w:val="00DB0A75"/>
    <w:rsid w:val="00DB11DC"/>
    <w:rsid w:val="00DB190A"/>
    <w:rsid w:val="00DB2BB5"/>
    <w:rsid w:val="00DB4547"/>
    <w:rsid w:val="00DB47CF"/>
    <w:rsid w:val="00DC1A37"/>
    <w:rsid w:val="00DC39D9"/>
    <w:rsid w:val="00DC66B1"/>
    <w:rsid w:val="00DC6B41"/>
    <w:rsid w:val="00DD0419"/>
    <w:rsid w:val="00DD05D9"/>
    <w:rsid w:val="00DD0CF5"/>
    <w:rsid w:val="00DD6D4A"/>
    <w:rsid w:val="00DE279D"/>
    <w:rsid w:val="00DE4FCA"/>
    <w:rsid w:val="00DF0C3D"/>
    <w:rsid w:val="00DF2989"/>
    <w:rsid w:val="00DF2C14"/>
    <w:rsid w:val="00DF2CAF"/>
    <w:rsid w:val="00E0033E"/>
    <w:rsid w:val="00E12321"/>
    <w:rsid w:val="00E13839"/>
    <w:rsid w:val="00E1683A"/>
    <w:rsid w:val="00E202B7"/>
    <w:rsid w:val="00E25222"/>
    <w:rsid w:val="00E257DD"/>
    <w:rsid w:val="00E312E9"/>
    <w:rsid w:val="00E31EA8"/>
    <w:rsid w:val="00E375D2"/>
    <w:rsid w:val="00E41A6A"/>
    <w:rsid w:val="00E43157"/>
    <w:rsid w:val="00E44E17"/>
    <w:rsid w:val="00E45C37"/>
    <w:rsid w:val="00E533FF"/>
    <w:rsid w:val="00E6080B"/>
    <w:rsid w:val="00E66E5F"/>
    <w:rsid w:val="00E709B3"/>
    <w:rsid w:val="00E70BF8"/>
    <w:rsid w:val="00E73A3C"/>
    <w:rsid w:val="00E8294B"/>
    <w:rsid w:val="00E82D3C"/>
    <w:rsid w:val="00E84EE2"/>
    <w:rsid w:val="00E85487"/>
    <w:rsid w:val="00E85E4E"/>
    <w:rsid w:val="00E86944"/>
    <w:rsid w:val="00E87282"/>
    <w:rsid w:val="00E8789F"/>
    <w:rsid w:val="00E9226A"/>
    <w:rsid w:val="00E933D5"/>
    <w:rsid w:val="00E93B20"/>
    <w:rsid w:val="00E955E2"/>
    <w:rsid w:val="00E97B71"/>
    <w:rsid w:val="00EA238C"/>
    <w:rsid w:val="00EA3844"/>
    <w:rsid w:val="00EA4D95"/>
    <w:rsid w:val="00EB3CEF"/>
    <w:rsid w:val="00EB454D"/>
    <w:rsid w:val="00EC493E"/>
    <w:rsid w:val="00EC69E2"/>
    <w:rsid w:val="00ED2ACF"/>
    <w:rsid w:val="00ED7D30"/>
    <w:rsid w:val="00ED7D56"/>
    <w:rsid w:val="00EE1B57"/>
    <w:rsid w:val="00EE3522"/>
    <w:rsid w:val="00EE4B2E"/>
    <w:rsid w:val="00EE4B32"/>
    <w:rsid w:val="00EE6FD2"/>
    <w:rsid w:val="00EE749A"/>
    <w:rsid w:val="00EF48C9"/>
    <w:rsid w:val="00EF619B"/>
    <w:rsid w:val="00EF776F"/>
    <w:rsid w:val="00EF79AB"/>
    <w:rsid w:val="00F00B55"/>
    <w:rsid w:val="00F00BA7"/>
    <w:rsid w:val="00F033A4"/>
    <w:rsid w:val="00F05227"/>
    <w:rsid w:val="00F069FF"/>
    <w:rsid w:val="00F1380F"/>
    <w:rsid w:val="00F14F0E"/>
    <w:rsid w:val="00F16ACB"/>
    <w:rsid w:val="00F17934"/>
    <w:rsid w:val="00F2049C"/>
    <w:rsid w:val="00F20827"/>
    <w:rsid w:val="00F216E5"/>
    <w:rsid w:val="00F22563"/>
    <w:rsid w:val="00F24C29"/>
    <w:rsid w:val="00F253CC"/>
    <w:rsid w:val="00F366A2"/>
    <w:rsid w:val="00F372AB"/>
    <w:rsid w:val="00F42BCB"/>
    <w:rsid w:val="00F44CBB"/>
    <w:rsid w:val="00F4551D"/>
    <w:rsid w:val="00F458C2"/>
    <w:rsid w:val="00F47498"/>
    <w:rsid w:val="00F501E2"/>
    <w:rsid w:val="00F5093F"/>
    <w:rsid w:val="00F51611"/>
    <w:rsid w:val="00F55008"/>
    <w:rsid w:val="00F56BA5"/>
    <w:rsid w:val="00F57671"/>
    <w:rsid w:val="00F60110"/>
    <w:rsid w:val="00F608AD"/>
    <w:rsid w:val="00F644E6"/>
    <w:rsid w:val="00F64AEC"/>
    <w:rsid w:val="00F72EE7"/>
    <w:rsid w:val="00F73031"/>
    <w:rsid w:val="00F75742"/>
    <w:rsid w:val="00F7732C"/>
    <w:rsid w:val="00F804C2"/>
    <w:rsid w:val="00F865E2"/>
    <w:rsid w:val="00F9031B"/>
    <w:rsid w:val="00F90B2D"/>
    <w:rsid w:val="00F9653B"/>
    <w:rsid w:val="00F969DE"/>
    <w:rsid w:val="00FA07EB"/>
    <w:rsid w:val="00FA2377"/>
    <w:rsid w:val="00FA5BB3"/>
    <w:rsid w:val="00FB62CF"/>
    <w:rsid w:val="00FC14A3"/>
    <w:rsid w:val="00FC1631"/>
    <w:rsid w:val="00FC2124"/>
    <w:rsid w:val="00FC3EB4"/>
    <w:rsid w:val="00FC6BE8"/>
    <w:rsid w:val="00FC6C58"/>
    <w:rsid w:val="00FE0E23"/>
    <w:rsid w:val="00FE6B45"/>
    <w:rsid w:val="00FF453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808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6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61A4E"/>
    <w:pPr>
      <w:keepNext/>
      <w:keepLines/>
      <w:numPr>
        <w:numId w:val="63"/>
      </w:numPr>
      <w:ind w:left="1440" w:hanging="720"/>
      <w:outlineLvl w:val="2"/>
    </w:pPr>
    <w:rPr>
      <w:rFonts w:ascii="Cambria" w:eastAsia="Times New Roman" w:hAnsi="Cambria"/>
      <w:b/>
      <w:bCs/>
      <w:sz w:val="20"/>
      <w:lang w:val="es-ES"/>
    </w:rPr>
  </w:style>
  <w:style w:type="paragraph" w:styleId="Heading4">
    <w:name w:val="heading 4"/>
    <w:basedOn w:val="Normal"/>
    <w:next w:val="Normal"/>
    <w:link w:val="Heading4Char"/>
    <w:uiPriority w:val="9"/>
    <w:unhideWhenUsed/>
    <w:qFormat/>
    <w:rsid w:val="00AC18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216E5"/>
    <w:pPr>
      <w:tabs>
        <w:tab w:val="left" w:pos="720"/>
        <w:tab w:val="left" w:pos="1080"/>
        <w:tab w:val="right" w:leader="dot" w:pos="9350"/>
      </w:tabs>
      <w:spacing w:after="100"/>
      <w:ind w:left="720" w:hanging="360"/>
    </w:pPr>
  </w:style>
  <w:style w:type="paragraph" w:styleId="TOC1">
    <w:name w:val="toc 1"/>
    <w:basedOn w:val="Normal"/>
    <w:next w:val="Normal"/>
    <w:autoRedefine/>
    <w:uiPriority w:val="39"/>
    <w:unhideWhenUsed/>
    <w:rsid w:val="006801B2"/>
    <w:pPr>
      <w:tabs>
        <w:tab w:val="left" w:pos="720"/>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1061FC"/>
    <w:rPr>
      <w:rFonts w:asciiTheme="majorHAnsi" w:eastAsiaTheme="majorEastAsia" w:hAnsiTheme="majorHAnsi" w:cstheme="majorBidi"/>
      <w:b/>
      <w:bCs/>
      <w:color w:val="4F81BD" w:themeColor="accent1"/>
      <w:sz w:val="26"/>
      <w:szCs w:val="26"/>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1061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1061FC"/>
    <w:rPr>
      <w:rFonts w:ascii="Cambria" w:eastAsia="Cambria" w:hAnsi="Cambria" w:cs="Cambria"/>
      <w:color w:val="000000"/>
      <w:sz w:val="24"/>
      <w:szCs w:val="24"/>
      <w:u w:color="000000"/>
      <w:lang w:val="en-US"/>
    </w:rPr>
  </w:style>
  <w:style w:type="paragraph" w:customStyle="1" w:styleId="parrafos">
    <w:name w:val="parrafos"/>
    <w:basedOn w:val="Normal"/>
    <w:link w:val="parrafosChar"/>
    <w:qFormat/>
    <w:rsid w:val="001061FC"/>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pPr>
    <w:rPr>
      <w:rFonts w:asciiTheme="majorHAnsi" w:hAnsiTheme="majorHAnsi"/>
      <w:color w:val="000000" w:themeColor="text1"/>
      <w:sz w:val="20"/>
      <w:szCs w:val="20"/>
    </w:rPr>
  </w:style>
  <w:style w:type="paragraph" w:customStyle="1" w:styleId="citas">
    <w:name w:val="citas"/>
    <w:basedOn w:val="ListParagraph"/>
    <w:link w:val="citasChar"/>
    <w:qFormat/>
    <w:rsid w:val="001061FC"/>
    <w:pPr>
      <w:ind w:left="360" w:right="360"/>
      <w:jc w:val="both"/>
    </w:pPr>
    <w:rPr>
      <w:sz w:val="18"/>
    </w:rPr>
  </w:style>
  <w:style w:type="character" w:customStyle="1" w:styleId="parrafosChar">
    <w:name w:val="parrafos Char"/>
    <w:basedOn w:val="DefaultParagraphFont"/>
    <w:link w:val="parrafos"/>
    <w:rsid w:val="001061FC"/>
    <w:rPr>
      <w:rFonts w:asciiTheme="majorHAnsi" w:hAnsiTheme="majorHAnsi"/>
      <w:color w:val="000000" w:themeColor="text1"/>
      <w:lang w:val="en-US" w:eastAsia="en-US"/>
    </w:rPr>
  </w:style>
  <w:style w:type="character" w:customStyle="1" w:styleId="citasChar">
    <w:name w:val="citas Char"/>
    <w:basedOn w:val="ListParagraphChar"/>
    <w:link w:val="citas"/>
    <w:rsid w:val="001061FC"/>
    <w:rPr>
      <w:rFonts w:ascii="Cambria" w:eastAsia="Cambria" w:hAnsi="Cambria" w:cs="Cambria"/>
      <w:color w:val="000000"/>
      <w:sz w:val="18"/>
      <w:szCs w:val="24"/>
      <w:u w:color="000000"/>
      <w:lang w:val="en-US"/>
    </w:rPr>
  </w:style>
  <w:style w:type="character" w:customStyle="1" w:styleId="BodyTextIndentChar">
    <w:name w:val="Body Text Indent Char"/>
    <w:basedOn w:val="DefaultParagraphFont"/>
    <w:link w:val="BodyTextIndent"/>
    <w:rsid w:val="00CC27B3"/>
    <w:rPr>
      <w:rFonts w:eastAsia="Times New Roman"/>
      <w:color w:val="000000"/>
      <w:sz w:val="24"/>
      <w:szCs w:val="24"/>
      <w:u w:color="000000"/>
      <w:lang w:val="es-ES_tradnl"/>
    </w:rPr>
  </w:style>
  <w:style w:type="table" w:styleId="TableGrid">
    <w:name w:val="Table Grid"/>
    <w:basedOn w:val="TableNormal"/>
    <w:uiPriority w:val="59"/>
    <w:rsid w:val="00CC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E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rsid w:val="00561A4E"/>
    <w:rPr>
      <w:rFonts w:ascii="Cambria" w:eastAsia="Times New Roman" w:hAnsi="Cambria"/>
      <w:b/>
      <w:bCs/>
      <w:szCs w:val="24"/>
      <w:lang w:eastAsia="en-US"/>
    </w:rPr>
  </w:style>
  <w:style w:type="paragraph" w:styleId="NoSpacing">
    <w:name w:val="No Spacing"/>
    <w:uiPriority w:val="1"/>
    <w:qFormat/>
    <w:rsid w:val="00561A4E"/>
    <w:pPr>
      <w:ind w:firstLine="634"/>
      <w:jc w:val="both"/>
    </w:pPr>
    <w:rPr>
      <w:rFonts w:ascii="Cambria" w:eastAsia="Cambria" w:hAnsi="Cambria" w:cs="Cambria"/>
      <w:color w:val="000000"/>
      <w:u w:color="000000"/>
      <w:lang w:val="es-ES_tradnl" w:eastAsia="es-CL"/>
    </w:rPr>
  </w:style>
  <w:style w:type="character" w:customStyle="1" w:styleId="apple-style-span">
    <w:name w:val="apple-style-span"/>
    <w:basedOn w:val="DefaultParagraphFont"/>
    <w:uiPriority w:val="99"/>
    <w:rsid w:val="00901310"/>
    <w:rPr>
      <w:rFonts w:cs="Times New Roman"/>
    </w:rPr>
  </w:style>
  <w:style w:type="character" w:styleId="CommentReference">
    <w:name w:val="annotation reference"/>
    <w:basedOn w:val="DefaultParagraphFont"/>
    <w:uiPriority w:val="99"/>
    <w:semiHidden/>
    <w:unhideWhenUsed/>
    <w:rsid w:val="00B15307"/>
    <w:rPr>
      <w:sz w:val="16"/>
      <w:szCs w:val="16"/>
    </w:rPr>
  </w:style>
  <w:style w:type="paragraph" w:styleId="CommentText">
    <w:name w:val="annotation text"/>
    <w:basedOn w:val="Normal"/>
    <w:link w:val="CommentTextChar"/>
    <w:uiPriority w:val="99"/>
    <w:semiHidden/>
    <w:unhideWhenUsed/>
    <w:rsid w:val="00B15307"/>
    <w:rPr>
      <w:sz w:val="20"/>
      <w:szCs w:val="20"/>
    </w:rPr>
  </w:style>
  <w:style w:type="character" w:customStyle="1" w:styleId="CommentTextChar">
    <w:name w:val="Comment Text Char"/>
    <w:basedOn w:val="DefaultParagraphFont"/>
    <w:link w:val="CommentText"/>
    <w:uiPriority w:val="99"/>
    <w:semiHidden/>
    <w:rsid w:val="00B15307"/>
    <w:rPr>
      <w:lang w:val="en-US" w:eastAsia="en-US"/>
    </w:rPr>
  </w:style>
  <w:style w:type="paragraph" w:styleId="CommentSubject">
    <w:name w:val="annotation subject"/>
    <w:basedOn w:val="CommentText"/>
    <w:next w:val="CommentText"/>
    <w:link w:val="CommentSubjectChar"/>
    <w:uiPriority w:val="99"/>
    <w:semiHidden/>
    <w:unhideWhenUsed/>
    <w:rsid w:val="00B15307"/>
    <w:rPr>
      <w:b/>
      <w:bCs/>
    </w:rPr>
  </w:style>
  <w:style w:type="character" w:customStyle="1" w:styleId="CommentSubjectChar">
    <w:name w:val="Comment Subject Char"/>
    <w:basedOn w:val="CommentTextChar"/>
    <w:link w:val="CommentSubject"/>
    <w:uiPriority w:val="99"/>
    <w:semiHidden/>
    <w:rsid w:val="00B15307"/>
    <w:rPr>
      <w:b/>
      <w:bCs/>
      <w:lang w:val="en-US" w:eastAsia="en-US"/>
    </w:rPr>
  </w:style>
  <w:style w:type="paragraph" w:styleId="TOCHeading">
    <w:name w:val="TOC Heading"/>
    <w:basedOn w:val="Heading1"/>
    <w:next w:val="Normal"/>
    <w:uiPriority w:val="39"/>
    <w:unhideWhenUsed/>
    <w:qFormat/>
    <w:rsid w:val="00BF49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Heading4Char">
    <w:name w:val="Heading 4 Char"/>
    <w:basedOn w:val="DefaultParagraphFont"/>
    <w:link w:val="Heading4"/>
    <w:uiPriority w:val="9"/>
    <w:rsid w:val="00AC18DB"/>
    <w:rPr>
      <w:rFonts w:asciiTheme="majorHAnsi" w:eastAsiaTheme="majorEastAsia" w:hAnsiTheme="majorHAnsi" w:cstheme="majorBidi"/>
      <w:b/>
      <w:bCs/>
      <w:i/>
      <w:iCs/>
      <w:color w:val="4F81BD" w:themeColor="accent1"/>
      <w:sz w:val="24"/>
      <w:szCs w:val="24"/>
      <w:lang w:val="en-US" w:eastAsia="en-US"/>
    </w:rPr>
  </w:style>
  <w:style w:type="paragraph" w:customStyle="1" w:styleId="Default">
    <w:name w:val="Default"/>
    <w:rsid w:val="006C4A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n-US"/>
    </w:rPr>
  </w:style>
  <w:style w:type="character" w:customStyle="1" w:styleId="hgkelc">
    <w:name w:val="hgkelc"/>
    <w:basedOn w:val="DefaultParagraphFont"/>
    <w:rsid w:val="00F2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bar.org/groups/committees/death_penalty_representation/project_press/2020/spring/florida-supreme-court-state-v-poo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A148-2AF5-F44C-AF74-4A4D8A6C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9378</Words>
  <Characters>53455</Characters>
  <Application>Microsoft Office Word</Application>
  <DocSecurity>0</DocSecurity>
  <Lines>445</Lines>
  <Paragraphs>125</Paragraphs>
  <ScaleCrop>false</ScaleCrop>
  <Company/>
  <LinksUpToDate>false</LinksUpToDate>
  <CharactersWithSpaces>62708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2021-04-13T19:19:00Z</dcterms:created>
  <dcterms:modified xsi:type="dcterms:W3CDTF">2021-04-13T19:19:00Z</dcterms:modified>
</cp:coreProperties>
</file>