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9ADC" w14:textId="77777777" w:rsidR="008A215A" w:rsidRPr="00B24A3C" w:rsidRDefault="008A215A" w:rsidP="008A215A">
      <w:pPr>
        <w:tabs>
          <w:tab w:val="center" w:pos="5400"/>
        </w:tabs>
        <w:suppressAutoHyphens/>
        <w:spacing w:after="0" w:line="240" w:lineRule="auto"/>
        <w:jc w:val="center"/>
        <w:rPr>
          <w:rFonts w:ascii="Cambria" w:hAnsi="Cambria"/>
          <w:b/>
          <w:bCs/>
          <w:sz w:val="18"/>
          <w:szCs w:val="18"/>
        </w:rPr>
      </w:pPr>
      <w:r w:rsidRPr="00B24A3C">
        <w:rPr>
          <w:rFonts w:ascii="Cambria" w:hAnsi="Cambria"/>
          <w:b/>
          <w:noProof/>
          <w:sz w:val="18"/>
          <w:szCs w:val="18"/>
          <w:lang w:val="es-ES" w:eastAsia="es-ES"/>
        </w:rPr>
        <w:drawing>
          <wp:anchor distT="0" distB="0" distL="114300" distR="114300" simplePos="0" relativeHeight="251665408" behindDoc="0" locked="0" layoutInCell="1" allowOverlap="1" wp14:anchorId="22C642A6" wp14:editId="2AF7A1CA">
            <wp:simplePos x="0" y="0"/>
            <wp:positionH relativeFrom="margin">
              <wp:posOffset>1148715</wp:posOffset>
            </wp:positionH>
            <wp:positionV relativeFrom="margin">
              <wp:posOffset>-267335</wp:posOffset>
            </wp:positionV>
            <wp:extent cx="2519045" cy="483235"/>
            <wp:effectExtent l="0" t="0" r="0" b="0"/>
            <wp:wrapSquare wrapText="bothSides"/>
            <wp:docPr id="17" name="Picture 1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pic:spPr>
                </pic:pic>
              </a:graphicData>
            </a:graphic>
            <wp14:sizeRelH relativeFrom="page">
              <wp14:pctWidth>0</wp14:pctWidth>
            </wp14:sizeRelH>
            <wp14:sizeRelV relativeFrom="page">
              <wp14:pctHeight>0</wp14:pctHeight>
            </wp14:sizeRelV>
          </wp:anchor>
        </w:drawing>
      </w:r>
      <w:r w:rsidRPr="00B24A3C">
        <w:rPr>
          <w:rFonts w:ascii="Cambria" w:hAnsi="Cambria"/>
          <w:b/>
          <w:noProof/>
          <w:sz w:val="18"/>
          <w:szCs w:val="18"/>
          <w:lang w:val="es-ES" w:eastAsia="es-ES"/>
        </w:rPr>
        <mc:AlternateContent>
          <mc:Choice Requires="wps">
            <w:drawing>
              <wp:anchor distT="0" distB="0" distL="114300" distR="114300" simplePos="0" relativeHeight="251663360" behindDoc="0" locked="0" layoutInCell="1" allowOverlap="1" wp14:anchorId="79068C4C" wp14:editId="0B4133DD">
                <wp:simplePos x="0" y="0"/>
                <wp:positionH relativeFrom="column">
                  <wp:posOffset>-644525</wp:posOffset>
                </wp:positionH>
                <wp:positionV relativeFrom="paragraph">
                  <wp:posOffset>-382270</wp:posOffset>
                </wp:positionV>
                <wp:extent cx="1409700" cy="8977630"/>
                <wp:effectExtent l="0" t="0" r="1270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txbx>
                        <w:txbxContent>
                          <w:p w14:paraId="6A871E2A" w14:textId="77777777" w:rsidR="00165AF7" w:rsidRDefault="00165AF7" w:rsidP="008A21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68C4C" id="Rectangle 16" o:spid="_x0000_s1026" style="position:absolute;left:0;text-align:left;margin-left:-50.75pt;margin-top:-30.1pt;width:111pt;height:70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" fillcolor="#67ae3c" stroked="f" strokeweight="2pt">
                <v:textbox>
                  <w:txbxContent>
                    <w:p w14:paraId="6A871E2A" w14:textId="77777777" w:rsidR="00165AF7" w:rsidRDefault="00165AF7" w:rsidP="008A215A"/>
                  </w:txbxContent>
                </v:textbox>
              </v:rect>
            </w:pict>
          </mc:Fallback>
        </mc:AlternateContent>
      </w:r>
    </w:p>
    <w:p w14:paraId="6822BAE6"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1768F8D3"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311E8661"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7B15F4E7" w14:textId="1C9EAEE3"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14612E91"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6F4432D6"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265F247E"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2B07CD37"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65588FD8"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11933BA5"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5863EB2D"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0C420D12" w14:textId="1C7ABBA3" w:rsidR="008A215A" w:rsidRPr="00B24A3C" w:rsidRDefault="00FD77E1" w:rsidP="008A215A">
      <w:pPr>
        <w:tabs>
          <w:tab w:val="center" w:pos="5400"/>
        </w:tabs>
        <w:suppressAutoHyphens/>
        <w:spacing w:after="0" w:line="240" w:lineRule="auto"/>
        <w:jc w:val="center"/>
        <w:rPr>
          <w:rFonts w:ascii="Cambria" w:hAnsi="Cambria"/>
          <w:b/>
          <w:sz w:val="18"/>
          <w:szCs w:val="18"/>
        </w:rPr>
      </w:pPr>
      <w:r w:rsidRPr="00B24A3C">
        <w:rPr>
          <w:rFonts w:ascii="Cambria" w:hAnsi="Cambria"/>
          <w:b/>
          <w:noProof/>
          <w:sz w:val="18"/>
          <w:szCs w:val="18"/>
          <w:lang w:val="es-ES" w:eastAsia="es-ES"/>
        </w:rPr>
        <mc:AlternateContent>
          <mc:Choice Requires="wps">
            <w:drawing>
              <wp:anchor distT="0" distB="0" distL="114300" distR="114300" simplePos="0" relativeHeight="251659264" behindDoc="0" locked="0" layoutInCell="1" allowOverlap="1" wp14:anchorId="5F6F64E6" wp14:editId="669EFCEE">
                <wp:simplePos x="0" y="0"/>
                <wp:positionH relativeFrom="column">
                  <wp:posOffset>1123315</wp:posOffset>
                </wp:positionH>
                <wp:positionV relativeFrom="paragraph">
                  <wp:posOffset>96825</wp:posOffset>
                </wp:positionV>
                <wp:extent cx="4441190" cy="21812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3B4ABAFE" w14:textId="7E9FAC14" w:rsidR="00165AF7" w:rsidRPr="00F37DF7" w:rsidRDefault="00165AF7" w:rsidP="001B6FEB">
                            <w:pPr>
                              <w:spacing w:after="0"/>
                              <w:rPr>
                                <w:rFonts w:ascii="Cambria" w:hAnsi="Cambria" w:cs="Arial"/>
                                <w:b/>
                                <w:bCs/>
                                <w:color w:val="0D0D0D"/>
                                <w:sz w:val="36"/>
                              </w:rPr>
                            </w:pPr>
                            <w:r w:rsidRPr="00F37DF7">
                              <w:rPr>
                                <w:rFonts w:ascii="Cambria" w:hAnsi="Cambria" w:cs="Arial"/>
                                <w:b/>
                                <w:bCs/>
                                <w:color w:val="0D0D0D"/>
                                <w:sz w:val="36"/>
                              </w:rPr>
                              <w:t xml:space="preserve">REPORT </w:t>
                            </w:r>
                            <w:r w:rsidRPr="00F37DF7">
                              <w:rPr>
                                <w:rFonts w:ascii="Cambria" w:hAnsi="Cambria" w:cs="Arial"/>
                                <w:b/>
                                <w:bCs/>
                                <w:color w:val="0D0D0D"/>
                                <w:sz w:val="36"/>
                                <w:szCs w:val="40"/>
                              </w:rPr>
                              <w:t>No.</w:t>
                            </w:r>
                            <w:r w:rsidRPr="00F37DF7">
                              <w:rPr>
                                <w:rFonts w:ascii="Cambria" w:hAnsi="Cambria" w:cs="Arial"/>
                                <w:b/>
                                <w:bCs/>
                                <w:color w:val="0D0D0D"/>
                                <w:sz w:val="36"/>
                              </w:rPr>
                              <w:t xml:space="preserve"> </w:t>
                            </w:r>
                            <w:r w:rsidR="00D7012D">
                              <w:rPr>
                                <w:rFonts w:ascii="Cambria" w:hAnsi="Cambria" w:cs="Arial"/>
                                <w:b/>
                                <w:bCs/>
                                <w:color w:val="0D0D0D"/>
                                <w:sz w:val="36"/>
                              </w:rPr>
                              <w:t>268</w:t>
                            </w:r>
                            <w:r w:rsidRPr="00F37DF7">
                              <w:rPr>
                                <w:rFonts w:ascii="Cambria" w:hAnsi="Cambria" w:cs="Arial"/>
                                <w:b/>
                                <w:bCs/>
                                <w:color w:val="0D0D0D"/>
                                <w:sz w:val="36"/>
                              </w:rPr>
                              <w:t>/</w:t>
                            </w:r>
                            <w:r w:rsidR="00850B52">
                              <w:rPr>
                                <w:rFonts w:ascii="Cambria" w:hAnsi="Cambria" w:cs="Arial"/>
                                <w:b/>
                                <w:bCs/>
                                <w:color w:val="0D0D0D"/>
                                <w:sz w:val="36"/>
                              </w:rPr>
                              <w:t>21</w:t>
                            </w:r>
                          </w:p>
                          <w:p w14:paraId="3CF471FF" w14:textId="77777777" w:rsidR="00165AF7" w:rsidRPr="00F37DF7" w:rsidRDefault="00165AF7" w:rsidP="001B6FEB">
                            <w:pPr>
                              <w:spacing w:after="0"/>
                              <w:rPr>
                                <w:rFonts w:ascii="Cambria" w:hAnsi="Cambria" w:cs="Arial"/>
                                <w:b/>
                                <w:color w:val="0D0D0D"/>
                                <w:sz w:val="36"/>
                              </w:rPr>
                            </w:pPr>
                            <w:r w:rsidRPr="00F37DF7">
                              <w:rPr>
                                <w:rFonts w:ascii="Cambria" w:hAnsi="Cambria" w:cs="Arial"/>
                                <w:b/>
                                <w:color w:val="0D0D0D"/>
                                <w:sz w:val="36"/>
                              </w:rPr>
                              <w:t>CASE 12.681</w:t>
                            </w:r>
                          </w:p>
                          <w:p w14:paraId="08C627AB" w14:textId="6AE78567" w:rsidR="00165AF7" w:rsidRPr="001B6FEB" w:rsidRDefault="00165AF7" w:rsidP="001B6FEB">
                            <w:pPr>
                              <w:spacing w:after="0"/>
                              <w:rPr>
                                <w:rFonts w:ascii="Cambria" w:hAnsi="Cambria" w:cs="Arial"/>
                                <w:color w:val="0D0D0D"/>
                                <w:sz w:val="24"/>
                                <w:szCs w:val="24"/>
                              </w:rPr>
                            </w:pPr>
                            <w:r w:rsidRPr="001B6FEB">
                              <w:rPr>
                                <w:rFonts w:ascii="Cambria" w:hAnsi="Cambria" w:cs="Arial"/>
                                <w:color w:val="0D0D0D"/>
                                <w:sz w:val="24"/>
                                <w:szCs w:val="24"/>
                              </w:rPr>
                              <w:t xml:space="preserve">MERITS </w:t>
                            </w:r>
                            <w:bookmarkStart w:id="0" w:name="_ftnref1"/>
                            <w:r w:rsidR="00FD77E1" w:rsidRPr="001B6FEB">
                              <w:rPr>
                                <w:rFonts w:ascii="Cambria" w:hAnsi="Cambria" w:cs="Arial"/>
                                <w:color w:val="0D0D0D"/>
                                <w:sz w:val="24"/>
                                <w:szCs w:val="24"/>
                              </w:rPr>
                              <w:t>(</w:t>
                            </w:r>
                            <w:r w:rsidR="00850B52" w:rsidRPr="001B6FEB">
                              <w:rPr>
                                <w:rFonts w:ascii="Cambria" w:hAnsi="Cambria" w:cs="Arial"/>
                                <w:color w:val="0D0D0D"/>
                                <w:sz w:val="24"/>
                                <w:szCs w:val="24"/>
                              </w:rPr>
                              <w:t>PUBLICATION</w:t>
                            </w:r>
                            <w:r w:rsidR="00FD77E1" w:rsidRPr="001B6FEB">
                              <w:rPr>
                                <w:rFonts w:ascii="Cambria" w:hAnsi="Cambria" w:cs="Arial"/>
                                <w:color w:val="0D0D0D"/>
                                <w:sz w:val="24"/>
                                <w:szCs w:val="24"/>
                              </w:rPr>
                              <w:t>)</w:t>
                            </w:r>
                          </w:p>
                          <w:bookmarkEnd w:id="0"/>
                          <w:p w14:paraId="20D375A1" w14:textId="77777777" w:rsidR="001B6FEB" w:rsidRPr="001B6FEB" w:rsidRDefault="001B6FEB" w:rsidP="001B6FEB">
                            <w:pPr>
                              <w:spacing w:after="0" w:line="240" w:lineRule="auto"/>
                              <w:jc w:val="both"/>
                              <w:rPr>
                                <w:rFonts w:ascii="Cambria" w:hAnsi="Cambria" w:cs="Arial"/>
                                <w:color w:val="0D0D0D"/>
                                <w:sz w:val="24"/>
                                <w:szCs w:val="24"/>
                                <w:lang w:val="es-CO"/>
                              </w:rPr>
                            </w:pPr>
                          </w:p>
                          <w:p w14:paraId="34EC9168" w14:textId="52ABB88A" w:rsidR="00165AF7" w:rsidRPr="001B6FEB" w:rsidRDefault="00165AF7" w:rsidP="001B6FEB">
                            <w:pPr>
                              <w:spacing w:after="0" w:line="240" w:lineRule="auto"/>
                              <w:jc w:val="both"/>
                              <w:rPr>
                                <w:rFonts w:ascii="Cambria" w:hAnsi="Cambria" w:cs="Arial"/>
                                <w:color w:val="0D0D0D"/>
                                <w:sz w:val="24"/>
                                <w:szCs w:val="24"/>
                                <w:lang w:val="es-CO"/>
                              </w:rPr>
                            </w:pPr>
                            <w:r w:rsidRPr="001B6FEB">
                              <w:rPr>
                                <w:rFonts w:ascii="Cambria" w:hAnsi="Cambria" w:cs="Arial"/>
                                <w:color w:val="0D0D0D"/>
                                <w:sz w:val="24"/>
                                <w:szCs w:val="24"/>
                                <w:lang w:val="es-CO"/>
                              </w:rPr>
                              <w:t>MARCOS ALEJANDRO MARTÍN</w:t>
                            </w:r>
                          </w:p>
                          <w:p w14:paraId="0D2BBA90" w14:textId="77777777" w:rsidR="00165AF7" w:rsidRPr="001B6FEB" w:rsidRDefault="00165AF7" w:rsidP="001B6FEB">
                            <w:pPr>
                              <w:spacing w:after="0" w:line="240" w:lineRule="auto"/>
                              <w:rPr>
                                <w:rFonts w:ascii="Cambria" w:hAnsi="Cambria" w:cs="Arial"/>
                                <w:color w:val="0D0D0D"/>
                                <w:sz w:val="24"/>
                                <w:szCs w:val="24"/>
                                <w:lang w:val="es-MX"/>
                              </w:rPr>
                            </w:pPr>
                            <w:r w:rsidRPr="001B6FEB">
                              <w:rPr>
                                <w:rFonts w:ascii="Cambria" w:hAnsi="Cambria" w:cs="Arial"/>
                                <w:color w:val="0D0D0D"/>
                                <w:sz w:val="24"/>
                                <w:szCs w:val="24"/>
                                <w:lang w:val="es-MX"/>
                              </w:rPr>
                              <w:t>ARGENTINA</w:t>
                            </w:r>
                          </w:p>
                          <w:p w14:paraId="61A0DF7B" w14:textId="77777777" w:rsidR="00165AF7" w:rsidRPr="001B6FEB" w:rsidRDefault="00165AF7" w:rsidP="001B6FEB">
                            <w:pPr>
                              <w:spacing w:after="0"/>
                              <w:rPr>
                                <w:color w:val="0D0D0D"/>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F64E6" id="_x0000_t202" coordsize="21600,21600" o:spt="202" path="m,l,21600r21600,l21600,xe">
                <v:stroke joinstyle="miter"/>
                <v:path gradientshapeok="t" o:connecttype="rect"/>
              </v:shapetype>
              <v:shape id="Text Box 15" o:spid="_x0000_s1027" type="#_x0000_t202" style="position:absolute;left:0;text-align:left;margin-left:88.45pt;margin-top:7.6pt;width:349.7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b/PwIAAII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" filled="f" stroked="f" strokeweight=".5pt">
                <v:textbox>
                  <w:txbxContent>
                    <w:p w14:paraId="3B4ABAFE" w14:textId="7E9FAC14" w:rsidR="00165AF7" w:rsidRPr="00F37DF7" w:rsidRDefault="00165AF7" w:rsidP="001B6FEB">
                      <w:pPr>
                        <w:spacing w:after="0"/>
                        <w:rPr>
                          <w:rFonts w:ascii="Cambria" w:hAnsi="Cambria" w:cs="Arial"/>
                          <w:b/>
                          <w:bCs/>
                          <w:color w:val="0D0D0D"/>
                          <w:sz w:val="36"/>
                        </w:rPr>
                      </w:pPr>
                      <w:r w:rsidRPr="00F37DF7">
                        <w:rPr>
                          <w:rFonts w:ascii="Cambria" w:hAnsi="Cambria" w:cs="Arial"/>
                          <w:b/>
                          <w:bCs/>
                          <w:color w:val="0D0D0D"/>
                          <w:sz w:val="36"/>
                        </w:rPr>
                        <w:t xml:space="preserve">REPORT </w:t>
                      </w:r>
                      <w:r w:rsidRPr="00F37DF7">
                        <w:rPr>
                          <w:rFonts w:ascii="Cambria" w:hAnsi="Cambria" w:cs="Arial"/>
                          <w:b/>
                          <w:bCs/>
                          <w:color w:val="0D0D0D"/>
                          <w:sz w:val="36"/>
                          <w:szCs w:val="40"/>
                        </w:rPr>
                        <w:t>No.</w:t>
                      </w:r>
                      <w:r w:rsidRPr="00F37DF7">
                        <w:rPr>
                          <w:rFonts w:ascii="Cambria" w:hAnsi="Cambria" w:cs="Arial"/>
                          <w:b/>
                          <w:bCs/>
                          <w:color w:val="0D0D0D"/>
                          <w:sz w:val="36"/>
                        </w:rPr>
                        <w:t xml:space="preserve"> </w:t>
                      </w:r>
                      <w:r w:rsidR="00D7012D">
                        <w:rPr>
                          <w:rFonts w:ascii="Cambria" w:hAnsi="Cambria" w:cs="Arial"/>
                          <w:b/>
                          <w:bCs/>
                          <w:color w:val="0D0D0D"/>
                          <w:sz w:val="36"/>
                        </w:rPr>
                        <w:t>268</w:t>
                      </w:r>
                      <w:r w:rsidRPr="00F37DF7">
                        <w:rPr>
                          <w:rFonts w:ascii="Cambria" w:hAnsi="Cambria" w:cs="Arial"/>
                          <w:b/>
                          <w:bCs/>
                          <w:color w:val="0D0D0D"/>
                          <w:sz w:val="36"/>
                        </w:rPr>
                        <w:t>/</w:t>
                      </w:r>
                      <w:r w:rsidR="00850B52">
                        <w:rPr>
                          <w:rFonts w:ascii="Cambria" w:hAnsi="Cambria" w:cs="Arial"/>
                          <w:b/>
                          <w:bCs/>
                          <w:color w:val="0D0D0D"/>
                          <w:sz w:val="36"/>
                        </w:rPr>
                        <w:t>21</w:t>
                      </w:r>
                    </w:p>
                    <w:p w14:paraId="3CF471FF" w14:textId="77777777" w:rsidR="00165AF7" w:rsidRPr="00F37DF7" w:rsidRDefault="00165AF7" w:rsidP="001B6FEB">
                      <w:pPr>
                        <w:spacing w:after="0"/>
                        <w:rPr>
                          <w:rFonts w:ascii="Cambria" w:hAnsi="Cambria" w:cs="Arial"/>
                          <w:b/>
                          <w:color w:val="0D0D0D"/>
                          <w:sz w:val="36"/>
                        </w:rPr>
                      </w:pPr>
                      <w:r w:rsidRPr="00F37DF7">
                        <w:rPr>
                          <w:rFonts w:ascii="Cambria" w:hAnsi="Cambria" w:cs="Arial"/>
                          <w:b/>
                          <w:color w:val="0D0D0D"/>
                          <w:sz w:val="36"/>
                        </w:rPr>
                        <w:t>CASE 12.681</w:t>
                      </w:r>
                    </w:p>
                    <w:p w14:paraId="08C627AB" w14:textId="6AE78567" w:rsidR="00165AF7" w:rsidRPr="001B6FEB" w:rsidRDefault="00165AF7" w:rsidP="001B6FEB">
                      <w:pPr>
                        <w:spacing w:after="0"/>
                        <w:rPr>
                          <w:rFonts w:ascii="Cambria" w:hAnsi="Cambria" w:cs="Arial"/>
                          <w:color w:val="0D0D0D"/>
                          <w:sz w:val="24"/>
                          <w:szCs w:val="24"/>
                        </w:rPr>
                      </w:pPr>
                      <w:r w:rsidRPr="001B6FEB">
                        <w:rPr>
                          <w:rFonts w:ascii="Cambria" w:hAnsi="Cambria" w:cs="Arial"/>
                          <w:color w:val="0D0D0D"/>
                          <w:sz w:val="24"/>
                          <w:szCs w:val="24"/>
                        </w:rPr>
                        <w:t xml:space="preserve">MERITS </w:t>
                      </w:r>
                      <w:bookmarkStart w:id="1" w:name="_ftnref1"/>
                      <w:r w:rsidR="00FD77E1" w:rsidRPr="001B6FEB">
                        <w:rPr>
                          <w:rFonts w:ascii="Cambria" w:hAnsi="Cambria" w:cs="Arial"/>
                          <w:color w:val="0D0D0D"/>
                          <w:sz w:val="24"/>
                          <w:szCs w:val="24"/>
                        </w:rPr>
                        <w:t>(</w:t>
                      </w:r>
                      <w:r w:rsidR="00850B52" w:rsidRPr="001B6FEB">
                        <w:rPr>
                          <w:rFonts w:ascii="Cambria" w:hAnsi="Cambria" w:cs="Arial"/>
                          <w:color w:val="0D0D0D"/>
                          <w:sz w:val="24"/>
                          <w:szCs w:val="24"/>
                        </w:rPr>
                        <w:t>PUBLICATION</w:t>
                      </w:r>
                      <w:r w:rsidR="00FD77E1" w:rsidRPr="001B6FEB">
                        <w:rPr>
                          <w:rFonts w:ascii="Cambria" w:hAnsi="Cambria" w:cs="Arial"/>
                          <w:color w:val="0D0D0D"/>
                          <w:sz w:val="24"/>
                          <w:szCs w:val="24"/>
                        </w:rPr>
                        <w:t>)</w:t>
                      </w:r>
                    </w:p>
                    <w:bookmarkEnd w:id="1"/>
                    <w:p w14:paraId="20D375A1" w14:textId="77777777" w:rsidR="001B6FEB" w:rsidRPr="001B6FEB" w:rsidRDefault="001B6FEB" w:rsidP="001B6FEB">
                      <w:pPr>
                        <w:spacing w:after="0" w:line="240" w:lineRule="auto"/>
                        <w:jc w:val="both"/>
                        <w:rPr>
                          <w:rFonts w:ascii="Cambria" w:hAnsi="Cambria" w:cs="Arial"/>
                          <w:color w:val="0D0D0D"/>
                          <w:sz w:val="24"/>
                          <w:szCs w:val="24"/>
                          <w:lang w:val="es-CO"/>
                        </w:rPr>
                      </w:pPr>
                    </w:p>
                    <w:p w14:paraId="34EC9168" w14:textId="52ABB88A" w:rsidR="00165AF7" w:rsidRPr="001B6FEB" w:rsidRDefault="00165AF7" w:rsidP="001B6FEB">
                      <w:pPr>
                        <w:spacing w:after="0" w:line="240" w:lineRule="auto"/>
                        <w:jc w:val="both"/>
                        <w:rPr>
                          <w:rFonts w:ascii="Cambria" w:hAnsi="Cambria" w:cs="Arial"/>
                          <w:color w:val="0D0D0D"/>
                          <w:sz w:val="24"/>
                          <w:szCs w:val="24"/>
                          <w:lang w:val="es-CO"/>
                        </w:rPr>
                      </w:pPr>
                      <w:r w:rsidRPr="001B6FEB">
                        <w:rPr>
                          <w:rFonts w:ascii="Cambria" w:hAnsi="Cambria" w:cs="Arial"/>
                          <w:color w:val="0D0D0D"/>
                          <w:sz w:val="24"/>
                          <w:szCs w:val="24"/>
                          <w:lang w:val="es-CO"/>
                        </w:rPr>
                        <w:t>MARCOS ALEJANDRO MARTÍN</w:t>
                      </w:r>
                    </w:p>
                    <w:p w14:paraId="0D2BBA90" w14:textId="77777777" w:rsidR="00165AF7" w:rsidRPr="001B6FEB" w:rsidRDefault="00165AF7" w:rsidP="001B6FEB">
                      <w:pPr>
                        <w:spacing w:after="0" w:line="240" w:lineRule="auto"/>
                        <w:rPr>
                          <w:rFonts w:ascii="Cambria" w:hAnsi="Cambria" w:cs="Arial"/>
                          <w:color w:val="0D0D0D"/>
                          <w:sz w:val="24"/>
                          <w:szCs w:val="24"/>
                          <w:lang w:val="es-MX"/>
                        </w:rPr>
                      </w:pPr>
                      <w:r w:rsidRPr="001B6FEB">
                        <w:rPr>
                          <w:rFonts w:ascii="Cambria" w:hAnsi="Cambria" w:cs="Arial"/>
                          <w:color w:val="0D0D0D"/>
                          <w:sz w:val="24"/>
                          <w:szCs w:val="24"/>
                          <w:lang w:val="es-MX"/>
                        </w:rPr>
                        <w:t>ARGENTINA</w:t>
                      </w:r>
                    </w:p>
                    <w:p w14:paraId="61A0DF7B" w14:textId="77777777" w:rsidR="00165AF7" w:rsidRPr="001B6FEB" w:rsidRDefault="00165AF7" w:rsidP="001B6FEB">
                      <w:pPr>
                        <w:spacing w:after="0"/>
                        <w:rPr>
                          <w:color w:val="0D0D0D"/>
                          <w:sz w:val="24"/>
                          <w:szCs w:val="24"/>
                          <w:lang w:val="es-ES"/>
                        </w:rPr>
                      </w:pPr>
                    </w:p>
                  </w:txbxContent>
                </v:textbox>
              </v:shape>
            </w:pict>
          </mc:Fallback>
        </mc:AlternateContent>
      </w:r>
    </w:p>
    <w:p w14:paraId="5CFC1858" w14:textId="52BFA070" w:rsidR="008A215A" w:rsidRPr="00B24A3C" w:rsidRDefault="008A215A" w:rsidP="008A215A">
      <w:pPr>
        <w:tabs>
          <w:tab w:val="center" w:pos="5400"/>
        </w:tabs>
        <w:suppressAutoHyphens/>
        <w:spacing w:after="0" w:line="240" w:lineRule="auto"/>
        <w:jc w:val="center"/>
        <w:rPr>
          <w:rFonts w:ascii="Cambria" w:hAnsi="Cambria"/>
          <w:b/>
          <w:sz w:val="18"/>
          <w:szCs w:val="18"/>
        </w:rPr>
      </w:pPr>
      <w:r w:rsidRPr="00B24A3C">
        <w:rPr>
          <w:rFonts w:ascii="Cambria" w:hAnsi="Cambria"/>
          <w:b/>
          <w:noProof/>
          <w:sz w:val="18"/>
          <w:szCs w:val="18"/>
          <w:lang w:val="es-ES" w:eastAsia="es-ES"/>
        </w:rPr>
        <mc:AlternateContent>
          <mc:Choice Requires="wps">
            <w:drawing>
              <wp:anchor distT="0" distB="0" distL="114300" distR="114300" simplePos="0" relativeHeight="251664384" behindDoc="0" locked="0" layoutInCell="1" allowOverlap="1" wp14:anchorId="49D53744" wp14:editId="13B61043">
                <wp:simplePos x="0" y="0"/>
                <wp:positionH relativeFrom="column">
                  <wp:posOffset>-568960</wp:posOffset>
                </wp:positionH>
                <wp:positionV relativeFrom="paragraph">
                  <wp:posOffset>13970</wp:posOffset>
                </wp:positionV>
                <wp:extent cx="1334135" cy="13773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14:paraId="00808AC1" w14:textId="386731F0" w:rsidR="00165AF7" w:rsidRPr="009D0614" w:rsidRDefault="00165AF7" w:rsidP="001B6FEB">
                            <w:pPr>
                              <w:spacing w:after="0"/>
                              <w:jc w:val="right"/>
                              <w:rPr>
                                <w:color w:val="FFFFFF"/>
                                <w:lang w:val="pt-BR"/>
                              </w:rPr>
                            </w:pPr>
                            <w:r w:rsidRPr="009D0614">
                              <w:rPr>
                                <w:color w:val="FFFFFF"/>
                                <w:lang w:val="pt-BR"/>
                              </w:rPr>
                              <w:t>OEA/Ser.L/V/II</w:t>
                            </w:r>
                          </w:p>
                          <w:p w14:paraId="5E57C974" w14:textId="0F3BDBD7" w:rsidR="00165AF7" w:rsidRPr="009D0614" w:rsidRDefault="00165AF7" w:rsidP="001B6FEB">
                            <w:pPr>
                              <w:spacing w:after="0"/>
                              <w:jc w:val="right"/>
                              <w:rPr>
                                <w:color w:val="FFFFFF"/>
                                <w:lang w:val="pt-BR"/>
                              </w:rPr>
                            </w:pPr>
                            <w:r w:rsidRPr="009D0614">
                              <w:rPr>
                                <w:color w:val="FFFFFF"/>
                                <w:lang w:val="pt-BR"/>
                              </w:rPr>
                              <w:t xml:space="preserve">Doc. </w:t>
                            </w:r>
                            <w:r w:rsidR="00D7012D">
                              <w:rPr>
                                <w:color w:val="FFFFFF"/>
                                <w:lang w:val="pt-BR"/>
                              </w:rPr>
                              <w:t>276</w:t>
                            </w:r>
                          </w:p>
                          <w:p w14:paraId="68D861F2" w14:textId="3CDA219A" w:rsidR="00165AF7" w:rsidRPr="00D96932" w:rsidRDefault="001B6FEB" w:rsidP="001B6FEB">
                            <w:pPr>
                              <w:spacing w:after="0"/>
                              <w:jc w:val="right"/>
                              <w:rPr>
                                <w:color w:val="FFFFFF"/>
                              </w:rPr>
                            </w:pPr>
                            <w:r>
                              <w:rPr>
                                <w:color w:val="FFFFFF"/>
                              </w:rPr>
                              <w:t xml:space="preserve">5 </w:t>
                            </w:r>
                            <w:r w:rsidR="00D7012D">
                              <w:rPr>
                                <w:color w:val="FFFFFF"/>
                              </w:rPr>
                              <w:t>October 2021</w:t>
                            </w:r>
                          </w:p>
                          <w:p w14:paraId="5032816A" w14:textId="77777777" w:rsidR="00165AF7" w:rsidRPr="00D96932" w:rsidRDefault="00165AF7" w:rsidP="001B6FEB">
                            <w:pPr>
                              <w:spacing w:after="0"/>
                              <w:jc w:val="right"/>
                              <w:rPr>
                                <w:color w:val="FFFFFF"/>
                              </w:rPr>
                            </w:pPr>
                            <w:r w:rsidRPr="00D96932">
                              <w:rPr>
                                <w:color w:val="FFFFFF"/>
                              </w:rPr>
                              <w:t xml:space="preserve">Original: </w:t>
                            </w:r>
                            <w:r>
                              <w:rPr>
                                <w:color w:val="FFFFFF"/>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53744" id="Text Box 14" o:spid="_x0000_s1028" type="#_x0000_t202" style="position:absolute;left:0;text-align:left;margin-left:-44.8pt;margin-top:1.1pt;width:105.05pt;height:10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" filled="f" stroked="f" strokeweight=".5pt">
                <v:textbox>
                  <w:txbxContent>
                    <w:p w14:paraId="00808AC1" w14:textId="386731F0" w:rsidR="00165AF7" w:rsidRPr="009D0614" w:rsidRDefault="00165AF7" w:rsidP="001B6FEB">
                      <w:pPr>
                        <w:spacing w:after="0"/>
                        <w:jc w:val="right"/>
                        <w:rPr>
                          <w:color w:val="FFFFFF"/>
                          <w:lang w:val="pt-BR"/>
                        </w:rPr>
                      </w:pPr>
                      <w:r w:rsidRPr="009D0614">
                        <w:rPr>
                          <w:color w:val="FFFFFF"/>
                          <w:lang w:val="pt-BR"/>
                        </w:rPr>
                        <w:t>OEA/Ser.L/V/II</w:t>
                      </w:r>
                    </w:p>
                    <w:p w14:paraId="5E57C974" w14:textId="0F3BDBD7" w:rsidR="00165AF7" w:rsidRPr="009D0614" w:rsidRDefault="00165AF7" w:rsidP="001B6FEB">
                      <w:pPr>
                        <w:spacing w:after="0"/>
                        <w:jc w:val="right"/>
                        <w:rPr>
                          <w:color w:val="FFFFFF"/>
                          <w:lang w:val="pt-BR"/>
                        </w:rPr>
                      </w:pPr>
                      <w:r w:rsidRPr="009D0614">
                        <w:rPr>
                          <w:color w:val="FFFFFF"/>
                          <w:lang w:val="pt-BR"/>
                        </w:rPr>
                        <w:t xml:space="preserve">Doc. </w:t>
                      </w:r>
                      <w:r w:rsidR="00D7012D">
                        <w:rPr>
                          <w:color w:val="FFFFFF"/>
                          <w:lang w:val="pt-BR"/>
                        </w:rPr>
                        <w:t>276</w:t>
                      </w:r>
                    </w:p>
                    <w:p w14:paraId="68D861F2" w14:textId="3CDA219A" w:rsidR="00165AF7" w:rsidRPr="00D96932" w:rsidRDefault="001B6FEB" w:rsidP="001B6FEB">
                      <w:pPr>
                        <w:spacing w:after="0"/>
                        <w:jc w:val="right"/>
                        <w:rPr>
                          <w:color w:val="FFFFFF"/>
                        </w:rPr>
                      </w:pPr>
                      <w:r>
                        <w:rPr>
                          <w:color w:val="FFFFFF"/>
                        </w:rPr>
                        <w:t xml:space="preserve">5 </w:t>
                      </w:r>
                      <w:r w:rsidR="00D7012D">
                        <w:rPr>
                          <w:color w:val="FFFFFF"/>
                        </w:rPr>
                        <w:t>October 2021</w:t>
                      </w:r>
                    </w:p>
                    <w:p w14:paraId="5032816A" w14:textId="77777777" w:rsidR="00165AF7" w:rsidRPr="00D96932" w:rsidRDefault="00165AF7" w:rsidP="001B6FEB">
                      <w:pPr>
                        <w:spacing w:after="0"/>
                        <w:jc w:val="right"/>
                        <w:rPr>
                          <w:color w:val="FFFFFF"/>
                        </w:rPr>
                      </w:pPr>
                      <w:r w:rsidRPr="00D96932">
                        <w:rPr>
                          <w:color w:val="FFFFFF"/>
                        </w:rPr>
                        <w:t xml:space="preserve">Original: </w:t>
                      </w:r>
                      <w:r>
                        <w:rPr>
                          <w:color w:val="FFFFFF"/>
                        </w:rPr>
                        <w:t>Spanish</w:t>
                      </w:r>
                    </w:p>
                  </w:txbxContent>
                </v:textbox>
              </v:shape>
            </w:pict>
          </mc:Fallback>
        </mc:AlternateContent>
      </w:r>
    </w:p>
    <w:p w14:paraId="4E3ED9A2"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5C300ABE"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3A1914A2"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6F395D1F"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06B6590A"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1C8281F8"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55C0B673"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5D242BD3"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4FB21385"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7DA3B54C"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0C6F189A"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1D0F8651"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77A09801"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66F4629C"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4877EB70"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3B900FB0"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20B6B146"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1BBB9835"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06CAF190" w14:textId="2B4CF805"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32A1DFA7"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070DE84E"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3B95BB9F"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7A4BA0F1"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426A4A1E"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02AA3173"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5637C65E"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34C1E9D4"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0E344728"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069A748B" w14:textId="4DFF8B59"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6E75B602" w14:textId="50E7C3F1"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34D46FCD" w14:textId="74144685"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54D1D5BA" w14:textId="67137E82"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11011AA3" w14:textId="48E25001" w:rsidR="008A215A" w:rsidRPr="00B24A3C" w:rsidRDefault="001B6FEB" w:rsidP="008A215A">
      <w:pPr>
        <w:tabs>
          <w:tab w:val="center" w:pos="5400"/>
        </w:tabs>
        <w:suppressAutoHyphens/>
        <w:spacing w:after="0" w:line="240" w:lineRule="auto"/>
        <w:jc w:val="center"/>
        <w:rPr>
          <w:rFonts w:ascii="Cambria" w:hAnsi="Cambria"/>
          <w:b/>
          <w:sz w:val="18"/>
          <w:szCs w:val="18"/>
        </w:rPr>
      </w:pPr>
      <w:r w:rsidRPr="00B24A3C">
        <w:rPr>
          <w:rFonts w:ascii="Cambria" w:hAnsi="Cambria"/>
          <w:b/>
          <w:noProof/>
          <w:sz w:val="18"/>
          <w:szCs w:val="18"/>
          <w:lang w:val="es-ES" w:eastAsia="es-ES"/>
        </w:rPr>
        <mc:AlternateContent>
          <mc:Choice Requires="wps">
            <w:drawing>
              <wp:anchor distT="0" distB="0" distL="114300" distR="114300" simplePos="0" relativeHeight="251660288" behindDoc="0" locked="0" layoutInCell="1" allowOverlap="1" wp14:anchorId="4A9A84AD" wp14:editId="10C5DB13">
                <wp:simplePos x="0" y="0"/>
                <wp:positionH relativeFrom="column">
                  <wp:posOffset>1129665</wp:posOffset>
                </wp:positionH>
                <wp:positionV relativeFrom="paragraph">
                  <wp:posOffset>67945</wp:posOffset>
                </wp:positionV>
                <wp:extent cx="4933950" cy="6648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0F811C8E" w14:textId="1747D55C" w:rsidR="00165AF7" w:rsidRPr="00D7012D" w:rsidRDefault="00850B52" w:rsidP="00850B52">
                            <w:pPr>
                              <w:tabs>
                                <w:tab w:val="center" w:pos="5400"/>
                              </w:tabs>
                              <w:suppressAutoHyphens/>
                              <w:spacing w:before="60"/>
                              <w:jc w:val="both"/>
                              <w:rPr>
                                <w:rFonts w:ascii="Cambria" w:hAnsi="Cambria"/>
                                <w:color w:val="0D0D0D"/>
                                <w:sz w:val="18"/>
                                <w:szCs w:val="20"/>
                              </w:rPr>
                            </w:pPr>
                            <w:r w:rsidRPr="00D7012D">
                              <w:rPr>
                                <w:rFonts w:ascii="Cambria" w:hAnsi="Cambria"/>
                                <w:color w:val="0D0D0D"/>
                                <w:sz w:val="18"/>
                                <w:szCs w:val="20"/>
                              </w:rPr>
                              <w:t>Electronically a</w:t>
                            </w:r>
                            <w:r w:rsidR="00165AF7" w:rsidRPr="00D7012D">
                              <w:rPr>
                                <w:rFonts w:ascii="Cambria" w:hAnsi="Cambria"/>
                                <w:color w:val="0D0D0D"/>
                                <w:sz w:val="18"/>
                                <w:szCs w:val="20"/>
                              </w:rPr>
                              <w:t xml:space="preserve">pproved by the Commission on </w:t>
                            </w:r>
                            <w:r w:rsidR="00D7012D" w:rsidRPr="00D7012D">
                              <w:rPr>
                                <w:rFonts w:ascii="Cambria" w:hAnsi="Cambria"/>
                                <w:color w:val="0D0D0D"/>
                                <w:sz w:val="18"/>
                                <w:szCs w:val="20"/>
                              </w:rPr>
                              <w:t>October</w:t>
                            </w:r>
                            <w:r w:rsidRPr="00D7012D">
                              <w:rPr>
                                <w:rFonts w:ascii="Cambria" w:hAnsi="Cambria"/>
                                <w:color w:val="0D0D0D"/>
                                <w:sz w:val="18"/>
                                <w:szCs w:val="20"/>
                              </w:rPr>
                              <w:t xml:space="preserve"> </w:t>
                            </w:r>
                            <w:r w:rsidR="00D7012D" w:rsidRPr="00D7012D">
                              <w:rPr>
                                <w:rFonts w:ascii="Cambria" w:hAnsi="Cambria"/>
                                <w:color w:val="0D0D0D"/>
                                <w:sz w:val="18"/>
                                <w:szCs w:val="20"/>
                              </w:rPr>
                              <w:t>5</w:t>
                            </w:r>
                            <w:r w:rsidRPr="00D7012D">
                              <w:rPr>
                                <w:rFonts w:ascii="Cambria" w:hAnsi="Cambria"/>
                                <w:color w:val="0D0D0D"/>
                                <w:sz w:val="18"/>
                                <w:szCs w:val="20"/>
                              </w:rPr>
                              <w:t>, 2021</w:t>
                            </w:r>
                            <w:r w:rsidR="001B6FEB">
                              <w:rPr>
                                <w:rFonts w:ascii="Cambria" w:hAnsi="Cambria"/>
                                <w:color w:val="0D0D0D"/>
                                <w:sz w:val="18"/>
                                <w:szCs w:val="20"/>
                              </w:rPr>
                              <w:t>.</w:t>
                            </w:r>
                          </w:p>
                          <w:p w14:paraId="67312AF5" w14:textId="77777777" w:rsidR="00165AF7" w:rsidRPr="00A011C7" w:rsidRDefault="00165AF7" w:rsidP="008A215A">
                            <w:pPr>
                              <w:tabs>
                                <w:tab w:val="center" w:pos="5400"/>
                              </w:tabs>
                              <w:suppressAutoHyphens/>
                              <w:spacing w:before="60"/>
                              <w:rPr>
                                <w:color w:val="FFFFFF"/>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A84AD" id="Text Box 13" o:spid="_x0000_s1029" type="#_x0000_t202" style="position:absolute;left:0;text-align:left;margin-left:88.95pt;margin-top:5.35pt;width:388.5pt;height:5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" filled="f" stroked="f" strokeweight=".5pt">
                <v:textbox>
                  <w:txbxContent>
                    <w:p w14:paraId="0F811C8E" w14:textId="1747D55C" w:rsidR="00165AF7" w:rsidRPr="00D7012D" w:rsidRDefault="00850B52" w:rsidP="00850B52">
                      <w:pPr>
                        <w:tabs>
                          <w:tab w:val="center" w:pos="5400"/>
                        </w:tabs>
                        <w:suppressAutoHyphens/>
                        <w:spacing w:before="60"/>
                        <w:jc w:val="both"/>
                        <w:rPr>
                          <w:rFonts w:ascii="Cambria" w:hAnsi="Cambria"/>
                          <w:color w:val="0D0D0D"/>
                          <w:sz w:val="18"/>
                          <w:szCs w:val="20"/>
                        </w:rPr>
                      </w:pPr>
                      <w:r w:rsidRPr="00D7012D">
                        <w:rPr>
                          <w:rFonts w:ascii="Cambria" w:hAnsi="Cambria"/>
                          <w:color w:val="0D0D0D"/>
                          <w:sz w:val="18"/>
                          <w:szCs w:val="20"/>
                        </w:rPr>
                        <w:t>Electronically a</w:t>
                      </w:r>
                      <w:r w:rsidR="00165AF7" w:rsidRPr="00D7012D">
                        <w:rPr>
                          <w:rFonts w:ascii="Cambria" w:hAnsi="Cambria"/>
                          <w:color w:val="0D0D0D"/>
                          <w:sz w:val="18"/>
                          <w:szCs w:val="20"/>
                        </w:rPr>
                        <w:t xml:space="preserve">pproved by the Commission on </w:t>
                      </w:r>
                      <w:r w:rsidR="00D7012D" w:rsidRPr="00D7012D">
                        <w:rPr>
                          <w:rFonts w:ascii="Cambria" w:hAnsi="Cambria"/>
                          <w:color w:val="0D0D0D"/>
                          <w:sz w:val="18"/>
                          <w:szCs w:val="20"/>
                        </w:rPr>
                        <w:t>October</w:t>
                      </w:r>
                      <w:r w:rsidRPr="00D7012D">
                        <w:rPr>
                          <w:rFonts w:ascii="Cambria" w:hAnsi="Cambria"/>
                          <w:color w:val="0D0D0D"/>
                          <w:sz w:val="18"/>
                          <w:szCs w:val="20"/>
                        </w:rPr>
                        <w:t xml:space="preserve"> </w:t>
                      </w:r>
                      <w:r w:rsidR="00D7012D" w:rsidRPr="00D7012D">
                        <w:rPr>
                          <w:rFonts w:ascii="Cambria" w:hAnsi="Cambria"/>
                          <w:color w:val="0D0D0D"/>
                          <w:sz w:val="18"/>
                          <w:szCs w:val="20"/>
                        </w:rPr>
                        <w:t>5</w:t>
                      </w:r>
                      <w:r w:rsidRPr="00D7012D">
                        <w:rPr>
                          <w:rFonts w:ascii="Cambria" w:hAnsi="Cambria"/>
                          <w:color w:val="0D0D0D"/>
                          <w:sz w:val="18"/>
                          <w:szCs w:val="20"/>
                        </w:rPr>
                        <w:t>, 2021</w:t>
                      </w:r>
                      <w:r w:rsidR="001B6FEB">
                        <w:rPr>
                          <w:rFonts w:ascii="Cambria" w:hAnsi="Cambria"/>
                          <w:color w:val="0D0D0D"/>
                          <w:sz w:val="18"/>
                          <w:szCs w:val="20"/>
                        </w:rPr>
                        <w:t>.</w:t>
                      </w:r>
                    </w:p>
                    <w:p w14:paraId="67312AF5" w14:textId="77777777" w:rsidR="00165AF7" w:rsidRPr="00A011C7" w:rsidRDefault="00165AF7" w:rsidP="008A215A">
                      <w:pPr>
                        <w:tabs>
                          <w:tab w:val="center" w:pos="5400"/>
                        </w:tabs>
                        <w:suppressAutoHyphens/>
                        <w:spacing w:before="60"/>
                        <w:rPr>
                          <w:color w:val="FFFFFF"/>
                          <w:spacing w:val="-2"/>
                          <w:sz w:val="16"/>
                        </w:rPr>
                      </w:pPr>
                    </w:p>
                  </w:txbxContent>
                </v:textbox>
              </v:shape>
            </w:pict>
          </mc:Fallback>
        </mc:AlternateContent>
      </w:r>
    </w:p>
    <w:p w14:paraId="72679F6D" w14:textId="75C75C2E"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0C5C0BFE"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pPr>
    </w:p>
    <w:p w14:paraId="4244B842" w14:textId="0DB30FBE" w:rsidR="008A215A" w:rsidRPr="00B24A3C" w:rsidRDefault="001B6FEB" w:rsidP="008A215A">
      <w:pPr>
        <w:tabs>
          <w:tab w:val="center" w:pos="5400"/>
        </w:tabs>
        <w:suppressAutoHyphens/>
        <w:spacing w:after="0" w:line="240" w:lineRule="auto"/>
        <w:jc w:val="center"/>
        <w:rPr>
          <w:rFonts w:ascii="Cambria" w:hAnsi="Cambria"/>
          <w:b/>
          <w:sz w:val="18"/>
          <w:szCs w:val="18"/>
        </w:rPr>
      </w:pPr>
      <w:r w:rsidRPr="00B24A3C">
        <w:rPr>
          <w:rFonts w:ascii="Cambria" w:hAnsi="Cambria"/>
          <w:b/>
          <w:noProof/>
          <w:sz w:val="18"/>
          <w:szCs w:val="18"/>
          <w:lang w:val="es-ES" w:eastAsia="es-ES"/>
        </w:rPr>
        <mc:AlternateContent>
          <mc:Choice Requires="wps">
            <w:drawing>
              <wp:anchor distT="0" distB="0" distL="114300" distR="114300" simplePos="0" relativeHeight="251661312" behindDoc="0" locked="0" layoutInCell="1" allowOverlap="1" wp14:anchorId="5A41BC4F" wp14:editId="5450F135">
                <wp:simplePos x="0" y="0"/>
                <wp:positionH relativeFrom="column">
                  <wp:posOffset>1086485</wp:posOffset>
                </wp:positionH>
                <wp:positionV relativeFrom="paragraph">
                  <wp:posOffset>449580</wp:posOffset>
                </wp:positionV>
                <wp:extent cx="4943475" cy="6572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3EBAE826" w14:textId="32FE6D7C" w:rsidR="00165AF7" w:rsidRPr="00FD77E1" w:rsidRDefault="00165AF7" w:rsidP="008A215A">
                            <w:pPr>
                              <w:jc w:val="both"/>
                              <w:rPr>
                                <w:rFonts w:ascii="Cambria" w:hAnsi="Cambria"/>
                                <w:color w:val="595959"/>
                                <w:sz w:val="18"/>
                                <w:szCs w:val="18"/>
                                <w:lang w:val="pt-BR"/>
                              </w:rPr>
                            </w:pPr>
                            <w:r w:rsidRPr="00FD77E1">
                              <w:rPr>
                                <w:rFonts w:ascii="Cambria" w:hAnsi="Cambria"/>
                                <w:b/>
                                <w:color w:val="595959"/>
                                <w:sz w:val="18"/>
                                <w:szCs w:val="18"/>
                              </w:rPr>
                              <w:t>Cite as:</w:t>
                            </w:r>
                            <w:r w:rsidR="00FD77E1" w:rsidRPr="00FD77E1">
                              <w:rPr>
                                <w:rFonts w:ascii="Cambria" w:hAnsi="Cambria"/>
                                <w:color w:val="595959"/>
                                <w:sz w:val="18"/>
                                <w:szCs w:val="18"/>
                              </w:rPr>
                              <w:t xml:space="preserve"> IACHR.</w:t>
                            </w:r>
                            <w:r w:rsidRPr="00FD77E1">
                              <w:rPr>
                                <w:rFonts w:ascii="Cambria" w:hAnsi="Cambria"/>
                                <w:color w:val="595959"/>
                                <w:sz w:val="18"/>
                                <w:szCs w:val="18"/>
                              </w:rPr>
                              <w:t xml:space="preserve"> Report No. </w:t>
                            </w:r>
                            <w:r w:rsidR="00D7012D">
                              <w:rPr>
                                <w:rFonts w:ascii="Cambria" w:hAnsi="Cambria"/>
                                <w:color w:val="595959"/>
                                <w:sz w:val="18"/>
                                <w:szCs w:val="18"/>
                              </w:rPr>
                              <w:t>268</w:t>
                            </w:r>
                            <w:r w:rsidRPr="00FD77E1">
                              <w:rPr>
                                <w:rFonts w:ascii="Cambria" w:hAnsi="Cambria"/>
                                <w:color w:val="595959"/>
                                <w:sz w:val="18"/>
                                <w:szCs w:val="18"/>
                              </w:rPr>
                              <w:t>/</w:t>
                            </w:r>
                            <w:r w:rsidR="00850B52">
                              <w:rPr>
                                <w:rFonts w:ascii="Cambria" w:hAnsi="Cambria"/>
                                <w:color w:val="595959"/>
                                <w:sz w:val="18"/>
                                <w:szCs w:val="18"/>
                              </w:rPr>
                              <w:t>21</w:t>
                            </w:r>
                            <w:r w:rsidR="00FD77E1" w:rsidRPr="00FD77E1">
                              <w:rPr>
                                <w:rFonts w:ascii="Cambria" w:hAnsi="Cambria"/>
                                <w:color w:val="595959"/>
                                <w:sz w:val="18"/>
                                <w:szCs w:val="18"/>
                              </w:rPr>
                              <w:t>. Case 12.681.</w:t>
                            </w:r>
                            <w:r w:rsidRPr="00FD77E1">
                              <w:rPr>
                                <w:rFonts w:ascii="Cambria" w:hAnsi="Cambria"/>
                                <w:color w:val="595959"/>
                                <w:sz w:val="18"/>
                                <w:szCs w:val="18"/>
                              </w:rPr>
                              <w:t xml:space="preserve"> </w:t>
                            </w:r>
                            <w:r w:rsidRPr="00FD77E1">
                              <w:rPr>
                                <w:rFonts w:ascii="Cambria" w:hAnsi="Cambria"/>
                                <w:color w:val="595959"/>
                                <w:sz w:val="18"/>
                                <w:szCs w:val="18"/>
                                <w:lang w:val="pt-BR"/>
                              </w:rPr>
                              <w:t>Merits</w:t>
                            </w:r>
                            <w:r w:rsidR="00FD77E1">
                              <w:rPr>
                                <w:rFonts w:ascii="Cambria" w:hAnsi="Cambria"/>
                                <w:color w:val="595959"/>
                                <w:sz w:val="18"/>
                                <w:szCs w:val="18"/>
                                <w:lang w:val="pt-BR"/>
                              </w:rPr>
                              <w:t xml:space="preserve"> </w:t>
                            </w:r>
                            <w:r w:rsidR="00FD77E1" w:rsidRPr="00D7012D">
                              <w:rPr>
                                <w:rFonts w:ascii="Cambria" w:hAnsi="Cambria"/>
                                <w:color w:val="595959"/>
                                <w:sz w:val="18"/>
                                <w:szCs w:val="18"/>
                                <w:lang w:val="pt-BR"/>
                              </w:rPr>
                              <w:t>(</w:t>
                            </w:r>
                            <w:r w:rsidR="00850B52" w:rsidRPr="00D7012D">
                              <w:rPr>
                                <w:rFonts w:ascii="Cambria" w:hAnsi="Cambria"/>
                                <w:color w:val="595959"/>
                                <w:sz w:val="18"/>
                                <w:szCs w:val="18"/>
                                <w:lang w:val="pt-BR"/>
                              </w:rPr>
                              <w:t>Publication</w:t>
                            </w:r>
                            <w:r w:rsidR="00FD77E1" w:rsidRPr="00D7012D">
                              <w:rPr>
                                <w:rFonts w:ascii="Cambria" w:hAnsi="Cambria"/>
                                <w:color w:val="595959"/>
                                <w:sz w:val="18"/>
                                <w:szCs w:val="18"/>
                                <w:lang w:val="pt-BR"/>
                              </w:rPr>
                              <w:t>).</w:t>
                            </w:r>
                            <w:r w:rsidR="00FD77E1">
                              <w:rPr>
                                <w:rFonts w:ascii="Cambria" w:hAnsi="Cambria"/>
                                <w:color w:val="595959"/>
                                <w:sz w:val="18"/>
                                <w:szCs w:val="18"/>
                                <w:lang w:val="pt-BR"/>
                              </w:rPr>
                              <w:t xml:space="preserve"> Marcos Alejandro Martín.</w:t>
                            </w:r>
                            <w:r w:rsidRPr="00FD77E1">
                              <w:rPr>
                                <w:rFonts w:ascii="Cambria" w:hAnsi="Cambria"/>
                                <w:color w:val="595959"/>
                                <w:sz w:val="18"/>
                                <w:szCs w:val="18"/>
                                <w:lang w:val="pt-BR"/>
                              </w:rPr>
                              <w:t xml:space="preserve"> Argentina</w:t>
                            </w:r>
                            <w:r w:rsidR="00FD77E1">
                              <w:rPr>
                                <w:rFonts w:ascii="Cambria" w:hAnsi="Cambria"/>
                                <w:color w:val="595959"/>
                                <w:sz w:val="18"/>
                                <w:szCs w:val="18"/>
                                <w:lang w:val="pt-BR"/>
                              </w:rPr>
                              <w:t>.</w:t>
                            </w:r>
                            <w:r w:rsidRPr="00FD77E1">
                              <w:rPr>
                                <w:rFonts w:ascii="Cambria" w:hAnsi="Cambria"/>
                                <w:color w:val="595959"/>
                                <w:sz w:val="18"/>
                                <w:szCs w:val="18"/>
                                <w:lang w:val="pt-BR"/>
                              </w:rPr>
                              <w:t xml:space="preserve"> </w:t>
                            </w:r>
                            <w:r w:rsidR="00D7012D">
                              <w:rPr>
                                <w:rFonts w:ascii="Cambria" w:hAnsi="Cambria"/>
                                <w:color w:val="595959"/>
                                <w:sz w:val="18"/>
                                <w:szCs w:val="18"/>
                                <w:lang w:val="pt-BR"/>
                              </w:rPr>
                              <w:t>October 5</w:t>
                            </w:r>
                            <w:r w:rsidRPr="00FD77E1">
                              <w:rPr>
                                <w:rFonts w:ascii="Cambria" w:hAnsi="Cambria"/>
                                <w:color w:val="595959"/>
                                <w:sz w:val="18"/>
                                <w:szCs w:val="18"/>
                                <w:lang w:val="pt-BR"/>
                              </w:rPr>
                              <w:t>, 20</w:t>
                            </w:r>
                            <w:r w:rsidR="00850B52">
                              <w:rPr>
                                <w:rFonts w:ascii="Cambria" w:hAnsi="Cambria"/>
                                <w:color w:val="595959"/>
                                <w:sz w:val="18"/>
                                <w:szCs w:val="18"/>
                                <w:lang w:val="pt-BR"/>
                              </w:rPr>
                              <w:t>21</w:t>
                            </w:r>
                            <w:r w:rsidRPr="00FD77E1">
                              <w:rPr>
                                <w:rFonts w:ascii="Cambria" w:hAnsi="Cambria"/>
                                <w:color w:val="595959"/>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1BC4F" id="Text Box 12" o:spid="_x0000_s1030" type="#_x0000_t202" style="position:absolute;left:0;text-align:left;margin-left:85.55pt;margin-top:35.4pt;width:389.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" filled="f" stroked="f" strokeweight=".5pt">
                <v:textbox>
                  <w:txbxContent>
                    <w:p w14:paraId="3EBAE826" w14:textId="32FE6D7C" w:rsidR="00165AF7" w:rsidRPr="00FD77E1" w:rsidRDefault="00165AF7" w:rsidP="008A215A">
                      <w:pPr>
                        <w:jc w:val="both"/>
                        <w:rPr>
                          <w:rFonts w:ascii="Cambria" w:hAnsi="Cambria"/>
                          <w:color w:val="595959"/>
                          <w:sz w:val="18"/>
                          <w:szCs w:val="18"/>
                          <w:lang w:val="pt-BR"/>
                        </w:rPr>
                      </w:pPr>
                      <w:r w:rsidRPr="00FD77E1">
                        <w:rPr>
                          <w:rFonts w:ascii="Cambria" w:hAnsi="Cambria"/>
                          <w:b/>
                          <w:color w:val="595959"/>
                          <w:sz w:val="18"/>
                          <w:szCs w:val="18"/>
                        </w:rPr>
                        <w:t>Cite as:</w:t>
                      </w:r>
                      <w:r w:rsidR="00FD77E1" w:rsidRPr="00FD77E1">
                        <w:rPr>
                          <w:rFonts w:ascii="Cambria" w:hAnsi="Cambria"/>
                          <w:color w:val="595959"/>
                          <w:sz w:val="18"/>
                          <w:szCs w:val="18"/>
                        </w:rPr>
                        <w:t xml:space="preserve"> IACHR.</w:t>
                      </w:r>
                      <w:r w:rsidRPr="00FD77E1">
                        <w:rPr>
                          <w:rFonts w:ascii="Cambria" w:hAnsi="Cambria"/>
                          <w:color w:val="595959"/>
                          <w:sz w:val="18"/>
                          <w:szCs w:val="18"/>
                        </w:rPr>
                        <w:t xml:space="preserve"> Report No. </w:t>
                      </w:r>
                      <w:r w:rsidR="00D7012D">
                        <w:rPr>
                          <w:rFonts w:ascii="Cambria" w:hAnsi="Cambria"/>
                          <w:color w:val="595959"/>
                          <w:sz w:val="18"/>
                          <w:szCs w:val="18"/>
                        </w:rPr>
                        <w:t>268</w:t>
                      </w:r>
                      <w:r w:rsidRPr="00FD77E1">
                        <w:rPr>
                          <w:rFonts w:ascii="Cambria" w:hAnsi="Cambria"/>
                          <w:color w:val="595959"/>
                          <w:sz w:val="18"/>
                          <w:szCs w:val="18"/>
                        </w:rPr>
                        <w:t>/</w:t>
                      </w:r>
                      <w:r w:rsidR="00850B52">
                        <w:rPr>
                          <w:rFonts w:ascii="Cambria" w:hAnsi="Cambria"/>
                          <w:color w:val="595959"/>
                          <w:sz w:val="18"/>
                          <w:szCs w:val="18"/>
                        </w:rPr>
                        <w:t>21</w:t>
                      </w:r>
                      <w:r w:rsidR="00FD77E1" w:rsidRPr="00FD77E1">
                        <w:rPr>
                          <w:rFonts w:ascii="Cambria" w:hAnsi="Cambria"/>
                          <w:color w:val="595959"/>
                          <w:sz w:val="18"/>
                          <w:szCs w:val="18"/>
                        </w:rPr>
                        <w:t>. Case 12.681.</w:t>
                      </w:r>
                      <w:r w:rsidRPr="00FD77E1">
                        <w:rPr>
                          <w:rFonts w:ascii="Cambria" w:hAnsi="Cambria"/>
                          <w:color w:val="595959"/>
                          <w:sz w:val="18"/>
                          <w:szCs w:val="18"/>
                        </w:rPr>
                        <w:t xml:space="preserve"> </w:t>
                      </w:r>
                      <w:r w:rsidRPr="00FD77E1">
                        <w:rPr>
                          <w:rFonts w:ascii="Cambria" w:hAnsi="Cambria"/>
                          <w:color w:val="595959"/>
                          <w:sz w:val="18"/>
                          <w:szCs w:val="18"/>
                          <w:lang w:val="pt-BR"/>
                        </w:rPr>
                        <w:t>Merits</w:t>
                      </w:r>
                      <w:r w:rsidR="00FD77E1">
                        <w:rPr>
                          <w:rFonts w:ascii="Cambria" w:hAnsi="Cambria"/>
                          <w:color w:val="595959"/>
                          <w:sz w:val="18"/>
                          <w:szCs w:val="18"/>
                          <w:lang w:val="pt-BR"/>
                        </w:rPr>
                        <w:t xml:space="preserve"> </w:t>
                      </w:r>
                      <w:r w:rsidR="00FD77E1" w:rsidRPr="00D7012D">
                        <w:rPr>
                          <w:rFonts w:ascii="Cambria" w:hAnsi="Cambria"/>
                          <w:color w:val="595959"/>
                          <w:sz w:val="18"/>
                          <w:szCs w:val="18"/>
                          <w:lang w:val="pt-BR"/>
                        </w:rPr>
                        <w:t>(</w:t>
                      </w:r>
                      <w:r w:rsidR="00850B52" w:rsidRPr="00D7012D">
                        <w:rPr>
                          <w:rFonts w:ascii="Cambria" w:hAnsi="Cambria"/>
                          <w:color w:val="595959"/>
                          <w:sz w:val="18"/>
                          <w:szCs w:val="18"/>
                          <w:lang w:val="pt-BR"/>
                        </w:rPr>
                        <w:t>Publication</w:t>
                      </w:r>
                      <w:r w:rsidR="00FD77E1" w:rsidRPr="00D7012D">
                        <w:rPr>
                          <w:rFonts w:ascii="Cambria" w:hAnsi="Cambria"/>
                          <w:color w:val="595959"/>
                          <w:sz w:val="18"/>
                          <w:szCs w:val="18"/>
                          <w:lang w:val="pt-BR"/>
                        </w:rPr>
                        <w:t>).</w:t>
                      </w:r>
                      <w:r w:rsidR="00FD77E1">
                        <w:rPr>
                          <w:rFonts w:ascii="Cambria" w:hAnsi="Cambria"/>
                          <w:color w:val="595959"/>
                          <w:sz w:val="18"/>
                          <w:szCs w:val="18"/>
                          <w:lang w:val="pt-BR"/>
                        </w:rPr>
                        <w:t xml:space="preserve"> Marcos Alejandro Martín.</w:t>
                      </w:r>
                      <w:r w:rsidRPr="00FD77E1">
                        <w:rPr>
                          <w:rFonts w:ascii="Cambria" w:hAnsi="Cambria"/>
                          <w:color w:val="595959"/>
                          <w:sz w:val="18"/>
                          <w:szCs w:val="18"/>
                          <w:lang w:val="pt-BR"/>
                        </w:rPr>
                        <w:t xml:space="preserve"> Argentina</w:t>
                      </w:r>
                      <w:r w:rsidR="00FD77E1">
                        <w:rPr>
                          <w:rFonts w:ascii="Cambria" w:hAnsi="Cambria"/>
                          <w:color w:val="595959"/>
                          <w:sz w:val="18"/>
                          <w:szCs w:val="18"/>
                          <w:lang w:val="pt-BR"/>
                        </w:rPr>
                        <w:t>.</w:t>
                      </w:r>
                      <w:r w:rsidRPr="00FD77E1">
                        <w:rPr>
                          <w:rFonts w:ascii="Cambria" w:hAnsi="Cambria"/>
                          <w:color w:val="595959"/>
                          <w:sz w:val="18"/>
                          <w:szCs w:val="18"/>
                          <w:lang w:val="pt-BR"/>
                        </w:rPr>
                        <w:t xml:space="preserve"> </w:t>
                      </w:r>
                      <w:r w:rsidR="00D7012D">
                        <w:rPr>
                          <w:rFonts w:ascii="Cambria" w:hAnsi="Cambria"/>
                          <w:color w:val="595959"/>
                          <w:sz w:val="18"/>
                          <w:szCs w:val="18"/>
                          <w:lang w:val="pt-BR"/>
                        </w:rPr>
                        <w:t>October 5</w:t>
                      </w:r>
                      <w:r w:rsidRPr="00FD77E1">
                        <w:rPr>
                          <w:rFonts w:ascii="Cambria" w:hAnsi="Cambria"/>
                          <w:color w:val="595959"/>
                          <w:sz w:val="18"/>
                          <w:szCs w:val="18"/>
                          <w:lang w:val="pt-BR"/>
                        </w:rPr>
                        <w:t>, 20</w:t>
                      </w:r>
                      <w:r w:rsidR="00850B52">
                        <w:rPr>
                          <w:rFonts w:ascii="Cambria" w:hAnsi="Cambria"/>
                          <w:color w:val="595959"/>
                          <w:sz w:val="18"/>
                          <w:szCs w:val="18"/>
                          <w:lang w:val="pt-BR"/>
                        </w:rPr>
                        <w:t>21</w:t>
                      </w:r>
                      <w:r w:rsidRPr="00FD77E1">
                        <w:rPr>
                          <w:rFonts w:ascii="Cambria" w:hAnsi="Cambria"/>
                          <w:color w:val="595959"/>
                          <w:sz w:val="18"/>
                          <w:szCs w:val="18"/>
                          <w:lang w:val="pt-BR"/>
                        </w:rPr>
                        <w:t>.</w:t>
                      </w:r>
                    </w:p>
                  </w:txbxContent>
                </v:textbox>
              </v:shape>
            </w:pict>
          </mc:Fallback>
        </mc:AlternateContent>
      </w:r>
      <w:r>
        <w:rPr>
          <w:noProof/>
        </w:rPr>
        <w:drawing>
          <wp:anchor distT="0" distB="0" distL="114300" distR="114300" simplePos="0" relativeHeight="251666432" behindDoc="0" locked="0" layoutInCell="1" allowOverlap="1" wp14:anchorId="457B79FE" wp14:editId="7B37B51C">
            <wp:simplePos x="0" y="0"/>
            <wp:positionH relativeFrom="margin">
              <wp:posOffset>1133475</wp:posOffset>
            </wp:positionH>
            <wp:positionV relativeFrom="margin">
              <wp:posOffset>8041640</wp:posOffset>
            </wp:positionV>
            <wp:extent cx="1519555" cy="38798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anchor>
        </w:drawing>
      </w:r>
      <w:r w:rsidR="008A215A" w:rsidRPr="00B24A3C">
        <w:rPr>
          <w:rFonts w:ascii="Cambria" w:hAnsi="Cambria"/>
          <w:b/>
          <w:noProof/>
          <w:sz w:val="18"/>
          <w:szCs w:val="18"/>
          <w:lang w:val="es-ES" w:eastAsia="es-ES"/>
        </w:rPr>
        <mc:AlternateContent>
          <mc:Choice Requires="wps">
            <w:drawing>
              <wp:anchor distT="0" distB="0" distL="114300" distR="114300" simplePos="0" relativeHeight="251662336" behindDoc="0" locked="0" layoutInCell="1" allowOverlap="1" wp14:anchorId="19D61ED1" wp14:editId="1BEEFCF7">
                <wp:simplePos x="0" y="0"/>
                <wp:positionH relativeFrom="column">
                  <wp:posOffset>-271780</wp:posOffset>
                </wp:positionH>
                <wp:positionV relativeFrom="paragraph">
                  <wp:posOffset>915035</wp:posOffset>
                </wp:positionV>
                <wp:extent cx="1181100" cy="3327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16AEDDE4" w14:textId="77777777" w:rsidR="00165AF7" w:rsidRPr="00317DB1" w:rsidRDefault="00165AF7" w:rsidP="008A215A">
                            <w:pPr>
                              <w:jc w:val="center"/>
                              <w:rPr>
                                <w:b/>
                                <w:color w:val="FFFFFF"/>
                              </w:rPr>
                            </w:pPr>
                            <w:r w:rsidRPr="00317DB1">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61ED1" id="Text Box 9" o:spid="_x0000_s1031" type="#_x0000_t202" style="position:absolute;left:0;text-align:left;margin-left:-21.4pt;margin-top:72.05pt;width:93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" filled="f" stroked="f" strokeweight=".5pt">
                <v:textbox>
                  <w:txbxContent>
                    <w:p w14:paraId="16AEDDE4" w14:textId="77777777" w:rsidR="00165AF7" w:rsidRPr="00317DB1" w:rsidRDefault="00165AF7" w:rsidP="008A215A">
                      <w:pPr>
                        <w:jc w:val="center"/>
                        <w:rPr>
                          <w:b/>
                          <w:color w:val="FFFFFF"/>
                        </w:rPr>
                      </w:pPr>
                      <w:r w:rsidRPr="00317DB1">
                        <w:rPr>
                          <w:b/>
                          <w:color w:val="FFFFFF"/>
                          <w:lang w:val="pt-BR"/>
                        </w:rPr>
                        <w:t>www.cidh.org</w:t>
                      </w:r>
                    </w:p>
                  </w:txbxContent>
                </v:textbox>
              </v:shape>
            </w:pict>
          </mc:Fallback>
        </mc:AlternateContent>
      </w:r>
    </w:p>
    <w:p w14:paraId="615DA387" w14:textId="77777777" w:rsidR="008A215A" w:rsidRPr="00B24A3C" w:rsidRDefault="008A215A" w:rsidP="008A215A">
      <w:pPr>
        <w:tabs>
          <w:tab w:val="center" w:pos="5400"/>
        </w:tabs>
        <w:suppressAutoHyphens/>
        <w:spacing w:after="0" w:line="240" w:lineRule="auto"/>
        <w:jc w:val="center"/>
        <w:rPr>
          <w:rFonts w:ascii="Cambria" w:hAnsi="Cambria"/>
          <w:b/>
          <w:sz w:val="18"/>
          <w:szCs w:val="18"/>
        </w:rPr>
        <w:sectPr w:rsidR="008A215A" w:rsidRPr="00B24A3C" w:rsidSect="00D4301A">
          <w:headerReference w:type="even" r:id="rId10"/>
          <w:headerReference w:type="default" r:id="rId11"/>
          <w:footerReference w:type="default" r:id="rId12"/>
          <w:footerReference w:type="first" r:id="rId13"/>
          <w:pgSz w:w="12240" w:h="15840" w:code="1"/>
          <w:pgMar w:top="1440" w:right="1440" w:bottom="1440" w:left="1440" w:header="720" w:footer="720" w:gutter="0"/>
          <w:pgNumType w:start="0"/>
          <w:cols w:space="720"/>
          <w:titlePg/>
          <w:docGrid w:linePitch="326"/>
        </w:sectPr>
      </w:pPr>
    </w:p>
    <w:p w14:paraId="198D508F" w14:textId="77777777" w:rsidR="00377C39" w:rsidRDefault="00377C39" w:rsidP="00FD77E1">
      <w:pPr>
        <w:tabs>
          <w:tab w:val="center" w:pos="5400"/>
        </w:tabs>
        <w:suppressAutoHyphens/>
        <w:spacing w:after="0" w:line="240" w:lineRule="auto"/>
        <w:rPr>
          <w:rFonts w:ascii="Cambria" w:hAnsi="Cambria"/>
          <w:b/>
          <w:sz w:val="18"/>
          <w:szCs w:val="18"/>
          <w:lang w:val="es-ES"/>
        </w:rPr>
      </w:pPr>
    </w:p>
    <w:p w14:paraId="77977BED" w14:textId="097A19C1" w:rsidR="00377C39" w:rsidRPr="00FD77E1" w:rsidRDefault="00377C39" w:rsidP="00A1175D">
      <w:pPr>
        <w:tabs>
          <w:tab w:val="center" w:pos="5400"/>
        </w:tabs>
        <w:suppressAutoHyphens/>
        <w:spacing w:after="0" w:line="240" w:lineRule="auto"/>
        <w:jc w:val="center"/>
        <w:rPr>
          <w:rFonts w:ascii="Cambria" w:hAnsi="Cambria"/>
          <w:b/>
          <w:sz w:val="24"/>
          <w:szCs w:val="24"/>
          <w:lang w:val="es-ES"/>
        </w:rPr>
      </w:pPr>
      <w:r w:rsidRPr="00FD77E1">
        <w:rPr>
          <w:rFonts w:ascii="Cambria" w:hAnsi="Cambria"/>
          <w:b/>
          <w:sz w:val="24"/>
          <w:szCs w:val="24"/>
          <w:lang w:val="es-ES"/>
        </w:rPr>
        <w:t>INDEX</w:t>
      </w:r>
    </w:p>
    <w:p w14:paraId="5D582BF4" w14:textId="77777777" w:rsidR="00377C39" w:rsidRPr="009C495F" w:rsidRDefault="00377C39" w:rsidP="00A1175D">
      <w:pPr>
        <w:tabs>
          <w:tab w:val="center" w:pos="5400"/>
        </w:tabs>
        <w:suppressAutoHyphens/>
        <w:spacing w:after="0" w:line="240" w:lineRule="auto"/>
        <w:jc w:val="center"/>
        <w:rPr>
          <w:rFonts w:ascii="Cambria" w:hAnsi="Cambria"/>
          <w:bCs/>
          <w:lang w:val="es-ES"/>
        </w:rPr>
      </w:pPr>
    </w:p>
    <w:p w14:paraId="72E69442" w14:textId="77777777" w:rsidR="001F521C" w:rsidRPr="00BE7DE8" w:rsidRDefault="001F521C" w:rsidP="001B6FEB">
      <w:pPr>
        <w:tabs>
          <w:tab w:val="left" w:pos="720"/>
          <w:tab w:val="center" w:pos="5400"/>
        </w:tabs>
        <w:suppressAutoHyphens/>
        <w:spacing w:after="0" w:line="240" w:lineRule="auto"/>
        <w:jc w:val="center"/>
        <w:rPr>
          <w:rFonts w:ascii="Cambria" w:hAnsi="Cambria"/>
          <w:bCs/>
          <w:lang w:val="es-ES"/>
        </w:rPr>
      </w:pPr>
    </w:p>
    <w:p w14:paraId="1AA4F4CF" w14:textId="657C2D43" w:rsidR="00BE7DE8" w:rsidRPr="001B6FEB" w:rsidRDefault="00CF6060" w:rsidP="001B6FEB">
      <w:pPr>
        <w:pStyle w:val="TOC1"/>
        <w:tabs>
          <w:tab w:val="left" w:pos="720"/>
        </w:tabs>
        <w:rPr>
          <w:rFonts w:ascii="Cambria" w:eastAsiaTheme="minorEastAsia" w:hAnsi="Cambria" w:cstheme="minorBidi"/>
          <w:bCs/>
          <w:noProof/>
          <w:lang w:val="es-US" w:eastAsia="zh-CN"/>
        </w:rPr>
      </w:pPr>
      <w:r w:rsidRPr="001B6FEB">
        <w:rPr>
          <w:rFonts w:ascii="Cambria" w:hAnsi="Cambria"/>
          <w:bCs/>
          <w:sz w:val="20"/>
          <w:szCs w:val="20"/>
          <w:lang w:val="es-ES"/>
        </w:rPr>
        <w:fldChar w:fldCharType="begin"/>
      </w:r>
      <w:r w:rsidRPr="001B6FEB">
        <w:rPr>
          <w:rFonts w:ascii="Cambria" w:hAnsi="Cambria"/>
          <w:bCs/>
          <w:sz w:val="20"/>
          <w:szCs w:val="20"/>
          <w:lang w:val="es-ES"/>
        </w:rPr>
        <w:instrText xml:space="preserve"> TOC \o "1-3" \h \z \u </w:instrText>
      </w:r>
      <w:r w:rsidRPr="001B6FEB">
        <w:rPr>
          <w:rFonts w:ascii="Cambria" w:hAnsi="Cambria"/>
          <w:bCs/>
          <w:sz w:val="20"/>
          <w:szCs w:val="20"/>
          <w:lang w:val="es-ES"/>
        </w:rPr>
        <w:fldChar w:fldCharType="separate"/>
      </w:r>
      <w:hyperlink w:anchor="_Toc84429167" w:history="1">
        <w:r w:rsidR="00BE7DE8" w:rsidRPr="001B6FEB">
          <w:rPr>
            <w:rStyle w:val="Hyperlink"/>
            <w:rFonts w:ascii="Cambria" w:hAnsi="Cambria"/>
            <w:bCs/>
            <w:noProof/>
            <w:sz w:val="20"/>
            <w:szCs w:val="20"/>
          </w:rPr>
          <w:t>I.</w:t>
        </w:r>
        <w:r w:rsidR="00BE7DE8" w:rsidRPr="001B6FEB">
          <w:rPr>
            <w:rFonts w:ascii="Cambria" w:eastAsiaTheme="minorEastAsia" w:hAnsi="Cambria" w:cstheme="minorBidi"/>
            <w:bCs/>
            <w:noProof/>
            <w:lang w:val="es-US" w:eastAsia="zh-CN"/>
          </w:rPr>
          <w:tab/>
        </w:r>
        <w:r w:rsidR="00BE7DE8" w:rsidRPr="001B6FEB">
          <w:rPr>
            <w:rStyle w:val="Hyperlink"/>
            <w:rFonts w:ascii="Cambria" w:hAnsi="Cambria"/>
            <w:bCs/>
            <w:noProof/>
            <w:sz w:val="20"/>
            <w:szCs w:val="20"/>
          </w:rPr>
          <w:t>SUMMARY</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_Toc84429167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2</w:t>
        </w:r>
        <w:r w:rsidR="00BE7DE8" w:rsidRPr="001B6FEB">
          <w:rPr>
            <w:rFonts w:ascii="Cambria" w:hAnsi="Cambria"/>
            <w:bCs/>
            <w:noProof/>
            <w:webHidden/>
            <w:sz w:val="20"/>
            <w:szCs w:val="20"/>
          </w:rPr>
          <w:fldChar w:fldCharType="end"/>
        </w:r>
      </w:hyperlink>
    </w:p>
    <w:p w14:paraId="455062F8" w14:textId="0729FF17" w:rsidR="00BE7DE8" w:rsidRPr="001B6FEB" w:rsidRDefault="00DB113E" w:rsidP="001B6FEB">
      <w:pPr>
        <w:pStyle w:val="TOC1"/>
        <w:tabs>
          <w:tab w:val="left" w:pos="720"/>
        </w:tabs>
        <w:rPr>
          <w:rFonts w:ascii="Cambria" w:eastAsiaTheme="minorEastAsia" w:hAnsi="Cambria" w:cstheme="minorBidi"/>
          <w:bCs/>
          <w:noProof/>
          <w:lang w:val="es-US" w:eastAsia="zh-CN"/>
        </w:rPr>
      </w:pPr>
      <w:hyperlink w:anchor="_Toc84429168" w:history="1">
        <w:r w:rsidR="00BE7DE8" w:rsidRPr="001B6FEB">
          <w:rPr>
            <w:rStyle w:val="Hyperlink"/>
            <w:rFonts w:ascii="Cambria" w:hAnsi="Cambria"/>
            <w:bCs/>
            <w:noProof/>
            <w:sz w:val="20"/>
            <w:szCs w:val="20"/>
          </w:rPr>
          <w:t>II.</w:t>
        </w:r>
        <w:r w:rsidR="00BE7DE8" w:rsidRPr="001B6FEB">
          <w:rPr>
            <w:rFonts w:ascii="Cambria" w:eastAsiaTheme="minorEastAsia" w:hAnsi="Cambria" w:cstheme="minorBidi"/>
            <w:bCs/>
            <w:noProof/>
            <w:lang w:val="es-US" w:eastAsia="zh-CN"/>
          </w:rPr>
          <w:tab/>
        </w:r>
        <w:r w:rsidR="00BE7DE8" w:rsidRPr="001B6FEB">
          <w:rPr>
            <w:rStyle w:val="Hyperlink"/>
            <w:rFonts w:ascii="Cambria" w:hAnsi="Cambria"/>
            <w:bCs/>
            <w:noProof/>
            <w:sz w:val="20"/>
            <w:szCs w:val="20"/>
          </w:rPr>
          <w:t>PROCEEDINGS BEFORE THE COMMISSION</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_Toc84429168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2</w:t>
        </w:r>
        <w:r w:rsidR="00BE7DE8" w:rsidRPr="001B6FEB">
          <w:rPr>
            <w:rFonts w:ascii="Cambria" w:hAnsi="Cambria"/>
            <w:bCs/>
            <w:noProof/>
            <w:webHidden/>
            <w:sz w:val="20"/>
            <w:szCs w:val="20"/>
          </w:rPr>
          <w:fldChar w:fldCharType="end"/>
        </w:r>
      </w:hyperlink>
    </w:p>
    <w:p w14:paraId="37F19FA8" w14:textId="08717F75" w:rsidR="00BE7DE8" w:rsidRPr="001B6FEB" w:rsidRDefault="00DB113E" w:rsidP="001B6FEB">
      <w:pPr>
        <w:pStyle w:val="TOC1"/>
        <w:tabs>
          <w:tab w:val="left" w:pos="720"/>
        </w:tabs>
        <w:rPr>
          <w:rFonts w:ascii="Cambria" w:eastAsiaTheme="minorEastAsia" w:hAnsi="Cambria" w:cstheme="minorBidi"/>
          <w:bCs/>
          <w:noProof/>
          <w:lang w:val="es-US" w:eastAsia="zh-CN"/>
        </w:rPr>
      </w:pPr>
      <w:hyperlink w:anchor="_Toc84429169" w:history="1">
        <w:r w:rsidR="00BE7DE8" w:rsidRPr="001B6FEB">
          <w:rPr>
            <w:rStyle w:val="Hyperlink"/>
            <w:rFonts w:ascii="Cambria" w:hAnsi="Cambria"/>
            <w:bCs/>
            <w:noProof/>
            <w:sz w:val="20"/>
            <w:szCs w:val="20"/>
          </w:rPr>
          <w:t>III.</w:t>
        </w:r>
        <w:r w:rsidR="00BE7DE8" w:rsidRPr="001B6FEB">
          <w:rPr>
            <w:rFonts w:ascii="Cambria" w:eastAsiaTheme="minorEastAsia" w:hAnsi="Cambria" w:cstheme="minorBidi"/>
            <w:bCs/>
            <w:noProof/>
            <w:lang w:val="es-US" w:eastAsia="zh-CN"/>
          </w:rPr>
          <w:tab/>
        </w:r>
        <w:r w:rsidR="00BE7DE8" w:rsidRPr="001B6FEB">
          <w:rPr>
            <w:rStyle w:val="Hyperlink"/>
            <w:rFonts w:ascii="Cambria" w:hAnsi="Cambria"/>
            <w:bCs/>
            <w:noProof/>
            <w:sz w:val="20"/>
            <w:szCs w:val="20"/>
          </w:rPr>
          <w:t>POSITION OF THE PARTIES</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_Toc84429169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2</w:t>
        </w:r>
        <w:r w:rsidR="00BE7DE8" w:rsidRPr="001B6FEB">
          <w:rPr>
            <w:rFonts w:ascii="Cambria" w:hAnsi="Cambria"/>
            <w:bCs/>
            <w:noProof/>
            <w:webHidden/>
            <w:sz w:val="20"/>
            <w:szCs w:val="20"/>
          </w:rPr>
          <w:fldChar w:fldCharType="end"/>
        </w:r>
      </w:hyperlink>
    </w:p>
    <w:p w14:paraId="4B86C885" w14:textId="78FC259F" w:rsidR="00BE7DE8" w:rsidRPr="001B6FEB" w:rsidRDefault="00DB113E" w:rsidP="001B6FEB">
      <w:pPr>
        <w:pStyle w:val="TOC2"/>
        <w:tabs>
          <w:tab w:val="left" w:pos="720"/>
        </w:tabs>
        <w:rPr>
          <w:rFonts w:ascii="Cambria" w:eastAsiaTheme="minorEastAsia" w:hAnsi="Cambria" w:cstheme="minorBidi"/>
          <w:bCs/>
          <w:noProof/>
          <w:lang w:val="es-US" w:eastAsia="zh-CN"/>
        </w:rPr>
      </w:pPr>
      <w:hyperlink w:anchor="_Toc84429170" w:history="1">
        <w:r w:rsidR="00BE7DE8" w:rsidRPr="001B6FEB">
          <w:rPr>
            <w:rStyle w:val="Hyperlink"/>
            <w:rFonts w:ascii="Cambria" w:hAnsi="Cambria"/>
            <w:bCs/>
            <w:noProof/>
            <w:sz w:val="20"/>
            <w:szCs w:val="20"/>
          </w:rPr>
          <w:t>A.</w:t>
        </w:r>
        <w:r w:rsidR="00BE7DE8" w:rsidRPr="001B6FEB">
          <w:rPr>
            <w:rFonts w:ascii="Cambria" w:eastAsiaTheme="minorEastAsia" w:hAnsi="Cambria" w:cstheme="minorBidi"/>
            <w:bCs/>
            <w:noProof/>
            <w:lang w:val="es-US" w:eastAsia="zh-CN"/>
          </w:rPr>
          <w:tab/>
        </w:r>
        <w:r w:rsidR="001B6FEB">
          <w:rPr>
            <w:rFonts w:ascii="Cambria" w:eastAsiaTheme="minorEastAsia" w:hAnsi="Cambria" w:cstheme="minorBidi"/>
            <w:bCs/>
            <w:noProof/>
            <w:lang w:val="es-US" w:eastAsia="zh-CN"/>
          </w:rPr>
          <w:tab/>
        </w:r>
        <w:r w:rsidR="00BE7DE8" w:rsidRPr="001B6FEB">
          <w:rPr>
            <w:rStyle w:val="Hyperlink"/>
            <w:rFonts w:ascii="Cambria" w:hAnsi="Cambria"/>
            <w:bCs/>
            <w:noProof/>
            <w:sz w:val="20"/>
            <w:szCs w:val="20"/>
          </w:rPr>
          <w:t>Petitioners</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_Toc84429170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2</w:t>
        </w:r>
        <w:r w:rsidR="00BE7DE8" w:rsidRPr="001B6FEB">
          <w:rPr>
            <w:rFonts w:ascii="Cambria" w:hAnsi="Cambria"/>
            <w:bCs/>
            <w:noProof/>
            <w:webHidden/>
            <w:sz w:val="20"/>
            <w:szCs w:val="20"/>
          </w:rPr>
          <w:fldChar w:fldCharType="end"/>
        </w:r>
      </w:hyperlink>
    </w:p>
    <w:p w14:paraId="0CC78404" w14:textId="240B9A0E" w:rsidR="00BE7DE8" w:rsidRPr="001B6FEB" w:rsidRDefault="00DB113E" w:rsidP="001B6FEB">
      <w:pPr>
        <w:pStyle w:val="TOC2"/>
        <w:tabs>
          <w:tab w:val="left" w:pos="720"/>
        </w:tabs>
        <w:rPr>
          <w:rFonts w:ascii="Cambria" w:eastAsiaTheme="minorEastAsia" w:hAnsi="Cambria" w:cstheme="minorBidi"/>
          <w:bCs/>
          <w:noProof/>
          <w:lang w:val="es-US" w:eastAsia="zh-CN"/>
        </w:rPr>
      </w:pPr>
      <w:hyperlink w:anchor="_Toc84429171" w:history="1">
        <w:r w:rsidR="00BE7DE8" w:rsidRPr="001B6FEB">
          <w:rPr>
            <w:rStyle w:val="Hyperlink"/>
            <w:rFonts w:ascii="Cambria" w:eastAsia="MS Gothic" w:hAnsi="Cambria"/>
            <w:bCs/>
            <w:noProof/>
            <w:sz w:val="20"/>
            <w:szCs w:val="20"/>
          </w:rPr>
          <w:t>B.</w:t>
        </w:r>
        <w:r w:rsidR="00BE7DE8" w:rsidRPr="001B6FEB">
          <w:rPr>
            <w:rFonts w:ascii="Cambria" w:eastAsiaTheme="minorEastAsia" w:hAnsi="Cambria" w:cstheme="minorBidi"/>
            <w:bCs/>
            <w:noProof/>
            <w:lang w:val="es-US" w:eastAsia="zh-CN"/>
          </w:rPr>
          <w:tab/>
        </w:r>
        <w:r w:rsidR="001B6FEB">
          <w:rPr>
            <w:rFonts w:ascii="Cambria" w:eastAsiaTheme="minorEastAsia" w:hAnsi="Cambria" w:cstheme="minorBidi"/>
            <w:bCs/>
            <w:noProof/>
            <w:lang w:val="es-US" w:eastAsia="zh-CN"/>
          </w:rPr>
          <w:t xml:space="preserve">  </w:t>
        </w:r>
        <w:r w:rsidR="00BE7DE8" w:rsidRPr="001B6FEB">
          <w:rPr>
            <w:rStyle w:val="Hyperlink"/>
            <w:rFonts w:ascii="Cambria" w:eastAsia="MS Gothic" w:hAnsi="Cambria"/>
            <w:bCs/>
            <w:noProof/>
            <w:sz w:val="20"/>
            <w:szCs w:val="20"/>
          </w:rPr>
          <w:t>State</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_Toc84429171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3</w:t>
        </w:r>
        <w:r w:rsidR="00BE7DE8" w:rsidRPr="001B6FEB">
          <w:rPr>
            <w:rFonts w:ascii="Cambria" w:hAnsi="Cambria"/>
            <w:bCs/>
            <w:noProof/>
            <w:webHidden/>
            <w:sz w:val="20"/>
            <w:szCs w:val="20"/>
          </w:rPr>
          <w:fldChar w:fldCharType="end"/>
        </w:r>
      </w:hyperlink>
    </w:p>
    <w:p w14:paraId="5D203DEE" w14:textId="5FFD9461" w:rsidR="00BE7DE8" w:rsidRPr="001B6FEB" w:rsidRDefault="00DB113E" w:rsidP="001B6FEB">
      <w:pPr>
        <w:pStyle w:val="TOC1"/>
        <w:tabs>
          <w:tab w:val="left" w:pos="720"/>
        </w:tabs>
        <w:rPr>
          <w:rFonts w:ascii="Cambria" w:eastAsiaTheme="minorEastAsia" w:hAnsi="Cambria" w:cstheme="minorBidi"/>
          <w:bCs/>
          <w:noProof/>
          <w:lang w:val="es-US" w:eastAsia="zh-CN"/>
        </w:rPr>
      </w:pPr>
      <w:hyperlink w:anchor="_Toc84429172" w:history="1">
        <w:r w:rsidR="00BE7DE8" w:rsidRPr="001B6FEB">
          <w:rPr>
            <w:rStyle w:val="Hyperlink"/>
            <w:rFonts w:ascii="Cambria" w:hAnsi="Cambria"/>
            <w:bCs/>
            <w:noProof/>
            <w:sz w:val="20"/>
            <w:szCs w:val="20"/>
          </w:rPr>
          <w:t>IV.</w:t>
        </w:r>
        <w:r w:rsidR="00BE7DE8" w:rsidRPr="001B6FEB">
          <w:rPr>
            <w:rFonts w:ascii="Cambria" w:eastAsiaTheme="minorEastAsia" w:hAnsi="Cambria" w:cstheme="minorBidi"/>
            <w:bCs/>
            <w:noProof/>
            <w:lang w:val="es-US" w:eastAsia="zh-CN"/>
          </w:rPr>
          <w:tab/>
        </w:r>
        <w:r w:rsidR="00BE7DE8" w:rsidRPr="001B6FEB">
          <w:rPr>
            <w:rStyle w:val="Hyperlink"/>
            <w:rFonts w:ascii="Cambria" w:hAnsi="Cambria"/>
            <w:bCs/>
            <w:noProof/>
            <w:sz w:val="20"/>
            <w:szCs w:val="20"/>
          </w:rPr>
          <w:t>ESTABLISHED FACTS</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_Toc84429172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3</w:t>
        </w:r>
        <w:r w:rsidR="00BE7DE8" w:rsidRPr="001B6FEB">
          <w:rPr>
            <w:rFonts w:ascii="Cambria" w:hAnsi="Cambria"/>
            <w:bCs/>
            <w:noProof/>
            <w:webHidden/>
            <w:sz w:val="20"/>
            <w:szCs w:val="20"/>
          </w:rPr>
          <w:fldChar w:fldCharType="end"/>
        </w:r>
      </w:hyperlink>
    </w:p>
    <w:p w14:paraId="38F4C14E" w14:textId="7DF84429" w:rsidR="00BE7DE8" w:rsidRPr="001B6FEB" w:rsidRDefault="00DB113E" w:rsidP="001B6FEB">
      <w:pPr>
        <w:pStyle w:val="TOC1"/>
        <w:tabs>
          <w:tab w:val="left" w:pos="720"/>
        </w:tabs>
        <w:rPr>
          <w:rFonts w:ascii="Cambria" w:eastAsiaTheme="minorEastAsia" w:hAnsi="Cambria" w:cstheme="minorBidi"/>
          <w:bCs/>
          <w:noProof/>
          <w:lang w:val="es-US" w:eastAsia="zh-CN"/>
        </w:rPr>
      </w:pPr>
      <w:hyperlink w:anchor="_Toc84429173" w:history="1">
        <w:r w:rsidR="00BE7DE8" w:rsidRPr="001B6FEB">
          <w:rPr>
            <w:rStyle w:val="Hyperlink"/>
            <w:rFonts w:ascii="Cambria" w:hAnsi="Cambria"/>
            <w:bCs/>
            <w:noProof/>
            <w:sz w:val="20"/>
            <w:szCs w:val="20"/>
          </w:rPr>
          <w:t>V.</w:t>
        </w:r>
        <w:r w:rsidR="00BE7DE8" w:rsidRPr="001B6FEB">
          <w:rPr>
            <w:rFonts w:ascii="Cambria" w:eastAsiaTheme="minorEastAsia" w:hAnsi="Cambria" w:cstheme="minorBidi"/>
            <w:bCs/>
            <w:noProof/>
            <w:lang w:val="es-US" w:eastAsia="zh-CN"/>
          </w:rPr>
          <w:tab/>
        </w:r>
        <w:r w:rsidR="00BE7DE8" w:rsidRPr="001B6FEB">
          <w:rPr>
            <w:rStyle w:val="Hyperlink"/>
            <w:rFonts w:ascii="Cambria" w:hAnsi="Cambria"/>
            <w:bCs/>
            <w:noProof/>
            <w:sz w:val="20"/>
            <w:szCs w:val="20"/>
          </w:rPr>
          <w:t>ANALYSIS OF THE MERITS</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_Toc84429173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7</w:t>
        </w:r>
        <w:r w:rsidR="00BE7DE8" w:rsidRPr="001B6FEB">
          <w:rPr>
            <w:rFonts w:ascii="Cambria" w:hAnsi="Cambria"/>
            <w:bCs/>
            <w:noProof/>
            <w:webHidden/>
            <w:sz w:val="20"/>
            <w:szCs w:val="20"/>
          </w:rPr>
          <w:fldChar w:fldCharType="end"/>
        </w:r>
      </w:hyperlink>
    </w:p>
    <w:p w14:paraId="20A8B21E" w14:textId="5D8C0039" w:rsidR="00BE7DE8" w:rsidRPr="001B6FEB" w:rsidRDefault="00DB113E" w:rsidP="001B6FEB">
      <w:pPr>
        <w:pStyle w:val="TOC2"/>
        <w:tabs>
          <w:tab w:val="left" w:pos="720"/>
        </w:tabs>
        <w:rPr>
          <w:rFonts w:ascii="Cambria" w:eastAsiaTheme="minorEastAsia" w:hAnsi="Cambria" w:cstheme="minorBidi"/>
          <w:bCs/>
          <w:noProof/>
          <w:lang w:val="es-US" w:eastAsia="zh-CN"/>
        </w:rPr>
      </w:pPr>
      <w:hyperlink w:anchor="_Toc84429174" w:history="1">
        <w:r w:rsidR="00BE7DE8" w:rsidRPr="001B6FEB">
          <w:rPr>
            <w:rStyle w:val="Hyperlink"/>
            <w:rFonts w:ascii="Cambria" w:hAnsi="Cambria"/>
            <w:bCs/>
            <w:noProof/>
            <w:sz w:val="20"/>
            <w:szCs w:val="20"/>
          </w:rPr>
          <w:t>A.</w:t>
        </w:r>
        <w:r w:rsidR="00BE7DE8" w:rsidRPr="001B6FEB">
          <w:rPr>
            <w:rFonts w:ascii="Cambria" w:eastAsiaTheme="minorEastAsia" w:hAnsi="Cambria" w:cstheme="minorBidi"/>
            <w:bCs/>
            <w:noProof/>
            <w:lang w:val="es-US" w:eastAsia="zh-CN"/>
          </w:rPr>
          <w:tab/>
        </w:r>
        <w:r w:rsidR="00BE7DE8" w:rsidRPr="001B6FEB">
          <w:rPr>
            <w:rStyle w:val="Hyperlink"/>
            <w:rFonts w:ascii="Cambria" w:hAnsi="Cambria"/>
            <w:bCs/>
            <w:noProof/>
            <w:sz w:val="20"/>
            <w:szCs w:val="20"/>
          </w:rPr>
          <w:t>Rights to a fair trial and judicial protection (Articles 8 y 25 of the American Convention)</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_Toc84429174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7</w:t>
        </w:r>
        <w:r w:rsidR="00BE7DE8" w:rsidRPr="001B6FEB">
          <w:rPr>
            <w:rFonts w:ascii="Cambria" w:hAnsi="Cambria"/>
            <w:bCs/>
            <w:noProof/>
            <w:webHidden/>
            <w:sz w:val="20"/>
            <w:szCs w:val="20"/>
          </w:rPr>
          <w:fldChar w:fldCharType="end"/>
        </w:r>
      </w:hyperlink>
    </w:p>
    <w:p w14:paraId="02C5E824" w14:textId="5EC086FC" w:rsidR="00BE7DE8" w:rsidRPr="001B6FEB" w:rsidRDefault="00DB113E" w:rsidP="001B6FEB">
      <w:pPr>
        <w:pStyle w:val="TOC2"/>
        <w:tabs>
          <w:tab w:val="left" w:pos="720"/>
          <w:tab w:val="left" w:pos="960"/>
        </w:tabs>
        <w:rPr>
          <w:rFonts w:ascii="Cambria" w:eastAsiaTheme="minorEastAsia" w:hAnsi="Cambria" w:cstheme="minorBidi"/>
          <w:bCs/>
          <w:noProof/>
          <w:lang w:val="es-US" w:eastAsia="zh-CN"/>
        </w:rPr>
      </w:pPr>
      <w:hyperlink w:anchor="_Toc84429175" w:history="1">
        <w:r w:rsidR="00BE7DE8" w:rsidRPr="001B6FEB">
          <w:rPr>
            <w:rStyle w:val="Hyperlink"/>
            <w:rFonts w:ascii="Cambria" w:hAnsi="Cambria"/>
            <w:bCs/>
            <w:noProof/>
            <w:sz w:val="20"/>
            <w:szCs w:val="20"/>
          </w:rPr>
          <w:t xml:space="preserve">B. </w:t>
        </w:r>
        <w:r w:rsidR="00BE7DE8" w:rsidRPr="001B6FEB">
          <w:rPr>
            <w:rFonts w:ascii="Cambria" w:eastAsiaTheme="minorEastAsia" w:hAnsi="Cambria" w:cstheme="minorBidi"/>
            <w:bCs/>
            <w:noProof/>
            <w:lang w:val="es-US" w:eastAsia="zh-CN"/>
          </w:rPr>
          <w:tab/>
        </w:r>
        <w:r w:rsidR="00BE7DE8" w:rsidRPr="001B6FEB">
          <w:rPr>
            <w:rStyle w:val="Hyperlink"/>
            <w:rFonts w:ascii="Cambria" w:hAnsi="Cambria"/>
            <w:bCs/>
            <w:noProof/>
            <w:sz w:val="20"/>
            <w:szCs w:val="20"/>
          </w:rPr>
          <w:t>Right to personal liberty (Article 7 of the American Convention, in relation to Article 1.1 of such instrument)</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_Toc84429175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11</w:t>
        </w:r>
        <w:r w:rsidR="00BE7DE8" w:rsidRPr="001B6FEB">
          <w:rPr>
            <w:rFonts w:ascii="Cambria" w:hAnsi="Cambria"/>
            <w:bCs/>
            <w:noProof/>
            <w:webHidden/>
            <w:sz w:val="20"/>
            <w:szCs w:val="20"/>
          </w:rPr>
          <w:fldChar w:fldCharType="end"/>
        </w:r>
      </w:hyperlink>
    </w:p>
    <w:p w14:paraId="7D676C3D" w14:textId="653F7E66" w:rsidR="00BE7DE8" w:rsidRPr="001B6FEB" w:rsidRDefault="00DB113E" w:rsidP="001B6FEB">
      <w:pPr>
        <w:pStyle w:val="TOC1"/>
        <w:tabs>
          <w:tab w:val="left" w:pos="720"/>
        </w:tabs>
        <w:rPr>
          <w:rFonts w:ascii="Cambria" w:eastAsiaTheme="minorEastAsia" w:hAnsi="Cambria" w:cstheme="minorBidi"/>
          <w:bCs/>
          <w:noProof/>
          <w:lang w:val="es-US" w:eastAsia="zh-CN"/>
        </w:rPr>
      </w:pPr>
      <w:hyperlink w:anchor="_Toc84429176" w:history="1">
        <w:r w:rsidR="00BE7DE8" w:rsidRPr="001B6FEB">
          <w:rPr>
            <w:rStyle w:val="Hyperlink"/>
            <w:rFonts w:ascii="Cambria" w:hAnsi="Cambria"/>
            <w:bCs/>
            <w:noProof/>
            <w:sz w:val="20"/>
            <w:szCs w:val="20"/>
          </w:rPr>
          <w:t>VI.</w:t>
        </w:r>
        <w:r w:rsidR="00BE7DE8" w:rsidRPr="001B6FEB">
          <w:rPr>
            <w:rFonts w:ascii="Cambria" w:eastAsiaTheme="minorEastAsia" w:hAnsi="Cambria" w:cstheme="minorBidi"/>
            <w:bCs/>
            <w:noProof/>
            <w:lang w:val="es-US" w:eastAsia="zh-CN"/>
          </w:rPr>
          <w:tab/>
        </w:r>
        <w:r w:rsidR="00BE7DE8" w:rsidRPr="001B6FEB">
          <w:rPr>
            <w:rStyle w:val="Hyperlink"/>
            <w:rFonts w:ascii="Cambria" w:hAnsi="Cambria"/>
            <w:bCs/>
            <w:noProof/>
            <w:sz w:val="20"/>
            <w:szCs w:val="20"/>
          </w:rPr>
          <w:t>PROCEEDINGS SUBSEQUENT TO REPORT No. 98/19 AND INFORMATION ABOUT COMPLIANCE</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_Toc84429176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13</w:t>
        </w:r>
        <w:r w:rsidR="00BE7DE8" w:rsidRPr="001B6FEB">
          <w:rPr>
            <w:rFonts w:ascii="Cambria" w:hAnsi="Cambria"/>
            <w:bCs/>
            <w:noProof/>
            <w:webHidden/>
            <w:sz w:val="20"/>
            <w:szCs w:val="20"/>
          </w:rPr>
          <w:fldChar w:fldCharType="end"/>
        </w:r>
      </w:hyperlink>
    </w:p>
    <w:p w14:paraId="03B06517" w14:textId="48F4558B" w:rsidR="00BE7DE8" w:rsidRPr="001B6FEB" w:rsidRDefault="00DB113E" w:rsidP="001B6FEB">
      <w:pPr>
        <w:pStyle w:val="TOC1"/>
        <w:tabs>
          <w:tab w:val="left" w:pos="720"/>
        </w:tabs>
        <w:rPr>
          <w:rFonts w:ascii="Cambria" w:eastAsiaTheme="minorEastAsia" w:hAnsi="Cambria" w:cstheme="minorBidi"/>
          <w:bCs/>
          <w:noProof/>
          <w:lang w:val="es-US" w:eastAsia="zh-CN"/>
        </w:rPr>
      </w:pPr>
      <w:hyperlink w:anchor="_Toc84429177" w:history="1">
        <w:r w:rsidR="00BE7DE8" w:rsidRPr="001B6FEB">
          <w:rPr>
            <w:rStyle w:val="Hyperlink"/>
            <w:rFonts w:ascii="Cambria" w:hAnsi="Cambria"/>
            <w:bCs/>
            <w:noProof/>
            <w:sz w:val="20"/>
            <w:szCs w:val="20"/>
          </w:rPr>
          <w:t>VII.</w:t>
        </w:r>
        <w:r w:rsidR="00BE7DE8" w:rsidRPr="001B6FEB">
          <w:rPr>
            <w:rFonts w:ascii="Cambria" w:eastAsiaTheme="minorEastAsia" w:hAnsi="Cambria" w:cstheme="minorBidi"/>
            <w:bCs/>
            <w:noProof/>
            <w:lang w:val="es-US" w:eastAsia="zh-CN"/>
          </w:rPr>
          <w:tab/>
        </w:r>
        <w:r w:rsidR="00BE7DE8" w:rsidRPr="001B6FEB">
          <w:rPr>
            <w:rStyle w:val="Hyperlink"/>
            <w:rFonts w:ascii="Cambria" w:hAnsi="Cambria"/>
            <w:bCs/>
            <w:noProof/>
            <w:sz w:val="20"/>
            <w:szCs w:val="20"/>
          </w:rPr>
          <w:t>CONCLUSIONS AND FINAL RECOMMENDATIONS</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_Toc84429177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15</w:t>
        </w:r>
        <w:r w:rsidR="00BE7DE8" w:rsidRPr="001B6FEB">
          <w:rPr>
            <w:rFonts w:ascii="Cambria" w:hAnsi="Cambria"/>
            <w:bCs/>
            <w:noProof/>
            <w:webHidden/>
            <w:sz w:val="20"/>
            <w:szCs w:val="20"/>
          </w:rPr>
          <w:fldChar w:fldCharType="end"/>
        </w:r>
      </w:hyperlink>
    </w:p>
    <w:p w14:paraId="2122D064" w14:textId="03BA33A7" w:rsidR="00BE7DE8" w:rsidRPr="001B6FEB" w:rsidRDefault="00DB113E" w:rsidP="001B6FEB">
      <w:pPr>
        <w:pStyle w:val="TOC1"/>
        <w:tabs>
          <w:tab w:val="left" w:pos="720"/>
        </w:tabs>
        <w:rPr>
          <w:rFonts w:ascii="Cambria" w:eastAsiaTheme="minorEastAsia" w:hAnsi="Cambria" w:cstheme="minorBidi"/>
          <w:bCs/>
          <w:noProof/>
          <w:lang w:val="es-US" w:eastAsia="zh-CN"/>
        </w:rPr>
      </w:pPr>
      <w:hyperlink w:anchor="_Toc84429178" w:history="1">
        <w:r w:rsidR="00BE7DE8" w:rsidRPr="001B6FEB">
          <w:rPr>
            <w:rStyle w:val="Hyperlink"/>
            <w:rFonts w:ascii="Cambria" w:hAnsi="Cambria"/>
            <w:bCs/>
            <w:noProof/>
            <w:sz w:val="20"/>
            <w:szCs w:val="20"/>
          </w:rPr>
          <w:t>VIII.</w:t>
        </w:r>
        <w:r w:rsidR="00BE7DE8" w:rsidRPr="001B6FEB">
          <w:rPr>
            <w:rFonts w:ascii="Cambria" w:eastAsiaTheme="minorEastAsia" w:hAnsi="Cambria" w:cstheme="minorBidi"/>
            <w:bCs/>
            <w:noProof/>
            <w:lang w:val="es-US" w:eastAsia="zh-CN"/>
          </w:rPr>
          <w:tab/>
        </w:r>
        <w:r w:rsidR="00BE7DE8" w:rsidRPr="001B6FEB">
          <w:rPr>
            <w:rStyle w:val="Hyperlink"/>
            <w:rFonts w:ascii="Cambria" w:hAnsi="Cambria"/>
            <w:bCs/>
            <w:noProof/>
            <w:sz w:val="20"/>
            <w:szCs w:val="20"/>
          </w:rPr>
          <w:t>PUBLICATION</w:t>
        </w:r>
        <w:r w:rsidR="00BE7DE8" w:rsidRPr="001B6FEB">
          <w:rPr>
            <w:rFonts w:ascii="Cambria" w:hAnsi="Cambria"/>
            <w:bCs/>
            <w:noProof/>
            <w:webHidden/>
            <w:sz w:val="20"/>
            <w:szCs w:val="20"/>
          </w:rPr>
          <w:tab/>
        </w:r>
        <w:r w:rsidR="00BE7DE8" w:rsidRPr="001B6FEB">
          <w:rPr>
            <w:rFonts w:ascii="Cambria" w:hAnsi="Cambria"/>
            <w:bCs/>
            <w:noProof/>
            <w:webHidden/>
            <w:sz w:val="20"/>
            <w:szCs w:val="20"/>
          </w:rPr>
          <w:fldChar w:fldCharType="begin"/>
        </w:r>
        <w:r w:rsidR="00BE7DE8" w:rsidRPr="001B6FEB">
          <w:rPr>
            <w:rFonts w:ascii="Cambria" w:hAnsi="Cambria"/>
            <w:bCs/>
            <w:noProof/>
            <w:webHidden/>
            <w:sz w:val="20"/>
            <w:szCs w:val="20"/>
          </w:rPr>
          <w:instrText xml:space="preserve"> PAGEREF _Toc84429178 \h </w:instrText>
        </w:r>
        <w:r w:rsidR="00BE7DE8" w:rsidRPr="001B6FEB">
          <w:rPr>
            <w:rFonts w:ascii="Cambria" w:hAnsi="Cambria"/>
            <w:bCs/>
            <w:noProof/>
            <w:webHidden/>
            <w:sz w:val="20"/>
            <w:szCs w:val="20"/>
          </w:rPr>
        </w:r>
        <w:r w:rsidR="00BE7DE8" w:rsidRPr="001B6FEB">
          <w:rPr>
            <w:rFonts w:ascii="Cambria" w:hAnsi="Cambria"/>
            <w:bCs/>
            <w:noProof/>
            <w:webHidden/>
            <w:sz w:val="20"/>
            <w:szCs w:val="20"/>
          </w:rPr>
          <w:fldChar w:fldCharType="separate"/>
        </w:r>
        <w:r w:rsidR="00F34E12">
          <w:rPr>
            <w:rFonts w:ascii="Cambria" w:hAnsi="Cambria"/>
            <w:bCs/>
            <w:noProof/>
            <w:webHidden/>
            <w:sz w:val="20"/>
            <w:szCs w:val="20"/>
          </w:rPr>
          <w:t>15</w:t>
        </w:r>
        <w:r w:rsidR="00BE7DE8" w:rsidRPr="001B6FEB">
          <w:rPr>
            <w:rFonts w:ascii="Cambria" w:hAnsi="Cambria"/>
            <w:bCs/>
            <w:noProof/>
            <w:webHidden/>
            <w:sz w:val="20"/>
            <w:szCs w:val="20"/>
          </w:rPr>
          <w:fldChar w:fldCharType="end"/>
        </w:r>
      </w:hyperlink>
    </w:p>
    <w:p w14:paraId="1A9B1DB7" w14:textId="4FA1462C" w:rsidR="00377C39" w:rsidRPr="001B6FEB" w:rsidRDefault="00CF6060" w:rsidP="001B6FEB">
      <w:pPr>
        <w:tabs>
          <w:tab w:val="left" w:pos="720"/>
          <w:tab w:val="center" w:pos="5400"/>
        </w:tabs>
        <w:suppressAutoHyphens/>
        <w:spacing w:after="0" w:line="240" w:lineRule="auto"/>
        <w:jc w:val="center"/>
        <w:rPr>
          <w:rFonts w:ascii="Cambria" w:hAnsi="Cambria"/>
          <w:bCs/>
          <w:sz w:val="20"/>
          <w:szCs w:val="20"/>
          <w:lang w:val="es-ES"/>
        </w:rPr>
      </w:pPr>
      <w:r w:rsidRPr="001B6FEB">
        <w:rPr>
          <w:rFonts w:ascii="Cambria" w:hAnsi="Cambria"/>
          <w:bCs/>
          <w:sz w:val="20"/>
          <w:szCs w:val="20"/>
          <w:lang w:val="es-ES"/>
        </w:rPr>
        <w:fldChar w:fldCharType="end"/>
      </w:r>
    </w:p>
    <w:p w14:paraId="4BCFA270" w14:textId="77777777" w:rsidR="00377C39" w:rsidRPr="001B6FEB" w:rsidRDefault="00377C39" w:rsidP="00A1175D">
      <w:pPr>
        <w:tabs>
          <w:tab w:val="center" w:pos="5400"/>
        </w:tabs>
        <w:suppressAutoHyphens/>
        <w:spacing w:after="0" w:line="240" w:lineRule="auto"/>
        <w:jc w:val="center"/>
        <w:rPr>
          <w:rFonts w:ascii="Cambria" w:hAnsi="Cambria"/>
          <w:bCs/>
          <w:sz w:val="20"/>
          <w:szCs w:val="20"/>
          <w:lang w:val="es-ES"/>
        </w:rPr>
      </w:pPr>
    </w:p>
    <w:p w14:paraId="0FAD9425" w14:textId="7A73C97C" w:rsidR="00F37DF7" w:rsidRPr="00FD77E1" w:rsidRDefault="00377C39" w:rsidP="00FD77E1">
      <w:pPr>
        <w:spacing w:after="0" w:line="240" w:lineRule="auto"/>
        <w:rPr>
          <w:rFonts w:ascii="Cambria" w:hAnsi="Cambria"/>
          <w:sz w:val="20"/>
          <w:szCs w:val="20"/>
          <w:lang w:val="es-ES"/>
        </w:rPr>
      </w:pPr>
      <w:r w:rsidRPr="00CF6060">
        <w:rPr>
          <w:rFonts w:ascii="Cambria" w:hAnsi="Cambria"/>
          <w:sz w:val="20"/>
          <w:szCs w:val="20"/>
          <w:lang w:val="es-ES"/>
        </w:rPr>
        <w:br w:type="page"/>
      </w:r>
    </w:p>
    <w:p w14:paraId="1118FAD4" w14:textId="77777777" w:rsidR="00A1175D" w:rsidRPr="001F521C" w:rsidRDefault="00A1175D" w:rsidP="001F521C">
      <w:pPr>
        <w:pStyle w:val="Heading1"/>
        <w:ind w:left="1440" w:hanging="720"/>
        <w:rPr>
          <w:lang w:val="en-US"/>
        </w:rPr>
      </w:pPr>
      <w:bookmarkStart w:id="2" w:name="_Toc84429167"/>
      <w:r w:rsidRPr="001F521C">
        <w:rPr>
          <w:lang w:val="en-US"/>
        </w:rPr>
        <w:lastRenderedPageBreak/>
        <w:t>SUMMARY</w:t>
      </w:r>
      <w:bookmarkEnd w:id="2"/>
    </w:p>
    <w:p w14:paraId="065B5104" w14:textId="77777777" w:rsidR="00A1175D" w:rsidRPr="001F521C" w:rsidRDefault="00A1175D" w:rsidP="001F521C">
      <w:pPr>
        <w:spacing w:after="0" w:line="240" w:lineRule="auto"/>
        <w:ind w:firstLine="567"/>
        <w:jc w:val="both"/>
        <w:rPr>
          <w:rFonts w:ascii="Cambria" w:hAnsi="Cambria"/>
          <w:sz w:val="20"/>
          <w:szCs w:val="20"/>
        </w:rPr>
      </w:pPr>
    </w:p>
    <w:p w14:paraId="783FAA31" w14:textId="5361278B" w:rsidR="005E0CE4" w:rsidRPr="001F521C" w:rsidRDefault="00A1175D"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1F521C">
        <w:rPr>
          <w:rFonts w:ascii="Cambria" w:hAnsi="Cambria"/>
          <w:sz w:val="20"/>
          <w:szCs w:val="20"/>
          <w:lang w:val="en-US"/>
        </w:rPr>
        <w:t>On February 15, 2001, the Inter-American Commission on Human Rights (hereinafter "the Commission", "the Inter-American Commission" or "the IACHR") received a petition from the Office of the Ombudsman</w:t>
      </w:r>
      <w:r w:rsidR="001F521C" w:rsidRPr="001F521C">
        <w:rPr>
          <w:rFonts w:ascii="Cambria" w:hAnsi="Cambria"/>
          <w:sz w:val="20"/>
          <w:szCs w:val="20"/>
          <w:lang w:val="en-US"/>
        </w:rPr>
        <w:t xml:space="preserve"> (hereinafter “the petitioners”) against the Republic of Argentina</w:t>
      </w:r>
      <w:r w:rsidRPr="001F521C">
        <w:rPr>
          <w:rFonts w:ascii="Cambria" w:hAnsi="Cambria"/>
          <w:sz w:val="20"/>
          <w:szCs w:val="20"/>
          <w:lang w:val="en-US"/>
        </w:rPr>
        <w:t xml:space="preserve"> (hereinafter "the State", "the Argentine State" or "Argentina") given the violation of the right to defense to the detriment of Marcos Alejandro Martín (hereinafter "the alleged victim") in the context of </w:t>
      </w:r>
      <w:r w:rsidR="005E0CE4" w:rsidRPr="001F521C">
        <w:rPr>
          <w:rFonts w:ascii="Cambria" w:hAnsi="Cambria"/>
          <w:sz w:val="20"/>
          <w:szCs w:val="20"/>
          <w:lang w:val="en-US"/>
        </w:rPr>
        <w:t>a</w:t>
      </w:r>
      <w:r w:rsidRPr="001F521C">
        <w:rPr>
          <w:rFonts w:ascii="Cambria" w:hAnsi="Cambria"/>
          <w:sz w:val="20"/>
          <w:szCs w:val="20"/>
          <w:lang w:val="en-US"/>
        </w:rPr>
        <w:t xml:space="preserve"> criminal proceedings against him. It was alleged that the conviction in </w:t>
      </w:r>
      <w:r w:rsidR="007C362B" w:rsidRPr="001F521C">
        <w:rPr>
          <w:rFonts w:ascii="Cambria" w:hAnsi="Cambria"/>
          <w:sz w:val="20"/>
          <w:szCs w:val="20"/>
          <w:lang w:val="en-US"/>
        </w:rPr>
        <w:t>such</w:t>
      </w:r>
      <w:r w:rsidRPr="001F521C">
        <w:rPr>
          <w:rFonts w:ascii="Cambria" w:hAnsi="Cambria"/>
          <w:sz w:val="20"/>
          <w:szCs w:val="20"/>
          <w:lang w:val="en-US"/>
        </w:rPr>
        <w:t xml:space="preserve"> process is arbitrary </w:t>
      </w:r>
      <w:r w:rsidR="007C362B" w:rsidRPr="001F521C">
        <w:rPr>
          <w:rFonts w:ascii="Cambria" w:hAnsi="Cambria"/>
          <w:sz w:val="20"/>
          <w:szCs w:val="20"/>
          <w:lang w:val="en-US"/>
        </w:rPr>
        <w:t>given</w:t>
      </w:r>
      <w:r w:rsidRPr="001F521C">
        <w:rPr>
          <w:rFonts w:ascii="Cambria" w:hAnsi="Cambria"/>
          <w:sz w:val="20"/>
          <w:szCs w:val="20"/>
          <w:lang w:val="en-US"/>
        </w:rPr>
        <w:t xml:space="preserve"> </w:t>
      </w:r>
      <w:r w:rsidR="007C362B" w:rsidRPr="001F521C">
        <w:rPr>
          <w:rFonts w:ascii="Cambria" w:hAnsi="Cambria"/>
          <w:sz w:val="20"/>
          <w:szCs w:val="20"/>
          <w:lang w:val="en-US"/>
        </w:rPr>
        <w:t>that a statement</w:t>
      </w:r>
      <w:r w:rsidR="00F95498" w:rsidRPr="001F521C">
        <w:rPr>
          <w:rFonts w:ascii="Cambria" w:hAnsi="Cambria"/>
          <w:sz w:val="20"/>
          <w:szCs w:val="20"/>
          <w:lang w:val="en-US"/>
        </w:rPr>
        <w:t xml:space="preserve"> made at the stage of investigation</w:t>
      </w:r>
      <w:r w:rsidR="007C362B" w:rsidRPr="001F521C">
        <w:rPr>
          <w:rFonts w:ascii="Cambria" w:hAnsi="Cambria"/>
          <w:sz w:val="20"/>
          <w:szCs w:val="20"/>
          <w:lang w:val="en-US"/>
        </w:rPr>
        <w:t xml:space="preserve"> had been taken into </w:t>
      </w:r>
      <w:r w:rsidR="00F95498" w:rsidRPr="001F521C">
        <w:rPr>
          <w:rFonts w:ascii="Cambria" w:hAnsi="Cambria"/>
          <w:sz w:val="20"/>
          <w:szCs w:val="20"/>
          <w:lang w:val="en-US"/>
        </w:rPr>
        <w:t>account as substantial evidence</w:t>
      </w:r>
      <w:r w:rsidR="007C362B" w:rsidRPr="001F521C">
        <w:rPr>
          <w:rFonts w:ascii="Cambria" w:hAnsi="Cambria"/>
          <w:sz w:val="20"/>
          <w:szCs w:val="20"/>
          <w:lang w:val="en-US"/>
        </w:rPr>
        <w:t xml:space="preserve"> </w:t>
      </w:r>
      <w:r w:rsidRPr="001F521C">
        <w:rPr>
          <w:rFonts w:ascii="Cambria" w:hAnsi="Cambria"/>
          <w:sz w:val="20"/>
          <w:szCs w:val="20"/>
          <w:lang w:val="en-US"/>
        </w:rPr>
        <w:t>and incorporated in the public hearing by reading witho</w:t>
      </w:r>
      <w:r w:rsidR="00F95498" w:rsidRPr="001F521C">
        <w:rPr>
          <w:rFonts w:ascii="Cambria" w:hAnsi="Cambria"/>
          <w:sz w:val="20"/>
          <w:szCs w:val="20"/>
          <w:lang w:val="en-US"/>
        </w:rPr>
        <w:t xml:space="preserve">ut prior control of the defense. </w:t>
      </w:r>
      <w:r w:rsidRPr="001F521C">
        <w:rPr>
          <w:rFonts w:ascii="Cambria" w:hAnsi="Cambria"/>
          <w:sz w:val="20"/>
          <w:szCs w:val="20"/>
          <w:lang w:val="en-US"/>
        </w:rPr>
        <w:t xml:space="preserve">The violation of the right to appeal against the conviction was also alleged. Finally, </w:t>
      </w:r>
      <w:r w:rsidR="005E0CE4" w:rsidRPr="001F521C">
        <w:rPr>
          <w:rFonts w:ascii="Cambria" w:hAnsi="Cambria"/>
          <w:sz w:val="20"/>
          <w:szCs w:val="20"/>
          <w:lang w:val="en-US"/>
        </w:rPr>
        <w:t xml:space="preserve">it was argued </w:t>
      </w:r>
      <w:r w:rsidRPr="001F521C">
        <w:rPr>
          <w:rFonts w:ascii="Cambria" w:hAnsi="Cambria"/>
          <w:sz w:val="20"/>
          <w:szCs w:val="20"/>
          <w:lang w:val="en-US"/>
        </w:rPr>
        <w:t>that for the above reasons, Mr. Martín's deprivation of liberty became arbitrary.</w:t>
      </w:r>
    </w:p>
    <w:p w14:paraId="3D710C4B" w14:textId="77777777" w:rsidR="005E0CE4" w:rsidRPr="001F521C" w:rsidRDefault="005E0CE4"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US"/>
        </w:rPr>
      </w:pPr>
    </w:p>
    <w:p w14:paraId="34F161B4" w14:textId="074281C5" w:rsidR="00B33BFA" w:rsidRPr="001F521C" w:rsidRDefault="005E0CE4"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1F521C">
        <w:rPr>
          <w:rFonts w:ascii="Cambria" w:hAnsi="Cambria"/>
          <w:sz w:val="20"/>
          <w:szCs w:val="20"/>
          <w:lang w:val="en-US"/>
        </w:rPr>
        <w:t xml:space="preserve">The State alleged that it has no international responsibility given that the criminal proceedings followed against Mr. Martín complied with all judicial guarantees. It indicated that according to its internal regulations it was possible to incorporate by reading the statement rendered by the principal witness during the </w:t>
      </w:r>
      <w:r w:rsidR="007C362B" w:rsidRPr="001F521C">
        <w:rPr>
          <w:rFonts w:ascii="Cambria" w:hAnsi="Cambria"/>
          <w:sz w:val="20"/>
          <w:szCs w:val="20"/>
          <w:lang w:val="en-US"/>
        </w:rPr>
        <w:t>investigation</w:t>
      </w:r>
      <w:r w:rsidRPr="001F521C">
        <w:rPr>
          <w:rFonts w:ascii="Cambria" w:hAnsi="Cambria"/>
          <w:sz w:val="20"/>
          <w:szCs w:val="20"/>
          <w:lang w:val="en-US"/>
        </w:rPr>
        <w:t xml:space="preserve"> stage. The State added that</w:t>
      </w:r>
      <w:r w:rsidR="00B33BFA" w:rsidRPr="001F521C">
        <w:rPr>
          <w:rFonts w:ascii="Cambria" w:hAnsi="Cambria"/>
          <w:sz w:val="20"/>
          <w:szCs w:val="20"/>
          <w:lang w:val="en-US"/>
        </w:rPr>
        <w:t xml:space="preserve"> </w:t>
      </w:r>
      <w:r w:rsidRPr="001F521C">
        <w:rPr>
          <w:rFonts w:ascii="Cambria" w:hAnsi="Cambria"/>
          <w:sz w:val="20"/>
          <w:szCs w:val="20"/>
          <w:lang w:val="en-US"/>
        </w:rPr>
        <w:t xml:space="preserve">the condemnatory </w:t>
      </w:r>
      <w:r w:rsidR="00B33BFA" w:rsidRPr="001F521C">
        <w:rPr>
          <w:rFonts w:ascii="Cambria" w:hAnsi="Cambria"/>
          <w:sz w:val="20"/>
          <w:szCs w:val="20"/>
          <w:lang w:val="en-US"/>
        </w:rPr>
        <w:t>decision</w:t>
      </w:r>
      <w:r w:rsidRPr="001F521C">
        <w:rPr>
          <w:rFonts w:ascii="Cambria" w:hAnsi="Cambria"/>
          <w:sz w:val="20"/>
          <w:szCs w:val="20"/>
          <w:lang w:val="en-US"/>
        </w:rPr>
        <w:t xml:space="preserve"> also assessed the various means of evidence that were presented during the process.</w:t>
      </w:r>
      <w:r w:rsidR="00B33BFA" w:rsidRPr="001F521C">
        <w:rPr>
          <w:rFonts w:ascii="Cambria" w:hAnsi="Cambria"/>
          <w:sz w:val="20"/>
          <w:szCs w:val="20"/>
          <w:lang w:val="en-US"/>
        </w:rPr>
        <w:t xml:space="preserve"> </w:t>
      </w:r>
    </w:p>
    <w:p w14:paraId="2B3E02AB" w14:textId="77777777" w:rsidR="00B33BFA" w:rsidRPr="001F521C" w:rsidRDefault="00B33BFA"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4F93084" w14:textId="7211A3FD" w:rsidR="000C0F56" w:rsidRPr="001F521C" w:rsidRDefault="00B33BFA"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1F521C">
        <w:rPr>
          <w:rFonts w:ascii="Cambria" w:hAnsi="Cambria"/>
          <w:sz w:val="20"/>
          <w:szCs w:val="20"/>
          <w:lang w:val="en-US"/>
        </w:rPr>
        <w:t xml:space="preserve">The Commission concluded that the State of Argentina is responsible for violating the rights to personal liberty, judicial guarantees and judicial protection set out in </w:t>
      </w:r>
      <w:r w:rsidR="000A6FA0" w:rsidRPr="001F521C">
        <w:rPr>
          <w:rFonts w:ascii="Cambria" w:hAnsi="Cambria"/>
          <w:sz w:val="20"/>
          <w:szCs w:val="20"/>
          <w:lang w:val="en-US"/>
        </w:rPr>
        <w:t>Article</w:t>
      </w:r>
      <w:r w:rsidRPr="001F521C">
        <w:rPr>
          <w:rFonts w:ascii="Cambria" w:hAnsi="Cambria"/>
          <w:sz w:val="20"/>
          <w:szCs w:val="20"/>
          <w:lang w:val="en-US"/>
        </w:rPr>
        <w:t>s 7.1, 7.3, 8.1, 8.2, 8.2.c, 8.2.f, 8.2.h and 25.1of the American Convention, in relation to the obligations established in Article 1.1 of the same instrument, to the detriment of Marcos Alejandro Martín.</w:t>
      </w:r>
    </w:p>
    <w:p w14:paraId="66C6FBFC" w14:textId="77777777" w:rsidR="00B33BFA" w:rsidRPr="001F521C" w:rsidRDefault="00B33BFA"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ABDF00C" w14:textId="77777777" w:rsidR="00B33BFA" w:rsidRPr="001F521C" w:rsidRDefault="008A215A" w:rsidP="001F521C">
      <w:pPr>
        <w:pStyle w:val="Heading1"/>
        <w:ind w:left="1440" w:hanging="720"/>
        <w:rPr>
          <w:lang w:val="en-US"/>
        </w:rPr>
      </w:pPr>
      <w:bookmarkStart w:id="3" w:name="_Toc84429168"/>
      <w:r w:rsidRPr="001F521C">
        <w:rPr>
          <w:lang w:val="en-US"/>
        </w:rPr>
        <w:t>PROCEEDINGS BEFORE THE COMMISSION</w:t>
      </w:r>
      <w:bookmarkEnd w:id="3"/>
      <w:r w:rsidRPr="001F521C">
        <w:rPr>
          <w:lang w:val="en-US"/>
        </w:rPr>
        <w:t xml:space="preserve"> </w:t>
      </w:r>
    </w:p>
    <w:p w14:paraId="63AF0613" w14:textId="77777777" w:rsidR="008852BB" w:rsidRPr="001F521C" w:rsidRDefault="008852BB"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C8901B6" w14:textId="77777777" w:rsidR="005E0CE4" w:rsidRPr="001F521C" w:rsidRDefault="008852BB"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1F521C">
        <w:rPr>
          <w:rFonts w:ascii="Cambria" w:hAnsi="Cambria"/>
          <w:sz w:val="20"/>
          <w:szCs w:val="20"/>
          <w:lang w:val="en-US"/>
        </w:rPr>
        <w:t>The processing of the petition until the issuance of the admissibility report is documented in Report No. 79/08 of October 17, 2008.</w:t>
      </w:r>
      <w:r w:rsidRPr="001F521C">
        <w:rPr>
          <w:rStyle w:val="FootnoteReference"/>
          <w:rFonts w:ascii="Cambria" w:hAnsi="Cambria"/>
          <w:sz w:val="20"/>
          <w:szCs w:val="20"/>
          <w:lang w:val="en-US"/>
        </w:rPr>
        <w:footnoteReference w:id="1"/>
      </w:r>
      <w:r w:rsidRPr="001F521C">
        <w:rPr>
          <w:rFonts w:ascii="Cambria" w:hAnsi="Cambria"/>
          <w:sz w:val="20"/>
          <w:szCs w:val="20"/>
          <w:lang w:val="en-US"/>
        </w:rPr>
        <w:t xml:space="preserve"> On November 11, 2008, the Commission notified the parties of said report and their willingness to come to a friendly settlement. On January 9, 2009, the petitioner submitted its observations on the merits. On February 10, 2009, the IACHR transmitted these observ</w:t>
      </w:r>
      <w:r w:rsidR="00F37DF7" w:rsidRPr="001F521C">
        <w:rPr>
          <w:rFonts w:ascii="Cambria" w:hAnsi="Cambria"/>
          <w:sz w:val="20"/>
          <w:szCs w:val="20"/>
          <w:lang w:val="en-US"/>
        </w:rPr>
        <w:t>ations to the State and granted the regulatory</w:t>
      </w:r>
      <w:r w:rsidRPr="001F521C">
        <w:rPr>
          <w:rFonts w:ascii="Cambria" w:hAnsi="Cambria"/>
          <w:sz w:val="20"/>
          <w:szCs w:val="20"/>
          <w:lang w:val="en-US"/>
        </w:rPr>
        <w:t xml:space="preserve"> period to submit its additional observations on the merits. On September 25, 2009, the State expressed interest in initiating a friendly settlement procedure. On August 10, 2016, the petitioner sent a communication to the IACHR stating that to date no friendly settlement agreement has been reached and, </w:t>
      </w:r>
      <w:r w:rsidR="002F1831" w:rsidRPr="001F521C">
        <w:rPr>
          <w:rFonts w:ascii="Cambria" w:hAnsi="Cambria"/>
          <w:sz w:val="20"/>
          <w:szCs w:val="20"/>
          <w:lang w:val="en-US"/>
        </w:rPr>
        <w:t>if</w:t>
      </w:r>
      <w:r w:rsidRPr="001F521C">
        <w:rPr>
          <w:rFonts w:ascii="Cambria" w:hAnsi="Cambria"/>
          <w:sz w:val="20"/>
          <w:szCs w:val="20"/>
          <w:lang w:val="en-US"/>
        </w:rPr>
        <w:t xml:space="preserve"> the State does not have the will to proceed with the procedure, </w:t>
      </w:r>
      <w:r w:rsidR="002F1831" w:rsidRPr="001F521C">
        <w:rPr>
          <w:rFonts w:ascii="Cambria" w:hAnsi="Cambria"/>
          <w:sz w:val="20"/>
          <w:szCs w:val="20"/>
          <w:lang w:val="en-US"/>
        </w:rPr>
        <w:t>to continue with the merits procedure</w:t>
      </w:r>
      <w:r w:rsidRPr="001F521C">
        <w:rPr>
          <w:rFonts w:ascii="Cambria" w:hAnsi="Cambria"/>
          <w:sz w:val="20"/>
          <w:szCs w:val="20"/>
          <w:lang w:val="en-US"/>
        </w:rPr>
        <w:t>. As of the date of adoption of this report, the State did not submit any written response to the petitioner's observations, nor did it submit its additional observations on the merits.</w:t>
      </w:r>
    </w:p>
    <w:p w14:paraId="3F1371CB" w14:textId="77777777" w:rsidR="002F1831" w:rsidRPr="001F521C" w:rsidRDefault="002F1831"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80147F1" w14:textId="77777777" w:rsidR="002F1831" w:rsidRPr="001F521C" w:rsidRDefault="002F1831" w:rsidP="001F521C">
      <w:pPr>
        <w:pStyle w:val="Heading1"/>
        <w:ind w:left="1440" w:hanging="720"/>
        <w:rPr>
          <w:lang w:val="en-US"/>
        </w:rPr>
      </w:pPr>
      <w:bookmarkStart w:id="4" w:name="_Toc477857132"/>
      <w:bookmarkStart w:id="5" w:name="_Toc84429169"/>
      <w:r w:rsidRPr="001F521C">
        <w:rPr>
          <w:lang w:val="en-US"/>
        </w:rPr>
        <w:t>POSITION OF THE PARTIES</w:t>
      </w:r>
      <w:bookmarkEnd w:id="4"/>
      <w:bookmarkEnd w:id="5"/>
    </w:p>
    <w:p w14:paraId="59B2662C" w14:textId="77777777" w:rsidR="002F1831" w:rsidRPr="001F521C" w:rsidRDefault="002F1831" w:rsidP="001F521C">
      <w:pPr>
        <w:keepNext/>
        <w:keepLines/>
        <w:pBdr>
          <w:top w:val="nil"/>
          <w:left w:val="nil"/>
          <w:bottom w:val="nil"/>
          <w:right w:val="nil"/>
          <w:between w:val="nil"/>
          <w:bar w:val="nil"/>
        </w:pBdr>
        <w:spacing w:after="0" w:line="240" w:lineRule="auto"/>
        <w:ind w:left="567"/>
        <w:outlineLvl w:val="0"/>
        <w:rPr>
          <w:rFonts w:ascii="Cambria" w:eastAsia="MS Gothic" w:hAnsi="Cambria"/>
          <w:b/>
          <w:bCs/>
          <w:sz w:val="20"/>
          <w:szCs w:val="20"/>
          <w:bdr w:val="nil"/>
        </w:rPr>
      </w:pPr>
    </w:p>
    <w:p w14:paraId="2C068BBD" w14:textId="4561DB61" w:rsidR="002F1831" w:rsidRPr="001F521C" w:rsidRDefault="00CF6060" w:rsidP="001F521C">
      <w:pPr>
        <w:pStyle w:val="ListParagraph"/>
        <w:numPr>
          <w:ilvl w:val="0"/>
          <w:numId w:val="3"/>
        </w:numPr>
        <w:spacing w:after="0" w:line="240" w:lineRule="auto"/>
        <w:ind w:left="1440" w:hanging="720"/>
        <w:jc w:val="both"/>
        <w:outlineLvl w:val="1"/>
        <w:rPr>
          <w:rFonts w:ascii="Cambria" w:hAnsi="Cambria"/>
          <w:b/>
          <w:sz w:val="20"/>
          <w:szCs w:val="20"/>
        </w:rPr>
      </w:pPr>
      <w:bookmarkStart w:id="6" w:name="_Toc84429170"/>
      <w:r w:rsidRPr="001F521C">
        <w:rPr>
          <w:rFonts w:ascii="Cambria" w:hAnsi="Cambria"/>
          <w:b/>
          <w:sz w:val="20"/>
          <w:szCs w:val="20"/>
        </w:rPr>
        <w:t>Petitioners</w:t>
      </w:r>
      <w:bookmarkEnd w:id="6"/>
    </w:p>
    <w:p w14:paraId="122B9EC4" w14:textId="77777777" w:rsidR="002F1831" w:rsidRPr="001F521C" w:rsidRDefault="002F1831" w:rsidP="001F521C">
      <w:pPr>
        <w:spacing w:after="0" w:line="240" w:lineRule="auto"/>
        <w:jc w:val="both"/>
        <w:rPr>
          <w:rFonts w:ascii="Cambria" w:hAnsi="Cambria"/>
          <w:sz w:val="20"/>
          <w:szCs w:val="20"/>
        </w:rPr>
      </w:pPr>
    </w:p>
    <w:p w14:paraId="2E767529" w14:textId="77777777" w:rsidR="002F1831" w:rsidRPr="001F521C" w:rsidRDefault="002F1831" w:rsidP="001F521C">
      <w:pPr>
        <w:numPr>
          <w:ilvl w:val="0"/>
          <w:numId w:val="2"/>
        </w:numPr>
        <w:spacing w:after="0" w:line="240" w:lineRule="auto"/>
        <w:jc w:val="both"/>
        <w:rPr>
          <w:rFonts w:ascii="Cambria" w:eastAsia="Times New Roman" w:hAnsi="Cambria"/>
          <w:b/>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The petitioner alleged that the State of Argentina is responsible internationally for the violation of the right to defense to the detriment of Marcos Alejandro Martín in the criminal proceedings initiated in 1998 for the alleged crime of robbery. It was alleged that during the public hearing, the statement of the allegedly assaulted person, rendered at the stage of the investigation, was accepted as substantial evidence and by reading, which was not submitted to the prior control of the defense. It was held that this statement was rendered only before police officers and not before judicial authorities, and that it also presented inconsistencies on the manner, time and place of the alleged robbery.</w:t>
      </w:r>
    </w:p>
    <w:p w14:paraId="117962F7" w14:textId="77777777" w:rsidR="002F1831" w:rsidRPr="001F521C" w:rsidRDefault="002F1831"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8D652A0" w14:textId="77777777" w:rsidR="002F1831" w:rsidRPr="001F521C" w:rsidRDefault="002F1831"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The petitioner argued that this situation violates the right of defense established in Articles </w:t>
      </w:r>
      <w:r w:rsidRPr="001F521C">
        <w:rPr>
          <w:rFonts w:ascii="Cambria" w:hAnsi="Cambria"/>
          <w:sz w:val="20"/>
          <w:szCs w:val="20"/>
        </w:rPr>
        <w:t xml:space="preserve">8.2.d, 8.2.f and 8.5 </w:t>
      </w:r>
      <w:r w:rsidRPr="001F521C">
        <w:rPr>
          <w:rFonts w:ascii="Cambria" w:eastAsia="Times New Roman" w:hAnsi="Cambria"/>
          <w:color w:val="000000"/>
          <w:sz w:val="20"/>
          <w:szCs w:val="20"/>
          <w:u w:color="000000"/>
          <w:bdr w:val="nil"/>
          <w:lang w:eastAsia="es-ES"/>
        </w:rPr>
        <w:t>of the American Convention, given that the alleged victim could not be questioned or challenge his statement. The petitioner sustained that although the Code of Criminal Procedure allows the incorporation of statements made at the stage of investigation when the witness's whereabouts are unknown, this incorporation was made without the consent of the defense.</w:t>
      </w:r>
    </w:p>
    <w:p w14:paraId="512CCD78" w14:textId="77777777" w:rsidR="002F1831" w:rsidRPr="001F521C" w:rsidRDefault="002F1831" w:rsidP="001F521C">
      <w:pPr>
        <w:spacing w:after="0" w:line="240" w:lineRule="auto"/>
        <w:jc w:val="both"/>
        <w:rPr>
          <w:rFonts w:ascii="Cambria" w:eastAsia="Times New Roman" w:hAnsi="Cambria"/>
          <w:color w:val="000000"/>
          <w:sz w:val="20"/>
          <w:szCs w:val="20"/>
          <w:u w:color="000000"/>
          <w:bdr w:val="nil"/>
          <w:lang w:eastAsia="es-ES"/>
        </w:rPr>
      </w:pPr>
    </w:p>
    <w:p w14:paraId="3ED34C7C" w14:textId="77777777" w:rsidR="002F1831" w:rsidRPr="001F521C" w:rsidRDefault="002F1831"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The petitioner added that </w:t>
      </w:r>
      <w:r w:rsidR="0047433F" w:rsidRPr="001F521C">
        <w:rPr>
          <w:rFonts w:ascii="Cambria" w:eastAsia="Times New Roman" w:hAnsi="Cambria"/>
          <w:color w:val="000000"/>
          <w:sz w:val="20"/>
          <w:szCs w:val="20"/>
          <w:u w:color="000000"/>
          <w:bdr w:val="nil"/>
          <w:lang w:eastAsia="es-ES"/>
        </w:rPr>
        <w:t>since</w:t>
      </w:r>
      <w:r w:rsidRPr="001F521C">
        <w:rPr>
          <w:rFonts w:ascii="Cambria" w:eastAsia="Times New Roman" w:hAnsi="Cambria"/>
          <w:color w:val="000000"/>
          <w:sz w:val="20"/>
          <w:szCs w:val="20"/>
          <w:u w:color="000000"/>
          <w:bdr w:val="nil"/>
          <w:lang w:eastAsia="es-ES"/>
        </w:rPr>
        <w:t xml:space="preserve"> the criminal proceedings suffered from this serious violation of the right to defense, Mr. Martín's deprivation of liberty became arbitrary. He maintained that this situation violated Article 7.3 of the American Convention.</w:t>
      </w:r>
    </w:p>
    <w:p w14:paraId="4B2A0D5C" w14:textId="77777777" w:rsidR="002F1831" w:rsidRPr="001F521C" w:rsidRDefault="002F1831" w:rsidP="001F521C">
      <w:pPr>
        <w:spacing w:after="0" w:line="240" w:lineRule="auto"/>
        <w:jc w:val="both"/>
        <w:rPr>
          <w:rFonts w:ascii="Cambria" w:eastAsia="Times New Roman" w:hAnsi="Cambria"/>
          <w:color w:val="000000"/>
          <w:sz w:val="20"/>
          <w:szCs w:val="20"/>
          <w:u w:color="000000"/>
          <w:bdr w:val="nil"/>
          <w:lang w:eastAsia="es-ES"/>
        </w:rPr>
      </w:pPr>
    </w:p>
    <w:p w14:paraId="274F53DF" w14:textId="77777777" w:rsidR="002F1831" w:rsidRPr="001F521C" w:rsidRDefault="0047433F"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Finally, the petitioner alleged that the right to appeal the judgment, established in Article 8.2.h of the American Convention, was affected. He indicated that the National Chamber of Criminal Cassation did not conduct a comprehensive examination of the factual and legal issues presented by the defense, but declared inadmissible the appeal against the conviction.</w:t>
      </w:r>
    </w:p>
    <w:p w14:paraId="307020BA" w14:textId="77777777" w:rsidR="0047433F" w:rsidRPr="001F521C" w:rsidRDefault="0047433F" w:rsidP="001F521C">
      <w:pPr>
        <w:spacing w:after="0" w:line="240" w:lineRule="auto"/>
        <w:jc w:val="both"/>
        <w:rPr>
          <w:rFonts w:ascii="Cambria" w:eastAsia="Times New Roman" w:hAnsi="Cambria"/>
          <w:b/>
          <w:color w:val="000000"/>
          <w:sz w:val="20"/>
          <w:szCs w:val="20"/>
          <w:u w:color="000000"/>
          <w:bdr w:val="nil"/>
          <w:lang w:eastAsia="es-ES"/>
        </w:rPr>
      </w:pPr>
    </w:p>
    <w:p w14:paraId="58A44A33" w14:textId="7883FFA6" w:rsidR="0047433F" w:rsidRPr="001F521C" w:rsidRDefault="0047433F" w:rsidP="001F521C">
      <w:pPr>
        <w:pStyle w:val="ListParagraph"/>
        <w:numPr>
          <w:ilvl w:val="0"/>
          <w:numId w:val="3"/>
        </w:numPr>
        <w:spacing w:after="0" w:line="240" w:lineRule="auto"/>
        <w:ind w:left="1440" w:hanging="720"/>
        <w:jc w:val="both"/>
        <w:outlineLvl w:val="1"/>
        <w:rPr>
          <w:rFonts w:ascii="Cambria" w:eastAsia="MS Gothic" w:hAnsi="Cambria"/>
          <w:b/>
          <w:sz w:val="20"/>
          <w:szCs w:val="20"/>
        </w:rPr>
      </w:pPr>
      <w:bookmarkStart w:id="7" w:name="_Toc84429171"/>
      <w:r w:rsidRPr="001F521C">
        <w:rPr>
          <w:rFonts w:ascii="Cambria" w:eastAsia="MS Gothic" w:hAnsi="Cambria"/>
          <w:b/>
          <w:sz w:val="20"/>
          <w:szCs w:val="20"/>
        </w:rPr>
        <w:t>S</w:t>
      </w:r>
      <w:r w:rsidR="00CF6060" w:rsidRPr="001F521C">
        <w:rPr>
          <w:rFonts w:ascii="Cambria" w:eastAsia="MS Gothic" w:hAnsi="Cambria"/>
          <w:b/>
          <w:sz w:val="20"/>
          <w:szCs w:val="20"/>
        </w:rPr>
        <w:t>tate</w:t>
      </w:r>
      <w:bookmarkEnd w:id="7"/>
    </w:p>
    <w:p w14:paraId="31BF5D12" w14:textId="77777777" w:rsidR="0047433F" w:rsidRPr="001F521C" w:rsidRDefault="0047433F" w:rsidP="001F521C">
      <w:pPr>
        <w:spacing w:after="0" w:line="240" w:lineRule="auto"/>
        <w:rPr>
          <w:rFonts w:ascii="Cambria" w:hAnsi="Cambria"/>
          <w:sz w:val="20"/>
          <w:szCs w:val="20"/>
        </w:rPr>
      </w:pPr>
    </w:p>
    <w:p w14:paraId="15624D83" w14:textId="77777777" w:rsidR="0047433F" w:rsidRPr="001F521C" w:rsidRDefault="0047433F"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As indicated above, </w:t>
      </w:r>
      <w:r w:rsidR="00FD7BCA" w:rsidRPr="001F521C">
        <w:rPr>
          <w:rFonts w:ascii="Cambria" w:eastAsia="Times New Roman" w:hAnsi="Cambria"/>
          <w:color w:val="000000"/>
          <w:sz w:val="20"/>
          <w:szCs w:val="20"/>
          <w:u w:color="000000"/>
          <w:bdr w:val="nil"/>
          <w:lang w:eastAsia="es-ES"/>
        </w:rPr>
        <w:t xml:space="preserve">to date, </w:t>
      </w:r>
      <w:r w:rsidRPr="001F521C">
        <w:rPr>
          <w:rFonts w:ascii="Cambria" w:eastAsia="Times New Roman" w:hAnsi="Cambria"/>
          <w:color w:val="000000"/>
          <w:sz w:val="20"/>
          <w:szCs w:val="20"/>
          <w:u w:color="000000"/>
          <w:bdr w:val="nil"/>
          <w:lang w:eastAsia="es-ES"/>
        </w:rPr>
        <w:t xml:space="preserve">the State has not submitted its additional observations on the merits. Notwithstanding this, the </w:t>
      </w:r>
      <w:r w:rsidR="00FD7BCA" w:rsidRPr="001F521C">
        <w:rPr>
          <w:rFonts w:ascii="Cambria" w:eastAsia="Times New Roman" w:hAnsi="Cambria"/>
          <w:color w:val="000000"/>
          <w:sz w:val="20"/>
          <w:szCs w:val="20"/>
          <w:u w:color="000000"/>
          <w:bdr w:val="nil"/>
          <w:lang w:eastAsia="es-ES"/>
        </w:rPr>
        <w:t>Commission</w:t>
      </w:r>
      <w:r w:rsidRPr="001F521C">
        <w:rPr>
          <w:rFonts w:ascii="Cambria" w:eastAsia="Times New Roman" w:hAnsi="Cambria"/>
          <w:color w:val="000000"/>
          <w:sz w:val="20"/>
          <w:szCs w:val="20"/>
          <w:u w:color="000000"/>
          <w:bdr w:val="nil"/>
          <w:lang w:eastAsia="es-ES"/>
        </w:rPr>
        <w:t xml:space="preserve"> </w:t>
      </w:r>
      <w:r w:rsidR="00FD7BCA" w:rsidRPr="001F521C">
        <w:rPr>
          <w:rFonts w:ascii="Cambria" w:eastAsia="Times New Roman" w:hAnsi="Cambria"/>
          <w:color w:val="000000"/>
          <w:sz w:val="20"/>
          <w:szCs w:val="20"/>
          <w:u w:color="000000"/>
          <w:bdr w:val="nil"/>
          <w:lang w:eastAsia="es-ES"/>
        </w:rPr>
        <w:t>proceeds</w:t>
      </w:r>
      <w:r w:rsidRPr="001F521C">
        <w:rPr>
          <w:rFonts w:ascii="Cambria" w:eastAsia="Times New Roman" w:hAnsi="Cambria"/>
          <w:color w:val="000000"/>
          <w:sz w:val="20"/>
          <w:szCs w:val="20"/>
          <w:u w:color="000000"/>
          <w:bdr w:val="nil"/>
          <w:lang w:eastAsia="es-ES"/>
        </w:rPr>
        <w:t xml:space="preserve"> </w:t>
      </w:r>
      <w:r w:rsidR="00FD7BCA" w:rsidRPr="001F521C">
        <w:rPr>
          <w:rFonts w:ascii="Cambria" w:eastAsia="Times New Roman" w:hAnsi="Cambria"/>
          <w:color w:val="000000"/>
          <w:sz w:val="20"/>
          <w:szCs w:val="20"/>
          <w:u w:color="000000"/>
          <w:bdr w:val="nil"/>
          <w:lang w:eastAsia="es-ES"/>
        </w:rPr>
        <w:t xml:space="preserve">to </w:t>
      </w:r>
      <w:r w:rsidRPr="001F521C">
        <w:rPr>
          <w:rFonts w:ascii="Cambria" w:eastAsia="Times New Roman" w:hAnsi="Cambria"/>
          <w:color w:val="000000"/>
          <w:sz w:val="20"/>
          <w:szCs w:val="20"/>
          <w:u w:color="000000"/>
          <w:bdr w:val="nil"/>
          <w:lang w:eastAsia="es-ES"/>
        </w:rPr>
        <w:t xml:space="preserve">recapitulate the allegations submitted by Argentina during the stage of admissibility </w:t>
      </w:r>
      <w:r w:rsidR="00FD7BCA" w:rsidRPr="001F521C">
        <w:rPr>
          <w:rFonts w:ascii="Cambria" w:eastAsia="Times New Roman" w:hAnsi="Cambria"/>
          <w:color w:val="000000"/>
          <w:sz w:val="20"/>
          <w:szCs w:val="20"/>
          <w:u w:color="000000"/>
          <w:bdr w:val="nil"/>
          <w:lang w:eastAsia="es-ES"/>
        </w:rPr>
        <w:t>which are</w:t>
      </w:r>
      <w:r w:rsidRPr="001F521C">
        <w:rPr>
          <w:rFonts w:ascii="Cambria" w:eastAsia="Times New Roman" w:hAnsi="Cambria"/>
          <w:color w:val="000000"/>
          <w:sz w:val="20"/>
          <w:szCs w:val="20"/>
          <w:u w:color="000000"/>
          <w:bdr w:val="nil"/>
          <w:lang w:eastAsia="es-ES"/>
        </w:rPr>
        <w:t xml:space="preserve"> relate</w:t>
      </w:r>
      <w:r w:rsidR="00FD7BCA" w:rsidRPr="001F521C">
        <w:rPr>
          <w:rFonts w:ascii="Cambria" w:eastAsia="Times New Roman" w:hAnsi="Cambria"/>
          <w:color w:val="000000"/>
          <w:sz w:val="20"/>
          <w:szCs w:val="20"/>
          <w:u w:color="000000"/>
          <w:bdr w:val="nil"/>
          <w:lang w:eastAsia="es-ES"/>
        </w:rPr>
        <w:t>d</w:t>
      </w:r>
      <w:r w:rsidRPr="001F521C">
        <w:rPr>
          <w:rFonts w:ascii="Cambria" w:eastAsia="Times New Roman" w:hAnsi="Cambria"/>
          <w:color w:val="000000"/>
          <w:sz w:val="20"/>
          <w:szCs w:val="20"/>
          <w:u w:color="000000"/>
          <w:bdr w:val="nil"/>
          <w:lang w:eastAsia="es-ES"/>
        </w:rPr>
        <w:t xml:space="preserve"> to the </w:t>
      </w:r>
      <w:r w:rsidR="00FD7BCA" w:rsidRPr="001F521C">
        <w:rPr>
          <w:rFonts w:ascii="Cambria" w:eastAsia="Times New Roman" w:hAnsi="Cambria"/>
          <w:color w:val="000000"/>
          <w:sz w:val="20"/>
          <w:szCs w:val="20"/>
          <w:u w:color="000000"/>
          <w:bdr w:val="nil"/>
          <w:lang w:eastAsia="es-ES"/>
        </w:rPr>
        <w:t>merits</w:t>
      </w:r>
      <w:r w:rsidRPr="001F521C">
        <w:rPr>
          <w:rFonts w:ascii="Cambria" w:eastAsia="Times New Roman" w:hAnsi="Cambria"/>
          <w:color w:val="000000"/>
          <w:sz w:val="20"/>
          <w:szCs w:val="20"/>
          <w:u w:color="000000"/>
          <w:bdr w:val="nil"/>
          <w:lang w:eastAsia="es-ES"/>
        </w:rPr>
        <w:t>.</w:t>
      </w:r>
    </w:p>
    <w:p w14:paraId="7744697C" w14:textId="77777777" w:rsidR="0047433F" w:rsidRPr="001F521C" w:rsidRDefault="0047433F" w:rsidP="001F521C">
      <w:pPr>
        <w:spacing w:after="0" w:line="240" w:lineRule="auto"/>
        <w:jc w:val="both"/>
        <w:rPr>
          <w:rFonts w:ascii="Cambria" w:eastAsia="Times New Roman" w:hAnsi="Cambria"/>
          <w:color w:val="000000"/>
          <w:sz w:val="20"/>
          <w:szCs w:val="20"/>
          <w:u w:color="000000"/>
          <w:bdr w:val="nil"/>
          <w:lang w:eastAsia="es-ES"/>
        </w:rPr>
      </w:pPr>
    </w:p>
    <w:p w14:paraId="168FC484" w14:textId="77777777" w:rsidR="0047433F" w:rsidRPr="001F521C" w:rsidRDefault="00FD7BCA"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The State alleged that it has no international responsibility given that the criminal proceedings followed </w:t>
      </w:r>
      <w:r w:rsidR="00BC0B40" w:rsidRPr="001F521C">
        <w:rPr>
          <w:rFonts w:ascii="Cambria" w:eastAsia="Times New Roman" w:hAnsi="Cambria"/>
          <w:color w:val="000000"/>
          <w:sz w:val="20"/>
          <w:szCs w:val="20"/>
          <w:u w:color="000000"/>
          <w:bdr w:val="nil"/>
          <w:lang w:eastAsia="es-ES"/>
        </w:rPr>
        <w:t xml:space="preserve">against </w:t>
      </w:r>
      <w:r w:rsidRPr="001F521C">
        <w:rPr>
          <w:rFonts w:ascii="Cambria" w:eastAsia="Times New Roman" w:hAnsi="Cambria"/>
          <w:color w:val="000000"/>
          <w:sz w:val="20"/>
          <w:szCs w:val="20"/>
          <w:u w:color="000000"/>
          <w:bdr w:val="nil"/>
          <w:lang w:eastAsia="es-ES"/>
        </w:rPr>
        <w:t>Mr. Martín complied with all judicial guarantees. He indicated that according to its internal regulations it was possible to incorporate by reading the statement rendered by the main witness during the investigation stage</w:t>
      </w:r>
      <w:r w:rsidR="004D6B78" w:rsidRPr="001F521C">
        <w:rPr>
          <w:rFonts w:ascii="Cambria" w:eastAsia="Times New Roman" w:hAnsi="Cambria"/>
          <w:color w:val="000000"/>
          <w:sz w:val="20"/>
          <w:szCs w:val="20"/>
          <w:u w:color="000000"/>
          <w:bdr w:val="nil"/>
          <w:lang w:eastAsia="es-ES"/>
        </w:rPr>
        <w:t xml:space="preserve">. This, given that it </w:t>
      </w:r>
      <w:r w:rsidRPr="001F521C">
        <w:rPr>
          <w:rFonts w:ascii="Cambria" w:eastAsia="Times New Roman" w:hAnsi="Cambria"/>
          <w:color w:val="000000"/>
          <w:sz w:val="20"/>
          <w:szCs w:val="20"/>
          <w:u w:color="000000"/>
          <w:bdr w:val="nil"/>
          <w:lang w:eastAsia="es-ES"/>
        </w:rPr>
        <w:t>was not possible to locate him for the purpose of rendering his statement at the public hearing. The State added that the conviction also valued other means of evidence that were presented during the process, such as statements by a police officer and two witnesses.</w:t>
      </w:r>
    </w:p>
    <w:p w14:paraId="2472C935" w14:textId="77777777" w:rsidR="0047433F" w:rsidRPr="001F521C" w:rsidRDefault="0047433F" w:rsidP="001F521C">
      <w:pPr>
        <w:spacing w:after="0" w:line="240" w:lineRule="auto"/>
        <w:jc w:val="both"/>
        <w:rPr>
          <w:rFonts w:ascii="Cambria" w:eastAsia="Times New Roman" w:hAnsi="Cambria" w:cs="Arial"/>
          <w:color w:val="000000"/>
          <w:sz w:val="20"/>
          <w:szCs w:val="20"/>
          <w:u w:color="000000"/>
          <w:bdr w:val="nil"/>
          <w:lang w:eastAsia="es-ES"/>
        </w:rPr>
      </w:pPr>
    </w:p>
    <w:p w14:paraId="629DB425" w14:textId="77777777" w:rsidR="0047433F" w:rsidRPr="001F521C" w:rsidRDefault="0047433F"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Argentina </w:t>
      </w:r>
      <w:r w:rsidR="004D6B78" w:rsidRPr="001F521C">
        <w:rPr>
          <w:rFonts w:ascii="Cambria" w:eastAsia="Times New Roman" w:hAnsi="Cambria"/>
          <w:color w:val="000000"/>
          <w:sz w:val="20"/>
          <w:szCs w:val="20"/>
          <w:u w:color="000000"/>
          <w:bdr w:val="nil"/>
          <w:lang w:eastAsia="es-ES"/>
        </w:rPr>
        <w:t xml:space="preserve">argued that the petitioner </w:t>
      </w:r>
      <w:r w:rsidR="002576E2" w:rsidRPr="001F521C">
        <w:rPr>
          <w:rFonts w:ascii="Cambria" w:eastAsia="Times New Roman" w:hAnsi="Cambria"/>
          <w:color w:val="000000"/>
          <w:sz w:val="20"/>
          <w:szCs w:val="20"/>
          <w:u w:color="000000"/>
          <w:bdr w:val="nil"/>
          <w:lang w:eastAsia="es-ES"/>
        </w:rPr>
        <w:t>intends</w:t>
      </w:r>
      <w:r w:rsidR="004D6B78" w:rsidRPr="001F521C">
        <w:rPr>
          <w:rFonts w:ascii="Cambria" w:eastAsia="Times New Roman" w:hAnsi="Cambria"/>
          <w:color w:val="000000"/>
          <w:sz w:val="20"/>
          <w:szCs w:val="20"/>
          <w:u w:color="000000"/>
          <w:bdr w:val="nil"/>
          <w:lang w:eastAsia="es-ES"/>
        </w:rPr>
        <w:t xml:space="preserve"> that the IACHR act "as a fourth judicial body and review the assessments of fact and law issued by the judges and courts that intervened in the process of the case." </w:t>
      </w:r>
      <w:r w:rsidR="002576E2" w:rsidRPr="001F521C">
        <w:rPr>
          <w:rFonts w:ascii="Cambria" w:eastAsia="Times New Roman" w:hAnsi="Cambria"/>
          <w:color w:val="000000"/>
          <w:sz w:val="20"/>
          <w:szCs w:val="20"/>
          <w:u w:color="000000"/>
          <w:bdr w:val="nil"/>
          <w:lang w:eastAsia="es-ES"/>
        </w:rPr>
        <w:t>It</w:t>
      </w:r>
      <w:r w:rsidR="004D6B78" w:rsidRPr="001F521C">
        <w:rPr>
          <w:rFonts w:ascii="Cambria" w:eastAsia="Times New Roman" w:hAnsi="Cambria"/>
          <w:color w:val="000000"/>
          <w:sz w:val="20"/>
          <w:szCs w:val="20"/>
          <w:u w:color="000000"/>
          <w:bdr w:val="nil"/>
          <w:lang w:eastAsia="es-ES"/>
        </w:rPr>
        <w:t xml:space="preserve"> indicated that what exists is the nonconformity of the petitioner with the conviction against Mr. Martin, which </w:t>
      </w:r>
      <w:r w:rsidR="00BE0B85" w:rsidRPr="001F521C">
        <w:rPr>
          <w:rFonts w:ascii="Cambria" w:eastAsia="Times New Roman" w:hAnsi="Cambria"/>
          <w:color w:val="000000"/>
          <w:sz w:val="20"/>
          <w:szCs w:val="20"/>
          <w:u w:color="000000"/>
          <w:bdr w:val="nil"/>
          <w:lang w:eastAsia="es-ES"/>
        </w:rPr>
        <w:t>cannot</w:t>
      </w:r>
      <w:r w:rsidR="004D6B78" w:rsidRPr="001F521C">
        <w:rPr>
          <w:rFonts w:ascii="Cambria" w:eastAsia="Times New Roman" w:hAnsi="Cambria"/>
          <w:color w:val="000000"/>
          <w:sz w:val="20"/>
          <w:szCs w:val="20"/>
          <w:u w:color="000000"/>
          <w:bdr w:val="nil"/>
          <w:lang w:eastAsia="es-ES"/>
        </w:rPr>
        <w:t xml:space="preserve"> be enough to declare the international responsibility of the State.</w:t>
      </w:r>
    </w:p>
    <w:p w14:paraId="5714CAA1" w14:textId="77777777" w:rsidR="00BE0B85" w:rsidRPr="001F521C" w:rsidRDefault="00BE0B85" w:rsidP="001F521C">
      <w:pPr>
        <w:spacing w:after="0" w:line="240" w:lineRule="auto"/>
        <w:jc w:val="both"/>
        <w:rPr>
          <w:rFonts w:ascii="Cambria" w:eastAsia="Times New Roman" w:hAnsi="Cambria"/>
          <w:color w:val="000000"/>
          <w:sz w:val="20"/>
          <w:szCs w:val="20"/>
          <w:u w:color="000000"/>
          <w:bdr w:val="nil"/>
          <w:lang w:eastAsia="es-ES"/>
        </w:rPr>
      </w:pPr>
    </w:p>
    <w:p w14:paraId="53AE5E80" w14:textId="77777777" w:rsidR="00BE0B85" w:rsidRPr="001F521C" w:rsidRDefault="00BE0B85" w:rsidP="001F521C">
      <w:pPr>
        <w:pStyle w:val="Heading1"/>
        <w:suppressAutoHyphens/>
        <w:ind w:left="1440" w:hanging="720"/>
        <w:jc w:val="both"/>
        <w:rPr>
          <w:lang w:val="en-US"/>
        </w:rPr>
      </w:pPr>
      <w:bookmarkStart w:id="8" w:name="_Toc84429172"/>
      <w:r w:rsidRPr="001F521C">
        <w:rPr>
          <w:lang w:val="en-US"/>
        </w:rPr>
        <w:t>ESTABLISHED FACTS</w:t>
      </w:r>
      <w:bookmarkEnd w:id="8"/>
      <w:r w:rsidRPr="001F521C">
        <w:rPr>
          <w:lang w:val="en-US"/>
        </w:rPr>
        <w:t xml:space="preserve"> </w:t>
      </w:r>
    </w:p>
    <w:p w14:paraId="636C306F" w14:textId="77777777" w:rsidR="00BE0B85" w:rsidRPr="001F521C" w:rsidRDefault="00BE0B85" w:rsidP="001F521C">
      <w:pPr>
        <w:spacing w:after="0" w:line="240" w:lineRule="auto"/>
        <w:rPr>
          <w:rFonts w:ascii="Cambria" w:hAnsi="Cambria"/>
          <w:sz w:val="20"/>
          <w:szCs w:val="20"/>
        </w:rPr>
      </w:pPr>
    </w:p>
    <w:p w14:paraId="488B0DA8" w14:textId="77777777" w:rsidR="00BE0B85" w:rsidRPr="001F521C" w:rsidRDefault="00BE0B85"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The facts described below are derived from the parts of the file before the IACHR and are not disputed.</w:t>
      </w:r>
    </w:p>
    <w:p w14:paraId="1997BF20" w14:textId="77777777" w:rsidR="00BE0B85" w:rsidRPr="001F521C" w:rsidRDefault="00BE0B85" w:rsidP="001F521C">
      <w:pPr>
        <w:spacing w:after="0" w:line="240" w:lineRule="auto"/>
        <w:ind w:left="720"/>
        <w:jc w:val="both"/>
        <w:rPr>
          <w:rFonts w:ascii="Cambria" w:eastAsia="Times New Roman" w:hAnsi="Cambria"/>
          <w:color w:val="000000"/>
          <w:sz w:val="20"/>
          <w:szCs w:val="20"/>
          <w:u w:color="000000"/>
          <w:bdr w:val="nil"/>
          <w:lang w:eastAsia="es-ES"/>
        </w:rPr>
      </w:pPr>
    </w:p>
    <w:p w14:paraId="6D8BE0F9" w14:textId="77777777" w:rsidR="00BE0B85" w:rsidRPr="001F521C" w:rsidRDefault="00BE0B85"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On August 30, 1998 Alfredo Martín </w:t>
      </w:r>
      <w:proofErr w:type="spellStart"/>
      <w:r w:rsidRPr="001F521C">
        <w:rPr>
          <w:rFonts w:ascii="Cambria" w:eastAsia="Times New Roman" w:hAnsi="Cambria"/>
          <w:color w:val="000000"/>
          <w:sz w:val="20"/>
          <w:szCs w:val="20"/>
          <w:u w:color="000000"/>
          <w:bdr w:val="nil"/>
          <w:lang w:eastAsia="es-ES"/>
        </w:rPr>
        <w:t>Cugat</w:t>
      </w:r>
      <w:proofErr w:type="spellEnd"/>
      <w:r w:rsidRPr="001F521C">
        <w:rPr>
          <w:rFonts w:ascii="Cambria" w:eastAsia="Times New Roman" w:hAnsi="Cambria"/>
          <w:color w:val="000000"/>
          <w:sz w:val="20"/>
          <w:szCs w:val="20"/>
          <w:u w:color="000000"/>
          <w:bdr w:val="nil"/>
          <w:lang w:eastAsia="es-ES"/>
        </w:rPr>
        <w:t xml:space="preserve"> was on a public transport in Buenos Aires when two unidentified </w:t>
      </w:r>
      <w:r w:rsidR="009A305A" w:rsidRPr="001F521C">
        <w:rPr>
          <w:rFonts w:ascii="Cambria" w:eastAsia="Times New Roman" w:hAnsi="Cambria"/>
          <w:color w:val="000000"/>
          <w:sz w:val="20"/>
          <w:szCs w:val="20"/>
          <w:u w:color="000000"/>
          <w:bdr w:val="nil"/>
          <w:lang w:eastAsia="es-ES"/>
        </w:rPr>
        <w:t>young persons</w:t>
      </w:r>
      <w:r w:rsidRPr="001F521C">
        <w:rPr>
          <w:rFonts w:ascii="Cambria" w:eastAsia="Times New Roman" w:hAnsi="Cambria"/>
          <w:color w:val="000000"/>
          <w:sz w:val="20"/>
          <w:szCs w:val="20"/>
          <w:u w:color="000000"/>
          <w:bdr w:val="nil"/>
          <w:lang w:eastAsia="es-ES"/>
        </w:rPr>
        <w:t xml:space="preserve"> threatened him with a </w:t>
      </w:r>
      <w:r w:rsidR="009A305A" w:rsidRPr="001F521C">
        <w:rPr>
          <w:rFonts w:ascii="Cambria" w:eastAsia="Times New Roman" w:hAnsi="Cambria"/>
          <w:color w:val="000000"/>
          <w:sz w:val="20"/>
          <w:szCs w:val="20"/>
          <w:u w:color="000000"/>
          <w:bdr w:val="nil"/>
          <w:lang w:eastAsia="es-ES"/>
        </w:rPr>
        <w:t>penknife</w:t>
      </w:r>
      <w:r w:rsidRPr="001F521C">
        <w:rPr>
          <w:rFonts w:ascii="Cambria" w:eastAsia="Times New Roman" w:hAnsi="Cambria"/>
          <w:color w:val="000000"/>
          <w:sz w:val="20"/>
          <w:szCs w:val="20"/>
          <w:u w:color="000000"/>
          <w:bdr w:val="nil"/>
          <w:lang w:eastAsia="es-ES"/>
        </w:rPr>
        <w:t xml:space="preserve">, and </w:t>
      </w:r>
      <w:r w:rsidR="009A305A" w:rsidRPr="001F521C">
        <w:rPr>
          <w:rFonts w:ascii="Cambria" w:eastAsia="Times New Roman" w:hAnsi="Cambria"/>
          <w:color w:val="000000"/>
          <w:sz w:val="20"/>
          <w:szCs w:val="20"/>
          <w:u w:color="000000"/>
          <w:bdr w:val="nil"/>
          <w:lang w:eastAsia="es-ES"/>
        </w:rPr>
        <w:t xml:space="preserve">stole his </w:t>
      </w:r>
      <w:r w:rsidRPr="001F521C">
        <w:rPr>
          <w:rFonts w:ascii="Cambria" w:eastAsia="Times New Roman" w:hAnsi="Cambria"/>
          <w:color w:val="000000"/>
          <w:sz w:val="20"/>
          <w:szCs w:val="20"/>
          <w:u w:color="000000"/>
          <w:bdr w:val="nil"/>
          <w:lang w:eastAsia="es-ES"/>
        </w:rPr>
        <w:t>money and a coat</w:t>
      </w:r>
      <w:r w:rsidR="009A305A" w:rsidRPr="001F521C">
        <w:rPr>
          <w:rFonts w:ascii="Cambria" w:eastAsia="Times New Roman" w:hAnsi="Cambria"/>
          <w:color w:val="000000"/>
          <w:sz w:val="20"/>
          <w:szCs w:val="20"/>
          <w:u w:color="000000"/>
          <w:bdr w:val="nil"/>
          <w:lang w:eastAsia="es-ES"/>
        </w:rPr>
        <w:t>.</w:t>
      </w:r>
      <w:r w:rsidRPr="001F521C">
        <w:rPr>
          <w:rFonts w:ascii="Cambria" w:eastAsia="Times New Roman" w:hAnsi="Cambria"/>
          <w:color w:val="000000"/>
          <w:sz w:val="20"/>
          <w:szCs w:val="20"/>
          <w:u w:color="000000"/>
          <w:bdr w:val="nil"/>
          <w:vertAlign w:val="superscript"/>
          <w:lang w:eastAsia="es-ES"/>
        </w:rPr>
        <w:footnoteReference w:id="2"/>
      </w:r>
      <w:r w:rsidRPr="001F521C">
        <w:rPr>
          <w:rFonts w:ascii="Cambria" w:eastAsia="Times New Roman" w:hAnsi="Cambria"/>
          <w:color w:val="000000"/>
          <w:sz w:val="20"/>
          <w:szCs w:val="20"/>
          <w:u w:color="000000"/>
          <w:bdr w:val="nil"/>
          <w:lang w:eastAsia="es-ES"/>
        </w:rPr>
        <w:t xml:space="preserve"> </w:t>
      </w:r>
      <w:r w:rsidR="009A305A" w:rsidRPr="001F521C">
        <w:rPr>
          <w:rFonts w:ascii="Cambria" w:eastAsia="Times New Roman" w:hAnsi="Cambria"/>
          <w:color w:val="000000"/>
          <w:sz w:val="20"/>
          <w:szCs w:val="20"/>
          <w:u w:color="000000"/>
          <w:bdr w:val="nil"/>
          <w:lang w:eastAsia="es-ES"/>
        </w:rPr>
        <w:t xml:space="preserve">Mr. </w:t>
      </w:r>
      <w:proofErr w:type="spellStart"/>
      <w:r w:rsidR="009A305A" w:rsidRPr="001F521C">
        <w:rPr>
          <w:rFonts w:ascii="Cambria" w:eastAsia="Times New Roman" w:hAnsi="Cambria"/>
          <w:color w:val="000000"/>
          <w:sz w:val="20"/>
          <w:szCs w:val="20"/>
          <w:u w:color="000000"/>
          <w:bdr w:val="nil"/>
          <w:lang w:eastAsia="es-ES"/>
        </w:rPr>
        <w:t>Cugat</w:t>
      </w:r>
      <w:proofErr w:type="spellEnd"/>
      <w:r w:rsidR="009A305A" w:rsidRPr="001F521C">
        <w:rPr>
          <w:rFonts w:ascii="Cambria" w:eastAsia="Times New Roman" w:hAnsi="Cambria"/>
          <w:color w:val="000000"/>
          <w:sz w:val="20"/>
          <w:szCs w:val="20"/>
          <w:u w:color="000000"/>
          <w:bdr w:val="nil"/>
          <w:lang w:eastAsia="es-ES"/>
        </w:rPr>
        <w:t xml:space="preserve"> said in his criminal complaint that he got out of the car and started running down the street until he found a police officer.</w:t>
      </w:r>
      <w:r w:rsidRPr="001F521C">
        <w:rPr>
          <w:rFonts w:ascii="Cambria" w:eastAsia="Times New Roman" w:hAnsi="Cambria"/>
          <w:color w:val="000000"/>
          <w:sz w:val="20"/>
          <w:szCs w:val="20"/>
          <w:u w:color="000000"/>
          <w:bdr w:val="nil"/>
          <w:vertAlign w:val="superscript"/>
          <w:lang w:eastAsia="es-ES"/>
        </w:rPr>
        <w:footnoteReference w:id="3"/>
      </w:r>
      <w:r w:rsidRPr="001F521C">
        <w:rPr>
          <w:rFonts w:ascii="Cambria" w:eastAsia="Times New Roman" w:hAnsi="Cambria"/>
          <w:color w:val="000000"/>
          <w:sz w:val="20"/>
          <w:szCs w:val="20"/>
          <w:u w:color="000000"/>
          <w:bdr w:val="nil"/>
          <w:lang w:eastAsia="es-ES"/>
        </w:rPr>
        <w:t xml:space="preserve"> </w:t>
      </w:r>
      <w:r w:rsidR="009A305A" w:rsidRPr="001F521C">
        <w:rPr>
          <w:rFonts w:ascii="Cambria" w:eastAsia="Times New Roman" w:hAnsi="Cambria"/>
          <w:color w:val="000000"/>
          <w:sz w:val="20"/>
          <w:szCs w:val="20"/>
          <w:u w:color="000000"/>
          <w:bdr w:val="nil"/>
          <w:lang w:eastAsia="es-ES"/>
        </w:rPr>
        <w:t>He sustained that he saw a patrolman and that, after reporting the incident to the police officers inside, he climbed into it.</w:t>
      </w:r>
      <w:r w:rsidRPr="001F521C">
        <w:rPr>
          <w:rFonts w:ascii="Cambria" w:eastAsia="Times New Roman" w:hAnsi="Cambria"/>
          <w:color w:val="000000"/>
          <w:sz w:val="20"/>
          <w:szCs w:val="20"/>
          <w:u w:color="000000"/>
          <w:bdr w:val="nil"/>
          <w:vertAlign w:val="superscript"/>
          <w:lang w:eastAsia="es-ES"/>
        </w:rPr>
        <w:footnoteReference w:id="4"/>
      </w:r>
      <w:r w:rsidR="009A305A" w:rsidRPr="001F521C">
        <w:rPr>
          <w:rFonts w:ascii="Cambria" w:eastAsia="Times New Roman" w:hAnsi="Cambria"/>
          <w:color w:val="000000"/>
          <w:sz w:val="20"/>
          <w:szCs w:val="20"/>
          <w:u w:color="000000"/>
          <w:bdr w:val="nil"/>
          <w:lang w:eastAsia="es-ES"/>
        </w:rPr>
        <w:t xml:space="preserve"> He expressed that he intercepted a public transport where he identified one of the aggressors.</w:t>
      </w:r>
      <w:r w:rsidRPr="001F521C">
        <w:rPr>
          <w:rFonts w:ascii="Cambria" w:eastAsia="Times New Roman" w:hAnsi="Cambria"/>
          <w:color w:val="000000"/>
          <w:sz w:val="20"/>
          <w:szCs w:val="20"/>
          <w:u w:color="000000"/>
          <w:bdr w:val="nil"/>
          <w:vertAlign w:val="superscript"/>
          <w:lang w:eastAsia="es-ES"/>
        </w:rPr>
        <w:footnoteReference w:id="5"/>
      </w:r>
      <w:r w:rsidRPr="001F521C">
        <w:rPr>
          <w:rFonts w:ascii="Cambria" w:eastAsia="Times New Roman" w:hAnsi="Cambria"/>
          <w:color w:val="000000"/>
          <w:sz w:val="20"/>
          <w:szCs w:val="20"/>
          <w:u w:color="000000"/>
          <w:bdr w:val="nil"/>
          <w:lang w:eastAsia="es-ES"/>
        </w:rPr>
        <w:t xml:space="preserve"> </w:t>
      </w:r>
      <w:r w:rsidR="009A305A" w:rsidRPr="001F521C">
        <w:rPr>
          <w:rFonts w:ascii="Cambria" w:eastAsia="Times New Roman" w:hAnsi="Cambria"/>
          <w:color w:val="000000"/>
          <w:sz w:val="20"/>
          <w:szCs w:val="20"/>
          <w:u w:color="000000"/>
          <w:bdr w:val="nil"/>
          <w:lang w:eastAsia="es-ES"/>
        </w:rPr>
        <w:t xml:space="preserve">The petitioners reported that Mr. </w:t>
      </w:r>
      <w:proofErr w:type="spellStart"/>
      <w:r w:rsidR="009A305A" w:rsidRPr="001F521C">
        <w:rPr>
          <w:rFonts w:ascii="Cambria" w:eastAsia="Times New Roman" w:hAnsi="Cambria"/>
          <w:color w:val="000000"/>
          <w:sz w:val="20"/>
          <w:szCs w:val="20"/>
          <w:u w:color="000000"/>
          <w:bdr w:val="nil"/>
          <w:lang w:eastAsia="es-ES"/>
        </w:rPr>
        <w:t>Cugat</w:t>
      </w:r>
      <w:proofErr w:type="spellEnd"/>
      <w:r w:rsidR="009A305A" w:rsidRPr="001F521C">
        <w:rPr>
          <w:rFonts w:ascii="Cambria" w:eastAsia="Times New Roman" w:hAnsi="Cambria"/>
          <w:color w:val="000000"/>
          <w:sz w:val="20"/>
          <w:szCs w:val="20"/>
          <w:u w:color="000000"/>
          <w:bdr w:val="nil"/>
          <w:lang w:eastAsia="es-ES"/>
        </w:rPr>
        <w:t xml:space="preserve"> identified Marcos Alejandro Martín as one of the aggressors.</w:t>
      </w:r>
      <w:r w:rsidRPr="001F521C">
        <w:rPr>
          <w:rFonts w:ascii="Cambria" w:eastAsia="Times New Roman" w:hAnsi="Cambria"/>
          <w:color w:val="000000"/>
          <w:sz w:val="20"/>
          <w:szCs w:val="20"/>
          <w:u w:color="000000"/>
          <w:bdr w:val="nil"/>
          <w:vertAlign w:val="superscript"/>
          <w:lang w:eastAsia="es-ES"/>
        </w:rPr>
        <w:footnoteReference w:id="6"/>
      </w:r>
      <w:r w:rsidRPr="001F521C">
        <w:rPr>
          <w:rFonts w:ascii="Cambria" w:eastAsia="Times New Roman" w:hAnsi="Cambria"/>
          <w:color w:val="000000"/>
          <w:sz w:val="20"/>
          <w:szCs w:val="20"/>
          <w:u w:color="000000"/>
          <w:bdr w:val="nil"/>
          <w:lang w:eastAsia="es-ES"/>
        </w:rPr>
        <w:t xml:space="preserve"> </w:t>
      </w:r>
      <w:r w:rsidR="009A305A" w:rsidRPr="001F521C">
        <w:rPr>
          <w:rFonts w:ascii="Cambria" w:eastAsia="Times New Roman" w:hAnsi="Cambria"/>
          <w:color w:val="000000"/>
          <w:sz w:val="20"/>
          <w:szCs w:val="20"/>
          <w:u w:color="000000"/>
          <w:bdr w:val="nil"/>
          <w:lang w:eastAsia="es-ES"/>
        </w:rPr>
        <w:t>He added that the police officer found a penknife and his coat under the seat where Mr. Martin sat.</w:t>
      </w:r>
      <w:r w:rsidRPr="001F521C">
        <w:rPr>
          <w:rFonts w:ascii="Cambria" w:eastAsia="Times New Roman" w:hAnsi="Cambria"/>
          <w:color w:val="000000"/>
          <w:sz w:val="20"/>
          <w:szCs w:val="20"/>
          <w:u w:color="000000"/>
          <w:bdr w:val="nil"/>
          <w:vertAlign w:val="superscript"/>
          <w:lang w:eastAsia="es-ES"/>
        </w:rPr>
        <w:footnoteReference w:id="7"/>
      </w:r>
      <w:r w:rsidRPr="001F521C">
        <w:rPr>
          <w:rFonts w:ascii="Cambria" w:eastAsia="Times New Roman" w:hAnsi="Cambria"/>
          <w:color w:val="000000"/>
          <w:sz w:val="20"/>
          <w:szCs w:val="20"/>
          <w:u w:color="000000"/>
          <w:bdr w:val="nil"/>
          <w:lang w:eastAsia="es-ES"/>
        </w:rPr>
        <w:t xml:space="preserve"> </w:t>
      </w:r>
      <w:r w:rsidR="00C53552" w:rsidRPr="001F521C">
        <w:rPr>
          <w:rFonts w:ascii="Cambria" w:eastAsia="Times New Roman" w:hAnsi="Cambria"/>
          <w:color w:val="000000"/>
          <w:sz w:val="20"/>
          <w:szCs w:val="20"/>
          <w:u w:color="000000"/>
          <w:bdr w:val="nil"/>
          <w:lang w:eastAsia="es-ES"/>
        </w:rPr>
        <w:t xml:space="preserve">Mr. </w:t>
      </w:r>
      <w:proofErr w:type="spellStart"/>
      <w:r w:rsidR="00C53552" w:rsidRPr="001F521C">
        <w:rPr>
          <w:rFonts w:ascii="Cambria" w:eastAsia="Times New Roman" w:hAnsi="Cambria"/>
          <w:color w:val="000000"/>
          <w:sz w:val="20"/>
          <w:szCs w:val="20"/>
          <w:u w:color="000000"/>
          <w:bdr w:val="nil"/>
          <w:lang w:eastAsia="es-ES"/>
        </w:rPr>
        <w:t>Cugat</w:t>
      </w:r>
      <w:proofErr w:type="spellEnd"/>
      <w:r w:rsidR="00C53552" w:rsidRPr="001F521C">
        <w:rPr>
          <w:rFonts w:ascii="Cambria" w:eastAsia="Times New Roman" w:hAnsi="Cambria"/>
          <w:color w:val="000000"/>
          <w:sz w:val="20"/>
          <w:szCs w:val="20"/>
          <w:u w:color="000000"/>
          <w:bdr w:val="nil"/>
          <w:lang w:eastAsia="es-ES"/>
        </w:rPr>
        <w:t xml:space="preserve"> sustained that one of the police officers arrested Mr. Martín and proceeded "to the subsequent reading of rights."</w:t>
      </w:r>
      <w:r w:rsidRPr="001F521C">
        <w:rPr>
          <w:rFonts w:ascii="Cambria" w:eastAsia="Times New Roman" w:hAnsi="Cambria"/>
          <w:color w:val="000000"/>
          <w:sz w:val="20"/>
          <w:szCs w:val="20"/>
          <w:u w:color="000000"/>
          <w:bdr w:val="nil"/>
          <w:vertAlign w:val="superscript"/>
          <w:lang w:eastAsia="es-ES"/>
        </w:rPr>
        <w:footnoteReference w:id="8"/>
      </w:r>
    </w:p>
    <w:p w14:paraId="2A42B30F" w14:textId="77777777" w:rsidR="00C53552" w:rsidRPr="001F521C" w:rsidRDefault="00C53552" w:rsidP="001F521C">
      <w:pPr>
        <w:spacing w:after="0" w:line="240" w:lineRule="auto"/>
        <w:jc w:val="both"/>
        <w:rPr>
          <w:rFonts w:ascii="Cambria" w:eastAsia="Times New Roman" w:hAnsi="Cambria"/>
          <w:color w:val="000000"/>
          <w:sz w:val="20"/>
          <w:szCs w:val="20"/>
          <w:u w:color="000000"/>
          <w:bdr w:val="nil"/>
          <w:lang w:eastAsia="es-ES"/>
        </w:rPr>
      </w:pPr>
    </w:p>
    <w:p w14:paraId="5BDC1100" w14:textId="77777777" w:rsidR="00C53552" w:rsidRPr="001F521C" w:rsidRDefault="00C53552"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The Commission does not have the complete documentation on the criminal proceedings against Mr. Martín. From the available information, the IACHR takes note of the following statements that were made in the process:</w:t>
      </w:r>
    </w:p>
    <w:p w14:paraId="248522F0" w14:textId="77777777" w:rsidR="00C53552" w:rsidRPr="001F521C" w:rsidRDefault="00C53552" w:rsidP="001F521C">
      <w:pPr>
        <w:spacing w:after="0" w:line="240" w:lineRule="auto"/>
        <w:jc w:val="both"/>
        <w:rPr>
          <w:rFonts w:ascii="Cambria" w:eastAsia="Times New Roman" w:hAnsi="Cambria"/>
          <w:color w:val="000000"/>
          <w:sz w:val="20"/>
          <w:szCs w:val="20"/>
          <w:u w:color="000000"/>
          <w:bdr w:val="nil"/>
          <w:lang w:eastAsia="es-ES"/>
        </w:rPr>
      </w:pPr>
    </w:p>
    <w:p w14:paraId="229A2748" w14:textId="77777777" w:rsidR="00C53552" w:rsidRPr="001F521C" w:rsidRDefault="00C53552" w:rsidP="001F521C">
      <w:pPr>
        <w:numPr>
          <w:ilvl w:val="0"/>
          <w:numId w:val="5"/>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lastRenderedPageBreak/>
        <w:t xml:space="preserve">The police officer who arrested Mr. Martín, Daniel </w:t>
      </w:r>
      <w:proofErr w:type="spellStart"/>
      <w:r w:rsidRPr="001F521C">
        <w:rPr>
          <w:rFonts w:ascii="Cambria" w:eastAsia="Times New Roman" w:hAnsi="Cambria"/>
          <w:color w:val="000000"/>
          <w:sz w:val="20"/>
          <w:szCs w:val="20"/>
          <w:u w:color="000000"/>
          <w:bdr w:val="nil"/>
          <w:lang w:eastAsia="es-ES"/>
        </w:rPr>
        <w:t>Priolo</w:t>
      </w:r>
      <w:proofErr w:type="spellEnd"/>
      <w:r w:rsidRPr="001F521C">
        <w:rPr>
          <w:rFonts w:ascii="Cambria" w:eastAsia="Times New Roman" w:hAnsi="Cambria"/>
          <w:color w:val="000000"/>
          <w:sz w:val="20"/>
          <w:szCs w:val="20"/>
          <w:u w:color="000000"/>
          <w:bdr w:val="nil"/>
          <w:lang w:eastAsia="es-ES"/>
        </w:rPr>
        <w:t xml:space="preserve">, stated that when Mr. </w:t>
      </w:r>
      <w:proofErr w:type="spellStart"/>
      <w:r w:rsidRPr="001F521C">
        <w:rPr>
          <w:rFonts w:ascii="Cambria" w:eastAsia="Times New Roman" w:hAnsi="Cambria"/>
          <w:color w:val="000000"/>
          <w:sz w:val="20"/>
          <w:szCs w:val="20"/>
          <w:u w:color="000000"/>
          <w:bdr w:val="nil"/>
          <w:lang w:eastAsia="es-ES"/>
        </w:rPr>
        <w:t>Cugat</w:t>
      </w:r>
      <w:proofErr w:type="spellEnd"/>
      <w:r w:rsidRPr="001F521C">
        <w:rPr>
          <w:rFonts w:ascii="Cambria" w:eastAsia="Times New Roman" w:hAnsi="Cambria"/>
          <w:color w:val="000000"/>
          <w:sz w:val="20"/>
          <w:szCs w:val="20"/>
          <w:u w:color="000000"/>
          <w:bdr w:val="nil"/>
          <w:lang w:eastAsia="es-ES"/>
        </w:rPr>
        <w:t xml:space="preserve"> identified Marcos Alejandro Martín as one of the aggressors, he proceeded with his arrest.</w:t>
      </w:r>
      <w:r w:rsidRPr="001F521C">
        <w:rPr>
          <w:rFonts w:ascii="Cambria" w:eastAsia="Times New Roman" w:hAnsi="Cambria"/>
          <w:color w:val="000000"/>
          <w:sz w:val="20"/>
          <w:szCs w:val="20"/>
          <w:u w:color="000000"/>
          <w:bdr w:val="nil"/>
          <w:vertAlign w:val="superscript"/>
          <w:lang w:eastAsia="es-ES"/>
        </w:rPr>
        <w:footnoteReference w:id="9"/>
      </w:r>
      <w:r w:rsidRPr="001F521C">
        <w:rPr>
          <w:rFonts w:ascii="Cambria" w:eastAsia="Times New Roman" w:hAnsi="Cambria"/>
          <w:color w:val="000000"/>
          <w:sz w:val="20"/>
          <w:szCs w:val="20"/>
          <w:u w:color="000000"/>
          <w:bdr w:val="nil"/>
          <w:lang w:eastAsia="es-ES"/>
        </w:rPr>
        <w:t xml:space="preserve"> He sustained that "he does not remember exactly who was the one who seized the weapon and how much was the amount that was stolen, but those details should arise from [the] statement [of Mr. </w:t>
      </w:r>
      <w:proofErr w:type="spellStart"/>
      <w:r w:rsidRPr="001F521C">
        <w:rPr>
          <w:rFonts w:ascii="Cambria" w:eastAsia="Times New Roman" w:hAnsi="Cambria"/>
          <w:color w:val="000000"/>
          <w:sz w:val="20"/>
          <w:szCs w:val="20"/>
          <w:u w:color="000000"/>
          <w:bdr w:val="nil"/>
          <w:lang w:eastAsia="es-ES"/>
        </w:rPr>
        <w:t>Cugat</w:t>
      </w:r>
      <w:proofErr w:type="spellEnd"/>
      <w:r w:rsidRPr="001F521C">
        <w:rPr>
          <w:rFonts w:ascii="Cambria" w:eastAsia="Times New Roman" w:hAnsi="Cambria"/>
          <w:color w:val="000000"/>
          <w:sz w:val="20"/>
          <w:szCs w:val="20"/>
          <w:u w:color="000000"/>
          <w:bdr w:val="nil"/>
          <w:lang w:eastAsia="es-ES"/>
        </w:rPr>
        <w:t>].”</w:t>
      </w:r>
      <w:r w:rsidRPr="001F521C">
        <w:rPr>
          <w:rFonts w:ascii="Cambria" w:eastAsia="Times New Roman" w:hAnsi="Cambria"/>
          <w:color w:val="000000"/>
          <w:sz w:val="20"/>
          <w:szCs w:val="20"/>
          <w:u w:color="000000"/>
          <w:bdr w:val="nil"/>
          <w:vertAlign w:val="superscript"/>
          <w:lang w:eastAsia="es-ES"/>
        </w:rPr>
        <w:footnoteReference w:id="10"/>
      </w:r>
    </w:p>
    <w:p w14:paraId="0EE1C3AF" w14:textId="77777777" w:rsidR="00C53552" w:rsidRPr="001F521C" w:rsidRDefault="00C53552" w:rsidP="001F521C">
      <w:pPr>
        <w:spacing w:after="0" w:line="240" w:lineRule="auto"/>
        <w:jc w:val="both"/>
        <w:rPr>
          <w:rFonts w:ascii="Cambria" w:eastAsia="Times New Roman" w:hAnsi="Cambria"/>
          <w:color w:val="000000"/>
          <w:sz w:val="20"/>
          <w:szCs w:val="20"/>
          <w:u w:color="000000"/>
          <w:bdr w:val="nil"/>
          <w:lang w:eastAsia="es-ES"/>
        </w:rPr>
      </w:pPr>
    </w:p>
    <w:p w14:paraId="061CD1D7" w14:textId="77777777" w:rsidR="00C53552" w:rsidRPr="001F521C" w:rsidRDefault="00C53552" w:rsidP="001F521C">
      <w:pPr>
        <w:numPr>
          <w:ilvl w:val="0"/>
          <w:numId w:val="5"/>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The witness, Fernando Bernal, stated that he was on public transport when a police officer and Mr. </w:t>
      </w:r>
      <w:proofErr w:type="spellStart"/>
      <w:r w:rsidRPr="001F521C">
        <w:rPr>
          <w:rFonts w:ascii="Cambria" w:eastAsia="Times New Roman" w:hAnsi="Cambria"/>
          <w:color w:val="000000"/>
          <w:sz w:val="20"/>
          <w:szCs w:val="20"/>
          <w:u w:color="000000"/>
          <w:bdr w:val="nil"/>
          <w:lang w:eastAsia="es-ES"/>
        </w:rPr>
        <w:t>Cugat</w:t>
      </w:r>
      <w:proofErr w:type="spellEnd"/>
      <w:r w:rsidRPr="001F521C">
        <w:rPr>
          <w:rFonts w:ascii="Cambria" w:eastAsia="Times New Roman" w:hAnsi="Cambria"/>
          <w:color w:val="000000"/>
          <w:sz w:val="20"/>
          <w:szCs w:val="20"/>
          <w:u w:color="000000"/>
          <w:bdr w:val="nil"/>
          <w:lang w:eastAsia="es-ES"/>
        </w:rPr>
        <w:t xml:space="preserve"> boarded such transportation.</w:t>
      </w:r>
      <w:r w:rsidRPr="001F521C">
        <w:rPr>
          <w:rFonts w:ascii="Cambria" w:eastAsia="Times New Roman" w:hAnsi="Cambria"/>
          <w:color w:val="000000"/>
          <w:sz w:val="20"/>
          <w:szCs w:val="20"/>
          <w:u w:color="000000"/>
          <w:bdr w:val="nil"/>
          <w:vertAlign w:val="superscript"/>
          <w:lang w:eastAsia="es-ES"/>
        </w:rPr>
        <w:footnoteReference w:id="11"/>
      </w:r>
      <w:r w:rsidRPr="001F521C">
        <w:rPr>
          <w:rFonts w:ascii="Cambria" w:eastAsia="Times New Roman" w:hAnsi="Cambria"/>
          <w:color w:val="000000"/>
          <w:sz w:val="20"/>
          <w:szCs w:val="20"/>
          <w:u w:color="000000"/>
          <w:bdr w:val="nil"/>
          <w:lang w:eastAsia="es-ES"/>
        </w:rPr>
        <w:t xml:space="preserve"> He indicated that the police officer found a penknife and a coat near the alleged aggressor.</w:t>
      </w:r>
      <w:r w:rsidRPr="001F521C">
        <w:rPr>
          <w:rFonts w:ascii="Cambria" w:eastAsia="Times New Roman" w:hAnsi="Cambria"/>
          <w:color w:val="000000"/>
          <w:sz w:val="20"/>
          <w:szCs w:val="20"/>
          <w:u w:color="000000"/>
          <w:bdr w:val="nil"/>
          <w:vertAlign w:val="superscript"/>
          <w:lang w:eastAsia="es-ES"/>
        </w:rPr>
        <w:footnoteReference w:id="12"/>
      </w:r>
      <w:r w:rsidRPr="001F521C">
        <w:rPr>
          <w:rFonts w:ascii="Cambria" w:eastAsia="Times New Roman" w:hAnsi="Cambria"/>
          <w:color w:val="000000"/>
          <w:sz w:val="20"/>
          <w:szCs w:val="20"/>
          <w:u w:color="000000"/>
          <w:bdr w:val="nil"/>
          <w:lang w:eastAsia="es-ES"/>
        </w:rPr>
        <w:t xml:space="preserve"> </w:t>
      </w:r>
      <w:r w:rsidR="005C38EB" w:rsidRPr="001F521C">
        <w:rPr>
          <w:rFonts w:ascii="Cambria" w:eastAsia="Times New Roman" w:hAnsi="Cambria"/>
          <w:color w:val="000000"/>
          <w:sz w:val="20"/>
          <w:szCs w:val="20"/>
          <w:u w:color="000000"/>
          <w:bdr w:val="nil"/>
          <w:lang w:eastAsia="es-ES"/>
        </w:rPr>
        <w:t>He sustained that "they arrested a person to whom they read his rights in his presence."</w:t>
      </w:r>
      <w:r w:rsidRPr="001F521C">
        <w:rPr>
          <w:rFonts w:ascii="Cambria" w:eastAsia="Times New Roman" w:hAnsi="Cambria"/>
          <w:color w:val="000000"/>
          <w:sz w:val="20"/>
          <w:szCs w:val="20"/>
          <w:u w:color="000000"/>
          <w:bdr w:val="nil"/>
          <w:vertAlign w:val="superscript"/>
          <w:lang w:eastAsia="es-ES"/>
        </w:rPr>
        <w:footnoteReference w:id="13"/>
      </w:r>
    </w:p>
    <w:p w14:paraId="1AAAE09A" w14:textId="77777777" w:rsidR="00C53552" w:rsidRPr="001F521C" w:rsidRDefault="00C53552" w:rsidP="001F521C">
      <w:pPr>
        <w:spacing w:after="0" w:line="240" w:lineRule="auto"/>
        <w:jc w:val="both"/>
        <w:rPr>
          <w:rFonts w:ascii="Cambria" w:eastAsia="Times New Roman" w:hAnsi="Cambria"/>
          <w:color w:val="000000"/>
          <w:sz w:val="20"/>
          <w:szCs w:val="20"/>
          <w:u w:color="000000"/>
          <w:bdr w:val="nil"/>
          <w:lang w:eastAsia="es-ES"/>
        </w:rPr>
      </w:pPr>
    </w:p>
    <w:p w14:paraId="28772FF7" w14:textId="77777777" w:rsidR="00C53552" w:rsidRPr="001F521C" w:rsidRDefault="005C38EB" w:rsidP="001F521C">
      <w:pPr>
        <w:numPr>
          <w:ilvl w:val="0"/>
          <w:numId w:val="5"/>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The public transport driver stated that he saw Mr. </w:t>
      </w:r>
      <w:proofErr w:type="spellStart"/>
      <w:r w:rsidRPr="001F521C">
        <w:rPr>
          <w:rFonts w:ascii="Cambria" w:eastAsia="Times New Roman" w:hAnsi="Cambria"/>
          <w:color w:val="000000"/>
          <w:sz w:val="20"/>
          <w:szCs w:val="20"/>
          <w:u w:color="000000"/>
          <w:bdr w:val="nil"/>
          <w:lang w:eastAsia="es-ES"/>
        </w:rPr>
        <w:t>Cugat</w:t>
      </w:r>
      <w:proofErr w:type="spellEnd"/>
      <w:r w:rsidRPr="001F521C">
        <w:rPr>
          <w:rFonts w:ascii="Cambria" w:eastAsia="Times New Roman" w:hAnsi="Cambria"/>
          <w:color w:val="000000"/>
          <w:sz w:val="20"/>
          <w:szCs w:val="20"/>
          <w:u w:color="000000"/>
          <w:bdr w:val="nil"/>
          <w:lang w:eastAsia="es-ES"/>
        </w:rPr>
        <w:t xml:space="preserve"> and a police officer come aboard.</w:t>
      </w:r>
      <w:r w:rsidR="00C53552" w:rsidRPr="001F521C">
        <w:rPr>
          <w:rFonts w:ascii="Cambria" w:eastAsia="Times New Roman" w:hAnsi="Cambria"/>
          <w:color w:val="000000"/>
          <w:sz w:val="20"/>
          <w:szCs w:val="20"/>
          <w:u w:color="000000"/>
          <w:bdr w:val="nil"/>
          <w:vertAlign w:val="superscript"/>
          <w:lang w:eastAsia="es-ES"/>
        </w:rPr>
        <w:footnoteReference w:id="14"/>
      </w:r>
      <w:r w:rsidR="00C53552"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He expressed that he saw when a person was stopped inside the vehicle and a penknife and a coat were confiscated.</w:t>
      </w:r>
      <w:r w:rsidR="00C53552" w:rsidRPr="001F521C">
        <w:rPr>
          <w:rFonts w:ascii="Cambria" w:eastAsia="Times New Roman" w:hAnsi="Cambria"/>
          <w:color w:val="000000"/>
          <w:sz w:val="20"/>
          <w:szCs w:val="20"/>
          <w:u w:color="000000"/>
          <w:bdr w:val="nil"/>
          <w:vertAlign w:val="superscript"/>
          <w:lang w:eastAsia="es-ES"/>
        </w:rPr>
        <w:footnoteReference w:id="15"/>
      </w:r>
    </w:p>
    <w:p w14:paraId="7F77DD29" w14:textId="77777777" w:rsidR="00BE0B85" w:rsidRPr="001F521C" w:rsidRDefault="00BE0B85" w:rsidP="001F521C">
      <w:pPr>
        <w:spacing w:after="0" w:line="240" w:lineRule="auto"/>
        <w:jc w:val="both"/>
        <w:rPr>
          <w:rFonts w:ascii="Cambria" w:eastAsia="Times New Roman" w:hAnsi="Cambria"/>
          <w:color w:val="000000"/>
          <w:sz w:val="20"/>
          <w:szCs w:val="20"/>
          <w:u w:color="000000"/>
          <w:bdr w:val="nil"/>
          <w:lang w:eastAsia="es-ES"/>
        </w:rPr>
      </w:pPr>
    </w:p>
    <w:p w14:paraId="346C6435" w14:textId="77777777" w:rsidR="005C38EB" w:rsidRPr="001F521C" w:rsidRDefault="005C38EB"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The State reported that on September 1, 1998, preventive detention was ordered against Mr. Martín.</w:t>
      </w:r>
      <w:r w:rsidRPr="001F521C">
        <w:rPr>
          <w:rFonts w:ascii="Cambria" w:eastAsia="Times New Roman" w:hAnsi="Cambria"/>
          <w:color w:val="000000"/>
          <w:sz w:val="20"/>
          <w:szCs w:val="20"/>
          <w:u w:color="000000"/>
          <w:bdr w:val="nil"/>
          <w:vertAlign w:val="superscript"/>
          <w:lang w:eastAsia="es-ES"/>
        </w:rPr>
        <w:footnoteReference w:id="16"/>
      </w:r>
      <w:r w:rsidRPr="001F521C">
        <w:rPr>
          <w:rFonts w:ascii="Cambria" w:eastAsia="Times New Roman" w:hAnsi="Cambria"/>
          <w:color w:val="000000"/>
          <w:sz w:val="20"/>
          <w:szCs w:val="20"/>
          <w:u w:color="000000"/>
          <w:bdr w:val="nil"/>
          <w:lang w:eastAsia="es-ES"/>
        </w:rPr>
        <w:t xml:space="preserve"> The IACHR does not have information on the motivation to apply such detention. That same day, Mr. Martin gave his statement at the introductory stage.</w:t>
      </w:r>
      <w:r w:rsidRPr="001F521C">
        <w:rPr>
          <w:rFonts w:ascii="Cambria" w:eastAsia="Times New Roman" w:hAnsi="Cambria"/>
          <w:color w:val="000000"/>
          <w:sz w:val="20"/>
          <w:szCs w:val="20"/>
          <w:u w:color="000000"/>
          <w:bdr w:val="nil"/>
          <w:vertAlign w:val="superscript"/>
          <w:lang w:eastAsia="es-ES"/>
        </w:rPr>
        <w:footnoteReference w:id="17"/>
      </w:r>
      <w:r w:rsidRPr="001F521C">
        <w:rPr>
          <w:rFonts w:ascii="Cambria" w:eastAsia="Times New Roman" w:hAnsi="Cambria"/>
          <w:color w:val="000000"/>
          <w:sz w:val="20"/>
          <w:szCs w:val="20"/>
          <w:u w:color="000000"/>
          <w:bdr w:val="nil"/>
          <w:lang w:eastAsia="es-ES"/>
        </w:rPr>
        <w:t xml:space="preserve"> Mr. Martin denied the facts and as reported in the decision:</w:t>
      </w:r>
    </w:p>
    <w:p w14:paraId="3D4D17E6" w14:textId="77777777" w:rsidR="005C38EB" w:rsidRPr="001F521C" w:rsidRDefault="005C38EB" w:rsidP="001F521C">
      <w:pPr>
        <w:spacing w:after="0" w:line="240" w:lineRule="auto"/>
        <w:ind w:left="720"/>
        <w:jc w:val="both"/>
        <w:rPr>
          <w:rFonts w:ascii="Cambria" w:eastAsia="Times New Roman" w:hAnsi="Cambria"/>
          <w:color w:val="000000"/>
          <w:sz w:val="20"/>
          <w:szCs w:val="20"/>
          <w:u w:color="000000"/>
          <w:bdr w:val="nil"/>
          <w:lang w:eastAsia="es-ES"/>
        </w:rPr>
      </w:pPr>
    </w:p>
    <w:p w14:paraId="519AB9CE" w14:textId="20F0E7E9" w:rsidR="005C38EB" w:rsidRPr="001F521C" w:rsidRDefault="005C38EB" w:rsidP="001F521C">
      <w:pPr>
        <w:spacing w:after="0" w:line="240" w:lineRule="auto"/>
        <w:ind w:left="720" w:right="720"/>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He claimed that after leaving River's court with his girlfriend they approach the bus (...); who noticed that some guys who boarded it were nervous and one made a strange movement in the back of the bus and then he </w:t>
      </w:r>
      <w:r w:rsidR="00195DAF" w:rsidRPr="001F521C">
        <w:rPr>
          <w:rFonts w:ascii="Cambria" w:eastAsia="Times New Roman" w:hAnsi="Cambria"/>
          <w:color w:val="000000"/>
          <w:sz w:val="20"/>
          <w:szCs w:val="20"/>
          <w:u w:color="000000"/>
          <w:bdr w:val="nil"/>
          <w:lang w:eastAsia="es-ES"/>
        </w:rPr>
        <w:t>descended</w:t>
      </w:r>
      <w:r w:rsidRPr="001F521C">
        <w:rPr>
          <w:rFonts w:ascii="Cambria" w:eastAsia="Times New Roman" w:hAnsi="Cambria"/>
          <w:color w:val="000000"/>
          <w:sz w:val="20"/>
          <w:szCs w:val="20"/>
          <w:u w:color="000000"/>
          <w:bdr w:val="nil"/>
          <w:lang w:eastAsia="es-ES"/>
        </w:rPr>
        <w:t xml:space="preserve"> it </w:t>
      </w:r>
      <w:r w:rsidR="00195DAF" w:rsidRPr="001F521C">
        <w:rPr>
          <w:rFonts w:ascii="Cambria" w:eastAsia="Times New Roman" w:hAnsi="Cambria"/>
          <w:color w:val="000000"/>
          <w:sz w:val="20"/>
          <w:szCs w:val="20"/>
          <w:u w:color="000000"/>
          <w:bdr w:val="nil"/>
          <w:lang w:eastAsia="es-ES"/>
        </w:rPr>
        <w:t>with his partner;</w:t>
      </w:r>
      <w:r w:rsidRPr="001F521C">
        <w:rPr>
          <w:rFonts w:ascii="Cambria" w:eastAsia="Times New Roman" w:hAnsi="Cambria"/>
          <w:color w:val="000000"/>
          <w:sz w:val="20"/>
          <w:szCs w:val="20"/>
          <w:u w:color="000000"/>
          <w:bdr w:val="nil"/>
          <w:lang w:eastAsia="es-ES"/>
        </w:rPr>
        <w:t xml:space="preserve"> that next to him </w:t>
      </w:r>
      <w:r w:rsidR="00195DAF" w:rsidRPr="001F521C">
        <w:rPr>
          <w:rFonts w:ascii="Cambria" w:eastAsia="Times New Roman" w:hAnsi="Cambria"/>
          <w:color w:val="000000"/>
          <w:sz w:val="20"/>
          <w:szCs w:val="20"/>
          <w:u w:color="000000"/>
          <w:bdr w:val="nil"/>
          <w:lang w:eastAsia="es-ES"/>
        </w:rPr>
        <w:t xml:space="preserve">he </w:t>
      </w:r>
      <w:r w:rsidRPr="001F521C">
        <w:rPr>
          <w:rFonts w:ascii="Cambria" w:eastAsia="Times New Roman" w:hAnsi="Cambria"/>
          <w:color w:val="000000"/>
          <w:sz w:val="20"/>
          <w:szCs w:val="20"/>
          <w:u w:color="000000"/>
          <w:bdr w:val="nil"/>
          <w:lang w:eastAsia="es-ES"/>
        </w:rPr>
        <w:t xml:space="preserve">had neither the </w:t>
      </w:r>
      <w:r w:rsidR="00195DAF" w:rsidRPr="001F521C">
        <w:rPr>
          <w:rFonts w:ascii="Cambria" w:eastAsia="Times New Roman" w:hAnsi="Cambria"/>
          <w:color w:val="000000"/>
          <w:sz w:val="20"/>
          <w:szCs w:val="20"/>
          <w:u w:color="000000"/>
          <w:bdr w:val="nil"/>
          <w:lang w:eastAsia="es-ES"/>
        </w:rPr>
        <w:t>coat</w:t>
      </w:r>
      <w:r w:rsidRPr="001F521C">
        <w:rPr>
          <w:rFonts w:ascii="Cambria" w:eastAsia="Times New Roman" w:hAnsi="Cambria"/>
          <w:color w:val="000000"/>
          <w:sz w:val="20"/>
          <w:szCs w:val="20"/>
          <w:u w:color="000000"/>
          <w:bdr w:val="nil"/>
          <w:lang w:eastAsia="es-ES"/>
        </w:rPr>
        <w:t xml:space="preserve"> nor the </w:t>
      </w:r>
      <w:r w:rsidR="00732F60" w:rsidRPr="001F521C">
        <w:rPr>
          <w:rFonts w:ascii="Cambria" w:eastAsia="Times New Roman" w:hAnsi="Cambria"/>
          <w:color w:val="000000"/>
          <w:sz w:val="20"/>
          <w:szCs w:val="20"/>
          <w:u w:color="000000"/>
          <w:bdr w:val="nil"/>
          <w:lang w:eastAsia="es-ES"/>
        </w:rPr>
        <w:t>confiscated penknife</w:t>
      </w:r>
      <w:r w:rsidR="00195DAF" w:rsidRPr="001F521C">
        <w:rPr>
          <w:rFonts w:ascii="Cambria" w:eastAsia="Times New Roman" w:hAnsi="Cambria"/>
          <w:color w:val="000000"/>
          <w:sz w:val="20"/>
          <w:szCs w:val="20"/>
          <w:u w:color="000000"/>
          <w:bdr w:val="nil"/>
          <w:lang w:eastAsia="es-ES"/>
        </w:rPr>
        <w:t>.</w:t>
      </w:r>
      <w:r w:rsidRPr="001F521C">
        <w:rPr>
          <w:rFonts w:ascii="Cambria" w:eastAsia="Times New Roman" w:hAnsi="Cambria"/>
          <w:color w:val="000000"/>
          <w:sz w:val="20"/>
          <w:szCs w:val="20"/>
          <w:u w:color="000000"/>
          <w:bdr w:val="nil"/>
          <w:vertAlign w:val="superscript"/>
          <w:lang w:eastAsia="es-ES"/>
        </w:rPr>
        <w:footnoteReference w:id="18"/>
      </w:r>
    </w:p>
    <w:p w14:paraId="37D6F937" w14:textId="77777777" w:rsidR="005C38EB" w:rsidRPr="001F521C" w:rsidRDefault="005C38EB" w:rsidP="001F521C">
      <w:pPr>
        <w:spacing w:after="0" w:line="240" w:lineRule="auto"/>
        <w:ind w:left="2160" w:right="720" w:hanging="720"/>
        <w:jc w:val="both"/>
        <w:rPr>
          <w:rFonts w:ascii="Cambria" w:eastAsia="Times New Roman" w:hAnsi="Cambria"/>
          <w:color w:val="000000"/>
          <w:sz w:val="20"/>
          <w:szCs w:val="20"/>
          <w:u w:color="000000"/>
          <w:bdr w:val="nil"/>
          <w:lang w:eastAsia="es-ES"/>
        </w:rPr>
      </w:pPr>
    </w:p>
    <w:p w14:paraId="4D23839A" w14:textId="77777777" w:rsidR="00195DAF" w:rsidRPr="001F521C" w:rsidRDefault="000D3395"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1F521C">
        <w:rPr>
          <w:rFonts w:ascii="Cambria" w:hAnsi="Cambria"/>
          <w:sz w:val="20"/>
          <w:szCs w:val="20"/>
          <w:lang w:val="en-US"/>
        </w:rPr>
        <w:t>On February 16, 1999, the public hearing was held</w:t>
      </w:r>
      <w:r w:rsidRPr="001F521C">
        <w:rPr>
          <w:rStyle w:val="FootnoteReference"/>
          <w:rFonts w:ascii="Cambria" w:eastAsia="Batang" w:hAnsi="Cambria"/>
          <w:sz w:val="20"/>
          <w:szCs w:val="20"/>
          <w:vertAlign w:val="baseline"/>
          <w:lang w:val="en-US"/>
        </w:rPr>
        <w:t>.</w:t>
      </w:r>
      <w:r w:rsidR="00195DAF" w:rsidRPr="001F521C">
        <w:rPr>
          <w:rStyle w:val="FootnoteReference"/>
          <w:rFonts w:ascii="Cambria" w:eastAsia="Batang" w:hAnsi="Cambria"/>
          <w:color w:val="auto"/>
          <w:sz w:val="20"/>
          <w:szCs w:val="20"/>
          <w:bdr w:val="none" w:sz="0" w:space="0" w:color="auto"/>
          <w:lang w:val="en-US" w:eastAsia="en-US"/>
        </w:rPr>
        <w:footnoteReference w:id="19"/>
      </w:r>
      <w:r w:rsidRPr="001F521C">
        <w:rPr>
          <w:rFonts w:ascii="Cambria" w:eastAsia="Batang" w:hAnsi="Cambria"/>
          <w:sz w:val="20"/>
          <w:szCs w:val="20"/>
          <w:lang w:val="en-US"/>
        </w:rPr>
        <w:t xml:space="preserve"> Mr. </w:t>
      </w:r>
      <w:proofErr w:type="spellStart"/>
      <w:r w:rsidRPr="001F521C">
        <w:rPr>
          <w:rFonts w:ascii="Cambria" w:eastAsia="Batang" w:hAnsi="Cambria"/>
          <w:sz w:val="20"/>
          <w:szCs w:val="20"/>
          <w:lang w:val="en-US"/>
        </w:rPr>
        <w:t>Cugat</w:t>
      </w:r>
      <w:proofErr w:type="spellEnd"/>
      <w:r w:rsidRPr="001F521C">
        <w:rPr>
          <w:rFonts w:ascii="Cambria" w:eastAsia="Batang" w:hAnsi="Cambria"/>
          <w:sz w:val="20"/>
          <w:szCs w:val="20"/>
          <w:lang w:val="en-US"/>
        </w:rPr>
        <w:t xml:space="preserve"> did not attend.</w:t>
      </w:r>
      <w:r w:rsidR="00195DAF" w:rsidRPr="001F521C">
        <w:rPr>
          <w:rStyle w:val="FootnoteReference"/>
          <w:rFonts w:ascii="Cambria" w:eastAsia="Batang" w:hAnsi="Cambria"/>
          <w:color w:val="auto"/>
          <w:sz w:val="20"/>
          <w:szCs w:val="20"/>
          <w:bdr w:val="none" w:sz="0" w:space="0" w:color="auto"/>
          <w:lang w:val="en-US" w:eastAsia="en-US"/>
        </w:rPr>
        <w:footnoteReference w:id="20"/>
      </w:r>
      <w:r w:rsidR="00195DAF" w:rsidRPr="001F521C">
        <w:rPr>
          <w:rFonts w:ascii="Cambria" w:hAnsi="Cambria"/>
          <w:sz w:val="20"/>
          <w:szCs w:val="20"/>
          <w:lang w:val="en-US"/>
        </w:rPr>
        <w:t xml:space="preserve"> </w:t>
      </w:r>
      <w:r w:rsidRPr="001F521C">
        <w:rPr>
          <w:rFonts w:ascii="Cambria" w:hAnsi="Cambria"/>
          <w:sz w:val="20"/>
          <w:szCs w:val="20"/>
          <w:lang w:val="en-US"/>
        </w:rPr>
        <w:t xml:space="preserve">The Prosecutors Office requested that the statement of Mr. </w:t>
      </w:r>
      <w:proofErr w:type="spellStart"/>
      <w:r w:rsidRPr="001F521C">
        <w:rPr>
          <w:rFonts w:ascii="Cambria" w:hAnsi="Cambria"/>
          <w:sz w:val="20"/>
          <w:szCs w:val="20"/>
          <w:lang w:val="en-US"/>
        </w:rPr>
        <w:t>Cugat</w:t>
      </w:r>
      <w:proofErr w:type="spellEnd"/>
      <w:r w:rsidRPr="001F521C">
        <w:rPr>
          <w:rFonts w:ascii="Cambria" w:hAnsi="Cambria"/>
          <w:sz w:val="20"/>
          <w:szCs w:val="20"/>
          <w:lang w:val="en-US"/>
        </w:rPr>
        <w:t xml:space="preserve"> rendered at the stage of investigation be incorporated</w:t>
      </w:r>
      <w:r w:rsidRPr="001F521C">
        <w:rPr>
          <w:rStyle w:val="FootnoteReference"/>
          <w:rFonts w:ascii="Cambria" w:eastAsia="Batang" w:hAnsi="Cambria"/>
          <w:sz w:val="20"/>
          <w:szCs w:val="20"/>
          <w:vertAlign w:val="baseline"/>
          <w:lang w:val="en-US"/>
        </w:rPr>
        <w:t>.</w:t>
      </w:r>
      <w:r w:rsidR="00195DAF" w:rsidRPr="001F521C">
        <w:rPr>
          <w:rStyle w:val="FootnoteReference"/>
          <w:rFonts w:ascii="Cambria" w:eastAsia="Batang" w:hAnsi="Cambria"/>
          <w:color w:val="auto"/>
          <w:sz w:val="20"/>
          <w:szCs w:val="20"/>
          <w:bdr w:val="none" w:sz="0" w:space="0" w:color="auto"/>
          <w:lang w:val="en-US" w:eastAsia="en-US"/>
        </w:rPr>
        <w:footnoteReference w:id="21"/>
      </w:r>
      <w:r w:rsidR="00195DAF" w:rsidRPr="001F521C">
        <w:rPr>
          <w:rFonts w:ascii="Cambria" w:hAnsi="Cambria"/>
          <w:sz w:val="20"/>
          <w:szCs w:val="20"/>
          <w:lang w:val="en-US"/>
        </w:rPr>
        <w:t xml:space="preserve"> </w:t>
      </w:r>
      <w:r w:rsidRPr="001F521C">
        <w:rPr>
          <w:rFonts w:ascii="Cambria" w:hAnsi="Cambria"/>
          <w:sz w:val="20"/>
          <w:szCs w:val="20"/>
          <w:lang w:val="en-US"/>
        </w:rPr>
        <w:t>Mr. Martín's defense objected to this "arguing that it was an essential evidence, which had not been controlled by the accused who ... had denied his participation in the event."</w:t>
      </w:r>
      <w:r w:rsidR="00195DAF" w:rsidRPr="001F521C">
        <w:rPr>
          <w:rStyle w:val="FootnoteReference"/>
          <w:rFonts w:ascii="Cambria" w:eastAsia="Batang" w:hAnsi="Cambria"/>
          <w:color w:val="auto"/>
          <w:sz w:val="20"/>
          <w:szCs w:val="20"/>
          <w:bdr w:val="none" w:sz="0" w:space="0" w:color="auto"/>
          <w:lang w:val="en-US" w:eastAsia="en-US"/>
        </w:rPr>
        <w:footnoteReference w:id="22"/>
      </w:r>
      <w:r w:rsidR="00195DAF" w:rsidRPr="001F521C">
        <w:rPr>
          <w:rFonts w:ascii="Cambria" w:hAnsi="Cambria"/>
          <w:sz w:val="20"/>
          <w:szCs w:val="20"/>
          <w:lang w:val="en-US"/>
        </w:rPr>
        <w:t xml:space="preserve"> </w:t>
      </w:r>
      <w:r w:rsidRPr="001F521C">
        <w:rPr>
          <w:rFonts w:ascii="Cambria" w:hAnsi="Cambria"/>
          <w:sz w:val="20"/>
          <w:szCs w:val="20"/>
          <w:lang w:val="en-US"/>
        </w:rPr>
        <w:t>The defense indicated that accepting the inclusion of said statement would violate the right of defense established in Article 8.2.f of the American Convention</w:t>
      </w:r>
      <w:r w:rsidRPr="001F521C">
        <w:rPr>
          <w:rStyle w:val="FootnoteReference"/>
          <w:rFonts w:ascii="Cambria" w:eastAsia="Batang" w:hAnsi="Cambria"/>
          <w:sz w:val="20"/>
          <w:szCs w:val="20"/>
          <w:vertAlign w:val="baseline"/>
          <w:lang w:val="en-US"/>
        </w:rPr>
        <w:t>.</w:t>
      </w:r>
      <w:r w:rsidR="00195DAF" w:rsidRPr="001F521C">
        <w:rPr>
          <w:rStyle w:val="FootnoteReference"/>
          <w:rFonts w:ascii="Cambria" w:eastAsia="Batang" w:hAnsi="Cambria"/>
          <w:color w:val="auto"/>
          <w:sz w:val="20"/>
          <w:szCs w:val="20"/>
          <w:bdr w:val="none" w:sz="0" w:space="0" w:color="auto"/>
          <w:lang w:val="en-US" w:eastAsia="en-US"/>
        </w:rPr>
        <w:footnoteReference w:id="23"/>
      </w:r>
      <w:r w:rsidR="00195DAF" w:rsidRPr="001F521C">
        <w:rPr>
          <w:rFonts w:ascii="Cambria" w:hAnsi="Cambria"/>
          <w:sz w:val="20"/>
          <w:szCs w:val="20"/>
          <w:lang w:val="en-US"/>
        </w:rPr>
        <w:t xml:space="preserve"> </w:t>
      </w:r>
      <w:r w:rsidRPr="001F521C">
        <w:rPr>
          <w:rFonts w:ascii="Cambria" w:hAnsi="Cambria"/>
          <w:sz w:val="20"/>
          <w:szCs w:val="20"/>
          <w:lang w:val="en-US"/>
        </w:rPr>
        <w:t>The petitioner indicated that at the hearing the Court "ordered the incorporation by reading of the statement provided during</w:t>
      </w:r>
      <w:r w:rsidR="00C121EA" w:rsidRPr="001F521C">
        <w:rPr>
          <w:rFonts w:ascii="Cambria" w:hAnsi="Cambria"/>
          <w:sz w:val="20"/>
          <w:szCs w:val="20"/>
          <w:lang w:val="en-US"/>
        </w:rPr>
        <w:t xml:space="preserve"> the</w:t>
      </w:r>
      <w:r w:rsidRPr="001F521C">
        <w:rPr>
          <w:rFonts w:ascii="Cambria" w:hAnsi="Cambria"/>
          <w:sz w:val="20"/>
          <w:szCs w:val="20"/>
          <w:lang w:val="en-US"/>
        </w:rPr>
        <w:t xml:space="preserve"> police prevention</w:t>
      </w:r>
      <w:r w:rsidR="00C121EA" w:rsidRPr="001F521C">
        <w:rPr>
          <w:rFonts w:ascii="Cambria" w:hAnsi="Cambria"/>
          <w:sz w:val="20"/>
          <w:szCs w:val="20"/>
          <w:lang w:val="en-US"/>
        </w:rPr>
        <w:t>.</w:t>
      </w:r>
      <w:r w:rsidRPr="001F521C">
        <w:rPr>
          <w:rFonts w:ascii="Cambria" w:hAnsi="Cambria"/>
          <w:sz w:val="20"/>
          <w:szCs w:val="20"/>
          <w:lang w:val="en-US"/>
        </w:rPr>
        <w:t>"</w:t>
      </w:r>
      <w:r w:rsidR="00195DAF" w:rsidRPr="001F521C">
        <w:rPr>
          <w:rStyle w:val="FootnoteReference"/>
          <w:rFonts w:ascii="Cambria" w:eastAsia="Batang" w:hAnsi="Cambria"/>
          <w:color w:val="auto"/>
          <w:sz w:val="20"/>
          <w:szCs w:val="20"/>
          <w:bdr w:val="none" w:sz="0" w:space="0" w:color="auto"/>
          <w:lang w:val="en-US" w:eastAsia="en-US"/>
        </w:rPr>
        <w:footnoteReference w:id="24"/>
      </w:r>
    </w:p>
    <w:p w14:paraId="667C95DE" w14:textId="77777777" w:rsidR="00195DAF" w:rsidRPr="001F521C" w:rsidRDefault="00195DAF"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548E4734" w14:textId="77777777" w:rsidR="00195DAF" w:rsidRPr="001F521C" w:rsidRDefault="00C121EA"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1F521C">
        <w:rPr>
          <w:rFonts w:ascii="Cambria" w:hAnsi="Cambria"/>
          <w:sz w:val="20"/>
          <w:szCs w:val="20"/>
          <w:lang w:val="en-US"/>
        </w:rPr>
        <w:t>On February 25, 1999, the Federal Criminal Court No. 15 of the Federal Capital issued a conviction against Mr. Martín for co-authoring the crime of armed robbery</w:t>
      </w:r>
      <w:r w:rsidRPr="001F521C">
        <w:rPr>
          <w:rStyle w:val="FootnoteReference"/>
          <w:rFonts w:ascii="Cambria" w:hAnsi="Cambria"/>
          <w:sz w:val="20"/>
          <w:szCs w:val="20"/>
          <w:vertAlign w:val="baseline"/>
          <w:lang w:val="en-US"/>
        </w:rPr>
        <w:t>.</w:t>
      </w:r>
      <w:r w:rsidR="00195DAF" w:rsidRPr="001F521C">
        <w:rPr>
          <w:rStyle w:val="FootnoteReference"/>
          <w:rFonts w:ascii="Cambria" w:hAnsi="Cambria"/>
          <w:sz w:val="20"/>
          <w:szCs w:val="20"/>
          <w:lang w:val="en-US"/>
        </w:rPr>
        <w:footnoteReference w:id="25"/>
      </w:r>
      <w:r w:rsidR="00195DAF" w:rsidRPr="001F521C">
        <w:rPr>
          <w:rFonts w:ascii="Cambria" w:hAnsi="Cambria"/>
          <w:sz w:val="20"/>
          <w:szCs w:val="20"/>
          <w:lang w:val="en-US"/>
        </w:rPr>
        <w:t xml:space="preserve"> </w:t>
      </w:r>
      <w:r w:rsidRPr="001F521C">
        <w:rPr>
          <w:rFonts w:ascii="Cambria" w:hAnsi="Cambria"/>
          <w:sz w:val="20"/>
          <w:szCs w:val="20"/>
          <w:lang w:val="en-US"/>
        </w:rPr>
        <w:t>The Court sentenced him to five years' imprisonment</w:t>
      </w:r>
      <w:r w:rsidRPr="001F521C">
        <w:rPr>
          <w:rStyle w:val="FootnoteReference"/>
          <w:rFonts w:ascii="Cambria" w:hAnsi="Cambria"/>
          <w:sz w:val="20"/>
          <w:szCs w:val="20"/>
          <w:vertAlign w:val="baseline"/>
          <w:lang w:val="en-US"/>
        </w:rPr>
        <w:t>.</w:t>
      </w:r>
      <w:r w:rsidR="00195DAF" w:rsidRPr="001F521C">
        <w:rPr>
          <w:rStyle w:val="FootnoteReference"/>
          <w:rFonts w:ascii="Cambria" w:hAnsi="Cambria"/>
          <w:sz w:val="20"/>
          <w:szCs w:val="20"/>
          <w:lang w:val="en-US"/>
        </w:rPr>
        <w:footnoteReference w:id="26"/>
      </w:r>
    </w:p>
    <w:p w14:paraId="6BFB49C1" w14:textId="77777777" w:rsidR="00C121EA" w:rsidRPr="001F521C" w:rsidRDefault="00C121EA" w:rsidP="001F521C">
      <w:pPr>
        <w:spacing w:after="0" w:line="240" w:lineRule="auto"/>
        <w:jc w:val="both"/>
        <w:rPr>
          <w:rFonts w:ascii="Cambria" w:eastAsia="Times New Roman" w:hAnsi="Cambria"/>
          <w:color w:val="000000"/>
          <w:sz w:val="20"/>
          <w:szCs w:val="20"/>
          <w:u w:color="000000"/>
          <w:bdr w:val="nil"/>
          <w:lang w:eastAsia="es-ES"/>
        </w:rPr>
      </w:pPr>
    </w:p>
    <w:p w14:paraId="224965EE" w14:textId="77777777" w:rsidR="00C121EA" w:rsidRPr="001F521C" w:rsidRDefault="004E794A"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In its judgment, the Court incorporated the statement that Mr. </w:t>
      </w:r>
      <w:proofErr w:type="spellStart"/>
      <w:r w:rsidRPr="001F521C">
        <w:rPr>
          <w:rFonts w:ascii="Cambria" w:eastAsia="Times New Roman" w:hAnsi="Cambria"/>
          <w:color w:val="000000"/>
          <w:sz w:val="20"/>
          <w:szCs w:val="20"/>
          <w:u w:color="000000"/>
          <w:bdr w:val="nil"/>
          <w:lang w:eastAsia="es-ES"/>
        </w:rPr>
        <w:t>Cugat</w:t>
      </w:r>
      <w:proofErr w:type="spellEnd"/>
      <w:r w:rsidRPr="001F521C">
        <w:rPr>
          <w:rFonts w:ascii="Cambria" w:eastAsia="Times New Roman" w:hAnsi="Cambria"/>
          <w:color w:val="000000"/>
          <w:sz w:val="20"/>
          <w:szCs w:val="20"/>
          <w:u w:color="000000"/>
          <w:bdr w:val="nil"/>
          <w:lang w:eastAsia="es-ES"/>
        </w:rPr>
        <w:t xml:space="preserve"> made during the investigation stage. </w:t>
      </w:r>
      <w:r w:rsidR="00C121EA" w:rsidRPr="001F521C">
        <w:rPr>
          <w:rFonts w:ascii="Cambria" w:eastAsia="Times New Roman" w:hAnsi="Cambria"/>
          <w:color w:val="000000"/>
          <w:sz w:val="20"/>
          <w:szCs w:val="20"/>
          <w:u w:color="000000"/>
          <w:bdr w:val="nil"/>
          <w:vertAlign w:val="superscript"/>
          <w:lang w:eastAsia="es-ES"/>
        </w:rPr>
        <w:footnoteReference w:id="27"/>
      </w:r>
      <w:r w:rsidR="00C121EA"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 xml:space="preserve">The Tribunal, in response to the questions raised by Mr. Martín's defense regarding said </w:t>
      </w:r>
      <w:r w:rsidRPr="001F521C">
        <w:rPr>
          <w:rFonts w:ascii="Cambria" w:eastAsia="Times New Roman" w:hAnsi="Cambria"/>
          <w:color w:val="000000"/>
          <w:sz w:val="20"/>
          <w:szCs w:val="20"/>
          <w:u w:color="000000"/>
          <w:bdr w:val="nil"/>
          <w:lang w:eastAsia="es-ES"/>
        </w:rPr>
        <w:lastRenderedPageBreak/>
        <w:t>situation, stated that this document was incorporated and read during the hearing, based on Article 391 of the Criminal Procedure Code of the Nation</w:t>
      </w:r>
      <w:r w:rsidR="00C121EA" w:rsidRPr="001F521C">
        <w:rPr>
          <w:rFonts w:ascii="Cambria" w:eastAsia="Times New Roman" w:hAnsi="Cambria"/>
          <w:color w:val="000000"/>
          <w:sz w:val="20"/>
          <w:szCs w:val="20"/>
          <w:u w:color="000000"/>
          <w:bdr w:val="nil"/>
          <w:vertAlign w:val="superscript"/>
          <w:lang w:eastAsia="es-ES"/>
        </w:rPr>
        <w:footnoteReference w:id="28"/>
      </w:r>
      <w:r w:rsidR="00C121EA"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 xml:space="preserve">because "it was impossible to locate" Mr. </w:t>
      </w:r>
      <w:proofErr w:type="spellStart"/>
      <w:r w:rsidRPr="001F521C">
        <w:rPr>
          <w:rFonts w:ascii="Cambria" w:eastAsia="Times New Roman" w:hAnsi="Cambria"/>
          <w:color w:val="000000"/>
          <w:sz w:val="20"/>
          <w:szCs w:val="20"/>
          <w:u w:color="000000"/>
          <w:bdr w:val="nil"/>
          <w:lang w:eastAsia="es-ES"/>
        </w:rPr>
        <w:t>Cugat</w:t>
      </w:r>
      <w:proofErr w:type="spellEnd"/>
      <w:r w:rsidRPr="001F521C">
        <w:rPr>
          <w:rFonts w:ascii="Cambria" w:eastAsia="Times New Roman" w:hAnsi="Cambria"/>
          <w:color w:val="000000"/>
          <w:sz w:val="20"/>
          <w:szCs w:val="20"/>
          <w:u w:color="000000"/>
          <w:bdr w:val="nil"/>
          <w:lang w:eastAsia="es-ES"/>
        </w:rPr>
        <w:t xml:space="preserve"> "to declare in the debate."</w:t>
      </w:r>
      <w:r w:rsidR="00C121EA" w:rsidRPr="001F521C">
        <w:rPr>
          <w:rFonts w:ascii="Cambria" w:eastAsia="Times New Roman" w:hAnsi="Cambria"/>
          <w:color w:val="000000"/>
          <w:sz w:val="20"/>
          <w:szCs w:val="20"/>
          <w:u w:color="000000"/>
          <w:bdr w:val="nil"/>
          <w:vertAlign w:val="superscript"/>
          <w:lang w:eastAsia="es-ES"/>
        </w:rPr>
        <w:footnoteReference w:id="29"/>
      </w:r>
      <w:r w:rsidR="00C121EA"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The Court added:</w:t>
      </w:r>
    </w:p>
    <w:p w14:paraId="74D815D4" w14:textId="77777777" w:rsidR="00C121EA" w:rsidRPr="001F521C" w:rsidRDefault="00C121EA" w:rsidP="001F521C">
      <w:pPr>
        <w:spacing w:after="0" w:line="240" w:lineRule="auto"/>
        <w:ind w:left="720"/>
        <w:jc w:val="both"/>
        <w:rPr>
          <w:rFonts w:ascii="Cambria" w:eastAsia="Times New Roman" w:hAnsi="Cambria"/>
          <w:color w:val="000000"/>
          <w:sz w:val="20"/>
          <w:szCs w:val="20"/>
          <w:u w:color="000000"/>
          <w:bdr w:val="nil"/>
          <w:lang w:eastAsia="es-ES"/>
        </w:rPr>
      </w:pPr>
    </w:p>
    <w:p w14:paraId="20CA52F7" w14:textId="77777777" w:rsidR="00C121EA" w:rsidRPr="001F521C" w:rsidRDefault="000C0F56" w:rsidP="001F521C">
      <w:pPr>
        <w:spacing w:after="0" w:line="240" w:lineRule="auto"/>
        <w:ind w:left="720" w:right="720"/>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To suppose otherwise would be to admit an unacceptable equation; in the absence of a complainant's location - for any reason – it corresponds to absolve him. To admit this premise would mean leaving in the most absolute </w:t>
      </w:r>
      <w:proofErr w:type="spellStart"/>
      <w:r w:rsidRPr="001F521C">
        <w:rPr>
          <w:rFonts w:ascii="Cambria" w:eastAsia="Times New Roman" w:hAnsi="Cambria"/>
          <w:color w:val="000000"/>
          <w:sz w:val="20"/>
          <w:szCs w:val="20"/>
          <w:u w:color="000000"/>
          <w:bdr w:val="nil"/>
          <w:lang w:eastAsia="es-ES"/>
        </w:rPr>
        <w:t>defencelessness</w:t>
      </w:r>
      <w:proofErr w:type="spellEnd"/>
      <w:r w:rsidRPr="001F521C">
        <w:rPr>
          <w:rFonts w:ascii="Cambria" w:eastAsia="Times New Roman" w:hAnsi="Cambria"/>
          <w:color w:val="000000"/>
          <w:sz w:val="20"/>
          <w:szCs w:val="20"/>
          <w:u w:color="000000"/>
          <w:bdr w:val="nil"/>
          <w:lang w:eastAsia="es-ES"/>
        </w:rPr>
        <w:t>’ the victims who would be the target of any outrage. (...) [The] absence of a witness is compensated with a coherent probative outline, as it occurs in this case. The gathered evidence is highly reliable.</w:t>
      </w:r>
    </w:p>
    <w:p w14:paraId="0CDD8568" w14:textId="77777777" w:rsidR="00C121EA" w:rsidRPr="001F521C" w:rsidRDefault="00C121EA" w:rsidP="001F521C">
      <w:p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ab/>
      </w:r>
    </w:p>
    <w:p w14:paraId="295398AF" w14:textId="77777777" w:rsidR="00C121EA" w:rsidRPr="001F521C" w:rsidRDefault="00C121EA" w:rsidP="001F521C">
      <w:pPr>
        <w:spacing w:after="0" w:line="240" w:lineRule="auto"/>
        <w:ind w:firstLine="720"/>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w:t>
      </w:r>
    </w:p>
    <w:p w14:paraId="07154A5E" w14:textId="77777777" w:rsidR="00C121EA" w:rsidRPr="001F521C" w:rsidRDefault="00C121EA" w:rsidP="001F521C">
      <w:pPr>
        <w:spacing w:after="0" w:line="240" w:lineRule="auto"/>
        <w:jc w:val="both"/>
        <w:rPr>
          <w:rFonts w:ascii="Cambria" w:hAnsi="Cambria"/>
          <w:sz w:val="20"/>
          <w:szCs w:val="20"/>
          <w:u w:color="000000"/>
        </w:rPr>
      </w:pPr>
    </w:p>
    <w:p w14:paraId="56D2B4FD" w14:textId="77777777" w:rsidR="00C121EA" w:rsidRPr="001F521C" w:rsidRDefault="000C0F56" w:rsidP="001F521C">
      <w:pPr>
        <w:spacing w:after="0" w:line="240" w:lineRule="auto"/>
        <w:ind w:left="720" w:right="720"/>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We thus found a solid picture by three witnesses [Mr. </w:t>
      </w:r>
      <w:proofErr w:type="spellStart"/>
      <w:r w:rsidRPr="001F521C">
        <w:rPr>
          <w:rFonts w:ascii="Cambria" w:eastAsia="Times New Roman" w:hAnsi="Cambria"/>
          <w:color w:val="000000"/>
          <w:sz w:val="20"/>
          <w:szCs w:val="20"/>
          <w:u w:color="000000"/>
          <w:bdr w:val="nil"/>
          <w:lang w:eastAsia="es-ES"/>
        </w:rPr>
        <w:t>Cugat</w:t>
      </w:r>
      <w:proofErr w:type="spellEnd"/>
      <w:r w:rsidRPr="001F521C">
        <w:rPr>
          <w:rFonts w:ascii="Cambria" w:eastAsia="Times New Roman" w:hAnsi="Cambria"/>
          <w:color w:val="000000"/>
          <w:sz w:val="20"/>
          <w:szCs w:val="20"/>
          <w:u w:color="000000"/>
          <w:bdr w:val="nil"/>
          <w:lang w:eastAsia="es-ES"/>
        </w:rPr>
        <w:t xml:space="preserve">, the police officer and the driver of the vehicle] who appeared to the Tribunal as highly reliable. They expose with sincerity, without observing the slightest predisposition against the innocent (...). [Mr. </w:t>
      </w:r>
      <w:proofErr w:type="spellStart"/>
      <w:r w:rsidRPr="001F521C">
        <w:rPr>
          <w:rFonts w:ascii="Cambria" w:eastAsia="Times New Roman" w:hAnsi="Cambria"/>
          <w:color w:val="000000"/>
          <w:sz w:val="20"/>
          <w:szCs w:val="20"/>
          <w:u w:color="000000"/>
          <w:bdr w:val="nil"/>
          <w:lang w:eastAsia="es-ES"/>
        </w:rPr>
        <w:t>Cugat's</w:t>
      </w:r>
      <w:proofErr w:type="spellEnd"/>
      <w:r w:rsidRPr="001F521C">
        <w:rPr>
          <w:rFonts w:ascii="Cambria" w:eastAsia="Times New Roman" w:hAnsi="Cambria"/>
          <w:color w:val="000000"/>
          <w:sz w:val="20"/>
          <w:szCs w:val="20"/>
          <w:u w:color="000000"/>
          <w:bdr w:val="nil"/>
          <w:lang w:eastAsia="es-ES"/>
        </w:rPr>
        <w:t xml:space="preserve"> complaint] fully agrees with the versions received at the hearing. (...) [T]he finding of the </w:t>
      </w:r>
      <w:r w:rsidR="00C4064B" w:rsidRPr="001F521C">
        <w:rPr>
          <w:rFonts w:ascii="Cambria" w:eastAsia="Times New Roman" w:hAnsi="Cambria"/>
          <w:color w:val="000000"/>
          <w:sz w:val="20"/>
          <w:szCs w:val="20"/>
          <w:u w:color="000000"/>
          <w:bdr w:val="nil"/>
          <w:lang w:eastAsia="es-ES"/>
        </w:rPr>
        <w:t>weapon is fully accredited</w:t>
      </w:r>
      <w:r w:rsidR="00B812F5" w:rsidRPr="001F521C">
        <w:rPr>
          <w:rFonts w:ascii="Cambria" w:eastAsia="Times New Roman" w:hAnsi="Cambria"/>
          <w:color w:val="000000"/>
          <w:sz w:val="20"/>
          <w:szCs w:val="20"/>
          <w:u w:color="000000"/>
          <w:bdr w:val="nil"/>
          <w:lang w:eastAsia="es-ES"/>
        </w:rPr>
        <w:t>.</w:t>
      </w:r>
      <w:r w:rsidR="00C121EA" w:rsidRPr="001F521C">
        <w:rPr>
          <w:rFonts w:ascii="Cambria" w:eastAsia="Times New Roman" w:hAnsi="Cambria"/>
          <w:color w:val="000000"/>
          <w:sz w:val="20"/>
          <w:szCs w:val="20"/>
          <w:u w:color="000000"/>
          <w:bdr w:val="nil"/>
          <w:vertAlign w:val="superscript"/>
          <w:lang w:eastAsia="es-ES"/>
        </w:rPr>
        <w:footnoteReference w:id="30"/>
      </w:r>
    </w:p>
    <w:p w14:paraId="6C763AA1" w14:textId="77777777" w:rsidR="00C121EA" w:rsidRPr="001F521C" w:rsidRDefault="00C121EA"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EB421D6" w14:textId="77777777" w:rsidR="00BE274C" w:rsidRPr="001F521C" w:rsidRDefault="00BE274C" w:rsidP="001F521C">
      <w:pPr>
        <w:numPr>
          <w:ilvl w:val="0"/>
          <w:numId w:val="2"/>
        </w:numPr>
        <w:spacing w:after="0" w:line="240" w:lineRule="auto"/>
        <w:jc w:val="both"/>
        <w:rPr>
          <w:rFonts w:ascii="Cambria" w:hAnsi="Cambria"/>
          <w:sz w:val="20"/>
          <w:szCs w:val="20"/>
          <w:u w:color="000000"/>
        </w:rPr>
      </w:pPr>
      <w:r w:rsidRPr="001F521C">
        <w:rPr>
          <w:rFonts w:ascii="Cambria" w:hAnsi="Cambria"/>
          <w:sz w:val="20"/>
          <w:szCs w:val="20"/>
          <w:u w:color="000000"/>
        </w:rPr>
        <w:t>Mr. Martín's defense filed an appeal against the conviction.</w:t>
      </w:r>
      <w:r w:rsidRPr="001F521C">
        <w:rPr>
          <w:rFonts w:ascii="Cambria" w:hAnsi="Cambria"/>
          <w:sz w:val="20"/>
          <w:szCs w:val="20"/>
          <w:u w:color="000000"/>
          <w:vertAlign w:val="superscript"/>
        </w:rPr>
        <w:footnoteReference w:id="31"/>
      </w:r>
      <w:r w:rsidRPr="001F521C">
        <w:rPr>
          <w:rFonts w:ascii="Cambria" w:hAnsi="Cambria"/>
          <w:sz w:val="20"/>
          <w:szCs w:val="20"/>
          <w:u w:color="000000"/>
        </w:rPr>
        <w:t xml:space="preserve"> It was alleged that the inclusion of Mr. </w:t>
      </w:r>
      <w:proofErr w:type="spellStart"/>
      <w:r w:rsidRPr="001F521C">
        <w:rPr>
          <w:rFonts w:ascii="Cambria" w:hAnsi="Cambria"/>
          <w:sz w:val="20"/>
          <w:szCs w:val="20"/>
          <w:u w:color="000000"/>
        </w:rPr>
        <w:t>Cugat's</w:t>
      </w:r>
      <w:proofErr w:type="spellEnd"/>
      <w:r w:rsidRPr="001F521C">
        <w:rPr>
          <w:rFonts w:ascii="Cambria" w:hAnsi="Cambria"/>
          <w:sz w:val="20"/>
          <w:szCs w:val="20"/>
          <w:u w:color="000000"/>
        </w:rPr>
        <w:t xml:space="preserve"> statement at the pre-trial stage affected Mr. Martin's right to defense.</w:t>
      </w:r>
      <w:r w:rsidR="00B812F5" w:rsidRPr="001F521C">
        <w:rPr>
          <w:rStyle w:val="FootnoteReference"/>
          <w:rFonts w:ascii="Cambria" w:hAnsi="Cambria"/>
          <w:sz w:val="20"/>
          <w:szCs w:val="20"/>
        </w:rPr>
        <w:t xml:space="preserve"> </w:t>
      </w:r>
      <w:r w:rsidR="00B812F5" w:rsidRPr="001F521C">
        <w:rPr>
          <w:rStyle w:val="FootnoteReference"/>
          <w:rFonts w:ascii="Cambria" w:hAnsi="Cambria"/>
          <w:sz w:val="20"/>
          <w:szCs w:val="20"/>
        </w:rPr>
        <w:footnoteReference w:id="32"/>
      </w:r>
      <w:r w:rsidRPr="001F521C">
        <w:rPr>
          <w:rFonts w:ascii="Cambria" w:hAnsi="Cambria"/>
          <w:sz w:val="20"/>
          <w:szCs w:val="20"/>
          <w:u w:color="000000"/>
        </w:rPr>
        <w:t xml:space="preserve"> The defense added the following: </w:t>
      </w:r>
    </w:p>
    <w:p w14:paraId="2F82BF39" w14:textId="77777777" w:rsidR="00BE274C" w:rsidRPr="001F521C" w:rsidRDefault="00BE274C" w:rsidP="001F521C">
      <w:pPr>
        <w:spacing w:after="0" w:line="240" w:lineRule="auto"/>
        <w:ind w:left="720"/>
        <w:jc w:val="both"/>
        <w:rPr>
          <w:rFonts w:ascii="Cambria" w:hAnsi="Cambria"/>
          <w:sz w:val="20"/>
          <w:szCs w:val="20"/>
          <w:u w:color="000000"/>
        </w:rPr>
      </w:pPr>
    </w:p>
    <w:p w14:paraId="45EEB530" w14:textId="388CDA8F" w:rsidR="00BE274C" w:rsidRPr="001F521C" w:rsidRDefault="00BE274C" w:rsidP="001F521C">
      <w:pPr>
        <w:spacing w:after="0" w:line="240" w:lineRule="auto"/>
        <w:ind w:left="720" w:right="720"/>
        <w:jc w:val="both"/>
        <w:rPr>
          <w:rFonts w:ascii="Cambria" w:hAnsi="Cambria"/>
          <w:sz w:val="20"/>
          <w:szCs w:val="20"/>
          <w:u w:color="000000"/>
        </w:rPr>
      </w:pPr>
      <w:r w:rsidRPr="001F521C">
        <w:rPr>
          <w:rFonts w:ascii="Cambria" w:hAnsi="Cambria"/>
          <w:sz w:val="20"/>
          <w:szCs w:val="20"/>
          <w:u w:color="000000"/>
        </w:rPr>
        <w:t xml:space="preserve">From the integral reading of the ruling, </w:t>
      </w:r>
      <w:proofErr w:type="spellStart"/>
      <w:r w:rsidRPr="001F521C">
        <w:rPr>
          <w:rFonts w:ascii="Cambria" w:hAnsi="Cambria"/>
          <w:sz w:val="20"/>
          <w:szCs w:val="20"/>
          <w:u w:color="000000"/>
        </w:rPr>
        <w:t>Cugat's</w:t>
      </w:r>
      <w:proofErr w:type="spellEnd"/>
      <w:r w:rsidRPr="001F521C">
        <w:rPr>
          <w:rFonts w:ascii="Cambria" w:hAnsi="Cambria"/>
          <w:sz w:val="20"/>
          <w:szCs w:val="20"/>
          <w:u w:color="000000"/>
        </w:rPr>
        <w:t xml:space="preserve"> (...) sayings are the basis of the conviction (...) b</w:t>
      </w:r>
      <w:r w:rsidR="00B812F5" w:rsidRPr="001F521C">
        <w:rPr>
          <w:rFonts w:ascii="Cambria" w:hAnsi="Cambria"/>
          <w:sz w:val="20"/>
          <w:szCs w:val="20"/>
          <w:u w:color="000000"/>
        </w:rPr>
        <w:t>ecause the remaining evidence (the</w:t>
      </w:r>
      <w:r w:rsidRPr="001F521C">
        <w:rPr>
          <w:rFonts w:ascii="Cambria" w:hAnsi="Cambria"/>
          <w:sz w:val="20"/>
          <w:szCs w:val="20"/>
          <w:u w:color="000000"/>
        </w:rPr>
        <w:t xml:space="preserve"> </w:t>
      </w:r>
      <w:r w:rsidR="00732F60" w:rsidRPr="001F521C">
        <w:rPr>
          <w:rFonts w:ascii="Cambria" w:hAnsi="Cambria"/>
          <w:sz w:val="20"/>
          <w:szCs w:val="20"/>
          <w:u w:color="000000"/>
        </w:rPr>
        <w:t>theft</w:t>
      </w:r>
      <w:r w:rsidRPr="001F521C">
        <w:rPr>
          <w:rFonts w:ascii="Cambria" w:hAnsi="Cambria"/>
          <w:sz w:val="20"/>
          <w:szCs w:val="20"/>
          <w:u w:color="000000"/>
        </w:rPr>
        <w:t xml:space="preserve"> of a jacket thrown in the corridor of the </w:t>
      </w:r>
      <w:r w:rsidR="00CE52D9" w:rsidRPr="001F521C">
        <w:rPr>
          <w:rFonts w:ascii="Cambria" w:hAnsi="Cambria"/>
          <w:sz w:val="20"/>
          <w:szCs w:val="20"/>
          <w:u w:color="000000"/>
        </w:rPr>
        <w:t>bus</w:t>
      </w:r>
      <w:r w:rsidRPr="001F521C">
        <w:rPr>
          <w:rFonts w:ascii="Cambria" w:hAnsi="Cambria"/>
          <w:sz w:val="20"/>
          <w:szCs w:val="20"/>
          <w:u w:color="000000"/>
        </w:rPr>
        <w:t xml:space="preserve"> where more than thirty people </w:t>
      </w:r>
      <w:r w:rsidR="00B812F5" w:rsidRPr="001F521C">
        <w:rPr>
          <w:rFonts w:ascii="Cambria" w:hAnsi="Cambria"/>
          <w:sz w:val="20"/>
          <w:szCs w:val="20"/>
          <w:u w:color="000000"/>
        </w:rPr>
        <w:t>travelled</w:t>
      </w:r>
      <w:r w:rsidRPr="001F521C">
        <w:rPr>
          <w:rFonts w:ascii="Cambria" w:hAnsi="Cambria"/>
          <w:sz w:val="20"/>
          <w:szCs w:val="20"/>
          <w:u w:color="000000"/>
        </w:rPr>
        <w:t xml:space="preserve"> and a stiletto, which the victim found, under the seat where my defendant was traveling, and statements by the driver, the police (...) and the other passenger (...)) are only relevant from the first sayings of the complainant.</w:t>
      </w:r>
    </w:p>
    <w:p w14:paraId="71A9D737" w14:textId="77777777" w:rsidR="00BE274C" w:rsidRPr="001F521C" w:rsidRDefault="00BE274C" w:rsidP="001F521C">
      <w:pPr>
        <w:spacing w:after="0" w:line="240" w:lineRule="auto"/>
        <w:ind w:left="720" w:right="720"/>
        <w:jc w:val="both"/>
        <w:rPr>
          <w:rFonts w:ascii="Cambria" w:hAnsi="Cambria"/>
          <w:sz w:val="20"/>
          <w:szCs w:val="20"/>
          <w:u w:color="000000"/>
        </w:rPr>
      </w:pPr>
    </w:p>
    <w:p w14:paraId="1BB23E96" w14:textId="77777777" w:rsidR="00BE274C" w:rsidRPr="001F521C" w:rsidRDefault="00BE274C" w:rsidP="001F521C">
      <w:pPr>
        <w:spacing w:after="0" w:line="240" w:lineRule="auto"/>
        <w:ind w:left="720" w:right="720"/>
        <w:jc w:val="both"/>
        <w:rPr>
          <w:rFonts w:ascii="Cambria" w:hAnsi="Cambria"/>
          <w:sz w:val="20"/>
          <w:szCs w:val="20"/>
          <w:u w:color="000000"/>
        </w:rPr>
      </w:pPr>
      <w:r w:rsidRPr="001F521C">
        <w:rPr>
          <w:rFonts w:ascii="Cambria" w:hAnsi="Cambria"/>
          <w:sz w:val="20"/>
          <w:szCs w:val="20"/>
          <w:u w:color="000000"/>
        </w:rPr>
        <w:t>(…)</w:t>
      </w:r>
    </w:p>
    <w:p w14:paraId="2017BFA9" w14:textId="77777777" w:rsidR="00BE274C" w:rsidRPr="001F521C" w:rsidRDefault="00BE274C" w:rsidP="001F521C">
      <w:pPr>
        <w:spacing w:after="0" w:line="240" w:lineRule="auto"/>
        <w:ind w:left="720" w:right="720"/>
        <w:jc w:val="both"/>
        <w:rPr>
          <w:rFonts w:ascii="Cambria" w:hAnsi="Cambria"/>
          <w:sz w:val="20"/>
          <w:szCs w:val="20"/>
          <w:u w:color="000000"/>
        </w:rPr>
      </w:pPr>
    </w:p>
    <w:p w14:paraId="4A206E97" w14:textId="77777777" w:rsidR="00BE274C" w:rsidRPr="001F521C" w:rsidRDefault="00B812F5" w:rsidP="001F521C">
      <w:pPr>
        <w:spacing w:after="0" w:line="240" w:lineRule="auto"/>
        <w:ind w:left="720" w:right="720"/>
        <w:jc w:val="both"/>
        <w:rPr>
          <w:rFonts w:ascii="Cambria" w:hAnsi="Cambria"/>
          <w:sz w:val="20"/>
          <w:szCs w:val="20"/>
          <w:u w:color="000000"/>
        </w:rPr>
      </w:pPr>
      <w:r w:rsidRPr="001F521C">
        <w:rPr>
          <w:rFonts w:ascii="Cambria" w:hAnsi="Cambria"/>
          <w:sz w:val="20"/>
          <w:szCs w:val="20"/>
          <w:u w:color="000000"/>
        </w:rPr>
        <w:t>There is no independent means of evidence to determine with certainty the participation of my defendant in the fact that is the subject of the investigation, since the people who testified in court only witnessed the detention (peaceful, not in flagrante delicto) of a person who was sitting in the bus (…). [No] element was confiscated in his possession, and it was also demonstrated during the debate that the accusation against Martin (without a criminal record, with an excellent impression of his neighbors who consider him a young worker, and who declared himself innocent from the first opportunity) was produced by a person who was "nervous" and after having already gone on another opportunity to the bus without having indicated to anyone.</w:t>
      </w:r>
      <w:r w:rsidR="00BE274C" w:rsidRPr="001F521C">
        <w:rPr>
          <w:rFonts w:ascii="Cambria" w:hAnsi="Cambria"/>
          <w:sz w:val="20"/>
          <w:szCs w:val="20"/>
          <w:u w:color="000000"/>
          <w:vertAlign w:val="superscript"/>
        </w:rPr>
        <w:footnoteReference w:id="33"/>
      </w:r>
    </w:p>
    <w:p w14:paraId="593F7989" w14:textId="77777777" w:rsidR="00BE274C" w:rsidRPr="001F521C" w:rsidRDefault="00BE274C"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3265F13" w14:textId="77777777" w:rsidR="00B812F5" w:rsidRPr="001F521C" w:rsidRDefault="00B812F5"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lastRenderedPageBreak/>
        <w:t>On April 23, 1999, the National Chamber of Criminal Cassation declared inadmissible the cassation appeal filed.</w:t>
      </w:r>
      <w:r w:rsidRPr="001F521C">
        <w:rPr>
          <w:rFonts w:ascii="Cambria" w:eastAsia="Times New Roman" w:hAnsi="Cambria"/>
          <w:color w:val="000000"/>
          <w:sz w:val="20"/>
          <w:szCs w:val="20"/>
          <w:u w:color="000000"/>
          <w:bdr w:val="nil"/>
          <w:vertAlign w:val="superscript"/>
          <w:lang w:eastAsia="es-ES"/>
        </w:rPr>
        <w:footnoteReference w:id="34"/>
      </w:r>
      <w:r w:rsidRPr="001F521C">
        <w:rPr>
          <w:rFonts w:ascii="Cambria" w:eastAsia="Times New Roman" w:hAnsi="Cambria"/>
          <w:color w:val="000000"/>
          <w:sz w:val="20"/>
          <w:szCs w:val="20"/>
          <w:u w:color="000000"/>
          <w:bdr w:val="nil"/>
          <w:lang w:eastAsia="es-ES"/>
        </w:rPr>
        <w:t xml:space="preserve"> Regarding the incorporation by reading of the statement rendered during the investigation stage, the National Chamber indicated the following:</w:t>
      </w:r>
    </w:p>
    <w:p w14:paraId="221A41BB" w14:textId="77777777" w:rsidR="00B812F5" w:rsidRPr="001F521C" w:rsidRDefault="00B812F5" w:rsidP="001F521C">
      <w:pPr>
        <w:spacing w:after="0" w:line="240" w:lineRule="auto"/>
        <w:ind w:left="720"/>
        <w:jc w:val="both"/>
        <w:rPr>
          <w:rFonts w:ascii="Cambria" w:eastAsia="Times New Roman" w:hAnsi="Cambria"/>
          <w:color w:val="000000"/>
          <w:sz w:val="20"/>
          <w:szCs w:val="20"/>
          <w:u w:color="000000"/>
          <w:bdr w:val="nil"/>
          <w:lang w:eastAsia="es-ES"/>
        </w:rPr>
      </w:pPr>
    </w:p>
    <w:p w14:paraId="64587714" w14:textId="77777777" w:rsidR="00B812F5" w:rsidRPr="001F521C" w:rsidRDefault="00B812F5" w:rsidP="001F521C">
      <w:pPr>
        <w:spacing w:after="0" w:line="240" w:lineRule="auto"/>
        <w:ind w:left="720" w:right="720"/>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 That although this Chamber has said that such control (referring to the defense regarding the production of the testimony of the victim) "useful and effective" could not be fulfilled because the statements were received at a procedural stage in which the defense did not yet exist as a party, if the preventive court did not arbitrate any means that would allow further interrogation nor ensure that the complainants remained in their jurisdiction, the incorporation by reading of the said </w:t>
      </w:r>
      <w:r w:rsidR="00EF3AE4" w:rsidRPr="001F521C">
        <w:rPr>
          <w:rFonts w:ascii="Cambria" w:eastAsia="Times New Roman" w:hAnsi="Cambria"/>
          <w:color w:val="000000"/>
          <w:sz w:val="20"/>
          <w:szCs w:val="20"/>
          <w:u w:color="000000"/>
          <w:bdr w:val="nil"/>
          <w:lang w:eastAsia="es-ES"/>
        </w:rPr>
        <w:t>incriminating evidence</w:t>
      </w:r>
      <w:r w:rsidRPr="001F521C">
        <w:rPr>
          <w:rFonts w:ascii="Cambria" w:eastAsia="Times New Roman" w:hAnsi="Cambria"/>
          <w:color w:val="000000"/>
          <w:sz w:val="20"/>
          <w:szCs w:val="20"/>
          <w:u w:color="000000"/>
          <w:bdr w:val="nil"/>
          <w:lang w:eastAsia="es-ES"/>
        </w:rPr>
        <w:t xml:space="preserve"> violates the rights enshrined in the American Convention on Human Rights and the International Covenant on Civil and Political Rights, </w:t>
      </w:r>
      <w:r w:rsidR="00EF3AE4" w:rsidRPr="001F521C">
        <w:rPr>
          <w:rFonts w:ascii="Cambria" w:eastAsia="Times New Roman" w:hAnsi="Cambria"/>
          <w:color w:val="000000"/>
          <w:sz w:val="20"/>
          <w:szCs w:val="20"/>
          <w:u w:color="000000"/>
          <w:bdr w:val="nil"/>
          <w:lang w:eastAsia="es-ES"/>
        </w:rPr>
        <w:t>which’s</w:t>
      </w:r>
      <w:r w:rsidRPr="001F521C">
        <w:rPr>
          <w:rFonts w:ascii="Cambria" w:eastAsia="Times New Roman" w:hAnsi="Cambria"/>
          <w:color w:val="000000"/>
          <w:sz w:val="20"/>
          <w:szCs w:val="20"/>
          <w:u w:color="000000"/>
          <w:bdr w:val="nil"/>
          <w:lang w:eastAsia="es-ES"/>
        </w:rPr>
        <w:t xml:space="preserve"> constitutional rank (...) implies that its violation is those provided for in art. 167, inc. 3, and 168 of C.P.P.N. and that it entails the disqualification of the procedural act and the pronouncement that has been its consequence when, as here, the remaining evidence does not enable a certainty judgment about the guilt of the accused </w:t>
      </w:r>
      <w:r w:rsidR="00EF3AE4" w:rsidRPr="001F521C">
        <w:rPr>
          <w:rFonts w:ascii="Cambria" w:eastAsia="Times New Roman" w:hAnsi="Cambria"/>
          <w:color w:val="000000"/>
          <w:sz w:val="20"/>
          <w:szCs w:val="20"/>
          <w:u w:color="000000"/>
          <w:bdr w:val="nil"/>
          <w:lang w:eastAsia="es-ES"/>
        </w:rPr>
        <w:t>(</w:t>
      </w:r>
      <w:r w:rsidRPr="001F521C">
        <w:rPr>
          <w:rFonts w:ascii="Cambria" w:eastAsia="Times New Roman" w:hAnsi="Cambria"/>
          <w:color w:val="000000"/>
          <w:sz w:val="20"/>
          <w:szCs w:val="20"/>
          <w:u w:color="000000"/>
          <w:bdr w:val="nil"/>
          <w:lang w:eastAsia="es-ES"/>
        </w:rPr>
        <w:t>...</w:t>
      </w:r>
      <w:r w:rsidR="00EF3AE4" w:rsidRPr="001F521C">
        <w:rPr>
          <w:rFonts w:ascii="Cambria" w:eastAsia="Times New Roman" w:hAnsi="Cambria"/>
          <w:color w:val="000000"/>
          <w:sz w:val="20"/>
          <w:szCs w:val="20"/>
          <w:u w:color="000000"/>
          <w:bdr w:val="nil"/>
          <w:lang w:eastAsia="es-ES"/>
        </w:rPr>
        <w:t>)</w:t>
      </w:r>
      <w:r w:rsidRPr="001F521C">
        <w:rPr>
          <w:rFonts w:ascii="Cambria" w:eastAsia="Times New Roman" w:hAnsi="Cambria"/>
          <w:color w:val="000000"/>
          <w:sz w:val="20"/>
          <w:szCs w:val="20"/>
          <w:u w:color="000000"/>
          <w:bdr w:val="nil"/>
          <w:lang w:eastAsia="es-ES"/>
        </w:rPr>
        <w:t xml:space="preserve"> the situation in the case is not analogous, </w:t>
      </w:r>
      <w:r w:rsidR="00EF3AE4" w:rsidRPr="001F521C">
        <w:rPr>
          <w:rFonts w:ascii="Cambria" w:eastAsia="Times New Roman" w:hAnsi="Cambria"/>
          <w:color w:val="000000"/>
          <w:sz w:val="20"/>
          <w:szCs w:val="20"/>
          <w:u w:color="000000"/>
          <w:bdr w:val="nil"/>
          <w:lang w:eastAsia="es-ES"/>
        </w:rPr>
        <w:t>given that in this case</w:t>
      </w:r>
      <w:r w:rsidRPr="001F521C">
        <w:rPr>
          <w:rFonts w:ascii="Cambria" w:eastAsia="Times New Roman" w:hAnsi="Cambria"/>
          <w:color w:val="000000"/>
          <w:sz w:val="20"/>
          <w:szCs w:val="20"/>
          <w:u w:color="000000"/>
          <w:bdr w:val="nil"/>
          <w:lang w:eastAsia="es-ES"/>
        </w:rPr>
        <w:t>, it has not been shown that, excluding the victim's statement, the remaining evidence collected, prevents certainty about the form in which the event occurred and the criminal responsibility of the accused that allowed the magistrates to form their conviction to condemn</w:t>
      </w:r>
      <w:r w:rsidR="00EF3AE4" w:rsidRPr="001F521C">
        <w:rPr>
          <w:rFonts w:ascii="Cambria" w:eastAsia="Times New Roman" w:hAnsi="Cambria"/>
          <w:color w:val="000000"/>
          <w:sz w:val="20"/>
          <w:szCs w:val="20"/>
          <w:u w:color="000000"/>
          <w:bdr w:val="nil"/>
          <w:lang w:eastAsia="es-ES"/>
        </w:rPr>
        <w:t>.</w:t>
      </w:r>
    </w:p>
    <w:p w14:paraId="30DD136E" w14:textId="77777777" w:rsidR="00EF3AE4" w:rsidRPr="001F521C" w:rsidRDefault="00EF3AE4" w:rsidP="001F521C">
      <w:pPr>
        <w:spacing w:after="0" w:line="240" w:lineRule="auto"/>
        <w:ind w:left="720" w:right="720"/>
        <w:jc w:val="both"/>
        <w:rPr>
          <w:rFonts w:ascii="Cambria" w:eastAsia="Times New Roman" w:hAnsi="Cambria"/>
          <w:color w:val="000000"/>
          <w:sz w:val="20"/>
          <w:szCs w:val="20"/>
          <w:u w:color="000000"/>
          <w:bdr w:val="nil"/>
          <w:lang w:eastAsia="es-ES"/>
        </w:rPr>
      </w:pPr>
    </w:p>
    <w:p w14:paraId="11EC8C0F" w14:textId="77777777" w:rsidR="00EF3AE4" w:rsidRPr="001F521C" w:rsidRDefault="00EF3AE4"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Following this reasoning, the Chamber made its assessment of the available evidence indicating that:</w:t>
      </w:r>
    </w:p>
    <w:p w14:paraId="3AC5E64E" w14:textId="77777777" w:rsidR="00EF3AE4" w:rsidRPr="001F521C" w:rsidRDefault="00EF3AE4" w:rsidP="001F521C">
      <w:pPr>
        <w:spacing w:after="0" w:line="240" w:lineRule="auto"/>
        <w:ind w:left="720"/>
        <w:jc w:val="both"/>
        <w:rPr>
          <w:rFonts w:ascii="Cambria" w:eastAsia="Times New Roman" w:hAnsi="Cambria"/>
          <w:color w:val="000000"/>
          <w:sz w:val="20"/>
          <w:szCs w:val="20"/>
          <w:u w:color="000000"/>
          <w:bdr w:val="nil"/>
          <w:lang w:eastAsia="es-ES"/>
        </w:rPr>
      </w:pPr>
    </w:p>
    <w:p w14:paraId="5521036B" w14:textId="77777777" w:rsidR="00EF3AE4" w:rsidRPr="001F521C" w:rsidRDefault="00EF3AE4" w:rsidP="001F521C">
      <w:pPr>
        <w:spacing w:after="0" w:line="240" w:lineRule="auto"/>
        <w:ind w:left="720" w:right="720"/>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[The declarations] coincided in their fundamental lines with the complaint made by </w:t>
      </w:r>
      <w:proofErr w:type="spellStart"/>
      <w:r w:rsidRPr="001F521C">
        <w:rPr>
          <w:rFonts w:ascii="Cambria" w:eastAsia="Times New Roman" w:hAnsi="Cambria"/>
          <w:color w:val="000000"/>
          <w:sz w:val="20"/>
          <w:szCs w:val="20"/>
          <w:u w:color="000000"/>
          <w:bdr w:val="nil"/>
          <w:lang w:eastAsia="es-ES"/>
        </w:rPr>
        <w:t>Cugat</w:t>
      </w:r>
      <w:proofErr w:type="spellEnd"/>
      <w:r w:rsidRPr="001F521C">
        <w:rPr>
          <w:rFonts w:ascii="Cambria" w:eastAsia="Times New Roman" w:hAnsi="Cambria"/>
          <w:color w:val="000000"/>
          <w:sz w:val="20"/>
          <w:szCs w:val="20"/>
          <w:u w:color="000000"/>
          <w:bdr w:val="nil"/>
          <w:lang w:eastAsia="es-ES"/>
        </w:rPr>
        <w:t xml:space="preserve"> (...) which forms a coherent probative outline (...). Thus, it has not been shown that the contested judgment proves to be arbitrary or in violation of the rights invoked by the appellant, since it is based on evidence whose incorporation into the proceedings has not been challenged, distinct and independent of the testimony of the victim, whose elimination - by the hypothetical method of mental suppression - does not show - nor has it been shown - that it affects the incriminating merit that led to the state of certainty of the judges with respect to the factual and subjective aspects of the imputation</w:t>
      </w:r>
      <w:r w:rsidR="00DD4819" w:rsidRPr="001F521C">
        <w:rPr>
          <w:rFonts w:ascii="Cambria" w:eastAsia="Times New Roman" w:hAnsi="Cambria"/>
          <w:color w:val="000000"/>
          <w:sz w:val="20"/>
          <w:szCs w:val="20"/>
          <w:u w:color="000000"/>
          <w:bdr w:val="nil"/>
          <w:lang w:eastAsia="es-ES"/>
        </w:rPr>
        <w:t>.</w:t>
      </w:r>
      <w:r w:rsidRPr="001F521C">
        <w:rPr>
          <w:rFonts w:ascii="Cambria" w:eastAsia="Times New Roman" w:hAnsi="Cambria"/>
          <w:color w:val="000000"/>
          <w:sz w:val="20"/>
          <w:szCs w:val="20"/>
          <w:u w:color="000000"/>
          <w:bdr w:val="nil"/>
          <w:vertAlign w:val="superscript"/>
          <w:lang w:eastAsia="es-ES"/>
        </w:rPr>
        <w:footnoteReference w:id="35"/>
      </w:r>
    </w:p>
    <w:p w14:paraId="6E8D0BD7" w14:textId="77777777" w:rsidR="00EF3AE4" w:rsidRPr="001F521C" w:rsidRDefault="00EF3AE4" w:rsidP="001F521C">
      <w:pPr>
        <w:spacing w:after="0" w:line="240" w:lineRule="auto"/>
        <w:ind w:left="720" w:right="720"/>
        <w:jc w:val="both"/>
        <w:rPr>
          <w:rFonts w:ascii="Cambria" w:eastAsia="Times New Roman" w:hAnsi="Cambria"/>
          <w:color w:val="000000"/>
          <w:sz w:val="20"/>
          <w:szCs w:val="20"/>
          <w:u w:color="000000"/>
          <w:bdr w:val="nil"/>
          <w:lang w:eastAsia="es-ES"/>
        </w:rPr>
      </w:pPr>
    </w:p>
    <w:p w14:paraId="340C2D7E" w14:textId="77777777" w:rsidR="00DD4819" w:rsidRPr="001F521C" w:rsidRDefault="00DD4819"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In response to an extraordinary appeal lodged by Mr. Martín's defense, on June 3, 1999, the Chamber declared the appeal inadmissible.</w:t>
      </w:r>
      <w:r w:rsidRPr="001F521C">
        <w:rPr>
          <w:rFonts w:ascii="Cambria" w:eastAsia="Times New Roman" w:hAnsi="Cambria"/>
          <w:color w:val="000000"/>
          <w:sz w:val="20"/>
          <w:szCs w:val="20"/>
          <w:u w:color="000000"/>
          <w:bdr w:val="nil"/>
          <w:vertAlign w:val="superscript"/>
          <w:lang w:eastAsia="es-ES"/>
        </w:rPr>
        <w:footnoteReference w:id="36"/>
      </w:r>
      <w:r w:rsidRPr="001F521C">
        <w:rPr>
          <w:rFonts w:ascii="Cambria" w:eastAsia="Times New Roman" w:hAnsi="Cambria"/>
          <w:color w:val="000000"/>
          <w:sz w:val="20"/>
          <w:szCs w:val="20"/>
          <w:u w:color="000000"/>
          <w:bdr w:val="nil"/>
          <w:lang w:eastAsia="es-ES"/>
        </w:rPr>
        <w:t xml:space="preserve"> The Chamber held that:</w:t>
      </w:r>
    </w:p>
    <w:p w14:paraId="523A1450" w14:textId="77777777" w:rsidR="00DD4819" w:rsidRPr="001F521C" w:rsidRDefault="00DD4819" w:rsidP="001F521C">
      <w:pPr>
        <w:spacing w:after="0" w:line="240" w:lineRule="auto"/>
        <w:ind w:left="720"/>
        <w:jc w:val="both"/>
        <w:rPr>
          <w:rFonts w:ascii="Cambria" w:eastAsia="Times New Roman" w:hAnsi="Cambria"/>
          <w:color w:val="000000"/>
          <w:sz w:val="20"/>
          <w:szCs w:val="20"/>
          <w:u w:color="000000"/>
          <w:bdr w:val="nil"/>
          <w:lang w:eastAsia="es-ES"/>
        </w:rPr>
      </w:pPr>
    </w:p>
    <w:p w14:paraId="192A1D3A" w14:textId="57D474F3" w:rsidR="00DD4819" w:rsidRPr="001F521C" w:rsidRDefault="00DD4819" w:rsidP="001F521C">
      <w:pPr>
        <w:spacing w:after="0" w:line="240" w:lineRule="auto"/>
        <w:ind w:left="720" w:right="720"/>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The appellant maintains that it was essential that the victim be present in the debate, since he was the only person who acknowledged his assistant Martín, and, without the identification made by the victim, the remaining evidence - testimonial statements ... and </w:t>
      </w:r>
      <w:r w:rsidR="00732F60" w:rsidRPr="001F521C">
        <w:rPr>
          <w:rFonts w:ascii="Cambria" w:eastAsia="Times New Roman" w:hAnsi="Cambria"/>
          <w:color w:val="000000"/>
          <w:sz w:val="20"/>
          <w:szCs w:val="20"/>
          <w:u w:color="000000"/>
          <w:bdr w:val="nil"/>
          <w:lang w:eastAsia="es-ES"/>
        </w:rPr>
        <w:t>theft</w:t>
      </w:r>
      <w:r w:rsidRPr="001F521C">
        <w:rPr>
          <w:rFonts w:ascii="Cambria" w:eastAsia="Times New Roman" w:hAnsi="Cambria"/>
          <w:color w:val="000000"/>
          <w:sz w:val="20"/>
          <w:szCs w:val="20"/>
          <w:u w:color="000000"/>
          <w:bdr w:val="nil"/>
          <w:lang w:eastAsia="es-ES"/>
        </w:rPr>
        <w:t xml:space="preserve"> of the coat and the stiletto – lacked aptitude and relevance for the determination of the perpetrator. (...)</w:t>
      </w:r>
    </w:p>
    <w:p w14:paraId="7FAFFD94" w14:textId="77777777" w:rsidR="00DD4819" w:rsidRPr="001F521C" w:rsidRDefault="00DD4819" w:rsidP="001F521C">
      <w:pPr>
        <w:spacing w:after="0" w:line="240" w:lineRule="auto"/>
        <w:ind w:left="720" w:right="720"/>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w:t>
      </w:r>
    </w:p>
    <w:p w14:paraId="1DA009DC" w14:textId="77777777" w:rsidR="00DD4819" w:rsidRPr="001F521C" w:rsidRDefault="00DD4819" w:rsidP="001F521C">
      <w:pPr>
        <w:spacing w:after="0" w:line="240" w:lineRule="auto"/>
        <w:ind w:left="720" w:right="720"/>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The grievances expressed by the appellant (...) refer to the assessment of matters of fact and evidence already decided (...) by this Chamber with sufficient grounds.</w:t>
      </w:r>
      <w:r w:rsidRPr="001F521C">
        <w:rPr>
          <w:rFonts w:ascii="Cambria" w:eastAsia="Times New Roman" w:hAnsi="Cambria"/>
          <w:color w:val="000000"/>
          <w:sz w:val="20"/>
          <w:szCs w:val="20"/>
          <w:u w:color="000000"/>
          <w:bdr w:val="nil"/>
          <w:vertAlign w:val="superscript"/>
          <w:lang w:eastAsia="es-ES"/>
        </w:rPr>
        <w:footnoteReference w:id="37"/>
      </w:r>
    </w:p>
    <w:p w14:paraId="1FA6F066" w14:textId="77777777" w:rsidR="00B812F5" w:rsidRPr="001F521C" w:rsidRDefault="00B812F5"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2614ABA" w14:textId="77777777" w:rsidR="00DD4819" w:rsidRPr="001F521C" w:rsidRDefault="00110F60"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In response to a complaint filed by Mr. Martín's defense, on August 2, 2000, the Supreme Court of Justice of the Nation declared inadmissible the appeal filed.</w:t>
      </w:r>
      <w:r w:rsidR="00DD4819" w:rsidRPr="001F521C">
        <w:rPr>
          <w:rFonts w:ascii="Cambria" w:eastAsia="Times New Roman" w:hAnsi="Cambria"/>
          <w:color w:val="000000"/>
          <w:sz w:val="20"/>
          <w:szCs w:val="20"/>
          <w:u w:color="000000"/>
          <w:bdr w:val="nil"/>
          <w:vertAlign w:val="superscript"/>
          <w:lang w:eastAsia="es-ES"/>
        </w:rPr>
        <w:footnoteReference w:id="38"/>
      </w:r>
      <w:r w:rsidR="00DD4819"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The Supreme Court stated</w:t>
      </w:r>
      <w:r w:rsidR="00DD4819" w:rsidRPr="001F521C">
        <w:rPr>
          <w:rFonts w:ascii="Cambria" w:eastAsia="Times New Roman" w:hAnsi="Cambria"/>
          <w:color w:val="000000"/>
          <w:sz w:val="20"/>
          <w:szCs w:val="20"/>
          <w:u w:color="000000"/>
          <w:bdr w:val="nil"/>
          <w:lang w:eastAsia="es-ES"/>
        </w:rPr>
        <w:t>:</w:t>
      </w:r>
    </w:p>
    <w:p w14:paraId="497C9AF6" w14:textId="77777777" w:rsidR="00DD4819" w:rsidRPr="001F521C" w:rsidRDefault="00DD4819" w:rsidP="001F521C">
      <w:pPr>
        <w:spacing w:after="0" w:line="240" w:lineRule="auto"/>
        <w:ind w:left="720"/>
        <w:jc w:val="both"/>
        <w:rPr>
          <w:rFonts w:ascii="Cambria" w:eastAsia="Times New Roman" w:hAnsi="Cambria"/>
          <w:color w:val="000000"/>
          <w:sz w:val="20"/>
          <w:szCs w:val="20"/>
          <w:u w:color="000000"/>
          <w:bdr w:val="nil"/>
          <w:lang w:eastAsia="es-ES"/>
        </w:rPr>
      </w:pPr>
    </w:p>
    <w:p w14:paraId="4C519D98" w14:textId="77777777" w:rsidR="00DD4819" w:rsidRPr="001F521C" w:rsidRDefault="00110F60" w:rsidP="001F521C">
      <w:pPr>
        <w:spacing w:after="0" w:line="240" w:lineRule="auto"/>
        <w:ind w:left="720" w:right="720"/>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That the extraordinary appeal, which’s denial gave rise to the present complaint, is inadmissible (Article 290 of the Civil and Commercial Procedural Code of the Nation). Therefore, the complaint is dismissed.</w:t>
      </w:r>
      <w:r w:rsidR="00DD4819" w:rsidRPr="001F521C">
        <w:rPr>
          <w:rFonts w:ascii="Cambria" w:eastAsia="Times New Roman" w:hAnsi="Cambria"/>
          <w:color w:val="000000"/>
          <w:sz w:val="20"/>
          <w:szCs w:val="20"/>
          <w:u w:color="000000"/>
          <w:bdr w:val="nil"/>
          <w:vertAlign w:val="superscript"/>
          <w:lang w:eastAsia="es-ES"/>
        </w:rPr>
        <w:footnoteReference w:id="39"/>
      </w:r>
    </w:p>
    <w:p w14:paraId="72179BF8" w14:textId="77777777" w:rsidR="00DD4819" w:rsidRPr="001F521C" w:rsidRDefault="00DD4819" w:rsidP="001F521C">
      <w:pPr>
        <w:spacing w:after="0" w:line="240" w:lineRule="auto"/>
        <w:ind w:left="720" w:right="720"/>
        <w:jc w:val="both"/>
        <w:rPr>
          <w:rFonts w:ascii="Cambria" w:eastAsia="Times New Roman" w:hAnsi="Cambria"/>
          <w:color w:val="000000"/>
          <w:sz w:val="20"/>
          <w:szCs w:val="20"/>
          <w:u w:color="000000"/>
          <w:bdr w:val="nil"/>
          <w:lang w:eastAsia="es-ES"/>
        </w:rPr>
      </w:pPr>
    </w:p>
    <w:p w14:paraId="0EC76B70" w14:textId="77777777" w:rsidR="00DD4819" w:rsidRPr="001F521C" w:rsidRDefault="00110F60"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The petitioner indicated that Mr. Martín served his sentence </w:t>
      </w:r>
      <w:r w:rsidR="00DD4819" w:rsidRPr="001F521C">
        <w:rPr>
          <w:rFonts w:ascii="Cambria" w:eastAsia="Times New Roman" w:hAnsi="Cambria"/>
          <w:color w:val="000000"/>
          <w:sz w:val="20"/>
          <w:szCs w:val="20"/>
          <w:u w:color="000000"/>
          <w:bdr w:val="nil"/>
          <w:vertAlign w:val="superscript"/>
          <w:lang w:eastAsia="es-ES"/>
        </w:rPr>
        <w:footnoteReference w:id="40"/>
      </w:r>
      <w:r w:rsidR="00DD4819"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The State did not dispute this information.</w:t>
      </w:r>
    </w:p>
    <w:p w14:paraId="7FD71F83" w14:textId="0CBE4ABF" w:rsidR="007E512F" w:rsidRDefault="007E512F" w:rsidP="001F521C">
      <w:pPr>
        <w:spacing w:after="0" w:line="240" w:lineRule="auto"/>
        <w:jc w:val="both"/>
        <w:rPr>
          <w:rFonts w:ascii="Cambria" w:eastAsia="Times New Roman" w:hAnsi="Cambria"/>
          <w:color w:val="000000"/>
          <w:sz w:val="20"/>
          <w:szCs w:val="20"/>
          <w:u w:color="000000"/>
          <w:bdr w:val="nil"/>
          <w:lang w:eastAsia="es-ES"/>
        </w:rPr>
      </w:pPr>
    </w:p>
    <w:p w14:paraId="7B4642CC" w14:textId="77777777" w:rsidR="001B6FEB" w:rsidRPr="001F521C" w:rsidRDefault="001B6FEB" w:rsidP="001F521C">
      <w:pPr>
        <w:spacing w:after="0" w:line="240" w:lineRule="auto"/>
        <w:jc w:val="both"/>
        <w:rPr>
          <w:rFonts w:ascii="Cambria" w:eastAsia="Times New Roman" w:hAnsi="Cambria"/>
          <w:color w:val="000000"/>
          <w:sz w:val="20"/>
          <w:szCs w:val="20"/>
          <w:u w:color="000000"/>
          <w:bdr w:val="nil"/>
          <w:lang w:eastAsia="es-ES"/>
        </w:rPr>
      </w:pPr>
    </w:p>
    <w:p w14:paraId="7AE0D85A" w14:textId="77777777" w:rsidR="007E512F" w:rsidRPr="001F521C" w:rsidRDefault="007E512F" w:rsidP="001F521C">
      <w:pPr>
        <w:pStyle w:val="Heading1"/>
        <w:ind w:left="1440" w:hanging="720"/>
        <w:rPr>
          <w:lang w:val="en-US"/>
        </w:rPr>
      </w:pPr>
      <w:bookmarkStart w:id="9" w:name="_Toc84429173"/>
      <w:r w:rsidRPr="001F521C">
        <w:rPr>
          <w:lang w:val="en-US"/>
        </w:rPr>
        <w:t>ANALYSIS OF THE MERITS</w:t>
      </w:r>
      <w:bookmarkEnd w:id="9"/>
      <w:r w:rsidRPr="001F521C">
        <w:rPr>
          <w:lang w:val="en-US"/>
        </w:rPr>
        <w:t xml:space="preserve"> </w:t>
      </w:r>
    </w:p>
    <w:p w14:paraId="1ED8E6F7" w14:textId="77777777" w:rsidR="007E512F" w:rsidRPr="001F521C" w:rsidRDefault="007E512F" w:rsidP="001F521C">
      <w:pPr>
        <w:spacing w:after="0" w:line="240" w:lineRule="auto"/>
        <w:rPr>
          <w:rFonts w:ascii="Cambria" w:hAnsi="Cambria"/>
          <w:b/>
          <w:sz w:val="20"/>
          <w:szCs w:val="20"/>
        </w:rPr>
      </w:pPr>
    </w:p>
    <w:p w14:paraId="0221455C" w14:textId="3D5C88A1" w:rsidR="007E512F" w:rsidRPr="001F521C" w:rsidRDefault="007E512F" w:rsidP="001F521C">
      <w:pPr>
        <w:numPr>
          <w:ilvl w:val="0"/>
          <w:numId w:val="7"/>
        </w:numPr>
        <w:spacing w:after="0" w:line="240" w:lineRule="auto"/>
        <w:jc w:val="both"/>
        <w:outlineLvl w:val="1"/>
        <w:rPr>
          <w:rFonts w:ascii="Cambria" w:hAnsi="Cambria"/>
          <w:b/>
          <w:sz w:val="20"/>
          <w:szCs w:val="20"/>
        </w:rPr>
      </w:pPr>
      <w:bookmarkStart w:id="10" w:name="_Toc84429174"/>
      <w:r w:rsidRPr="001F521C">
        <w:rPr>
          <w:rFonts w:ascii="Cambria" w:hAnsi="Cambria"/>
          <w:b/>
          <w:sz w:val="20"/>
          <w:szCs w:val="20"/>
        </w:rPr>
        <w:t>Rights to a fair trial and judicial protection (</w:t>
      </w:r>
      <w:r w:rsidR="000A6FA0" w:rsidRPr="001F521C">
        <w:rPr>
          <w:rFonts w:ascii="Cambria" w:hAnsi="Cambria"/>
          <w:b/>
          <w:sz w:val="20"/>
          <w:szCs w:val="20"/>
        </w:rPr>
        <w:t>Article</w:t>
      </w:r>
      <w:r w:rsidRPr="001F521C">
        <w:rPr>
          <w:rFonts w:ascii="Cambria" w:hAnsi="Cambria"/>
          <w:b/>
          <w:sz w:val="20"/>
          <w:szCs w:val="20"/>
        </w:rPr>
        <w:t>s 8</w:t>
      </w:r>
      <w:r w:rsidRPr="001F521C">
        <w:rPr>
          <w:rFonts w:ascii="Cambria" w:hAnsi="Cambria"/>
          <w:b/>
          <w:sz w:val="20"/>
          <w:szCs w:val="20"/>
          <w:vertAlign w:val="superscript"/>
        </w:rPr>
        <w:footnoteReference w:id="41"/>
      </w:r>
      <w:r w:rsidRPr="001F521C">
        <w:rPr>
          <w:rFonts w:ascii="Cambria" w:hAnsi="Cambria"/>
          <w:b/>
          <w:sz w:val="20"/>
          <w:szCs w:val="20"/>
        </w:rPr>
        <w:t xml:space="preserve"> y 25</w:t>
      </w:r>
      <w:r w:rsidRPr="001F521C">
        <w:rPr>
          <w:rFonts w:ascii="Cambria" w:hAnsi="Cambria"/>
          <w:b/>
          <w:sz w:val="20"/>
          <w:szCs w:val="20"/>
          <w:vertAlign w:val="superscript"/>
        </w:rPr>
        <w:footnoteReference w:id="42"/>
      </w:r>
      <w:r w:rsidRPr="001F521C">
        <w:rPr>
          <w:rFonts w:ascii="Cambria" w:hAnsi="Cambria"/>
          <w:b/>
          <w:sz w:val="20"/>
          <w:szCs w:val="20"/>
        </w:rPr>
        <w:t xml:space="preserve"> of the American Convention)</w:t>
      </w:r>
      <w:bookmarkEnd w:id="10"/>
    </w:p>
    <w:p w14:paraId="516E93AB" w14:textId="77777777" w:rsidR="007E512F" w:rsidRPr="001F521C" w:rsidRDefault="007E512F" w:rsidP="001F521C">
      <w:pPr>
        <w:spacing w:after="0" w:line="240" w:lineRule="auto"/>
        <w:ind w:left="1440"/>
        <w:jc w:val="both"/>
        <w:outlineLvl w:val="1"/>
        <w:rPr>
          <w:rFonts w:ascii="Cambria" w:hAnsi="Cambria"/>
          <w:b/>
          <w:sz w:val="20"/>
          <w:szCs w:val="20"/>
        </w:rPr>
      </w:pPr>
    </w:p>
    <w:p w14:paraId="1A23D846" w14:textId="77777777" w:rsidR="007E512F" w:rsidRPr="001F521C" w:rsidRDefault="007E512F" w:rsidP="001F521C">
      <w:pPr>
        <w:numPr>
          <w:ilvl w:val="0"/>
          <w:numId w:val="2"/>
        </w:numPr>
        <w:spacing w:after="0" w:line="240" w:lineRule="auto"/>
        <w:jc w:val="both"/>
        <w:rPr>
          <w:rFonts w:ascii="Cambria" w:hAnsi="Cambria"/>
          <w:b/>
          <w:sz w:val="20"/>
          <w:szCs w:val="20"/>
        </w:rPr>
      </w:pPr>
      <w:r w:rsidRPr="001F521C">
        <w:rPr>
          <w:rFonts w:ascii="Cambria" w:eastAsia="Times New Roman" w:hAnsi="Cambria"/>
          <w:color w:val="000000"/>
          <w:sz w:val="20"/>
          <w:szCs w:val="20"/>
          <w:u w:color="000000"/>
          <w:bdr w:val="nil"/>
          <w:lang w:eastAsia="es-ES"/>
        </w:rPr>
        <w:t>The Commission considers that the present case requires a joint analysis of the rights of the defense, the principle of presumption of innocence, the right to duly motivated decisions, the right to be heard appeal the judgment and the right to judicial protection. In that regard, the Commission will, first of all, make some general considerations on such rights and then analyze the specific case.</w:t>
      </w:r>
    </w:p>
    <w:p w14:paraId="0A2A4902" w14:textId="77777777" w:rsidR="007E512F" w:rsidRPr="001F521C" w:rsidRDefault="007E512F" w:rsidP="001F521C">
      <w:pPr>
        <w:spacing w:after="0" w:line="240" w:lineRule="auto"/>
        <w:jc w:val="both"/>
        <w:rPr>
          <w:rFonts w:ascii="Cambria" w:hAnsi="Cambria"/>
          <w:b/>
          <w:sz w:val="20"/>
          <w:szCs w:val="20"/>
        </w:rPr>
      </w:pPr>
    </w:p>
    <w:p w14:paraId="133F7552" w14:textId="77777777" w:rsidR="007E512F" w:rsidRPr="001F521C" w:rsidRDefault="007E512F" w:rsidP="001F521C">
      <w:pPr>
        <w:numPr>
          <w:ilvl w:val="3"/>
          <w:numId w:val="2"/>
        </w:numPr>
        <w:tabs>
          <w:tab w:val="num" w:pos="1440"/>
          <w:tab w:val="left" w:pos="2700"/>
        </w:tabs>
        <w:spacing w:after="0" w:line="240" w:lineRule="auto"/>
        <w:ind w:left="1440" w:hanging="720"/>
        <w:jc w:val="both"/>
        <w:rPr>
          <w:rFonts w:ascii="Cambria" w:hAnsi="Cambria"/>
          <w:b/>
          <w:sz w:val="20"/>
          <w:szCs w:val="20"/>
        </w:rPr>
      </w:pPr>
      <w:r w:rsidRPr="001F521C">
        <w:rPr>
          <w:rFonts w:ascii="Cambria" w:hAnsi="Cambria"/>
          <w:b/>
          <w:sz w:val="20"/>
          <w:szCs w:val="20"/>
        </w:rPr>
        <w:t>General considerations on the rights of the defense, the principle of presumption of innocence, the right to have duly motivated decisions, the right to appeal against judgment and the right to judicial protection</w:t>
      </w:r>
    </w:p>
    <w:p w14:paraId="048488FC" w14:textId="77777777" w:rsidR="007E512F" w:rsidRPr="001F521C" w:rsidRDefault="007E512F" w:rsidP="001F521C">
      <w:pPr>
        <w:spacing w:after="0" w:line="240" w:lineRule="auto"/>
        <w:jc w:val="both"/>
        <w:rPr>
          <w:rFonts w:ascii="Cambria" w:hAnsi="Cambria"/>
          <w:b/>
          <w:sz w:val="20"/>
          <w:szCs w:val="20"/>
        </w:rPr>
      </w:pPr>
    </w:p>
    <w:p w14:paraId="6B87D5E1" w14:textId="77777777" w:rsidR="007E512F" w:rsidRPr="001F521C" w:rsidRDefault="00401429"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The Commission has indicated that the right to judicial guarantees includes the right to adequate time and facilities for the preparation of the defense, which is broadly established in Article 8 (2) (c) of the Convention.</w:t>
      </w:r>
      <w:r w:rsidR="007E512F" w:rsidRPr="001F521C">
        <w:rPr>
          <w:rFonts w:ascii="Cambria" w:eastAsia="Times New Roman" w:hAnsi="Cambria" w:cs="TimesNewRoman"/>
          <w:color w:val="000000"/>
          <w:sz w:val="20"/>
          <w:szCs w:val="20"/>
          <w:u w:color="000000"/>
          <w:bdr w:val="nil"/>
          <w:vertAlign w:val="superscript"/>
          <w:lang w:eastAsia="es-ES_tradnl"/>
        </w:rPr>
        <w:footnoteReference w:id="43"/>
      </w:r>
      <w:r w:rsidR="007E512F" w:rsidRPr="001F521C">
        <w:rPr>
          <w:rFonts w:ascii="Cambria" w:eastAsia="Times New Roman" w:hAnsi="Cambria"/>
          <w:color w:val="000000"/>
          <w:sz w:val="20"/>
          <w:szCs w:val="20"/>
          <w:u w:color="000000"/>
          <w:bdr w:val="nil"/>
          <w:lang w:eastAsia="es-ES"/>
        </w:rPr>
        <w:t xml:space="preserve"> </w:t>
      </w:r>
      <w:bookmarkStart w:id="11" w:name="_Ref247953326"/>
      <w:r w:rsidRPr="001F521C">
        <w:rPr>
          <w:rFonts w:ascii="Cambria" w:eastAsia="Times New Roman" w:hAnsi="Cambria"/>
          <w:color w:val="000000"/>
          <w:sz w:val="20"/>
          <w:szCs w:val="20"/>
          <w:u w:color="000000"/>
          <w:bdr w:val="nil"/>
          <w:lang w:eastAsia="es-ES"/>
        </w:rPr>
        <w:t>The Court has pointed out that the right to defense must necessarily be exercised since a person is identified as a possible perpetrator or participant in a punishable act and only ends when the process ends.</w:t>
      </w:r>
      <w:r w:rsidR="007E512F" w:rsidRPr="001F521C">
        <w:rPr>
          <w:rFonts w:ascii="Cambria" w:eastAsia="Times New Roman" w:hAnsi="Cambria"/>
          <w:color w:val="000000"/>
          <w:sz w:val="20"/>
          <w:szCs w:val="20"/>
          <w:u w:color="000000"/>
          <w:bdr w:val="nil"/>
          <w:vertAlign w:val="superscript"/>
          <w:lang w:eastAsia="es-ES"/>
        </w:rPr>
        <w:footnoteReference w:id="44"/>
      </w:r>
      <w:bookmarkEnd w:id="11"/>
    </w:p>
    <w:p w14:paraId="55250AA1" w14:textId="77777777" w:rsidR="007E512F" w:rsidRPr="001F521C" w:rsidRDefault="007E512F" w:rsidP="001F521C">
      <w:pPr>
        <w:spacing w:after="0" w:line="240" w:lineRule="auto"/>
        <w:ind w:left="720"/>
        <w:jc w:val="both"/>
        <w:rPr>
          <w:rFonts w:ascii="Cambria" w:eastAsia="Times New Roman" w:hAnsi="Cambria"/>
          <w:color w:val="000000"/>
          <w:sz w:val="20"/>
          <w:szCs w:val="20"/>
          <w:u w:color="000000"/>
          <w:bdr w:val="nil"/>
          <w:lang w:eastAsia="es-ES"/>
        </w:rPr>
      </w:pPr>
    </w:p>
    <w:p w14:paraId="09159FED" w14:textId="77777777" w:rsidR="007E512F" w:rsidRPr="001F521C" w:rsidRDefault="00401429"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Regarding the relationship between the evidence and the right of defense, the IACHR has emphasized the principle of contradictory, which implies the intervention of the accused in the receipt and control of the evidence.</w:t>
      </w:r>
      <w:r w:rsidR="007E512F" w:rsidRPr="001F521C">
        <w:rPr>
          <w:rFonts w:ascii="Cambria" w:eastAsia="Times New Roman" w:hAnsi="Cambria" w:cs="TimesNewRoman"/>
          <w:color w:val="000000"/>
          <w:sz w:val="20"/>
          <w:szCs w:val="20"/>
          <w:u w:color="000000"/>
          <w:bdr w:val="nil"/>
          <w:vertAlign w:val="superscript"/>
          <w:lang w:eastAsia="es-ES_tradnl"/>
        </w:rPr>
        <w:footnoteReference w:id="45"/>
      </w:r>
      <w:r w:rsidR="007E512F"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For its part, the Court has considered as a violation of the right of defense, the fact that the legal defense could not be present in the performance of a fundamental diligence in criminal proceedings.</w:t>
      </w:r>
      <w:r w:rsidR="007E512F" w:rsidRPr="001F521C">
        <w:rPr>
          <w:rFonts w:ascii="Cambria" w:eastAsia="Times New Roman" w:hAnsi="Cambria" w:cs="ACaslonPro-Regular"/>
          <w:color w:val="000000"/>
          <w:sz w:val="20"/>
          <w:szCs w:val="20"/>
          <w:u w:color="000000"/>
          <w:bdr w:val="nil"/>
          <w:vertAlign w:val="superscript"/>
          <w:lang w:eastAsia="es-ES"/>
        </w:rPr>
        <w:footnoteReference w:id="46"/>
      </w:r>
    </w:p>
    <w:p w14:paraId="1DA50DFB" w14:textId="77777777" w:rsidR="007E512F" w:rsidRPr="001F521C" w:rsidRDefault="007E512F"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0162994" w14:textId="77777777" w:rsidR="003E763D" w:rsidRPr="001F521C" w:rsidRDefault="00F11461"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 xml:space="preserve">One of the specific manifestations of this right is regulated in Article 8.2(f) of the Convention, related to the right of the defense to question witnesses present in the court and to obtain the appearance, as witnesses or experts, of other people who can shed light on the facts. The Court has pointed out that among the </w:t>
      </w:r>
      <w:r w:rsidRPr="001F521C">
        <w:rPr>
          <w:rFonts w:ascii="Cambria" w:eastAsia="Times New Roman" w:hAnsi="Cambria"/>
          <w:color w:val="000000"/>
          <w:sz w:val="20"/>
          <w:szCs w:val="20"/>
          <w:u w:color="000000"/>
          <w:bdr w:val="nil"/>
          <w:lang w:eastAsia="es-ES"/>
        </w:rPr>
        <w:lastRenderedPageBreak/>
        <w:t>guarantees granted to those accused is to examine witnesses against and on their behalf under the same conditions for the purpose of exercising their defense.</w:t>
      </w:r>
      <w:r w:rsidR="003E763D" w:rsidRPr="001F521C">
        <w:rPr>
          <w:rFonts w:ascii="Cambria" w:eastAsia="Times New Roman" w:hAnsi="Cambria" w:cs="TimesNewRoman"/>
          <w:color w:val="000000"/>
          <w:sz w:val="20"/>
          <w:szCs w:val="20"/>
          <w:u w:color="000000"/>
          <w:bdr w:val="nil"/>
          <w:vertAlign w:val="superscript"/>
          <w:lang w:eastAsia="es-ES_tradnl"/>
        </w:rPr>
        <w:footnoteReference w:id="47"/>
      </w:r>
      <w:r w:rsidRPr="001F521C">
        <w:rPr>
          <w:rFonts w:ascii="Cambria" w:eastAsia="Times New Roman" w:hAnsi="Cambria"/>
          <w:color w:val="000000"/>
          <w:sz w:val="20"/>
          <w:szCs w:val="20"/>
          <w:u w:color="000000"/>
          <w:bdr w:val="nil"/>
          <w:lang w:eastAsia="es-ES"/>
        </w:rPr>
        <w:t xml:space="preserve"> T</w:t>
      </w:r>
      <w:r w:rsidRPr="001F521C">
        <w:rPr>
          <w:rFonts w:ascii="Cambria" w:eastAsia="Times New Roman" w:hAnsi="Cambria" w:cs="ACaslonPro-Regular"/>
          <w:color w:val="000000"/>
          <w:sz w:val="20"/>
          <w:szCs w:val="20"/>
          <w:u w:color="000000"/>
          <w:bdr w:val="nil"/>
          <w:lang w:eastAsia="es-ES"/>
        </w:rPr>
        <w:t>he IACHR has declared the violation of the right of defense by the admission of a written statement considered as one of the fundamental evidence for a conviction, and the impossibility of questioning that evidence throughout the process.</w:t>
      </w:r>
      <w:r w:rsidR="003E763D" w:rsidRPr="001F521C">
        <w:rPr>
          <w:rFonts w:ascii="Cambria" w:eastAsia="Times New Roman" w:hAnsi="Cambria" w:cs="ACaslonPro-Regular"/>
          <w:color w:val="000000"/>
          <w:sz w:val="20"/>
          <w:szCs w:val="20"/>
          <w:u w:color="000000"/>
          <w:bdr w:val="nil"/>
          <w:vertAlign w:val="superscript"/>
          <w:lang w:eastAsia="es-ES"/>
        </w:rPr>
        <w:footnoteReference w:id="48"/>
      </w:r>
    </w:p>
    <w:p w14:paraId="4D45F2F9" w14:textId="77777777" w:rsidR="003E763D" w:rsidRPr="001F521C" w:rsidRDefault="003E763D"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F871CFE" w14:textId="77777777" w:rsidR="00B3534A" w:rsidRPr="001F521C" w:rsidRDefault="00B3534A" w:rsidP="001F521C">
      <w:pPr>
        <w:numPr>
          <w:ilvl w:val="0"/>
          <w:numId w:val="2"/>
        </w:numPr>
        <w:spacing w:after="0" w:line="240" w:lineRule="auto"/>
        <w:jc w:val="both"/>
        <w:rPr>
          <w:rFonts w:ascii="Cambria" w:eastAsia="Times New Roman" w:hAnsi="Cambria"/>
          <w:color w:val="000000"/>
          <w:sz w:val="20"/>
          <w:szCs w:val="20"/>
          <w:u w:color="000000"/>
          <w:bdr w:val="nil"/>
          <w:lang w:eastAsia="es-ES"/>
        </w:rPr>
      </w:pPr>
      <w:r w:rsidRPr="001F521C">
        <w:rPr>
          <w:rFonts w:ascii="Cambria" w:eastAsia="Times New Roman" w:hAnsi="Cambria" w:cs="TimesNewRoman"/>
          <w:color w:val="000000"/>
          <w:sz w:val="20"/>
          <w:szCs w:val="20"/>
          <w:u w:color="000000"/>
          <w:bdr w:val="nil"/>
          <w:lang w:eastAsia="es-ES_tradnl"/>
        </w:rPr>
        <w:t>The European Court of Human Rights has held that it is important for the State to ensure that the judicial authority has the opportunity to observe the behavior of the witness during the interrogation so that he can form his own impression about their reliability and their statement. It has also indicated that the defense should have sufficient opportunity to directly question the witness.</w:t>
      </w:r>
      <w:r w:rsidRPr="001F521C">
        <w:rPr>
          <w:rFonts w:ascii="Cambria" w:eastAsia="Times New Roman" w:hAnsi="Cambria"/>
          <w:color w:val="000000"/>
          <w:sz w:val="20"/>
          <w:szCs w:val="20"/>
          <w:u w:color="000000"/>
          <w:bdr w:val="nil"/>
          <w:vertAlign w:val="superscript"/>
          <w:lang w:eastAsia="es-ES"/>
        </w:rPr>
        <w:footnoteReference w:id="49"/>
      </w:r>
      <w:r w:rsidRPr="001F521C">
        <w:rPr>
          <w:rFonts w:ascii="Cambria" w:eastAsia="Times New Roman" w:hAnsi="Cambria"/>
          <w:color w:val="000000"/>
          <w:sz w:val="20"/>
          <w:szCs w:val="20"/>
          <w:u w:color="000000"/>
          <w:bdr w:val="nil"/>
          <w:lang w:eastAsia="es-ES"/>
        </w:rPr>
        <w:t xml:space="preserve"> </w:t>
      </w:r>
      <w:r w:rsidR="0097431D" w:rsidRPr="001F521C">
        <w:rPr>
          <w:rFonts w:ascii="Cambria" w:eastAsia="Times New Roman" w:hAnsi="Cambria"/>
          <w:color w:val="000000"/>
          <w:sz w:val="20"/>
          <w:szCs w:val="20"/>
          <w:u w:color="000000"/>
          <w:bdr w:val="nil"/>
          <w:lang w:eastAsia="es-ES"/>
        </w:rPr>
        <w:t>In a similar sense, the same Court indicated that oral or immediacy when questioning witnesses is fundamental in order that the defense can appreciate the behavior of the witness under interrogation, so that it can discredit or at least raise doubts about the reliability of your statement.</w:t>
      </w:r>
      <w:r w:rsidRPr="001F521C">
        <w:rPr>
          <w:rFonts w:ascii="Cambria" w:eastAsia="Times New Roman" w:hAnsi="Cambria"/>
          <w:color w:val="000000"/>
          <w:sz w:val="20"/>
          <w:szCs w:val="20"/>
          <w:u w:color="000000"/>
          <w:bdr w:val="nil"/>
          <w:vertAlign w:val="superscript"/>
          <w:lang w:eastAsia="es-ES"/>
        </w:rPr>
        <w:footnoteReference w:id="50"/>
      </w:r>
    </w:p>
    <w:p w14:paraId="4D6FEA47" w14:textId="77777777" w:rsidR="0097431D" w:rsidRPr="001F521C" w:rsidRDefault="0097431D" w:rsidP="001F521C">
      <w:pPr>
        <w:spacing w:after="0" w:line="240" w:lineRule="auto"/>
        <w:ind w:left="720"/>
        <w:jc w:val="both"/>
        <w:rPr>
          <w:rFonts w:ascii="Cambria" w:eastAsia="Times New Roman" w:hAnsi="Cambria"/>
          <w:color w:val="000000"/>
          <w:sz w:val="20"/>
          <w:szCs w:val="20"/>
          <w:u w:color="000000"/>
          <w:bdr w:val="nil"/>
          <w:lang w:eastAsia="es-ES"/>
        </w:rPr>
      </w:pPr>
    </w:p>
    <w:p w14:paraId="597B93DD" w14:textId="77777777" w:rsidR="0097431D" w:rsidRPr="001F521C" w:rsidRDefault="0097431D" w:rsidP="001F521C">
      <w:pPr>
        <w:numPr>
          <w:ilvl w:val="0"/>
          <w:numId w:val="2"/>
        </w:numPr>
        <w:spacing w:after="0" w:line="240" w:lineRule="auto"/>
        <w:jc w:val="both"/>
        <w:rPr>
          <w:rFonts w:ascii="Cambria" w:eastAsia="Times New Roman" w:hAnsi="Cambria" w:cs="TimesNewRoman"/>
          <w:color w:val="000000"/>
          <w:sz w:val="20"/>
          <w:szCs w:val="20"/>
          <w:u w:color="000000"/>
          <w:bdr w:val="nil"/>
          <w:lang w:eastAsia="es-ES_tradnl"/>
        </w:rPr>
      </w:pPr>
      <w:r w:rsidRPr="001F521C">
        <w:rPr>
          <w:rFonts w:ascii="Cambria" w:eastAsia="Times New Roman" w:hAnsi="Cambria" w:cs="ACaslonPro-Regular"/>
          <w:color w:val="000000"/>
          <w:sz w:val="20"/>
          <w:szCs w:val="20"/>
          <w:u w:color="000000"/>
          <w:bdr w:val="nil"/>
          <w:lang w:eastAsia="es-ES"/>
        </w:rPr>
        <w:t xml:space="preserve">In </w:t>
      </w:r>
      <w:r w:rsidRPr="001F521C">
        <w:rPr>
          <w:rFonts w:ascii="Cambria" w:eastAsia="Times New Roman" w:hAnsi="Cambria" w:cs="ACaslonPro-Regular"/>
          <w:i/>
          <w:color w:val="000000"/>
          <w:sz w:val="20"/>
          <w:szCs w:val="20"/>
          <w:u w:color="000000"/>
          <w:bdr w:val="nil"/>
          <w:lang w:eastAsia="es-ES"/>
        </w:rPr>
        <w:t>the Luca v. Italy</w:t>
      </w:r>
      <w:r w:rsidRPr="001F521C">
        <w:rPr>
          <w:rFonts w:ascii="Cambria" w:eastAsia="Times New Roman" w:hAnsi="Cambria" w:cs="ACaslonPro-Regular"/>
          <w:color w:val="000000"/>
          <w:sz w:val="20"/>
          <w:szCs w:val="20"/>
          <w:u w:color="000000"/>
          <w:bdr w:val="nil"/>
          <w:lang w:eastAsia="es-ES"/>
        </w:rPr>
        <w:t xml:space="preserve"> case, the European Court ruled on the conviction of a person on the basis of a witness's statement, which was given during the investigation, without the presence of the defendant's defense. In that case, the Court held that the State violated the right to a defense and the right to be presumed innocent since such evidence could not be rebutted by the defense and was a substantial evidence used for the victim's conviction.</w:t>
      </w:r>
      <w:r w:rsidRPr="001F521C">
        <w:rPr>
          <w:rFonts w:ascii="Cambria" w:eastAsia="Times New Roman" w:hAnsi="Cambria" w:cs="ACaslonPro-Regular"/>
          <w:color w:val="000000"/>
          <w:sz w:val="20"/>
          <w:szCs w:val="20"/>
          <w:u w:color="000000"/>
          <w:bdr w:val="nil"/>
          <w:vertAlign w:val="superscript"/>
          <w:lang w:eastAsia="es-ES"/>
        </w:rPr>
        <w:footnoteReference w:id="51"/>
      </w:r>
      <w:r w:rsidRPr="001F521C">
        <w:rPr>
          <w:rFonts w:ascii="Cambria" w:eastAsia="Times New Roman" w:hAnsi="Cambria" w:cs="ACaslonPro-Regular"/>
          <w:color w:val="000000"/>
          <w:sz w:val="20"/>
          <w:szCs w:val="20"/>
          <w:u w:color="000000"/>
          <w:bdr w:val="nil"/>
          <w:lang w:eastAsia="es-ES"/>
        </w:rPr>
        <w:t xml:space="preserve"> </w:t>
      </w:r>
    </w:p>
    <w:p w14:paraId="74E4589A" w14:textId="77777777" w:rsidR="0097431D" w:rsidRPr="001F521C" w:rsidRDefault="0097431D" w:rsidP="001F521C">
      <w:pPr>
        <w:spacing w:after="0" w:line="240" w:lineRule="auto"/>
        <w:ind w:left="720"/>
        <w:jc w:val="both"/>
        <w:rPr>
          <w:rFonts w:ascii="Cambria" w:eastAsia="Times New Roman" w:hAnsi="Cambria"/>
          <w:b/>
          <w:color w:val="000000"/>
          <w:sz w:val="20"/>
          <w:szCs w:val="20"/>
          <w:u w:color="000000"/>
          <w:bdr w:val="nil"/>
          <w:lang w:eastAsia="es-ES"/>
        </w:rPr>
      </w:pPr>
    </w:p>
    <w:p w14:paraId="77280B8C" w14:textId="77777777" w:rsidR="0097431D" w:rsidRPr="001F521C" w:rsidRDefault="0097431D" w:rsidP="001F521C">
      <w:pPr>
        <w:numPr>
          <w:ilvl w:val="0"/>
          <w:numId w:val="2"/>
        </w:numPr>
        <w:spacing w:after="0" w:line="240" w:lineRule="auto"/>
        <w:jc w:val="both"/>
        <w:rPr>
          <w:rFonts w:ascii="Cambria" w:eastAsia="Times New Roman" w:hAnsi="Cambria"/>
          <w:b/>
          <w:color w:val="000000"/>
          <w:sz w:val="20"/>
          <w:szCs w:val="20"/>
          <w:u w:color="000000"/>
          <w:bdr w:val="nil"/>
          <w:lang w:eastAsia="es-ES"/>
        </w:rPr>
      </w:pPr>
      <w:r w:rsidRPr="001F521C">
        <w:rPr>
          <w:rFonts w:ascii="Cambria" w:eastAsia="Times New Roman" w:hAnsi="Cambria" w:cs="Arial"/>
          <w:color w:val="000000"/>
          <w:sz w:val="20"/>
          <w:szCs w:val="20"/>
          <w:u w:color="000000"/>
          <w:bdr w:val="nil"/>
          <w:lang w:eastAsia="es-ES"/>
        </w:rPr>
        <w:t>Furthermore, another fundamental element of due process is the principle of presumption of innocence, which is closely related to the right to have duly motivated decisions.</w:t>
      </w:r>
    </w:p>
    <w:p w14:paraId="564FE096" w14:textId="77777777" w:rsidR="0097431D" w:rsidRPr="001F521C" w:rsidRDefault="0097431D"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167B588" w14:textId="77777777" w:rsidR="0097431D" w:rsidRPr="001F521C" w:rsidRDefault="004E1AF1" w:rsidP="001F521C">
      <w:pPr>
        <w:numPr>
          <w:ilvl w:val="0"/>
          <w:numId w:val="2"/>
        </w:numPr>
        <w:spacing w:after="0" w:line="240" w:lineRule="auto"/>
        <w:jc w:val="both"/>
        <w:rPr>
          <w:rFonts w:ascii="Cambria" w:eastAsia="Times New Roman" w:hAnsi="Cambria" w:cs="TimesNewRoman"/>
          <w:color w:val="000000"/>
          <w:sz w:val="20"/>
          <w:szCs w:val="20"/>
          <w:u w:color="000000"/>
          <w:bdr w:val="nil"/>
          <w:lang w:eastAsia="es-ES_tradnl"/>
        </w:rPr>
      </w:pPr>
      <w:r w:rsidRPr="001F521C">
        <w:rPr>
          <w:rFonts w:ascii="Cambria" w:eastAsia="Times New Roman" w:hAnsi="Cambria"/>
          <w:color w:val="000000"/>
          <w:sz w:val="20"/>
          <w:szCs w:val="20"/>
          <w:u w:color="000000"/>
          <w:bdr w:val="nil"/>
          <w:lang w:eastAsia="es-ES"/>
        </w:rPr>
        <w:t>The presumption of innocence implies that the accused enjoys a legal status of innocence or non-guilt while resolving about his criminal responsibility, so that he must receive treatment from the State in accordance with his status as an un-convicted person.</w:t>
      </w:r>
      <w:r w:rsidR="0097431D" w:rsidRPr="001F521C">
        <w:rPr>
          <w:rFonts w:ascii="Cambria" w:eastAsia="Times New Roman" w:hAnsi="Cambria"/>
          <w:color w:val="000000"/>
          <w:sz w:val="20"/>
          <w:szCs w:val="20"/>
          <w:u w:color="000000"/>
          <w:bdr w:val="nil"/>
          <w:vertAlign w:val="superscript"/>
          <w:lang w:eastAsia="es-ES"/>
        </w:rPr>
        <w:footnoteReference w:id="52"/>
      </w:r>
      <w:r w:rsidR="0097431D"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 xml:space="preserve">The Court has held that this implies that the accused person must not demonstrate that he has not committed the crime attributed to him, since the </w:t>
      </w:r>
      <w:r w:rsidRPr="001F521C">
        <w:rPr>
          <w:rFonts w:ascii="Cambria" w:eastAsia="Times New Roman" w:hAnsi="Cambria"/>
          <w:i/>
          <w:color w:val="000000"/>
          <w:sz w:val="20"/>
          <w:szCs w:val="20"/>
          <w:u w:color="000000"/>
          <w:bdr w:val="nil"/>
          <w:lang w:eastAsia="es-ES"/>
        </w:rPr>
        <w:t>onus probandi</w:t>
      </w:r>
      <w:r w:rsidRPr="001F521C">
        <w:rPr>
          <w:rFonts w:ascii="Cambria" w:eastAsia="Times New Roman" w:hAnsi="Cambria"/>
          <w:color w:val="000000"/>
          <w:sz w:val="20"/>
          <w:szCs w:val="20"/>
          <w:u w:color="000000"/>
          <w:bdr w:val="nil"/>
          <w:lang w:eastAsia="es-ES"/>
        </w:rPr>
        <w:t xml:space="preserve"> corresponds to the accuser.</w:t>
      </w:r>
      <w:r w:rsidR="0097431D" w:rsidRPr="001F521C">
        <w:rPr>
          <w:rFonts w:ascii="Cambria" w:eastAsia="Times New Roman" w:hAnsi="Cambria"/>
          <w:color w:val="000000"/>
          <w:sz w:val="20"/>
          <w:szCs w:val="20"/>
          <w:u w:color="000000"/>
          <w:bdr w:val="nil"/>
          <w:vertAlign w:val="superscript"/>
          <w:lang w:eastAsia="es-ES"/>
        </w:rPr>
        <w:footnoteReference w:id="53"/>
      </w:r>
      <w:r w:rsidR="0097431D"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Hence, the IACHR has emphasized that a reliable demonstration of guilt is an indispensable requirement for criminal sanction, so that the burden of proof lies with the accusing party and not with the accused person.</w:t>
      </w:r>
      <w:r w:rsidR="0097431D" w:rsidRPr="001F521C">
        <w:rPr>
          <w:rFonts w:ascii="Cambria" w:eastAsia="Times New Roman" w:hAnsi="Cambria"/>
          <w:color w:val="000000"/>
          <w:sz w:val="20"/>
          <w:szCs w:val="20"/>
          <w:u w:color="000000"/>
          <w:bdr w:val="nil"/>
          <w:vertAlign w:val="superscript"/>
          <w:lang w:eastAsia="es-ES"/>
        </w:rPr>
        <w:footnoteReference w:id="54"/>
      </w:r>
    </w:p>
    <w:p w14:paraId="12ABF07C" w14:textId="77777777" w:rsidR="0097431D" w:rsidRPr="001F521C" w:rsidRDefault="0097431D" w:rsidP="001F521C">
      <w:pPr>
        <w:suppressAutoHyphens/>
        <w:spacing w:after="0" w:line="240" w:lineRule="auto"/>
        <w:jc w:val="both"/>
        <w:rPr>
          <w:rFonts w:ascii="Cambria" w:hAnsi="Cambria" w:cs="TimesNewRoman"/>
          <w:sz w:val="20"/>
          <w:szCs w:val="20"/>
          <w:lang w:eastAsia="es-ES_tradnl"/>
        </w:rPr>
      </w:pPr>
    </w:p>
    <w:p w14:paraId="693582DC" w14:textId="77777777" w:rsidR="0097431D" w:rsidRPr="001F521C" w:rsidRDefault="004E1AF1" w:rsidP="001F521C">
      <w:pPr>
        <w:numPr>
          <w:ilvl w:val="0"/>
          <w:numId w:val="2"/>
        </w:numPr>
        <w:spacing w:after="0" w:line="240" w:lineRule="auto"/>
        <w:jc w:val="both"/>
        <w:rPr>
          <w:rFonts w:ascii="Cambria" w:eastAsia="Times New Roman" w:hAnsi="Cambria" w:cs="TimesNewRoman"/>
          <w:color w:val="000000"/>
          <w:sz w:val="20"/>
          <w:szCs w:val="20"/>
          <w:u w:color="000000"/>
          <w:bdr w:val="nil"/>
          <w:lang w:eastAsia="es-ES_tradnl"/>
        </w:rPr>
      </w:pPr>
      <w:r w:rsidRPr="001F521C">
        <w:rPr>
          <w:rFonts w:ascii="Cambria" w:eastAsia="Times New Roman" w:hAnsi="Cambria"/>
          <w:color w:val="000000"/>
          <w:sz w:val="20"/>
          <w:szCs w:val="20"/>
          <w:u w:color="000000"/>
          <w:bdr w:val="nil"/>
          <w:lang w:eastAsia="es-ES"/>
        </w:rPr>
        <w:t>In accordance with the foregoing, international human rights law provides that no person may be convicted until there is full proof of his criminal responsibility. In the words of the Court, "if there is incomplete or insufficient proof, it is not appropriate to condemn the person, but to absolve him."</w:t>
      </w:r>
      <w:r w:rsidR="0097431D" w:rsidRPr="001F521C">
        <w:rPr>
          <w:rFonts w:ascii="Cambria" w:eastAsia="Times New Roman" w:hAnsi="Cambria"/>
          <w:color w:val="000000"/>
          <w:sz w:val="20"/>
          <w:szCs w:val="20"/>
          <w:u w:color="000000"/>
          <w:bdr w:val="nil"/>
          <w:vertAlign w:val="superscript"/>
          <w:lang w:eastAsia="es-ES"/>
        </w:rPr>
        <w:footnoteReference w:id="55"/>
      </w:r>
      <w:r w:rsidR="0097431D"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Similarly, the Commission has considered that the lack of full proof of criminal responsibility in a conviction constitutes a violation of the principle of presumption of innocence.</w:t>
      </w:r>
      <w:r w:rsidR="0097431D" w:rsidRPr="001F521C">
        <w:rPr>
          <w:rFonts w:ascii="Cambria" w:eastAsia="Times New Roman" w:hAnsi="Cambria"/>
          <w:color w:val="000000"/>
          <w:sz w:val="20"/>
          <w:szCs w:val="20"/>
          <w:u w:color="000000"/>
          <w:bdr w:val="nil"/>
          <w:vertAlign w:val="superscript"/>
          <w:lang w:eastAsia="es-ES"/>
        </w:rPr>
        <w:footnoteReference w:id="56"/>
      </w:r>
    </w:p>
    <w:p w14:paraId="44EA2C81" w14:textId="77777777" w:rsidR="0097431D" w:rsidRPr="001F521C" w:rsidRDefault="0097431D"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6BA30FF" w14:textId="77777777" w:rsidR="00995848" w:rsidRPr="001F521C" w:rsidRDefault="00995848" w:rsidP="001F521C">
      <w:pPr>
        <w:numPr>
          <w:ilvl w:val="0"/>
          <w:numId w:val="2"/>
        </w:numPr>
        <w:spacing w:after="0" w:line="240" w:lineRule="auto"/>
        <w:jc w:val="both"/>
        <w:rPr>
          <w:rFonts w:ascii="Cambria" w:eastAsia="Times New Roman" w:hAnsi="Cambria" w:cs="MSTT3132dbeaafO05102100"/>
          <w:color w:val="000000"/>
          <w:sz w:val="20"/>
          <w:szCs w:val="20"/>
          <w:u w:color="000000"/>
          <w:bdr w:val="nil"/>
          <w:lang w:eastAsia="es-ES"/>
        </w:rPr>
      </w:pPr>
      <w:r w:rsidRPr="001F521C">
        <w:rPr>
          <w:rFonts w:ascii="Cambria" w:eastAsia="Times New Roman" w:hAnsi="Cambria"/>
          <w:color w:val="000000"/>
          <w:sz w:val="20"/>
          <w:szCs w:val="20"/>
          <w:u w:color="000000"/>
          <w:bdr w:val="nil"/>
          <w:lang w:eastAsia="es-ES"/>
        </w:rPr>
        <w:t>In its recent judgment in the case Zegarra Marín Vs. Peru, the Court referred to the guarantee of motivation in relation to the principle of presumption of innocence, in the following terms</w:t>
      </w:r>
      <w:r w:rsidRPr="001F521C">
        <w:rPr>
          <w:rFonts w:ascii="Cambria" w:eastAsia="Times New Roman" w:hAnsi="Cambria" w:cs="MSTT3132dbeaafO05102100"/>
          <w:color w:val="000000"/>
          <w:sz w:val="20"/>
          <w:szCs w:val="20"/>
          <w:u w:color="000000"/>
          <w:bdr w:val="nil"/>
          <w:lang w:eastAsia="es-ES"/>
        </w:rPr>
        <w:t xml:space="preserve">: </w:t>
      </w:r>
    </w:p>
    <w:p w14:paraId="0FF68234" w14:textId="77777777" w:rsidR="00995848" w:rsidRPr="001F521C" w:rsidRDefault="00995848" w:rsidP="001F521C">
      <w:pPr>
        <w:shd w:val="clear" w:color="auto" w:fill="FFFFFF"/>
        <w:tabs>
          <w:tab w:val="num" w:pos="720"/>
          <w:tab w:val="left" w:pos="1440"/>
          <w:tab w:val="num" w:pos="2040"/>
        </w:tabs>
        <w:spacing w:after="0" w:line="240" w:lineRule="auto"/>
        <w:jc w:val="both"/>
        <w:rPr>
          <w:rFonts w:ascii="Cambria" w:hAnsi="Cambria" w:cs="MSTT3132dbeaafO05102100"/>
          <w:sz w:val="20"/>
          <w:szCs w:val="20"/>
        </w:rPr>
      </w:pPr>
    </w:p>
    <w:p w14:paraId="7EEDB704" w14:textId="59C28D02" w:rsidR="00995848" w:rsidRPr="001F521C" w:rsidRDefault="00514B87" w:rsidP="001F521C">
      <w:pPr>
        <w:shd w:val="clear" w:color="auto" w:fill="FFFFFF"/>
        <w:tabs>
          <w:tab w:val="num" w:pos="720"/>
          <w:tab w:val="left" w:pos="1440"/>
          <w:tab w:val="num" w:pos="2040"/>
        </w:tabs>
        <w:spacing w:after="0" w:line="240" w:lineRule="auto"/>
        <w:ind w:left="720" w:right="720"/>
        <w:jc w:val="both"/>
        <w:rPr>
          <w:rFonts w:ascii="Cambria" w:hAnsi="Cambria" w:cs="MSTT3132dbeaafO05102100"/>
          <w:sz w:val="20"/>
          <w:szCs w:val="20"/>
        </w:rPr>
      </w:pPr>
      <w:r w:rsidRPr="001F521C">
        <w:rPr>
          <w:rFonts w:ascii="Cambria" w:hAnsi="Cambria" w:cs="MSTT3132dbeaafO05102100"/>
          <w:sz w:val="20"/>
          <w:szCs w:val="20"/>
        </w:rPr>
        <w:t xml:space="preserve">the relevance of the motivation, in order to guarantee the principle of presumption of innocence, mainly in a condemnatory sentence, which must express the sufficiency of proof of charge to confirm the accusatory hypothesis; the observance of the rules of legal reasoning in </w:t>
      </w:r>
      <w:r w:rsidRPr="001F521C">
        <w:rPr>
          <w:rFonts w:ascii="Cambria" w:hAnsi="Cambria" w:cs="MSTT3132dbeaafO05102100"/>
          <w:sz w:val="20"/>
          <w:szCs w:val="20"/>
        </w:rPr>
        <w:lastRenderedPageBreak/>
        <w:t xml:space="preserve">the assessment of the evidence, including those that could generate doubt of the criminal responsibility; and the final judgment that derives from this assessment. In this case, it should reflect the reasons for which it was possible to obtain conviction on the imputation and the criminal responsibility, as well as the appreciation of the tests to deface any hypothesis of innocence, and only thus to be able to confirm or to refute the accusatory hypothesis. This would make it possible to misrepresent the presumption of innocence and to establish criminal responsibility beyond any reasonable doubt. In the face of doubt, the presumption of innocence and the principle in </w:t>
      </w:r>
      <w:r w:rsidRPr="001F521C">
        <w:rPr>
          <w:rFonts w:ascii="Cambria" w:hAnsi="Cambria" w:cs="MSTT3132dbeaafO05102100"/>
          <w:i/>
          <w:sz w:val="20"/>
          <w:szCs w:val="20"/>
        </w:rPr>
        <w:t>dubio pro reo</w:t>
      </w:r>
      <w:r w:rsidRPr="001F521C">
        <w:rPr>
          <w:rFonts w:ascii="Cambria" w:hAnsi="Cambria" w:cs="MSTT3132dbeaafO05102100"/>
          <w:sz w:val="20"/>
          <w:szCs w:val="20"/>
        </w:rPr>
        <w:t xml:space="preserve">, operate as a </w:t>
      </w:r>
      <w:r w:rsidR="00AC222F" w:rsidRPr="001F521C">
        <w:rPr>
          <w:rFonts w:ascii="Cambria" w:hAnsi="Cambria" w:cs="MSTT3132dbeaafO05102100"/>
          <w:sz w:val="20"/>
          <w:szCs w:val="20"/>
        </w:rPr>
        <w:t>decisive</w:t>
      </w:r>
      <w:r w:rsidRPr="001F521C">
        <w:rPr>
          <w:rFonts w:ascii="Cambria" w:hAnsi="Cambria" w:cs="MSTT3132dbeaafO05102100"/>
          <w:sz w:val="20"/>
          <w:szCs w:val="20"/>
        </w:rPr>
        <w:t xml:space="preserve"> criterion at the time of issuing the ruling</w:t>
      </w:r>
      <w:r w:rsidR="00AC222F" w:rsidRPr="001F521C">
        <w:rPr>
          <w:rFonts w:ascii="Cambria" w:hAnsi="Cambria" w:cs="MSTT3132dbeaafO05102100"/>
          <w:sz w:val="20"/>
          <w:szCs w:val="20"/>
        </w:rPr>
        <w:t>.</w:t>
      </w:r>
      <w:r w:rsidR="00995848" w:rsidRPr="001F521C">
        <w:rPr>
          <w:rFonts w:ascii="Cambria" w:hAnsi="Cambria"/>
          <w:sz w:val="20"/>
          <w:szCs w:val="20"/>
          <w:vertAlign w:val="superscript"/>
        </w:rPr>
        <w:footnoteReference w:id="57"/>
      </w:r>
    </w:p>
    <w:p w14:paraId="00930227" w14:textId="77777777" w:rsidR="00995848" w:rsidRPr="001F521C" w:rsidRDefault="00995848"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CF61D4F" w14:textId="60DF10F1" w:rsidR="00AC222F" w:rsidRPr="001F521C" w:rsidRDefault="00BE25B5" w:rsidP="001F521C">
      <w:pPr>
        <w:numPr>
          <w:ilvl w:val="0"/>
          <w:numId w:val="2"/>
        </w:numPr>
        <w:spacing w:after="0" w:line="240" w:lineRule="auto"/>
        <w:jc w:val="both"/>
        <w:rPr>
          <w:rFonts w:ascii="Cambria" w:eastAsia="Times New Roman" w:hAnsi="Cambria"/>
          <w:b/>
          <w:color w:val="000000"/>
          <w:sz w:val="20"/>
          <w:szCs w:val="20"/>
          <w:u w:color="000000"/>
          <w:bdr w:val="nil"/>
          <w:lang w:eastAsia="es-ES"/>
        </w:rPr>
      </w:pPr>
      <w:r w:rsidRPr="001F521C">
        <w:rPr>
          <w:rFonts w:ascii="Cambria" w:eastAsia="Times New Roman" w:hAnsi="Cambria" w:cs="TimesNewRoman"/>
          <w:color w:val="000000"/>
          <w:sz w:val="20"/>
          <w:szCs w:val="20"/>
          <w:u w:color="000000"/>
          <w:bdr w:val="nil"/>
          <w:lang w:eastAsia="es-ES_tradnl"/>
        </w:rPr>
        <w:t>Regarding the right to appeal the ruling, the IACHR has held that this right is a primary guarantee in the framework of due process of law, which’s purpose is to prevent a situation of injustice being consolidated.</w:t>
      </w:r>
      <w:r w:rsidR="00AC222F" w:rsidRPr="001F521C">
        <w:rPr>
          <w:rFonts w:ascii="Cambria" w:eastAsia="Times New Roman" w:hAnsi="Cambria"/>
          <w:color w:val="000000"/>
          <w:sz w:val="20"/>
          <w:szCs w:val="20"/>
          <w:u w:color="000000"/>
          <w:bdr w:val="nil"/>
          <w:vertAlign w:val="superscript"/>
          <w:lang w:eastAsia="es-ES"/>
        </w:rPr>
        <w:footnoteReference w:id="58"/>
      </w:r>
      <w:r w:rsidR="00AC222F"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The purpose of this right is to allow an adverse judgment to be reviewed by a different judge or tribunal and of superior organic hierarchy</w:t>
      </w:r>
      <w:r w:rsidR="00AC222F" w:rsidRPr="001F521C">
        <w:rPr>
          <w:rFonts w:ascii="Cambria" w:eastAsia="Times New Roman" w:hAnsi="Cambria"/>
          <w:color w:val="000000"/>
          <w:sz w:val="20"/>
          <w:szCs w:val="20"/>
          <w:u w:color="000000"/>
          <w:bdr w:val="nil"/>
          <w:vertAlign w:val="superscript"/>
          <w:lang w:eastAsia="es-ES"/>
        </w:rPr>
        <w:footnoteReference w:id="59"/>
      </w:r>
      <w:r w:rsidR="00AC222F"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and to prevent a decision to become definitive which has been adopted in error and which contains errors which would unduly prejudice the interests of a person.</w:t>
      </w:r>
      <w:r w:rsidR="00AC222F" w:rsidRPr="001F521C">
        <w:rPr>
          <w:rFonts w:ascii="Cambria" w:eastAsia="Times New Roman" w:hAnsi="Cambria"/>
          <w:color w:val="000000"/>
          <w:sz w:val="20"/>
          <w:szCs w:val="20"/>
          <w:u w:color="000000"/>
          <w:bdr w:val="nil"/>
          <w:vertAlign w:val="superscript"/>
          <w:lang w:eastAsia="es-ES"/>
        </w:rPr>
        <w:footnoteReference w:id="60"/>
      </w:r>
      <w:r w:rsidR="00AC222F" w:rsidRPr="001F521C">
        <w:rPr>
          <w:rFonts w:ascii="Cambria" w:eastAsia="Times New Roman" w:hAnsi="Cambria"/>
          <w:color w:val="000000"/>
          <w:sz w:val="20"/>
          <w:szCs w:val="20"/>
          <w:u w:color="000000"/>
          <w:bdr w:val="nil"/>
          <w:lang w:eastAsia="es-ES"/>
        </w:rPr>
        <w:t xml:space="preserve"> </w:t>
      </w:r>
      <w:r w:rsidRPr="001F521C">
        <w:rPr>
          <w:rFonts w:ascii="Cambria" w:eastAsia="Times New Roman" w:hAnsi="Cambria"/>
          <w:color w:val="000000"/>
          <w:sz w:val="20"/>
          <w:szCs w:val="20"/>
          <w:u w:color="000000"/>
          <w:bdr w:val="nil"/>
          <w:lang w:eastAsia="es-ES"/>
        </w:rPr>
        <w:t>The Court has held that "double judicial conformity, expressed through access to a remedy that affords the possibility of a full review of the conviction, confirms the foundation and gives greater credibility to the State's judicial act, while providing greater security and protect the rights of the condemned.”</w:t>
      </w:r>
      <w:r w:rsidR="00AC222F" w:rsidRPr="001F521C">
        <w:rPr>
          <w:rFonts w:ascii="Cambria" w:eastAsia="Times New Roman" w:hAnsi="Cambria"/>
          <w:color w:val="000000"/>
          <w:sz w:val="20"/>
          <w:szCs w:val="20"/>
          <w:u w:color="000000"/>
          <w:bdr w:val="nil"/>
          <w:vertAlign w:val="superscript"/>
          <w:lang w:eastAsia="es-ES"/>
        </w:rPr>
        <w:footnoteReference w:id="61"/>
      </w:r>
      <w:r w:rsidR="00AC222F" w:rsidRPr="001F521C">
        <w:rPr>
          <w:rFonts w:ascii="Cambria" w:eastAsia="Times New Roman" w:hAnsi="Cambria"/>
          <w:color w:val="000000"/>
          <w:sz w:val="20"/>
          <w:szCs w:val="20"/>
          <w:u w:color="000000"/>
          <w:bdr w:val="nil"/>
          <w:lang w:eastAsia="es-ES"/>
        </w:rPr>
        <w:t xml:space="preserve"> </w:t>
      </w:r>
    </w:p>
    <w:p w14:paraId="38CF4561" w14:textId="77777777" w:rsidR="00AC222F" w:rsidRPr="001F521C" w:rsidRDefault="00AC222F" w:rsidP="001F521C">
      <w:pPr>
        <w:spacing w:after="0" w:line="240" w:lineRule="auto"/>
        <w:rPr>
          <w:rFonts w:ascii="Cambria" w:hAnsi="Cambria"/>
          <w:b/>
          <w:sz w:val="20"/>
          <w:szCs w:val="20"/>
        </w:rPr>
      </w:pPr>
    </w:p>
    <w:p w14:paraId="02A56073" w14:textId="6BAD16EF" w:rsidR="00AC222F" w:rsidRPr="001F521C" w:rsidRDefault="00BE25B5" w:rsidP="001F521C">
      <w:pPr>
        <w:numPr>
          <w:ilvl w:val="0"/>
          <w:numId w:val="2"/>
        </w:numPr>
        <w:spacing w:after="0" w:line="240" w:lineRule="auto"/>
        <w:jc w:val="both"/>
        <w:rPr>
          <w:rFonts w:ascii="Cambria" w:eastAsia="Times New Roman" w:hAnsi="Cambria"/>
          <w:b/>
          <w:color w:val="000000"/>
          <w:sz w:val="20"/>
          <w:szCs w:val="20"/>
          <w:u w:color="000000"/>
          <w:bdr w:val="nil"/>
          <w:lang w:eastAsia="es-ES"/>
        </w:rPr>
      </w:pPr>
      <w:r w:rsidRPr="001F521C">
        <w:rPr>
          <w:rFonts w:ascii="Cambria" w:eastAsia="Times New Roman" w:hAnsi="Cambria"/>
          <w:bCs/>
          <w:color w:val="000000"/>
          <w:sz w:val="20"/>
          <w:szCs w:val="20"/>
          <w:u w:color="000000"/>
          <w:bdr w:val="nil"/>
          <w:lang w:eastAsia="es-ES"/>
        </w:rPr>
        <w:t xml:space="preserve">Moreover, under </w:t>
      </w:r>
      <w:r w:rsidR="000A6FA0" w:rsidRPr="001F521C">
        <w:rPr>
          <w:rFonts w:ascii="Cambria" w:eastAsia="Times New Roman" w:hAnsi="Cambria"/>
          <w:bCs/>
          <w:color w:val="000000"/>
          <w:sz w:val="20"/>
          <w:szCs w:val="20"/>
          <w:u w:color="000000"/>
          <w:bdr w:val="nil"/>
          <w:lang w:eastAsia="es-ES"/>
        </w:rPr>
        <w:t>Article</w:t>
      </w:r>
      <w:r w:rsidRPr="001F521C">
        <w:rPr>
          <w:rFonts w:ascii="Cambria" w:eastAsia="Times New Roman" w:hAnsi="Cambria"/>
          <w:bCs/>
          <w:color w:val="000000"/>
          <w:sz w:val="20"/>
          <w:szCs w:val="20"/>
          <w:u w:color="000000"/>
          <w:bdr w:val="nil"/>
          <w:lang w:eastAsia="es-ES"/>
        </w:rPr>
        <w:t xml:space="preserve"> 25 of the Convention, States must provide an adequate and effective remedy against acts violating their rights, both those established in the Convention and in the Constitution and the law.</w:t>
      </w:r>
      <w:r w:rsidR="00AC222F" w:rsidRPr="001F521C">
        <w:rPr>
          <w:rFonts w:ascii="Cambria" w:eastAsia="MS Gothic" w:hAnsi="Cambria"/>
          <w:color w:val="000000"/>
          <w:sz w:val="20"/>
          <w:szCs w:val="20"/>
          <w:u w:color="000000"/>
          <w:bdr w:val="nil"/>
          <w:vertAlign w:val="superscript"/>
          <w:lang w:eastAsia="es-ES"/>
        </w:rPr>
        <w:footnoteReference w:id="62"/>
      </w:r>
    </w:p>
    <w:p w14:paraId="4C8D879D" w14:textId="77777777" w:rsidR="00AC222F" w:rsidRPr="001F521C" w:rsidRDefault="00AC222F"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4D9CF81" w14:textId="2DE58ACB" w:rsidR="000C7C37" w:rsidRPr="001F521C" w:rsidRDefault="000C7C37" w:rsidP="001F521C">
      <w:pPr>
        <w:spacing w:after="0" w:line="240" w:lineRule="auto"/>
        <w:ind w:firstLine="720"/>
        <w:jc w:val="both"/>
        <w:rPr>
          <w:rFonts w:ascii="Cambria" w:hAnsi="Cambria"/>
          <w:b/>
          <w:sz w:val="20"/>
          <w:szCs w:val="20"/>
        </w:rPr>
      </w:pPr>
      <w:r w:rsidRPr="001F521C">
        <w:rPr>
          <w:rFonts w:ascii="Cambria" w:hAnsi="Cambria"/>
          <w:b/>
          <w:sz w:val="20"/>
          <w:szCs w:val="20"/>
        </w:rPr>
        <w:t>2.</w:t>
      </w:r>
      <w:r w:rsidRPr="001F521C">
        <w:rPr>
          <w:rFonts w:ascii="Cambria" w:hAnsi="Cambria"/>
          <w:b/>
          <w:sz w:val="20"/>
          <w:szCs w:val="20"/>
        </w:rPr>
        <w:tab/>
        <w:t xml:space="preserve">Analysis of the case </w:t>
      </w:r>
    </w:p>
    <w:p w14:paraId="02FA31C1" w14:textId="77777777" w:rsidR="000C7C37" w:rsidRPr="001F521C" w:rsidRDefault="000C7C37" w:rsidP="001F521C">
      <w:pPr>
        <w:spacing w:after="0" w:line="240" w:lineRule="auto"/>
        <w:ind w:left="1440" w:hanging="720"/>
        <w:jc w:val="both"/>
        <w:rPr>
          <w:rFonts w:ascii="Cambria" w:hAnsi="Cambria"/>
          <w:b/>
          <w:sz w:val="20"/>
          <w:szCs w:val="20"/>
        </w:rPr>
      </w:pPr>
      <w:r w:rsidRPr="001F521C">
        <w:rPr>
          <w:rFonts w:ascii="Cambria" w:hAnsi="Cambria"/>
          <w:b/>
          <w:sz w:val="20"/>
          <w:szCs w:val="20"/>
        </w:rPr>
        <w:t xml:space="preserve"> </w:t>
      </w:r>
    </w:p>
    <w:p w14:paraId="53535AD5" w14:textId="4172D32B" w:rsidR="000C7C37" w:rsidRPr="001F521C" w:rsidRDefault="000C7C37" w:rsidP="001F521C">
      <w:pPr>
        <w:numPr>
          <w:ilvl w:val="0"/>
          <w:numId w:val="2"/>
        </w:numPr>
        <w:spacing w:after="0" w:line="240" w:lineRule="auto"/>
        <w:jc w:val="both"/>
        <w:rPr>
          <w:rFonts w:ascii="Cambria" w:eastAsia="Times New Roman" w:hAnsi="Cambria" w:cs="TimesNewRoman"/>
          <w:color w:val="000000"/>
          <w:sz w:val="20"/>
          <w:szCs w:val="20"/>
          <w:u w:color="000000"/>
          <w:bdr w:val="nil"/>
          <w:lang w:eastAsia="es-ES_tradnl"/>
        </w:rPr>
      </w:pPr>
      <w:r w:rsidRPr="001F521C">
        <w:rPr>
          <w:rFonts w:ascii="Cambria" w:eastAsia="Times New Roman" w:hAnsi="Cambria" w:cs="TimesNewRoman"/>
          <w:color w:val="000000"/>
          <w:sz w:val="20"/>
          <w:szCs w:val="20"/>
          <w:u w:color="000000"/>
          <w:bdr w:val="nil"/>
          <w:lang w:eastAsia="es-ES_tradnl"/>
        </w:rPr>
        <w:t>The Commission reiterates that it is for domestic authorities and, in cases such as the present, for criminal judges, who are primarily responsible for assessing domestic evidence and for determining its effects on the possible criminal liability of a person with regard to which is the punitive power.</w:t>
      </w:r>
      <w:r w:rsidRPr="001F521C">
        <w:rPr>
          <w:rFonts w:ascii="Cambria" w:eastAsia="Times New Roman" w:hAnsi="Cambria"/>
          <w:color w:val="000000"/>
          <w:sz w:val="20"/>
          <w:szCs w:val="20"/>
          <w:u w:color="000000"/>
          <w:bdr w:val="nil"/>
          <w:vertAlign w:val="superscript"/>
          <w:lang w:eastAsia="es-ES"/>
        </w:rPr>
        <w:footnoteReference w:id="63"/>
      </w:r>
      <w:r w:rsidRPr="001F521C">
        <w:rPr>
          <w:rFonts w:ascii="Cambria" w:eastAsia="Times New Roman" w:hAnsi="Cambria" w:cs="TimesNewRoman"/>
          <w:color w:val="000000"/>
          <w:sz w:val="20"/>
          <w:szCs w:val="20"/>
          <w:u w:color="000000"/>
          <w:bdr w:val="nil"/>
          <w:lang w:eastAsia="es-ES_tradnl"/>
        </w:rPr>
        <w:t xml:space="preserve"> However, it is the role of the IACHR to establish whether, during a criminal proceeding, the guarantees provided for in Article 8 of the American Convention were met, which necessarily implies a review of the actions of the State authorities in charge of said process, including, in certain cases, the manner in which the available evidence was received and analyzed.</w:t>
      </w:r>
    </w:p>
    <w:p w14:paraId="1F80D224" w14:textId="77777777" w:rsidR="000C7C37" w:rsidRPr="001F521C" w:rsidRDefault="000C7C37"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25F3001C" w14:textId="49DF46D7" w:rsidR="00B114BF" w:rsidRPr="001F521C" w:rsidRDefault="00AF28A1" w:rsidP="001F521C">
      <w:pPr>
        <w:numPr>
          <w:ilvl w:val="0"/>
          <w:numId w:val="2"/>
        </w:numPr>
        <w:spacing w:after="0" w:line="240" w:lineRule="auto"/>
        <w:jc w:val="both"/>
        <w:rPr>
          <w:rFonts w:ascii="Cambria" w:eastAsia="Times New Roman" w:hAnsi="Cambria" w:cs="TimesNewRoman"/>
          <w:color w:val="000000"/>
          <w:sz w:val="20"/>
          <w:szCs w:val="20"/>
          <w:u w:color="000000"/>
          <w:bdr w:val="nil"/>
          <w:lang w:eastAsia="es-ES_tradnl"/>
        </w:rPr>
      </w:pPr>
      <w:r w:rsidRPr="001F521C">
        <w:rPr>
          <w:rFonts w:ascii="Cambria" w:eastAsia="Times New Roman" w:hAnsi="Cambria" w:cs="TimesNewRoman"/>
          <w:color w:val="000000"/>
          <w:sz w:val="20"/>
          <w:szCs w:val="20"/>
          <w:u w:color="000000"/>
          <w:bdr w:val="nil"/>
          <w:lang w:eastAsia="es-ES_tradnl"/>
        </w:rPr>
        <w:t xml:space="preserve">There is no dispute between the parties regarding the fact that Alfredo </w:t>
      </w:r>
      <w:proofErr w:type="spellStart"/>
      <w:r w:rsidRPr="001F521C">
        <w:rPr>
          <w:rFonts w:ascii="Cambria" w:eastAsia="Times New Roman" w:hAnsi="Cambria" w:cs="TimesNewRoman"/>
          <w:color w:val="000000"/>
          <w:sz w:val="20"/>
          <w:szCs w:val="20"/>
          <w:u w:color="000000"/>
          <w:bdr w:val="nil"/>
          <w:lang w:eastAsia="es-ES_tradnl"/>
        </w:rPr>
        <w:t>Cugat's</w:t>
      </w:r>
      <w:proofErr w:type="spellEnd"/>
      <w:r w:rsidRPr="001F521C">
        <w:rPr>
          <w:rFonts w:ascii="Cambria" w:eastAsia="Times New Roman" w:hAnsi="Cambria" w:cs="TimesNewRoman"/>
          <w:color w:val="000000"/>
          <w:sz w:val="20"/>
          <w:szCs w:val="20"/>
          <w:u w:color="000000"/>
          <w:bdr w:val="nil"/>
          <w:lang w:eastAsia="es-ES_tradnl"/>
        </w:rPr>
        <w:t xml:space="preserve"> testimonial statement was rendered at the preliminary stage by the police authority, without the presence or participation of Marcos Alejandro Martin's defense counsel. According to the above standards, the right of defense must be guaranteed from the moment a person is identified as a possible person responsible for a crime, so that the absence of his lawyer in the practice of this test, violates the right enshrined in the Article 8.2 c) of the Convention.</w:t>
      </w:r>
    </w:p>
    <w:p w14:paraId="7657FC7F" w14:textId="77777777" w:rsidR="00B114BF" w:rsidRPr="001F521C" w:rsidRDefault="00B114BF" w:rsidP="001F521C">
      <w:pPr>
        <w:spacing w:after="0" w:line="240" w:lineRule="auto"/>
        <w:jc w:val="both"/>
        <w:rPr>
          <w:rFonts w:ascii="Cambria" w:eastAsia="Times New Roman" w:hAnsi="Cambria" w:cs="TimesNewRoman"/>
          <w:color w:val="000000"/>
          <w:sz w:val="20"/>
          <w:szCs w:val="20"/>
          <w:u w:color="000000"/>
          <w:bdr w:val="nil"/>
          <w:lang w:eastAsia="es-ES_tradnl"/>
        </w:rPr>
      </w:pPr>
      <w:r w:rsidRPr="001F521C">
        <w:rPr>
          <w:rFonts w:ascii="Cambria" w:eastAsia="Times New Roman" w:hAnsi="Cambria" w:cs="TimesNewRoman"/>
          <w:color w:val="000000"/>
          <w:sz w:val="20"/>
          <w:szCs w:val="20"/>
          <w:u w:color="000000"/>
          <w:bdr w:val="nil"/>
          <w:lang w:eastAsia="es-ES_tradnl"/>
        </w:rPr>
        <w:lastRenderedPageBreak/>
        <w:t xml:space="preserve"> </w:t>
      </w:r>
    </w:p>
    <w:p w14:paraId="287E9B89" w14:textId="2E5E266A" w:rsidR="00B114BF" w:rsidRPr="001F521C" w:rsidRDefault="00AF28A1" w:rsidP="001F521C">
      <w:pPr>
        <w:numPr>
          <w:ilvl w:val="0"/>
          <w:numId w:val="2"/>
        </w:numPr>
        <w:spacing w:after="0" w:line="240" w:lineRule="auto"/>
        <w:jc w:val="both"/>
        <w:rPr>
          <w:rFonts w:ascii="Cambria" w:eastAsia="Times New Roman" w:hAnsi="Cambria" w:cs="TimesNewRoman"/>
          <w:color w:val="000000"/>
          <w:sz w:val="20"/>
          <w:szCs w:val="20"/>
          <w:u w:color="000000"/>
          <w:bdr w:val="nil"/>
          <w:lang w:eastAsia="es-ES_tradnl"/>
        </w:rPr>
      </w:pPr>
      <w:r w:rsidRPr="001F521C">
        <w:rPr>
          <w:rFonts w:ascii="Cambria" w:eastAsia="Times New Roman" w:hAnsi="Cambria" w:cs="TimesNewRoman"/>
          <w:color w:val="000000"/>
          <w:sz w:val="20"/>
          <w:szCs w:val="20"/>
          <w:u w:color="000000"/>
          <w:bdr w:val="nil"/>
          <w:lang w:eastAsia="es-ES_tradnl"/>
        </w:rPr>
        <w:t>Likewise, taking into account that the evidence carried out without the participation of the defense was a testimonial statement, this situation also constituted a violation of Article 8.2 f) of the Convention, which enshrines, among others, the right of any person prosecuted to cross-examine witnesses. This includes evidently witnesses both charge and discharge.</w:t>
      </w:r>
    </w:p>
    <w:p w14:paraId="1C2192F1" w14:textId="77777777" w:rsidR="00B114BF" w:rsidRPr="001F521C" w:rsidRDefault="00B114BF" w:rsidP="001F521C">
      <w:pPr>
        <w:spacing w:after="0" w:line="240" w:lineRule="auto"/>
        <w:jc w:val="both"/>
        <w:rPr>
          <w:rFonts w:ascii="Cambria" w:eastAsia="Times New Roman" w:hAnsi="Cambria" w:cs="TimesNewRoman"/>
          <w:color w:val="000000"/>
          <w:sz w:val="20"/>
          <w:szCs w:val="20"/>
          <w:u w:color="000000"/>
          <w:bdr w:val="nil"/>
          <w:lang w:eastAsia="es-ES_tradnl"/>
        </w:rPr>
      </w:pPr>
      <w:r w:rsidRPr="001F521C">
        <w:rPr>
          <w:rFonts w:ascii="Cambria" w:eastAsia="Times New Roman" w:hAnsi="Cambria" w:cs="TimesNewRoman"/>
          <w:color w:val="000000"/>
          <w:sz w:val="20"/>
          <w:szCs w:val="20"/>
          <w:u w:color="000000"/>
          <w:bdr w:val="nil"/>
          <w:lang w:eastAsia="es-ES_tradnl"/>
        </w:rPr>
        <w:t xml:space="preserve"> </w:t>
      </w:r>
    </w:p>
    <w:p w14:paraId="4F0ED58E" w14:textId="1BF9568B" w:rsidR="00B114BF" w:rsidRPr="001F521C" w:rsidRDefault="00AF28A1" w:rsidP="001F521C">
      <w:pPr>
        <w:numPr>
          <w:ilvl w:val="0"/>
          <w:numId w:val="2"/>
        </w:numPr>
        <w:spacing w:after="0" w:line="240" w:lineRule="auto"/>
        <w:jc w:val="both"/>
        <w:rPr>
          <w:rFonts w:ascii="Cambria" w:eastAsia="Times New Roman" w:hAnsi="Cambria" w:cs="TimesNewRoman"/>
          <w:color w:val="000000"/>
          <w:sz w:val="20"/>
          <w:szCs w:val="20"/>
          <w:u w:color="000000"/>
          <w:bdr w:val="nil"/>
          <w:lang w:eastAsia="es-ES_tradnl"/>
        </w:rPr>
      </w:pPr>
      <w:r w:rsidRPr="001F521C">
        <w:rPr>
          <w:rFonts w:ascii="Cambria" w:eastAsia="Times New Roman" w:hAnsi="Cambria" w:cs="TimesNewRoman"/>
          <w:color w:val="000000"/>
          <w:sz w:val="20"/>
          <w:szCs w:val="20"/>
          <w:u w:color="000000"/>
          <w:bdr w:val="nil"/>
          <w:lang w:eastAsia="es-ES_tradnl"/>
        </w:rPr>
        <w:t>These violations, originated in the practice of testimony, continued throughout the process, specifically through the incorporation at the hearing of the testimonial statement in writing, with no possibility of any control by the defense. In addition, as discussed below, this situation was consolidated through the conviction and rulings issued on the occasion of the appeals filed by Mr. Martin.</w:t>
      </w:r>
    </w:p>
    <w:p w14:paraId="6C550E80" w14:textId="77777777" w:rsidR="00B114BF" w:rsidRPr="001F521C" w:rsidRDefault="00B114BF"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8C19A8C" w14:textId="0F586822" w:rsidR="00AF28A1" w:rsidRPr="001F521C" w:rsidRDefault="00AF28A1"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 xml:space="preserve">While it is true that, according to the aforementioned standards, the right to question witnesses may be restricted in exceptional circumstances, such a limitation must be based on weighty reasons, such as the risk to life and personal integrity of the declarants, and provided that compensatory measures regarding the right of defense of the person processed are available. In the present case, the State of Argentina merely indicated that the incorporation of the testimonial statement was allowed by domestic law, but did not claim compelling reasons to justify such incorporation in the light of the American Convention, </w:t>
      </w:r>
      <w:r w:rsidR="006412D2" w:rsidRPr="001F521C">
        <w:rPr>
          <w:rFonts w:ascii="Cambria" w:hAnsi="Cambria" w:cs="TimesNewRoman"/>
          <w:sz w:val="20"/>
          <w:szCs w:val="20"/>
          <w:lang w:val="en-US" w:eastAsia="es-ES_tradnl"/>
        </w:rPr>
        <w:t>even though</w:t>
      </w:r>
      <w:r w:rsidRPr="001F521C">
        <w:rPr>
          <w:rFonts w:ascii="Cambria" w:hAnsi="Cambria" w:cs="TimesNewRoman"/>
          <w:sz w:val="20"/>
          <w:szCs w:val="20"/>
          <w:lang w:val="en-US" w:eastAsia="es-ES_tradnl"/>
        </w:rPr>
        <w:t xml:space="preserve"> </w:t>
      </w:r>
      <w:r w:rsidR="006412D2" w:rsidRPr="001F521C">
        <w:rPr>
          <w:rFonts w:ascii="Cambria" w:hAnsi="Cambria" w:cs="TimesNewRoman"/>
          <w:sz w:val="20"/>
          <w:szCs w:val="20"/>
          <w:lang w:val="en-US" w:eastAsia="es-ES_tradnl"/>
        </w:rPr>
        <w:t>it affected</w:t>
      </w:r>
      <w:r w:rsidRPr="001F521C">
        <w:rPr>
          <w:rFonts w:ascii="Cambria" w:hAnsi="Cambria" w:cs="TimesNewRoman"/>
          <w:sz w:val="20"/>
          <w:szCs w:val="20"/>
          <w:lang w:val="en-US" w:eastAsia="es-ES_tradnl"/>
        </w:rPr>
        <w:t xml:space="preserve"> the right of defense of </w:t>
      </w:r>
      <w:proofErr w:type="spellStart"/>
      <w:r w:rsidRPr="001F521C">
        <w:rPr>
          <w:rFonts w:ascii="Cambria" w:hAnsi="Cambria" w:cs="TimesNewRoman"/>
          <w:sz w:val="20"/>
          <w:szCs w:val="20"/>
          <w:lang w:val="en-US" w:eastAsia="es-ES_tradnl"/>
        </w:rPr>
        <w:t>Mr</w:t>
      </w:r>
      <w:proofErr w:type="spellEnd"/>
      <w:r w:rsidRPr="001F521C">
        <w:rPr>
          <w:rFonts w:ascii="Cambria" w:hAnsi="Cambria" w:cs="TimesNewRoman"/>
          <w:sz w:val="20"/>
          <w:szCs w:val="20"/>
          <w:lang w:val="en-US" w:eastAsia="es-ES_tradnl"/>
        </w:rPr>
        <w:t xml:space="preserve"> Martin. The Commission considers that the mere reference to which it was not possible to locate the detainee in a case of this nature does not constitute a situation justifying the restriction in the right of defense and specifically in the right to question witnesses. The Commission has no information on additional efforts to locate it and no indication of any other exceptional situation.</w:t>
      </w:r>
    </w:p>
    <w:p w14:paraId="3652D8FB" w14:textId="77777777" w:rsidR="00AF28A1" w:rsidRPr="001F521C" w:rsidRDefault="00AF28A1"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n-US" w:eastAsia="es-ES_tradnl"/>
        </w:rPr>
      </w:pPr>
    </w:p>
    <w:p w14:paraId="235AF338" w14:textId="08F220FF" w:rsidR="00AF28A1" w:rsidRPr="001F521C" w:rsidRDefault="006412D2"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 xml:space="preserve">Having established the above, the Commission considers it pertinent to refer to the relevance of Alfredo </w:t>
      </w:r>
      <w:proofErr w:type="spellStart"/>
      <w:r w:rsidRPr="001F521C">
        <w:rPr>
          <w:rFonts w:ascii="Cambria" w:hAnsi="Cambria" w:cs="TimesNewRoman"/>
          <w:sz w:val="20"/>
          <w:szCs w:val="20"/>
          <w:lang w:val="en-US" w:eastAsia="es-ES_tradnl"/>
        </w:rPr>
        <w:t>Cugat's</w:t>
      </w:r>
      <w:proofErr w:type="spellEnd"/>
      <w:r w:rsidRPr="001F521C">
        <w:rPr>
          <w:rFonts w:ascii="Cambria" w:hAnsi="Cambria" w:cs="TimesNewRoman"/>
          <w:sz w:val="20"/>
          <w:szCs w:val="20"/>
          <w:lang w:val="en-US" w:eastAsia="es-ES_tradnl"/>
        </w:rPr>
        <w:t xml:space="preserve"> statement in the conviction of Mr. Martin.</w:t>
      </w:r>
    </w:p>
    <w:p w14:paraId="7331839B" w14:textId="77777777" w:rsidR="00AF28A1" w:rsidRPr="001F521C" w:rsidRDefault="00AF28A1"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NewRoman"/>
          <w:sz w:val="20"/>
          <w:szCs w:val="20"/>
          <w:lang w:val="en-US" w:eastAsia="es-ES_tradnl"/>
        </w:rPr>
      </w:pPr>
    </w:p>
    <w:p w14:paraId="4D92D076" w14:textId="7914728B" w:rsidR="00AF28A1" w:rsidRPr="001F521C" w:rsidRDefault="00A0432F"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 xml:space="preserve">From the established facts, the evidence on which the judicial decision was based was: (i) the statement of Alfredo </w:t>
      </w:r>
      <w:proofErr w:type="spellStart"/>
      <w:r w:rsidRPr="001F521C">
        <w:rPr>
          <w:rFonts w:ascii="Cambria" w:hAnsi="Cambria" w:cs="TimesNewRoman"/>
          <w:sz w:val="20"/>
          <w:szCs w:val="20"/>
          <w:lang w:val="en-US" w:eastAsia="es-ES_tradnl"/>
        </w:rPr>
        <w:t>Cugat</w:t>
      </w:r>
      <w:proofErr w:type="spellEnd"/>
      <w:r w:rsidRPr="001F521C">
        <w:rPr>
          <w:rFonts w:ascii="Cambria" w:hAnsi="Cambria" w:cs="TimesNewRoman"/>
          <w:sz w:val="20"/>
          <w:szCs w:val="20"/>
          <w:lang w:val="en-US" w:eastAsia="es-ES_tradnl"/>
        </w:rPr>
        <w:t xml:space="preserve">, who identified Mr. Martin as the person who assaulted him, and indicated that at the time of the arrest he had under his power the coat and the penknife; and (ii) the testimony of three persons (the police officer who arrested Mr. </w:t>
      </w:r>
      <w:proofErr w:type="spellStart"/>
      <w:r w:rsidRPr="001F521C">
        <w:rPr>
          <w:rFonts w:ascii="Cambria" w:hAnsi="Cambria" w:cs="TimesNewRoman"/>
          <w:sz w:val="20"/>
          <w:szCs w:val="20"/>
          <w:lang w:val="en-US" w:eastAsia="es-ES_tradnl"/>
        </w:rPr>
        <w:t>Cugat</w:t>
      </w:r>
      <w:proofErr w:type="spellEnd"/>
      <w:r w:rsidRPr="001F521C">
        <w:rPr>
          <w:rFonts w:ascii="Cambria" w:hAnsi="Cambria" w:cs="TimesNewRoman"/>
          <w:sz w:val="20"/>
          <w:szCs w:val="20"/>
          <w:lang w:val="en-US" w:eastAsia="es-ES_tradnl"/>
        </w:rPr>
        <w:t>, the driver of the vehicle where the arrest occurred, and a passenger who was present during the detention).</w:t>
      </w:r>
    </w:p>
    <w:p w14:paraId="14542226" w14:textId="77777777" w:rsidR="00AF28A1" w:rsidRPr="001F521C" w:rsidRDefault="00AF28A1"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NewRoman"/>
          <w:sz w:val="20"/>
          <w:szCs w:val="20"/>
          <w:lang w:val="en-US" w:eastAsia="es-ES_tradnl"/>
        </w:rPr>
      </w:pPr>
    </w:p>
    <w:p w14:paraId="7AAED921" w14:textId="6A5C831C" w:rsidR="00AF28A1" w:rsidRPr="001F521C" w:rsidRDefault="00A0432F"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 xml:space="preserve">Regarding the content of the statements made by the three persons who appear in the file before the Commission, the police officer stated that he arrested Marcos Alejandro Martin, but that he did not remember who </w:t>
      </w:r>
      <w:r w:rsidR="00732F60" w:rsidRPr="001F521C">
        <w:rPr>
          <w:rFonts w:ascii="Cambria" w:hAnsi="Cambria" w:cs="TimesNewRoman"/>
          <w:sz w:val="20"/>
          <w:szCs w:val="20"/>
          <w:lang w:val="en-US" w:eastAsia="es-ES_tradnl"/>
        </w:rPr>
        <w:t>confiscated</w:t>
      </w:r>
      <w:r w:rsidRPr="001F521C">
        <w:rPr>
          <w:rFonts w:ascii="Cambria" w:hAnsi="Cambria" w:cs="TimesNewRoman"/>
          <w:sz w:val="20"/>
          <w:szCs w:val="20"/>
          <w:lang w:val="en-US" w:eastAsia="es-ES_tradnl"/>
        </w:rPr>
        <w:t xml:space="preserve"> the weapon, hence relying on the statement of Mr. </w:t>
      </w:r>
      <w:proofErr w:type="spellStart"/>
      <w:r w:rsidRPr="001F521C">
        <w:rPr>
          <w:rFonts w:ascii="Cambria" w:hAnsi="Cambria" w:cs="TimesNewRoman"/>
          <w:sz w:val="20"/>
          <w:szCs w:val="20"/>
          <w:lang w:val="en-US" w:eastAsia="es-ES_tradnl"/>
        </w:rPr>
        <w:t>Cugat</w:t>
      </w:r>
      <w:proofErr w:type="spellEnd"/>
      <w:r w:rsidRPr="001F521C">
        <w:rPr>
          <w:rFonts w:ascii="Cambria" w:hAnsi="Cambria" w:cs="TimesNewRoman"/>
          <w:sz w:val="20"/>
          <w:szCs w:val="20"/>
          <w:lang w:val="en-US" w:eastAsia="es-ES_tradnl"/>
        </w:rPr>
        <w:t xml:space="preserve">. The passenger stated that, while on public transport, he was present when the police and Mr. </w:t>
      </w:r>
      <w:proofErr w:type="spellStart"/>
      <w:r w:rsidRPr="001F521C">
        <w:rPr>
          <w:rFonts w:ascii="Cambria" w:hAnsi="Cambria" w:cs="TimesNewRoman"/>
          <w:sz w:val="20"/>
          <w:szCs w:val="20"/>
          <w:lang w:val="en-US" w:eastAsia="es-ES_tradnl"/>
        </w:rPr>
        <w:t>Cugat</w:t>
      </w:r>
      <w:proofErr w:type="spellEnd"/>
      <w:r w:rsidRPr="001F521C">
        <w:rPr>
          <w:rFonts w:ascii="Cambria" w:hAnsi="Cambria" w:cs="TimesNewRoman"/>
          <w:sz w:val="20"/>
          <w:szCs w:val="20"/>
          <w:lang w:val="en-US" w:eastAsia="es-ES_tradnl"/>
        </w:rPr>
        <w:t xml:space="preserve"> went upstairs and found the </w:t>
      </w:r>
      <w:r w:rsidR="00183814" w:rsidRPr="001F521C">
        <w:rPr>
          <w:rFonts w:ascii="Cambria" w:hAnsi="Cambria" w:cs="TimesNewRoman"/>
          <w:sz w:val="20"/>
          <w:szCs w:val="20"/>
          <w:lang w:val="en-US" w:eastAsia="es-ES_tradnl"/>
        </w:rPr>
        <w:t>penknife</w:t>
      </w:r>
      <w:r w:rsidRPr="001F521C">
        <w:rPr>
          <w:rFonts w:ascii="Cambria" w:hAnsi="Cambria" w:cs="TimesNewRoman"/>
          <w:sz w:val="20"/>
          <w:szCs w:val="20"/>
          <w:lang w:val="en-US" w:eastAsia="es-ES_tradnl"/>
        </w:rPr>
        <w:t xml:space="preserve"> and the jacket "near" Marcos Alejandro Martin, whom th</w:t>
      </w:r>
      <w:r w:rsidR="00183814" w:rsidRPr="001F521C">
        <w:rPr>
          <w:rFonts w:ascii="Cambria" w:hAnsi="Cambria" w:cs="TimesNewRoman"/>
          <w:sz w:val="20"/>
          <w:szCs w:val="20"/>
          <w:lang w:val="en-US" w:eastAsia="es-ES_tradnl"/>
        </w:rPr>
        <w:t>ey arrested and read his rights</w:t>
      </w:r>
      <w:r w:rsidRPr="001F521C">
        <w:rPr>
          <w:rFonts w:ascii="Cambria" w:hAnsi="Cambria" w:cs="TimesNewRoman"/>
          <w:sz w:val="20"/>
          <w:szCs w:val="20"/>
          <w:lang w:val="en-US" w:eastAsia="es-ES_tradnl"/>
        </w:rPr>
        <w:t xml:space="preserve">. The public transport driver stated that he saw the police and Mr. </w:t>
      </w:r>
      <w:proofErr w:type="spellStart"/>
      <w:r w:rsidRPr="001F521C">
        <w:rPr>
          <w:rFonts w:ascii="Cambria" w:hAnsi="Cambria" w:cs="TimesNewRoman"/>
          <w:sz w:val="20"/>
          <w:szCs w:val="20"/>
          <w:lang w:val="en-US" w:eastAsia="es-ES_tradnl"/>
        </w:rPr>
        <w:t>Cugat</w:t>
      </w:r>
      <w:proofErr w:type="spellEnd"/>
      <w:r w:rsidRPr="001F521C">
        <w:rPr>
          <w:rFonts w:ascii="Cambria" w:hAnsi="Cambria" w:cs="TimesNewRoman"/>
          <w:sz w:val="20"/>
          <w:szCs w:val="20"/>
          <w:lang w:val="en-US" w:eastAsia="es-ES_tradnl"/>
        </w:rPr>
        <w:t xml:space="preserve"> as well as the arrest of a person and that a </w:t>
      </w:r>
      <w:r w:rsidR="00183814" w:rsidRPr="001F521C">
        <w:rPr>
          <w:rFonts w:ascii="Cambria" w:hAnsi="Cambria" w:cs="TimesNewRoman"/>
          <w:sz w:val="20"/>
          <w:szCs w:val="20"/>
          <w:lang w:val="en-US" w:eastAsia="es-ES_tradnl"/>
        </w:rPr>
        <w:t xml:space="preserve">penknife and a cap had been </w:t>
      </w:r>
      <w:r w:rsidR="00732F60" w:rsidRPr="001F521C">
        <w:rPr>
          <w:rFonts w:ascii="Cambria" w:hAnsi="Cambria" w:cs="TimesNewRoman"/>
          <w:sz w:val="20"/>
          <w:szCs w:val="20"/>
          <w:lang w:val="en-US" w:eastAsia="es-ES_tradnl"/>
        </w:rPr>
        <w:t>confiscated</w:t>
      </w:r>
      <w:r w:rsidRPr="001F521C">
        <w:rPr>
          <w:rFonts w:ascii="Cambria" w:hAnsi="Cambria" w:cs="TimesNewRoman"/>
          <w:sz w:val="20"/>
          <w:szCs w:val="20"/>
          <w:lang w:val="en-US" w:eastAsia="es-ES_tradnl"/>
        </w:rPr>
        <w:t>.</w:t>
      </w:r>
    </w:p>
    <w:p w14:paraId="4342E7C0" w14:textId="77777777" w:rsidR="00AF28A1" w:rsidRPr="001F521C" w:rsidRDefault="00AF28A1"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2DF8D47" w14:textId="05BB8EF2" w:rsidR="00183814" w:rsidRPr="001F521C" w:rsidRDefault="00183814"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 xml:space="preserve">It therefore follows that none of these three persons witnessed the occurrence of the crime, but only witnessed Mr. </w:t>
      </w:r>
      <w:proofErr w:type="spellStart"/>
      <w:r w:rsidRPr="001F521C">
        <w:rPr>
          <w:rFonts w:ascii="Cambria" w:hAnsi="Cambria" w:cs="TimesNewRoman"/>
          <w:sz w:val="20"/>
          <w:szCs w:val="20"/>
          <w:lang w:val="en-US" w:eastAsia="es-ES_tradnl"/>
        </w:rPr>
        <w:t>Cugat</w:t>
      </w:r>
      <w:proofErr w:type="spellEnd"/>
      <w:r w:rsidRPr="001F521C">
        <w:rPr>
          <w:rFonts w:ascii="Cambria" w:hAnsi="Cambria" w:cs="TimesNewRoman"/>
          <w:sz w:val="20"/>
          <w:szCs w:val="20"/>
          <w:lang w:val="en-US" w:eastAsia="es-ES_tradnl"/>
        </w:rPr>
        <w:t xml:space="preserve"> with the police to the public transport, as well as the arrest. Regarding the location of the penknife and the coat, the IACHR emphasizes that none of these persons stated that such objects were held by Mr. Martin, but that, according to one of the witnesses, </w:t>
      </w:r>
      <w:r w:rsidR="009C5DEF" w:rsidRPr="001F521C">
        <w:rPr>
          <w:rFonts w:ascii="Cambria" w:hAnsi="Cambria" w:cs="TimesNewRoman"/>
          <w:sz w:val="20"/>
          <w:szCs w:val="20"/>
          <w:lang w:val="en-US" w:eastAsia="es-ES_tradnl"/>
        </w:rPr>
        <w:t>they were</w:t>
      </w:r>
      <w:r w:rsidRPr="001F521C">
        <w:rPr>
          <w:rFonts w:ascii="Cambria" w:hAnsi="Cambria" w:cs="TimesNewRoman"/>
          <w:sz w:val="20"/>
          <w:szCs w:val="20"/>
          <w:lang w:val="en-US" w:eastAsia="es-ES_tradnl"/>
        </w:rPr>
        <w:t xml:space="preserve"> found </w:t>
      </w:r>
      <w:r w:rsidR="009C5DEF" w:rsidRPr="001F521C">
        <w:rPr>
          <w:rFonts w:ascii="Cambria" w:hAnsi="Cambria" w:cs="TimesNewRoman"/>
          <w:sz w:val="20"/>
          <w:szCs w:val="20"/>
          <w:lang w:val="en-US" w:eastAsia="es-ES_tradnl"/>
        </w:rPr>
        <w:t xml:space="preserve">“near” </w:t>
      </w:r>
      <w:r w:rsidRPr="001F521C">
        <w:rPr>
          <w:rFonts w:ascii="Cambria" w:hAnsi="Cambria" w:cs="TimesNewRoman"/>
          <w:sz w:val="20"/>
          <w:szCs w:val="20"/>
          <w:lang w:val="en-US" w:eastAsia="es-ES_tradnl"/>
        </w:rPr>
        <w:t xml:space="preserve">and the police officer said </w:t>
      </w:r>
      <w:r w:rsidR="009C5DEF" w:rsidRPr="001F521C">
        <w:rPr>
          <w:rFonts w:ascii="Cambria" w:hAnsi="Cambria" w:cs="TimesNewRoman"/>
          <w:sz w:val="20"/>
          <w:szCs w:val="20"/>
          <w:lang w:val="en-US" w:eastAsia="es-ES_tradnl"/>
        </w:rPr>
        <w:t xml:space="preserve">he did </w:t>
      </w:r>
      <w:r w:rsidRPr="001F521C">
        <w:rPr>
          <w:rFonts w:ascii="Cambria" w:hAnsi="Cambria" w:cs="TimesNewRoman"/>
          <w:sz w:val="20"/>
          <w:szCs w:val="20"/>
          <w:lang w:val="en-US" w:eastAsia="es-ES_tradnl"/>
        </w:rPr>
        <w:t>no</w:t>
      </w:r>
      <w:r w:rsidR="009C5DEF" w:rsidRPr="001F521C">
        <w:rPr>
          <w:rFonts w:ascii="Cambria" w:hAnsi="Cambria" w:cs="TimesNewRoman"/>
          <w:sz w:val="20"/>
          <w:szCs w:val="20"/>
          <w:lang w:val="en-US" w:eastAsia="es-ES_tradnl"/>
        </w:rPr>
        <w:t>t</w:t>
      </w:r>
      <w:r w:rsidRPr="001F521C">
        <w:rPr>
          <w:rFonts w:ascii="Cambria" w:hAnsi="Cambria" w:cs="TimesNewRoman"/>
          <w:sz w:val="20"/>
          <w:szCs w:val="20"/>
          <w:lang w:val="en-US" w:eastAsia="es-ES_tradnl"/>
        </w:rPr>
        <w:t xml:space="preserve"> remember who </w:t>
      </w:r>
      <w:r w:rsidR="009C5DEF" w:rsidRPr="001F521C">
        <w:rPr>
          <w:rFonts w:ascii="Cambria" w:hAnsi="Cambria" w:cs="TimesNewRoman"/>
          <w:sz w:val="20"/>
          <w:szCs w:val="20"/>
          <w:lang w:val="en-US" w:eastAsia="es-ES_tradnl"/>
        </w:rPr>
        <w:t xml:space="preserve">confiscated </w:t>
      </w:r>
      <w:r w:rsidRPr="001F521C">
        <w:rPr>
          <w:rFonts w:ascii="Cambria" w:hAnsi="Cambria" w:cs="TimesNewRoman"/>
          <w:sz w:val="20"/>
          <w:szCs w:val="20"/>
          <w:lang w:val="en-US" w:eastAsia="es-ES_tradnl"/>
        </w:rPr>
        <w:t xml:space="preserve">such objects. </w:t>
      </w:r>
      <w:r w:rsidR="009C5DEF" w:rsidRPr="001F521C">
        <w:rPr>
          <w:rFonts w:ascii="Cambria" w:hAnsi="Cambria" w:cs="TimesNewRoman"/>
          <w:sz w:val="20"/>
          <w:szCs w:val="20"/>
          <w:lang w:val="en-US" w:eastAsia="es-ES_tradnl"/>
        </w:rPr>
        <w:t>Therefore</w:t>
      </w:r>
      <w:r w:rsidRPr="001F521C">
        <w:rPr>
          <w:rFonts w:ascii="Cambria" w:hAnsi="Cambria" w:cs="TimesNewRoman"/>
          <w:sz w:val="20"/>
          <w:szCs w:val="20"/>
          <w:lang w:val="en-US" w:eastAsia="es-ES_tradnl"/>
        </w:rPr>
        <w:t xml:space="preserve">, it is clear that Mr. </w:t>
      </w:r>
      <w:proofErr w:type="spellStart"/>
      <w:r w:rsidRPr="001F521C">
        <w:rPr>
          <w:rFonts w:ascii="Cambria" w:hAnsi="Cambria" w:cs="TimesNewRoman"/>
          <w:sz w:val="20"/>
          <w:szCs w:val="20"/>
          <w:lang w:val="en-US" w:eastAsia="es-ES_tradnl"/>
        </w:rPr>
        <w:t>Cugat's</w:t>
      </w:r>
      <w:proofErr w:type="spellEnd"/>
      <w:r w:rsidRPr="001F521C">
        <w:rPr>
          <w:rFonts w:ascii="Cambria" w:hAnsi="Cambria" w:cs="TimesNewRoman"/>
          <w:sz w:val="20"/>
          <w:szCs w:val="20"/>
          <w:lang w:val="en-US" w:eastAsia="es-ES_tradnl"/>
        </w:rPr>
        <w:t xml:space="preserve"> testimonial statement constituted the fundamental </w:t>
      </w:r>
      <w:r w:rsidR="009C5DEF" w:rsidRPr="001F521C">
        <w:rPr>
          <w:rFonts w:ascii="Cambria" w:hAnsi="Cambria" w:cs="TimesNewRoman"/>
          <w:sz w:val="20"/>
          <w:szCs w:val="20"/>
          <w:lang w:val="en-US" w:eastAsia="es-ES_tradnl"/>
        </w:rPr>
        <w:t>evidence</w:t>
      </w:r>
      <w:r w:rsidRPr="001F521C">
        <w:rPr>
          <w:rFonts w:ascii="Cambria" w:hAnsi="Cambria" w:cs="TimesNewRoman"/>
          <w:sz w:val="20"/>
          <w:szCs w:val="20"/>
          <w:lang w:val="en-US" w:eastAsia="es-ES_tradnl"/>
        </w:rPr>
        <w:t xml:space="preserve"> as to the identification of Marcos Alejandro Martin as the author of the crime, as well as the fact that the coat and the </w:t>
      </w:r>
      <w:r w:rsidR="009C5DEF" w:rsidRPr="001F521C">
        <w:rPr>
          <w:rFonts w:ascii="Cambria" w:hAnsi="Cambria" w:cs="TimesNewRoman"/>
          <w:sz w:val="20"/>
          <w:szCs w:val="20"/>
          <w:lang w:val="en-US" w:eastAsia="es-ES_tradnl"/>
        </w:rPr>
        <w:t>pen</w:t>
      </w:r>
      <w:r w:rsidRPr="001F521C">
        <w:rPr>
          <w:rFonts w:ascii="Cambria" w:hAnsi="Cambria" w:cs="TimesNewRoman"/>
          <w:sz w:val="20"/>
          <w:szCs w:val="20"/>
          <w:lang w:val="en-US" w:eastAsia="es-ES_tradnl"/>
        </w:rPr>
        <w:t xml:space="preserve">knife were in his possession, both central elements for the determination of </w:t>
      </w:r>
      <w:r w:rsidR="009C5DEF" w:rsidRPr="001F521C">
        <w:rPr>
          <w:rFonts w:ascii="Cambria" w:hAnsi="Cambria" w:cs="TimesNewRoman"/>
          <w:sz w:val="20"/>
          <w:szCs w:val="20"/>
          <w:lang w:val="en-US" w:eastAsia="es-ES_tradnl"/>
        </w:rPr>
        <w:t>his</w:t>
      </w:r>
      <w:r w:rsidRPr="001F521C">
        <w:rPr>
          <w:rFonts w:ascii="Cambria" w:hAnsi="Cambria" w:cs="TimesNewRoman"/>
          <w:sz w:val="20"/>
          <w:szCs w:val="20"/>
          <w:lang w:val="en-US" w:eastAsia="es-ES_tradnl"/>
        </w:rPr>
        <w:t xml:space="preserve"> criminal responsibility.</w:t>
      </w:r>
    </w:p>
    <w:p w14:paraId="153BA601" w14:textId="77777777" w:rsidR="00183814" w:rsidRPr="001F521C" w:rsidRDefault="00183814" w:rsidP="001F521C">
      <w:pPr>
        <w:suppressAutoHyphens/>
        <w:spacing w:after="0" w:line="240" w:lineRule="auto"/>
        <w:jc w:val="both"/>
        <w:rPr>
          <w:rFonts w:ascii="Cambria" w:hAnsi="Cambria" w:cs="TimesNewRoman"/>
          <w:sz w:val="20"/>
          <w:szCs w:val="20"/>
          <w:lang w:eastAsia="es-ES_tradnl"/>
        </w:rPr>
      </w:pPr>
    </w:p>
    <w:p w14:paraId="2C5C1EB3" w14:textId="4E21C303" w:rsidR="00183814" w:rsidRPr="001F521C" w:rsidRDefault="009C5DEF"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 xml:space="preserve">The Commission reiterates that it is not for it to assess the evidence for the criminal responsibility of Marcos Alejandro Martin. However, it is incumbent upon it to assess, in the light of the principle of presumption of innocence and the right of defense, whether the test carried out with serious limitations to that right had a fundamental value in the judgement. As indicated above, the Inter-American </w:t>
      </w:r>
      <w:r w:rsidRPr="001F521C">
        <w:rPr>
          <w:rFonts w:ascii="Cambria" w:hAnsi="Cambria" w:cs="TimesNewRoman"/>
          <w:sz w:val="20"/>
          <w:szCs w:val="20"/>
          <w:lang w:val="en-US" w:eastAsia="es-ES_tradnl"/>
        </w:rPr>
        <w:lastRenderedPageBreak/>
        <w:t>Court and the European Court have pointed out that the conviction cannot be based "solely or decisively" on statements by witnesses in which the accused's rights have been limited.</w:t>
      </w:r>
      <w:r w:rsidR="00183814" w:rsidRPr="001F521C">
        <w:rPr>
          <w:rStyle w:val="FootnoteReference"/>
          <w:rFonts w:ascii="Cambria" w:hAnsi="Cambria" w:cs="ACaslonPro-Regular"/>
          <w:sz w:val="20"/>
          <w:szCs w:val="20"/>
          <w:lang w:val="en-US"/>
        </w:rPr>
        <w:footnoteReference w:id="64"/>
      </w:r>
    </w:p>
    <w:p w14:paraId="017A10B4" w14:textId="77777777" w:rsidR="00183814" w:rsidRPr="001F521C" w:rsidRDefault="00183814"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6F7A9CD" w14:textId="14F6AD45" w:rsidR="00755C45" w:rsidRPr="001F521C" w:rsidRDefault="00755C45"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 xml:space="preserve">Based on the above information, the Commission considers that the violation of the right of defense was particularly serious in the present case, taking into account that Mr. </w:t>
      </w:r>
      <w:proofErr w:type="spellStart"/>
      <w:r w:rsidRPr="001F521C">
        <w:rPr>
          <w:rFonts w:ascii="Cambria" w:hAnsi="Cambria" w:cs="TimesNewRoman"/>
          <w:sz w:val="20"/>
          <w:szCs w:val="20"/>
          <w:lang w:val="en-US" w:eastAsia="es-ES_tradnl"/>
        </w:rPr>
        <w:t>Cugat's</w:t>
      </w:r>
      <w:proofErr w:type="spellEnd"/>
      <w:r w:rsidRPr="001F521C">
        <w:rPr>
          <w:rFonts w:ascii="Cambria" w:hAnsi="Cambria" w:cs="TimesNewRoman"/>
          <w:sz w:val="20"/>
          <w:szCs w:val="20"/>
          <w:lang w:val="en-US" w:eastAsia="es-ES_tradnl"/>
        </w:rPr>
        <w:t xml:space="preserve"> testimonial statement had a fundamental value in the sentence. Likewise, the Commission considers that to give a strong probative value to evidence in violation of the rights of the defense, and essentially to condemn on the basis of </w:t>
      </w:r>
      <w:r w:rsidR="00557A4F" w:rsidRPr="001F521C">
        <w:rPr>
          <w:rFonts w:ascii="Cambria" w:hAnsi="Cambria" w:cs="TimesNewRoman"/>
          <w:sz w:val="20"/>
          <w:szCs w:val="20"/>
          <w:lang w:val="en-US" w:eastAsia="es-ES_tradnl"/>
        </w:rPr>
        <w:t>such</w:t>
      </w:r>
      <w:r w:rsidRPr="001F521C">
        <w:rPr>
          <w:rFonts w:ascii="Cambria" w:hAnsi="Cambria" w:cs="TimesNewRoman"/>
          <w:sz w:val="20"/>
          <w:szCs w:val="20"/>
          <w:lang w:val="en-US" w:eastAsia="es-ES_tradnl"/>
        </w:rPr>
        <w:t xml:space="preserve"> evidence, when there are no other elements of corroboration on aspects essential to determine the criminal responsibility of a person, also violates the principle of presumption of innocence.</w:t>
      </w:r>
    </w:p>
    <w:p w14:paraId="5639F836" w14:textId="77777777" w:rsidR="00755C45" w:rsidRPr="001F521C" w:rsidRDefault="00755C45"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NewRoman"/>
          <w:sz w:val="20"/>
          <w:szCs w:val="20"/>
          <w:lang w:val="en-US" w:eastAsia="es-ES_tradnl"/>
        </w:rPr>
      </w:pPr>
    </w:p>
    <w:p w14:paraId="08F40830" w14:textId="2803D036" w:rsidR="00755C45" w:rsidRPr="001F521C" w:rsidRDefault="00557A4F"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 xml:space="preserve">Mr. Martín filed an appeal against the conviction, which was declared inadmissible by the National Chamber of Criminal Cassation. In this regard, the IACHR notes that the Chamber recognized that, according to its own precedent, the inability to question a witness and the subsequent incorporation of "incriminating statements" by reading is a violation of the American Convention. However, he indicated that such a precedent was not applicable to the case. In support of this assertion, the </w:t>
      </w:r>
      <w:r w:rsidR="00490DE0" w:rsidRPr="001F521C">
        <w:rPr>
          <w:rFonts w:ascii="Cambria" w:hAnsi="Cambria" w:cs="TimesNewRoman"/>
          <w:sz w:val="20"/>
          <w:szCs w:val="20"/>
          <w:lang w:val="en-US" w:eastAsia="es-ES_tradnl"/>
        </w:rPr>
        <w:t>Chamber</w:t>
      </w:r>
      <w:r w:rsidRPr="001F521C">
        <w:rPr>
          <w:rFonts w:ascii="Cambria" w:hAnsi="Cambria" w:cs="TimesNewRoman"/>
          <w:sz w:val="20"/>
          <w:szCs w:val="20"/>
          <w:lang w:val="en-US" w:eastAsia="es-ES_tradnl"/>
        </w:rPr>
        <w:t xml:space="preserve"> referred to the "hypothetical method of mental suppression", according to which "the incriminating merit which led to the state of certainty [of conviction]" is not observed or proven to be affected. The Commission makes the following observations on this decision.</w:t>
      </w:r>
    </w:p>
    <w:p w14:paraId="14EAC161" w14:textId="77777777" w:rsidR="00755C45" w:rsidRPr="001F521C" w:rsidRDefault="00755C45"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 xml:space="preserve"> </w:t>
      </w:r>
    </w:p>
    <w:p w14:paraId="0D095299" w14:textId="13D200A2" w:rsidR="00755C45" w:rsidRPr="001F521C" w:rsidRDefault="00490DE0"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Fist, the Commission considers that the decision of the National Chamber of Criminal Cassation consolidates violations of the right to defense, the right to question witnesses and the principle of presumption of innocence, in the terms analyzed.</w:t>
      </w:r>
    </w:p>
    <w:p w14:paraId="15494563" w14:textId="77777777" w:rsidR="00755C45" w:rsidRPr="001F521C" w:rsidRDefault="00755C45"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31C64CE" w14:textId="19407A26" w:rsidR="00490DE0" w:rsidRPr="001F521C" w:rsidRDefault="00490DE0"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 xml:space="preserve">The Commission considers that, in order to guarantee the right of defense and the principle of presumption of innocence, in situations in which it is determined in the second instance that an evidence was received in violation of due process, </w:t>
      </w:r>
      <w:r w:rsidR="00BF2F2D" w:rsidRPr="001F521C">
        <w:rPr>
          <w:rFonts w:ascii="Cambria" w:hAnsi="Cambria" w:cs="TimesNewRoman"/>
          <w:sz w:val="20"/>
          <w:szCs w:val="20"/>
          <w:lang w:val="en-US" w:eastAsia="es-ES_tradnl"/>
        </w:rPr>
        <w:t xml:space="preserve"> the </w:t>
      </w:r>
      <w:r w:rsidRPr="001F521C">
        <w:rPr>
          <w:rFonts w:ascii="Cambria" w:hAnsi="Cambria" w:cs="TimesNewRoman"/>
          <w:sz w:val="20"/>
          <w:szCs w:val="20"/>
          <w:lang w:val="en-US" w:eastAsia="es-ES_tradnl"/>
        </w:rPr>
        <w:t xml:space="preserve">authority is to declare such a situation and return the case to the lower authority so that it excludes said evidence from the decision-making process and makes a new determination on </w:t>
      </w:r>
      <w:r w:rsidR="00BF2F2D" w:rsidRPr="001F521C">
        <w:rPr>
          <w:rFonts w:ascii="Cambria" w:hAnsi="Cambria" w:cs="TimesNewRoman"/>
          <w:sz w:val="20"/>
          <w:szCs w:val="20"/>
          <w:lang w:val="en-US" w:eastAsia="es-ES_tradnl"/>
        </w:rPr>
        <w:t xml:space="preserve">the </w:t>
      </w:r>
      <w:r w:rsidRPr="001F521C">
        <w:rPr>
          <w:rFonts w:ascii="Cambria" w:hAnsi="Cambria" w:cs="TimesNewRoman"/>
          <w:sz w:val="20"/>
          <w:szCs w:val="20"/>
          <w:lang w:val="en-US" w:eastAsia="es-ES_tradnl"/>
        </w:rPr>
        <w:t>criminal liability in the light of the remaining evidence or whether acquittal corresponds. This new determination must be able to count on a double conform.</w:t>
      </w:r>
    </w:p>
    <w:p w14:paraId="4353FD3D" w14:textId="77777777" w:rsidR="00490DE0" w:rsidRPr="001F521C" w:rsidRDefault="00490DE0"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n-US" w:eastAsia="es-ES_tradnl"/>
        </w:rPr>
      </w:pPr>
    </w:p>
    <w:p w14:paraId="0826F52A" w14:textId="7DDFA696" w:rsidR="00490DE0" w:rsidRPr="001F521C" w:rsidRDefault="00BF2F2D"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 xml:space="preserve">Second, the Commission stresses the language used by the Chamber in stating that "it has not been proven" that by eliminating Mr. </w:t>
      </w:r>
      <w:proofErr w:type="spellStart"/>
      <w:r w:rsidRPr="001F521C">
        <w:rPr>
          <w:rFonts w:ascii="Cambria" w:hAnsi="Cambria" w:cs="TimesNewRoman"/>
          <w:sz w:val="20"/>
          <w:szCs w:val="20"/>
          <w:lang w:val="en-US" w:eastAsia="es-ES_tradnl"/>
        </w:rPr>
        <w:t>Cugat's</w:t>
      </w:r>
      <w:proofErr w:type="spellEnd"/>
      <w:r w:rsidRPr="001F521C">
        <w:rPr>
          <w:rFonts w:ascii="Cambria" w:hAnsi="Cambria" w:cs="TimesNewRoman"/>
          <w:sz w:val="20"/>
          <w:szCs w:val="20"/>
          <w:lang w:val="en-US" w:eastAsia="es-ES_tradnl"/>
        </w:rPr>
        <w:t xml:space="preserve"> statement, "incriminating merit" is affected. The Chamber did not explain how the three statements coincided with what Mr. </w:t>
      </w:r>
      <w:proofErr w:type="spellStart"/>
      <w:r w:rsidRPr="001F521C">
        <w:rPr>
          <w:rFonts w:ascii="Cambria" w:hAnsi="Cambria" w:cs="TimesNewRoman"/>
          <w:sz w:val="20"/>
          <w:szCs w:val="20"/>
          <w:lang w:val="en-US" w:eastAsia="es-ES_tradnl"/>
        </w:rPr>
        <w:t>Cugat</w:t>
      </w:r>
      <w:proofErr w:type="spellEnd"/>
      <w:r w:rsidRPr="001F521C">
        <w:rPr>
          <w:rFonts w:ascii="Cambria" w:hAnsi="Cambria" w:cs="TimesNewRoman"/>
          <w:sz w:val="20"/>
          <w:szCs w:val="20"/>
          <w:lang w:val="en-US" w:eastAsia="es-ES_tradnl"/>
        </w:rPr>
        <w:t xml:space="preserve"> had pointed out. This, despite the fact that the statements of those persons are only relevant on the basis of Mr. </w:t>
      </w:r>
      <w:proofErr w:type="spellStart"/>
      <w:r w:rsidRPr="001F521C">
        <w:rPr>
          <w:rFonts w:ascii="Cambria" w:hAnsi="Cambria" w:cs="TimesNewRoman"/>
          <w:sz w:val="20"/>
          <w:szCs w:val="20"/>
          <w:lang w:val="en-US" w:eastAsia="es-ES_tradnl"/>
        </w:rPr>
        <w:t>Cugat's</w:t>
      </w:r>
      <w:proofErr w:type="spellEnd"/>
      <w:r w:rsidRPr="001F521C">
        <w:rPr>
          <w:rFonts w:ascii="Cambria" w:hAnsi="Cambria" w:cs="TimesNewRoman"/>
          <w:sz w:val="20"/>
          <w:szCs w:val="20"/>
          <w:lang w:val="en-US" w:eastAsia="es-ES_tradnl"/>
        </w:rPr>
        <w:t xml:space="preserve"> testimony, since, as indicated, none of them witnessed the robbery or stated that the </w:t>
      </w:r>
      <w:r w:rsidR="00EE5179" w:rsidRPr="001F521C">
        <w:rPr>
          <w:rFonts w:ascii="Cambria" w:hAnsi="Cambria" w:cs="TimesNewRoman"/>
          <w:sz w:val="20"/>
          <w:szCs w:val="20"/>
          <w:lang w:val="en-US" w:eastAsia="es-ES_tradnl"/>
        </w:rPr>
        <w:t>weapon</w:t>
      </w:r>
      <w:r w:rsidRPr="001F521C">
        <w:rPr>
          <w:rFonts w:ascii="Cambria" w:hAnsi="Cambria" w:cs="TimesNewRoman"/>
          <w:sz w:val="20"/>
          <w:szCs w:val="20"/>
          <w:lang w:val="en-US" w:eastAsia="es-ES_tradnl"/>
        </w:rPr>
        <w:t xml:space="preserve"> and coat were actually in Mr. Martin's possession. In that sense, the Chamber not only consolidated the violation of the principle of presumption of innocence, but </w:t>
      </w:r>
      <w:r w:rsidR="00EE5179" w:rsidRPr="001F521C">
        <w:rPr>
          <w:rFonts w:ascii="Cambria" w:hAnsi="Cambria" w:cs="TimesNewRoman"/>
          <w:sz w:val="20"/>
          <w:szCs w:val="20"/>
          <w:lang w:val="en-US" w:eastAsia="es-ES_tradnl"/>
        </w:rPr>
        <w:t>from</w:t>
      </w:r>
      <w:r w:rsidRPr="001F521C">
        <w:rPr>
          <w:rFonts w:ascii="Cambria" w:hAnsi="Cambria" w:cs="TimesNewRoman"/>
          <w:sz w:val="20"/>
          <w:szCs w:val="20"/>
          <w:lang w:val="en-US" w:eastAsia="es-ES_tradnl"/>
        </w:rPr>
        <w:t xml:space="preserve"> language of the </w:t>
      </w:r>
      <w:r w:rsidR="00EE5179" w:rsidRPr="001F521C">
        <w:rPr>
          <w:rFonts w:ascii="Cambria" w:hAnsi="Cambria" w:cs="TimesNewRoman"/>
          <w:sz w:val="20"/>
          <w:szCs w:val="20"/>
          <w:lang w:val="en-US" w:eastAsia="es-ES_tradnl"/>
        </w:rPr>
        <w:t>judgement</w:t>
      </w:r>
      <w:r w:rsidRPr="001F521C">
        <w:rPr>
          <w:rFonts w:ascii="Cambria" w:hAnsi="Cambria" w:cs="TimesNewRoman"/>
          <w:sz w:val="20"/>
          <w:szCs w:val="20"/>
          <w:lang w:val="en-US" w:eastAsia="es-ES_tradnl"/>
        </w:rPr>
        <w:t>, it is possible to affirm that it reversed the burden of proof.</w:t>
      </w:r>
    </w:p>
    <w:p w14:paraId="3709EED6" w14:textId="77777777" w:rsidR="00490DE0" w:rsidRPr="001F521C" w:rsidRDefault="00490DE0"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A0A7123" w14:textId="030C60BC" w:rsidR="00EE5179" w:rsidRPr="001F521C" w:rsidRDefault="00EE5179"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TimesNewRoman"/>
          <w:sz w:val="20"/>
          <w:szCs w:val="20"/>
          <w:lang w:val="en-US" w:eastAsia="es-ES_tradnl"/>
        </w:rPr>
        <w:t>The Commission considers that neither the cassation remedy nor the subsequent appeals constituted effective remedies to remedy the violations of due process against Marcos Alejandro Martin, which constituted a violation of the right to judicial protection.</w:t>
      </w:r>
    </w:p>
    <w:p w14:paraId="3DA30EB4" w14:textId="77777777" w:rsidR="00EE5179" w:rsidRPr="001F521C" w:rsidRDefault="00EE5179"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Batang" w:hAnsi="Cambria" w:cs="TimesNewRoman"/>
          <w:color w:val="auto"/>
          <w:sz w:val="20"/>
          <w:szCs w:val="20"/>
          <w:bdr w:val="none" w:sz="0" w:space="0" w:color="auto"/>
          <w:lang w:val="en-US" w:eastAsia="es-ES_tradnl"/>
        </w:rPr>
      </w:pPr>
    </w:p>
    <w:p w14:paraId="3377D1B4" w14:textId="40997809" w:rsidR="00EE5179" w:rsidRPr="001F521C" w:rsidRDefault="00EE5179"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n-US" w:eastAsia="es-ES_tradnl"/>
        </w:rPr>
      </w:pPr>
      <w:r w:rsidRPr="001F521C">
        <w:rPr>
          <w:rFonts w:ascii="Cambria" w:hAnsi="Cambria" w:cs="ACaslonPro-Regular"/>
          <w:sz w:val="20"/>
          <w:szCs w:val="20"/>
          <w:lang w:val="en-US"/>
        </w:rPr>
        <w:t>In the light of the foregoing, the Commission concludes that the State of Argentina is responsible for violating the rights of the defense, the principle of presumption of innocence, the right to question witnesses, the right to duly motivated decisions, right to appeal against the judgment and right to judicial protection, established in Articles 8.1, 8.2, 8.2 c), 8.2 f), 8.2 h) and 25.1 of the American Convention, in relation to Article 1 (1) thereof, in detriment of Marcos Alejandro Martín.</w:t>
      </w:r>
    </w:p>
    <w:p w14:paraId="45FDF0C4" w14:textId="77777777" w:rsidR="00EE5179" w:rsidRPr="001F521C" w:rsidRDefault="00EE5179"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C80EF32" w14:textId="0D3B27B1" w:rsidR="00EE5179" w:rsidRPr="001F521C" w:rsidRDefault="00EE5179" w:rsidP="001F521C">
      <w:pPr>
        <w:spacing w:after="0" w:line="240" w:lineRule="auto"/>
        <w:ind w:left="1440" w:hanging="720"/>
        <w:jc w:val="both"/>
        <w:outlineLvl w:val="1"/>
        <w:rPr>
          <w:rFonts w:ascii="Cambria" w:hAnsi="Cambria"/>
          <w:b/>
          <w:sz w:val="20"/>
          <w:szCs w:val="20"/>
        </w:rPr>
      </w:pPr>
      <w:bookmarkStart w:id="12" w:name="_Toc84429175"/>
      <w:r w:rsidRPr="001F521C">
        <w:rPr>
          <w:rFonts w:ascii="Cambria" w:hAnsi="Cambria"/>
          <w:b/>
          <w:sz w:val="20"/>
          <w:szCs w:val="20"/>
        </w:rPr>
        <w:t xml:space="preserve">B. </w:t>
      </w:r>
      <w:r w:rsidRPr="001F521C">
        <w:rPr>
          <w:rFonts w:ascii="Cambria" w:hAnsi="Cambria"/>
          <w:b/>
          <w:sz w:val="20"/>
          <w:szCs w:val="20"/>
        </w:rPr>
        <w:tab/>
        <w:t>Right to personal liberty (</w:t>
      </w:r>
      <w:r w:rsidR="000A6FA0" w:rsidRPr="001F521C">
        <w:rPr>
          <w:rFonts w:ascii="Cambria" w:hAnsi="Cambria"/>
          <w:b/>
          <w:sz w:val="20"/>
          <w:szCs w:val="20"/>
        </w:rPr>
        <w:t>Article</w:t>
      </w:r>
      <w:r w:rsidRPr="001F521C">
        <w:rPr>
          <w:rFonts w:ascii="Cambria" w:hAnsi="Cambria"/>
          <w:b/>
          <w:sz w:val="20"/>
          <w:szCs w:val="20"/>
        </w:rPr>
        <w:t xml:space="preserve"> 7</w:t>
      </w:r>
      <w:r w:rsidRPr="001F521C">
        <w:rPr>
          <w:rFonts w:ascii="Cambria" w:hAnsi="Cambria"/>
          <w:b/>
          <w:sz w:val="20"/>
          <w:szCs w:val="20"/>
          <w:vertAlign w:val="superscript"/>
        </w:rPr>
        <w:footnoteReference w:id="65"/>
      </w:r>
      <w:r w:rsidRPr="001F521C">
        <w:rPr>
          <w:rFonts w:ascii="Cambria" w:hAnsi="Cambria"/>
          <w:b/>
          <w:sz w:val="20"/>
          <w:szCs w:val="20"/>
        </w:rPr>
        <w:t xml:space="preserve"> of the American Convention, in relation to </w:t>
      </w:r>
      <w:r w:rsidR="000A6FA0" w:rsidRPr="001F521C">
        <w:rPr>
          <w:rFonts w:ascii="Cambria" w:hAnsi="Cambria"/>
          <w:b/>
          <w:sz w:val="20"/>
          <w:szCs w:val="20"/>
        </w:rPr>
        <w:t>Article</w:t>
      </w:r>
      <w:r w:rsidRPr="001F521C">
        <w:rPr>
          <w:rFonts w:ascii="Cambria" w:hAnsi="Cambria"/>
          <w:b/>
          <w:sz w:val="20"/>
          <w:szCs w:val="20"/>
        </w:rPr>
        <w:t xml:space="preserve"> 1.1 of such instrument)</w:t>
      </w:r>
      <w:bookmarkEnd w:id="12"/>
    </w:p>
    <w:p w14:paraId="49651666" w14:textId="77777777" w:rsidR="00EE5179" w:rsidRPr="001F521C" w:rsidRDefault="00EE5179" w:rsidP="001F521C">
      <w:pPr>
        <w:suppressAutoHyphens/>
        <w:spacing w:after="0" w:line="240" w:lineRule="auto"/>
        <w:jc w:val="both"/>
        <w:rPr>
          <w:rFonts w:ascii="Cambria" w:hAnsi="Cambria"/>
          <w:bCs/>
          <w:sz w:val="20"/>
          <w:szCs w:val="20"/>
        </w:rPr>
      </w:pPr>
    </w:p>
    <w:p w14:paraId="46191A9A" w14:textId="46B362EF" w:rsidR="00EE5179" w:rsidRPr="001F521C" w:rsidRDefault="00EE5179" w:rsidP="001F521C">
      <w:pPr>
        <w:numPr>
          <w:ilvl w:val="0"/>
          <w:numId w:val="2"/>
        </w:numPr>
        <w:spacing w:after="0" w:line="240" w:lineRule="auto"/>
        <w:jc w:val="both"/>
        <w:rPr>
          <w:rFonts w:ascii="Cambria" w:eastAsia="Times New Roman" w:hAnsi="Cambria"/>
          <w:bCs/>
          <w:color w:val="000000"/>
          <w:sz w:val="20"/>
          <w:szCs w:val="20"/>
          <w:u w:color="000000"/>
          <w:bdr w:val="nil"/>
          <w:lang w:eastAsia="es-ES"/>
        </w:rPr>
      </w:pPr>
      <w:r w:rsidRPr="001F521C">
        <w:rPr>
          <w:rFonts w:ascii="Cambria" w:eastAsia="Times New Roman" w:hAnsi="Cambria"/>
          <w:bCs/>
          <w:color w:val="000000"/>
          <w:sz w:val="20"/>
          <w:szCs w:val="20"/>
          <w:u w:color="000000"/>
          <w:bdr w:val="nil"/>
          <w:lang w:eastAsia="es-ES"/>
        </w:rPr>
        <w:t>The Commission has argued that, under certain circumstances, human rights violations when making decisions related to the freedom of a person may render arbitrary the detention that may result from such decisions.</w:t>
      </w:r>
      <w:r w:rsidRPr="001F521C">
        <w:rPr>
          <w:rFonts w:ascii="Cambria" w:eastAsia="Times New Roman" w:hAnsi="Cambria"/>
          <w:bCs/>
          <w:color w:val="000000"/>
          <w:sz w:val="20"/>
          <w:szCs w:val="20"/>
          <w:u w:color="000000"/>
          <w:bdr w:val="nil"/>
          <w:vertAlign w:val="superscript"/>
          <w:lang w:eastAsia="es-ES"/>
        </w:rPr>
        <w:footnoteReference w:id="66"/>
      </w:r>
      <w:r w:rsidRPr="001F521C">
        <w:rPr>
          <w:rFonts w:ascii="Cambria" w:eastAsia="Times New Roman" w:hAnsi="Cambria"/>
          <w:bCs/>
          <w:color w:val="000000"/>
          <w:sz w:val="20"/>
          <w:szCs w:val="20"/>
          <w:u w:color="000000"/>
          <w:bdr w:val="nil"/>
          <w:lang w:eastAsia="es-ES"/>
        </w:rPr>
        <w:t xml:space="preserve"> In a similar way, the Court has considered that the violation of judicial guarantees may have the effect of vitiating the process, as well as the consequences thereof, including the detention of a person.</w:t>
      </w:r>
      <w:r w:rsidRPr="001F521C">
        <w:rPr>
          <w:rFonts w:ascii="Cambria" w:eastAsia="Times New Roman" w:hAnsi="Cambria"/>
          <w:bCs/>
          <w:color w:val="000000"/>
          <w:sz w:val="20"/>
          <w:szCs w:val="20"/>
          <w:u w:color="000000"/>
          <w:bdr w:val="nil"/>
          <w:vertAlign w:val="superscript"/>
          <w:lang w:eastAsia="es-ES"/>
        </w:rPr>
        <w:footnoteReference w:id="67"/>
      </w:r>
      <w:r w:rsidRPr="001F521C">
        <w:rPr>
          <w:rFonts w:ascii="Cambria" w:eastAsia="Times New Roman" w:hAnsi="Cambria"/>
          <w:bCs/>
          <w:color w:val="000000"/>
          <w:sz w:val="20"/>
          <w:szCs w:val="20"/>
          <w:u w:color="000000"/>
          <w:bdr w:val="nil"/>
          <w:lang w:eastAsia="es-ES"/>
        </w:rPr>
        <w:t xml:space="preserve"> For example, one of the criteria taken into account by the UN Working Group on Arbitrary Detention to determine when a deprivation of liberty may be considered arbitrary is defined in the following terms: </w:t>
      </w:r>
    </w:p>
    <w:p w14:paraId="4C1E4DBA" w14:textId="77777777" w:rsidR="00EE5179" w:rsidRPr="001F521C" w:rsidRDefault="00EE5179" w:rsidP="001F521C">
      <w:pPr>
        <w:suppressAutoHyphens/>
        <w:spacing w:after="0" w:line="240" w:lineRule="auto"/>
        <w:jc w:val="both"/>
        <w:rPr>
          <w:rFonts w:ascii="Cambria" w:hAnsi="Cambria"/>
          <w:bCs/>
          <w:sz w:val="20"/>
          <w:szCs w:val="20"/>
        </w:rPr>
      </w:pPr>
    </w:p>
    <w:p w14:paraId="4198B2DC" w14:textId="11DEFCEF" w:rsidR="00EE5179" w:rsidRPr="001F521C" w:rsidRDefault="00EE5179" w:rsidP="001F521C">
      <w:pPr>
        <w:suppressAutoHyphens/>
        <w:spacing w:after="0" w:line="240" w:lineRule="auto"/>
        <w:ind w:left="708" w:right="720"/>
        <w:jc w:val="both"/>
        <w:rPr>
          <w:rFonts w:ascii="Cambria" w:hAnsi="Cambria"/>
          <w:bCs/>
          <w:sz w:val="20"/>
          <w:szCs w:val="20"/>
        </w:rPr>
      </w:pPr>
      <w:r w:rsidRPr="001F521C">
        <w:rPr>
          <w:rFonts w:ascii="Cambria" w:hAnsi="Cambria"/>
          <w:bCs/>
          <w:sz w:val="20"/>
          <w:szCs w:val="20"/>
        </w:rPr>
        <w:t xml:space="preserve">[T]he failure to comply, in whole or in part, with the international standards relating to the right to a fair trial, established in the relevant international instruments accepted by the States concerned, is of such serious gravity </w:t>
      </w:r>
      <w:r w:rsidR="004B0E3F" w:rsidRPr="001F521C">
        <w:rPr>
          <w:rFonts w:ascii="Cambria" w:hAnsi="Cambria"/>
          <w:bCs/>
          <w:sz w:val="20"/>
          <w:szCs w:val="20"/>
        </w:rPr>
        <w:t>that it provided the imprisonment with the</w:t>
      </w:r>
      <w:r w:rsidRPr="001F521C">
        <w:rPr>
          <w:rFonts w:ascii="Cambria" w:hAnsi="Cambria"/>
          <w:bCs/>
          <w:sz w:val="20"/>
          <w:szCs w:val="20"/>
        </w:rPr>
        <w:t xml:space="preserve"> character </w:t>
      </w:r>
      <w:r w:rsidR="004B0E3F" w:rsidRPr="001F521C">
        <w:rPr>
          <w:rFonts w:ascii="Cambria" w:hAnsi="Cambria"/>
          <w:bCs/>
          <w:sz w:val="20"/>
          <w:szCs w:val="20"/>
        </w:rPr>
        <w:t>of arbitrary.</w:t>
      </w:r>
      <w:r w:rsidRPr="001F521C">
        <w:rPr>
          <w:rFonts w:ascii="Cambria" w:hAnsi="Cambria"/>
          <w:bCs/>
          <w:sz w:val="20"/>
          <w:szCs w:val="20"/>
          <w:vertAlign w:val="superscript"/>
        </w:rPr>
        <w:footnoteReference w:id="68"/>
      </w:r>
      <w:r w:rsidRPr="001F521C">
        <w:rPr>
          <w:rFonts w:ascii="Cambria" w:hAnsi="Cambria"/>
          <w:bCs/>
          <w:sz w:val="20"/>
          <w:szCs w:val="20"/>
        </w:rPr>
        <w:t xml:space="preserve">  </w:t>
      </w:r>
    </w:p>
    <w:p w14:paraId="1A12770B" w14:textId="77777777" w:rsidR="00EE5179" w:rsidRPr="001F521C" w:rsidRDefault="00EE5179" w:rsidP="001F521C">
      <w:pPr>
        <w:suppressAutoHyphens/>
        <w:spacing w:after="0" w:line="240" w:lineRule="auto"/>
        <w:jc w:val="both"/>
        <w:rPr>
          <w:rFonts w:ascii="Cambria" w:hAnsi="Cambria"/>
          <w:bCs/>
          <w:sz w:val="20"/>
          <w:szCs w:val="20"/>
        </w:rPr>
      </w:pPr>
    </w:p>
    <w:p w14:paraId="516DA1A9" w14:textId="52C92862" w:rsidR="00EE5179" w:rsidRPr="001F521C" w:rsidRDefault="004B0E3F" w:rsidP="001F521C">
      <w:pPr>
        <w:numPr>
          <w:ilvl w:val="0"/>
          <w:numId w:val="2"/>
        </w:numPr>
        <w:spacing w:after="0" w:line="240" w:lineRule="auto"/>
        <w:jc w:val="both"/>
        <w:rPr>
          <w:rFonts w:ascii="Cambria" w:eastAsia="Times New Roman" w:hAnsi="Cambria"/>
          <w:bCs/>
          <w:color w:val="000000"/>
          <w:sz w:val="20"/>
          <w:szCs w:val="20"/>
          <w:u w:color="000000"/>
          <w:bdr w:val="nil"/>
          <w:lang w:eastAsia="es-ES"/>
        </w:rPr>
      </w:pPr>
      <w:r w:rsidRPr="001F521C">
        <w:rPr>
          <w:rFonts w:ascii="Cambria" w:eastAsia="Times New Roman" w:hAnsi="Cambria"/>
          <w:bCs/>
          <w:color w:val="000000"/>
          <w:sz w:val="20"/>
          <w:szCs w:val="20"/>
          <w:u w:color="000000"/>
          <w:bdr w:val="nil"/>
          <w:lang w:eastAsia="es-ES"/>
        </w:rPr>
        <w:t>Therefore, the Commission finds that although the deprivation of liberty of Marcos Alejandro Martín was based on a conviction issued by a judicial authority, it became arbitrary.</w:t>
      </w:r>
      <w:r w:rsidR="00EE5179" w:rsidRPr="001F521C">
        <w:rPr>
          <w:rFonts w:ascii="Cambria" w:eastAsia="Times New Roman" w:hAnsi="Cambria"/>
          <w:bCs/>
          <w:color w:val="000000"/>
          <w:sz w:val="20"/>
          <w:szCs w:val="20"/>
          <w:u w:color="000000"/>
          <w:bdr w:val="nil"/>
          <w:vertAlign w:val="superscript"/>
          <w:lang w:eastAsia="es-ES"/>
        </w:rPr>
        <w:footnoteReference w:id="69"/>
      </w:r>
      <w:r w:rsidR="00EE5179" w:rsidRPr="001F521C">
        <w:rPr>
          <w:rFonts w:ascii="Cambria" w:eastAsia="Times New Roman" w:hAnsi="Cambria"/>
          <w:bCs/>
          <w:color w:val="000000"/>
          <w:sz w:val="20"/>
          <w:szCs w:val="20"/>
          <w:u w:color="000000"/>
          <w:bdr w:val="nil"/>
          <w:lang w:eastAsia="es-ES"/>
        </w:rPr>
        <w:t xml:space="preserve"> </w:t>
      </w:r>
      <w:r w:rsidRPr="001F521C">
        <w:rPr>
          <w:rFonts w:ascii="Cambria" w:eastAsia="Times New Roman" w:hAnsi="Cambria" w:cs="Arial"/>
          <w:color w:val="000000"/>
          <w:sz w:val="20"/>
          <w:szCs w:val="20"/>
          <w:u w:color="000000"/>
          <w:bdr w:val="nil"/>
          <w:lang w:eastAsia="es-ES"/>
        </w:rPr>
        <w:t>The Commission has pointed out that individuals can only be subject to a restriction of their freedom by means of a judgment based on criminal proceedings during which they have had the opportunity to defend themselves,</w:t>
      </w:r>
      <w:r w:rsidR="00EE5179" w:rsidRPr="001F521C">
        <w:rPr>
          <w:rFonts w:ascii="Cambria" w:eastAsia="Times New Roman" w:hAnsi="Cambria" w:cs="Arial"/>
          <w:color w:val="000000"/>
          <w:sz w:val="20"/>
          <w:szCs w:val="20"/>
          <w:u w:color="000000"/>
          <w:bdr w:val="nil"/>
          <w:vertAlign w:val="superscript"/>
          <w:lang w:eastAsia="es-ES"/>
        </w:rPr>
        <w:footnoteReference w:id="70"/>
      </w:r>
      <w:r w:rsidRPr="001F521C">
        <w:rPr>
          <w:rFonts w:ascii="Cambria" w:eastAsia="Times New Roman" w:hAnsi="Cambria" w:cs="Arial"/>
          <w:color w:val="000000"/>
          <w:sz w:val="20"/>
          <w:szCs w:val="20"/>
          <w:u w:color="000000"/>
          <w:bdr w:val="nil"/>
          <w:lang w:eastAsia="es-ES"/>
        </w:rPr>
        <w:t xml:space="preserve"> situation that was not presented in the current case, as discussed in the previous section.</w:t>
      </w:r>
      <w:r w:rsidRPr="001F521C">
        <w:rPr>
          <w:rFonts w:ascii="Cambria" w:hAnsi="Cambria"/>
          <w:sz w:val="20"/>
          <w:szCs w:val="20"/>
        </w:rPr>
        <w:t xml:space="preserve"> </w:t>
      </w:r>
      <w:r w:rsidRPr="001F521C">
        <w:rPr>
          <w:rFonts w:ascii="Cambria" w:eastAsia="Times New Roman" w:hAnsi="Cambria" w:cs="Arial"/>
          <w:color w:val="000000"/>
          <w:sz w:val="20"/>
          <w:szCs w:val="20"/>
          <w:u w:color="000000"/>
          <w:bdr w:val="nil"/>
          <w:lang w:eastAsia="es-ES"/>
        </w:rPr>
        <w:t>In this regard, the Commission concludes that the State violated Articles 7.1 and 7.3 of the American Convention, in relation to Article 1.1 thereof, to the detriment of Marcos Alejandro Martín.</w:t>
      </w:r>
    </w:p>
    <w:p w14:paraId="6A883A9F" w14:textId="77777777" w:rsidR="00FD77E1" w:rsidRPr="00D7012D" w:rsidRDefault="00FD77E1" w:rsidP="00E660C5">
      <w:pPr>
        <w:pStyle w:val="BodyText3"/>
        <w:spacing w:after="0" w:line="240" w:lineRule="auto"/>
        <w:ind w:left="1440" w:right="380" w:hanging="720"/>
        <w:jc w:val="both"/>
      </w:pPr>
      <w:bookmarkStart w:id="13" w:name="_Toc346449098"/>
      <w:bookmarkStart w:id="14" w:name="_Toc474398504"/>
      <w:bookmarkStart w:id="15" w:name="_Toc480636780"/>
    </w:p>
    <w:p w14:paraId="2C5C210A" w14:textId="33DF5A02" w:rsidR="001F521C" w:rsidRPr="00D7012D" w:rsidRDefault="001F521C"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1B6FEB">
        <w:rPr>
          <w:rFonts w:ascii="Cambria" w:hAnsi="Cambria"/>
          <w:sz w:val="20"/>
          <w:szCs w:val="20"/>
          <w:lang w:val="en-US"/>
        </w:rPr>
        <w:t xml:space="preserve">The </w:t>
      </w:r>
      <w:r w:rsidRPr="00D7012D">
        <w:rPr>
          <w:rFonts w:ascii="Cambria" w:hAnsi="Cambria"/>
          <w:sz w:val="20"/>
          <w:szCs w:val="20"/>
          <w:lang w:val="en-US"/>
        </w:rPr>
        <w:t xml:space="preserve">Commission adopted the merits report No. 95/17 on September 5, </w:t>
      </w:r>
      <w:proofErr w:type="gramStart"/>
      <w:r w:rsidRPr="00D7012D">
        <w:rPr>
          <w:rFonts w:ascii="Cambria" w:hAnsi="Cambria"/>
          <w:sz w:val="20"/>
          <w:szCs w:val="20"/>
          <w:lang w:val="en-US"/>
        </w:rPr>
        <w:t>2017</w:t>
      </w:r>
      <w:proofErr w:type="gramEnd"/>
      <w:r w:rsidRPr="00D7012D">
        <w:rPr>
          <w:rFonts w:ascii="Cambria" w:hAnsi="Cambria"/>
          <w:sz w:val="20"/>
          <w:szCs w:val="20"/>
          <w:lang w:val="en-US"/>
        </w:rPr>
        <w:t xml:space="preserve"> and transmitted it to the State on September 28 of the same year. In said report, the Commission recommended:</w:t>
      </w:r>
    </w:p>
    <w:p w14:paraId="0909432C" w14:textId="77777777" w:rsidR="001F521C" w:rsidRPr="00D7012D" w:rsidRDefault="001F521C"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420196DB" w14:textId="77777777" w:rsidR="001F521C" w:rsidRPr="00D7012D" w:rsidRDefault="001F521C" w:rsidP="001F521C">
      <w:pPr>
        <w:pStyle w:val="BodyText3"/>
        <w:spacing w:after="0" w:line="240" w:lineRule="auto"/>
        <w:ind w:left="1440" w:right="380" w:hanging="720"/>
        <w:jc w:val="both"/>
        <w:rPr>
          <w:rFonts w:ascii="Cambria" w:hAnsi="Cambria"/>
          <w:sz w:val="20"/>
          <w:szCs w:val="20"/>
        </w:rPr>
      </w:pPr>
      <w:r w:rsidRPr="00D7012D">
        <w:rPr>
          <w:rFonts w:ascii="Cambria" w:hAnsi="Cambria"/>
          <w:sz w:val="20"/>
          <w:szCs w:val="20"/>
        </w:rPr>
        <w:t xml:space="preserve">1. </w:t>
      </w:r>
      <w:r w:rsidRPr="00D7012D">
        <w:rPr>
          <w:rFonts w:ascii="Cambria" w:hAnsi="Cambria"/>
          <w:sz w:val="20"/>
          <w:szCs w:val="20"/>
        </w:rPr>
        <w:tab/>
        <w:t>Adopt the necessary measures to render ineffective the sentence against Marcos Alejandro Martín.</w:t>
      </w:r>
    </w:p>
    <w:p w14:paraId="52052EA4" w14:textId="77777777" w:rsidR="001F521C" w:rsidRPr="00D7012D" w:rsidRDefault="001F521C" w:rsidP="001F521C">
      <w:pPr>
        <w:pStyle w:val="BodyText3"/>
        <w:spacing w:after="0" w:line="240" w:lineRule="auto"/>
        <w:ind w:left="1440" w:right="380" w:hanging="720"/>
        <w:jc w:val="both"/>
        <w:rPr>
          <w:rFonts w:ascii="Cambria" w:hAnsi="Cambria"/>
          <w:sz w:val="20"/>
          <w:szCs w:val="20"/>
        </w:rPr>
      </w:pPr>
    </w:p>
    <w:p w14:paraId="2BDB36AD" w14:textId="77777777" w:rsidR="001F521C" w:rsidRPr="00D7012D" w:rsidRDefault="001F521C" w:rsidP="001F521C">
      <w:pPr>
        <w:pStyle w:val="BodyText3"/>
        <w:spacing w:after="0" w:line="240" w:lineRule="auto"/>
        <w:ind w:left="1440" w:right="380" w:hanging="720"/>
        <w:jc w:val="both"/>
        <w:rPr>
          <w:rFonts w:ascii="Cambria" w:hAnsi="Cambria"/>
          <w:sz w:val="20"/>
          <w:szCs w:val="20"/>
        </w:rPr>
      </w:pPr>
      <w:r w:rsidRPr="00D7012D">
        <w:rPr>
          <w:rFonts w:ascii="Cambria" w:hAnsi="Cambria"/>
          <w:sz w:val="20"/>
          <w:szCs w:val="20"/>
        </w:rPr>
        <w:t xml:space="preserve">2. </w:t>
      </w:r>
      <w:r w:rsidRPr="00D7012D">
        <w:rPr>
          <w:rFonts w:ascii="Cambria" w:hAnsi="Cambria"/>
          <w:sz w:val="20"/>
          <w:szCs w:val="20"/>
        </w:rPr>
        <w:tab/>
      </w:r>
      <w:r w:rsidRPr="00D7012D">
        <w:rPr>
          <w:rFonts w:ascii="Cambria" w:hAnsi="Cambria" w:cs="Tahoma"/>
          <w:sz w:val="20"/>
          <w:szCs w:val="20"/>
        </w:rPr>
        <w:t>To fully remedy the human rights violations declared in this report, both in material and non-material terms. To this end, the State must adopt measures of economic compensation and satisfaction in favor of the victim.</w:t>
      </w:r>
    </w:p>
    <w:p w14:paraId="6F12DEFE" w14:textId="4617934B" w:rsidR="001F521C" w:rsidRPr="00D7012D" w:rsidRDefault="001F521C" w:rsidP="001F52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785E6B7B" w14:textId="142A05A9" w:rsidR="001F521C" w:rsidRPr="00D7012D" w:rsidRDefault="001F521C"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In the process followed after the notification of the merits report, the Commission received several reports from the State and briefs from the petitioners regarding the compliance with the recommendations established by the IACHR. During this period, the Commission granted six extensions to the State for the suspension of the term established in Article 51 of the American Convention. In these requests for extension the Argentine State reiterated its willingness to comply with the recommendations. Likewise, it expressly waived its right to file preliminary objections for breach of the aforementioned deadline in the event that the case were submitted to the Inter-American Court.</w:t>
      </w:r>
    </w:p>
    <w:p w14:paraId="594E4498" w14:textId="77777777" w:rsidR="001F521C" w:rsidRPr="00D7012D" w:rsidRDefault="001F521C" w:rsidP="001F521C">
      <w:pPr>
        <w:pStyle w:val="BodyTextIndent"/>
        <w:ind w:left="2880" w:firstLine="0"/>
        <w:jc w:val="both"/>
        <w:rPr>
          <w:rFonts w:ascii="Cambria" w:hAnsi="Cambria"/>
          <w:sz w:val="20"/>
          <w:szCs w:val="20"/>
          <w:lang w:val="en-US"/>
        </w:rPr>
      </w:pPr>
    </w:p>
    <w:p w14:paraId="425E6667" w14:textId="77777777" w:rsidR="00850B52" w:rsidRPr="00D7012D" w:rsidRDefault="00850B52" w:rsidP="00850B52">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The IACHR notes that on June 12, 2018, the parties signed an "Agreement on Compliance with Recommendations." Likewise, the Commission observes that on March 18, 2019 said agreement was approved by Executive Decree No. 201/2019 and published the next day in the Official Gazette.</w:t>
      </w:r>
    </w:p>
    <w:p w14:paraId="0D26C198" w14:textId="77777777" w:rsidR="00850B52" w:rsidRPr="00D7012D" w:rsidRDefault="00850B52" w:rsidP="00850B5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2DA70AC6" w14:textId="6C3011B2" w:rsidR="00FD77E1" w:rsidRPr="00D7012D" w:rsidRDefault="00850B52" w:rsidP="00850B52">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 xml:space="preserve">The Commission observes that the Agreement on Compliance with Recommendations states that the State will adopt the following measures: </w:t>
      </w:r>
      <w:proofErr w:type="spellStart"/>
      <w:r w:rsidRPr="00D7012D">
        <w:rPr>
          <w:rFonts w:ascii="Cambria" w:hAnsi="Cambria"/>
          <w:sz w:val="20"/>
          <w:szCs w:val="20"/>
          <w:lang w:val="en-US"/>
        </w:rPr>
        <w:t>i</w:t>
      </w:r>
      <w:proofErr w:type="spellEnd"/>
      <w:r w:rsidRPr="00D7012D">
        <w:rPr>
          <w:rFonts w:ascii="Cambria" w:hAnsi="Cambria"/>
          <w:sz w:val="20"/>
          <w:szCs w:val="20"/>
          <w:lang w:val="en-US"/>
        </w:rPr>
        <w:t xml:space="preserve">) an ad-hoc tribunal will be set up to determine the amount of compensation that corresponds; ii) the agreement will be published in a newspaper of national scope; and iii) medical and/or psychological attention will be provided to the victim if requested. Likewise, the State </w:t>
      </w:r>
      <w:r w:rsidRPr="00D7012D">
        <w:rPr>
          <w:rFonts w:ascii="Cambria" w:hAnsi="Cambria"/>
          <w:sz w:val="20"/>
          <w:szCs w:val="20"/>
          <w:lang w:val="en-US"/>
        </w:rPr>
        <w:lastRenderedPageBreak/>
        <w:t>reported that the record of the sentence imposed on the victim expired and that neither the National Recidivism Registry nor the Argentine Federal Police have records on said conviction. It added that without prejudice to this, it undertakes to inform any court that the petitioners indicate that the sentence against the victim is rendered null and void.</w:t>
      </w:r>
    </w:p>
    <w:p w14:paraId="0B23DA3F" w14:textId="77777777" w:rsidR="00850B52" w:rsidRPr="00D7012D" w:rsidRDefault="00850B52" w:rsidP="00850B5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2A6A7554" w14:textId="46E16EEA" w:rsidR="00850B52" w:rsidRPr="00D7012D" w:rsidRDefault="00850B52" w:rsidP="00850B52">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The IACHR values the measures adopted by the State to reach an agreement on compliance with recommendations with the petitioners. The Commission observes that, as the petitioners has argued and has not been contested by the State, said measures are pending compliance.</w:t>
      </w:r>
    </w:p>
    <w:p w14:paraId="3D506FFB" w14:textId="77777777" w:rsidR="00850B52" w:rsidRPr="00D7012D" w:rsidRDefault="00850B52" w:rsidP="00850B52">
      <w:pPr>
        <w:spacing w:after="0" w:line="240" w:lineRule="auto"/>
        <w:rPr>
          <w:rFonts w:ascii="Cambria" w:hAnsi="Cambria"/>
          <w:sz w:val="20"/>
          <w:szCs w:val="20"/>
        </w:rPr>
      </w:pPr>
    </w:p>
    <w:p w14:paraId="5168D216" w14:textId="0E87676F" w:rsidR="00850B52" w:rsidRPr="00D7012D" w:rsidRDefault="00850B52" w:rsidP="00850B52">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 xml:space="preserve">After evaluating the information available on the status of compliance with the recommendations, the Commission decided on April 26, 2019, by absolute majority, not to send the case to the Inter-American Court and to proceed with the publication of the merits report. </w:t>
      </w:r>
    </w:p>
    <w:p w14:paraId="5BFBDEFC" w14:textId="77777777" w:rsidR="00FD77E1" w:rsidRPr="00D7012D" w:rsidRDefault="00FD77E1" w:rsidP="001F521C">
      <w:pPr>
        <w:spacing w:after="0" w:line="240" w:lineRule="auto"/>
        <w:rPr>
          <w:rFonts w:ascii="Cambria" w:hAnsi="Cambria"/>
          <w:sz w:val="20"/>
          <w:szCs w:val="20"/>
        </w:rPr>
      </w:pPr>
    </w:p>
    <w:p w14:paraId="0AB1E8C8" w14:textId="21DDC39C" w:rsidR="00850B52" w:rsidRPr="00D7012D" w:rsidRDefault="00850B52" w:rsidP="00850B52">
      <w:pPr>
        <w:pStyle w:val="Heading1"/>
        <w:ind w:left="1440" w:hanging="720"/>
        <w:rPr>
          <w:lang w:val="en-US"/>
        </w:rPr>
      </w:pPr>
      <w:bookmarkStart w:id="16" w:name="_Toc511825784"/>
      <w:bookmarkStart w:id="17" w:name="_Toc84429176"/>
      <w:r w:rsidRPr="00D7012D">
        <w:rPr>
          <w:lang w:val="en-US"/>
        </w:rPr>
        <w:t>PROCEEDINGS SUBSEQUENT TO REPORT No. 98/1</w:t>
      </w:r>
      <w:bookmarkEnd w:id="16"/>
      <w:r w:rsidRPr="00D7012D">
        <w:rPr>
          <w:lang w:val="en-US"/>
        </w:rPr>
        <w:t>9 AND INFORMATION ABOUT COMPLIANCE</w:t>
      </w:r>
      <w:bookmarkEnd w:id="17"/>
    </w:p>
    <w:p w14:paraId="53A5F9E8" w14:textId="77777777" w:rsidR="00850B52" w:rsidRPr="00D7012D" w:rsidRDefault="00850B52" w:rsidP="00850B52">
      <w:pPr>
        <w:spacing w:after="0" w:line="240" w:lineRule="auto"/>
      </w:pPr>
    </w:p>
    <w:p w14:paraId="3D4BCAF8" w14:textId="2ED9791F" w:rsidR="00850B52" w:rsidRPr="00D7012D" w:rsidRDefault="00850B52" w:rsidP="00850B52">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 xml:space="preserve">The Commission adopted Merits Report No. 98/19 (final) on June 17, 2019 and transmitted it to the State on July 3 of the same year, granting it a period of two months to inform the IACHR on the measures adopted to comply with its recommendations. </w:t>
      </w:r>
    </w:p>
    <w:p w14:paraId="1FB669FB" w14:textId="77777777" w:rsidR="00850B52" w:rsidRPr="00D7012D" w:rsidRDefault="00850B52" w:rsidP="00850B5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340C8C83" w14:textId="6923EA3B" w:rsidR="00850B52" w:rsidRPr="00D7012D" w:rsidRDefault="00850B52" w:rsidP="00850B52">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 xml:space="preserve">In the proceedings subsequent to the notification of the final merits report, the Commission received reports from the State and briefs from the petitioner regarding compliance with the recommendations, the adoption of the Rules of Procedure of the Ad Hoc Arbitral Tribunal to determine the amount of the pecuniary reparation to be awarded to the petitioner in the instant case and its composition, communications that were duly transmitted to the parties. </w:t>
      </w:r>
    </w:p>
    <w:p w14:paraId="60775E9F" w14:textId="77777777" w:rsidR="00850B52" w:rsidRPr="00D7012D" w:rsidRDefault="00850B52" w:rsidP="00850B5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5E75DC37" w14:textId="6C89F961" w:rsidR="00850B52" w:rsidRPr="00D7012D" w:rsidRDefault="00850B52" w:rsidP="00850B52">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On September 14, 2021, the State forwarded the Arbitral Award adopted by the Ad Hoc Arbitral Tribunal mentioned above on September 7, 2021, which was transmitted to the petitioner for its observations. In said Award the Arbitral Tribunal unanimously decided that:</w:t>
      </w:r>
    </w:p>
    <w:p w14:paraId="6A8E1DBE" w14:textId="77777777" w:rsidR="00850B52" w:rsidRPr="00D7012D" w:rsidRDefault="00850B52" w:rsidP="00832B2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6917F436"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r w:rsidRPr="00D7012D">
        <w:rPr>
          <w:rFonts w:ascii="Cambria" w:hAnsi="Cambria"/>
          <w:sz w:val="20"/>
          <w:szCs w:val="20"/>
        </w:rPr>
        <w:t>1.</w:t>
      </w:r>
      <w:r w:rsidRPr="00D7012D">
        <w:rPr>
          <w:rFonts w:ascii="Cambria" w:hAnsi="Cambria"/>
          <w:sz w:val="20"/>
          <w:szCs w:val="20"/>
        </w:rPr>
        <w:tab/>
        <w:t>The respondent State must pay Mr. Marcos Alejandro Martín, in Argentine currency, at the official exchange rate in effect on the day before the payment is made, as compensation for material damages - consequential damages and loss of earnings - the amount of US$10,000 (ten thousand United States dollars).</w:t>
      </w:r>
    </w:p>
    <w:p w14:paraId="5700B4ED"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p>
    <w:p w14:paraId="5129C4DC"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r w:rsidRPr="00D7012D">
        <w:rPr>
          <w:rFonts w:ascii="Cambria" w:hAnsi="Cambria"/>
          <w:sz w:val="20"/>
          <w:szCs w:val="20"/>
        </w:rPr>
        <w:t>2.</w:t>
      </w:r>
      <w:r w:rsidRPr="00D7012D">
        <w:rPr>
          <w:rFonts w:ascii="Cambria" w:hAnsi="Cambria"/>
          <w:sz w:val="20"/>
          <w:szCs w:val="20"/>
        </w:rPr>
        <w:tab/>
        <w:t>The respondent State shall pay Mr. Marcos Alejandro Martín, in Argentine currency, at the official exchange rate in effect on the day before the payment is made, as compensation for non-pecuniary damage -material damage-, the amount of US$ 35,000 (thirty-five thousand United States dollars).</w:t>
      </w:r>
    </w:p>
    <w:p w14:paraId="4A7200D1"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p>
    <w:p w14:paraId="1296240D"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r w:rsidRPr="00D7012D">
        <w:rPr>
          <w:rFonts w:ascii="Cambria" w:hAnsi="Cambria"/>
          <w:sz w:val="20"/>
          <w:szCs w:val="20"/>
        </w:rPr>
        <w:t>3.</w:t>
      </w:r>
      <w:r w:rsidRPr="00D7012D">
        <w:rPr>
          <w:rFonts w:ascii="Cambria" w:hAnsi="Cambria"/>
          <w:sz w:val="20"/>
          <w:szCs w:val="20"/>
        </w:rPr>
        <w:tab/>
        <w:t>The Respondent State shall pay the amount of US$ 2,000 (two thousand United States dollars), at the official exchange rate in effect on the day before payment is made, for expenses, in accordance with the terms of paragraph 105 of this award.</w:t>
      </w:r>
    </w:p>
    <w:p w14:paraId="24F1BD33" w14:textId="77777777" w:rsidR="00850B52" w:rsidRPr="00D7012D" w:rsidRDefault="00850B52" w:rsidP="00832B2E">
      <w:pPr>
        <w:pStyle w:val="BodyText3"/>
        <w:spacing w:after="0" w:line="240" w:lineRule="auto"/>
        <w:ind w:left="1440" w:right="380"/>
        <w:jc w:val="both"/>
        <w:rPr>
          <w:rFonts w:ascii="Cambria" w:hAnsi="Cambria"/>
          <w:sz w:val="20"/>
          <w:szCs w:val="20"/>
        </w:rPr>
      </w:pPr>
      <w:r w:rsidRPr="00D7012D">
        <w:rPr>
          <w:rFonts w:ascii="Cambria" w:hAnsi="Cambria"/>
          <w:sz w:val="20"/>
          <w:szCs w:val="20"/>
        </w:rPr>
        <w:t>[...]</w:t>
      </w:r>
    </w:p>
    <w:p w14:paraId="68F40306"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p>
    <w:p w14:paraId="7424F18A"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r w:rsidRPr="00D7012D">
        <w:rPr>
          <w:rFonts w:ascii="Cambria" w:hAnsi="Cambria"/>
          <w:sz w:val="20"/>
          <w:szCs w:val="20"/>
        </w:rPr>
        <w:t>4.</w:t>
      </w:r>
      <w:r w:rsidRPr="00D7012D">
        <w:rPr>
          <w:rFonts w:ascii="Cambria" w:hAnsi="Cambria"/>
          <w:sz w:val="20"/>
          <w:szCs w:val="20"/>
        </w:rPr>
        <w:tab/>
        <w:t>The Respondent State shall pay the compensation and reimbursement of costs and expenses ordered in this award within three months from the date of notification of this award by the Inter-American Commission on Human Rights.</w:t>
      </w:r>
    </w:p>
    <w:p w14:paraId="48533EB5"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p>
    <w:p w14:paraId="3C997E18"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r w:rsidRPr="00D7012D">
        <w:rPr>
          <w:rFonts w:ascii="Cambria" w:hAnsi="Cambria"/>
          <w:sz w:val="20"/>
          <w:szCs w:val="20"/>
        </w:rPr>
        <w:t>5.</w:t>
      </w:r>
      <w:r w:rsidRPr="00D7012D">
        <w:rPr>
          <w:rFonts w:ascii="Cambria" w:hAnsi="Cambria"/>
          <w:sz w:val="20"/>
          <w:szCs w:val="20"/>
        </w:rPr>
        <w:tab/>
        <w:t>The compensation for material damages, non-material damages and expenses established in the present award shall not be subject to any tax, levy or charge currently existing or that may be decreed in the future.</w:t>
      </w:r>
    </w:p>
    <w:p w14:paraId="67873E7A"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p>
    <w:p w14:paraId="4A74AD67"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r w:rsidRPr="00D7012D">
        <w:rPr>
          <w:rFonts w:ascii="Cambria" w:hAnsi="Cambria"/>
          <w:sz w:val="20"/>
          <w:szCs w:val="20"/>
        </w:rPr>
        <w:t>6.</w:t>
      </w:r>
      <w:r w:rsidRPr="00D7012D">
        <w:rPr>
          <w:rFonts w:ascii="Cambria" w:hAnsi="Cambria"/>
          <w:sz w:val="20"/>
          <w:szCs w:val="20"/>
        </w:rPr>
        <w:tab/>
        <w:t xml:space="preserve">In the event that the respondent State incurs in default, it shall pay interest on the amount owed, which shall correspond to the judicial interest rate used in accordance with the </w:t>
      </w:r>
      <w:r w:rsidRPr="00D7012D">
        <w:rPr>
          <w:rFonts w:ascii="Cambria" w:hAnsi="Cambria"/>
          <w:sz w:val="20"/>
          <w:szCs w:val="20"/>
        </w:rPr>
        <w:lastRenderedPageBreak/>
        <w:t>usual practice in proceedings for the enforcement of judgments against the State in the Argentine Republic.</w:t>
      </w:r>
    </w:p>
    <w:p w14:paraId="792D3583"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p>
    <w:p w14:paraId="566ACE69" w14:textId="41D7504F" w:rsidR="00850B52" w:rsidRPr="00D7012D" w:rsidRDefault="00850B52" w:rsidP="00832B2E">
      <w:pPr>
        <w:pStyle w:val="BodyText3"/>
        <w:spacing w:after="0" w:line="240" w:lineRule="auto"/>
        <w:ind w:left="1440" w:right="380" w:hanging="720"/>
        <w:jc w:val="both"/>
        <w:rPr>
          <w:rFonts w:ascii="Cambria" w:hAnsi="Cambria"/>
          <w:sz w:val="20"/>
          <w:szCs w:val="20"/>
        </w:rPr>
      </w:pPr>
      <w:r w:rsidRPr="00D7012D">
        <w:rPr>
          <w:rFonts w:ascii="Cambria" w:hAnsi="Cambria"/>
          <w:sz w:val="20"/>
          <w:szCs w:val="20"/>
        </w:rPr>
        <w:t>7.</w:t>
      </w:r>
      <w:r w:rsidRPr="00D7012D">
        <w:rPr>
          <w:rFonts w:ascii="Cambria" w:hAnsi="Cambria"/>
          <w:sz w:val="20"/>
          <w:szCs w:val="20"/>
        </w:rPr>
        <w:tab/>
        <w:t xml:space="preserve">To notify the Honorable Inter-American Commission on Human Rights of the present award for the purposes determined in the framework of the Agreement on Compliance with Recommendations made by the Inter-American Commission on Human Rights in Report 95/17, entered into between the Argentine Republic and the petitioner in the Martín Case, processed before it, which was </w:t>
      </w:r>
      <w:r w:rsidR="009C495F" w:rsidRPr="00D7012D">
        <w:rPr>
          <w:rFonts w:ascii="Cambria" w:hAnsi="Cambria"/>
          <w:sz w:val="20"/>
          <w:szCs w:val="20"/>
        </w:rPr>
        <w:t>contained</w:t>
      </w:r>
      <w:r w:rsidRPr="00D7012D">
        <w:rPr>
          <w:rFonts w:ascii="Cambria" w:hAnsi="Cambria"/>
          <w:sz w:val="20"/>
          <w:szCs w:val="20"/>
        </w:rPr>
        <w:t xml:space="preserve"> in its Final Report 98-19.</w:t>
      </w:r>
    </w:p>
    <w:p w14:paraId="1AD7DAE0" w14:textId="5390ED89" w:rsidR="00850B52" w:rsidRPr="00D7012D" w:rsidRDefault="00850B52" w:rsidP="00832B2E">
      <w:pPr>
        <w:ind w:left="720" w:firstLine="720"/>
        <w:rPr>
          <w:rFonts w:ascii="Cambria" w:hAnsi="Cambria"/>
          <w:sz w:val="20"/>
          <w:szCs w:val="20"/>
        </w:rPr>
      </w:pPr>
      <w:r w:rsidRPr="00D7012D">
        <w:rPr>
          <w:rFonts w:ascii="Cambria" w:hAnsi="Cambria"/>
          <w:sz w:val="20"/>
          <w:szCs w:val="20"/>
        </w:rPr>
        <w:t>[...]</w:t>
      </w:r>
    </w:p>
    <w:p w14:paraId="65F4744D" w14:textId="77777777" w:rsidR="00850B52" w:rsidRPr="00D7012D" w:rsidRDefault="00850B52" w:rsidP="00832B2E">
      <w:pPr>
        <w:pStyle w:val="BodyText3"/>
        <w:spacing w:after="0" w:line="240" w:lineRule="auto"/>
        <w:ind w:left="1440" w:right="380" w:hanging="720"/>
        <w:jc w:val="both"/>
        <w:rPr>
          <w:rFonts w:ascii="Cambria" w:hAnsi="Cambria"/>
          <w:sz w:val="20"/>
          <w:szCs w:val="20"/>
        </w:rPr>
      </w:pPr>
    </w:p>
    <w:p w14:paraId="6E1E9F43" w14:textId="3BEFB624" w:rsidR="00850B52" w:rsidRPr="00D7012D" w:rsidRDefault="00850B52" w:rsidP="00832B2E">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On September 20, 2021, the petitioner informed the IACHR of "its great satisfaction with the work carried out by the Ad Hoc Arbitral Tribunal, especially for the speed with which it conducted the proceedings, for its disinterested action and for the adoption of the award in a timely manner for the victim". It concluded: "(a) that the arguments of the parties and the evidence offered were adequately considered, (b) that the analysis of facts and law carried out by the IACHR in the case was respected, and (c) that the determination of the items to be compensated, their economic quantification and the method of payment was carried out in a manner compatible with the international parameters governing the matter and in accordance with the practices of the Inter-American Human Rights System".</w:t>
      </w:r>
    </w:p>
    <w:p w14:paraId="27D0BFC2" w14:textId="77777777" w:rsidR="00850B52" w:rsidRPr="00D7012D" w:rsidRDefault="00850B52" w:rsidP="00832B2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0E59370B" w14:textId="3E611F1D" w:rsidR="00850B52" w:rsidRPr="00D7012D" w:rsidRDefault="00850B52" w:rsidP="00832B2E">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Based on all the information available, the Commission takes a very positive view of the Argentine State's efforts to comply with the recommendations and welcomes the Award adopted by the Ad Hoc Arbitral Tribunal that determined the amount of the pecuniary reparation for Mr. Marcos Alejandro Martín in a manner compatible with the reparations determined in the merits report. The Commission calls for the necessary steps to be taken to achieve full compliance with the recommendations.</w:t>
      </w:r>
    </w:p>
    <w:p w14:paraId="2EF37D9E" w14:textId="77777777" w:rsidR="00832B2E" w:rsidRPr="00D7012D" w:rsidRDefault="00832B2E" w:rsidP="00832B2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0893E6D" w14:textId="77777777" w:rsidR="001B6FEB" w:rsidRDefault="001B6FEB">
      <w:pPr>
        <w:spacing w:after="0" w:line="240" w:lineRule="auto"/>
        <w:rPr>
          <w:rFonts w:ascii="Cambria" w:eastAsia="MS Gothic" w:hAnsi="Cambria"/>
          <w:b/>
          <w:bCs/>
          <w:sz w:val="20"/>
          <w:szCs w:val="20"/>
          <w:bdr w:val="nil"/>
        </w:rPr>
      </w:pPr>
      <w:bookmarkStart w:id="18" w:name="_Toc84429177"/>
      <w:r>
        <w:br w:type="page"/>
      </w:r>
    </w:p>
    <w:p w14:paraId="7200E6D5" w14:textId="31AFCE47" w:rsidR="0040039C" w:rsidRPr="00D7012D" w:rsidRDefault="0040039C" w:rsidP="001F521C">
      <w:pPr>
        <w:pStyle w:val="Heading1"/>
        <w:tabs>
          <w:tab w:val="left" w:pos="1440"/>
        </w:tabs>
        <w:ind w:left="720" w:firstLine="0"/>
        <w:jc w:val="both"/>
        <w:rPr>
          <w:lang w:val="en-US"/>
        </w:rPr>
      </w:pPr>
      <w:r w:rsidRPr="00D7012D">
        <w:rPr>
          <w:lang w:val="en-US"/>
        </w:rPr>
        <w:lastRenderedPageBreak/>
        <w:t>C</w:t>
      </w:r>
      <w:bookmarkEnd w:id="15"/>
      <w:r w:rsidRPr="00D7012D">
        <w:rPr>
          <w:lang w:val="en-US"/>
        </w:rPr>
        <w:t xml:space="preserve">ONCLUSIONS AND </w:t>
      </w:r>
      <w:r w:rsidR="003E1C96" w:rsidRPr="00D7012D">
        <w:rPr>
          <w:lang w:val="en-US"/>
        </w:rPr>
        <w:t xml:space="preserve">FINAL </w:t>
      </w:r>
      <w:r w:rsidRPr="00D7012D">
        <w:rPr>
          <w:lang w:val="en-US"/>
        </w:rPr>
        <w:t>RECOMMENDATIONS</w:t>
      </w:r>
      <w:bookmarkEnd w:id="18"/>
      <w:r w:rsidRPr="00D7012D">
        <w:rPr>
          <w:lang w:val="en-US"/>
        </w:rPr>
        <w:t xml:space="preserve"> </w:t>
      </w:r>
    </w:p>
    <w:p w14:paraId="27A47B02" w14:textId="77777777" w:rsidR="0040039C" w:rsidRPr="001F521C" w:rsidRDefault="0040039C" w:rsidP="001F521C">
      <w:pPr>
        <w:spacing w:after="0" w:line="240" w:lineRule="auto"/>
        <w:jc w:val="both"/>
        <w:rPr>
          <w:rFonts w:ascii="Cambria" w:hAnsi="Cambria"/>
          <w:sz w:val="20"/>
          <w:szCs w:val="20"/>
          <w:highlight w:val="yellow"/>
        </w:rPr>
      </w:pPr>
    </w:p>
    <w:p w14:paraId="6C0FB87E" w14:textId="44DAE279" w:rsidR="0040039C" w:rsidRPr="009C495F" w:rsidRDefault="0040039C"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9C495F">
        <w:rPr>
          <w:rFonts w:ascii="Cambria" w:hAnsi="Cambria"/>
          <w:sz w:val="20"/>
          <w:szCs w:val="20"/>
          <w:lang w:val="en-US"/>
        </w:rPr>
        <w:t>Based on the factual and legal considerations, the Inter-American Commission conclude</w:t>
      </w:r>
      <w:r w:rsidR="00FD77E1" w:rsidRPr="009C495F">
        <w:rPr>
          <w:rFonts w:ascii="Cambria" w:hAnsi="Cambria"/>
          <w:sz w:val="20"/>
          <w:szCs w:val="20"/>
          <w:lang w:val="en-US"/>
        </w:rPr>
        <w:t xml:space="preserve">d on its </w:t>
      </w:r>
      <w:r w:rsidR="001F521C" w:rsidRPr="009C495F">
        <w:rPr>
          <w:rFonts w:ascii="Cambria" w:hAnsi="Cambria"/>
          <w:sz w:val="20"/>
          <w:szCs w:val="20"/>
          <w:lang w:val="en-US"/>
        </w:rPr>
        <w:t>merits r</w:t>
      </w:r>
      <w:r w:rsidR="00FD77E1" w:rsidRPr="009C495F">
        <w:rPr>
          <w:rFonts w:ascii="Cambria" w:hAnsi="Cambria"/>
          <w:sz w:val="20"/>
          <w:szCs w:val="20"/>
          <w:lang w:val="en-US"/>
        </w:rPr>
        <w:t xml:space="preserve">eport No. 95/17 </w:t>
      </w:r>
      <w:r w:rsidRPr="009C495F">
        <w:rPr>
          <w:rFonts w:ascii="Cambria" w:hAnsi="Cambria"/>
          <w:sz w:val="20"/>
          <w:szCs w:val="20"/>
          <w:lang w:val="en-US"/>
        </w:rPr>
        <w:t xml:space="preserve">that the State of Argentina </w:t>
      </w:r>
      <w:r w:rsidR="00FD77E1" w:rsidRPr="009C495F">
        <w:rPr>
          <w:rFonts w:ascii="Cambria" w:hAnsi="Cambria"/>
          <w:sz w:val="20"/>
          <w:szCs w:val="20"/>
          <w:lang w:val="en-US"/>
        </w:rPr>
        <w:t>was</w:t>
      </w:r>
      <w:r w:rsidRPr="009C495F">
        <w:rPr>
          <w:rFonts w:ascii="Cambria" w:hAnsi="Cambria"/>
          <w:sz w:val="20"/>
          <w:szCs w:val="20"/>
          <w:lang w:val="en-US"/>
        </w:rPr>
        <w:t xml:space="preserve"> responsible for violating the rights to personal liberty, judicial guarantees and judicial protection established in Articles 7.1, 7.3, 8.1, 8.2, 8.2 c), 8.2 f), 8.2 h) and 25.1 of the American Convention, in relation to the obligations established in Articles 1.1 of the same instrument, to the detriment of Marcos Alejandro Martín.</w:t>
      </w:r>
    </w:p>
    <w:bookmarkEnd w:id="13"/>
    <w:bookmarkEnd w:id="14"/>
    <w:p w14:paraId="32259F87" w14:textId="77777777" w:rsidR="0040039C" w:rsidRPr="00D7012D" w:rsidRDefault="0040039C" w:rsidP="001F521C">
      <w:pPr>
        <w:spacing w:after="0" w:line="240" w:lineRule="auto"/>
        <w:jc w:val="both"/>
        <w:rPr>
          <w:rFonts w:ascii="Cambria" w:hAnsi="Cambria"/>
          <w:sz w:val="20"/>
          <w:szCs w:val="20"/>
        </w:rPr>
      </w:pPr>
    </w:p>
    <w:p w14:paraId="6865CB4B" w14:textId="1E334BBA" w:rsidR="0040039C" w:rsidRPr="00D7012D" w:rsidRDefault="0040039C" w:rsidP="001F521C">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In light of the foregoing conclusions,</w:t>
      </w:r>
    </w:p>
    <w:p w14:paraId="0BB04628" w14:textId="769C6F6B" w:rsidR="001F521C" w:rsidRPr="00D7012D" w:rsidRDefault="001F521C" w:rsidP="003E1C96">
      <w:pPr>
        <w:spacing w:after="0" w:line="240" w:lineRule="auto"/>
        <w:jc w:val="both"/>
        <w:rPr>
          <w:rFonts w:ascii="Cambria" w:eastAsia="Times New Roman" w:hAnsi="Cambria"/>
          <w:sz w:val="20"/>
          <w:szCs w:val="20"/>
        </w:rPr>
      </w:pPr>
    </w:p>
    <w:p w14:paraId="711E4356" w14:textId="2147E0A2" w:rsidR="007C362B" w:rsidRPr="00D7012D" w:rsidRDefault="007C362B" w:rsidP="001F521C">
      <w:pPr>
        <w:spacing w:after="0" w:line="240" w:lineRule="auto"/>
        <w:jc w:val="center"/>
        <w:rPr>
          <w:rFonts w:ascii="Cambria" w:eastAsia="Times New Roman" w:hAnsi="Cambria"/>
          <w:b/>
          <w:sz w:val="20"/>
          <w:szCs w:val="20"/>
        </w:rPr>
      </w:pPr>
      <w:r w:rsidRPr="00D7012D">
        <w:rPr>
          <w:rFonts w:ascii="Cambria" w:eastAsia="Times New Roman" w:hAnsi="Cambria"/>
          <w:b/>
          <w:sz w:val="20"/>
          <w:szCs w:val="20"/>
        </w:rPr>
        <w:t>THE INTER-AMERICAN COMMISSION ON HUMAN RIGHTS</w:t>
      </w:r>
    </w:p>
    <w:p w14:paraId="4E0460F3" w14:textId="2DCDC32E" w:rsidR="0040039C" w:rsidRPr="00D7012D" w:rsidRDefault="007C362B" w:rsidP="001F521C">
      <w:pPr>
        <w:spacing w:after="0" w:line="240" w:lineRule="auto"/>
        <w:jc w:val="center"/>
        <w:rPr>
          <w:rFonts w:ascii="Cambria" w:eastAsia="Times New Roman" w:hAnsi="Cambria"/>
          <w:sz w:val="20"/>
          <w:szCs w:val="20"/>
        </w:rPr>
      </w:pPr>
      <w:r w:rsidRPr="00D7012D">
        <w:rPr>
          <w:rFonts w:ascii="Cambria" w:eastAsia="Times New Roman" w:hAnsi="Cambria"/>
          <w:b/>
          <w:sz w:val="20"/>
          <w:szCs w:val="20"/>
        </w:rPr>
        <w:t>RE</w:t>
      </w:r>
      <w:r w:rsidR="00FD77E1" w:rsidRPr="00D7012D">
        <w:rPr>
          <w:rFonts w:ascii="Cambria" w:eastAsia="Times New Roman" w:hAnsi="Cambria"/>
          <w:b/>
          <w:sz w:val="20"/>
          <w:szCs w:val="20"/>
        </w:rPr>
        <w:t>ITERATES</w:t>
      </w:r>
      <w:r w:rsidRPr="00D7012D">
        <w:rPr>
          <w:rFonts w:ascii="Cambria" w:eastAsia="Times New Roman" w:hAnsi="Cambria"/>
          <w:b/>
          <w:sz w:val="20"/>
          <w:szCs w:val="20"/>
        </w:rPr>
        <w:t xml:space="preserve"> THE STATE OF ARGENTINA</w:t>
      </w:r>
      <w:r w:rsidR="009C495F" w:rsidRPr="00D7012D">
        <w:rPr>
          <w:rFonts w:ascii="Cambria" w:eastAsia="Times New Roman" w:hAnsi="Cambria"/>
          <w:b/>
          <w:sz w:val="20"/>
          <w:szCs w:val="20"/>
        </w:rPr>
        <w:t xml:space="preserve"> THE FOLLOWING RECOMMENDATIONS, WITH A VIEW TO THEIR FULL IMPLEMENTATION</w:t>
      </w:r>
    </w:p>
    <w:p w14:paraId="19082638" w14:textId="77777777" w:rsidR="0040039C" w:rsidRPr="009C495F" w:rsidRDefault="0040039C" w:rsidP="001F521C">
      <w:pPr>
        <w:spacing w:after="0" w:line="240" w:lineRule="auto"/>
        <w:ind w:right="720"/>
        <w:jc w:val="both"/>
        <w:rPr>
          <w:rFonts w:ascii="Cambria" w:eastAsia="Times New Roman" w:hAnsi="Cambria"/>
          <w:sz w:val="20"/>
          <w:szCs w:val="20"/>
        </w:rPr>
      </w:pPr>
    </w:p>
    <w:p w14:paraId="68AEE0F2" w14:textId="04BFABFD" w:rsidR="0040039C" w:rsidRPr="009C495F" w:rsidRDefault="0040039C" w:rsidP="001F521C">
      <w:pPr>
        <w:pStyle w:val="BodyText3"/>
        <w:spacing w:after="0" w:line="240" w:lineRule="auto"/>
        <w:ind w:left="1440" w:right="380" w:hanging="720"/>
        <w:jc w:val="both"/>
        <w:rPr>
          <w:rFonts w:ascii="Cambria" w:hAnsi="Cambria"/>
          <w:sz w:val="20"/>
          <w:szCs w:val="20"/>
        </w:rPr>
      </w:pPr>
      <w:r w:rsidRPr="009C495F">
        <w:rPr>
          <w:rFonts w:ascii="Cambria" w:hAnsi="Cambria"/>
          <w:sz w:val="20"/>
          <w:szCs w:val="20"/>
        </w:rPr>
        <w:t xml:space="preserve">1. </w:t>
      </w:r>
      <w:r w:rsidR="00FD77E1" w:rsidRPr="009C495F">
        <w:rPr>
          <w:rFonts w:ascii="Cambria" w:hAnsi="Cambria"/>
          <w:sz w:val="20"/>
          <w:szCs w:val="20"/>
        </w:rPr>
        <w:tab/>
      </w:r>
      <w:r w:rsidR="007C362B" w:rsidRPr="009C495F">
        <w:rPr>
          <w:rFonts w:ascii="Cambria" w:hAnsi="Cambria"/>
          <w:sz w:val="20"/>
          <w:szCs w:val="20"/>
        </w:rPr>
        <w:t>Adopt the necessary measures to render ineffective the sentence against Marcos Alejandro Martín.</w:t>
      </w:r>
    </w:p>
    <w:p w14:paraId="17F8A35F" w14:textId="77777777" w:rsidR="0040039C" w:rsidRPr="009C495F" w:rsidRDefault="0040039C" w:rsidP="001F521C">
      <w:pPr>
        <w:pStyle w:val="BodyText3"/>
        <w:spacing w:after="0" w:line="240" w:lineRule="auto"/>
        <w:ind w:left="1440" w:right="380" w:hanging="720"/>
        <w:jc w:val="both"/>
        <w:rPr>
          <w:rFonts w:ascii="Cambria" w:hAnsi="Cambria"/>
          <w:sz w:val="20"/>
          <w:szCs w:val="20"/>
        </w:rPr>
      </w:pPr>
    </w:p>
    <w:p w14:paraId="38A025DD" w14:textId="4835AF33" w:rsidR="0040039C" w:rsidRPr="009C495F" w:rsidRDefault="0040039C" w:rsidP="001F521C">
      <w:pPr>
        <w:pStyle w:val="BodyText3"/>
        <w:spacing w:after="0" w:line="240" w:lineRule="auto"/>
        <w:ind w:left="1440" w:right="380" w:hanging="720"/>
        <w:jc w:val="both"/>
        <w:rPr>
          <w:rFonts w:ascii="Cambria" w:hAnsi="Cambria"/>
          <w:sz w:val="20"/>
          <w:szCs w:val="20"/>
        </w:rPr>
      </w:pPr>
      <w:r w:rsidRPr="009C495F">
        <w:rPr>
          <w:rFonts w:ascii="Cambria" w:hAnsi="Cambria"/>
          <w:sz w:val="20"/>
          <w:szCs w:val="20"/>
        </w:rPr>
        <w:t xml:space="preserve">2. </w:t>
      </w:r>
      <w:r w:rsidR="00FD77E1" w:rsidRPr="009C495F">
        <w:rPr>
          <w:rFonts w:ascii="Cambria" w:hAnsi="Cambria"/>
          <w:sz w:val="20"/>
          <w:szCs w:val="20"/>
        </w:rPr>
        <w:tab/>
      </w:r>
      <w:r w:rsidR="007C362B" w:rsidRPr="009C495F">
        <w:rPr>
          <w:rFonts w:ascii="Cambria" w:hAnsi="Cambria" w:cs="Tahoma"/>
          <w:sz w:val="20"/>
          <w:szCs w:val="20"/>
        </w:rPr>
        <w:t>To fully remedy the human rights violations declared in this report, both in material and non-material terms. To this end, the State must adopt measures of economic compensation and satisfaction in favor of the victim.</w:t>
      </w:r>
    </w:p>
    <w:p w14:paraId="72D96B85" w14:textId="77777777" w:rsidR="0040039C" w:rsidRPr="001F521C" w:rsidRDefault="0040039C" w:rsidP="001F521C">
      <w:pPr>
        <w:pStyle w:val="BodyText3"/>
        <w:spacing w:after="0" w:line="240" w:lineRule="auto"/>
        <w:ind w:firstLine="720"/>
        <w:jc w:val="both"/>
        <w:rPr>
          <w:rFonts w:ascii="Cambria" w:hAnsi="Cambria"/>
          <w:sz w:val="20"/>
          <w:szCs w:val="20"/>
          <w:highlight w:val="yellow"/>
        </w:rPr>
      </w:pPr>
    </w:p>
    <w:p w14:paraId="47BB07B8" w14:textId="1336430E" w:rsidR="00FD77E1" w:rsidRPr="00D7012D" w:rsidRDefault="003E1C96" w:rsidP="001F521C">
      <w:pPr>
        <w:pStyle w:val="Heading1"/>
        <w:ind w:left="1440" w:hanging="720"/>
      </w:pPr>
      <w:bookmarkStart w:id="19" w:name="_Toc84429178"/>
      <w:r w:rsidRPr="00D7012D">
        <w:t>PUBLICATION</w:t>
      </w:r>
      <w:bookmarkEnd w:id="19"/>
    </w:p>
    <w:p w14:paraId="19FEBE29" w14:textId="77777777" w:rsidR="0040039C" w:rsidRPr="00D7012D" w:rsidRDefault="0040039C" w:rsidP="003E1C96">
      <w:pPr>
        <w:pStyle w:val="BodyText3"/>
        <w:spacing w:after="0" w:line="240" w:lineRule="auto"/>
        <w:jc w:val="both"/>
        <w:rPr>
          <w:rFonts w:ascii="Cambria" w:hAnsi="Cambria"/>
          <w:sz w:val="20"/>
          <w:szCs w:val="20"/>
        </w:rPr>
      </w:pPr>
    </w:p>
    <w:p w14:paraId="248B73A3" w14:textId="297042B2" w:rsidR="0040039C" w:rsidRDefault="003E1C96" w:rsidP="003E1C96">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D7012D">
        <w:rPr>
          <w:rFonts w:ascii="Cambria" w:hAnsi="Cambria"/>
          <w:sz w:val="20"/>
          <w:szCs w:val="20"/>
          <w:lang w:val="en-US"/>
        </w:rPr>
        <w:t>Pursuant to the foregoing and in accordance with the provisions of Article 51(3) of the American Convention, the Inter-American Commission on Human Rights decides to publish this report and include it in its Annual Report to the General Assembly of the Organization of American States. The Inter-American Commission, in accordance with the norms established in the instruments that regulate its mandate, will continue to evaluate the measures adopted by the State of Argentina with respect to the above recommendations, until it determines that they have been fully complied with.</w:t>
      </w:r>
    </w:p>
    <w:p w14:paraId="52BB7CFB" w14:textId="7DB68C9C" w:rsidR="000A4E99" w:rsidRDefault="000A4E99" w:rsidP="000A4E9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4B8BCCBD" w14:textId="3866690B" w:rsidR="000A4E99" w:rsidRPr="000A4E99" w:rsidRDefault="000A4E99" w:rsidP="001B6FE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0A4E99">
        <w:rPr>
          <w:rFonts w:ascii="Cambria" w:hAnsi="Cambria"/>
          <w:sz w:val="20"/>
          <w:szCs w:val="20"/>
          <w:lang w:val="en-US"/>
        </w:rPr>
        <w:t xml:space="preserve">Approved by the Inter-American Commission on Human Rights on the </w:t>
      </w:r>
      <w:r>
        <w:rPr>
          <w:rFonts w:ascii="Cambria" w:hAnsi="Cambria"/>
          <w:sz w:val="20"/>
          <w:szCs w:val="20"/>
          <w:lang w:val="en-US"/>
        </w:rPr>
        <w:t>5</w:t>
      </w:r>
      <w:r w:rsidRPr="000A4E99">
        <w:rPr>
          <w:rFonts w:ascii="Cambria" w:hAnsi="Cambria"/>
          <w:sz w:val="20"/>
          <w:szCs w:val="20"/>
          <w:lang w:val="en-US"/>
        </w:rPr>
        <w:t xml:space="preserve">th day of </w:t>
      </w:r>
      <w:r>
        <w:rPr>
          <w:rFonts w:ascii="Cambria" w:hAnsi="Cambria"/>
          <w:sz w:val="20"/>
          <w:szCs w:val="20"/>
          <w:lang w:val="en-US"/>
        </w:rPr>
        <w:t>Octo</w:t>
      </w:r>
      <w:r w:rsidRPr="000A4E99">
        <w:rPr>
          <w:rFonts w:ascii="Cambria" w:hAnsi="Cambria"/>
          <w:sz w:val="20"/>
          <w:szCs w:val="20"/>
          <w:lang w:val="en-US"/>
        </w:rPr>
        <w:t xml:space="preserve">ber 2021. (Signed): Antonia Urrejola, Chair; Julissa Mantilla Falcón, First Vice-Chair; </w:t>
      </w:r>
      <w:proofErr w:type="spellStart"/>
      <w:r w:rsidRPr="000A4E99">
        <w:rPr>
          <w:rFonts w:ascii="Cambria" w:hAnsi="Cambria"/>
          <w:sz w:val="20"/>
          <w:szCs w:val="20"/>
          <w:lang w:val="en-US"/>
        </w:rPr>
        <w:t>Flávia</w:t>
      </w:r>
      <w:proofErr w:type="spellEnd"/>
      <w:r w:rsidRPr="000A4E99">
        <w:rPr>
          <w:rFonts w:ascii="Cambria" w:hAnsi="Cambria"/>
          <w:sz w:val="20"/>
          <w:szCs w:val="20"/>
          <w:lang w:val="en-US"/>
        </w:rPr>
        <w:t xml:space="preserve"> </w:t>
      </w:r>
      <w:proofErr w:type="spellStart"/>
      <w:r w:rsidRPr="000A4E99">
        <w:rPr>
          <w:rFonts w:ascii="Cambria" w:hAnsi="Cambria"/>
          <w:sz w:val="20"/>
          <w:szCs w:val="20"/>
          <w:lang w:val="en-US"/>
        </w:rPr>
        <w:t>Piovesan</w:t>
      </w:r>
      <w:proofErr w:type="spellEnd"/>
      <w:r w:rsidRPr="000A4E99">
        <w:rPr>
          <w:rFonts w:ascii="Cambria" w:hAnsi="Cambria"/>
          <w:sz w:val="20"/>
          <w:szCs w:val="20"/>
          <w:lang w:val="en-US"/>
        </w:rPr>
        <w:t xml:space="preserve">, Second Vice-Chair; Margarette May Macaulay, </w:t>
      </w:r>
      <w:r>
        <w:rPr>
          <w:rFonts w:ascii="Cambria" w:hAnsi="Cambria"/>
          <w:sz w:val="20"/>
          <w:szCs w:val="20"/>
          <w:lang w:val="en-US"/>
        </w:rPr>
        <w:t xml:space="preserve">Esmeralda </w:t>
      </w:r>
      <w:proofErr w:type="spellStart"/>
      <w:r>
        <w:rPr>
          <w:rFonts w:ascii="Cambria" w:hAnsi="Cambria"/>
          <w:sz w:val="20"/>
          <w:szCs w:val="20"/>
          <w:lang w:val="en-US"/>
        </w:rPr>
        <w:t>Arosemena</w:t>
      </w:r>
      <w:proofErr w:type="spellEnd"/>
      <w:r>
        <w:rPr>
          <w:rFonts w:ascii="Cambria" w:hAnsi="Cambria"/>
          <w:sz w:val="20"/>
          <w:szCs w:val="20"/>
          <w:lang w:val="en-US"/>
        </w:rPr>
        <w:t xml:space="preserve"> de </w:t>
      </w:r>
      <w:proofErr w:type="spellStart"/>
      <w:r>
        <w:rPr>
          <w:rFonts w:ascii="Cambria" w:hAnsi="Cambria"/>
          <w:sz w:val="20"/>
          <w:szCs w:val="20"/>
          <w:lang w:val="en-US"/>
        </w:rPr>
        <w:t>Troiti</w:t>
      </w:r>
      <w:r w:rsidRPr="001B6FEB">
        <w:rPr>
          <w:rFonts w:ascii="Cambria" w:hAnsi="Cambria"/>
          <w:sz w:val="20"/>
          <w:szCs w:val="20"/>
          <w:lang w:val="en-US"/>
        </w:rPr>
        <w:t>ño</w:t>
      </w:r>
      <w:proofErr w:type="spellEnd"/>
      <w:r w:rsidRPr="000A4E99">
        <w:rPr>
          <w:rFonts w:ascii="Cambria" w:hAnsi="Cambria"/>
          <w:sz w:val="20"/>
          <w:szCs w:val="20"/>
          <w:lang w:val="en-US"/>
        </w:rPr>
        <w:t xml:space="preserve"> and </w:t>
      </w:r>
      <w:proofErr w:type="spellStart"/>
      <w:r w:rsidRPr="000A4E99">
        <w:rPr>
          <w:rFonts w:ascii="Cambria" w:hAnsi="Cambria"/>
          <w:sz w:val="20"/>
          <w:szCs w:val="20"/>
          <w:lang w:val="en-US"/>
        </w:rPr>
        <w:t>Stuardo</w:t>
      </w:r>
      <w:proofErr w:type="spellEnd"/>
      <w:r w:rsidRPr="000A4E99">
        <w:rPr>
          <w:rFonts w:ascii="Cambria" w:hAnsi="Cambria"/>
          <w:sz w:val="20"/>
          <w:szCs w:val="20"/>
          <w:lang w:val="en-US"/>
        </w:rPr>
        <w:t xml:space="preserve"> </w:t>
      </w:r>
      <w:proofErr w:type="spellStart"/>
      <w:r w:rsidRPr="000A4E99">
        <w:rPr>
          <w:rFonts w:ascii="Cambria" w:hAnsi="Cambria"/>
          <w:sz w:val="20"/>
          <w:szCs w:val="20"/>
          <w:lang w:val="en-US"/>
        </w:rPr>
        <w:t>Ralón</w:t>
      </w:r>
      <w:proofErr w:type="spellEnd"/>
      <w:r w:rsidRPr="000A4E99">
        <w:rPr>
          <w:rFonts w:ascii="Cambria" w:hAnsi="Cambria"/>
          <w:sz w:val="20"/>
          <w:szCs w:val="20"/>
          <w:lang w:val="en-US"/>
        </w:rPr>
        <w:t xml:space="preserve"> Orellana, Members of the Commission.</w:t>
      </w:r>
    </w:p>
    <w:p w14:paraId="4D3A546A" w14:textId="77777777" w:rsidR="000A4E99" w:rsidRPr="000A4E99" w:rsidRDefault="000A4E99" w:rsidP="000A4E9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sectPr w:rsidR="000A4E99" w:rsidRPr="000A4E99" w:rsidSect="00D4301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7DF9" w14:textId="77777777" w:rsidR="00DB113E" w:rsidRDefault="00DB113E" w:rsidP="008852BB">
      <w:pPr>
        <w:spacing w:after="0" w:line="240" w:lineRule="auto"/>
      </w:pPr>
      <w:r>
        <w:separator/>
      </w:r>
    </w:p>
  </w:endnote>
  <w:endnote w:type="continuationSeparator" w:id="0">
    <w:p w14:paraId="39AA2928" w14:textId="77777777" w:rsidR="00DB113E" w:rsidRDefault="00DB113E" w:rsidP="0088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 w:name="MSTT3132dbeaafO05102100">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0644" w14:textId="77777777" w:rsidR="00165AF7" w:rsidRPr="00934A2C" w:rsidRDefault="00165AF7">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sidR="001F521C">
      <w:rPr>
        <w:noProof/>
        <w:sz w:val="16"/>
      </w:rPr>
      <w:t>1</w:t>
    </w:r>
    <w:r w:rsidRPr="00934A2C">
      <w:rPr>
        <w:noProof/>
        <w:sz w:val="16"/>
      </w:rPr>
      <w:fldChar w:fldCharType="end"/>
    </w:r>
  </w:p>
  <w:p w14:paraId="3D0D675F" w14:textId="77777777" w:rsidR="00165AF7" w:rsidRDefault="00165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32CD" w14:textId="77777777" w:rsidR="00165AF7" w:rsidRPr="00934A2C" w:rsidRDefault="00165AF7">
    <w:pPr>
      <w:pStyle w:val="Footer"/>
      <w:jc w:val="center"/>
      <w:rPr>
        <w:sz w:val="16"/>
      </w:rPr>
    </w:pPr>
  </w:p>
  <w:p w14:paraId="1342BA37" w14:textId="77777777" w:rsidR="00165AF7" w:rsidRDefault="00165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25B6" w14:textId="77777777" w:rsidR="00DB113E" w:rsidRDefault="00DB113E" w:rsidP="008852BB">
      <w:pPr>
        <w:spacing w:after="0" w:line="240" w:lineRule="auto"/>
      </w:pPr>
      <w:r>
        <w:separator/>
      </w:r>
    </w:p>
  </w:footnote>
  <w:footnote w:type="continuationSeparator" w:id="0">
    <w:p w14:paraId="288EE824" w14:textId="77777777" w:rsidR="00DB113E" w:rsidRDefault="00DB113E" w:rsidP="008852BB">
      <w:pPr>
        <w:spacing w:after="0" w:line="240" w:lineRule="auto"/>
      </w:pPr>
      <w:r>
        <w:continuationSeparator/>
      </w:r>
    </w:p>
  </w:footnote>
  <w:footnote w:id="1">
    <w:p w14:paraId="241A23E9"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IACHR, </w:t>
      </w:r>
      <w:hyperlink r:id="rId1" w:history="1">
        <w:r w:rsidRPr="00FD77E1">
          <w:rPr>
            <w:rFonts w:ascii="Cambria" w:hAnsi="Cambria"/>
            <w:sz w:val="16"/>
            <w:szCs w:val="16"/>
          </w:rPr>
          <w:t>Report No. 79/08</w:t>
        </w:r>
      </w:hyperlink>
      <w:r w:rsidRPr="00FD77E1">
        <w:rPr>
          <w:rFonts w:ascii="Cambria" w:hAnsi="Cambria"/>
          <w:sz w:val="16"/>
          <w:szCs w:val="16"/>
        </w:rPr>
        <w:t xml:space="preserve">, Petition 95-01, Admissibility, Marcos Alejandro Martín, Argentina, October 17, 2008. </w:t>
      </w:r>
    </w:p>
  </w:footnote>
  <w:footnote w:id="2">
    <w:p w14:paraId="19E06828"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3">
    <w:p w14:paraId="51087716"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4">
    <w:p w14:paraId="4CCD5571"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5">
    <w:p w14:paraId="7C53B0B4"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6">
    <w:p w14:paraId="31AEF5BC"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Initial petition.</w:t>
      </w:r>
    </w:p>
  </w:footnote>
  <w:footnote w:id="7">
    <w:p w14:paraId="2015E904"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8">
    <w:p w14:paraId="03990F61"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9">
    <w:p w14:paraId="21EFB64F"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10">
    <w:p w14:paraId="0431C5C7"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11">
    <w:p w14:paraId="047D04F1"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12">
    <w:p w14:paraId="4B333404"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13">
    <w:p w14:paraId="065F6C93"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14">
    <w:p w14:paraId="15D50531"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15">
    <w:p w14:paraId="2834EEB6"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16">
    <w:p w14:paraId="11B681A7"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Communication submitted by the State on October 10, 2006.</w:t>
      </w:r>
    </w:p>
  </w:footnote>
  <w:footnote w:id="17">
    <w:p w14:paraId="2198ACBA"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18">
    <w:p w14:paraId="792712DD"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19">
    <w:p w14:paraId="6B0BAA6F"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Cassation Appeal, undated. Attached to the initial petition.</w:t>
      </w:r>
    </w:p>
  </w:footnote>
  <w:footnote w:id="20">
    <w:p w14:paraId="399651CC"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Cassation Appeal, undated. Attached to the initial petition.</w:t>
      </w:r>
    </w:p>
  </w:footnote>
  <w:footnote w:id="21">
    <w:p w14:paraId="56CCC11F"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Cassation Appeal, undated. Attached to the initial petition.</w:t>
      </w:r>
    </w:p>
  </w:footnote>
  <w:footnote w:id="22">
    <w:p w14:paraId="08199D14"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Cassation Appeal, undated. Attached to the initial petition.</w:t>
      </w:r>
    </w:p>
  </w:footnote>
  <w:footnote w:id="23">
    <w:p w14:paraId="59ABC16F"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Cassation Appeal, undated. Attached to the initial petition.</w:t>
      </w:r>
    </w:p>
  </w:footnote>
  <w:footnote w:id="24">
    <w:p w14:paraId="2D28AFDE"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Communication submitted by the petitioner, January 9, 2009.</w:t>
      </w:r>
    </w:p>
  </w:footnote>
  <w:footnote w:id="25">
    <w:p w14:paraId="0CEFAABF"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26">
    <w:p w14:paraId="617625B8"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27">
    <w:p w14:paraId="0C91F6DD"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28">
    <w:p w14:paraId="56B828CB"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Article 391 of the Code of Criminal Procedure of the Nation: Testimonial statements may not be supplemented, under penalty of nullity, by reading those received during the investigation, except in the following cases and provided that the formalities of the instruction have been observed:</w:t>
      </w:r>
    </w:p>
    <w:p w14:paraId="7201C989" w14:textId="77777777" w:rsidR="00165AF7" w:rsidRPr="00FD77E1" w:rsidRDefault="00165AF7" w:rsidP="00FD77E1">
      <w:pPr>
        <w:spacing w:after="0" w:line="240" w:lineRule="auto"/>
        <w:jc w:val="both"/>
        <w:rPr>
          <w:rFonts w:ascii="Cambria" w:eastAsia="Times New Roman" w:hAnsi="Cambria"/>
          <w:color w:val="000000"/>
          <w:sz w:val="16"/>
          <w:szCs w:val="16"/>
          <w:lang w:eastAsia="es-ES"/>
        </w:rPr>
      </w:pPr>
      <w:r w:rsidRPr="00FD77E1">
        <w:rPr>
          <w:rFonts w:ascii="Cambria" w:eastAsia="Times New Roman" w:hAnsi="Cambria"/>
          <w:color w:val="000000"/>
          <w:sz w:val="16"/>
          <w:szCs w:val="16"/>
          <w:lang w:eastAsia="es-ES"/>
        </w:rPr>
        <w:t>1°) When the public prosecutor and the parties have rendered their agreement or render it when the witness whose summons was ordered is not present.</w:t>
      </w:r>
    </w:p>
    <w:p w14:paraId="499D8C26" w14:textId="77777777" w:rsidR="00165AF7" w:rsidRPr="00FD77E1" w:rsidRDefault="00165AF7" w:rsidP="00FD77E1">
      <w:pPr>
        <w:spacing w:after="0" w:line="240" w:lineRule="auto"/>
        <w:jc w:val="both"/>
        <w:rPr>
          <w:rFonts w:ascii="Cambria" w:eastAsia="Times New Roman" w:hAnsi="Cambria"/>
          <w:color w:val="000000"/>
          <w:sz w:val="16"/>
          <w:szCs w:val="16"/>
          <w:lang w:eastAsia="es-ES"/>
        </w:rPr>
      </w:pPr>
      <w:r w:rsidRPr="00FD77E1">
        <w:rPr>
          <w:rFonts w:ascii="Cambria" w:eastAsia="Times New Roman" w:hAnsi="Cambria"/>
          <w:color w:val="000000"/>
          <w:sz w:val="16"/>
          <w:szCs w:val="16"/>
          <w:lang w:eastAsia="es-ES"/>
        </w:rPr>
        <w:t>2°) When contradictions or variations between them and the ones lent in the debate are trying to be demonstrated, or it is necessary to help the memory of the witness.</w:t>
      </w:r>
    </w:p>
    <w:p w14:paraId="3C165F8D" w14:textId="77777777" w:rsidR="00165AF7" w:rsidRPr="00FD77E1" w:rsidRDefault="00165AF7" w:rsidP="00FD77E1">
      <w:pPr>
        <w:spacing w:after="0" w:line="240" w:lineRule="auto"/>
        <w:jc w:val="both"/>
        <w:rPr>
          <w:rFonts w:ascii="Cambria" w:eastAsia="Times New Roman" w:hAnsi="Cambria"/>
          <w:color w:val="000000"/>
          <w:sz w:val="16"/>
          <w:szCs w:val="16"/>
          <w:lang w:eastAsia="es-ES"/>
        </w:rPr>
      </w:pPr>
      <w:r w:rsidRPr="00FD77E1">
        <w:rPr>
          <w:rFonts w:ascii="Cambria" w:eastAsia="Times New Roman" w:hAnsi="Cambria"/>
          <w:color w:val="000000"/>
          <w:sz w:val="16"/>
          <w:szCs w:val="16"/>
          <w:lang w:eastAsia="es-ES"/>
        </w:rPr>
        <w:t>3°) When the witness has died, is absent from the country, his residence is ignored or he is disabled for any reason to testify.</w:t>
      </w:r>
    </w:p>
    <w:p w14:paraId="415C8495" w14:textId="76E608E1" w:rsidR="00165AF7" w:rsidRPr="00FD77E1" w:rsidRDefault="00165AF7" w:rsidP="00FD77E1">
      <w:pPr>
        <w:spacing w:after="0" w:line="240" w:lineRule="auto"/>
        <w:jc w:val="both"/>
        <w:rPr>
          <w:rFonts w:ascii="Cambria" w:eastAsia="Times New Roman" w:hAnsi="Cambria"/>
          <w:color w:val="000000"/>
          <w:sz w:val="16"/>
          <w:szCs w:val="16"/>
          <w:lang w:eastAsia="es-ES"/>
        </w:rPr>
      </w:pPr>
      <w:r w:rsidRPr="00FD77E1">
        <w:rPr>
          <w:rFonts w:ascii="Cambria" w:eastAsia="Times New Roman" w:hAnsi="Cambria"/>
          <w:color w:val="000000"/>
          <w:sz w:val="16"/>
          <w:szCs w:val="16"/>
          <w:lang w:eastAsia="es-ES"/>
        </w:rPr>
        <w:t xml:space="preserve">4°) When the witness has declared by means of a warrant or report, provided that his testimony had been offered in accordance with the provisions of </w:t>
      </w:r>
      <w:r w:rsidR="000A6FA0" w:rsidRPr="00FD77E1">
        <w:rPr>
          <w:rFonts w:ascii="Cambria" w:eastAsia="Times New Roman" w:hAnsi="Cambria"/>
          <w:color w:val="000000"/>
          <w:sz w:val="16"/>
          <w:szCs w:val="16"/>
          <w:lang w:eastAsia="es-ES"/>
        </w:rPr>
        <w:t>Article</w:t>
      </w:r>
      <w:r w:rsidRPr="00FD77E1">
        <w:rPr>
          <w:rFonts w:ascii="Cambria" w:eastAsia="Times New Roman" w:hAnsi="Cambria"/>
          <w:color w:val="000000"/>
          <w:sz w:val="16"/>
          <w:szCs w:val="16"/>
          <w:lang w:eastAsia="es-ES"/>
        </w:rPr>
        <w:t>s 357 or 386.</w:t>
      </w:r>
    </w:p>
  </w:footnote>
  <w:footnote w:id="29">
    <w:p w14:paraId="1557123C"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30">
    <w:p w14:paraId="486353ED"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Judgment of the Oral Criminal Court No. 15 of the Federal Capital, February 25, 1999. Attached to the initial petition.</w:t>
      </w:r>
    </w:p>
  </w:footnote>
  <w:footnote w:id="31">
    <w:p w14:paraId="2597738E"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Cassation Appeal, undated. Attached to the initial petition.</w:t>
      </w:r>
    </w:p>
  </w:footnote>
  <w:footnote w:id="32">
    <w:p w14:paraId="3E38DADD"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Cassation Appeal, undated. Attached to the initial petition.</w:t>
      </w:r>
    </w:p>
  </w:footnote>
  <w:footnote w:id="33">
    <w:p w14:paraId="263126AE"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Cassation Appeal, undated. Attached to the initial petition.</w:t>
      </w:r>
    </w:p>
  </w:footnote>
  <w:footnote w:id="34">
    <w:p w14:paraId="46A5A53F"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Resolution of the National Chamber of Criminal Cassation, April 23, 1999. Attached to the initial petition. </w:t>
      </w:r>
    </w:p>
  </w:footnote>
  <w:footnote w:id="35">
    <w:p w14:paraId="5BC13907"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Resolution of the National Chamber of Criminal Cassation, April 23, 1999. Attached to the initial petition.</w:t>
      </w:r>
    </w:p>
  </w:footnote>
  <w:footnote w:id="36">
    <w:p w14:paraId="1EB5A4E6"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Resolution of the National Chamber of Criminal Cassation, April 23, 1999. Attached to the initial petition.</w:t>
      </w:r>
    </w:p>
  </w:footnote>
  <w:footnote w:id="37">
    <w:p w14:paraId="3983DFDA"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Resolution of the National Chamber of Criminal Cassation, April 23, 1999. Attached to the initial petition.</w:t>
      </w:r>
    </w:p>
  </w:footnote>
  <w:footnote w:id="38">
    <w:p w14:paraId="132F6EF0"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Resolution of the Supreme Court of the Nation, August 2, 2000. Attached to the initial petition.</w:t>
      </w:r>
    </w:p>
  </w:footnote>
  <w:footnote w:id="39">
    <w:p w14:paraId="1DBF9E45"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Resolution of the Supreme Court of the Nation, August 2, 2000. Attached to the initial petition.</w:t>
      </w:r>
    </w:p>
  </w:footnote>
  <w:footnote w:id="40">
    <w:p w14:paraId="5B276F91"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Communication submitted by the petitioner, January 9, 2009. </w:t>
      </w:r>
    </w:p>
  </w:footnote>
  <w:footnote w:id="41">
    <w:p w14:paraId="12EFF7DA"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Article 8. </w:t>
      </w:r>
      <w:r w:rsidRPr="00FD77E1">
        <w:rPr>
          <w:rFonts w:ascii="Cambria" w:hAnsi="Cambria"/>
          <w:bCs/>
          <w:sz w:val="16"/>
          <w:szCs w:val="16"/>
        </w:rPr>
        <w:t>Right to a Fair Trial</w:t>
      </w:r>
      <w:r w:rsidRPr="00FD77E1">
        <w:rPr>
          <w:rFonts w:ascii="Cambria" w:hAnsi="Cambria"/>
          <w:sz w:val="16"/>
          <w:szCs w:val="16"/>
        </w:rPr>
        <w:t>.</w:t>
      </w:r>
    </w:p>
    <w:p w14:paraId="1B04286F" w14:textId="77777777" w:rsidR="00165AF7" w:rsidRPr="00FD77E1" w:rsidRDefault="00165AF7" w:rsidP="00FD77E1">
      <w:pPr>
        <w:spacing w:after="0" w:line="240" w:lineRule="auto"/>
        <w:jc w:val="both"/>
        <w:rPr>
          <w:rFonts w:ascii="Cambria" w:eastAsia="Times New Roman" w:hAnsi="Cambria" w:cs="Tahoma"/>
          <w:color w:val="000000"/>
          <w:sz w:val="16"/>
          <w:szCs w:val="16"/>
          <w:lang w:eastAsia="es-ES"/>
        </w:rPr>
      </w:pPr>
      <w:r w:rsidRPr="00FD77E1">
        <w:rPr>
          <w:rFonts w:ascii="Cambria" w:eastAsia="Times New Roman" w:hAnsi="Cambria" w:cs="Tahoma"/>
          <w:color w:val="000000"/>
          <w:sz w:val="16"/>
          <w:szCs w:val="16"/>
          <w:lang w:eastAsia="es-ES"/>
        </w:rPr>
        <w:t>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14:paraId="098FF3AF" w14:textId="77777777" w:rsidR="00165AF7" w:rsidRPr="00FD77E1" w:rsidRDefault="00165AF7" w:rsidP="00FD77E1">
      <w:pPr>
        <w:spacing w:after="0" w:line="240" w:lineRule="auto"/>
        <w:jc w:val="both"/>
        <w:rPr>
          <w:rFonts w:ascii="Cambria" w:eastAsia="Times New Roman" w:hAnsi="Cambria" w:cs="Tahoma"/>
          <w:color w:val="000000"/>
          <w:sz w:val="16"/>
          <w:szCs w:val="16"/>
          <w:lang w:eastAsia="es-ES"/>
        </w:rPr>
      </w:pPr>
      <w:r w:rsidRPr="00FD77E1">
        <w:rPr>
          <w:rFonts w:ascii="Cambria" w:eastAsia="Times New Roman" w:hAnsi="Cambria" w:cs="Tahoma"/>
          <w:color w:val="000000"/>
          <w:sz w:val="16"/>
          <w:szCs w:val="16"/>
          <w:lang w:eastAsia="es-ES"/>
        </w:rPr>
        <w:t> 2. Every person accused of a criminal offense has the right to be presumed innocent so long as his guilt has not been proven according to law. During the proceedings, every person is entitled, with full equality, to the following minimum guarantees:</w:t>
      </w:r>
    </w:p>
    <w:p w14:paraId="72842D61" w14:textId="77777777" w:rsidR="00165AF7" w:rsidRPr="00FD77E1" w:rsidRDefault="00165AF7" w:rsidP="00FD77E1">
      <w:pPr>
        <w:spacing w:after="0" w:line="240" w:lineRule="auto"/>
        <w:jc w:val="both"/>
        <w:rPr>
          <w:rFonts w:ascii="Cambria" w:eastAsia="Times New Roman" w:hAnsi="Cambria" w:cs="Tahoma"/>
          <w:color w:val="000000"/>
          <w:sz w:val="16"/>
          <w:szCs w:val="16"/>
          <w:lang w:eastAsia="es-ES"/>
        </w:rPr>
      </w:pPr>
      <w:r w:rsidRPr="00FD77E1">
        <w:rPr>
          <w:rFonts w:ascii="Cambria" w:eastAsia="Times New Roman" w:hAnsi="Cambria" w:cs="Tahoma"/>
          <w:color w:val="000000"/>
          <w:sz w:val="16"/>
          <w:szCs w:val="16"/>
          <w:lang w:eastAsia="es-ES"/>
        </w:rPr>
        <w:t>(…)</w:t>
      </w:r>
    </w:p>
    <w:p w14:paraId="53CDD3E7" w14:textId="77777777" w:rsidR="00165AF7" w:rsidRPr="00FD77E1" w:rsidRDefault="00165AF7" w:rsidP="00FD77E1">
      <w:pPr>
        <w:spacing w:after="0" w:line="240" w:lineRule="auto"/>
        <w:jc w:val="both"/>
        <w:rPr>
          <w:rFonts w:ascii="Cambria" w:eastAsia="Times New Roman" w:hAnsi="Cambria" w:cs="Tahoma"/>
          <w:color w:val="000000"/>
          <w:sz w:val="16"/>
          <w:szCs w:val="16"/>
          <w:lang w:eastAsia="es-ES"/>
        </w:rPr>
      </w:pPr>
      <w:r w:rsidRPr="00FD77E1">
        <w:rPr>
          <w:rFonts w:ascii="Cambria" w:eastAsia="Times New Roman" w:hAnsi="Cambria" w:cs="Tahoma"/>
          <w:color w:val="000000"/>
          <w:sz w:val="16"/>
          <w:szCs w:val="16"/>
          <w:lang w:eastAsia="es-ES"/>
        </w:rPr>
        <w:t> c)  adequate time and means for the preparation of his defense;</w:t>
      </w:r>
    </w:p>
    <w:p w14:paraId="1A4733E4" w14:textId="77777777" w:rsidR="00165AF7" w:rsidRPr="00FD77E1" w:rsidRDefault="00165AF7" w:rsidP="00FD77E1">
      <w:pPr>
        <w:spacing w:after="0" w:line="240" w:lineRule="auto"/>
        <w:jc w:val="both"/>
        <w:rPr>
          <w:rFonts w:ascii="Cambria" w:eastAsia="Times New Roman" w:hAnsi="Cambria" w:cs="Tahoma"/>
          <w:color w:val="000000"/>
          <w:sz w:val="16"/>
          <w:szCs w:val="16"/>
          <w:lang w:eastAsia="es-ES"/>
        </w:rPr>
      </w:pPr>
      <w:r w:rsidRPr="00FD77E1">
        <w:rPr>
          <w:rFonts w:ascii="Cambria" w:eastAsia="Times New Roman" w:hAnsi="Cambria" w:cs="Tahoma"/>
          <w:color w:val="000000"/>
          <w:sz w:val="16"/>
          <w:szCs w:val="16"/>
          <w:lang w:eastAsia="es-ES"/>
        </w:rPr>
        <w:t> (…)</w:t>
      </w:r>
    </w:p>
    <w:p w14:paraId="389E65AE" w14:textId="77777777" w:rsidR="00165AF7" w:rsidRPr="00FD77E1" w:rsidRDefault="00165AF7" w:rsidP="00FD77E1">
      <w:pPr>
        <w:spacing w:after="0" w:line="240" w:lineRule="auto"/>
        <w:jc w:val="both"/>
        <w:rPr>
          <w:rFonts w:ascii="Cambria" w:eastAsia="Times New Roman" w:hAnsi="Cambria" w:cs="Tahoma"/>
          <w:color w:val="000000"/>
          <w:sz w:val="16"/>
          <w:szCs w:val="16"/>
          <w:lang w:eastAsia="es-ES"/>
        </w:rPr>
      </w:pPr>
      <w:r w:rsidRPr="00FD77E1">
        <w:rPr>
          <w:rFonts w:ascii="Cambria" w:eastAsia="Times New Roman" w:hAnsi="Cambria" w:cs="Tahoma"/>
          <w:color w:val="000000"/>
          <w:sz w:val="16"/>
          <w:szCs w:val="16"/>
          <w:lang w:eastAsia="es-ES"/>
        </w:rPr>
        <w:t> f)  the right of the defense to examine witnesses present in the court and to obtain the appearance, as witnesses, of experts or other persons who may throw light on the facts;</w:t>
      </w:r>
    </w:p>
    <w:p w14:paraId="2FAF925D" w14:textId="77777777" w:rsidR="00165AF7" w:rsidRPr="00FD77E1" w:rsidRDefault="00165AF7" w:rsidP="00FD77E1">
      <w:pPr>
        <w:spacing w:after="0" w:line="240" w:lineRule="auto"/>
        <w:jc w:val="both"/>
        <w:rPr>
          <w:rFonts w:ascii="Cambria" w:eastAsia="Times New Roman" w:hAnsi="Cambria" w:cs="Tahoma"/>
          <w:color w:val="000000"/>
          <w:sz w:val="16"/>
          <w:szCs w:val="16"/>
          <w:lang w:eastAsia="es-ES"/>
        </w:rPr>
      </w:pPr>
      <w:r w:rsidRPr="00FD77E1">
        <w:rPr>
          <w:rFonts w:ascii="Cambria" w:eastAsia="Times New Roman" w:hAnsi="Cambria" w:cs="Tahoma"/>
          <w:color w:val="000000"/>
          <w:sz w:val="16"/>
          <w:szCs w:val="16"/>
          <w:lang w:eastAsia="es-ES"/>
        </w:rPr>
        <w:t> (…)</w:t>
      </w:r>
    </w:p>
    <w:p w14:paraId="7D8EBE91" w14:textId="77777777" w:rsidR="00165AF7" w:rsidRPr="00FD77E1" w:rsidRDefault="00165AF7" w:rsidP="00FD77E1">
      <w:pPr>
        <w:spacing w:after="0" w:line="240" w:lineRule="auto"/>
        <w:jc w:val="both"/>
        <w:rPr>
          <w:rFonts w:ascii="Cambria" w:eastAsia="Times New Roman" w:hAnsi="Cambria" w:cs="Tahoma"/>
          <w:color w:val="000000"/>
          <w:sz w:val="16"/>
          <w:szCs w:val="16"/>
          <w:lang w:eastAsia="es-ES"/>
        </w:rPr>
      </w:pPr>
      <w:r w:rsidRPr="00FD77E1">
        <w:rPr>
          <w:rFonts w:ascii="Cambria" w:eastAsia="Times New Roman" w:hAnsi="Cambria" w:cs="Tahoma"/>
          <w:color w:val="000000"/>
          <w:sz w:val="16"/>
          <w:szCs w:val="16"/>
          <w:lang w:eastAsia="es-ES"/>
        </w:rPr>
        <w:t> h) der</w:t>
      </w:r>
      <w:r w:rsidRPr="00FD77E1">
        <w:rPr>
          <w:rFonts w:ascii="Cambria" w:eastAsia="Times New Roman" w:hAnsi="Cambria" w:cs="Tahoma"/>
          <w:color w:val="000000"/>
          <w:sz w:val="16"/>
          <w:szCs w:val="16"/>
          <w:lang w:eastAsia="en-GB"/>
        </w:rPr>
        <w:t xml:space="preserve"> </w:t>
      </w:r>
      <w:r w:rsidRPr="00FD77E1">
        <w:rPr>
          <w:rFonts w:ascii="Cambria" w:eastAsia="Times New Roman" w:hAnsi="Cambria" w:cs="Tahoma"/>
          <w:color w:val="000000"/>
          <w:sz w:val="16"/>
          <w:szCs w:val="16"/>
          <w:lang w:eastAsia="es-ES"/>
        </w:rPr>
        <w:t>the right to appeal the judgment to a higher court.</w:t>
      </w:r>
    </w:p>
    <w:p w14:paraId="6831B723" w14:textId="77777777" w:rsidR="00165AF7" w:rsidRPr="00FD77E1" w:rsidRDefault="00165AF7" w:rsidP="00FD77E1">
      <w:pPr>
        <w:spacing w:after="0" w:line="240" w:lineRule="auto"/>
        <w:jc w:val="both"/>
        <w:rPr>
          <w:rFonts w:ascii="Cambria" w:eastAsia="Times New Roman" w:hAnsi="Cambria" w:cs="Tahoma"/>
          <w:color w:val="000000"/>
          <w:sz w:val="16"/>
          <w:szCs w:val="16"/>
          <w:lang w:eastAsia="es-ES"/>
        </w:rPr>
      </w:pPr>
      <w:r w:rsidRPr="00FD77E1">
        <w:rPr>
          <w:rFonts w:ascii="Cambria" w:eastAsia="Times New Roman" w:hAnsi="Cambria" w:cs="Tahoma"/>
          <w:color w:val="000000"/>
          <w:sz w:val="16"/>
          <w:szCs w:val="16"/>
          <w:lang w:eastAsia="es-ES"/>
        </w:rPr>
        <w:t> (…)</w:t>
      </w:r>
    </w:p>
  </w:footnote>
  <w:footnote w:id="42">
    <w:p w14:paraId="564B9A4C"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Article 25. </w:t>
      </w:r>
      <w:r w:rsidRPr="00FD77E1">
        <w:rPr>
          <w:rFonts w:ascii="Cambria" w:hAnsi="Cambria"/>
          <w:bCs/>
          <w:sz w:val="16"/>
          <w:szCs w:val="16"/>
        </w:rPr>
        <w:t>Right to Judicial Protection</w:t>
      </w:r>
      <w:r w:rsidRPr="00FD77E1">
        <w:rPr>
          <w:rFonts w:ascii="Cambria" w:hAnsi="Cambria"/>
          <w:sz w:val="16"/>
          <w:szCs w:val="16"/>
        </w:rPr>
        <w:t>.</w:t>
      </w:r>
    </w:p>
    <w:p w14:paraId="2D6B349F" w14:textId="77777777" w:rsidR="00165AF7" w:rsidRPr="00FD77E1" w:rsidRDefault="00165AF7" w:rsidP="00FD77E1">
      <w:pPr>
        <w:spacing w:after="0" w:line="240" w:lineRule="auto"/>
        <w:jc w:val="both"/>
        <w:rPr>
          <w:rFonts w:ascii="Cambria" w:eastAsia="Times New Roman" w:hAnsi="Cambria" w:cs="Tahoma"/>
          <w:color w:val="000000"/>
          <w:sz w:val="16"/>
          <w:szCs w:val="16"/>
          <w:lang w:eastAsia="es-ES"/>
        </w:rPr>
      </w:pPr>
      <w:r w:rsidRPr="00FD77E1">
        <w:rPr>
          <w:rFonts w:ascii="Cambria" w:eastAsia="Times New Roman" w:hAnsi="Cambria" w:cs="Tahoma"/>
          <w:color w:val="000000"/>
          <w:sz w:val="16"/>
          <w:szCs w:val="16"/>
          <w:lang w:eastAsia="es-ES"/>
        </w:rPr>
        <w:t>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43">
    <w:p w14:paraId="04CE7788" w14:textId="77777777" w:rsidR="00165AF7" w:rsidRPr="00FD77E1" w:rsidRDefault="00165AF7" w:rsidP="00FD77E1">
      <w:pPr>
        <w:pStyle w:val="FootnoteText"/>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IACHR. Report No. 76/11. Case 11.769 A. Merits. J. Peru. July 20, 2011. Par. 248; IACHR, Report No. 78/15, Case 12.831. Merits (Publication), Kevin Cooper, United States. October 28, 2015, Par.129.  </w:t>
      </w:r>
    </w:p>
  </w:footnote>
  <w:footnote w:id="44">
    <w:p w14:paraId="7FCC3F9E" w14:textId="77777777" w:rsidR="00165AF7" w:rsidRPr="00FD77E1" w:rsidRDefault="00165AF7" w:rsidP="00FD77E1">
      <w:pPr>
        <w:spacing w:after="0" w:line="240" w:lineRule="auto"/>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I.A. Court, </w:t>
      </w:r>
      <w:r w:rsidRPr="00FD77E1">
        <w:rPr>
          <w:rFonts w:ascii="Cambria" w:hAnsi="Cambria"/>
          <w:bCs/>
          <w:i/>
          <w:sz w:val="16"/>
          <w:szCs w:val="16"/>
        </w:rPr>
        <w:t xml:space="preserve">Case Barreto </w:t>
      </w:r>
      <w:proofErr w:type="spellStart"/>
      <w:r w:rsidRPr="00FD77E1">
        <w:rPr>
          <w:rFonts w:ascii="Cambria" w:hAnsi="Cambria"/>
          <w:bCs/>
          <w:i/>
          <w:sz w:val="16"/>
          <w:szCs w:val="16"/>
        </w:rPr>
        <w:t>Leiva</w:t>
      </w:r>
      <w:proofErr w:type="spellEnd"/>
      <w:r w:rsidRPr="00FD77E1">
        <w:rPr>
          <w:rFonts w:ascii="Cambria" w:hAnsi="Cambria"/>
          <w:bCs/>
          <w:i/>
          <w:sz w:val="16"/>
          <w:szCs w:val="16"/>
        </w:rPr>
        <w:t xml:space="preserve"> v. Venezuela.</w:t>
      </w:r>
      <w:r w:rsidRPr="00FD77E1">
        <w:rPr>
          <w:rFonts w:ascii="Cambria" w:hAnsi="Cambria"/>
          <w:b/>
          <w:bCs/>
          <w:sz w:val="16"/>
          <w:szCs w:val="16"/>
        </w:rPr>
        <w:t xml:space="preserve"> </w:t>
      </w:r>
      <w:r w:rsidRPr="00FD77E1">
        <w:rPr>
          <w:rFonts w:ascii="Cambria" w:hAnsi="Cambria"/>
          <w:sz w:val="16"/>
          <w:szCs w:val="16"/>
        </w:rPr>
        <w:t xml:space="preserve">Merits, Reparations and Costs. Judgement of November 17, 2009. Series C No. 206. Par. 29. </w:t>
      </w:r>
    </w:p>
  </w:footnote>
  <w:footnote w:id="45">
    <w:p w14:paraId="59B19ED6" w14:textId="77777777" w:rsidR="00165AF7" w:rsidRPr="00FD77E1" w:rsidRDefault="00165AF7" w:rsidP="00FD77E1">
      <w:pPr>
        <w:pStyle w:val="FootnoteText"/>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ACHR. Report No. 76/11. Case 11.769 A. Merits. J. Peru. July 20, 2011. Par. 248; IACHR, Report No. 78/15, Case 12.831. Merits (Publication), Kevin Cooper, United States. October 28, 2015, Par.129.  </w:t>
      </w:r>
    </w:p>
  </w:footnote>
  <w:footnote w:id="46">
    <w:p w14:paraId="0E275D20" w14:textId="77777777" w:rsidR="00165AF7" w:rsidRPr="00FD77E1" w:rsidRDefault="00165AF7" w:rsidP="00FD77E1">
      <w:pPr>
        <w:autoSpaceDE w:val="0"/>
        <w:autoSpaceDN w:val="0"/>
        <w:adjustRightInd w:val="0"/>
        <w:spacing w:after="0" w:line="240" w:lineRule="auto"/>
        <w:jc w:val="both"/>
        <w:rPr>
          <w:rFonts w:ascii="Cambria" w:hAnsi="Cambria" w:cs="ACaslonPro-Regular"/>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I.A. Court. </w:t>
      </w:r>
      <w:r w:rsidRPr="00FD77E1">
        <w:rPr>
          <w:rFonts w:ascii="Cambria" w:hAnsi="Cambria" w:cs="ACaslonPro-Italic"/>
          <w:i/>
          <w:iCs/>
          <w:sz w:val="16"/>
          <w:szCs w:val="16"/>
          <w:lang w:val="es-CO"/>
        </w:rPr>
        <w:t>Case Chaparro Álvarez and Lapo Íñiguez v. Ecuador</w:t>
      </w:r>
      <w:r w:rsidRPr="00FD77E1">
        <w:rPr>
          <w:rFonts w:ascii="Cambria" w:hAnsi="Cambria"/>
          <w:sz w:val="16"/>
          <w:szCs w:val="16"/>
          <w:lang w:val="es-CO"/>
        </w:rPr>
        <w:t xml:space="preserve">. </w:t>
      </w:r>
      <w:r w:rsidRPr="00FD77E1">
        <w:rPr>
          <w:rFonts w:ascii="Cambria" w:hAnsi="Cambria"/>
          <w:sz w:val="16"/>
          <w:szCs w:val="16"/>
        </w:rPr>
        <w:t>Judgement of November 21, 2007, Par. 154.</w:t>
      </w:r>
    </w:p>
  </w:footnote>
  <w:footnote w:id="47">
    <w:p w14:paraId="172C3EE3" w14:textId="77777777" w:rsidR="00165AF7" w:rsidRPr="00FD77E1" w:rsidRDefault="00165AF7" w:rsidP="00FD77E1">
      <w:pPr>
        <w:pStyle w:val="FootnoteText"/>
        <w:jc w:val="both"/>
        <w:rPr>
          <w:rFonts w:ascii="Cambria" w:hAnsi="Cambria"/>
          <w:b/>
          <w:sz w:val="16"/>
          <w:szCs w:val="16"/>
        </w:rPr>
      </w:pPr>
      <w:r w:rsidRPr="00FD77E1">
        <w:rPr>
          <w:rStyle w:val="FootnoteReference"/>
          <w:rFonts w:ascii="Cambria" w:hAnsi="Cambria"/>
          <w:b/>
          <w:sz w:val="16"/>
          <w:szCs w:val="16"/>
        </w:rPr>
        <w:footnoteRef/>
      </w:r>
      <w:r w:rsidRPr="00FD77E1">
        <w:rPr>
          <w:rFonts w:ascii="Cambria" w:hAnsi="Cambria"/>
          <w:b/>
          <w:sz w:val="16"/>
          <w:szCs w:val="16"/>
        </w:rPr>
        <w:t xml:space="preserve"> </w:t>
      </w:r>
      <w:r w:rsidRPr="00FD77E1">
        <w:rPr>
          <w:rStyle w:val="Strong"/>
          <w:rFonts w:ascii="Cambria" w:hAnsi="Cambria"/>
          <w:b w:val="0"/>
          <w:sz w:val="16"/>
          <w:szCs w:val="16"/>
          <w:shd w:val="clear" w:color="auto" w:fill="FFFFFF"/>
        </w:rPr>
        <w:t xml:space="preserve">I.A. Court. </w:t>
      </w:r>
      <w:r w:rsidRPr="00FD77E1">
        <w:rPr>
          <w:rStyle w:val="Strong"/>
          <w:rFonts w:ascii="Cambria" w:hAnsi="Cambria"/>
          <w:b w:val="0"/>
          <w:i/>
          <w:sz w:val="16"/>
          <w:szCs w:val="16"/>
          <w:shd w:val="clear" w:color="auto" w:fill="FFFFFF"/>
        </w:rPr>
        <w:t xml:space="preserve">Case </w:t>
      </w:r>
      <w:proofErr w:type="spellStart"/>
      <w:r w:rsidRPr="00FD77E1">
        <w:rPr>
          <w:rStyle w:val="Strong"/>
          <w:rFonts w:ascii="Cambria" w:hAnsi="Cambria"/>
          <w:b w:val="0"/>
          <w:i/>
          <w:sz w:val="16"/>
          <w:szCs w:val="16"/>
          <w:shd w:val="clear" w:color="auto" w:fill="FFFFFF"/>
        </w:rPr>
        <w:t>Norín</w:t>
      </w:r>
      <w:proofErr w:type="spellEnd"/>
      <w:r w:rsidRPr="00FD77E1">
        <w:rPr>
          <w:rStyle w:val="Strong"/>
          <w:rFonts w:ascii="Cambria" w:hAnsi="Cambria"/>
          <w:b w:val="0"/>
          <w:i/>
          <w:sz w:val="16"/>
          <w:szCs w:val="16"/>
          <w:shd w:val="clear" w:color="auto" w:fill="FFFFFF"/>
        </w:rPr>
        <w:t xml:space="preserve"> </w:t>
      </w:r>
      <w:proofErr w:type="spellStart"/>
      <w:r w:rsidRPr="00FD77E1">
        <w:rPr>
          <w:rStyle w:val="Strong"/>
          <w:rFonts w:ascii="Cambria" w:hAnsi="Cambria"/>
          <w:b w:val="0"/>
          <w:i/>
          <w:sz w:val="16"/>
          <w:szCs w:val="16"/>
          <w:shd w:val="clear" w:color="auto" w:fill="FFFFFF"/>
        </w:rPr>
        <w:t>Catrimán</w:t>
      </w:r>
      <w:proofErr w:type="spellEnd"/>
      <w:r w:rsidRPr="00FD77E1">
        <w:rPr>
          <w:rStyle w:val="Strong"/>
          <w:rFonts w:ascii="Cambria" w:hAnsi="Cambria"/>
          <w:b w:val="0"/>
          <w:i/>
          <w:sz w:val="16"/>
          <w:szCs w:val="16"/>
          <w:shd w:val="clear" w:color="auto" w:fill="FFFFFF"/>
        </w:rPr>
        <w:t xml:space="preserve"> et al. (Leaders, members and activist of the </w:t>
      </w:r>
      <w:proofErr w:type="spellStart"/>
      <w:r w:rsidRPr="00FD77E1">
        <w:rPr>
          <w:rStyle w:val="Strong"/>
          <w:rFonts w:ascii="Cambria" w:hAnsi="Cambria"/>
          <w:b w:val="0"/>
          <w:i/>
          <w:sz w:val="16"/>
          <w:szCs w:val="16"/>
          <w:shd w:val="clear" w:color="auto" w:fill="FFFFFF"/>
        </w:rPr>
        <w:t>Mapuche</w:t>
      </w:r>
      <w:proofErr w:type="spellEnd"/>
      <w:r w:rsidRPr="00FD77E1">
        <w:rPr>
          <w:rStyle w:val="Strong"/>
          <w:rFonts w:ascii="Cambria" w:hAnsi="Cambria"/>
          <w:b w:val="0"/>
          <w:i/>
          <w:sz w:val="16"/>
          <w:szCs w:val="16"/>
          <w:shd w:val="clear" w:color="auto" w:fill="FFFFFF"/>
        </w:rPr>
        <w:t xml:space="preserve"> Indigenous People) v. Chile</w:t>
      </w:r>
      <w:r w:rsidRPr="00FD77E1">
        <w:rPr>
          <w:rStyle w:val="Strong"/>
          <w:rFonts w:ascii="Cambria" w:hAnsi="Cambria"/>
          <w:b w:val="0"/>
          <w:sz w:val="16"/>
          <w:szCs w:val="16"/>
          <w:shd w:val="clear" w:color="auto" w:fill="FFFFFF"/>
        </w:rPr>
        <w:t xml:space="preserve">. </w:t>
      </w:r>
      <w:r w:rsidRPr="00FD77E1">
        <w:rPr>
          <w:rFonts w:ascii="Cambria" w:hAnsi="Cambria"/>
          <w:sz w:val="16"/>
          <w:szCs w:val="16"/>
        </w:rPr>
        <w:t xml:space="preserve">Merits, Reparations and Costs. Judgement of </w:t>
      </w:r>
      <w:r w:rsidRPr="00FD77E1">
        <w:rPr>
          <w:rStyle w:val="Strong"/>
          <w:rFonts w:ascii="Cambria" w:hAnsi="Cambria"/>
          <w:b w:val="0"/>
          <w:sz w:val="16"/>
          <w:szCs w:val="16"/>
          <w:shd w:val="clear" w:color="auto" w:fill="FFFFFF"/>
        </w:rPr>
        <w:t>May 29, 2014. Series C No. 279, Par. 242.</w:t>
      </w:r>
    </w:p>
  </w:footnote>
  <w:footnote w:id="48">
    <w:p w14:paraId="17754F07"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IACHR. Report No. 82/13. Case 12.679. Merits. José </w:t>
      </w:r>
      <w:proofErr w:type="spellStart"/>
      <w:r w:rsidRPr="00FD77E1">
        <w:rPr>
          <w:rFonts w:ascii="Cambria" w:hAnsi="Cambria"/>
          <w:sz w:val="16"/>
          <w:szCs w:val="16"/>
        </w:rPr>
        <w:t>Agapito</w:t>
      </w:r>
      <w:proofErr w:type="spellEnd"/>
      <w:r w:rsidRPr="00FD77E1">
        <w:rPr>
          <w:rFonts w:ascii="Cambria" w:hAnsi="Cambria"/>
          <w:sz w:val="16"/>
          <w:szCs w:val="16"/>
        </w:rPr>
        <w:t xml:space="preserve"> </w:t>
      </w:r>
      <w:proofErr w:type="spellStart"/>
      <w:r w:rsidRPr="00FD77E1">
        <w:rPr>
          <w:rFonts w:ascii="Cambria" w:hAnsi="Cambria"/>
          <w:sz w:val="16"/>
          <w:szCs w:val="16"/>
        </w:rPr>
        <w:t>Ruano</w:t>
      </w:r>
      <w:proofErr w:type="spellEnd"/>
      <w:r w:rsidRPr="00FD77E1">
        <w:rPr>
          <w:rFonts w:ascii="Cambria" w:hAnsi="Cambria"/>
          <w:sz w:val="16"/>
          <w:szCs w:val="16"/>
        </w:rPr>
        <w:t xml:space="preserve"> Torres and family. El Salvador. November 4, 2013, Par. 141.</w:t>
      </w:r>
    </w:p>
  </w:footnote>
  <w:footnote w:id="49">
    <w:p w14:paraId="0A657ABD"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European Court of Human Rights (ECHR).  </w:t>
      </w:r>
      <w:proofErr w:type="spellStart"/>
      <w:r w:rsidRPr="00FD77E1">
        <w:rPr>
          <w:rFonts w:ascii="Cambria" w:hAnsi="Cambria"/>
          <w:bCs/>
          <w:i/>
          <w:iCs/>
          <w:spacing w:val="-4"/>
          <w:sz w:val="16"/>
          <w:szCs w:val="16"/>
        </w:rPr>
        <w:t>Kostovski</w:t>
      </w:r>
      <w:proofErr w:type="spellEnd"/>
      <w:r w:rsidRPr="00FD77E1">
        <w:rPr>
          <w:rFonts w:ascii="Cambria" w:hAnsi="Cambria"/>
          <w:bCs/>
          <w:i/>
          <w:iCs/>
          <w:spacing w:val="-4"/>
          <w:sz w:val="16"/>
          <w:szCs w:val="16"/>
        </w:rPr>
        <w:t xml:space="preserve"> v. The Netherlands</w:t>
      </w:r>
      <w:r w:rsidRPr="00FD77E1">
        <w:rPr>
          <w:rFonts w:ascii="Cambria" w:hAnsi="Cambria"/>
          <w:bCs/>
          <w:iCs/>
          <w:spacing w:val="-4"/>
          <w:sz w:val="16"/>
          <w:szCs w:val="16"/>
        </w:rPr>
        <w:t>. Judgement of November 20, 1989, Pars. 42-43; and</w:t>
      </w:r>
      <w:r w:rsidRPr="00FD77E1">
        <w:rPr>
          <w:rFonts w:ascii="Cambria" w:hAnsi="Cambria"/>
          <w:bCs/>
          <w:i/>
          <w:iCs/>
          <w:spacing w:val="-4"/>
          <w:sz w:val="16"/>
          <w:szCs w:val="16"/>
        </w:rPr>
        <w:t xml:space="preserve"> </w:t>
      </w:r>
      <w:proofErr w:type="spellStart"/>
      <w:r w:rsidRPr="00FD77E1">
        <w:rPr>
          <w:rFonts w:ascii="Cambria" w:hAnsi="Cambria"/>
          <w:bCs/>
          <w:i/>
          <w:iCs/>
          <w:spacing w:val="-4"/>
          <w:sz w:val="16"/>
          <w:szCs w:val="16"/>
        </w:rPr>
        <w:t>Windisch</w:t>
      </w:r>
      <w:proofErr w:type="spellEnd"/>
      <w:r w:rsidRPr="00FD77E1">
        <w:rPr>
          <w:rFonts w:ascii="Cambria" w:hAnsi="Cambria"/>
          <w:bCs/>
          <w:i/>
          <w:iCs/>
          <w:spacing w:val="-4"/>
          <w:sz w:val="16"/>
          <w:szCs w:val="16"/>
        </w:rPr>
        <w:t xml:space="preserve"> v. Austria</w:t>
      </w:r>
      <w:r w:rsidRPr="00FD77E1">
        <w:rPr>
          <w:rFonts w:ascii="Cambria" w:hAnsi="Cambria"/>
          <w:bCs/>
          <w:iCs/>
          <w:spacing w:val="-4"/>
          <w:sz w:val="16"/>
          <w:szCs w:val="16"/>
        </w:rPr>
        <w:t xml:space="preserve">. Judgement of September 27, 1990, Pars. 28-29. </w:t>
      </w:r>
    </w:p>
  </w:footnote>
  <w:footnote w:id="50">
    <w:p w14:paraId="72226B2A" w14:textId="77777777" w:rsidR="00165AF7" w:rsidRPr="00FD77E1" w:rsidRDefault="00165AF7" w:rsidP="00FD77E1">
      <w:pPr>
        <w:pStyle w:val="FootnoteText"/>
        <w:tabs>
          <w:tab w:val="left" w:pos="0"/>
          <w:tab w:val="left" w:pos="720"/>
        </w:tabs>
        <w:jc w:val="both"/>
        <w:rPr>
          <w:rFonts w:ascii="Cambria" w:hAnsi="Cambria"/>
          <w:spacing w:val="-4"/>
          <w:sz w:val="16"/>
          <w:szCs w:val="16"/>
        </w:rPr>
      </w:pPr>
      <w:r w:rsidRPr="00FD77E1">
        <w:rPr>
          <w:rFonts w:ascii="Cambria" w:hAnsi="Cambria"/>
          <w:spacing w:val="-4"/>
          <w:sz w:val="16"/>
          <w:szCs w:val="16"/>
        </w:rPr>
        <w:tab/>
      </w:r>
      <w:r w:rsidRPr="00FD77E1">
        <w:rPr>
          <w:rStyle w:val="FootnoteReference"/>
          <w:rFonts w:ascii="Cambria" w:hAnsi="Cambria"/>
          <w:spacing w:val="-4"/>
          <w:sz w:val="16"/>
          <w:szCs w:val="16"/>
        </w:rPr>
        <w:footnoteRef/>
      </w:r>
      <w:r w:rsidRPr="00FD77E1">
        <w:rPr>
          <w:rFonts w:ascii="Cambria" w:hAnsi="Cambria"/>
          <w:spacing w:val="-4"/>
          <w:sz w:val="16"/>
          <w:szCs w:val="16"/>
        </w:rPr>
        <w:t xml:space="preserve"> ECHR. </w:t>
      </w:r>
      <w:proofErr w:type="spellStart"/>
      <w:r w:rsidRPr="00FD77E1">
        <w:rPr>
          <w:rFonts w:ascii="Cambria" w:hAnsi="Cambria"/>
          <w:bCs/>
          <w:i/>
          <w:iCs/>
          <w:spacing w:val="-4"/>
          <w:sz w:val="16"/>
          <w:szCs w:val="16"/>
        </w:rPr>
        <w:t>Doorson</w:t>
      </w:r>
      <w:proofErr w:type="spellEnd"/>
      <w:r w:rsidRPr="00FD77E1">
        <w:rPr>
          <w:rFonts w:ascii="Cambria" w:hAnsi="Cambria"/>
          <w:bCs/>
          <w:i/>
          <w:iCs/>
          <w:spacing w:val="-4"/>
          <w:sz w:val="16"/>
          <w:szCs w:val="16"/>
        </w:rPr>
        <w:t xml:space="preserve"> v. The Netherlands. </w:t>
      </w:r>
      <w:r w:rsidRPr="00FD77E1">
        <w:rPr>
          <w:rFonts w:ascii="Cambria" w:hAnsi="Cambria"/>
          <w:bCs/>
          <w:iCs/>
          <w:spacing w:val="-4"/>
          <w:sz w:val="16"/>
          <w:szCs w:val="16"/>
        </w:rPr>
        <w:t xml:space="preserve">Judgment of May 26, 1996, Par. 73; </w:t>
      </w:r>
      <w:r w:rsidRPr="00FD77E1">
        <w:rPr>
          <w:rFonts w:ascii="Cambria" w:hAnsi="Cambria"/>
          <w:bCs/>
          <w:i/>
          <w:iCs/>
          <w:spacing w:val="-4"/>
          <w:sz w:val="16"/>
          <w:szCs w:val="16"/>
        </w:rPr>
        <w:t xml:space="preserve">and Van </w:t>
      </w:r>
      <w:proofErr w:type="spellStart"/>
      <w:r w:rsidRPr="00FD77E1">
        <w:rPr>
          <w:rFonts w:ascii="Cambria" w:hAnsi="Cambria"/>
          <w:bCs/>
          <w:i/>
          <w:iCs/>
          <w:spacing w:val="-4"/>
          <w:sz w:val="16"/>
          <w:szCs w:val="16"/>
        </w:rPr>
        <w:t>Mechelen</w:t>
      </w:r>
      <w:proofErr w:type="spellEnd"/>
      <w:r w:rsidRPr="00FD77E1">
        <w:rPr>
          <w:rFonts w:ascii="Cambria" w:hAnsi="Cambria"/>
          <w:bCs/>
          <w:i/>
          <w:iCs/>
          <w:spacing w:val="-4"/>
          <w:sz w:val="16"/>
          <w:szCs w:val="16"/>
        </w:rPr>
        <w:t xml:space="preserve"> et al.  v. The Netherlands</w:t>
      </w:r>
      <w:r w:rsidRPr="00FD77E1">
        <w:rPr>
          <w:rFonts w:ascii="Cambria" w:hAnsi="Cambria"/>
          <w:bCs/>
          <w:iCs/>
          <w:spacing w:val="-4"/>
          <w:sz w:val="16"/>
          <w:szCs w:val="16"/>
        </w:rPr>
        <w:t xml:space="preserve">. Judgement of April 23, 1997, Pars. 59-60. </w:t>
      </w:r>
    </w:p>
  </w:footnote>
  <w:footnote w:id="51">
    <w:p w14:paraId="2D76278A"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ECHR. </w:t>
      </w:r>
      <w:r w:rsidRPr="00FD77E1">
        <w:rPr>
          <w:rFonts w:ascii="Cambria" w:hAnsi="Cambria"/>
          <w:i/>
          <w:sz w:val="16"/>
          <w:szCs w:val="16"/>
        </w:rPr>
        <w:t>Luca v. Italia</w:t>
      </w:r>
      <w:r w:rsidRPr="00FD77E1">
        <w:rPr>
          <w:rFonts w:ascii="Cambria" w:hAnsi="Cambria"/>
          <w:sz w:val="16"/>
          <w:szCs w:val="16"/>
        </w:rPr>
        <w:t xml:space="preserve">. Judgment of February 27, 2001, Par. 40. </w:t>
      </w:r>
    </w:p>
  </w:footnote>
  <w:footnote w:id="52">
    <w:p w14:paraId="28D7A796" w14:textId="77777777" w:rsidR="00165AF7" w:rsidRPr="00FD77E1" w:rsidRDefault="00165AF7" w:rsidP="00FD77E1">
      <w:pPr>
        <w:pStyle w:val="FootnoteText"/>
        <w:jc w:val="both"/>
        <w:rPr>
          <w:rFonts w:ascii="Cambria" w:hAnsi="Cambria"/>
          <w:b/>
          <w:sz w:val="16"/>
          <w:szCs w:val="16"/>
        </w:rPr>
      </w:pPr>
      <w:r w:rsidRPr="00FD77E1">
        <w:rPr>
          <w:rStyle w:val="FootnoteReference"/>
          <w:rFonts w:ascii="Cambria" w:hAnsi="Cambria"/>
          <w:b/>
          <w:sz w:val="16"/>
          <w:szCs w:val="16"/>
        </w:rPr>
        <w:footnoteRef/>
      </w:r>
      <w:r w:rsidRPr="001B6FEB">
        <w:rPr>
          <w:rFonts w:ascii="Cambria" w:hAnsi="Cambria"/>
          <w:b/>
          <w:sz w:val="16"/>
          <w:szCs w:val="16"/>
        </w:rPr>
        <w:t xml:space="preserve"> </w:t>
      </w:r>
      <w:r w:rsidRPr="001B6FEB">
        <w:rPr>
          <w:rStyle w:val="Strong"/>
          <w:rFonts w:ascii="Cambria" w:hAnsi="Cambria"/>
          <w:b w:val="0"/>
          <w:sz w:val="16"/>
          <w:szCs w:val="16"/>
          <w:shd w:val="clear" w:color="auto" w:fill="FFFFFF"/>
        </w:rPr>
        <w:t xml:space="preserve">I.A Court. </w:t>
      </w:r>
      <w:r w:rsidRPr="00FD77E1">
        <w:rPr>
          <w:rStyle w:val="Strong"/>
          <w:rFonts w:ascii="Cambria" w:hAnsi="Cambria"/>
          <w:b w:val="0"/>
          <w:i/>
          <w:sz w:val="16"/>
          <w:szCs w:val="16"/>
          <w:shd w:val="clear" w:color="auto" w:fill="FFFFFF"/>
          <w:lang w:val="es-CO"/>
        </w:rPr>
        <w:t>Case Ruano Torres et al. v. El Salvador</w:t>
      </w:r>
      <w:r w:rsidRPr="00FD77E1">
        <w:rPr>
          <w:rStyle w:val="Strong"/>
          <w:rFonts w:ascii="Cambria" w:hAnsi="Cambria"/>
          <w:b w:val="0"/>
          <w:sz w:val="16"/>
          <w:szCs w:val="16"/>
          <w:shd w:val="clear" w:color="auto" w:fill="FFFFFF"/>
          <w:lang w:val="es-CO"/>
        </w:rPr>
        <w:t xml:space="preserve">. </w:t>
      </w:r>
      <w:r w:rsidRPr="00FD77E1">
        <w:rPr>
          <w:rStyle w:val="Strong"/>
          <w:rFonts w:ascii="Cambria" w:hAnsi="Cambria"/>
          <w:b w:val="0"/>
          <w:sz w:val="16"/>
          <w:szCs w:val="16"/>
          <w:shd w:val="clear" w:color="auto" w:fill="FFFFFF"/>
        </w:rPr>
        <w:t>Merits, Reparations and Costs. Judgement of October 5, 2015. Series C No. 303, par. 126.</w:t>
      </w:r>
    </w:p>
  </w:footnote>
  <w:footnote w:id="53">
    <w:p w14:paraId="7444DFC9" w14:textId="77777777" w:rsidR="00165AF7" w:rsidRPr="001B6FEB" w:rsidRDefault="00165AF7" w:rsidP="00FD77E1">
      <w:pPr>
        <w:pStyle w:val="FootnoteText"/>
        <w:jc w:val="both"/>
        <w:rPr>
          <w:rFonts w:ascii="Cambria" w:hAnsi="Cambria"/>
          <w:sz w:val="16"/>
          <w:szCs w:val="16"/>
          <w:lang w:val="es-US"/>
        </w:rPr>
      </w:pPr>
      <w:r w:rsidRPr="00FD77E1">
        <w:rPr>
          <w:rStyle w:val="FootnoteReference"/>
          <w:rFonts w:ascii="Cambria" w:hAnsi="Cambria"/>
          <w:sz w:val="16"/>
          <w:szCs w:val="16"/>
        </w:rPr>
        <w:footnoteRef/>
      </w:r>
      <w:r w:rsidRPr="00FD77E1">
        <w:rPr>
          <w:rFonts w:ascii="Cambria" w:hAnsi="Cambria"/>
          <w:sz w:val="16"/>
          <w:szCs w:val="16"/>
        </w:rPr>
        <w:t xml:space="preserve"> I.A. Court. </w:t>
      </w:r>
      <w:r w:rsidRPr="00FD77E1">
        <w:rPr>
          <w:rFonts w:ascii="Cambria" w:hAnsi="Cambria"/>
          <w:i/>
          <w:sz w:val="16"/>
          <w:szCs w:val="16"/>
        </w:rPr>
        <w:t xml:space="preserve">Case Ricardo </w:t>
      </w:r>
      <w:proofErr w:type="spellStart"/>
      <w:r w:rsidRPr="00FD77E1">
        <w:rPr>
          <w:rFonts w:ascii="Cambria" w:hAnsi="Cambria"/>
          <w:i/>
          <w:sz w:val="16"/>
          <w:szCs w:val="16"/>
        </w:rPr>
        <w:t>Canese</w:t>
      </w:r>
      <w:proofErr w:type="spellEnd"/>
      <w:r w:rsidRPr="00FD77E1">
        <w:rPr>
          <w:rFonts w:ascii="Cambria" w:hAnsi="Cambria"/>
          <w:i/>
          <w:sz w:val="16"/>
          <w:szCs w:val="16"/>
        </w:rPr>
        <w:t xml:space="preserve"> v. Paraguay. </w:t>
      </w:r>
      <w:r w:rsidRPr="00FD77E1">
        <w:rPr>
          <w:rFonts w:ascii="Cambria" w:hAnsi="Cambria"/>
          <w:sz w:val="16"/>
          <w:szCs w:val="16"/>
        </w:rPr>
        <w:t xml:space="preserve">Judgement of August 31, 2004. </w:t>
      </w:r>
      <w:r w:rsidRPr="001B6FEB">
        <w:rPr>
          <w:rFonts w:ascii="Cambria" w:hAnsi="Cambria"/>
          <w:sz w:val="16"/>
          <w:szCs w:val="16"/>
          <w:lang w:val="es-US"/>
        </w:rPr>
        <w:t>Series C No. 111, par. 154.</w:t>
      </w:r>
    </w:p>
  </w:footnote>
  <w:footnote w:id="54">
    <w:p w14:paraId="114A0800"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1B6FEB">
        <w:rPr>
          <w:rFonts w:ascii="Cambria" w:hAnsi="Cambria"/>
          <w:sz w:val="16"/>
          <w:szCs w:val="16"/>
          <w:lang w:val="es-US"/>
        </w:rPr>
        <w:t xml:space="preserve"> IACHR. Report No. 82/13. Case 12.679. Merits. </w:t>
      </w:r>
      <w:r w:rsidRPr="00FD77E1">
        <w:rPr>
          <w:rFonts w:ascii="Cambria" w:hAnsi="Cambria"/>
          <w:sz w:val="16"/>
          <w:szCs w:val="16"/>
          <w:lang w:val="pt-BR"/>
        </w:rPr>
        <w:t xml:space="preserve">José Agapito Ruano Torres et al. </w:t>
      </w:r>
      <w:r w:rsidRPr="001B6FEB">
        <w:rPr>
          <w:rFonts w:ascii="Cambria" w:hAnsi="Cambria"/>
          <w:sz w:val="16"/>
          <w:szCs w:val="16"/>
          <w:lang w:val="es-US"/>
        </w:rPr>
        <w:t xml:space="preserve">El Salvador. </w:t>
      </w:r>
      <w:r w:rsidRPr="00FD77E1">
        <w:rPr>
          <w:rFonts w:ascii="Cambria" w:hAnsi="Cambria"/>
          <w:sz w:val="16"/>
          <w:szCs w:val="16"/>
        </w:rPr>
        <w:t>November 4, 2013, par. 118.</w:t>
      </w:r>
    </w:p>
  </w:footnote>
  <w:footnote w:id="55">
    <w:p w14:paraId="6021A3B7" w14:textId="77777777" w:rsidR="00165AF7" w:rsidRPr="00FD77E1"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I.A. Court. </w:t>
      </w:r>
      <w:r w:rsidRPr="00FD77E1">
        <w:rPr>
          <w:rFonts w:ascii="Cambria" w:hAnsi="Cambria"/>
          <w:i/>
          <w:sz w:val="16"/>
          <w:szCs w:val="16"/>
        </w:rPr>
        <w:t xml:space="preserve">Case </w:t>
      </w:r>
      <w:proofErr w:type="spellStart"/>
      <w:r w:rsidRPr="00FD77E1">
        <w:rPr>
          <w:rFonts w:ascii="Cambria" w:hAnsi="Cambria"/>
          <w:i/>
          <w:sz w:val="16"/>
          <w:szCs w:val="16"/>
        </w:rPr>
        <w:t>Cantoral</w:t>
      </w:r>
      <w:proofErr w:type="spellEnd"/>
      <w:r w:rsidRPr="00FD77E1">
        <w:rPr>
          <w:rFonts w:ascii="Cambria" w:hAnsi="Cambria"/>
          <w:i/>
          <w:sz w:val="16"/>
          <w:szCs w:val="16"/>
        </w:rPr>
        <w:t xml:space="preserve"> Benavides v Peru</w:t>
      </w:r>
      <w:r w:rsidRPr="00FD77E1">
        <w:rPr>
          <w:rFonts w:ascii="Cambria" w:hAnsi="Cambria"/>
          <w:sz w:val="16"/>
          <w:szCs w:val="16"/>
        </w:rPr>
        <w:t xml:space="preserve">. Judgment of August 18, 2000. Series C No. 69, par. 120; </w:t>
      </w:r>
      <w:r w:rsidRPr="00FD77E1">
        <w:rPr>
          <w:rFonts w:ascii="Cambria" w:hAnsi="Cambria"/>
          <w:i/>
          <w:sz w:val="16"/>
          <w:szCs w:val="16"/>
        </w:rPr>
        <w:t xml:space="preserve">Case Ricardo </w:t>
      </w:r>
      <w:proofErr w:type="spellStart"/>
      <w:r w:rsidRPr="00FD77E1">
        <w:rPr>
          <w:rFonts w:ascii="Cambria" w:hAnsi="Cambria"/>
          <w:i/>
          <w:sz w:val="16"/>
          <w:szCs w:val="16"/>
        </w:rPr>
        <w:t>Canese</w:t>
      </w:r>
      <w:proofErr w:type="spellEnd"/>
      <w:r w:rsidRPr="00FD77E1">
        <w:rPr>
          <w:rFonts w:ascii="Cambria" w:hAnsi="Cambria"/>
          <w:i/>
          <w:sz w:val="16"/>
          <w:szCs w:val="16"/>
        </w:rPr>
        <w:t xml:space="preserve"> v. Paraguay. </w:t>
      </w:r>
      <w:r w:rsidRPr="00FD77E1">
        <w:rPr>
          <w:rFonts w:ascii="Cambria" w:hAnsi="Cambria"/>
          <w:sz w:val="16"/>
          <w:szCs w:val="16"/>
        </w:rPr>
        <w:t>Judgement of August 31, 2004. Series C No. 111, par 153.</w:t>
      </w:r>
    </w:p>
  </w:footnote>
  <w:footnote w:id="56">
    <w:p w14:paraId="05929AC5" w14:textId="77777777" w:rsidR="00165AF7" w:rsidRPr="001B6FEB" w:rsidRDefault="00165AF7" w:rsidP="00FD77E1">
      <w:pPr>
        <w:pStyle w:val="FootnoteText"/>
        <w:jc w:val="both"/>
        <w:rPr>
          <w:rFonts w:ascii="Cambria" w:hAnsi="Cambria"/>
          <w:sz w:val="16"/>
          <w:szCs w:val="16"/>
          <w:lang w:val="es-US"/>
        </w:rPr>
      </w:pPr>
      <w:r w:rsidRPr="00FD77E1">
        <w:rPr>
          <w:rStyle w:val="FootnoteReference"/>
          <w:rFonts w:ascii="Cambria" w:hAnsi="Cambria"/>
          <w:sz w:val="16"/>
          <w:szCs w:val="16"/>
        </w:rPr>
        <w:footnoteRef/>
      </w:r>
      <w:r w:rsidRPr="00FD77E1">
        <w:rPr>
          <w:rFonts w:ascii="Cambria" w:hAnsi="Cambria"/>
          <w:sz w:val="16"/>
          <w:szCs w:val="16"/>
        </w:rPr>
        <w:t xml:space="preserve"> IACHR. Report No. 82/13. Case 12.679. Merits. José </w:t>
      </w:r>
      <w:proofErr w:type="spellStart"/>
      <w:r w:rsidRPr="00FD77E1">
        <w:rPr>
          <w:rFonts w:ascii="Cambria" w:hAnsi="Cambria"/>
          <w:sz w:val="16"/>
          <w:szCs w:val="16"/>
        </w:rPr>
        <w:t>Agapito</w:t>
      </w:r>
      <w:proofErr w:type="spellEnd"/>
      <w:r w:rsidRPr="00FD77E1">
        <w:rPr>
          <w:rFonts w:ascii="Cambria" w:hAnsi="Cambria"/>
          <w:sz w:val="16"/>
          <w:szCs w:val="16"/>
        </w:rPr>
        <w:t xml:space="preserve"> </w:t>
      </w:r>
      <w:proofErr w:type="spellStart"/>
      <w:r w:rsidRPr="00FD77E1">
        <w:rPr>
          <w:rFonts w:ascii="Cambria" w:hAnsi="Cambria"/>
          <w:sz w:val="16"/>
          <w:szCs w:val="16"/>
        </w:rPr>
        <w:t>Ruano</w:t>
      </w:r>
      <w:proofErr w:type="spellEnd"/>
      <w:r w:rsidRPr="00FD77E1">
        <w:rPr>
          <w:rFonts w:ascii="Cambria" w:hAnsi="Cambria"/>
          <w:sz w:val="16"/>
          <w:szCs w:val="16"/>
        </w:rPr>
        <w:t xml:space="preserve"> Torres and family. </w:t>
      </w:r>
      <w:r w:rsidRPr="001B6FEB">
        <w:rPr>
          <w:rFonts w:ascii="Cambria" w:hAnsi="Cambria"/>
          <w:sz w:val="16"/>
          <w:szCs w:val="16"/>
          <w:lang w:val="es-US"/>
        </w:rPr>
        <w:t>El Salvador. November 4, 2013, par. 130.</w:t>
      </w:r>
    </w:p>
  </w:footnote>
  <w:footnote w:id="57">
    <w:p w14:paraId="644831A2" w14:textId="62C2AC8E" w:rsidR="00165AF7" w:rsidRPr="00FD77E1" w:rsidRDefault="00165AF7" w:rsidP="00FD77E1">
      <w:pPr>
        <w:spacing w:after="0" w:line="240" w:lineRule="auto"/>
        <w:jc w:val="both"/>
        <w:rPr>
          <w:rFonts w:ascii="Cambria" w:eastAsia="Times New Roman" w:hAnsi="Cambria"/>
          <w:sz w:val="16"/>
          <w:szCs w:val="16"/>
        </w:rPr>
      </w:pPr>
      <w:r w:rsidRPr="00FD77E1">
        <w:rPr>
          <w:rStyle w:val="FootnoteReference"/>
          <w:rFonts w:ascii="Cambria" w:hAnsi="Cambria"/>
          <w:sz w:val="16"/>
          <w:szCs w:val="16"/>
        </w:rPr>
        <w:footnoteRef/>
      </w:r>
      <w:r w:rsidRPr="001B6FEB">
        <w:rPr>
          <w:rFonts w:ascii="Cambria" w:hAnsi="Cambria"/>
          <w:sz w:val="16"/>
          <w:szCs w:val="16"/>
          <w:lang w:val="es-US"/>
        </w:rPr>
        <w:t xml:space="preserve"> </w:t>
      </w:r>
      <w:r w:rsidRPr="001B6FEB">
        <w:rPr>
          <w:rFonts w:ascii="Cambria" w:eastAsia="Times New Roman" w:hAnsi="Cambria"/>
          <w:bCs/>
          <w:color w:val="000000"/>
          <w:sz w:val="16"/>
          <w:szCs w:val="16"/>
          <w:lang w:val="es-US"/>
        </w:rPr>
        <w:t xml:space="preserve">I.A. Court. Case Zegarra Marín v. Peru. </w:t>
      </w:r>
      <w:r w:rsidRPr="00FD77E1">
        <w:rPr>
          <w:rFonts w:ascii="Cambria" w:eastAsia="Times New Roman" w:hAnsi="Cambria"/>
          <w:bCs/>
          <w:color w:val="000000"/>
          <w:sz w:val="16"/>
          <w:szCs w:val="16"/>
        </w:rPr>
        <w:t xml:space="preserve">Preliminary Exceptions, </w:t>
      </w:r>
      <w:r w:rsidRPr="00FD77E1">
        <w:rPr>
          <w:rStyle w:val="Strong"/>
          <w:rFonts w:ascii="Cambria" w:hAnsi="Cambria"/>
          <w:b w:val="0"/>
          <w:sz w:val="16"/>
          <w:szCs w:val="16"/>
          <w:shd w:val="clear" w:color="auto" w:fill="FFFFFF"/>
        </w:rPr>
        <w:t>Merits, Reparations and Costs</w:t>
      </w:r>
      <w:r w:rsidRPr="00FD77E1">
        <w:rPr>
          <w:rFonts w:ascii="Cambria" w:eastAsia="Times New Roman" w:hAnsi="Cambria"/>
          <w:bCs/>
          <w:color w:val="000000"/>
          <w:sz w:val="16"/>
          <w:szCs w:val="16"/>
        </w:rPr>
        <w:t xml:space="preserve">. Judgement of February 15, 2017. Series C No. 331. Par. 147. </w:t>
      </w:r>
    </w:p>
  </w:footnote>
  <w:footnote w:id="58">
    <w:p w14:paraId="1D71D6D3" w14:textId="39C9CE67" w:rsidR="00165AF7" w:rsidRPr="001B6FEB" w:rsidRDefault="00165AF7"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IACHR. Report No. 33/14, Case 12.820. Merits. </w:t>
      </w:r>
      <w:r w:rsidRPr="001B6FEB">
        <w:rPr>
          <w:rFonts w:ascii="Cambria" w:hAnsi="Cambria"/>
          <w:sz w:val="16"/>
          <w:szCs w:val="16"/>
          <w:lang w:val="es-US"/>
        </w:rPr>
        <w:t xml:space="preserve">Manfred Amrhein et al.. </w:t>
      </w:r>
      <w:r w:rsidRPr="00FD77E1">
        <w:rPr>
          <w:rFonts w:ascii="Cambria" w:hAnsi="Cambria"/>
          <w:sz w:val="16"/>
          <w:szCs w:val="16"/>
          <w:lang w:val="es-CO"/>
        </w:rPr>
        <w:t xml:space="preserve">Costa Rica. </w:t>
      </w:r>
      <w:r w:rsidRPr="001B6FEB">
        <w:rPr>
          <w:rFonts w:ascii="Cambria" w:hAnsi="Cambria"/>
          <w:sz w:val="16"/>
          <w:szCs w:val="16"/>
        </w:rPr>
        <w:t>April4, 2014, par. 186.</w:t>
      </w:r>
    </w:p>
  </w:footnote>
  <w:footnote w:id="59">
    <w:p w14:paraId="334B153A" w14:textId="696A8A92" w:rsidR="00165AF7" w:rsidRPr="00FD77E1" w:rsidRDefault="00165AF7" w:rsidP="00FD77E1">
      <w:pPr>
        <w:spacing w:after="0" w:line="240" w:lineRule="auto"/>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I.A. Court. </w:t>
      </w:r>
      <w:r w:rsidRPr="00FD77E1">
        <w:rPr>
          <w:rFonts w:ascii="Cambria" w:hAnsi="Cambria"/>
          <w:i/>
          <w:sz w:val="16"/>
          <w:szCs w:val="16"/>
        </w:rPr>
        <w:t>Case Mendoza et al. v.  Argentina</w:t>
      </w:r>
      <w:r w:rsidRPr="00FD77E1">
        <w:rPr>
          <w:rFonts w:ascii="Cambria" w:hAnsi="Cambria"/>
          <w:sz w:val="16"/>
          <w:szCs w:val="16"/>
        </w:rPr>
        <w:t xml:space="preserve">. Judgment of Preliminary Exceptions, Merits and Reparations. </w:t>
      </w:r>
      <w:r w:rsidRPr="001B6FEB">
        <w:rPr>
          <w:rFonts w:ascii="Cambria" w:hAnsi="Cambria"/>
          <w:sz w:val="16"/>
          <w:szCs w:val="16"/>
          <w:lang w:val="es-US"/>
        </w:rPr>
        <w:t xml:space="preserve">May 14, 2013. Series C No. 260, par. 242; </w:t>
      </w:r>
      <w:r w:rsidRPr="001B6FEB">
        <w:rPr>
          <w:rFonts w:ascii="Cambria" w:hAnsi="Cambria"/>
          <w:i/>
          <w:sz w:val="16"/>
          <w:szCs w:val="16"/>
          <w:lang w:val="es-US"/>
        </w:rPr>
        <w:t xml:space="preserve">Case Herrera Ulloa v. Costa Rica. </w:t>
      </w:r>
      <w:r w:rsidRPr="00FD77E1">
        <w:rPr>
          <w:rFonts w:ascii="Cambria" w:hAnsi="Cambria"/>
          <w:sz w:val="16"/>
          <w:szCs w:val="16"/>
        </w:rPr>
        <w:t>Judgement of Preliminary Exceptions, Merits, Reparations and Costs. Judgement of July 2, 2004. Series C No. 107, par. 158</w:t>
      </w:r>
      <w:r w:rsidRPr="00FD77E1">
        <w:rPr>
          <w:rFonts w:ascii="Cambria" w:hAnsi="Cambria"/>
          <w:i/>
          <w:sz w:val="16"/>
          <w:szCs w:val="16"/>
        </w:rPr>
        <w:t xml:space="preserve">, and </w:t>
      </w:r>
      <w:r w:rsidRPr="00FD77E1">
        <w:rPr>
          <w:rFonts w:ascii="Cambria" w:hAnsi="Cambria"/>
          <w:bCs/>
          <w:i/>
          <w:sz w:val="16"/>
          <w:szCs w:val="16"/>
        </w:rPr>
        <w:t xml:space="preserve">Case Mohamed v. Argentina. </w:t>
      </w:r>
      <w:r w:rsidRPr="00FD77E1">
        <w:rPr>
          <w:rFonts w:ascii="Cambria" w:hAnsi="Cambria"/>
          <w:sz w:val="16"/>
          <w:szCs w:val="16"/>
        </w:rPr>
        <w:t>Judgement of Preliminary Exceptions, Merits, Reparations and Costs. November 23, 2012. Series C No. 255, par. 97.</w:t>
      </w:r>
    </w:p>
  </w:footnote>
  <w:footnote w:id="60">
    <w:p w14:paraId="627A21DE" w14:textId="6C8F0EB1" w:rsidR="00165AF7" w:rsidRPr="00FD77E1" w:rsidRDefault="00165AF7" w:rsidP="00FD77E1">
      <w:pPr>
        <w:tabs>
          <w:tab w:val="left" w:pos="720"/>
        </w:tabs>
        <w:spacing w:after="0" w:line="240" w:lineRule="auto"/>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I.A. Court </w:t>
      </w:r>
      <w:r w:rsidRPr="00FD77E1">
        <w:rPr>
          <w:rFonts w:ascii="Cambria" w:hAnsi="Cambria"/>
          <w:i/>
          <w:sz w:val="16"/>
          <w:szCs w:val="16"/>
        </w:rPr>
        <w:t xml:space="preserve">Case Herrera Ulloa v. Costa Rica. </w:t>
      </w:r>
      <w:r w:rsidRPr="00FD77E1">
        <w:rPr>
          <w:rFonts w:ascii="Cambria" w:hAnsi="Cambria"/>
          <w:sz w:val="16"/>
          <w:szCs w:val="16"/>
        </w:rPr>
        <w:t>Judgement of Preliminary Exceptions, Merits, Reparations and Costs. Judgement of July 2, 2004. Series C No. 107, par. 158.</w:t>
      </w:r>
    </w:p>
  </w:footnote>
  <w:footnote w:id="61">
    <w:p w14:paraId="02722CA6" w14:textId="2175C555" w:rsidR="00165AF7" w:rsidRPr="00FD77E1" w:rsidRDefault="00165AF7" w:rsidP="00FD77E1">
      <w:pPr>
        <w:spacing w:after="0" w:line="240" w:lineRule="auto"/>
        <w:jc w:val="both"/>
        <w:rPr>
          <w:rFonts w:ascii="Cambria" w:hAnsi="Cambria" w:cs="Arial"/>
          <w:color w:val="262626"/>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I.A. Court. </w:t>
      </w:r>
      <w:r w:rsidRPr="00FD77E1">
        <w:rPr>
          <w:rFonts w:ascii="Cambria" w:hAnsi="Cambria"/>
          <w:i/>
          <w:sz w:val="16"/>
          <w:szCs w:val="16"/>
          <w:lang w:val="es-CO"/>
        </w:rPr>
        <w:t xml:space="preserve">Case Mendoza et al. v.  </w:t>
      </w:r>
      <w:r w:rsidRPr="00FD77E1">
        <w:rPr>
          <w:rFonts w:ascii="Cambria" w:hAnsi="Cambria"/>
          <w:i/>
          <w:sz w:val="16"/>
          <w:szCs w:val="16"/>
        </w:rPr>
        <w:t>Argentina</w:t>
      </w:r>
      <w:r w:rsidRPr="00FD77E1">
        <w:rPr>
          <w:rFonts w:ascii="Cambria" w:hAnsi="Cambria"/>
          <w:sz w:val="16"/>
          <w:szCs w:val="16"/>
        </w:rPr>
        <w:t xml:space="preserve">. Judgment of Preliminary Exceptions, Merits and Reparations. </w:t>
      </w:r>
      <w:r w:rsidRPr="001B6FEB">
        <w:rPr>
          <w:rFonts w:ascii="Cambria" w:hAnsi="Cambria"/>
          <w:sz w:val="16"/>
          <w:szCs w:val="16"/>
          <w:lang w:val="es-US"/>
        </w:rPr>
        <w:t xml:space="preserve">May 14, 2013. Series C No. 260, par. 242; </w:t>
      </w:r>
      <w:r w:rsidRPr="001B6FEB">
        <w:rPr>
          <w:rFonts w:ascii="Cambria" w:hAnsi="Cambria"/>
          <w:i/>
          <w:sz w:val="16"/>
          <w:szCs w:val="16"/>
          <w:lang w:val="es-US"/>
        </w:rPr>
        <w:t xml:space="preserve">Case Barreto Leiva v. Venezuela. </w:t>
      </w:r>
      <w:r w:rsidRPr="00FD77E1">
        <w:rPr>
          <w:rFonts w:ascii="Cambria" w:hAnsi="Cambria"/>
          <w:sz w:val="16"/>
          <w:szCs w:val="16"/>
        </w:rPr>
        <w:t>Judgement of Merits, Reparations and Costs. November 17, 2009. Series C No. 206</w:t>
      </w:r>
      <w:r w:rsidRPr="00FD77E1">
        <w:rPr>
          <w:rFonts w:ascii="Cambria" w:hAnsi="Cambria"/>
          <w:i/>
          <w:sz w:val="16"/>
          <w:szCs w:val="16"/>
        </w:rPr>
        <w:t xml:space="preserve">, </w:t>
      </w:r>
      <w:r w:rsidRPr="00FD77E1">
        <w:rPr>
          <w:rFonts w:ascii="Cambria" w:hAnsi="Cambria"/>
          <w:sz w:val="16"/>
          <w:szCs w:val="16"/>
        </w:rPr>
        <w:t xml:space="preserve">par. 89; </w:t>
      </w:r>
      <w:r w:rsidRPr="00FD77E1">
        <w:rPr>
          <w:rFonts w:ascii="Cambria" w:hAnsi="Cambria"/>
          <w:bCs/>
          <w:i/>
          <w:sz w:val="16"/>
          <w:szCs w:val="16"/>
        </w:rPr>
        <w:t xml:space="preserve">Case Mohamed v. Argentina. </w:t>
      </w:r>
      <w:r w:rsidRPr="00FD77E1">
        <w:rPr>
          <w:rFonts w:ascii="Cambria" w:hAnsi="Cambria"/>
          <w:sz w:val="16"/>
          <w:szCs w:val="16"/>
        </w:rPr>
        <w:t xml:space="preserve">Judgement of Preliminary Exceptions, Merits, Reparations and Costs. November 23, 2012. Series C No. 255, par. 97; </w:t>
      </w:r>
      <w:r w:rsidRPr="00FD77E1">
        <w:rPr>
          <w:rFonts w:ascii="Cambria" w:hAnsi="Cambria" w:cs="Arial"/>
          <w:color w:val="262626"/>
          <w:sz w:val="16"/>
          <w:szCs w:val="16"/>
        </w:rPr>
        <w:t xml:space="preserve">Case </w:t>
      </w:r>
      <w:proofErr w:type="spellStart"/>
      <w:r w:rsidRPr="00FD77E1">
        <w:rPr>
          <w:rFonts w:ascii="Cambria" w:hAnsi="Cambria" w:cs="Arial"/>
          <w:color w:val="262626"/>
          <w:sz w:val="16"/>
          <w:szCs w:val="16"/>
        </w:rPr>
        <w:t>Liakat</w:t>
      </w:r>
      <w:proofErr w:type="spellEnd"/>
      <w:r w:rsidRPr="00FD77E1">
        <w:rPr>
          <w:rFonts w:ascii="Cambria" w:hAnsi="Cambria" w:cs="Arial"/>
          <w:color w:val="262626"/>
          <w:sz w:val="16"/>
          <w:szCs w:val="16"/>
        </w:rPr>
        <w:t xml:space="preserve"> Ali </w:t>
      </w:r>
      <w:proofErr w:type="spellStart"/>
      <w:r w:rsidRPr="00FD77E1">
        <w:rPr>
          <w:rFonts w:ascii="Cambria" w:hAnsi="Cambria" w:cs="Arial"/>
          <w:color w:val="262626"/>
          <w:sz w:val="16"/>
          <w:szCs w:val="16"/>
        </w:rPr>
        <w:t>Alibux</w:t>
      </w:r>
      <w:proofErr w:type="spellEnd"/>
      <w:r w:rsidRPr="00FD77E1">
        <w:rPr>
          <w:rFonts w:ascii="Cambria" w:hAnsi="Cambria" w:cs="Arial"/>
          <w:color w:val="262626"/>
          <w:sz w:val="16"/>
          <w:szCs w:val="16"/>
        </w:rPr>
        <w:t xml:space="preserve"> v. Suriname. </w:t>
      </w:r>
      <w:r w:rsidRPr="00FD77E1">
        <w:rPr>
          <w:rFonts w:ascii="Cambria" w:hAnsi="Cambria"/>
          <w:sz w:val="16"/>
          <w:szCs w:val="16"/>
        </w:rPr>
        <w:t>Preliminary Exceptions, Merits, Reparations and Costs</w:t>
      </w:r>
      <w:r w:rsidRPr="00FD77E1">
        <w:rPr>
          <w:rFonts w:ascii="Cambria" w:hAnsi="Cambria" w:cs="Arial"/>
          <w:color w:val="262626"/>
          <w:sz w:val="16"/>
          <w:szCs w:val="16"/>
        </w:rPr>
        <w:t>. Judgement of January 30, 2014. Series C No. 276, par. 85.</w:t>
      </w:r>
    </w:p>
  </w:footnote>
  <w:footnote w:id="62">
    <w:p w14:paraId="71279E77" w14:textId="1E7D81AA" w:rsidR="00165AF7" w:rsidRPr="00FD77E1" w:rsidRDefault="00165AF7" w:rsidP="00FD77E1">
      <w:pPr>
        <w:spacing w:after="0" w:line="240" w:lineRule="auto"/>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w:t>
      </w:r>
      <w:r w:rsidRPr="00FD77E1">
        <w:rPr>
          <w:rFonts w:ascii="Cambria" w:hAnsi="Cambria" w:cs="Arial"/>
          <w:sz w:val="16"/>
          <w:szCs w:val="16"/>
        </w:rPr>
        <w:t>I. A. Court.</w:t>
      </w:r>
      <w:r w:rsidRPr="00FD77E1">
        <w:rPr>
          <w:rFonts w:ascii="Cambria" w:hAnsi="Cambria"/>
          <w:sz w:val="16"/>
          <w:szCs w:val="16"/>
        </w:rPr>
        <w:t xml:space="preserve"> </w:t>
      </w:r>
      <w:r w:rsidRPr="001B6FEB">
        <w:rPr>
          <w:rFonts w:ascii="Cambria" w:hAnsi="Cambria"/>
          <w:i/>
          <w:sz w:val="16"/>
          <w:szCs w:val="16"/>
        </w:rPr>
        <w:t>Case Castillo Páez v. Peru.</w:t>
      </w:r>
      <w:r w:rsidRPr="001B6FEB">
        <w:rPr>
          <w:rFonts w:ascii="Cambria" w:hAnsi="Cambria"/>
          <w:sz w:val="16"/>
          <w:szCs w:val="16"/>
        </w:rPr>
        <w:t xml:space="preserve"> Fondo. </w:t>
      </w:r>
      <w:r w:rsidRPr="00FD77E1">
        <w:rPr>
          <w:rFonts w:ascii="Cambria" w:hAnsi="Cambria"/>
          <w:sz w:val="16"/>
          <w:szCs w:val="16"/>
        </w:rPr>
        <w:t xml:space="preserve">Judgement of November 3, 1997. Series C No. 34, par. 82; </w:t>
      </w:r>
      <w:r w:rsidRPr="00FD77E1">
        <w:rPr>
          <w:rFonts w:ascii="Cambria" w:hAnsi="Cambria"/>
          <w:i/>
          <w:sz w:val="16"/>
          <w:szCs w:val="16"/>
        </w:rPr>
        <w:t xml:space="preserve">Case Claude Reyes </w:t>
      </w:r>
      <w:r w:rsidR="000C7C37" w:rsidRPr="00FD77E1">
        <w:rPr>
          <w:rFonts w:ascii="Cambria" w:hAnsi="Cambria"/>
          <w:i/>
          <w:sz w:val="16"/>
          <w:szCs w:val="16"/>
        </w:rPr>
        <w:t>et al.  v.</w:t>
      </w:r>
      <w:r w:rsidRPr="00FD77E1">
        <w:rPr>
          <w:rFonts w:ascii="Cambria" w:hAnsi="Cambria"/>
          <w:i/>
          <w:sz w:val="16"/>
          <w:szCs w:val="16"/>
        </w:rPr>
        <w:t xml:space="preserve"> Chile</w:t>
      </w:r>
      <w:r w:rsidRPr="00FD77E1">
        <w:rPr>
          <w:rFonts w:ascii="Cambria" w:hAnsi="Cambria"/>
          <w:sz w:val="16"/>
          <w:szCs w:val="16"/>
        </w:rPr>
        <w:t xml:space="preserve">. </w:t>
      </w:r>
      <w:r w:rsidR="000C7C37" w:rsidRPr="00FD77E1">
        <w:rPr>
          <w:rFonts w:ascii="Cambria" w:hAnsi="Cambria"/>
          <w:sz w:val="16"/>
          <w:szCs w:val="16"/>
        </w:rPr>
        <w:t>Merits, Reparations and Costs</w:t>
      </w:r>
      <w:r w:rsidRPr="00FD77E1">
        <w:rPr>
          <w:rFonts w:ascii="Cambria" w:hAnsi="Cambria"/>
          <w:sz w:val="16"/>
          <w:szCs w:val="16"/>
        </w:rPr>
        <w:t xml:space="preserve">. </w:t>
      </w:r>
      <w:r w:rsidR="000C7C37" w:rsidRPr="00FD77E1">
        <w:rPr>
          <w:rFonts w:ascii="Cambria" w:hAnsi="Cambria"/>
          <w:sz w:val="16"/>
          <w:szCs w:val="16"/>
        </w:rPr>
        <w:t>Judgement</w:t>
      </w:r>
      <w:r w:rsidRPr="00FD77E1">
        <w:rPr>
          <w:rFonts w:ascii="Cambria" w:hAnsi="Cambria"/>
          <w:sz w:val="16"/>
          <w:szCs w:val="16"/>
        </w:rPr>
        <w:t xml:space="preserve"> </w:t>
      </w:r>
      <w:r w:rsidR="000C7C37" w:rsidRPr="00FD77E1">
        <w:rPr>
          <w:rFonts w:ascii="Cambria" w:hAnsi="Cambria"/>
          <w:sz w:val="16"/>
          <w:szCs w:val="16"/>
        </w:rPr>
        <w:t xml:space="preserve">of September 19, </w:t>
      </w:r>
      <w:r w:rsidRPr="00FD77E1">
        <w:rPr>
          <w:rFonts w:ascii="Cambria" w:hAnsi="Cambria"/>
          <w:sz w:val="16"/>
          <w:szCs w:val="16"/>
        </w:rPr>
        <w:t>2006. Serie</w:t>
      </w:r>
      <w:r w:rsidR="000C7C37" w:rsidRPr="00FD77E1">
        <w:rPr>
          <w:rFonts w:ascii="Cambria" w:hAnsi="Cambria"/>
          <w:sz w:val="16"/>
          <w:szCs w:val="16"/>
        </w:rPr>
        <w:t>s C No. 151, par</w:t>
      </w:r>
      <w:r w:rsidRPr="00FD77E1">
        <w:rPr>
          <w:rFonts w:ascii="Cambria" w:hAnsi="Cambria"/>
          <w:sz w:val="16"/>
          <w:szCs w:val="16"/>
        </w:rPr>
        <w:t xml:space="preserve">. </w:t>
      </w:r>
      <w:r w:rsidR="000C7C37" w:rsidRPr="00FD77E1">
        <w:rPr>
          <w:rFonts w:ascii="Cambria" w:hAnsi="Cambria"/>
          <w:sz w:val="16"/>
          <w:szCs w:val="16"/>
        </w:rPr>
        <w:t>131, and</w:t>
      </w:r>
      <w:r w:rsidRPr="00FD77E1">
        <w:rPr>
          <w:rFonts w:ascii="Cambria" w:hAnsi="Cambria"/>
          <w:sz w:val="16"/>
          <w:szCs w:val="16"/>
        </w:rPr>
        <w:t xml:space="preserve"> </w:t>
      </w:r>
      <w:r w:rsidR="000C7C37" w:rsidRPr="00FD77E1">
        <w:rPr>
          <w:rFonts w:ascii="Cambria" w:hAnsi="Cambria" w:cs="Verdana-Bold"/>
          <w:bCs/>
          <w:i/>
          <w:sz w:val="16"/>
          <w:szCs w:val="16"/>
          <w:lang w:bidi="en-US"/>
        </w:rPr>
        <w:t xml:space="preserve">Case </w:t>
      </w:r>
      <w:proofErr w:type="spellStart"/>
      <w:r w:rsidR="000C7C37" w:rsidRPr="00FD77E1">
        <w:rPr>
          <w:rFonts w:ascii="Cambria" w:hAnsi="Cambria" w:cs="Verdana-Bold"/>
          <w:bCs/>
          <w:i/>
          <w:sz w:val="16"/>
          <w:szCs w:val="16"/>
          <w:lang w:bidi="en-US"/>
        </w:rPr>
        <w:t>Castañeda</w:t>
      </w:r>
      <w:proofErr w:type="spellEnd"/>
      <w:r w:rsidR="000C7C37" w:rsidRPr="00FD77E1">
        <w:rPr>
          <w:rFonts w:ascii="Cambria" w:hAnsi="Cambria" w:cs="Verdana-Bold"/>
          <w:bCs/>
          <w:i/>
          <w:sz w:val="16"/>
          <w:szCs w:val="16"/>
          <w:lang w:bidi="en-US"/>
        </w:rPr>
        <w:t xml:space="preserve"> Gutman v</w:t>
      </w:r>
      <w:r w:rsidRPr="00FD77E1">
        <w:rPr>
          <w:rFonts w:ascii="Cambria" w:hAnsi="Cambria" w:cs="Verdana-Bold"/>
          <w:bCs/>
          <w:i/>
          <w:sz w:val="16"/>
          <w:szCs w:val="16"/>
          <w:lang w:bidi="en-US"/>
        </w:rPr>
        <w:t>. México</w:t>
      </w:r>
      <w:r w:rsidRPr="00FD77E1">
        <w:rPr>
          <w:rFonts w:ascii="Cambria" w:hAnsi="Cambria" w:cs="Verdana-Bold"/>
          <w:bCs/>
          <w:sz w:val="16"/>
          <w:szCs w:val="16"/>
          <w:lang w:bidi="en-US"/>
        </w:rPr>
        <w:t xml:space="preserve">. </w:t>
      </w:r>
      <w:r w:rsidR="000C7C37" w:rsidRPr="00FD77E1">
        <w:rPr>
          <w:rFonts w:ascii="Cambria" w:hAnsi="Cambria"/>
          <w:sz w:val="16"/>
          <w:szCs w:val="16"/>
        </w:rPr>
        <w:t>Preliminary Exceptions, Merits, Reparations and Costs</w:t>
      </w:r>
      <w:r w:rsidRPr="00FD77E1">
        <w:rPr>
          <w:rFonts w:ascii="Cambria" w:hAnsi="Cambria" w:cs="Verdana"/>
          <w:sz w:val="16"/>
          <w:szCs w:val="16"/>
          <w:lang w:bidi="en-US"/>
        </w:rPr>
        <w:t xml:space="preserve">. </w:t>
      </w:r>
      <w:r w:rsidR="000C7C37" w:rsidRPr="00FD77E1">
        <w:rPr>
          <w:rFonts w:ascii="Cambria" w:hAnsi="Cambria" w:cs="Verdana"/>
          <w:sz w:val="16"/>
          <w:szCs w:val="16"/>
          <w:lang w:bidi="en-US"/>
        </w:rPr>
        <w:t xml:space="preserve">Judgement of August 6, </w:t>
      </w:r>
      <w:r w:rsidRPr="00FD77E1">
        <w:rPr>
          <w:rFonts w:ascii="Cambria" w:hAnsi="Cambria" w:cs="Verdana"/>
          <w:sz w:val="16"/>
          <w:szCs w:val="16"/>
          <w:lang w:bidi="en-US"/>
        </w:rPr>
        <w:t>2008. Serie</w:t>
      </w:r>
      <w:r w:rsidR="000C7C37" w:rsidRPr="00FD77E1">
        <w:rPr>
          <w:rFonts w:ascii="Cambria" w:hAnsi="Cambria" w:cs="Verdana"/>
          <w:sz w:val="16"/>
          <w:szCs w:val="16"/>
          <w:lang w:bidi="en-US"/>
        </w:rPr>
        <w:t>s</w:t>
      </w:r>
      <w:r w:rsidRPr="00FD77E1">
        <w:rPr>
          <w:rFonts w:ascii="Cambria" w:hAnsi="Cambria" w:cs="Verdana"/>
          <w:sz w:val="16"/>
          <w:szCs w:val="16"/>
          <w:lang w:bidi="en-US"/>
        </w:rPr>
        <w:t xml:space="preserve"> C No. 18</w:t>
      </w:r>
      <w:r w:rsidR="000C7C37" w:rsidRPr="00FD77E1">
        <w:rPr>
          <w:rFonts w:ascii="Cambria" w:hAnsi="Cambria"/>
          <w:sz w:val="16"/>
          <w:szCs w:val="16"/>
        </w:rPr>
        <w:t>3, pa</w:t>
      </w:r>
      <w:r w:rsidRPr="00FD77E1">
        <w:rPr>
          <w:rFonts w:ascii="Cambria" w:hAnsi="Cambria"/>
          <w:sz w:val="16"/>
          <w:szCs w:val="16"/>
        </w:rPr>
        <w:t xml:space="preserve">r. 78.  </w:t>
      </w:r>
    </w:p>
  </w:footnote>
  <w:footnote w:id="63">
    <w:p w14:paraId="3FD06D2E" w14:textId="2BE06F33" w:rsidR="000C7C37" w:rsidRPr="001B6FEB" w:rsidRDefault="00B114BF" w:rsidP="00FD77E1">
      <w:pPr>
        <w:pStyle w:val="FootnoteText"/>
        <w:jc w:val="both"/>
        <w:rPr>
          <w:rFonts w:ascii="Cambria" w:hAnsi="Cambria"/>
          <w:sz w:val="16"/>
          <w:szCs w:val="16"/>
          <w:lang w:val="es-US"/>
        </w:rPr>
      </w:pPr>
      <w:r w:rsidRPr="00FD77E1">
        <w:rPr>
          <w:rFonts w:ascii="Cambria" w:hAnsi="Cambria"/>
          <w:sz w:val="16"/>
          <w:szCs w:val="16"/>
        </w:rPr>
        <w:t xml:space="preserve">IACHR. Report No. 82/13. Case 12.679. Merits. José </w:t>
      </w:r>
      <w:proofErr w:type="spellStart"/>
      <w:r w:rsidRPr="00FD77E1">
        <w:rPr>
          <w:rFonts w:ascii="Cambria" w:hAnsi="Cambria"/>
          <w:sz w:val="16"/>
          <w:szCs w:val="16"/>
        </w:rPr>
        <w:t>Agapito</w:t>
      </w:r>
      <w:proofErr w:type="spellEnd"/>
      <w:r w:rsidRPr="00FD77E1">
        <w:rPr>
          <w:rFonts w:ascii="Cambria" w:hAnsi="Cambria"/>
          <w:sz w:val="16"/>
          <w:szCs w:val="16"/>
        </w:rPr>
        <w:t xml:space="preserve"> </w:t>
      </w:r>
      <w:proofErr w:type="spellStart"/>
      <w:r w:rsidRPr="00FD77E1">
        <w:rPr>
          <w:rFonts w:ascii="Cambria" w:hAnsi="Cambria"/>
          <w:sz w:val="16"/>
          <w:szCs w:val="16"/>
        </w:rPr>
        <w:t>Ruano</w:t>
      </w:r>
      <w:proofErr w:type="spellEnd"/>
      <w:r w:rsidRPr="00FD77E1">
        <w:rPr>
          <w:rFonts w:ascii="Cambria" w:hAnsi="Cambria"/>
          <w:sz w:val="16"/>
          <w:szCs w:val="16"/>
        </w:rPr>
        <w:t xml:space="preserve"> Torres and family. </w:t>
      </w:r>
      <w:r w:rsidRPr="001B6FEB">
        <w:rPr>
          <w:rFonts w:ascii="Cambria" w:hAnsi="Cambria"/>
          <w:sz w:val="16"/>
          <w:szCs w:val="16"/>
          <w:lang w:val="es-US"/>
        </w:rPr>
        <w:t xml:space="preserve">El Salvador. November 4, 2013, par. </w:t>
      </w:r>
      <w:r w:rsidR="000C7C37" w:rsidRPr="001B6FEB">
        <w:rPr>
          <w:rFonts w:ascii="Cambria" w:hAnsi="Cambria"/>
          <w:sz w:val="16"/>
          <w:szCs w:val="16"/>
          <w:lang w:val="es-US"/>
        </w:rPr>
        <w:t>119.</w:t>
      </w:r>
    </w:p>
  </w:footnote>
  <w:footnote w:id="64">
    <w:p w14:paraId="6512848E" w14:textId="0650EE4F" w:rsidR="00183814" w:rsidRPr="00FD77E1" w:rsidRDefault="00183814"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1B6FEB">
        <w:rPr>
          <w:rFonts w:ascii="Cambria" w:hAnsi="Cambria"/>
          <w:sz w:val="16"/>
          <w:szCs w:val="16"/>
          <w:lang w:val="es-US"/>
        </w:rPr>
        <w:t xml:space="preserve"> </w:t>
      </w:r>
      <w:r w:rsidR="009C5DEF" w:rsidRPr="001B6FEB">
        <w:rPr>
          <w:rStyle w:val="Strong"/>
          <w:rFonts w:ascii="Cambria" w:hAnsi="Cambria"/>
          <w:b w:val="0"/>
          <w:sz w:val="16"/>
          <w:szCs w:val="16"/>
          <w:shd w:val="clear" w:color="auto" w:fill="FFFFFF"/>
          <w:lang w:val="es-US"/>
        </w:rPr>
        <w:t xml:space="preserve">I.A. Court. </w:t>
      </w:r>
      <w:r w:rsidR="009C5DEF" w:rsidRPr="001B6FEB">
        <w:rPr>
          <w:rStyle w:val="Strong"/>
          <w:rFonts w:ascii="Cambria" w:hAnsi="Cambria"/>
          <w:b w:val="0"/>
          <w:i/>
          <w:sz w:val="16"/>
          <w:szCs w:val="16"/>
          <w:shd w:val="clear" w:color="auto" w:fill="FFFFFF"/>
          <w:lang w:val="es-US"/>
        </w:rPr>
        <w:t xml:space="preserve">Case Norín Catrimán et al. </w:t>
      </w:r>
      <w:r w:rsidR="009C5DEF" w:rsidRPr="00FD77E1">
        <w:rPr>
          <w:rStyle w:val="Strong"/>
          <w:rFonts w:ascii="Cambria" w:hAnsi="Cambria"/>
          <w:b w:val="0"/>
          <w:i/>
          <w:sz w:val="16"/>
          <w:szCs w:val="16"/>
          <w:shd w:val="clear" w:color="auto" w:fill="FFFFFF"/>
        </w:rPr>
        <w:t xml:space="preserve">(Leaders, members and activist of the </w:t>
      </w:r>
      <w:proofErr w:type="spellStart"/>
      <w:r w:rsidR="009C5DEF" w:rsidRPr="00FD77E1">
        <w:rPr>
          <w:rStyle w:val="Strong"/>
          <w:rFonts w:ascii="Cambria" w:hAnsi="Cambria"/>
          <w:b w:val="0"/>
          <w:i/>
          <w:sz w:val="16"/>
          <w:szCs w:val="16"/>
          <w:shd w:val="clear" w:color="auto" w:fill="FFFFFF"/>
        </w:rPr>
        <w:t>Mapuche</w:t>
      </w:r>
      <w:proofErr w:type="spellEnd"/>
      <w:r w:rsidR="009C5DEF" w:rsidRPr="00FD77E1">
        <w:rPr>
          <w:rStyle w:val="Strong"/>
          <w:rFonts w:ascii="Cambria" w:hAnsi="Cambria"/>
          <w:b w:val="0"/>
          <w:i/>
          <w:sz w:val="16"/>
          <w:szCs w:val="16"/>
          <w:shd w:val="clear" w:color="auto" w:fill="FFFFFF"/>
        </w:rPr>
        <w:t xml:space="preserve"> Indigenous People) v. Chile</w:t>
      </w:r>
      <w:r w:rsidR="009C5DEF" w:rsidRPr="00FD77E1">
        <w:rPr>
          <w:rStyle w:val="Strong"/>
          <w:rFonts w:ascii="Cambria" w:hAnsi="Cambria"/>
          <w:b w:val="0"/>
          <w:sz w:val="16"/>
          <w:szCs w:val="16"/>
          <w:shd w:val="clear" w:color="auto" w:fill="FFFFFF"/>
        </w:rPr>
        <w:t xml:space="preserve">. </w:t>
      </w:r>
      <w:r w:rsidR="009C5DEF" w:rsidRPr="00FD77E1">
        <w:rPr>
          <w:rFonts w:ascii="Cambria" w:hAnsi="Cambria"/>
          <w:sz w:val="16"/>
          <w:szCs w:val="16"/>
        </w:rPr>
        <w:t xml:space="preserve">Merits, Reparations and Costs. Judgement of </w:t>
      </w:r>
      <w:r w:rsidR="009C5DEF" w:rsidRPr="00FD77E1">
        <w:rPr>
          <w:rStyle w:val="Strong"/>
          <w:rFonts w:ascii="Cambria" w:hAnsi="Cambria"/>
          <w:b w:val="0"/>
          <w:sz w:val="16"/>
          <w:szCs w:val="16"/>
          <w:shd w:val="clear" w:color="auto" w:fill="FFFFFF"/>
        </w:rPr>
        <w:t xml:space="preserve">May 29, 2014. Series C No. 279, Par. </w:t>
      </w:r>
      <w:r w:rsidRPr="00FD77E1">
        <w:rPr>
          <w:rStyle w:val="Strong"/>
          <w:rFonts w:ascii="Cambria" w:hAnsi="Cambria"/>
          <w:b w:val="0"/>
          <w:sz w:val="16"/>
          <w:szCs w:val="16"/>
          <w:shd w:val="clear" w:color="auto" w:fill="FFFFFF"/>
        </w:rPr>
        <w:t>247</w:t>
      </w:r>
      <w:r w:rsidRPr="00FD77E1">
        <w:rPr>
          <w:rStyle w:val="Strong"/>
          <w:rFonts w:ascii="Cambria" w:hAnsi="Cambria"/>
          <w:sz w:val="16"/>
          <w:szCs w:val="16"/>
          <w:shd w:val="clear" w:color="auto" w:fill="FFFFFF"/>
        </w:rPr>
        <w:t xml:space="preserve">. </w:t>
      </w:r>
      <w:r w:rsidR="009C5DEF" w:rsidRPr="00FD77E1">
        <w:rPr>
          <w:rFonts w:ascii="Cambria" w:hAnsi="Cambria"/>
          <w:spacing w:val="-4"/>
          <w:sz w:val="16"/>
          <w:szCs w:val="16"/>
        </w:rPr>
        <w:t xml:space="preserve">ECHR. </w:t>
      </w:r>
      <w:proofErr w:type="spellStart"/>
      <w:r w:rsidR="009C5DEF" w:rsidRPr="00FD77E1">
        <w:rPr>
          <w:rFonts w:ascii="Cambria" w:hAnsi="Cambria"/>
          <w:bCs/>
          <w:i/>
          <w:iCs/>
          <w:spacing w:val="-4"/>
          <w:sz w:val="16"/>
          <w:szCs w:val="16"/>
        </w:rPr>
        <w:t>Doorson</w:t>
      </w:r>
      <w:proofErr w:type="spellEnd"/>
      <w:r w:rsidR="009C5DEF" w:rsidRPr="00FD77E1">
        <w:rPr>
          <w:rFonts w:ascii="Cambria" w:hAnsi="Cambria"/>
          <w:bCs/>
          <w:i/>
          <w:iCs/>
          <w:spacing w:val="-4"/>
          <w:sz w:val="16"/>
          <w:szCs w:val="16"/>
        </w:rPr>
        <w:t xml:space="preserve"> v. The Netherlands. </w:t>
      </w:r>
      <w:r w:rsidR="009C5DEF" w:rsidRPr="00FD77E1">
        <w:rPr>
          <w:rFonts w:ascii="Cambria" w:hAnsi="Cambria"/>
          <w:bCs/>
          <w:iCs/>
          <w:spacing w:val="-4"/>
          <w:sz w:val="16"/>
          <w:szCs w:val="16"/>
        </w:rPr>
        <w:t xml:space="preserve">Judgment of May 26, 1996, Par. </w:t>
      </w:r>
      <w:r w:rsidRPr="00FD77E1">
        <w:rPr>
          <w:rFonts w:ascii="Cambria" w:hAnsi="Cambria"/>
          <w:bCs/>
          <w:iCs/>
          <w:spacing w:val="-4"/>
          <w:sz w:val="16"/>
          <w:szCs w:val="16"/>
        </w:rPr>
        <w:t>76.</w:t>
      </w:r>
    </w:p>
  </w:footnote>
  <w:footnote w:id="65">
    <w:p w14:paraId="75DFA0DD" w14:textId="72C3721F" w:rsidR="00EE5179" w:rsidRPr="00FD77E1" w:rsidRDefault="00EE5179"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Article 7. Right to personal liberty.</w:t>
      </w:r>
    </w:p>
    <w:p w14:paraId="1F2B41A3" w14:textId="22CF9BBB" w:rsidR="00EE5179" w:rsidRPr="00FD77E1" w:rsidRDefault="00EE5179" w:rsidP="00FD77E1">
      <w:pPr>
        <w:pStyle w:val="FootnoteText"/>
        <w:jc w:val="both"/>
        <w:rPr>
          <w:rFonts w:ascii="Cambria" w:hAnsi="Cambria" w:cs="Tahoma"/>
          <w:sz w:val="16"/>
          <w:szCs w:val="16"/>
        </w:rPr>
      </w:pPr>
      <w:r w:rsidRPr="00FD77E1">
        <w:rPr>
          <w:rFonts w:ascii="Cambria" w:hAnsi="Cambria" w:cs="Tahoma"/>
          <w:sz w:val="16"/>
          <w:szCs w:val="16"/>
        </w:rPr>
        <w:t>1</w:t>
      </w:r>
      <w:r w:rsidRPr="00FD77E1">
        <w:rPr>
          <w:rFonts w:ascii="Cambria" w:eastAsia="Times New Roman" w:hAnsi="Cambria" w:cs="Tahoma"/>
          <w:sz w:val="16"/>
          <w:szCs w:val="16"/>
          <w:lang w:eastAsia="en-GB"/>
        </w:rPr>
        <w:t xml:space="preserve"> </w:t>
      </w:r>
      <w:r w:rsidRPr="00FD77E1">
        <w:rPr>
          <w:rFonts w:ascii="Cambria" w:hAnsi="Cambria" w:cs="Tahoma"/>
          <w:sz w:val="16"/>
          <w:szCs w:val="16"/>
        </w:rPr>
        <w:t xml:space="preserve">Every person has the right to personal liberty and </w:t>
      </w:r>
      <w:r w:rsidR="0040039C" w:rsidRPr="00FD77E1">
        <w:rPr>
          <w:rFonts w:ascii="Cambria" w:hAnsi="Cambria" w:cs="Tahoma"/>
          <w:sz w:val="16"/>
          <w:szCs w:val="16"/>
        </w:rPr>
        <w:t>security (</w:t>
      </w:r>
      <w:r w:rsidRPr="00FD77E1">
        <w:rPr>
          <w:rFonts w:ascii="Cambria" w:hAnsi="Cambria" w:cs="Tahoma"/>
          <w:sz w:val="16"/>
          <w:szCs w:val="16"/>
        </w:rPr>
        <w:t>…).</w:t>
      </w:r>
    </w:p>
    <w:p w14:paraId="5981CDB9" w14:textId="5A705BCB" w:rsidR="00EE5179" w:rsidRPr="00FD77E1" w:rsidRDefault="00EE5179" w:rsidP="00FD77E1">
      <w:pPr>
        <w:pStyle w:val="FootnoteText"/>
        <w:jc w:val="both"/>
        <w:rPr>
          <w:rFonts w:ascii="Cambria" w:hAnsi="Cambria" w:cs="Tahoma"/>
          <w:sz w:val="16"/>
          <w:szCs w:val="16"/>
        </w:rPr>
      </w:pPr>
      <w:r w:rsidRPr="00FD77E1">
        <w:rPr>
          <w:rFonts w:ascii="Cambria" w:hAnsi="Cambria"/>
          <w:sz w:val="16"/>
          <w:szCs w:val="16"/>
        </w:rPr>
        <w:t xml:space="preserve">3. </w:t>
      </w:r>
      <w:r w:rsidRPr="00FD77E1">
        <w:rPr>
          <w:rFonts w:ascii="Cambria" w:hAnsi="Cambria" w:cs="Tahoma"/>
          <w:sz w:val="16"/>
          <w:szCs w:val="16"/>
        </w:rPr>
        <w:t>No one shall be subject to arbitrary arrest or imprisonment.</w:t>
      </w:r>
    </w:p>
  </w:footnote>
  <w:footnote w:id="66">
    <w:p w14:paraId="63BE254C" w14:textId="1FB5DDF3" w:rsidR="00EE5179" w:rsidRPr="00FD77E1" w:rsidRDefault="00EE5179"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w:t>
      </w:r>
      <w:r w:rsidR="004B0E3F" w:rsidRPr="00FD77E1">
        <w:rPr>
          <w:rFonts w:ascii="Cambria" w:hAnsi="Cambria"/>
          <w:sz w:val="16"/>
          <w:szCs w:val="16"/>
        </w:rPr>
        <w:t>IACH</w:t>
      </w:r>
      <w:r w:rsidRPr="00FD77E1">
        <w:rPr>
          <w:rFonts w:ascii="Cambria" w:hAnsi="Cambria"/>
          <w:sz w:val="16"/>
          <w:szCs w:val="16"/>
        </w:rPr>
        <w:t xml:space="preserve">. </w:t>
      </w:r>
      <w:r w:rsidR="004B0E3F" w:rsidRPr="00FD77E1">
        <w:rPr>
          <w:rFonts w:ascii="Cambria" w:hAnsi="Cambria"/>
          <w:sz w:val="16"/>
          <w:szCs w:val="16"/>
        </w:rPr>
        <w:t>Report</w:t>
      </w:r>
      <w:r w:rsidRPr="00FD77E1">
        <w:rPr>
          <w:rFonts w:ascii="Cambria" w:hAnsi="Cambria"/>
          <w:sz w:val="16"/>
          <w:szCs w:val="16"/>
        </w:rPr>
        <w:t xml:space="preserve"> No. 172/10. </w:t>
      </w:r>
      <w:r w:rsidR="004B0E3F" w:rsidRPr="00FD77E1">
        <w:rPr>
          <w:rFonts w:ascii="Cambria" w:hAnsi="Cambria"/>
          <w:sz w:val="16"/>
          <w:szCs w:val="16"/>
        </w:rPr>
        <w:t>Case</w:t>
      </w:r>
      <w:r w:rsidRPr="00FD77E1">
        <w:rPr>
          <w:rFonts w:ascii="Cambria" w:hAnsi="Cambria"/>
          <w:sz w:val="16"/>
          <w:szCs w:val="16"/>
        </w:rPr>
        <w:t xml:space="preserve"> 12.561. </w:t>
      </w:r>
      <w:r w:rsidR="004B0E3F" w:rsidRPr="00FD77E1">
        <w:rPr>
          <w:rFonts w:ascii="Cambria" w:hAnsi="Cambria"/>
          <w:sz w:val="16"/>
          <w:szCs w:val="16"/>
        </w:rPr>
        <w:t>Merits</w:t>
      </w:r>
      <w:r w:rsidRPr="00FD77E1">
        <w:rPr>
          <w:rFonts w:ascii="Cambria" w:hAnsi="Cambria"/>
          <w:sz w:val="16"/>
          <w:szCs w:val="16"/>
        </w:rPr>
        <w:t xml:space="preserve">. </w:t>
      </w:r>
      <w:r w:rsidRPr="001B6FEB">
        <w:rPr>
          <w:rFonts w:ascii="Cambria" w:hAnsi="Cambria"/>
          <w:sz w:val="16"/>
          <w:szCs w:val="16"/>
          <w:lang w:val="es-US"/>
        </w:rPr>
        <w:t xml:space="preserve">César Alberto Mendoza </w:t>
      </w:r>
      <w:r w:rsidR="004B0E3F" w:rsidRPr="001B6FEB">
        <w:rPr>
          <w:rFonts w:ascii="Cambria" w:hAnsi="Cambria"/>
          <w:sz w:val="16"/>
          <w:szCs w:val="16"/>
          <w:lang w:val="es-US"/>
        </w:rPr>
        <w:t>et al.</w:t>
      </w:r>
      <w:r w:rsidRPr="001B6FEB">
        <w:rPr>
          <w:rFonts w:ascii="Cambria" w:hAnsi="Cambria"/>
          <w:sz w:val="16"/>
          <w:szCs w:val="16"/>
          <w:lang w:val="es-US"/>
        </w:rPr>
        <w:t xml:space="preserve"> </w:t>
      </w:r>
      <w:r w:rsidRPr="00FD77E1">
        <w:rPr>
          <w:rFonts w:ascii="Cambria" w:hAnsi="Cambria"/>
          <w:sz w:val="16"/>
          <w:szCs w:val="16"/>
        </w:rPr>
        <w:t>(</w:t>
      </w:r>
      <w:r w:rsidR="00216E80" w:rsidRPr="00FD77E1">
        <w:rPr>
          <w:rFonts w:ascii="Cambria" w:hAnsi="Cambria"/>
          <w:sz w:val="16"/>
          <w:szCs w:val="16"/>
          <w:lang w:val="en-GB"/>
        </w:rPr>
        <w:t>juveniles sentenced to life time imprisonment</w:t>
      </w:r>
      <w:r w:rsidR="0040039C" w:rsidRPr="00FD77E1">
        <w:rPr>
          <w:rFonts w:ascii="Cambria" w:hAnsi="Cambria"/>
          <w:sz w:val="16"/>
          <w:szCs w:val="16"/>
        </w:rPr>
        <w:t xml:space="preserve">). </w:t>
      </w:r>
      <w:r w:rsidRPr="00FD77E1">
        <w:rPr>
          <w:rFonts w:ascii="Cambria" w:hAnsi="Cambria"/>
          <w:sz w:val="16"/>
          <w:szCs w:val="16"/>
        </w:rPr>
        <w:t xml:space="preserve">Argentina. </w:t>
      </w:r>
      <w:r w:rsidR="0040039C" w:rsidRPr="00FD77E1">
        <w:rPr>
          <w:rFonts w:ascii="Cambria" w:hAnsi="Cambria"/>
          <w:sz w:val="16"/>
          <w:szCs w:val="16"/>
        </w:rPr>
        <w:t>November 2, 2000, par</w:t>
      </w:r>
      <w:r w:rsidRPr="00FD77E1">
        <w:rPr>
          <w:rFonts w:ascii="Cambria" w:hAnsi="Cambria"/>
          <w:sz w:val="16"/>
          <w:szCs w:val="16"/>
        </w:rPr>
        <w:t>. 175.</w:t>
      </w:r>
    </w:p>
  </w:footnote>
  <w:footnote w:id="67">
    <w:p w14:paraId="10A9AE74" w14:textId="45F1F2A8" w:rsidR="00EE5179" w:rsidRPr="00FD77E1" w:rsidRDefault="00EE5179" w:rsidP="00FD77E1">
      <w:pPr>
        <w:pStyle w:val="FootnoteText"/>
        <w:jc w:val="both"/>
        <w:rPr>
          <w:rFonts w:ascii="Cambria" w:hAnsi="Cambria"/>
          <w:sz w:val="16"/>
          <w:szCs w:val="16"/>
        </w:rPr>
      </w:pPr>
      <w:r w:rsidRPr="00FD77E1">
        <w:rPr>
          <w:rStyle w:val="FootnoteReference"/>
          <w:rFonts w:ascii="Cambria" w:hAnsi="Cambria"/>
          <w:sz w:val="16"/>
          <w:szCs w:val="16"/>
        </w:rPr>
        <w:footnoteRef/>
      </w:r>
      <w:r w:rsidRPr="00FD77E1">
        <w:rPr>
          <w:rFonts w:ascii="Cambria" w:hAnsi="Cambria"/>
          <w:sz w:val="16"/>
          <w:szCs w:val="16"/>
        </w:rPr>
        <w:t xml:space="preserve"> </w:t>
      </w:r>
      <w:r w:rsidR="0040039C" w:rsidRPr="00FD77E1">
        <w:rPr>
          <w:rFonts w:ascii="Cambria" w:hAnsi="Cambria"/>
          <w:sz w:val="16"/>
          <w:szCs w:val="16"/>
        </w:rPr>
        <w:t>I.A. Court</w:t>
      </w:r>
      <w:r w:rsidRPr="00FD77E1">
        <w:rPr>
          <w:rFonts w:ascii="Cambria" w:hAnsi="Cambria"/>
          <w:sz w:val="16"/>
          <w:szCs w:val="16"/>
        </w:rPr>
        <w:t xml:space="preserve">. </w:t>
      </w:r>
      <w:r w:rsidR="0040039C" w:rsidRPr="001B6FEB">
        <w:rPr>
          <w:rFonts w:ascii="Cambria" w:hAnsi="Cambria"/>
          <w:i/>
          <w:sz w:val="16"/>
          <w:szCs w:val="16"/>
          <w:lang w:val="es-US"/>
        </w:rPr>
        <w:t>Case Usón Ramírez v.</w:t>
      </w:r>
      <w:r w:rsidRPr="001B6FEB">
        <w:rPr>
          <w:rFonts w:ascii="Cambria" w:hAnsi="Cambria"/>
          <w:i/>
          <w:sz w:val="16"/>
          <w:szCs w:val="16"/>
          <w:lang w:val="es-US"/>
        </w:rPr>
        <w:t xml:space="preserve"> Venezuela</w:t>
      </w:r>
      <w:r w:rsidRPr="001B6FEB">
        <w:rPr>
          <w:rFonts w:ascii="Cambria" w:hAnsi="Cambria"/>
          <w:sz w:val="16"/>
          <w:szCs w:val="16"/>
          <w:lang w:val="es-US"/>
        </w:rPr>
        <w:t xml:space="preserve">. </w:t>
      </w:r>
      <w:r w:rsidR="0040039C" w:rsidRPr="00FD77E1">
        <w:rPr>
          <w:rFonts w:ascii="Cambria" w:hAnsi="Cambria"/>
          <w:sz w:val="16"/>
          <w:szCs w:val="16"/>
        </w:rPr>
        <w:t xml:space="preserve">Judgement of November 20, </w:t>
      </w:r>
      <w:r w:rsidRPr="00FD77E1">
        <w:rPr>
          <w:rFonts w:ascii="Cambria" w:hAnsi="Cambria"/>
          <w:sz w:val="16"/>
          <w:szCs w:val="16"/>
        </w:rPr>
        <w:t>2009. Serie</w:t>
      </w:r>
      <w:r w:rsidR="0040039C" w:rsidRPr="00FD77E1">
        <w:rPr>
          <w:rFonts w:ascii="Cambria" w:hAnsi="Cambria"/>
          <w:sz w:val="16"/>
          <w:szCs w:val="16"/>
        </w:rPr>
        <w:t>s C No. 207, par.</w:t>
      </w:r>
      <w:r w:rsidRPr="00FD77E1">
        <w:rPr>
          <w:rFonts w:ascii="Cambria" w:hAnsi="Cambria"/>
          <w:sz w:val="16"/>
          <w:szCs w:val="16"/>
        </w:rPr>
        <w:t xml:space="preserve"> 148.</w:t>
      </w:r>
    </w:p>
  </w:footnote>
  <w:footnote w:id="68">
    <w:p w14:paraId="58964373" w14:textId="38CF26FA" w:rsidR="00EE5179" w:rsidRPr="00FD77E1" w:rsidRDefault="00EE5179" w:rsidP="00FD77E1">
      <w:pPr>
        <w:pStyle w:val="FootnoteText"/>
        <w:jc w:val="both"/>
        <w:rPr>
          <w:rFonts w:ascii="Cambria" w:hAnsi="Cambria"/>
          <w:sz w:val="16"/>
          <w:szCs w:val="16"/>
        </w:rPr>
      </w:pPr>
      <w:r w:rsidRPr="00FD77E1">
        <w:rPr>
          <w:rStyle w:val="FootnoteReference"/>
          <w:rFonts w:ascii="Cambria" w:hAnsi="Cambria"/>
          <w:sz w:val="16"/>
          <w:szCs w:val="16"/>
        </w:rPr>
        <w:footnoteRef/>
      </w:r>
      <w:r w:rsidR="0040039C" w:rsidRPr="00FD77E1">
        <w:rPr>
          <w:rFonts w:ascii="Cambria" w:hAnsi="Cambria"/>
          <w:sz w:val="16"/>
          <w:szCs w:val="16"/>
        </w:rPr>
        <w:t xml:space="preserve"> Working Group on Arbitrary Detention of the Office of the United Nations High Commissioner for Human Rights. Information leaflet No. 26: "No one shall be arbitrarily detained, imprisoned or exiled."</w:t>
      </w:r>
    </w:p>
  </w:footnote>
  <w:footnote w:id="69">
    <w:p w14:paraId="17A66C2B" w14:textId="67B6017F" w:rsidR="00EE5179" w:rsidRPr="00FD77E1" w:rsidRDefault="00EE5179" w:rsidP="00FD77E1">
      <w:pPr>
        <w:pStyle w:val="FootnoteText"/>
        <w:jc w:val="both"/>
        <w:rPr>
          <w:rFonts w:ascii="Cambria" w:hAnsi="Cambria"/>
          <w:sz w:val="16"/>
          <w:szCs w:val="16"/>
          <w:lang w:val="es-CO"/>
        </w:rPr>
      </w:pPr>
      <w:r w:rsidRPr="00FD77E1">
        <w:rPr>
          <w:rStyle w:val="FootnoteReference"/>
          <w:rFonts w:ascii="Cambria" w:hAnsi="Cambria"/>
          <w:sz w:val="16"/>
          <w:szCs w:val="16"/>
        </w:rPr>
        <w:footnoteRef/>
      </w:r>
      <w:r w:rsidRPr="00FD77E1">
        <w:rPr>
          <w:rFonts w:ascii="Cambria" w:hAnsi="Cambria"/>
          <w:sz w:val="16"/>
          <w:szCs w:val="16"/>
        </w:rPr>
        <w:t xml:space="preserve"> </w:t>
      </w:r>
      <w:r w:rsidR="00F95498" w:rsidRPr="00FD77E1">
        <w:rPr>
          <w:rFonts w:ascii="Cambria" w:hAnsi="Cambria"/>
          <w:sz w:val="16"/>
          <w:szCs w:val="16"/>
        </w:rPr>
        <w:t>For more information</w:t>
      </w:r>
      <w:r w:rsidRPr="00FD77E1">
        <w:rPr>
          <w:rFonts w:ascii="Cambria" w:hAnsi="Cambria"/>
          <w:sz w:val="16"/>
          <w:szCs w:val="16"/>
        </w:rPr>
        <w:t xml:space="preserve">, </w:t>
      </w:r>
      <w:r w:rsidR="00F95498" w:rsidRPr="00FD77E1">
        <w:rPr>
          <w:rFonts w:ascii="Cambria" w:hAnsi="Cambria"/>
          <w:sz w:val="16"/>
          <w:szCs w:val="16"/>
        </w:rPr>
        <w:t>see</w:t>
      </w:r>
      <w:r w:rsidRPr="00FD77E1">
        <w:rPr>
          <w:rFonts w:ascii="Cambria" w:hAnsi="Cambria"/>
          <w:sz w:val="16"/>
          <w:szCs w:val="16"/>
        </w:rPr>
        <w:t xml:space="preserve">: </w:t>
      </w:r>
      <w:r w:rsidR="00F95498" w:rsidRPr="00FD77E1">
        <w:rPr>
          <w:rFonts w:ascii="Cambria" w:hAnsi="Cambria"/>
          <w:sz w:val="16"/>
          <w:szCs w:val="16"/>
        </w:rPr>
        <w:t>IACHR</w:t>
      </w:r>
      <w:r w:rsidRPr="00FD77E1">
        <w:rPr>
          <w:rFonts w:ascii="Cambria" w:hAnsi="Cambria"/>
          <w:sz w:val="16"/>
          <w:szCs w:val="16"/>
        </w:rPr>
        <w:t xml:space="preserve">. </w:t>
      </w:r>
      <w:r w:rsidR="00F95498" w:rsidRPr="00FD77E1">
        <w:rPr>
          <w:rFonts w:ascii="Cambria" w:hAnsi="Cambria"/>
          <w:sz w:val="16"/>
          <w:szCs w:val="16"/>
        </w:rPr>
        <w:t>Report No. 172/10. Case</w:t>
      </w:r>
      <w:r w:rsidRPr="00FD77E1">
        <w:rPr>
          <w:rFonts w:ascii="Cambria" w:hAnsi="Cambria"/>
          <w:sz w:val="16"/>
          <w:szCs w:val="16"/>
        </w:rPr>
        <w:t xml:space="preserve"> 12.561. </w:t>
      </w:r>
      <w:r w:rsidR="00F95498" w:rsidRPr="00FD77E1">
        <w:rPr>
          <w:rFonts w:ascii="Cambria" w:hAnsi="Cambria"/>
          <w:sz w:val="16"/>
          <w:szCs w:val="16"/>
        </w:rPr>
        <w:t xml:space="preserve">Merits. César Alberto Mendoza et al. </w:t>
      </w:r>
      <w:r w:rsidRPr="00FD77E1">
        <w:rPr>
          <w:rFonts w:ascii="Cambria" w:hAnsi="Cambria"/>
          <w:sz w:val="16"/>
          <w:szCs w:val="16"/>
        </w:rPr>
        <w:t>(</w:t>
      </w:r>
      <w:r w:rsidR="00216E80" w:rsidRPr="00FD77E1">
        <w:rPr>
          <w:rFonts w:ascii="Cambria" w:hAnsi="Cambria"/>
          <w:sz w:val="16"/>
          <w:szCs w:val="16"/>
          <w:lang w:val="en-GB"/>
        </w:rPr>
        <w:t>juveniles sentenced to life time imprisonment</w:t>
      </w:r>
      <w:r w:rsidR="00F95498" w:rsidRPr="00FD77E1">
        <w:rPr>
          <w:rFonts w:ascii="Cambria" w:hAnsi="Cambria"/>
          <w:sz w:val="16"/>
          <w:szCs w:val="16"/>
        </w:rPr>
        <w:t xml:space="preserve">). </w:t>
      </w:r>
      <w:r w:rsidR="00F95498" w:rsidRPr="00FD77E1">
        <w:rPr>
          <w:rFonts w:ascii="Cambria" w:hAnsi="Cambria"/>
          <w:sz w:val="16"/>
          <w:szCs w:val="16"/>
          <w:lang w:val="es-CO"/>
        </w:rPr>
        <w:t xml:space="preserve">Argentina. November 2, 2000, par. </w:t>
      </w:r>
      <w:r w:rsidRPr="00FD77E1">
        <w:rPr>
          <w:rFonts w:ascii="Cambria" w:hAnsi="Cambria"/>
          <w:sz w:val="16"/>
          <w:szCs w:val="16"/>
          <w:lang w:val="es-CO"/>
        </w:rPr>
        <w:t>179.</w:t>
      </w:r>
    </w:p>
  </w:footnote>
  <w:footnote w:id="70">
    <w:p w14:paraId="66907BD8" w14:textId="32095285" w:rsidR="00EE5179" w:rsidRPr="00FD77E1" w:rsidRDefault="00EE5179" w:rsidP="00FD77E1">
      <w:pPr>
        <w:pStyle w:val="FootnoteText"/>
        <w:jc w:val="both"/>
        <w:rPr>
          <w:rFonts w:ascii="Cambria" w:hAnsi="Cambria"/>
          <w:sz w:val="16"/>
          <w:szCs w:val="16"/>
          <w:lang w:val="es-ES"/>
        </w:rPr>
      </w:pPr>
      <w:r w:rsidRPr="00FD77E1">
        <w:rPr>
          <w:rStyle w:val="FootnoteReference"/>
          <w:rFonts w:ascii="Cambria" w:hAnsi="Cambria"/>
          <w:sz w:val="16"/>
          <w:szCs w:val="16"/>
        </w:rPr>
        <w:footnoteRef/>
      </w:r>
      <w:r w:rsidRPr="001B6FEB">
        <w:rPr>
          <w:rFonts w:ascii="Cambria" w:hAnsi="Cambria"/>
          <w:sz w:val="16"/>
          <w:szCs w:val="16"/>
          <w:lang w:val="es-US"/>
        </w:rPr>
        <w:t xml:space="preserve"> </w:t>
      </w:r>
      <w:r w:rsidR="00F95498" w:rsidRPr="001B6FEB">
        <w:rPr>
          <w:rFonts w:ascii="Cambria" w:hAnsi="Cambria"/>
          <w:sz w:val="16"/>
          <w:szCs w:val="16"/>
          <w:lang w:val="es-US"/>
        </w:rPr>
        <w:t>IACH</w:t>
      </w:r>
      <w:r w:rsidR="003E1C96" w:rsidRPr="001B6FEB">
        <w:rPr>
          <w:rFonts w:ascii="Cambria" w:hAnsi="Cambria"/>
          <w:sz w:val="16"/>
          <w:szCs w:val="16"/>
          <w:lang w:val="es-US"/>
        </w:rPr>
        <w:t>R</w:t>
      </w:r>
      <w:r w:rsidRPr="001B6FEB">
        <w:rPr>
          <w:rFonts w:ascii="Cambria" w:hAnsi="Cambria"/>
          <w:sz w:val="16"/>
          <w:szCs w:val="16"/>
          <w:lang w:val="es-US"/>
        </w:rPr>
        <w:t xml:space="preserve">. </w:t>
      </w:r>
      <w:r w:rsidR="00F95498" w:rsidRPr="001B6FEB">
        <w:rPr>
          <w:rFonts w:ascii="Cambria" w:hAnsi="Cambria"/>
          <w:sz w:val="16"/>
          <w:szCs w:val="16"/>
          <w:lang w:val="es-US"/>
        </w:rPr>
        <w:t>Report No. 64/99. Case</w:t>
      </w:r>
      <w:r w:rsidRPr="001B6FEB">
        <w:rPr>
          <w:rFonts w:ascii="Cambria" w:hAnsi="Cambria"/>
          <w:sz w:val="16"/>
          <w:szCs w:val="16"/>
          <w:lang w:val="es-US"/>
        </w:rPr>
        <w:t xml:space="preserve"> 11.778. </w:t>
      </w:r>
      <w:r w:rsidR="00F95498" w:rsidRPr="001B6FEB">
        <w:rPr>
          <w:rFonts w:ascii="Cambria" w:hAnsi="Cambria"/>
          <w:sz w:val="16"/>
          <w:szCs w:val="16"/>
          <w:lang w:val="es-US"/>
        </w:rPr>
        <w:t>Merits</w:t>
      </w:r>
      <w:r w:rsidRPr="001B6FEB">
        <w:rPr>
          <w:rFonts w:ascii="Cambria" w:hAnsi="Cambria"/>
          <w:sz w:val="16"/>
          <w:szCs w:val="16"/>
          <w:lang w:val="es-US"/>
        </w:rPr>
        <w:t xml:space="preserve">. </w:t>
      </w:r>
      <w:r w:rsidRPr="00FD77E1">
        <w:rPr>
          <w:rFonts w:ascii="Cambria" w:hAnsi="Cambria"/>
          <w:sz w:val="16"/>
          <w:szCs w:val="16"/>
          <w:lang w:val="es-CO"/>
        </w:rPr>
        <w:t xml:space="preserve">Ruth del Rosario Garcés Valladares. Ecuador. </w:t>
      </w:r>
      <w:r w:rsidR="00F95498" w:rsidRPr="00FD77E1">
        <w:rPr>
          <w:rFonts w:ascii="Cambria" w:hAnsi="Cambria"/>
          <w:sz w:val="16"/>
          <w:szCs w:val="16"/>
        </w:rPr>
        <w:t>April 13,</w:t>
      </w:r>
      <w:r w:rsidRPr="00FD77E1">
        <w:rPr>
          <w:rFonts w:ascii="Cambria" w:hAnsi="Cambria"/>
          <w:sz w:val="16"/>
          <w:szCs w:val="16"/>
        </w:rPr>
        <w:t xml:space="preserve"> 1999, </w:t>
      </w:r>
      <w:r w:rsidR="00F95498" w:rsidRPr="00FD77E1">
        <w:rPr>
          <w:rFonts w:ascii="Cambria" w:hAnsi="Cambria"/>
          <w:sz w:val="16"/>
          <w:szCs w:val="16"/>
        </w:rPr>
        <w:t>par</w:t>
      </w:r>
      <w:r w:rsidRPr="00FD77E1">
        <w:rPr>
          <w:rFonts w:ascii="Cambria" w:hAnsi="Cambria"/>
          <w:sz w:val="16"/>
          <w:szCs w:val="16"/>
        </w:rPr>
        <w:t>.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EBA" w14:textId="77777777" w:rsidR="00165AF7" w:rsidRDefault="00165AF7" w:rsidP="000C0F5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FE08750" w14:textId="77777777" w:rsidR="00165AF7" w:rsidRDefault="0016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7E70" w14:textId="4DF3D836" w:rsidR="00165AF7" w:rsidRDefault="00DD69A5" w:rsidP="000C0F56">
    <w:pPr>
      <w:pStyle w:val="Header"/>
      <w:jc w:val="center"/>
    </w:pPr>
    <w:r>
      <w:rPr>
        <w:noProof/>
        <w:lang w:val="es-ES" w:eastAsia="es-ES"/>
      </w:rPr>
      <w:drawing>
        <wp:inline distT="0" distB="0" distL="0" distR="0" wp14:anchorId="1EBA7838" wp14:editId="72A2C5B2">
          <wp:extent cx="2190115" cy="116840"/>
          <wp:effectExtent l="0" t="0" r="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15" cy="116840"/>
                  </a:xfrm>
                  <a:prstGeom prst="rect">
                    <a:avLst/>
                  </a:prstGeom>
                  <a:noFill/>
                  <a:ln>
                    <a:noFill/>
                  </a:ln>
                </pic:spPr>
              </pic:pic>
            </a:graphicData>
          </a:graphic>
        </wp:inline>
      </w:drawing>
    </w:r>
  </w:p>
  <w:p w14:paraId="783C6155" w14:textId="77777777" w:rsidR="00165AF7" w:rsidRPr="00EC7D62" w:rsidRDefault="00DB113E" w:rsidP="000C0F56">
    <w:pPr>
      <w:pStyle w:val="Header"/>
      <w:jc w:val="center"/>
    </w:pPr>
    <w:r>
      <w:rPr>
        <w:noProof/>
      </w:rPr>
      <w:pict w14:anchorId="1B123223">
        <v:rect id="_x0000_i1025" alt="" style="width:451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1" w15:restartNumberingAfterBreak="0">
    <w:nsid w:val="105425F5"/>
    <w:multiLevelType w:val="hybridMultilevel"/>
    <w:tmpl w:val="BCCA122C"/>
    <w:lvl w:ilvl="0" w:tplc="D9FC28FC">
      <w:numFmt w:val="bullet"/>
      <w:lvlText w:val="-"/>
      <w:lvlJc w:val="left"/>
      <w:pPr>
        <w:ind w:left="720" w:hanging="360"/>
      </w:pPr>
      <w:rPr>
        <w:rFonts w:ascii="Cambria" w:eastAsia="Batang" w:hAnsi="Cambria"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050020"/>
    <w:multiLevelType w:val="hybridMultilevel"/>
    <w:tmpl w:val="3484FA1C"/>
    <w:lvl w:ilvl="0" w:tplc="D6C03A1C">
      <w:start w:val="1"/>
      <w:numFmt w:val="decimal"/>
      <w:lvlText w:val="%1."/>
      <w:lvlJc w:val="left"/>
      <w:pPr>
        <w:tabs>
          <w:tab w:val="num" w:pos="1429"/>
        </w:tabs>
        <w:ind w:firstLine="720"/>
      </w:pPr>
      <w:rPr>
        <w:rFonts w:ascii="Cambria" w:hAnsi="Cambria" w:cs="Times New Roman" w:hint="default"/>
        <w:b w:val="0"/>
        <w:i w:val="0"/>
        <w:sz w:val="20"/>
        <w:szCs w:val="20"/>
        <w:lang w:val="es-ES"/>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F826F2E"/>
    <w:multiLevelType w:val="hybridMultilevel"/>
    <w:tmpl w:val="5532C9D0"/>
    <w:lvl w:ilvl="0" w:tplc="D6C03A1C">
      <w:start w:val="1"/>
      <w:numFmt w:val="decimal"/>
      <w:lvlText w:val="%1."/>
      <w:lvlJc w:val="left"/>
      <w:pPr>
        <w:tabs>
          <w:tab w:val="num" w:pos="1429"/>
        </w:tabs>
        <w:ind w:firstLine="720"/>
      </w:pPr>
      <w:rPr>
        <w:rFonts w:ascii="Cambria" w:hAnsi="Cambria" w:cs="Times New Roman" w:hint="default"/>
        <w:b w:val="0"/>
        <w:i w:val="0"/>
        <w:sz w:val="20"/>
        <w:szCs w:val="20"/>
        <w:lang w:val="es-ES"/>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ADF6884"/>
    <w:multiLevelType w:val="hybridMultilevel"/>
    <w:tmpl w:val="BDCE111A"/>
    <w:lvl w:ilvl="0" w:tplc="8454F4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786ED7"/>
    <w:multiLevelType w:val="hybridMultilevel"/>
    <w:tmpl w:val="FF66AEF4"/>
    <w:lvl w:ilvl="0" w:tplc="7C5C7372">
      <w:start w:val="1"/>
      <w:numFmt w:val="upperRoman"/>
      <w:pStyle w:val="Heading1"/>
      <w:lvlText w:val="%1."/>
      <w:lvlJc w:val="left"/>
      <w:pPr>
        <w:ind w:left="6390" w:hanging="360"/>
      </w:pPr>
      <w:rPr>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6" w15:restartNumberingAfterBreak="0">
    <w:nsid w:val="7C4C4EAE"/>
    <w:multiLevelType w:val="hybridMultilevel"/>
    <w:tmpl w:val="17E89C30"/>
    <w:lvl w:ilvl="0" w:tplc="5B6C948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ECC36F6"/>
    <w:multiLevelType w:val="hybridMultilevel"/>
    <w:tmpl w:val="B0EAB888"/>
    <w:lvl w:ilvl="0" w:tplc="26C24E96">
      <w:start w:val="1"/>
      <w:numFmt w:val="decimal"/>
      <w:lvlText w:val="%1."/>
      <w:lvlJc w:val="left"/>
      <w:pPr>
        <w:tabs>
          <w:tab w:val="num" w:pos="2160"/>
        </w:tabs>
        <w:ind w:left="2160" w:hanging="144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b/>
      </w:rPr>
    </w:lvl>
    <w:lvl w:ilvl="2" w:tplc="C5C493FC">
      <w:start w:val="1"/>
      <w:numFmt w:val="upperLetter"/>
      <w:pStyle w:val="Heading2"/>
      <w:lvlText w:val="%3."/>
      <w:lvlJc w:val="left"/>
      <w:pPr>
        <w:tabs>
          <w:tab w:val="num" w:pos="3060"/>
        </w:tabs>
        <w:ind w:left="3060" w:hanging="720"/>
      </w:pPr>
      <w:rPr>
        <w:b/>
      </w:rPr>
    </w:lvl>
    <w:lvl w:ilvl="3" w:tplc="CFE897F8">
      <w:start w:val="1"/>
      <w:numFmt w:val="lowerLetter"/>
      <w:lvlText w:val="%4."/>
      <w:lvlJc w:val="left"/>
      <w:pPr>
        <w:tabs>
          <w:tab w:val="num" w:pos="3240"/>
        </w:tabs>
        <w:ind w:left="3240" w:hanging="360"/>
      </w:p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start w:val="1"/>
      <w:numFmt w:val="lowerRoman"/>
      <w:lvlText w:val="%6."/>
      <w:lvlJc w:val="right"/>
      <w:pPr>
        <w:tabs>
          <w:tab w:val="num" w:pos="4680"/>
        </w:tabs>
        <w:ind w:left="4680" w:hanging="180"/>
      </w:pPr>
    </w:lvl>
    <w:lvl w:ilvl="6" w:tplc="D8F600A0">
      <w:start w:val="1"/>
      <w:numFmt w:val="decimal"/>
      <w:pStyle w:val="Heading3"/>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5D"/>
    <w:rsid w:val="000A4E99"/>
    <w:rsid w:val="000A6FA0"/>
    <w:rsid w:val="000C0F56"/>
    <w:rsid w:val="000C7C37"/>
    <w:rsid w:val="000D3395"/>
    <w:rsid w:val="00110F60"/>
    <w:rsid w:val="001518B6"/>
    <w:rsid w:val="00165AF7"/>
    <w:rsid w:val="00183814"/>
    <w:rsid w:val="00195DAF"/>
    <w:rsid w:val="001B6FEB"/>
    <w:rsid w:val="001F521C"/>
    <w:rsid w:val="00216E80"/>
    <w:rsid w:val="00226DBC"/>
    <w:rsid w:val="002529AF"/>
    <w:rsid w:val="002576E2"/>
    <w:rsid w:val="00257DC0"/>
    <w:rsid w:val="002C0F17"/>
    <w:rsid w:val="002F1831"/>
    <w:rsid w:val="003516B8"/>
    <w:rsid w:val="00377C39"/>
    <w:rsid w:val="003E1C96"/>
    <w:rsid w:val="003E763D"/>
    <w:rsid w:val="0040039C"/>
    <w:rsid w:val="00401429"/>
    <w:rsid w:val="0047433F"/>
    <w:rsid w:val="00490DE0"/>
    <w:rsid w:val="004B0E3F"/>
    <w:rsid w:val="004D6B78"/>
    <w:rsid w:val="004E1AF1"/>
    <w:rsid w:val="004E794A"/>
    <w:rsid w:val="00514B87"/>
    <w:rsid w:val="00557A4F"/>
    <w:rsid w:val="005C38EB"/>
    <w:rsid w:val="005E0CE4"/>
    <w:rsid w:val="006412D2"/>
    <w:rsid w:val="00705893"/>
    <w:rsid w:val="00732F60"/>
    <w:rsid w:val="00742B9F"/>
    <w:rsid w:val="00755C45"/>
    <w:rsid w:val="007C362B"/>
    <w:rsid w:val="007E512F"/>
    <w:rsid w:val="008264E6"/>
    <w:rsid w:val="00832B2E"/>
    <w:rsid w:val="00850B52"/>
    <w:rsid w:val="008852BB"/>
    <w:rsid w:val="008A215A"/>
    <w:rsid w:val="008B6419"/>
    <w:rsid w:val="0097431D"/>
    <w:rsid w:val="00995848"/>
    <w:rsid w:val="009A305A"/>
    <w:rsid w:val="009C495F"/>
    <w:rsid w:val="009C5DEF"/>
    <w:rsid w:val="00A00E69"/>
    <w:rsid w:val="00A0432F"/>
    <w:rsid w:val="00A1175D"/>
    <w:rsid w:val="00A20116"/>
    <w:rsid w:val="00A74C58"/>
    <w:rsid w:val="00AB430D"/>
    <w:rsid w:val="00AC222F"/>
    <w:rsid w:val="00AF28A1"/>
    <w:rsid w:val="00B114BF"/>
    <w:rsid w:val="00B24A3C"/>
    <w:rsid w:val="00B33BFA"/>
    <w:rsid w:val="00B3534A"/>
    <w:rsid w:val="00B812F5"/>
    <w:rsid w:val="00BC0B40"/>
    <w:rsid w:val="00BE0B85"/>
    <w:rsid w:val="00BE25B5"/>
    <w:rsid w:val="00BE274C"/>
    <w:rsid w:val="00BE7DE8"/>
    <w:rsid w:val="00BF2F2D"/>
    <w:rsid w:val="00C121EA"/>
    <w:rsid w:val="00C4064B"/>
    <w:rsid w:val="00C53552"/>
    <w:rsid w:val="00CC73A5"/>
    <w:rsid w:val="00CE52D9"/>
    <w:rsid w:val="00CF6060"/>
    <w:rsid w:val="00D4301A"/>
    <w:rsid w:val="00D7012D"/>
    <w:rsid w:val="00DB113E"/>
    <w:rsid w:val="00DD4819"/>
    <w:rsid w:val="00DD69A5"/>
    <w:rsid w:val="00DF29D4"/>
    <w:rsid w:val="00E4586F"/>
    <w:rsid w:val="00E660C5"/>
    <w:rsid w:val="00EE5179"/>
    <w:rsid w:val="00EF3AE4"/>
    <w:rsid w:val="00F11461"/>
    <w:rsid w:val="00F34E12"/>
    <w:rsid w:val="00F37DF7"/>
    <w:rsid w:val="00F51C02"/>
    <w:rsid w:val="00F95498"/>
    <w:rsid w:val="00FD77E1"/>
    <w:rsid w:val="00FD7B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331E3"/>
  <w14:defaultImageDpi w14:val="32767"/>
  <w15:docId w15:val="{7BD2E4EE-CBC5-AB4C-A184-3884D1DB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5D"/>
    <w:pPr>
      <w:spacing w:after="200" w:line="276" w:lineRule="auto"/>
    </w:pPr>
    <w:rPr>
      <w:rFonts w:ascii="Calibri" w:eastAsia="Batang" w:hAnsi="Calibri" w:cs="Times New Roman"/>
      <w:sz w:val="22"/>
      <w:szCs w:val="22"/>
      <w:lang w:val="en-US"/>
    </w:rPr>
  </w:style>
  <w:style w:type="paragraph" w:styleId="Heading1">
    <w:name w:val="heading 1"/>
    <w:basedOn w:val="Normal"/>
    <w:next w:val="Normal"/>
    <w:link w:val="Heading1Char"/>
    <w:uiPriority w:val="9"/>
    <w:qFormat/>
    <w:rsid w:val="00A1175D"/>
    <w:pPr>
      <w:keepNext/>
      <w:keepLines/>
      <w:numPr>
        <w:numId w:val="1"/>
      </w:numPr>
      <w:pBdr>
        <w:top w:val="nil"/>
        <w:left w:val="nil"/>
        <w:bottom w:val="nil"/>
        <w:right w:val="nil"/>
        <w:between w:val="nil"/>
        <w:bar w:val="nil"/>
      </w:pBdr>
      <w:spacing w:after="0" w:line="240" w:lineRule="auto"/>
      <w:outlineLvl w:val="0"/>
    </w:pPr>
    <w:rPr>
      <w:rFonts w:ascii="Cambria" w:eastAsia="MS Gothic" w:hAnsi="Cambria"/>
      <w:b/>
      <w:bCs/>
      <w:sz w:val="20"/>
      <w:szCs w:val="20"/>
      <w:bdr w:val="nil"/>
      <w:lang w:val="es-PE"/>
    </w:rPr>
  </w:style>
  <w:style w:type="paragraph" w:styleId="Heading2">
    <w:name w:val="heading 2"/>
    <w:basedOn w:val="Normal"/>
    <w:next w:val="Normal"/>
    <w:link w:val="Heading2Char"/>
    <w:qFormat/>
    <w:rsid w:val="00FD77E1"/>
    <w:pPr>
      <w:keepNext/>
      <w:keepLines/>
      <w:numPr>
        <w:ilvl w:val="2"/>
        <w:numId w:val="8"/>
      </w:numPr>
      <w:pBdr>
        <w:top w:val="nil"/>
        <w:left w:val="nil"/>
        <w:bottom w:val="nil"/>
        <w:right w:val="nil"/>
        <w:between w:val="nil"/>
        <w:bar w:val="nil"/>
      </w:pBdr>
      <w:tabs>
        <w:tab w:val="clear" w:pos="3060"/>
        <w:tab w:val="num" w:pos="1440"/>
      </w:tabs>
      <w:spacing w:after="0" w:line="240" w:lineRule="auto"/>
      <w:ind w:hanging="2340"/>
      <w:outlineLvl w:val="1"/>
    </w:pPr>
    <w:rPr>
      <w:rFonts w:ascii="Cambria" w:eastAsia="Times New Roman" w:hAnsi="Cambria"/>
      <w:b/>
      <w:bCs/>
      <w:sz w:val="20"/>
      <w:szCs w:val="20"/>
      <w:bdr w:val="nil"/>
    </w:rPr>
  </w:style>
  <w:style w:type="paragraph" w:styleId="Heading3">
    <w:name w:val="heading 3"/>
    <w:basedOn w:val="Normal"/>
    <w:next w:val="Normal"/>
    <w:link w:val="Heading3Char"/>
    <w:uiPriority w:val="9"/>
    <w:qFormat/>
    <w:rsid w:val="00FD77E1"/>
    <w:pPr>
      <w:numPr>
        <w:ilvl w:val="6"/>
        <w:numId w:val="8"/>
      </w:numPr>
      <w:pBdr>
        <w:top w:val="nil"/>
        <w:left w:val="nil"/>
        <w:bottom w:val="nil"/>
        <w:right w:val="nil"/>
        <w:between w:val="nil"/>
        <w:bar w:val="nil"/>
      </w:pBdr>
      <w:tabs>
        <w:tab w:val="clear" w:pos="5400"/>
        <w:tab w:val="left" w:pos="720"/>
        <w:tab w:val="num" w:pos="1440"/>
      </w:tabs>
      <w:spacing w:after="0" w:line="240" w:lineRule="auto"/>
      <w:ind w:hanging="4680"/>
      <w:jc w:val="both"/>
      <w:outlineLvl w:val="2"/>
    </w:pPr>
    <w:rPr>
      <w:rFonts w:ascii="Cambria" w:eastAsia="Times New Roman" w:hAnsi="Cambria"/>
      <w:b/>
      <w:bCs/>
      <w:sz w:val="20"/>
      <w:szCs w:val="2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75D"/>
    <w:rPr>
      <w:rFonts w:ascii="Cambria" w:eastAsia="MS Gothic" w:hAnsi="Cambria" w:cs="Times New Roman"/>
      <w:b/>
      <w:bCs/>
      <w:sz w:val="20"/>
      <w:szCs w:val="20"/>
      <w:bdr w:val="nil"/>
      <w:lang w:val="es-PE"/>
    </w:rPr>
  </w:style>
  <w:style w:type="paragraph" w:styleId="BodyTextIndent">
    <w:name w:val="Body Text Indent"/>
    <w:link w:val="BodyTextIndentChar"/>
    <w:rsid w:val="00A1175D"/>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A1175D"/>
    <w:rPr>
      <w:rFonts w:ascii="Times New Roman" w:eastAsia="Times New Roman" w:hAnsi="Times New Roman" w:cs="Times New Roman"/>
      <w:color w:val="000000"/>
      <w:u w:color="000000"/>
      <w:bdr w:val="nil"/>
      <w:lang w:val="es-ES_tradnl"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8852BB"/>
    <w:pPr>
      <w:pBdr>
        <w:top w:val="nil"/>
        <w:left w:val="nil"/>
        <w:bottom w:val="nil"/>
        <w:right w:val="nil"/>
        <w:between w:val="nil"/>
        <w:bar w:val="nil"/>
      </w:pBdr>
    </w:pPr>
    <w:rPr>
      <w:rFonts w:ascii="Calibri" w:eastAsia="Batang" w:hAnsi="Calibri" w:cs="Calibri"/>
      <w:color w:val="000000"/>
      <w:sz w:val="20"/>
      <w:szCs w:val="20"/>
      <w:u w:color="000000"/>
      <w:bdr w:val="nil"/>
      <w:lang w:val="en-U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qFormat/>
    <w:rsid w:val="008852BB"/>
    <w:rPr>
      <w:rFonts w:ascii="Calibri" w:eastAsia="Batang" w:hAnsi="Calibri" w:cs="Calibri"/>
      <w:color w:val="000000"/>
      <w:sz w:val="20"/>
      <w:szCs w:val="20"/>
      <w:u w:color="000000"/>
      <w:bdr w:val="nil"/>
      <w:lang w:val="en-US" w:eastAsia="es-E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1,Footnote symbol"/>
    <w:link w:val="4GChar"/>
    <w:unhideWhenUsed/>
    <w:qFormat/>
    <w:rsid w:val="008852B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8852BB"/>
    <w:pPr>
      <w:spacing w:after="0" w:line="240" w:lineRule="auto"/>
      <w:jc w:val="both"/>
    </w:pPr>
    <w:rPr>
      <w:rFonts w:asciiTheme="minorHAnsi" w:eastAsiaTheme="minorHAnsi" w:hAnsiTheme="minorHAnsi" w:cstheme="minorBidi"/>
      <w:sz w:val="24"/>
      <w:szCs w:val="24"/>
      <w:vertAlign w:val="superscript"/>
      <w:lang w:val="en-GB"/>
    </w:rPr>
  </w:style>
  <w:style w:type="paragraph" w:styleId="Footer">
    <w:name w:val="footer"/>
    <w:basedOn w:val="Normal"/>
    <w:link w:val="FooterChar"/>
    <w:uiPriority w:val="99"/>
    <w:semiHidden/>
    <w:unhideWhenUsed/>
    <w:rsid w:val="008A21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215A"/>
    <w:rPr>
      <w:rFonts w:ascii="Calibri" w:eastAsia="Batang" w:hAnsi="Calibri" w:cs="Times New Roman"/>
      <w:sz w:val="22"/>
      <w:szCs w:val="22"/>
      <w:lang w:val="en-US"/>
    </w:rPr>
  </w:style>
  <w:style w:type="paragraph" w:styleId="Header">
    <w:name w:val="header"/>
    <w:basedOn w:val="Normal"/>
    <w:link w:val="HeaderChar"/>
    <w:uiPriority w:val="99"/>
    <w:semiHidden/>
    <w:unhideWhenUsed/>
    <w:rsid w:val="008A21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215A"/>
    <w:rPr>
      <w:rFonts w:ascii="Calibri" w:eastAsia="Batang" w:hAnsi="Calibri" w:cs="Times New Roman"/>
      <w:sz w:val="22"/>
      <w:szCs w:val="22"/>
      <w:lang w:val="en-US"/>
    </w:rPr>
  </w:style>
  <w:style w:type="character" w:styleId="PageNumber">
    <w:name w:val="page number"/>
    <w:uiPriority w:val="99"/>
    <w:rsid w:val="008A215A"/>
  </w:style>
  <w:style w:type="paragraph" w:styleId="ListParagraph">
    <w:name w:val="List Paragraph"/>
    <w:basedOn w:val="Normal"/>
    <w:uiPriority w:val="34"/>
    <w:qFormat/>
    <w:rsid w:val="002F1831"/>
    <w:pPr>
      <w:ind w:left="720"/>
      <w:contextualSpacing/>
    </w:pPr>
  </w:style>
  <w:style w:type="numbering" w:customStyle="1" w:styleId="List1">
    <w:name w:val="List 1"/>
    <w:basedOn w:val="NoList"/>
    <w:rsid w:val="00BE0B85"/>
    <w:pPr>
      <w:numPr>
        <w:numId w:val="4"/>
      </w:numPr>
    </w:pPr>
  </w:style>
  <w:style w:type="character" w:styleId="CommentReference">
    <w:name w:val="annotation reference"/>
    <w:basedOn w:val="DefaultParagraphFont"/>
    <w:uiPriority w:val="99"/>
    <w:semiHidden/>
    <w:unhideWhenUsed/>
    <w:rsid w:val="009A305A"/>
    <w:rPr>
      <w:sz w:val="18"/>
      <w:szCs w:val="18"/>
    </w:rPr>
  </w:style>
  <w:style w:type="paragraph" w:styleId="CommentText">
    <w:name w:val="annotation text"/>
    <w:basedOn w:val="Normal"/>
    <w:link w:val="CommentTextChar"/>
    <w:uiPriority w:val="99"/>
    <w:semiHidden/>
    <w:unhideWhenUsed/>
    <w:rsid w:val="009A305A"/>
    <w:pPr>
      <w:spacing w:line="240" w:lineRule="auto"/>
    </w:pPr>
    <w:rPr>
      <w:sz w:val="24"/>
      <w:szCs w:val="24"/>
    </w:rPr>
  </w:style>
  <w:style w:type="character" w:customStyle="1" w:styleId="CommentTextChar">
    <w:name w:val="Comment Text Char"/>
    <w:basedOn w:val="DefaultParagraphFont"/>
    <w:link w:val="CommentText"/>
    <w:uiPriority w:val="99"/>
    <w:semiHidden/>
    <w:rsid w:val="009A305A"/>
    <w:rPr>
      <w:rFonts w:ascii="Calibri" w:eastAsia="Batang" w:hAnsi="Calibri" w:cs="Times New Roman"/>
      <w:lang w:val="en-US"/>
    </w:rPr>
  </w:style>
  <w:style w:type="paragraph" w:styleId="CommentSubject">
    <w:name w:val="annotation subject"/>
    <w:basedOn w:val="CommentText"/>
    <w:next w:val="CommentText"/>
    <w:link w:val="CommentSubjectChar"/>
    <w:uiPriority w:val="99"/>
    <w:semiHidden/>
    <w:unhideWhenUsed/>
    <w:rsid w:val="009A305A"/>
    <w:rPr>
      <w:b/>
      <w:bCs/>
      <w:sz w:val="20"/>
      <w:szCs w:val="20"/>
    </w:rPr>
  </w:style>
  <w:style w:type="character" w:customStyle="1" w:styleId="CommentSubjectChar">
    <w:name w:val="Comment Subject Char"/>
    <w:basedOn w:val="CommentTextChar"/>
    <w:link w:val="CommentSubject"/>
    <w:uiPriority w:val="99"/>
    <w:semiHidden/>
    <w:rsid w:val="009A305A"/>
    <w:rPr>
      <w:rFonts w:ascii="Calibri" w:eastAsia="Batang" w:hAnsi="Calibri" w:cs="Times New Roman"/>
      <w:b/>
      <w:bCs/>
      <w:sz w:val="20"/>
      <w:szCs w:val="20"/>
      <w:lang w:val="en-US"/>
    </w:rPr>
  </w:style>
  <w:style w:type="paragraph" w:styleId="BalloonText">
    <w:name w:val="Balloon Text"/>
    <w:basedOn w:val="Normal"/>
    <w:link w:val="BalloonTextChar"/>
    <w:uiPriority w:val="99"/>
    <w:semiHidden/>
    <w:unhideWhenUsed/>
    <w:rsid w:val="009A305A"/>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A305A"/>
    <w:rPr>
      <w:rFonts w:ascii="Times New Roman" w:eastAsia="Batang" w:hAnsi="Times New Roman" w:cs="Times New Roman"/>
      <w:sz w:val="18"/>
      <w:szCs w:val="18"/>
      <w:lang w:val="en-US"/>
    </w:rPr>
  </w:style>
  <w:style w:type="numbering" w:customStyle="1" w:styleId="List11">
    <w:name w:val="List 11"/>
    <w:basedOn w:val="NoList"/>
    <w:rsid w:val="007E512F"/>
  </w:style>
  <w:style w:type="character" w:styleId="Strong">
    <w:name w:val="Strong"/>
    <w:uiPriority w:val="22"/>
    <w:qFormat/>
    <w:rsid w:val="003E763D"/>
    <w:rPr>
      <w:b/>
      <w:bCs/>
    </w:rPr>
  </w:style>
  <w:style w:type="paragraph" w:styleId="BodyText3">
    <w:name w:val="Body Text 3"/>
    <w:basedOn w:val="Normal"/>
    <w:link w:val="BodyText3Char"/>
    <w:uiPriority w:val="99"/>
    <w:semiHidden/>
    <w:unhideWhenUsed/>
    <w:rsid w:val="0040039C"/>
    <w:pPr>
      <w:spacing w:after="120"/>
    </w:pPr>
    <w:rPr>
      <w:sz w:val="16"/>
      <w:szCs w:val="16"/>
    </w:rPr>
  </w:style>
  <w:style w:type="character" w:customStyle="1" w:styleId="BodyText3Char">
    <w:name w:val="Body Text 3 Char"/>
    <w:basedOn w:val="DefaultParagraphFont"/>
    <w:link w:val="BodyText3"/>
    <w:uiPriority w:val="99"/>
    <w:semiHidden/>
    <w:rsid w:val="0040039C"/>
    <w:rPr>
      <w:rFonts w:ascii="Calibri" w:eastAsia="Batang" w:hAnsi="Calibri" w:cs="Times New Roman"/>
      <w:sz w:val="16"/>
      <w:szCs w:val="16"/>
      <w:lang w:val="en-US"/>
    </w:rPr>
  </w:style>
  <w:style w:type="paragraph" w:styleId="NormalWeb">
    <w:name w:val="Normal (Web)"/>
    <w:basedOn w:val="Normal"/>
    <w:uiPriority w:val="99"/>
    <w:semiHidden/>
    <w:unhideWhenUsed/>
    <w:rsid w:val="00DD69A5"/>
    <w:pPr>
      <w:spacing w:before="100" w:beforeAutospacing="1" w:after="100" w:afterAutospacing="1" w:line="240" w:lineRule="auto"/>
    </w:pPr>
    <w:rPr>
      <w:rFonts w:ascii="Times New Roman" w:eastAsiaTheme="minorHAnsi" w:hAnsi="Times New Roman"/>
      <w:sz w:val="24"/>
      <w:szCs w:val="24"/>
      <w:lang w:val="en-GB" w:eastAsia="en-GB"/>
    </w:rPr>
  </w:style>
  <w:style w:type="paragraph" w:styleId="TOC1">
    <w:name w:val="toc 1"/>
    <w:basedOn w:val="Normal"/>
    <w:next w:val="Normal"/>
    <w:autoRedefine/>
    <w:uiPriority w:val="39"/>
    <w:unhideWhenUsed/>
    <w:rsid w:val="00CF6060"/>
    <w:pPr>
      <w:tabs>
        <w:tab w:val="left" w:pos="450"/>
        <w:tab w:val="right" w:leader="dot" w:pos="9010"/>
      </w:tabs>
      <w:spacing w:after="100"/>
    </w:pPr>
  </w:style>
  <w:style w:type="paragraph" w:styleId="TOC2">
    <w:name w:val="toc 2"/>
    <w:basedOn w:val="Normal"/>
    <w:next w:val="Normal"/>
    <w:autoRedefine/>
    <w:uiPriority w:val="39"/>
    <w:unhideWhenUsed/>
    <w:rsid w:val="00CF6060"/>
    <w:pPr>
      <w:tabs>
        <w:tab w:val="left" w:pos="660"/>
        <w:tab w:val="right" w:leader="dot" w:pos="9010"/>
      </w:tabs>
      <w:spacing w:after="100"/>
      <w:ind w:left="450"/>
    </w:pPr>
  </w:style>
  <w:style w:type="character" w:styleId="Hyperlink">
    <w:name w:val="Hyperlink"/>
    <w:basedOn w:val="DefaultParagraphFont"/>
    <w:uiPriority w:val="99"/>
    <w:unhideWhenUsed/>
    <w:rsid w:val="00CF6060"/>
    <w:rPr>
      <w:color w:val="0563C1" w:themeColor="hyperlink"/>
      <w:u w:val="single"/>
    </w:rPr>
  </w:style>
  <w:style w:type="character" w:customStyle="1" w:styleId="Heading2Char">
    <w:name w:val="Heading 2 Char"/>
    <w:basedOn w:val="DefaultParagraphFont"/>
    <w:link w:val="Heading2"/>
    <w:rsid w:val="00FD77E1"/>
    <w:rPr>
      <w:rFonts w:ascii="Cambria" w:eastAsia="Times New Roman" w:hAnsi="Cambria" w:cs="Times New Roman"/>
      <w:b/>
      <w:bCs/>
      <w:sz w:val="20"/>
      <w:szCs w:val="20"/>
      <w:bdr w:val="nil"/>
      <w:lang w:val="en-US"/>
    </w:rPr>
  </w:style>
  <w:style w:type="character" w:customStyle="1" w:styleId="Heading3Char">
    <w:name w:val="Heading 3 Char"/>
    <w:basedOn w:val="DefaultParagraphFont"/>
    <w:link w:val="Heading3"/>
    <w:uiPriority w:val="9"/>
    <w:rsid w:val="00FD77E1"/>
    <w:rPr>
      <w:rFonts w:ascii="Cambria" w:eastAsia="Times New Roman" w:hAnsi="Cambria"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3339">
      <w:bodyDiv w:val="1"/>
      <w:marLeft w:val="0"/>
      <w:marRight w:val="0"/>
      <w:marTop w:val="0"/>
      <w:marBottom w:val="0"/>
      <w:divBdr>
        <w:top w:val="none" w:sz="0" w:space="0" w:color="auto"/>
        <w:left w:val="none" w:sz="0" w:space="0" w:color="auto"/>
        <w:bottom w:val="none" w:sz="0" w:space="0" w:color="auto"/>
        <w:right w:val="none" w:sz="0" w:space="0" w:color="auto"/>
      </w:divBdr>
    </w:div>
    <w:div w:id="189999072">
      <w:bodyDiv w:val="1"/>
      <w:marLeft w:val="0"/>
      <w:marRight w:val="0"/>
      <w:marTop w:val="0"/>
      <w:marBottom w:val="0"/>
      <w:divBdr>
        <w:top w:val="none" w:sz="0" w:space="0" w:color="auto"/>
        <w:left w:val="none" w:sz="0" w:space="0" w:color="auto"/>
        <w:bottom w:val="none" w:sz="0" w:space="0" w:color="auto"/>
        <w:right w:val="none" w:sz="0" w:space="0" w:color="auto"/>
      </w:divBdr>
    </w:div>
    <w:div w:id="234323884">
      <w:bodyDiv w:val="1"/>
      <w:marLeft w:val="0"/>
      <w:marRight w:val="0"/>
      <w:marTop w:val="0"/>
      <w:marBottom w:val="0"/>
      <w:divBdr>
        <w:top w:val="none" w:sz="0" w:space="0" w:color="auto"/>
        <w:left w:val="none" w:sz="0" w:space="0" w:color="auto"/>
        <w:bottom w:val="none" w:sz="0" w:space="0" w:color="auto"/>
        <w:right w:val="none" w:sz="0" w:space="0" w:color="auto"/>
      </w:divBdr>
    </w:div>
    <w:div w:id="241642430">
      <w:bodyDiv w:val="1"/>
      <w:marLeft w:val="0"/>
      <w:marRight w:val="0"/>
      <w:marTop w:val="0"/>
      <w:marBottom w:val="0"/>
      <w:divBdr>
        <w:top w:val="none" w:sz="0" w:space="0" w:color="auto"/>
        <w:left w:val="none" w:sz="0" w:space="0" w:color="auto"/>
        <w:bottom w:val="none" w:sz="0" w:space="0" w:color="auto"/>
        <w:right w:val="none" w:sz="0" w:space="0" w:color="auto"/>
      </w:divBdr>
    </w:div>
    <w:div w:id="366613173">
      <w:bodyDiv w:val="1"/>
      <w:marLeft w:val="0"/>
      <w:marRight w:val="0"/>
      <w:marTop w:val="0"/>
      <w:marBottom w:val="0"/>
      <w:divBdr>
        <w:top w:val="none" w:sz="0" w:space="0" w:color="auto"/>
        <w:left w:val="none" w:sz="0" w:space="0" w:color="auto"/>
        <w:bottom w:val="none" w:sz="0" w:space="0" w:color="auto"/>
        <w:right w:val="none" w:sz="0" w:space="0" w:color="auto"/>
      </w:divBdr>
    </w:div>
    <w:div w:id="487719441">
      <w:bodyDiv w:val="1"/>
      <w:marLeft w:val="0"/>
      <w:marRight w:val="0"/>
      <w:marTop w:val="0"/>
      <w:marBottom w:val="0"/>
      <w:divBdr>
        <w:top w:val="none" w:sz="0" w:space="0" w:color="auto"/>
        <w:left w:val="none" w:sz="0" w:space="0" w:color="auto"/>
        <w:bottom w:val="none" w:sz="0" w:space="0" w:color="auto"/>
        <w:right w:val="none" w:sz="0" w:space="0" w:color="auto"/>
      </w:divBdr>
    </w:div>
    <w:div w:id="528107444">
      <w:bodyDiv w:val="1"/>
      <w:marLeft w:val="0"/>
      <w:marRight w:val="0"/>
      <w:marTop w:val="0"/>
      <w:marBottom w:val="0"/>
      <w:divBdr>
        <w:top w:val="none" w:sz="0" w:space="0" w:color="auto"/>
        <w:left w:val="none" w:sz="0" w:space="0" w:color="auto"/>
        <w:bottom w:val="none" w:sz="0" w:space="0" w:color="auto"/>
        <w:right w:val="none" w:sz="0" w:space="0" w:color="auto"/>
      </w:divBdr>
    </w:div>
    <w:div w:id="545798503">
      <w:bodyDiv w:val="1"/>
      <w:marLeft w:val="0"/>
      <w:marRight w:val="0"/>
      <w:marTop w:val="0"/>
      <w:marBottom w:val="0"/>
      <w:divBdr>
        <w:top w:val="none" w:sz="0" w:space="0" w:color="auto"/>
        <w:left w:val="none" w:sz="0" w:space="0" w:color="auto"/>
        <w:bottom w:val="none" w:sz="0" w:space="0" w:color="auto"/>
        <w:right w:val="none" w:sz="0" w:space="0" w:color="auto"/>
      </w:divBdr>
    </w:div>
    <w:div w:id="1122841746">
      <w:bodyDiv w:val="1"/>
      <w:marLeft w:val="0"/>
      <w:marRight w:val="0"/>
      <w:marTop w:val="0"/>
      <w:marBottom w:val="0"/>
      <w:divBdr>
        <w:top w:val="none" w:sz="0" w:space="0" w:color="auto"/>
        <w:left w:val="none" w:sz="0" w:space="0" w:color="auto"/>
        <w:bottom w:val="none" w:sz="0" w:space="0" w:color="auto"/>
        <w:right w:val="none" w:sz="0" w:space="0" w:color="auto"/>
      </w:divBdr>
      <w:divsChild>
        <w:div w:id="1199124158">
          <w:marLeft w:val="0"/>
          <w:marRight w:val="0"/>
          <w:marTop w:val="0"/>
          <w:marBottom w:val="0"/>
          <w:divBdr>
            <w:top w:val="none" w:sz="0" w:space="0" w:color="auto"/>
            <w:left w:val="none" w:sz="0" w:space="0" w:color="auto"/>
            <w:bottom w:val="none" w:sz="0" w:space="0" w:color="auto"/>
            <w:right w:val="none" w:sz="0" w:space="0" w:color="auto"/>
          </w:divBdr>
          <w:divsChild>
            <w:div w:id="95711902">
              <w:marLeft w:val="0"/>
              <w:marRight w:val="0"/>
              <w:marTop w:val="0"/>
              <w:marBottom w:val="0"/>
              <w:divBdr>
                <w:top w:val="none" w:sz="0" w:space="0" w:color="auto"/>
                <w:left w:val="none" w:sz="0" w:space="0" w:color="auto"/>
                <w:bottom w:val="none" w:sz="0" w:space="0" w:color="auto"/>
                <w:right w:val="none" w:sz="0" w:space="0" w:color="auto"/>
              </w:divBdr>
              <w:divsChild>
                <w:div w:id="14005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9502">
      <w:bodyDiv w:val="1"/>
      <w:marLeft w:val="0"/>
      <w:marRight w:val="0"/>
      <w:marTop w:val="0"/>
      <w:marBottom w:val="0"/>
      <w:divBdr>
        <w:top w:val="none" w:sz="0" w:space="0" w:color="auto"/>
        <w:left w:val="none" w:sz="0" w:space="0" w:color="auto"/>
        <w:bottom w:val="none" w:sz="0" w:space="0" w:color="auto"/>
        <w:right w:val="none" w:sz="0" w:space="0" w:color="auto"/>
      </w:divBdr>
    </w:div>
    <w:div w:id="1422488920">
      <w:bodyDiv w:val="1"/>
      <w:marLeft w:val="0"/>
      <w:marRight w:val="0"/>
      <w:marTop w:val="0"/>
      <w:marBottom w:val="0"/>
      <w:divBdr>
        <w:top w:val="none" w:sz="0" w:space="0" w:color="auto"/>
        <w:left w:val="none" w:sz="0" w:space="0" w:color="auto"/>
        <w:bottom w:val="none" w:sz="0" w:space="0" w:color="auto"/>
        <w:right w:val="none" w:sz="0" w:space="0" w:color="auto"/>
      </w:divBdr>
    </w:div>
    <w:div w:id="1502351481">
      <w:bodyDiv w:val="1"/>
      <w:marLeft w:val="0"/>
      <w:marRight w:val="0"/>
      <w:marTop w:val="0"/>
      <w:marBottom w:val="0"/>
      <w:divBdr>
        <w:top w:val="none" w:sz="0" w:space="0" w:color="auto"/>
        <w:left w:val="none" w:sz="0" w:space="0" w:color="auto"/>
        <w:bottom w:val="none" w:sz="0" w:space="0" w:color="auto"/>
        <w:right w:val="none" w:sz="0" w:space="0" w:color="auto"/>
      </w:divBdr>
    </w:div>
    <w:div w:id="1548908650">
      <w:bodyDiv w:val="1"/>
      <w:marLeft w:val="0"/>
      <w:marRight w:val="0"/>
      <w:marTop w:val="0"/>
      <w:marBottom w:val="0"/>
      <w:divBdr>
        <w:top w:val="none" w:sz="0" w:space="0" w:color="auto"/>
        <w:left w:val="none" w:sz="0" w:space="0" w:color="auto"/>
        <w:bottom w:val="none" w:sz="0" w:space="0" w:color="auto"/>
        <w:right w:val="none" w:sz="0" w:space="0" w:color="auto"/>
      </w:divBdr>
    </w:div>
    <w:div w:id="1930460250">
      <w:bodyDiv w:val="1"/>
      <w:marLeft w:val="0"/>
      <w:marRight w:val="0"/>
      <w:marTop w:val="0"/>
      <w:marBottom w:val="0"/>
      <w:divBdr>
        <w:top w:val="none" w:sz="0" w:space="0" w:color="auto"/>
        <w:left w:val="none" w:sz="0" w:space="0" w:color="auto"/>
        <w:bottom w:val="none" w:sz="0" w:space="0" w:color="auto"/>
        <w:right w:val="none" w:sz="0" w:space="0" w:color="auto"/>
      </w:divBdr>
    </w:div>
    <w:div w:id="1974093562">
      <w:bodyDiv w:val="1"/>
      <w:marLeft w:val="0"/>
      <w:marRight w:val="0"/>
      <w:marTop w:val="0"/>
      <w:marBottom w:val="0"/>
      <w:divBdr>
        <w:top w:val="none" w:sz="0" w:space="0" w:color="auto"/>
        <w:left w:val="none" w:sz="0" w:space="0" w:color="auto"/>
        <w:bottom w:val="none" w:sz="0" w:space="0" w:color="auto"/>
        <w:right w:val="none" w:sz="0" w:space="0" w:color="auto"/>
      </w:divBdr>
    </w:div>
    <w:div w:id="2012101227">
      <w:bodyDiv w:val="1"/>
      <w:marLeft w:val="0"/>
      <w:marRight w:val="0"/>
      <w:marTop w:val="0"/>
      <w:marBottom w:val="0"/>
      <w:divBdr>
        <w:top w:val="none" w:sz="0" w:space="0" w:color="auto"/>
        <w:left w:val="none" w:sz="0" w:space="0" w:color="auto"/>
        <w:bottom w:val="none" w:sz="0" w:space="0" w:color="auto"/>
        <w:right w:val="none" w:sz="0" w:space="0" w:color="auto"/>
      </w:divBdr>
    </w:div>
    <w:div w:id="2017265280">
      <w:bodyDiv w:val="1"/>
      <w:marLeft w:val="0"/>
      <w:marRight w:val="0"/>
      <w:marTop w:val="0"/>
      <w:marBottom w:val="0"/>
      <w:divBdr>
        <w:top w:val="none" w:sz="0" w:space="0" w:color="auto"/>
        <w:left w:val="none" w:sz="0" w:space="0" w:color="auto"/>
        <w:bottom w:val="none" w:sz="0" w:space="0" w:color="auto"/>
        <w:right w:val="none" w:sz="0" w:space="0" w:color="auto"/>
      </w:divBdr>
    </w:div>
    <w:div w:id="2025277088">
      <w:bodyDiv w:val="1"/>
      <w:marLeft w:val="0"/>
      <w:marRight w:val="0"/>
      <w:marTop w:val="0"/>
      <w:marBottom w:val="0"/>
      <w:divBdr>
        <w:top w:val="none" w:sz="0" w:space="0" w:color="auto"/>
        <w:left w:val="none" w:sz="0" w:space="0" w:color="auto"/>
        <w:bottom w:val="none" w:sz="0" w:space="0" w:color="auto"/>
        <w:right w:val="none" w:sz="0" w:space="0" w:color="auto"/>
      </w:divBdr>
    </w:div>
    <w:div w:id="2034764633">
      <w:bodyDiv w:val="1"/>
      <w:marLeft w:val="0"/>
      <w:marRight w:val="0"/>
      <w:marTop w:val="0"/>
      <w:marBottom w:val="0"/>
      <w:divBdr>
        <w:top w:val="none" w:sz="0" w:space="0" w:color="auto"/>
        <w:left w:val="none" w:sz="0" w:space="0" w:color="auto"/>
        <w:bottom w:val="none" w:sz="0" w:space="0" w:color="auto"/>
        <w:right w:val="none" w:sz="0" w:space="0" w:color="auto"/>
      </w:divBdr>
    </w:div>
    <w:div w:id="2065786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idh.oas.org/annualrep/2008sp/Argentina95-01.sp.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463165-980C-1443-86CF-FFC66AF5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7294</Words>
  <Characters>37566</Characters>
  <Application>Microsoft Office Word</Application>
  <DocSecurity>0</DocSecurity>
  <Lines>670</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Yanes De Dominicis, Luis F</dc:creator>
  <cp:lastModifiedBy>Hansen, Gloria</cp:lastModifiedBy>
  <cp:revision>4</cp:revision>
  <cp:lastPrinted>2017-09-03T23:50:00Z</cp:lastPrinted>
  <dcterms:created xsi:type="dcterms:W3CDTF">2021-10-25T19:04:00Z</dcterms:created>
  <dcterms:modified xsi:type="dcterms:W3CDTF">2021-10-25T19:17:00Z</dcterms:modified>
</cp:coreProperties>
</file>