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rPr>
      </w:pPr>
      <w:r>
        <w:rPr>
          <w:rFonts w:asciiTheme="majorHAnsi" w:hAnsiTheme="majorHAnsi"/>
          <w:noProof/>
          <w:sz w:val="22"/>
        </w:rPr>
        <mc:AlternateContent>
          <mc:Choice Requires="wps">
            <w:drawing>
              <wp:anchor distT="0" distB="0" distL="114300" distR="114300" simplePos="0" relativeHeight="251661311" behindDoc="0" locked="0" layoutInCell="1" allowOverlap="1" wp14:anchorId="37F453D0" wp14:editId="4F6D81D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BF91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" fillcolor="#67ae3c" stroked="f" strokeweight="2pt"/>
            </w:pict>
          </mc:Fallback>
        </mc:AlternateContent>
      </w:r>
      <w:r>
        <w:rPr>
          <w:rFonts w:asciiTheme="majorHAnsi" w:hAnsiTheme="majorHAnsi"/>
          <w:noProof/>
          <w:sz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29E6736C">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639"/>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r/+bjn8CAABkBQAADgAAAAAAAAAAAAAAAAAuAgAAZHJzL2Uyb0RvYy54bWxQSwECLQAUAAYA&#10;CAAAACEAEWAzqOgAAAAQAQAADwAAAAAAAAAAAAAAAADZBAAAZHJzL2Rvd25yZXYueG1sUEsFBgAA&#10;AAAEAAQA8wAAAO4FAAAAAA==&#10;" filled="f" stroked="f" strokeweight=".5pt">
                <v:textbox>
                  <w:txbxContent>
                    <w:p w14:paraId="73A3E04C" w14:textId="77777777" w:rsidR="00CB2660" w:rsidRDefault="00AE5488" w:rsidP="00AE5488">
                      <w:r>
                        <w:rPr>
                          <w:noProof/>
                        </w:rPr>
                        <w:drawing>
                          <wp:inline distT="0" distB="0" distL="0" distR="0" wp14:anchorId="43D80EF9" wp14:editId="29E6736C">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stretch>
                                      <a:fillRect/>
                                    </a:stretch>
                                  </pic:blipFill>
                                  <pic:spPr bwMode="auto">
                                    <a:xfrm>
                                      <a:off x="0" y="0"/>
                                      <a:ext cx="2653322" cy="510639"/>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b/>
          <w:sz w:val="22"/>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123E50F4"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D23B46">
                              <w:rPr>
                                <w:rFonts w:asciiTheme="majorHAnsi" w:hAnsiTheme="majorHAnsi"/>
                                <w:b/>
                                <w:color w:val="0D0D0D" w:themeColor="text1" w:themeTint="F2"/>
                                <w:sz w:val="36"/>
                              </w:rPr>
                              <w:t>283</w:t>
                            </w:r>
                            <w:r>
                              <w:rPr>
                                <w:rFonts w:asciiTheme="majorHAnsi" w:hAnsiTheme="majorHAnsi"/>
                                <w:b/>
                                <w:color w:val="0D0D0D" w:themeColor="text1" w:themeTint="F2"/>
                                <w:sz w:val="36"/>
                              </w:rPr>
                              <w:t>/21</w:t>
                            </w:r>
                          </w:p>
                          <w:p w14:paraId="0F4FF559" w14:textId="337522F2"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PETITIONS 465-14 and 467-14</w:t>
                            </w:r>
                          </w:p>
                          <w:p w14:paraId="09841E25" w14:textId="5619725B"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ADMISSIBILITY</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3E083D6C" w14:textId="2FCA69F8" w:rsidR="0032580F" w:rsidRPr="0032580F" w:rsidRDefault="00CA571B" w:rsidP="0032580F">
                            <w:pPr>
                              <w:rPr>
                                <w:rFonts w:asciiTheme="majorHAnsi" w:hAnsiTheme="majorHAnsi" w:cs="Arial"/>
                                <w:color w:val="0D0D0D" w:themeColor="text1" w:themeTint="F2"/>
                                <w:szCs w:val="22"/>
                              </w:rPr>
                            </w:pPr>
                            <w:r>
                              <w:rPr>
                                <w:rFonts w:asciiTheme="majorHAnsi" w:hAnsiTheme="majorHAnsi"/>
                                <w:color w:val="0D0D0D" w:themeColor="text1" w:themeTint="F2"/>
                              </w:rPr>
                              <w:t xml:space="preserve">ADELMO VITONAS CHILHUESO </w:t>
                            </w:r>
                            <w:r>
                              <w:rPr>
                                <w:rFonts w:asciiTheme="majorHAnsi" w:hAnsiTheme="majorHAnsi"/>
                                <w:i/>
                                <w:iCs/>
                                <w:color w:val="0D0D0D" w:themeColor="text1" w:themeTint="F2"/>
                              </w:rPr>
                              <w:t>ET AL.</w:t>
                            </w:r>
                          </w:p>
                          <w:p w14:paraId="5CF377E5" w14:textId="71304677" w:rsidR="005B52B0" w:rsidRPr="00AE5488" w:rsidRDefault="00A87FEF" w:rsidP="007A5817">
                            <w:pPr>
                              <w:rPr>
                                <w:color w:val="0D0D0D" w:themeColor="text1" w:themeTint="F2"/>
                              </w:rPr>
                            </w:pPr>
                            <w:r>
                              <w:rPr>
                                <w:rFonts w:asciiTheme="majorHAnsi" w:hAnsiTheme="majorHAnsi"/>
                                <w:color w:val="0D0D0D" w:themeColor="text1" w:themeTint="F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123E50F4"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D23B46">
                        <w:rPr>
                          <w:rFonts w:asciiTheme="majorHAnsi" w:hAnsiTheme="majorHAnsi"/>
                          <w:b/>
                          <w:color w:val="0D0D0D" w:themeColor="text1" w:themeTint="F2"/>
                          <w:sz w:val="36"/>
                        </w:rPr>
                        <w:t>283</w:t>
                      </w:r>
                      <w:r>
                        <w:rPr>
                          <w:rFonts w:asciiTheme="majorHAnsi" w:hAnsiTheme="majorHAnsi"/>
                          <w:b/>
                          <w:color w:val="0D0D0D" w:themeColor="text1" w:themeTint="F2"/>
                          <w:sz w:val="36"/>
                        </w:rPr>
                        <w:t>/21</w:t>
                      </w:r>
                    </w:p>
                    <w:p w14:paraId="0F4FF559" w14:textId="337522F2"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PETITIONS 465-14 and 467-14</w:t>
                      </w:r>
                    </w:p>
                    <w:p w14:paraId="09841E25" w14:textId="5619725B"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REPORT ON ADMISSIBILITY</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3E083D6C" w14:textId="2FCA69F8" w:rsidR="0032580F" w:rsidRPr="0032580F" w:rsidRDefault="00CA571B" w:rsidP="0032580F">
                      <w:pPr>
                        <w:rPr>
                          <w:rFonts w:asciiTheme="majorHAnsi" w:hAnsiTheme="majorHAnsi" w:cs="Arial"/>
                          <w:color w:val="0D0D0D" w:themeColor="text1" w:themeTint="F2"/>
                          <w:szCs w:val="22"/>
                        </w:rPr>
                      </w:pPr>
                      <w:r>
                        <w:rPr>
                          <w:rFonts w:asciiTheme="majorHAnsi" w:hAnsiTheme="majorHAnsi"/>
                          <w:color w:val="0D0D0D" w:themeColor="text1" w:themeTint="F2"/>
                        </w:rPr>
                        <w:t xml:space="preserve">ADELMO VITONAS CHILHUESO </w:t>
                      </w:r>
                      <w:r>
                        <w:rPr>
                          <w:rFonts w:asciiTheme="majorHAnsi" w:hAnsiTheme="majorHAnsi"/>
                          <w:i/>
                          <w:iCs/>
                          <w:color w:val="0D0D0D" w:themeColor="text1" w:themeTint="F2"/>
                        </w:rPr>
                        <w:t>ET AL.</w:t>
                      </w:r>
                    </w:p>
                    <w:p w14:paraId="5CF377E5" w14:textId="71304677" w:rsidR="005B52B0" w:rsidRPr="00AE5488" w:rsidRDefault="00A87FEF" w:rsidP="007A5817">
                      <w:pPr>
                        <w:rPr>
                          <w:color w:val="0D0D0D" w:themeColor="text1" w:themeTint="F2"/>
                        </w:rPr>
                      </w:pPr>
                      <w:r>
                        <w:rPr>
                          <w:rFonts w:asciiTheme="majorHAnsi" w:hAnsiTheme="majorHAnsi"/>
                          <w:color w:val="0D0D0D" w:themeColor="text1" w:themeTint="F2"/>
                        </w:rPr>
                        <w:t>COLOMBIA</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4DE05DC4" w:rsidR="00627C9F" w:rsidRPr="00055781" w:rsidRDefault="00834D49" w:rsidP="007A5817">
                            <w:pPr>
                              <w:spacing w:line="276" w:lineRule="auto"/>
                              <w:jc w:val="right"/>
                              <w:rPr>
                                <w:rFonts w:asciiTheme="minorHAnsi" w:hAnsiTheme="minorHAnsi"/>
                                <w:color w:val="FFFFFF" w:themeColor="background1"/>
                                <w:sz w:val="22"/>
                                <w:lang w:val="pt-BR"/>
                              </w:rPr>
                            </w:pPr>
                            <w:r w:rsidRPr="00055781">
                              <w:rPr>
                                <w:rFonts w:asciiTheme="minorHAnsi" w:hAnsiTheme="minorHAnsi"/>
                                <w:color w:val="FFFFFF" w:themeColor="background1"/>
                                <w:sz w:val="22"/>
                                <w:lang w:val="pt-BR"/>
                              </w:rPr>
                              <w:t>OEA/Ser.L/V/II.</w:t>
                            </w:r>
                          </w:p>
                          <w:p w14:paraId="1567378D" w14:textId="69DFE851" w:rsidR="00627C9F" w:rsidRPr="00055781" w:rsidRDefault="00627C9F" w:rsidP="007A5817">
                            <w:pPr>
                              <w:spacing w:line="276" w:lineRule="auto"/>
                              <w:jc w:val="right"/>
                              <w:rPr>
                                <w:rFonts w:asciiTheme="minorHAnsi" w:hAnsiTheme="minorHAnsi"/>
                                <w:color w:val="FFFFFF" w:themeColor="background1"/>
                                <w:sz w:val="22"/>
                                <w:lang w:val="pt-BR"/>
                              </w:rPr>
                            </w:pPr>
                            <w:r w:rsidRPr="00055781">
                              <w:rPr>
                                <w:rFonts w:asciiTheme="minorHAnsi" w:hAnsiTheme="minorHAnsi"/>
                                <w:color w:val="FFFFFF" w:themeColor="background1"/>
                                <w:sz w:val="22"/>
                                <w:lang w:val="pt-BR"/>
                              </w:rPr>
                              <w:t xml:space="preserve">Doc. </w:t>
                            </w:r>
                            <w:r w:rsidR="00D23B46">
                              <w:rPr>
                                <w:rFonts w:asciiTheme="minorHAnsi" w:hAnsiTheme="minorHAnsi"/>
                                <w:color w:val="FFFFFF" w:themeColor="background1"/>
                                <w:sz w:val="22"/>
                                <w:lang w:val="pt-BR"/>
                              </w:rPr>
                              <w:t>293</w:t>
                            </w:r>
                          </w:p>
                          <w:p w14:paraId="33CAE787" w14:textId="2B6B8DC7" w:rsidR="00627C9F" w:rsidRPr="00C25ADB" w:rsidRDefault="00D23B4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 October 2021</w:t>
                            </w:r>
                          </w:p>
                          <w:p w14:paraId="0A20EE94" w14:textId="582ADAA4"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4DE05DC4" w:rsidR="00627C9F" w:rsidRPr="00055781" w:rsidRDefault="00834D49" w:rsidP="007A5817">
                      <w:pPr>
                        <w:spacing w:line="276" w:lineRule="auto"/>
                        <w:jc w:val="right"/>
                        <w:rPr>
                          <w:rFonts w:asciiTheme="minorHAnsi" w:hAnsiTheme="minorHAnsi"/>
                          <w:color w:val="FFFFFF" w:themeColor="background1"/>
                          <w:sz w:val="22"/>
                          <w:lang w:val="pt-BR"/>
                        </w:rPr>
                      </w:pPr>
                      <w:r w:rsidRPr="00055781">
                        <w:rPr>
                          <w:rFonts w:asciiTheme="minorHAnsi" w:hAnsiTheme="minorHAnsi"/>
                          <w:color w:val="FFFFFF" w:themeColor="background1"/>
                          <w:sz w:val="22"/>
                          <w:lang w:val="pt-BR"/>
                        </w:rPr>
                        <w:t>OEA/Ser.L/V/II.</w:t>
                      </w:r>
                    </w:p>
                    <w:p w14:paraId="1567378D" w14:textId="69DFE851" w:rsidR="00627C9F" w:rsidRPr="00055781" w:rsidRDefault="00627C9F" w:rsidP="007A5817">
                      <w:pPr>
                        <w:spacing w:line="276" w:lineRule="auto"/>
                        <w:jc w:val="right"/>
                        <w:rPr>
                          <w:rFonts w:asciiTheme="minorHAnsi" w:hAnsiTheme="minorHAnsi"/>
                          <w:color w:val="FFFFFF" w:themeColor="background1"/>
                          <w:sz w:val="22"/>
                          <w:lang w:val="pt-BR"/>
                        </w:rPr>
                      </w:pPr>
                      <w:r w:rsidRPr="00055781">
                        <w:rPr>
                          <w:rFonts w:asciiTheme="minorHAnsi" w:hAnsiTheme="minorHAnsi"/>
                          <w:color w:val="FFFFFF" w:themeColor="background1"/>
                          <w:sz w:val="22"/>
                          <w:lang w:val="pt-BR"/>
                        </w:rPr>
                        <w:t xml:space="preserve">Doc. </w:t>
                      </w:r>
                      <w:r w:rsidR="00D23B46">
                        <w:rPr>
                          <w:rFonts w:asciiTheme="minorHAnsi" w:hAnsiTheme="minorHAnsi"/>
                          <w:color w:val="FFFFFF" w:themeColor="background1"/>
                          <w:sz w:val="22"/>
                          <w:lang w:val="pt-BR"/>
                        </w:rPr>
                        <w:t>293</w:t>
                      </w:r>
                    </w:p>
                    <w:p w14:paraId="33CAE787" w14:textId="2B6B8DC7" w:rsidR="00627C9F" w:rsidRPr="00C25ADB" w:rsidRDefault="00D23B4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5 October 2021</w:t>
                      </w:r>
                    </w:p>
                    <w:p w14:paraId="0A20EE94" w14:textId="582ADAA4" w:rsidR="00627C9F" w:rsidRPr="00C25ADB" w:rsidRDefault="00E0340B"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Original: Spanish</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5B0895B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D23B46">
                              <w:rPr>
                                <w:rFonts w:asciiTheme="majorHAnsi" w:hAnsiTheme="majorHAnsi"/>
                                <w:color w:val="0D0D0D" w:themeColor="text1" w:themeTint="F2"/>
                                <w:sz w:val="18"/>
                              </w:rPr>
                              <w:t>October 5</w:t>
                            </w:r>
                            <w:r>
                              <w:rPr>
                                <w:rFonts w:asciiTheme="majorHAnsi" w:hAnsiTheme="majorHAnsi"/>
                                <w:color w:val="0D0D0D" w:themeColor="text1" w:themeTint="F2"/>
                                <w:sz w:val="18"/>
                              </w:rPr>
                              <w:t>, 2021</w:t>
                            </w:r>
                            <w:r w:rsidR="00D23B46">
                              <w:rPr>
                                <w:rFonts w:asciiTheme="majorHAnsi" w:hAnsiTheme="majorHAnsi"/>
                                <w:color w:val="0D0D0D" w:themeColor="text1" w:themeTint="F2"/>
                                <w:sz w:val="18"/>
                              </w:rPr>
                              <w:t>.</w:t>
                            </w:r>
                          </w:p>
                          <w:p w14:paraId="4E56CE0B" w14:textId="77777777" w:rsidR="00DD3D86" w:rsidRPr="00895DE3"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732B51B6" w14:textId="77777777" w:rsidR="005B52B0" w:rsidRPr="00895DE3"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5B0895B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D23B46">
                        <w:rPr>
                          <w:rFonts w:asciiTheme="majorHAnsi" w:hAnsiTheme="majorHAnsi"/>
                          <w:color w:val="0D0D0D" w:themeColor="text1" w:themeTint="F2"/>
                          <w:sz w:val="18"/>
                        </w:rPr>
                        <w:t>October 5</w:t>
                      </w:r>
                      <w:r>
                        <w:rPr>
                          <w:rFonts w:asciiTheme="majorHAnsi" w:hAnsiTheme="majorHAnsi"/>
                          <w:color w:val="0D0D0D" w:themeColor="text1" w:themeTint="F2"/>
                          <w:sz w:val="18"/>
                        </w:rPr>
                        <w:t>, 2021</w:t>
                      </w:r>
                      <w:r w:rsidR="00D23B46">
                        <w:rPr>
                          <w:rFonts w:asciiTheme="majorHAnsi" w:hAnsiTheme="majorHAnsi"/>
                          <w:color w:val="0D0D0D" w:themeColor="text1" w:themeTint="F2"/>
                          <w:sz w:val="18"/>
                        </w:rPr>
                        <w:t>.</w:t>
                      </w:r>
                    </w:p>
                    <w:p w14:paraId="4E56CE0B" w14:textId="77777777" w:rsidR="00DD3D86" w:rsidRPr="00895DE3"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732B51B6" w14:textId="77777777" w:rsidR="005B52B0" w:rsidRPr="00895DE3"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5E3BFEB0"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A926BBC" w:rsidR="00A50FCF" w:rsidRPr="0090270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2ED1C851" wp14:editId="1663B1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0D74398A"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D23B46">
                              <w:rPr>
                                <w:rFonts w:asciiTheme="majorHAnsi" w:hAnsiTheme="majorHAnsi"/>
                                <w:color w:val="595959" w:themeColor="text1" w:themeTint="A6"/>
                                <w:sz w:val="18"/>
                              </w:rPr>
                              <w:t>283/21</w:t>
                            </w:r>
                            <w:r>
                              <w:rPr>
                                <w:rFonts w:asciiTheme="majorHAnsi" w:hAnsiTheme="majorHAnsi"/>
                                <w:color w:val="595959" w:themeColor="text1" w:themeTint="A6"/>
                                <w:sz w:val="18"/>
                              </w:rPr>
                              <w:t xml:space="preserve">. Petitions 467-14 and 465-14. Admissibility. </w:t>
                            </w:r>
                            <w:proofErr w:type="spellStart"/>
                            <w:r>
                              <w:rPr>
                                <w:rFonts w:asciiTheme="majorHAnsi" w:hAnsiTheme="majorHAnsi"/>
                                <w:color w:val="595959" w:themeColor="text1" w:themeTint="A6"/>
                                <w:sz w:val="18"/>
                              </w:rPr>
                              <w:t>Adelmo</w:t>
                            </w:r>
                            <w:proofErr w:type="spellEnd"/>
                            <w:r>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Vitonas</w:t>
                            </w:r>
                            <w:proofErr w:type="spellEnd"/>
                            <w:r>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Chilhueso</w:t>
                            </w:r>
                            <w:proofErr w:type="spellEnd"/>
                            <w:r>
                              <w:rPr>
                                <w:rFonts w:asciiTheme="majorHAnsi" w:hAnsiTheme="majorHAnsi"/>
                                <w:color w:val="595959" w:themeColor="text1" w:themeTint="A6"/>
                                <w:sz w:val="18"/>
                              </w:rPr>
                              <w:t xml:space="preserve"> </w:t>
                            </w:r>
                            <w:r>
                              <w:rPr>
                                <w:rFonts w:asciiTheme="majorHAnsi" w:hAnsiTheme="majorHAnsi"/>
                                <w:i/>
                                <w:iCs/>
                                <w:color w:val="595959" w:themeColor="text1" w:themeTint="A6"/>
                                <w:sz w:val="18"/>
                              </w:rPr>
                              <w:t>et al.</w:t>
                            </w:r>
                            <w:r>
                              <w:rPr>
                                <w:rFonts w:asciiTheme="majorHAnsi" w:hAnsiTheme="majorHAnsi"/>
                                <w:color w:val="595959" w:themeColor="text1" w:themeTint="A6"/>
                                <w:sz w:val="18"/>
                              </w:rPr>
                              <w:t xml:space="preserve"> Colombia. </w:t>
                            </w:r>
                            <w:r w:rsidR="00D23B46">
                              <w:rPr>
                                <w:rFonts w:asciiTheme="majorHAnsi" w:hAnsiTheme="majorHAnsi"/>
                                <w:color w:val="595959" w:themeColor="text1" w:themeTint="A6"/>
                                <w:sz w:val="18"/>
                              </w:rPr>
                              <w:t>October 5, 2021</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0D74398A" w:rsidR="00113F73" w:rsidRPr="007B05C4" w:rsidRDefault="00113F73"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D23B46">
                        <w:rPr>
                          <w:rFonts w:asciiTheme="majorHAnsi" w:hAnsiTheme="majorHAnsi"/>
                          <w:color w:val="595959" w:themeColor="text1" w:themeTint="A6"/>
                          <w:sz w:val="18"/>
                        </w:rPr>
                        <w:t>283/21</w:t>
                      </w:r>
                      <w:r>
                        <w:rPr>
                          <w:rFonts w:asciiTheme="majorHAnsi" w:hAnsiTheme="majorHAnsi"/>
                          <w:color w:val="595959" w:themeColor="text1" w:themeTint="A6"/>
                          <w:sz w:val="18"/>
                        </w:rPr>
                        <w:t xml:space="preserve">. Petitions 467-14 and 465-14. Admissibility. </w:t>
                      </w:r>
                      <w:proofErr w:type="spellStart"/>
                      <w:r>
                        <w:rPr>
                          <w:rFonts w:asciiTheme="majorHAnsi" w:hAnsiTheme="majorHAnsi"/>
                          <w:color w:val="595959" w:themeColor="text1" w:themeTint="A6"/>
                          <w:sz w:val="18"/>
                        </w:rPr>
                        <w:t>Adelmo</w:t>
                      </w:r>
                      <w:proofErr w:type="spellEnd"/>
                      <w:r>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Vitonas</w:t>
                      </w:r>
                      <w:proofErr w:type="spellEnd"/>
                      <w:r>
                        <w:rPr>
                          <w:rFonts w:asciiTheme="majorHAnsi" w:hAnsiTheme="majorHAnsi"/>
                          <w:color w:val="595959" w:themeColor="text1" w:themeTint="A6"/>
                          <w:sz w:val="18"/>
                        </w:rPr>
                        <w:t xml:space="preserve"> </w:t>
                      </w:r>
                      <w:proofErr w:type="spellStart"/>
                      <w:r>
                        <w:rPr>
                          <w:rFonts w:asciiTheme="majorHAnsi" w:hAnsiTheme="majorHAnsi"/>
                          <w:color w:val="595959" w:themeColor="text1" w:themeTint="A6"/>
                          <w:sz w:val="18"/>
                        </w:rPr>
                        <w:t>Chilhueso</w:t>
                      </w:r>
                      <w:proofErr w:type="spellEnd"/>
                      <w:r>
                        <w:rPr>
                          <w:rFonts w:asciiTheme="majorHAnsi" w:hAnsiTheme="majorHAnsi"/>
                          <w:color w:val="595959" w:themeColor="text1" w:themeTint="A6"/>
                          <w:sz w:val="18"/>
                        </w:rPr>
                        <w:t xml:space="preserve"> </w:t>
                      </w:r>
                      <w:r>
                        <w:rPr>
                          <w:rFonts w:asciiTheme="majorHAnsi" w:hAnsiTheme="majorHAnsi"/>
                          <w:i/>
                          <w:iCs/>
                          <w:color w:val="595959" w:themeColor="text1" w:themeTint="A6"/>
                          <w:sz w:val="18"/>
                        </w:rPr>
                        <w:t>et al.</w:t>
                      </w:r>
                      <w:r>
                        <w:rPr>
                          <w:rFonts w:asciiTheme="majorHAnsi" w:hAnsiTheme="majorHAnsi"/>
                          <w:color w:val="595959" w:themeColor="text1" w:themeTint="A6"/>
                          <w:sz w:val="18"/>
                        </w:rPr>
                        <w:t xml:space="preserve"> Colombia. </w:t>
                      </w:r>
                      <w:r w:rsidR="00D23B46">
                        <w:rPr>
                          <w:rFonts w:asciiTheme="majorHAnsi" w:hAnsiTheme="majorHAnsi"/>
                          <w:color w:val="595959" w:themeColor="text1" w:themeTint="A6"/>
                          <w:sz w:val="18"/>
                        </w:rPr>
                        <w:t>October 5, 2021</w:t>
                      </w:r>
                      <w:r>
                        <w:rPr>
                          <w:rFonts w:asciiTheme="majorHAnsi" w:hAnsiTheme="majorHAnsi"/>
                          <w:color w:val="595959" w:themeColor="text1" w:themeTint="A6"/>
                          <w:sz w:val="18"/>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77777777" w:rsidR="0090270B" w:rsidRDefault="00D306D1" w:rsidP="005516A1">
      <w:pPr>
        <w:tabs>
          <w:tab w:val="center" w:pos="5400"/>
        </w:tabs>
        <w:suppressAutoHyphens/>
        <w:jc w:val="center"/>
        <w:rPr>
          <w:rFonts w:asciiTheme="majorHAnsi" w:hAnsiTheme="majorHAnsi"/>
          <w:b/>
          <w:sz w:val="20"/>
        </w:rPr>
      </w:pPr>
      <w:r>
        <w:rPr>
          <w:rFonts w:asciiTheme="majorHAnsi" w:hAnsiTheme="majorHAnsi"/>
          <w:noProof/>
          <w:sz w:val="18"/>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77777777" w:rsidR="00D72DC6" w:rsidRPr="00D72DC6" w:rsidRDefault="00D72DC6" w:rsidP="00F02AD1">
                            <w:pPr>
                              <w:rPr>
                                <w:color w:val="FFFFFF" w:themeColor="background1"/>
                                <w14:textFill>
                                  <w14:noFill/>
                                </w14:textFill>
                              </w:rPr>
                            </w:pPr>
                            <w:r>
                              <w:rPr>
                                <w:noProof/>
                                <w:color w:val="FFFFFF" w:themeColor="background1"/>
                                <w14:textFill>
                                  <w14:noFill/>
                                </w14:textFill>
                              </w:rPr>
                              <w:drawing>
                                <wp:inline distT="0" distB="0" distL="0" distR="0" wp14:anchorId="29B13C53" wp14:editId="168A7FF4">
                                  <wp:extent cx="1371683" cy="349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a:stretch>
                                            <a:fillRect/>
                                          </a:stretch>
                                        </pic:blipFill>
                                        <pic:spPr bwMode="auto">
                                          <a:xfrm>
                                            <a:off x="0" y="0"/>
                                            <a:ext cx="1371683" cy="3491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" fillcolor="white [3201]" stroked="f" strokeweight=".5pt">
                <v:textbox>
                  <w:txbxContent>
                    <w:p w14:paraId="4DB6A101" w14:textId="77777777" w:rsidR="00D72DC6" w:rsidRPr="00D72DC6" w:rsidRDefault="00D72DC6" w:rsidP="00F02AD1">
                      <w:pPr>
                        <w:rPr>
                          <w:color w:val="FFFFFF" w:themeColor="background1"/>
                          <w14:textFill>
                            <w14:noFill/>
                          </w14:textFill>
                        </w:rPr>
                      </w:pPr>
                      <w:r>
                        <w:rPr>
                          <w:noProof/>
                          <w:color w:val="FFFFFF" w:themeColor="background1"/>
                          <w14:textFill>
                            <w14:noFill/>
                          </w14:textFill>
                        </w:rPr>
                        <w:drawing>
                          <wp:inline distT="0" distB="0" distL="0" distR="0" wp14:anchorId="29B13C53" wp14:editId="168A7FF4">
                            <wp:extent cx="1371683" cy="349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stretch>
                                      <a:fillRect/>
                                    </a:stretch>
                                  </pic:blipFill>
                                  <pic:spPr bwMode="auto">
                                    <a:xfrm>
                                      <a:off x="0" y="0"/>
                                      <a:ext cx="1371683" cy="349105"/>
                                    </a:xfrm>
                                    <a:prstGeom prst="rect">
                                      <a:avLst/>
                                    </a:prstGeom>
                                    <a:noFill/>
                                    <a:ln>
                                      <a:noFill/>
                                    </a:ln>
                                  </pic:spPr>
                                </pic:pic>
                              </a:graphicData>
                            </a:graphic>
                          </wp:inline>
                        </w:drawing>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www.iachr.org</w:t>
                      </w:r>
                    </w:p>
                  </w:txbxContent>
                </v:textbox>
              </v:shape>
            </w:pict>
          </mc:Fallback>
        </mc:AlternateContent>
      </w:r>
    </w:p>
    <w:p w14:paraId="7697F76E" w14:textId="77777777" w:rsidR="0070697F" w:rsidRDefault="004A6A54" w:rsidP="005516A1">
      <w:pPr>
        <w:tabs>
          <w:tab w:val="center" w:pos="5400"/>
        </w:tabs>
        <w:suppressAutoHyphens/>
        <w:jc w:val="center"/>
        <w:rPr>
          <w:rFonts w:asciiTheme="majorHAnsi" w:hAnsiTheme="majorHAnsi"/>
          <w:b/>
          <w:sz w:val="20"/>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3EFC3AE9" w14:textId="77777777" w:rsidR="003239B8" w:rsidRPr="000419AD"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w:t>
      </w:r>
      <w:r>
        <w:rPr>
          <w:rFonts w:asciiTheme="majorHAnsi" w:hAnsiTheme="majorHAnsi"/>
          <w:b/>
          <w:sz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23B46" w14:paraId="1EFF3374" w14:textId="77777777" w:rsidTr="002A1698">
        <w:tc>
          <w:tcPr>
            <w:tcW w:w="3600" w:type="dxa"/>
            <w:tcBorders>
              <w:top w:val="single" w:sz="4" w:space="0" w:color="auto"/>
              <w:bottom w:val="single" w:sz="6" w:space="0" w:color="auto"/>
            </w:tcBorders>
            <w:shd w:val="clear" w:color="auto" w:fill="67AE3C"/>
            <w:vAlign w:val="center"/>
          </w:tcPr>
          <w:p w14:paraId="6D6CD189" w14:textId="77777777" w:rsidR="003239B8" w:rsidRPr="000D05CB" w:rsidRDefault="003239B8" w:rsidP="008C0762">
            <w:pPr>
              <w:jc w:val="center"/>
              <w:rPr>
                <w:rFonts w:ascii="Cambria" w:hAnsi="Cambria"/>
                <w:b/>
                <w:bCs/>
                <w:color w:val="FFFFFF" w:themeColor="background1"/>
                <w:sz w:val="20"/>
                <w:szCs w:val="20"/>
              </w:rPr>
            </w:pPr>
            <w:r>
              <w:rPr>
                <w:rFonts w:ascii="Cambria" w:hAnsi="Cambria"/>
                <w:b/>
                <w:color w:val="FFFFFF" w:themeColor="background1"/>
                <w:sz w:val="20"/>
              </w:rPr>
              <w:t>Petitioners:</w:t>
            </w:r>
          </w:p>
        </w:tc>
        <w:tc>
          <w:tcPr>
            <w:tcW w:w="5760" w:type="dxa"/>
            <w:vAlign w:val="center"/>
          </w:tcPr>
          <w:p w14:paraId="02AF6D42" w14:textId="7134689C" w:rsidR="003239B8" w:rsidRPr="00895DE3" w:rsidRDefault="00520695" w:rsidP="008C0762">
            <w:pPr>
              <w:jc w:val="both"/>
              <w:rPr>
                <w:rFonts w:ascii="Cambria" w:hAnsi="Cambria"/>
                <w:bCs/>
                <w:sz w:val="20"/>
                <w:szCs w:val="20"/>
                <w:lang w:val="es-ES"/>
              </w:rPr>
            </w:pPr>
            <w:r w:rsidRPr="00895DE3">
              <w:rPr>
                <w:rFonts w:ascii="Cambria" w:hAnsi="Cambria"/>
                <w:sz w:val="20"/>
                <w:lang w:val="es-ES"/>
              </w:rPr>
              <w:t>Asociación Cabildos Indígenas Norte del Cauca (ACIN) and Corporación para el Manejo de Conflictos Norte del Cauca (COMAC)</w:t>
            </w:r>
          </w:p>
        </w:tc>
      </w:tr>
      <w:tr w:rsidR="003239B8" w:rsidRPr="00E004B8" w14:paraId="35FECE46" w14:textId="77777777" w:rsidTr="002A1698">
        <w:tc>
          <w:tcPr>
            <w:tcW w:w="3600" w:type="dxa"/>
            <w:tcBorders>
              <w:top w:val="single" w:sz="6" w:space="0" w:color="auto"/>
              <w:bottom w:val="single" w:sz="6" w:space="0" w:color="auto"/>
            </w:tcBorders>
            <w:shd w:val="clear" w:color="auto" w:fill="67AE3C"/>
            <w:vAlign w:val="center"/>
          </w:tcPr>
          <w:p w14:paraId="3F659EA4" w14:textId="77777777" w:rsidR="003239B8" w:rsidRPr="000D05CB" w:rsidRDefault="00A343C4" w:rsidP="008C076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667E6F">
                  <w:rPr>
                    <w:rFonts w:ascii="Cambria" w:hAnsi="Cambria"/>
                    <w:b/>
                    <w:bCs/>
                    <w:color w:val="FFFFFF" w:themeColor="background1"/>
                    <w:sz w:val="20"/>
                    <w:szCs w:val="20"/>
                  </w:rPr>
                  <w:t>Alleged victim</w:t>
                </w:r>
              </w:sdtContent>
            </w:sdt>
            <w:r w:rsidR="00555654">
              <w:rPr>
                <w:rFonts w:ascii="Cambria" w:hAnsi="Cambria"/>
                <w:b/>
                <w:color w:val="FFFFFF" w:themeColor="background1"/>
                <w:sz w:val="20"/>
              </w:rPr>
              <w:t>:</w:t>
            </w:r>
          </w:p>
        </w:tc>
        <w:tc>
          <w:tcPr>
            <w:tcW w:w="5760" w:type="dxa"/>
            <w:vAlign w:val="center"/>
          </w:tcPr>
          <w:p w14:paraId="636F319E" w14:textId="1A2EEB97" w:rsidR="009E74C0" w:rsidRPr="00D23B46" w:rsidRDefault="009E74C0" w:rsidP="008C0762">
            <w:pPr>
              <w:jc w:val="both"/>
              <w:rPr>
                <w:rFonts w:ascii="Cambria" w:hAnsi="Cambria"/>
                <w:sz w:val="20"/>
                <w:szCs w:val="20"/>
                <w:lang w:val="es-US"/>
              </w:rPr>
            </w:pPr>
            <w:r w:rsidRPr="00895DE3">
              <w:rPr>
                <w:rFonts w:ascii="Cambria" w:hAnsi="Cambria"/>
                <w:b/>
                <w:sz w:val="20"/>
                <w:lang w:val="es-ES"/>
              </w:rPr>
              <w:t>P-465-14:</w:t>
            </w:r>
            <w:r w:rsidRPr="00895DE3">
              <w:rPr>
                <w:rFonts w:asciiTheme="majorHAnsi" w:hAnsiTheme="majorHAnsi"/>
                <w:i/>
                <w:sz w:val="20"/>
                <w:lang w:val="es-ES"/>
              </w:rPr>
              <w:t xml:space="preserve"> </w:t>
            </w:r>
            <w:r w:rsidRPr="00895DE3">
              <w:rPr>
                <w:rFonts w:ascii="Cambria" w:hAnsi="Cambria"/>
                <w:sz w:val="20"/>
                <w:lang w:val="es-ES"/>
              </w:rPr>
              <w:t xml:space="preserve">Adelmo </w:t>
            </w:r>
            <w:proofErr w:type="spellStart"/>
            <w:r w:rsidRPr="00895DE3">
              <w:rPr>
                <w:rFonts w:ascii="Cambria" w:hAnsi="Cambria"/>
                <w:sz w:val="20"/>
                <w:lang w:val="es-ES"/>
              </w:rPr>
              <w:t>Vitonas</w:t>
            </w:r>
            <w:proofErr w:type="spellEnd"/>
            <w:r w:rsidRPr="00895DE3">
              <w:rPr>
                <w:rFonts w:ascii="Cambria" w:hAnsi="Cambria"/>
                <w:sz w:val="20"/>
                <w:lang w:val="es-ES"/>
              </w:rPr>
              <w:t xml:space="preserve"> </w:t>
            </w:r>
            <w:proofErr w:type="spellStart"/>
            <w:r w:rsidRPr="00895DE3">
              <w:rPr>
                <w:rFonts w:ascii="Cambria" w:hAnsi="Cambria"/>
                <w:sz w:val="20"/>
                <w:lang w:val="es-ES"/>
              </w:rPr>
              <w:t>Chilhueso</w:t>
            </w:r>
            <w:proofErr w:type="spellEnd"/>
            <w:r w:rsidRPr="00895DE3">
              <w:rPr>
                <w:rFonts w:ascii="Cambria" w:hAnsi="Cambria"/>
                <w:sz w:val="20"/>
                <w:lang w:val="es-ES"/>
              </w:rPr>
              <w:t xml:space="preserve"> </w:t>
            </w:r>
            <w:r w:rsidRPr="00895DE3">
              <w:rPr>
                <w:rFonts w:ascii="Cambria" w:hAnsi="Cambria"/>
                <w:i/>
                <w:iCs/>
                <w:sz w:val="20"/>
                <w:lang w:val="es-ES"/>
              </w:rPr>
              <w:t>et al.</w:t>
            </w:r>
            <w:r w:rsidRPr="00895DE3">
              <w:rPr>
                <w:rFonts w:ascii="Cambria" w:hAnsi="Cambria"/>
                <w:sz w:val="20"/>
                <w:lang w:val="es-ES"/>
              </w:rPr>
              <w:t xml:space="preserve"> </w:t>
            </w:r>
            <w:r w:rsidRPr="00D23B46">
              <w:rPr>
                <w:rFonts w:ascii="Cambria" w:hAnsi="Cambria"/>
                <w:sz w:val="20"/>
                <w:lang w:val="es-US"/>
              </w:rPr>
              <w:t>(</w:t>
            </w:r>
            <w:proofErr w:type="spellStart"/>
            <w:r w:rsidRPr="00D23B46">
              <w:rPr>
                <w:rFonts w:ascii="Cambria" w:hAnsi="Cambria"/>
                <w:sz w:val="20"/>
                <w:lang w:val="es-US"/>
              </w:rPr>
              <w:t>see</w:t>
            </w:r>
            <w:proofErr w:type="spellEnd"/>
            <w:r w:rsidRPr="00D23B46">
              <w:rPr>
                <w:rFonts w:ascii="Cambria" w:hAnsi="Cambria"/>
                <w:sz w:val="20"/>
                <w:lang w:val="es-US"/>
              </w:rPr>
              <w:t xml:space="preserve"> </w:t>
            </w:r>
            <w:proofErr w:type="spellStart"/>
            <w:r w:rsidRPr="00D23B46">
              <w:rPr>
                <w:rFonts w:ascii="Cambria" w:hAnsi="Cambria"/>
                <w:sz w:val="20"/>
                <w:lang w:val="es-US"/>
              </w:rPr>
              <w:t>annexes</w:t>
            </w:r>
            <w:proofErr w:type="spellEnd"/>
            <w:r w:rsidRPr="00D23B46">
              <w:rPr>
                <w:rFonts w:ascii="Cambria" w:hAnsi="Cambria"/>
                <w:sz w:val="20"/>
                <w:lang w:val="es-US"/>
              </w:rPr>
              <w:t>)</w:t>
            </w:r>
          </w:p>
          <w:p w14:paraId="3883DE95" w14:textId="3B9F36D4" w:rsidR="00534885" w:rsidRPr="00534885" w:rsidRDefault="00CA571B" w:rsidP="008C0762">
            <w:pPr>
              <w:jc w:val="both"/>
            </w:pPr>
            <w:r w:rsidRPr="00D23B46">
              <w:rPr>
                <w:rFonts w:ascii="Cambria" w:hAnsi="Cambria"/>
                <w:b/>
                <w:sz w:val="20"/>
                <w:lang w:val="es-US"/>
              </w:rPr>
              <w:t>P-467-14:</w:t>
            </w:r>
            <w:r w:rsidRPr="00D23B46">
              <w:rPr>
                <w:rFonts w:ascii="Cambria" w:hAnsi="Cambria"/>
                <w:sz w:val="20"/>
                <w:lang w:val="es-US"/>
              </w:rPr>
              <w:t xml:space="preserve"> Abelardo Campo </w:t>
            </w:r>
            <w:proofErr w:type="spellStart"/>
            <w:r w:rsidRPr="00D23B46">
              <w:rPr>
                <w:rFonts w:ascii="Cambria" w:hAnsi="Cambria"/>
                <w:sz w:val="20"/>
                <w:lang w:val="es-US"/>
              </w:rPr>
              <w:t>Casamachín</w:t>
            </w:r>
            <w:proofErr w:type="spellEnd"/>
            <w:r w:rsidRPr="00D23B46">
              <w:rPr>
                <w:rFonts w:ascii="Cambria" w:hAnsi="Cambria"/>
                <w:sz w:val="20"/>
                <w:lang w:val="es-US"/>
              </w:rPr>
              <w:t xml:space="preserve"> </w:t>
            </w:r>
            <w:r w:rsidRPr="00D23B46">
              <w:rPr>
                <w:rFonts w:ascii="Cambria" w:hAnsi="Cambria"/>
                <w:i/>
                <w:iCs/>
                <w:sz w:val="20"/>
                <w:lang w:val="es-US"/>
              </w:rPr>
              <w:t>et al.</w:t>
            </w:r>
            <w:r w:rsidRPr="00D23B46">
              <w:rPr>
                <w:rFonts w:ascii="Cambria" w:hAnsi="Cambria"/>
                <w:lang w:val="es-US"/>
              </w:rPr>
              <w:t xml:space="preserve"> </w:t>
            </w:r>
            <w:r>
              <w:rPr>
                <w:rFonts w:ascii="Cambria" w:hAnsi="Cambria"/>
                <w:sz w:val="20"/>
              </w:rPr>
              <w:t>(see annexes)</w:t>
            </w:r>
          </w:p>
        </w:tc>
      </w:tr>
      <w:tr w:rsidR="003239B8" w14:paraId="54815008" w14:textId="77777777" w:rsidTr="002A1698">
        <w:tc>
          <w:tcPr>
            <w:tcW w:w="3600" w:type="dxa"/>
            <w:tcBorders>
              <w:top w:val="single" w:sz="6" w:space="0" w:color="auto"/>
              <w:bottom w:val="single" w:sz="6" w:space="0" w:color="auto"/>
            </w:tcBorders>
            <w:shd w:val="clear" w:color="auto" w:fill="67AE3C"/>
            <w:vAlign w:val="center"/>
          </w:tcPr>
          <w:p w14:paraId="0B3C2C99" w14:textId="77777777" w:rsidR="003239B8" w:rsidRPr="000D05CB" w:rsidRDefault="003239B8" w:rsidP="008C0762">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vAlign w:val="center"/>
          </w:tcPr>
          <w:p w14:paraId="1E87A2E8" w14:textId="5EA26DF4" w:rsidR="003239B8" w:rsidRPr="000D05CB" w:rsidRDefault="0035654F" w:rsidP="008C0762">
            <w:pPr>
              <w:jc w:val="both"/>
              <w:rPr>
                <w:rFonts w:ascii="Cambria" w:hAnsi="Cambria"/>
                <w:bCs/>
                <w:sz w:val="20"/>
                <w:szCs w:val="20"/>
              </w:rPr>
            </w:pPr>
            <w:r>
              <w:rPr>
                <w:rFonts w:ascii="Cambria" w:hAnsi="Cambria"/>
                <w:sz w:val="20"/>
              </w:rPr>
              <w:t>Colombia</w:t>
            </w:r>
          </w:p>
        </w:tc>
      </w:tr>
      <w:tr w:rsidR="00223A29" w:rsidRPr="00E004B8" w14:paraId="339E2FE0" w14:textId="77777777" w:rsidTr="002A1698">
        <w:tc>
          <w:tcPr>
            <w:tcW w:w="3600" w:type="dxa"/>
            <w:tcBorders>
              <w:top w:val="single" w:sz="6" w:space="0" w:color="auto"/>
              <w:bottom w:val="single" w:sz="6" w:space="0" w:color="auto"/>
            </w:tcBorders>
            <w:shd w:val="clear" w:color="auto" w:fill="67AE3C"/>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vAlign w:val="center"/>
          </w:tcPr>
          <w:p w14:paraId="0A2474B6" w14:textId="10F200B8" w:rsidR="00223A29" w:rsidRPr="00AA2F8A" w:rsidRDefault="0037669F" w:rsidP="008C0762">
            <w:pPr>
              <w:jc w:val="both"/>
              <w:rPr>
                <w:rFonts w:ascii="Cambria" w:hAnsi="Cambria"/>
                <w:bCs/>
                <w:sz w:val="20"/>
                <w:szCs w:val="20"/>
              </w:rPr>
            </w:pPr>
            <w:r>
              <w:rPr>
                <w:rFonts w:ascii="Cambria" w:hAnsi="Cambria"/>
                <w:sz w:val="20"/>
              </w:rPr>
              <w:t>Articles 3 (juridical personality), 4 (life), 5 (personal integrity), 7 (personal liberty), 8 (right to a fair trial), 11 (protection of honor and dignity), 19 (rights of the child), 22 (movement and residence) and 25 (judicial protection) of the American Convention on Human Rights,</w:t>
            </w:r>
            <w:r w:rsidRPr="003100E6">
              <w:rPr>
                <w:rStyle w:val="FootnoteReference"/>
                <w:rFonts w:ascii="Cambria" w:hAnsi="Cambria"/>
                <w:bCs/>
                <w:sz w:val="20"/>
                <w:szCs w:val="20"/>
                <w:lang w:val="es-ES"/>
              </w:rPr>
              <w:footnoteReference w:id="2"/>
            </w:r>
            <w:r>
              <w:rPr>
                <w:rFonts w:ascii="Cambria" w:hAnsi="Cambria"/>
                <w:sz w:val="20"/>
              </w:rPr>
              <w:t xml:space="preserve"> in relation to Article 1.1 (obligation to respect rights) thereof; and other international treaties</w:t>
            </w:r>
            <w:r w:rsidRPr="003100E6">
              <w:rPr>
                <w:rStyle w:val="FootnoteReference"/>
                <w:rFonts w:ascii="Cambria" w:hAnsi="Cambria"/>
                <w:bCs/>
                <w:sz w:val="20"/>
                <w:szCs w:val="20"/>
                <w:lang w:val="es-ES"/>
              </w:rPr>
              <w:footnoteReference w:id="3"/>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PROCEEDINGS BEFORE THE IACHR</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004B8" w14:paraId="729FE5D3" w14:textId="77777777" w:rsidTr="002A1698">
        <w:tc>
          <w:tcPr>
            <w:tcW w:w="3600" w:type="dxa"/>
            <w:tcBorders>
              <w:top w:val="single" w:sz="6" w:space="0" w:color="auto"/>
              <w:bottom w:val="single" w:sz="6" w:space="0" w:color="auto"/>
            </w:tcBorders>
            <w:shd w:val="clear" w:color="auto" w:fill="67AE3C"/>
            <w:vAlign w:val="center"/>
          </w:tcPr>
          <w:p w14:paraId="4057EE8A"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760" w:type="dxa"/>
            <w:vAlign w:val="center"/>
          </w:tcPr>
          <w:p w14:paraId="6393FC9B" w14:textId="77777777" w:rsidR="004C2312" w:rsidRDefault="005A3C4B" w:rsidP="008C0762">
            <w:pPr>
              <w:jc w:val="both"/>
              <w:rPr>
                <w:rFonts w:ascii="Cambria" w:hAnsi="Cambria"/>
                <w:bCs/>
                <w:sz w:val="20"/>
                <w:szCs w:val="20"/>
              </w:rPr>
            </w:pPr>
            <w:r>
              <w:rPr>
                <w:rFonts w:ascii="Cambria" w:hAnsi="Cambria"/>
                <w:b/>
                <w:sz w:val="20"/>
              </w:rPr>
              <w:t>P-465-14:</w:t>
            </w:r>
            <w:r>
              <w:rPr>
                <w:rFonts w:ascii="Cambria" w:hAnsi="Cambria"/>
                <w:sz w:val="20"/>
              </w:rPr>
              <w:t xml:space="preserve"> March 24, 2014</w:t>
            </w:r>
          </w:p>
          <w:p w14:paraId="0867010C" w14:textId="4B9B4757" w:rsidR="00CA571B" w:rsidRPr="003239B8" w:rsidRDefault="00CA571B" w:rsidP="008C0762">
            <w:pPr>
              <w:jc w:val="both"/>
              <w:rPr>
                <w:rFonts w:ascii="Cambria" w:hAnsi="Cambria"/>
                <w:bCs/>
                <w:sz w:val="20"/>
                <w:szCs w:val="20"/>
              </w:rPr>
            </w:pPr>
            <w:r>
              <w:rPr>
                <w:rFonts w:ascii="Cambria" w:hAnsi="Cambria"/>
                <w:b/>
                <w:sz w:val="20"/>
              </w:rPr>
              <w:t>P-467-14</w:t>
            </w:r>
            <w:r>
              <w:rPr>
                <w:rFonts w:ascii="Cambria" w:hAnsi="Cambria"/>
                <w:sz w:val="20"/>
              </w:rPr>
              <w:t>: March 27, 2014</w:t>
            </w:r>
          </w:p>
        </w:tc>
      </w:tr>
      <w:tr w:rsidR="00131425" w:rsidRPr="00E004B8" w14:paraId="100113EE" w14:textId="77777777" w:rsidTr="002A1698">
        <w:tc>
          <w:tcPr>
            <w:tcW w:w="3600" w:type="dxa"/>
            <w:tcBorders>
              <w:top w:val="single" w:sz="6" w:space="0" w:color="auto"/>
              <w:bottom w:val="single" w:sz="6" w:space="0" w:color="auto"/>
            </w:tcBorders>
            <w:shd w:val="clear" w:color="auto" w:fill="67AE3C"/>
            <w:vAlign w:val="center"/>
          </w:tcPr>
          <w:p w14:paraId="7B40BFE4" w14:textId="77777777" w:rsidR="00131425" w:rsidRDefault="00131425" w:rsidP="004A6A54">
            <w:pPr>
              <w:jc w:val="center"/>
              <w:rPr>
                <w:rFonts w:ascii="Cambria" w:hAnsi="Cambria"/>
                <w:b/>
                <w:bCs/>
                <w:color w:val="FFFFFF" w:themeColor="background1"/>
                <w:sz w:val="20"/>
                <w:szCs w:val="20"/>
              </w:rPr>
            </w:pPr>
            <w:r>
              <w:rPr>
                <w:rFonts w:ascii="Cambria" w:hAnsi="Cambria"/>
                <w:b/>
                <w:color w:val="FFFFFF" w:themeColor="background1"/>
                <w:sz w:val="20"/>
              </w:rPr>
              <w:t>Additional information received at the stage of initial review:</w:t>
            </w:r>
          </w:p>
        </w:tc>
        <w:tc>
          <w:tcPr>
            <w:tcW w:w="5760" w:type="dxa"/>
            <w:vAlign w:val="center"/>
          </w:tcPr>
          <w:p w14:paraId="23DB8A4E" w14:textId="3E1472CF" w:rsidR="00131425" w:rsidRDefault="004E6BA0" w:rsidP="004E6BA0">
            <w:pPr>
              <w:jc w:val="both"/>
              <w:rPr>
                <w:rFonts w:ascii="Cambria" w:hAnsi="Cambria"/>
                <w:b/>
                <w:sz w:val="20"/>
                <w:szCs w:val="20"/>
              </w:rPr>
            </w:pPr>
            <w:r>
              <w:rPr>
                <w:rFonts w:ascii="Cambria" w:hAnsi="Cambria"/>
                <w:b/>
                <w:sz w:val="20"/>
              </w:rPr>
              <w:t xml:space="preserve">P-465-14: </w:t>
            </w:r>
            <w:r>
              <w:rPr>
                <w:rFonts w:ascii="Cambria" w:hAnsi="Cambria"/>
                <w:sz w:val="20"/>
              </w:rPr>
              <w:t>October 21, 2016</w:t>
            </w:r>
            <w:r w:rsidR="002E2AE6" w:rsidRPr="00C86E99">
              <w:rPr>
                <w:rStyle w:val="FootnoteReference"/>
                <w:rFonts w:ascii="Cambria" w:hAnsi="Cambria"/>
                <w:bCs/>
                <w:sz w:val="20"/>
                <w:szCs w:val="20"/>
                <w:lang w:val="es-ES"/>
              </w:rPr>
              <w:footnoteReference w:id="5"/>
            </w:r>
          </w:p>
          <w:p w14:paraId="7E0E91EC" w14:textId="490E93C7" w:rsidR="00CA571B" w:rsidRPr="003239B8" w:rsidRDefault="00CA571B" w:rsidP="004E6BA0">
            <w:pPr>
              <w:jc w:val="both"/>
              <w:rPr>
                <w:rFonts w:ascii="Cambria" w:hAnsi="Cambria"/>
                <w:bCs/>
                <w:sz w:val="20"/>
                <w:szCs w:val="20"/>
              </w:rPr>
            </w:pPr>
            <w:r>
              <w:rPr>
                <w:rFonts w:ascii="Cambria" w:hAnsi="Cambria"/>
                <w:b/>
                <w:sz w:val="20"/>
              </w:rPr>
              <w:t>P-467-14</w:t>
            </w:r>
            <w:r>
              <w:rPr>
                <w:rFonts w:ascii="Cambria" w:hAnsi="Cambria"/>
                <w:sz w:val="20"/>
              </w:rPr>
              <w:t>: October 21, 2016</w:t>
            </w:r>
          </w:p>
        </w:tc>
      </w:tr>
      <w:tr w:rsidR="004C2312" w:rsidRPr="00E004B8" w14:paraId="3499F483" w14:textId="77777777" w:rsidTr="002A1698">
        <w:tc>
          <w:tcPr>
            <w:tcW w:w="3600" w:type="dxa"/>
            <w:tcBorders>
              <w:top w:val="single" w:sz="6" w:space="0" w:color="auto"/>
              <w:bottom w:val="single" w:sz="6" w:space="0" w:color="auto"/>
            </w:tcBorders>
            <w:shd w:val="clear" w:color="auto" w:fill="67AE3C"/>
            <w:vAlign w:val="center"/>
          </w:tcPr>
          <w:p w14:paraId="14665B6B"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760" w:type="dxa"/>
            <w:vAlign w:val="center"/>
          </w:tcPr>
          <w:p w14:paraId="5CF9804B" w14:textId="546E0A8D" w:rsidR="004C2312" w:rsidRDefault="004E6BA0" w:rsidP="004E6BA0">
            <w:pPr>
              <w:jc w:val="both"/>
              <w:rPr>
                <w:rFonts w:ascii="Cambria" w:hAnsi="Cambria"/>
                <w:bCs/>
                <w:sz w:val="20"/>
                <w:szCs w:val="20"/>
              </w:rPr>
            </w:pPr>
            <w:r>
              <w:rPr>
                <w:rFonts w:ascii="Cambria" w:hAnsi="Cambria"/>
                <w:b/>
                <w:sz w:val="20"/>
              </w:rPr>
              <w:t>P-465-14:</w:t>
            </w:r>
            <w:r>
              <w:rPr>
                <w:rFonts w:ascii="Cambria" w:hAnsi="Cambria"/>
                <w:sz w:val="20"/>
              </w:rPr>
              <w:t xml:space="preserve"> February 22, 2017</w:t>
            </w:r>
          </w:p>
          <w:p w14:paraId="35CDD610" w14:textId="3E995F60" w:rsidR="00CA571B" w:rsidRPr="003239B8" w:rsidRDefault="00CA571B" w:rsidP="004E6BA0">
            <w:pPr>
              <w:jc w:val="both"/>
              <w:rPr>
                <w:rFonts w:ascii="Cambria" w:hAnsi="Cambria"/>
                <w:bCs/>
                <w:sz w:val="20"/>
                <w:szCs w:val="20"/>
              </w:rPr>
            </w:pPr>
            <w:r>
              <w:rPr>
                <w:rFonts w:ascii="Cambria" w:hAnsi="Cambria"/>
                <w:b/>
                <w:sz w:val="20"/>
              </w:rPr>
              <w:t>P-467-14</w:t>
            </w:r>
            <w:r>
              <w:rPr>
                <w:rFonts w:ascii="Cambria" w:hAnsi="Cambria"/>
                <w:sz w:val="20"/>
              </w:rPr>
              <w:t>: February 22, 2017</w:t>
            </w:r>
          </w:p>
        </w:tc>
      </w:tr>
      <w:tr w:rsidR="004C2312" w:rsidRPr="00E004B8" w14:paraId="7DA06F1F" w14:textId="77777777" w:rsidTr="002A1698">
        <w:tc>
          <w:tcPr>
            <w:tcW w:w="3600" w:type="dxa"/>
            <w:tcBorders>
              <w:top w:val="single" w:sz="6" w:space="0" w:color="auto"/>
              <w:bottom w:val="single" w:sz="6" w:space="0" w:color="auto"/>
            </w:tcBorders>
            <w:shd w:val="clear" w:color="auto" w:fill="67AE3C"/>
            <w:vAlign w:val="center"/>
          </w:tcPr>
          <w:p w14:paraId="1146111F" w14:textId="77777777" w:rsidR="004C2312" w:rsidRPr="003239B8"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760" w:type="dxa"/>
            <w:vAlign w:val="center"/>
          </w:tcPr>
          <w:p w14:paraId="33593220" w14:textId="30847C4A" w:rsidR="004C2312" w:rsidRDefault="004E6BA0" w:rsidP="004E6BA0">
            <w:pPr>
              <w:jc w:val="both"/>
              <w:rPr>
                <w:rFonts w:ascii="Cambria" w:hAnsi="Cambria"/>
                <w:b/>
                <w:sz w:val="20"/>
                <w:szCs w:val="20"/>
              </w:rPr>
            </w:pPr>
            <w:r>
              <w:rPr>
                <w:rFonts w:ascii="Cambria" w:hAnsi="Cambria"/>
                <w:b/>
                <w:sz w:val="20"/>
              </w:rPr>
              <w:t xml:space="preserve">P-465-14: </w:t>
            </w:r>
            <w:r>
              <w:rPr>
                <w:rFonts w:ascii="Cambria" w:hAnsi="Cambria"/>
                <w:sz w:val="20"/>
              </w:rPr>
              <w:t>March 23, 2018</w:t>
            </w:r>
          </w:p>
          <w:p w14:paraId="480B8955" w14:textId="063D2DD3" w:rsidR="00CA571B" w:rsidRPr="000B2A7A" w:rsidRDefault="00CA571B" w:rsidP="004E6BA0">
            <w:pPr>
              <w:jc w:val="both"/>
              <w:rPr>
                <w:rFonts w:ascii="Cambria" w:hAnsi="Cambria"/>
                <w:bCs/>
                <w:sz w:val="20"/>
                <w:szCs w:val="20"/>
              </w:rPr>
            </w:pPr>
            <w:r>
              <w:rPr>
                <w:rFonts w:ascii="Cambria" w:hAnsi="Cambria"/>
                <w:b/>
                <w:sz w:val="20"/>
              </w:rPr>
              <w:t>P-467-14</w:t>
            </w:r>
            <w:r>
              <w:rPr>
                <w:rFonts w:ascii="Cambria" w:hAnsi="Cambria"/>
                <w:sz w:val="20"/>
              </w:rPr>
              <w:t>: August 29, 2018</w:t>
            </w:r>
          </w:p>
        </w:tc>
      </w:tr>
      <w:tr w:rsidR="004C2312" w:rsidRPr="00E004B8" w14:paraId="20D6CA95" w14:textId="77777777" w:rsidTr="002A1698">
        <w:tc>
          <w:tcPr>
            <w:tcW w:w="3600" w:type="dxa"/>
            <w:tcBorders>
              <w:top w:val="single" w:sz="6" w:space="0" w:color="auto"/>
              <w:bottom w:val="single" w:sz="6" w:space="0" w:color="auto"/>
            </w:tcBorders>
            <w:shd w:val="clear" w:color="auto" w:fill="67AE3C"/>
            <w:vAlign w:val="center"/>
          </w:tcPr>
          <w:p w14:paraId="0ED3F206" w14:textId="77777777" w:rsidR="004C2312" w:rsidRPr="003239B8" w:rsidRDefault="008E3BFE" w:rsidP="008E3BFE">
            <w:pPr>
              <w:jc w:val="center"/>
              <w:rPr>
                <w:rFonts w:ascii="Cambria" w:hAnsi="Cambria"/>
                <w:b/>
                <w:bCs/>
                <w:color w:val="FFFFFF" w:themeColor="background1"/>
                <w:sz w:val="20"/>
                <w:szCs w:val="20"/>
              </w:rPr>
            </w:pPr>
            <w:r>
              <w:rPr>
                <w:rFonts w:ascii="Cambria" w:hAnsi="Cambria"/>
                <w:b/>
                <w:color w:val="FFFFFF" w:themeColor="background1"/>
                <w:sz w:val="20"/>
              </w:rPr>
              <w:t>Additional observations from the petitioner:</w:t>
            </w:r>
          </w:p>
        </w:tc>
        <w:tc>
          <w:tcPr>
            <w:tcW w:w="5760" w:type="dxa"/>
            <w:vAlign w:val="center"/>
          </w:tcPr>
          <w:p w14:paraId="6F39012C" w14:textId="45CF0DC1" w:rsidR="004C2312" w:rsidRDefault="004E6BA0" w:rsidP="004E6BA0">
            <w:pPr>
              <w:jc w:val="both"/>
              <w:rPr>
                <w:rFonts w:ascii="Cambria" w:hAnsi="Cambria"/>
                <w:b/>
                <w:sz w:val="20"/>
                <w:szCs w:val="20"/>
              </w:rPr>
            </w:pPr>
            <w:r>
              <w:rPr>
                <w:rFonts w:ascii="Cambria" w:hAnsi="Cambria"/>
                <w:b/>
                <w:sz w:val="20"/>
              </w:rPr>
              <w:t xml:space="preserve">P-465-14: </w:t>
            </w:r>
            <w:r>
              <w:rPr>
                <w:rFonts w:ascii="Cambria" w:hAnsi="Cambria"/>
                <w:sz w:val="20"/>
              </w:rPr>
              <w:t>September 17, 2020</w:t>
            </w:r>
          </w:p>
          <w:p w14:paraId="73F88A19" w14:textId="00A03704" w:rsidR="00CA571B" w:rsidRPr="003239B8" w:rsidRDefault="00CA571B" w:rsidP="004E6BA0">
            <w:pPr>
              <w:jc w:val="both"/>
              <w:rPr>
                <w:rFonts w:ascii="Cambria" w:hAnsi="Cambria"/>
                <w:bCs/>
                <w:sz w:val="20"/>
                <w:szCs w:val="20"/>
              </w:rPr>
            </w:pPr>
            <w:r>
              <w:rPr>
                <w:rFonts w:ascii="Cambria" w:hAnsi="Cambria"/>
                <w:b/>
                <w:sz w:val="20"/>
              </w:rPr>
              <w:t>P-467-14</w:t>
            </w:r>
            <w:r>
              <w:rPr>
                <w:rFonts w:ascii="Cambria" w:hAnsi="Cambria"/>
                <w:sz w:val="20"/>
              </w:rPr>
              <w:t>: September 16 and 26, 2020</w:t>
            </w:r>
          </w:p>
        </w:tc>
      </w:tr>
      <w:tr w:rsidR="00120AA6" w:rsidRPr="000B2A7A" w14:paraId="47C5CD2B" w14:textId="77777777" w:rsidTr="002A1698">
        <w:tc>
          <w:tcPr>
            <w:tcW w:w="3600" w:type="dxa"/>
            <w:tcBorders>
              <w:top w:val="single" w:sz="6" w:space="0" w:color="auto"/>
              <w:bottom w:val="single" w:sz="6" w:space="0" w:color="auto"/>
            </w:tcBorders>
            <w:shd w:val="clear" w:color="auto" w:fill="67AE3C"/>
            <w:vAlign w:val="center"/>
          </w:tcPr>
          <w:p w14:paraId="475C6CF9" w14:textId="228013AE" w:rsidR="00120AA6" w:rsidRDefault="00CF7D05" w:rsidP="008E3BFE">
            <w:pPr>
              <w:jc w:val="center"/>
              <w:rPr>
                <w:rFonts w:ascii="Cambria" w:hAnsi="Cambria"/>
                <w:b/>
                <w:bCs/>
                <w:color w:val="FFFFFF" w:themeColor="background1"/>
                <w:sz w:val="20"/>
                <w:szCs w:val="20"/>
              </w:rPr>
            </w:pPr>
            <w:r>
              <w:rPr>
                <w:rFonts w:ascii="Cambria" w:hAnsi="Cambria"/>
                <w:b/>
                <w:color w:val="FFFFFF" w:themeColor="background1"/>
                <w:sz w:val="20"/>
              </w:rPr>
              <w:t>Additional observations from the State:</w:t>
            </w:r>
          </w:p>
        </w:tc>
        <w:tc>
          <w:tcPr>
            <w:tcW w:w="5760" w:type="dxa"/>
            <w:vAlign w:val="center"/>
          </w:tcPr>
          <w:p w14:paraId="3FCD731C" w14:textId="50B93662" w:rsidR="00120AA6" w:rsidRPr="009E74C0" w:rsidRDefault="00120AA6" w:rsidP="004E6BA0">
            <w:pPr>
              <w:jc w:val="both"/>
              <w:rPr>
                <w:rFonts w:ascii="Cambria" w:hAnsi="Cambria"/>
                <w:b/>
                <w:sz w:val="20"/>
                <w:szCs w:val="20"/>
              </w:rPr>
            </w:pPr>
            <w:r>
              <w:rPr>
                <w:rFonts w:ascii="Cambria" w:hAnsi="Cambria"/>
                <w:b/>
                <w:sz w:val="20"/>
              </w:rPr>
              <w:t xml:space="preserve">P-465-14: </w:t>
            </w:r>
            <w:r>
              <w:rPr>
                <w:rFonts w:ascii="Cambria" w:hAnsi="Cambria"/>
                <w:sz w:val="20"/>
              </w:rPr>
              <w:t>June 23, 2021</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BA7A26" w14:textId="77777777" w:rsidTr="002A1698">
        <w:trPr>
          <w:cantSplit/>
        </w:trPr>
        <w:tc>
          <w:tcPr>
            <w:tcW w:w="3600" w:type="dxa"/>
            <w:tcBorders>
              <w:top w:val="single" w:sz="4" w:space="0" w:color="auto"/>
              <w:bottom w:val="single" w:sz="6" w:space="0" w:color="auto"/>
            </w:tcBorders>
            <w:shd w:val="clear" w:color="auto" w:fill="67AE3C"/>
            <w:vAlign w:val="center"/>
          </w:tcPr>
          <w:p w14:paraId="64595D6A" w14:textId="77777777" w:rsidR="003239B8" w:rsidRPr="00B3745F" w:rsidRDefault="003239B8" w:rsidP="008C0762">
            <w:pPr>
              <w:jc w:val="center"/>
              <w:rPr>
                <w:rFonts w:ascii="Cambria" w:hAnsi="Cambria"/>
                <w:b/>
                <w:bCs/>
                <w:i/>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personae:</w:t>
            </w:r>
          </w:p>
        </w:tc>
        <w:tc>
          <w:tcPr>
            <w:tcW w:w="5760" w:type="dxa"/>
            <w:vAlign w:val="center"/>
          </w:tcPr>
          <w:p w14:paraId="5361A9C3" w14:textId="345E2642" w:rsidR="003239B8" w:rsidRPr="00B3745F" w:rsidRDefault="00937C48" w:rsidP="008C0762">
            <w:pPr>
              <w:rPr>
                <w:rFonts w:ascii="Cambria" w:hAnsi="Cambria"/>
                <w:bCs/>
                <w:sz w:val="20"/>
                <w:szCs w:val="20"/>
              </w:rPr>
            </w:pPr>
            <w:r>
              <w:rPr>
                <w:rFonts w:ascii="Cambria" w:hAnsi="Cambria"/>
                <w:sz w:val="20"/>
              </w:rPr>
              <w:t>Yes, in both petitions</w:t>
            </w:r>
          </w:p>
        </w:tc>
      </w:tr>
      <w:tr w:rsidR="003239B8" w:rsidRPr="00540F17" w14:paraId="3491D8B1" w14:textId="77777777" w:rsidTr="002A1698">
        <w:trPr>
          <w:cantSplit/>
        </w:trPr>
        <w:tc>
          <w:tcPr>
            <w:tcW w:w="3600" w:type="dxa"/>
            <w:tcBorders>
              <w:top w:val="single" w:sz="6" w:space="0" w:color="auto"/>
              <w:bottom w:val="single" w:sz="6" w:space="0" w:color="auto"/>
            </w:tcBorders>
            <w:shd w:val="clear" w:color="auto" w:fill="67AE3C"/>
            <w:vAlign w:val="center"/>
          </w:tcPr>
          <w:p w14:paraId="60ECFB9D" w14:textId="77777777" w:rsidR="003239B8" w:rsidRPr="00B3745F" w:rsidRDefault="003239B8" w:rsidP="008C0762">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loci</w:t>
            </w:r>
            <w:r>
              <w:rPr>
                <w:rFonts w:ascii="Cambria" w:hAnsi="Cambria"/>
                <w:b/>
                <w:color w:val="FFFFFF" w:themeColor="background1"/>
                <w:sz w:val="20"/>
              </w:rPr>
              <w:t>:</w:t>
            </w:r>
          </w:p>
        </w:tc>
        <w:tc>
          <w:tcPr>
            <w:tcW w:w="5760" w:type="dxa"/>
            <w:vAlign w:val="center"/>
          </w:tcPr>
          <w:p w14:paraId="7E7DA0E1" w14:textId="0FC0CBF2" w:rsidR="003239B8" w:rsidRPr="00B3745F" w:rsidRDefault="00937C48" w:rsidP="008C0762">
            <w:pPr>
              <w:rPr>
                <w:rFonts w:ascii="Cambria" w:hAnsi="Cambria"/>
                <w:bCs/>
                <w:sz w:val="20"/>
                <w:szCs w:val="20"/>
              </w:rPr>
            </w:pPr>
            <w:r>
              <w:rPr>
                <w:rFonts w:ascii="Cambria" w:hAnsi="Cambria"/>
                <w:sz w:val="20"/>
              </w:rPr>
              <w:t>Yes, in both petitions</w:t>
            </w:r>
          </w:p>
        </w:tc>
      </w:tr>
      <w:tr w:rsidR="003239B8" w:rsidRPr="00540F17" w14:paraId="249F473A" w14:textId="77777777" w:rsidTr="002A1698">
        <w:trPr>
          <w:cantSplit/>
        </w:trPr>
        <w:tc>
          <w:tcPr>
            <w:tcW w:w="3600" w:type="dxa"/>
            <w:tcBorders>
              <w:top w:val="single" w:sz="6" w:space="0" w:color="auto"/>
              <w:bottom w:val="single" w:sz="6" w:space="0" w:color="auto"/>
            </w:tcBorders>
            <w:shd w:val="clear" w:color="auto" w:fill="67AE3C"/>
            <w:vAlign w:val="center"/>
          </w:tcPr>
          <w:p w14:paraId="5A32C901" w14:textId="77777777" w:rsidR="003239B8" w:rsidRPr="00B3745F" w:rsidRDefault="003239B8" w:rsidP="008C0762">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w:t>
            </w:r>
            <w:proofErr w:type="spellStart"/>
            <w:r>
              <w:rPr>
                <w:rFonts w:ascii="Cambria" w:hAnsi="Cambria"/>
                <w:b/>
                <w:i/>
                <w:color w:val="FFFFFF" w:themeColor="background1"/>
                <w:sz w:val="20"/>
              </w:rPr>
              <w:t>temporis</w:t>
            </w:r>
            <w:proofErr w:type="spellEnd"/>
            <w:r>
              <w:rPr>
                <w:rFonts w:ascii="Cambria" w:hAnsi="Cambria"/>
                <w:b/>
                <w:i/>
                <w:color w:val="FFFFFF" w:themeColor="background1"/>
                <w:sz w:val="20"/>
              </w:rPr>
              <w:t>:</w:t>
            </w:r>
          </w:p>
        </w:tc>
        <w:tc>
          <w:tcPr>
            <w:tcW w:w="5760" w:type="dxa"/>
            <w:vAlign w:val="center"/>
          </w:tcPr>
          <w:p w14:paraId="695608DF" w14:textId="7945141B" w:rsidR="003239B8" w:rsidRPr="00D312D7" w:rsidRDefault="00937C48" w:rsidP="008C0762">
            <w:pPr>
              <w:rPr>
                <w:rFonts w:ascii="Cambria" w:hAnsi="Cambria"/>
                <w:bCs/>
                <w:sz w:val="20"/>
                <w:szCs w:val="20"/>
              </w:rPr>
            </w:pPr>
            <w:r>
              <w:rPr>
                <w:rFonts w:ascii="Cambria" w:hAnsi="Cambria"/>
                <w:sz w:val="20"/>
              </w:rPr>
              <w:t>Yes, in both petitions</w:t>
            </w:r>
          </w:p>
        </w:tc>
      </w:tr>
      <w:tr w:rsidR="003239B8" w:rsidRPr="00E004B8" w14:paraId="20EFB33C" w14:textId="77777777" w:rsidTr="002A1698">
        <w:trPr>
          <w:cantSplit/>
        </w:trPr>
        <w:tc>
          <w:tcPr>
            <w:tcW w:w="3600" w:type="dxa"/>
            <w:tcBorders>
              <w:top w:val="single" w:sz="6" w:space="0" w:color="auto"/>
              <w:bottom w:val="single" w:sz="6" w:space="0" w:color="auto"/>
            </w:tcBorders>
            <w:shd w:val="clear" w:color="auto" w:fill="67AE3C"/>
            <w:vAlign w:val="center"/>
          </w:tcPr>
          <w:p w14:paraId="0D7C4B59" w14:textId="77777777" w:rsidR="003239B8" w:rsidRPr="00B3745F" w:rsidRDefault="003239B8" w:rsidP="008C0762">
            <w:pPr>
              <w:jc w:val="center"/>
              <w:rPr>
                <w:rFonts w:ascii="Cambria" w:hAnsi="Cambria"/>
                <w:b/>
                <w:bCs/>
                <w:color w:val="FFFFFF" w:themeColor="background1"/>
                <w:sz w:val="20"/>
                <w:szCs w:val="20"/>
              </w:rPr>
            </w:pPr>
            <w:r>
              <w:rPr>
                <w:rFonts w:ascii="Cambria" w:hAnsi="Cambria"/>
                <w:b/>
                <w:color w:val="FFFFFF" w:themeColor="background1"/>
                <w:sz w:val="20"/>
              </w:rPr>
              <w:t>Competence</w:t>
            </w:r>
            <w:r>
              <w:rPr>
                <w:rFonts w:ascii="Cambria" w:hAnsi="Cambria"/>
                <w:b/>
                <w:i/>
                <w:color w:val="FFFFFF" w:themeColor="background1"/>
                <w:sz w:val="20"/>
              </w:rPr>
              <w:t xml:space="preserve"> </w:t>
            </w:r>
            <w:proofErr w:type="spellStart"/>
            <w:r>
              <w:rPr>
                <w:rFonts w:ascii="Cambria" w:hAnsi="Cambria"/>
                <w:b/>
                <w:i/>
                <w:color w:val="FFFFFF" w:themeColor="background1"/>
                <w:sz w:val="20"/>
              </w:rPr>
              <w:t>Ratione</w:t>
            </w:r>
            <w:proofErr w:type="spellEnd"/>
            <w:r>
              <w:rPr>
                <w:rFonts w:ascii="Cambria" w:hAnsi="Cambria"/>
                <w:b/>
                <w:i/>
                <w:color w:val="FFFFFF" w:themeColor="background1"/>
                <w:sz w:val="20"/>
              </w:rPr>
              <w:t xml:space="preserve"> </w:t>
            </w:r>
            <w:proofErr w:type="spellStart"/>
            <w:r>
              <w:rPr>
                <w:rFonts w:ascii="Cambria" w:hAnsi="Cambria"/>
                <w:b/>
                <w:i/>
                <w:color w:val="FFFFFF" w:themeColor="background1"/>
                <w:sz w:val="20"/>
              </w:rPr>
              <w:t>materiae</w:t>
            </w:r>
            <w:proofErr w:type="spellEnd"/>
            <w:r>
              <w:rPr>
                <w:rFonts w:ascii="Cambria" w:hAnsi="Cambria"/>
                <w:b/>
                <w:color w:val="FFFFFF" w:themeColor="background1"/>
                <w:sz w:val="20"/>
              </w:rPr>
              <w:t>:</w:t>
            </w:r>
          </w:p>
        </w:tc>
        <w:tc>
          <w:tcPr>
            <w:tcW w:w="5760" w:type="dxa"/>
            <w:vAlign w:val="center"/>
          </w:tcPr>
          <w:p w14:paraId="74634F8C" w14:textId="69F77626" w:rsidR="003239B8" w:rsidRPr="00B3745F" w:rsidRDefault="00CC77F0" w:rsidP="008C0762">
            <w:pPr>
              <w:jc w:val="both"/>
              <w:rPr>
                <w:rFonts w:ascii="Cambria" w:hAnsi="Cambria"/>
                <w:bCs/>
                <w:sz w:val="20"/>
                <w:szCs w:val="20"/>
              </w:rPr>
            </w:pPr>
            <w:r>
              <w:rPr>
                <w:sz w:val="20"/>
              </w:rPr>
              <w:t>Yes</w:t>
            </w:r>
            <w:r>
              <w:rPr>
                <w:rFonts w:ascii="Cambria" w:hAnsi="Cambria"/>
                <w:sz w:val="20"/>
              </w:rPr>
              <w:t>, American</w:t>
            </w:r>
            <w:r>
              <w:rPr>
                <w:sz w:val="20"/>
              </w:rPr>
              <w:t xml:space="preserve"> Convention </w:t>
            </w:r>
            <w:r>
              <w:rPr>
                <w:rFonts w:asciiTheme="majorHAnsi" w:hAnsiTheme="majorHAnsi"/>
                <w:sz w:val="20"/>
              </w:rPr>
              <w:t>(deposit of the instrument of ratification developed on July 31, 1973)</w:t>
            </w:r>
          </w:p>
        </w:tc>
      </w:tr>
    </w:tbl>
    <w:p w14:paraId="26BBC490" w14:textId="5751FC5F" w:rsidR="003239B8" w:rsidRPr="003239B8"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w:t>
      </w:r>
      <w:r>
        <w:rPr>
          <w:rFonts w:asciiTheme="majorHAnsi" w:hAnsiTheme="majorHAnsi"/>
          <w:b/>
          <w:color w:val="FFFFFF" w:themeColor="background1"/>
          <w:sz w:val="20"/>
        </w:rPr>
        <w:t xml:space="preserve"> </w:t>
      </w:r>
      <w:r>
        <w:rPr>
          <w:rFonts w:asciiTheme="majorHAnsi" w:hAnsiTheme="majorHAnsi"/>
          <w:b/>
          <w:sz w:val="20"/>
        </w:rPr>
        <w:t xml:space="preserve">OF PROCEDURES AND INTERNATIONAL </w:t>
      </w:r>
      <w:r>
        <w:rPr>
          <w:rFonts w:asciiTheme="majorHAnsi" w:hAnsiTheme="majorHAnsi"/>
          <w:b/>
          <w:i/>
          <w:iCs/>
          <w:sz w:val="20"/>
        </w:rPr>
        <w:t xml:space="preserve">RES </w:t>
      </w:r>
      <w:proofErr w:type="gramStart"/>
      <w:r>
        <w:rPr>
          <w:rFonts w:asciiTheme="majorHAnsi" w:hAnsiTheme="majorHAnsi"/>
          <w:b/>
          <w:i/>
          <w:iCs/>
          <w:sz w:val="20"/>
        </w:rPr>
        <w:t>JUDICATA</w:t>
      </w:r>
      <w:r>
        <w:rPr>
          <w:rFonts w:asciiTheme="majorHAnsi" w:hAnsiTheme="majorHAnsi"/>
          <w:b/>
          <w:i/>
          <w:sz w:val="20"/>
        </w:rPr>
        <w:t xml:space="preserve"> </w:t>
      </w:r>
      <w:r>
        <w:rPr>
          <w:rFonts w:asciiTheme="majorHAnsi" w:hAnsiTheme="majorHAnsi"/>
          <w:b/>
          <w:sz w:val="20"/>
        </w:rPr>
        <w:t>,</w:t>
      </w:r>
      <w:proofErr w:type="gramEnd"/>
      <w:r>
        <w:rPr>
          <w:rFonts w:asciiTheme="majorHAnsi" w:hAnsiTheme="majorHAnsi"/>
          <w:b/>
          <w:sz w:val="20"/>
        </w:rPr>
        <w:t xml:space="preserve">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E00E9" w:rsidRPr="00DD05DB" w14:paraId="0663E63A" w14:textId="77777777" w:rsidTr="002A1698">
        <w:trPr>
          <w:cantSplit/>
        </w:trPr>
        <w:tc>
          <w:tcPr>
            <w:tcW w:w="3600" w:type="dxa"/>
            <w:tcBorders>
              <w:top w:val="single" w:sz="4" w:space="0" w:color="auto"/>
              <w:bottom w:val="single" w:sz="6" w:space="0" w:color="auto"/>
            </w:tcBorders>
            <w:shd w:val="clear" w:color="auto" w:fill="67AE3C"/>
            <w:vAlign w:val="center"/>
          </w:tcPr>
          <w:p w14:paraId="0C7091E5" w14:textId="77777777" w:rsidR="00EE00E9" w:rsidRPr="00DC24E3" w:rsidRDefault="00EE00E9" w:rsidP="008C0762">
            <w:pPr>
              <w:jc w:val="center"/>
              <w:rPr>
                <w:rFonts w:ascii="Cambria" w:hAnsi="Cambria"/>
                <w:b/>
                <w:bCs/>
                <w:color w:val="FFFFFF" w:themeColor="background1"/>
                <w:sz w:val="20"/>
                <w:szCs w:val="20"/>
              </w:rPr>
            </w:pPr>
            <w:r>
              <w:rPr>
                <w:rFonts w:ascii="Cambria" w:hAnsi="Cambria"/>
                <w:b/>
                <w:color w:val="FFFFFF" w:themeColor="background1"/>
                <w:sz w:val="20"/>
              </w:rPr>
              <w:t xml:space="preserve">Duplication of procedures and international </w:t>
            </w:r>
            <w:r>
              <w:rPr>
                <w:rFonts w:ascii="Cambria" w:hAnsi="Cambria"/>
                <w:b/>
                <w:i/>
                <w:iCs/>
                <w:color w:val="FFFFFF" w:themeColor="background1"/>
                <w:sz w:val="20"/>
              </w:rPr>
              <w:t>res judicata</w:t>
            </w:r>
            <w:r>
              <w:rPr>
                <w:rFonts w:ascii="Cambria" w:hAnsi="Cambria"/>
                <w:b/>
                <w:color w:val="FFFFFF" w:themeColor="background1"/>
                <w:sz w:val="20"/>
              </w:rPr>
              <w:t>:</w:t>
            </w:r>
          </w:p>
        </w:tc>
        <w:tc>
          <w:tcPr>
            <w:tcW w:w="5760" w:type="dxa"/>
            <w:vAlign w:val="center"/>
          </w:tcPr>
          <w:p w14:paraId="5599BFE7" w14:textId="418A77AE" w:rsidR="00EE00E9" w:rsidRPr="00DC24E3" w:rsidRDefault="00937C48" w:rsidP="008C0762">
            <w:pPr>
              <w:jc w:val="both"/>
              <w:rPr>
                <w:rFonts w:ascii="Cambria" w:hAnsi="Cambria"/>
                <w:bCs/>
                <w:sz w:val="20"/>
                <w:szCs w:val="20"/>
              </w:rPr>
            </w:pPr>
            <w:r>
              <w:rPr>
                <w:rFonts w:ascii="Cambria" w:hAnsi="Cambria"/>
                <w:sz w:val="20"/>
              </w:rPr>
              <w:t>No</w:t>
            </w:r>
          </w:p>
        </w:tc>
      </w:tr>
      <w:tr w:rsidR="003239B8" w:rsidRPr="00E004B8" w14:paraId="578A0069" w14:textId="77777777" w:rsidTr="002A1698">
        <w:trPr>
          <w:cantSplit/>
        </w:trPr>
        <w:tc>
          <w:tcPr>
            <w:tcW w:w="3600" w:type="dxa"/>
            <w:tcBorders>
              <w:top w:val="single" w:sz="6" w:space="0" w:color="auto"/>
              <w:bottom w:val="single" w:sz="6" w:space="0" w:color="auto"/>
            </w:tcBorders>
            <w:shd w:val="clear" w:color="auto" w:fill="67AE3C"/>
            <w:vAlign w:val="center"/>
          </w:tcPr>
          <w:p w14:paraId="4183E25D" w14:textId="77777777" w:rsidR="003239B8" w:rsidRPr="00DC24E3" w:rsidRDefault="003239B8" w:rsidP="008C0762">
            <w:pPr>
              <w:jc w:val="center"/>
              <w:rPr>
                <w:rFonts w:ascii="Cambria" w:hAnsi="Cambria"/>
                <w:b/>
                <w:bCs/>
                <w:i/>
                <w:color w:val="FFFFFF" w:themeColor="background1"/>
                <w:sz w:val="20"/>
                <w:szCs w:val="20"/>
              </w:rPr>
            </w:pPr>
            <w:r>
              <w:rPr>
                <w:rFonts w:ascii="Cambria" w:hAnsi="Cambria"/>
                <w:b/>
                <w:color w:val="FFFFFF" w:themeColor="background1"/>
                <w:sz w:val="20"/>
              </w:rPr>
              <w:lastRenderedPageBreak/>
              <w:t>Rights declared admissible</w:t>
            </w:r>
            <w:r>
              <w:rPr>
                <w:rFonts w:ascii="Cambria" w:hAnsi="Cambria"/>
                <w:b/>
                <w:i/>
                <w:color w:val="FFFFFF" w:themeColor="background1"/>
                <w:sz w:val="20"/>
              </w:rPr>
              <w:t>:</w:t>
            </w:r>
          </w:p>
        </w:tc>
        <w:tc>
          <w:tcPr>
            <w:tcW w:w="5760" w:type="dxa"/>
            <w:vAlign w:val="center"/>
          </w:tcPr>
          <w:p w14:paraId="7B8FD276" w14:textId="62FE8E7D" w:rsidR="003239B8" w:rsidRPr="00937C48" w:rsidRDefault="00937C48" w:rsidP="008C0762">
            <w:pPr>
              <w:jc w:val="both"/>
              <w:rPr>
                <w:rFonts w:ascii="Cambria" w:hAnsi="Cambria"/>
                <w:bCs/>
                <w:sz w:val="20"/>
                <w:szCs w:val="20"/>
              </w:rPr>
            </w:pPr>
            <w:r>
              <w:rPr>
                <w:rFonts w:ascii="Cambria" w:hAnsi="Cambria"/>
                <w:sz w:val="20"/>
              </w:rPr>
              <w:t>Articles 3 (juridical personality), 4 (life), 5 (personal integrity), 7 (personal liberty), 8 (right to a fair trial), 11 (protection of honor and dignity), 19 (rights of the child), 22 (movement and residence) and 25 (judicial protection) of the American Convention on Human Rights, in relation to Article 1.1 (obligation to respect rights) thereof</w:t>
            </w:r>
          </w:p>
        </w:tc>
      </w:tr>
      <w:tr w:rsidR="003239B8" w:rsidRPr="00E004B8" w14:paraId="29C846B7" w14:textId="77777777" w:rsidTr="002A1698">
        <w:trPr>
          <w:cantSplit/>
        </w:trPr>
        <w:tc>
          <w:tcPr>
            <w:tcW w:w="3600" w:type="dxa"/>
            <w:tcBorders>
              <w:top w:val="single" w:sz="6" w:space="0" w:color="auto"/>
              <w:bottom w:val="single" w:sz="6" w:space="0" w:color="auto"/>
            </w:tcBorders>
            <w:shd w:val="clear" w:color="auto" w:fill="67AE3C"/>
            <w:vAlign w:val="center"/>
          </w:tcPr>
          <w:p w14:paraId="643EAC9C" w14:textId="77777777" w:rsidR="003239B8" w:rsidRPr="00DC24E3" w:rsidRDefault="003239B8" w:rsidP="008C0762">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60" w:type="dxa"/>
            <w:vAlign w:val="center"/>
          </w:tcPr>
          <w:p w14:paraId="5370CF29" w14:textId="467A319A" w:rsidR="003239B8" w:rsidRPr="00A44708" w:rsidRDefault="00A44708" w:rsidP="008C0762">
            <w:pPr>
              <w:rPr>
                <w:rFonts w:asciiTheme="majorHAnsi" w:hAnsiTheme="majorHAnsi"/>
                <w:bCs/>
                <w:sz w:val="20"/>
                <w:szCs w:val="20"/>
              </w:rPr>
            </w:pPr>
            <w:r>
              <w:rPr>
                <w:rFonts w:asciiTheme="majorHAnsi" w:hAnsiTheme="majorHAnsi"/>
                <w:sz w:val="20"/>
              </w:rPr>
              <w:t xml:space="preserve">Yes, the exception in Article 46.2(c) of the Convention applies </w:t>
            </w:r>
          </w:p>
        </w:tc>
      </w:tr>
      <w:tr w:rsidR="003239B8" w:rsidRPr="00E004B8" w14:paraId="775CCD0C" w14:textId="77777777" w:rsidTr="002A1698">
        <w:trPr>
          <w:cantSplit/>
        </w:trPr>
        <w:tc>
          <w:tcPr>
            <w:tcW w:w="3600" w:type="dxa"/>
            <w:tcBorders>
              <w:top w:val="single" w:sz="6" w:space="0" w:color="auto"/>
              <w:bottom w:val="single" w:sz="6" w:space="0" w:color="auto"/>
            </w:tcBorders>
            <w:shd w:val="clear" w:color="auto" w:fill="67AE3C"/>
            <w:vAlign w:val="center"/>
          </w:tcPr>
          <w:p w14:paraId="034DA6C3" w14:textId="77777777" w:rsidR="003239B8" w:rsidRPr="00DC24E3" w:rsidRDefault="003239B8" w:rsidP="008C0762">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60" w:type="dxa"/>
            <w:vAlign w:val="center"/>
          </w:tcPr>
          <w:p w14:paraId="550336DE" w14:textId="5564231E" w:rsidR="003239B8" w:rsidRPr="00FB668A" w:rsidRDefault="00FB668A" w:rsidP="008C0762">
            <w:pPr>
              <w:rPr>
                <w:rFonts w:ascii="Cambria" w:hAnsi="Cambria"/>
                <w:bCs/>
                <w:sz w:val="20"/>
                <w:szCs w:val="20"/>
              </w:rPr>
            </w:pPr>
            <w:r>
              <w:rPr>
                <w:rFonts w:ascii="Cambria" w:hAnsi="Cambria"/>
                <w:sz w:val="20"/>
              </w:rPr>
              <w:t>Yes, under the terms of Section VI</w:t>
            </w:r>
          </w:p>
        </w:tc>
      </w:tr>
    </w:tbl>
    <w:p w14:paraId="622ADC0D" w14:textId="7F81C606" w:rsidR="00021B68" w:rsidRPr="00021B68" w:rsidRDefault="00223A29" w:rsidP="00021B68">
      <w:pPr>
        <w:spacing w:before="240" w:after="240"/>
        <w:ind w:firstLine="720"/>
        <w:jc w:val="both"/>
        <w:rPr>
          <w:rFonts w:asciiTheme="majorHAnsi" w:hAnsiTheme="majorHAnsi"/>
          <w:b/>
          <w:sz w:val="20"/>
          <w:szCs w:val="20"/>
        </w:rPr>
      </w:pPr>
      <w:r>
        <w:rPr>
          <w:rFonts w:asciiTheme="majorHAnsi" w:hAnsiTheme="majorHAnsi"/>
          <w:b/>
          <w:sz w:val="20"/>
        </w:rPr>
        <w:t>V.</w:t>
      </w:r>
      <w:r>
        <w:rPr>
          <w:rFonts w:asciiTheme="majorHAnsi" w:hAnsiTheme="majorHAnsi"/>
          <w:b/>
          <w:sz w:val="20"/>
        </w:rPr>
        <w:tab/>
        <w:t xml:space="preserve"> FACTS ALLEGED </w:t>
      </w:r>
    </w:p>
    <w:p w14:paraId="4B52E328" w14:textId="040DA8D7" w:rsidR="00D843F3" w:rsidRDefault="00D843F3" w:rsidP="003239B8">
      <w:pPr>
        <w:spacing w:before="240" w:after="240"/>
        <w:ind w:firstLine="720"/>
        <w:jc w:val="both"/>
        <w:rPr>
          <w:rFonts w:asciiTheme="majorHAnsi" w:hAnsiTheme="majorHAnsi"/>
          <w:bCs/>
          <w:sz w:val="20"/>
          <w:szCs w:val="20"/>
          <w:u w:val="single"/>
        </w:rPr>
      </w:pPr>
      <w:r>
        <w:rPr>
          <w:rFonts w:asciiTheme="majorHAnsi" w:hAnsiTheme="majorHAnsi"/>
          <w:sz w:val="20"/>
          <w:u w:val="single"/>
        </w:rPr>
        <w:t>Previous considerations</w:t>
      </w:r>
    </w:p>
    <w:p w14:paraId="72DC446D" w14:textId="715FA667" w:rsidR="00AA3103" w:rsidRDefault="003C01AC" w:rsidP="00C55843">
      <w:pPr>
        <w:spacing w:before="240" w:after="240"/>
        <w:ind w:firstLine="720"/>
        <w:jc w:val="both"/>
        <w:rPr>
          <w:rFonts w:asciiTheme="majorHAnsi" w:hAnsiTheme="majorHAnsi"/>
          <w:bCs/>
          <w:sz w:val="20"/>
          <w:szCs w:val="20"/>
        </w:rPr>
      </w:pPr>
      <w:r>
        <w:rPr>
          <w:rFonts w:asciiTheme="majorHAnsi" w:hAnsiTheme="majorHAnsi"/>
          <w:sz w:val="20"/>
        </w:rPr>
        <w:t>1.</w:t>
      </w:r>
      <w:r>
        <w:rPr>
          <w:rFonts w:asciiTheme="majorHAnsi" w:hAnsiTheme="majorHAnsi"/>
          <w:sz w:val="20"/>
        </w:rPr>
        <w:tab/>
        <w:t xml:space="preserve">The two petitions considered in this report were submitted by the same petitioners: the </w:t>
      </w:r>
      <w:proofErr w:type="spellStart"/>
      <w:r>
        <w:rPr>
          <w:rFonts w:asciiTheme="majorHAnsi" w:hAnsiTheme="majorHAnsi"/>
          <w:sz w:val="20"/>
        </w:rPr>
        <w:t>Asociación</w:t>
      </w:r>
      <w:proofErr w:type="spellEnd"/>
      <w:r>
        <w:rPr>
          <w:rFonts w:asciiTheme="majorHAnsi" w:hAnsiTheme="majorHAnsi"/>
          <w:sz w:val="20"/>
        </w:rPr>
        <w:t xml:space="preserve"> Cabildos </w:t>
      </w:r>
      <w:proofErr w:type="spellStart"/>
      <w:r>
        <w:rPr>
          <w:rFonts w:asciiTheme="majorHAnsi" w:hAnsiTheme="majorHAnsi"/>
          <w:sz w:val="20"/>
        </w:rPr>
        <w:t>Indígenas</w:t>
      </w:r>
      <w:proofErr w:type="spellEnd"/>
      <w:r>
        <w:rPr>
          <w:rFonts w:asciiTheme="majorHAnsi" w:hAnsiTheme="majorHAnsi"/>
          <w:sz w:val="20"/>
        </w:rPr>
        <w:t xml:space="preserve"> Norte del Cauca (ACIN) and the </w:t>
      </w:r>
      <w:proofErr w:type="spellStart"/>
      <w:r>
        <w:rPr>
          <w:rFonts w:asciiTheme="majorHAnsi" w:hAnsiTheme="majorHAnsi"/>
          <w:sz w:val="20"/>
        </w:rPr>
        <w:t>Corporación</w:t>
      </w:r>
      <w:proofErr w:type="spellEnd"/>
      <w:r>
        <w:rPr>
          <w:rFonts w:asciiTheme="majorHAnsi" w:hAnsiTheme="majorHAnsi"/>
          <w:sz w:val="20"/>
        </w:rPr>
        <w:t xml:space="preserve"> para </w:t>
      </w:r>
      <w:proofErr w:type="spellStart"/>
      <w:r>
        <w:rPr>
          <w:rFonts w:asciiTheme="majorHAnsi" w:hAnsiTheme="majorHAnsi"/>
          <w:sz w:val="20"/>
        </w:rPr>
        <w:t>el</w:t>
      </w:r>
      <w:proofErr w:type="spellEnd"/>
      <w:r>
        <w:rPr>
          <w:rFonts w:asciiTheme="majorHAnsi" w:hAnsiTheme="majorHAnsi"/>
          <w:sz w:val="20"/>
        </w:rPr>
        <w:t xml:space="preserve"> </w:t>
      </w:r>
      <w:proofErr w:type="spellStart"/>
      <w:r>
        <w:rPr>
          <w:rFonts w:asciiTheme="majorHAnsi" w:hAnsiTheme="majorHAnsi"/>
          <w:sz w:val="20"/>
        </w:rPr>
        <w:t>Manejo</w:t>
      </w:r>
      <w:proofErr w:type="spellEnd"/>
      <w:r>
        <w:rPr>
          <w:rFonts w:asciiTheme="majorHAnsi" w:hAnsiTheme="majorHAnsi"/>
          <w:sz w:val="20"/>
        </w:rPr>
        <w:t xml:space="preserve"> de </w:t>
      </w:r>
      <w:proofErr w:type="spellStart"/>
      <w:r>
        <w:rPr>
          <w:rFonts w:asciiTheme="majorHAnsi" w:hAnsiTheme="majorHAnsi"/>
          <w:sz w:val="20"/>
        </w:rPr>
        <w:t>Conflictos</w:t>
      </w:r>
      <w:proofErr w:type="spellEnd"/>
      <w:r>
        <w:rPr>
          <w:rFonts w:asciiTheme="majorHAnsi" w:hAnsiTheme="majorHAnsi"/>
          <w:sz w:val="20"/>
        </w:rPr>
        <w:t xml:space="preserve"> Norte del Cauca (COMAC). The petitioners allege that the State of Colombia is responsible for the disappearance and murder of twenty-eight members of the Nasa indigenous people (including a girl), peasants from the area and two girls who were injured by illegal groups. </w:t>
      </w:r>
      <w:proofErr w:type="gramStart"/>
      <w:r>
        <w:rPr>
          <w:rFonts w:asciiTheme="majorHAnsi" w:hAnsiTheme="majorHAnsi"/>
          <w:sz w:val="20"/>
        </w:rPr>
        <w:t>On the basis of</w:t>
      </w:r>
      <w:proofErr w:type="gramEnd"/>
      <w:r>
        <w:rPr>
          <w:rFonts w:asciiTheme="majorHAnsi" w:hAnsiTheme="majorHAnsi"/>
          <w:sz w:val="20"/>
        </w:rPr>
        <w:t xml:space="preserve"> these and similar facts, the IACHR decides to accumulate petitions in this report in accordance with Article 29.5 of its Rules of Procedure. </w:t>
      </w:r>
    </w:p>
    <w:p w14:paraId="59D6CBD9" w14:textId="7662A130" w:rsidR="00D3517C" w:rsidRDefault="003C01AC" w:rsidP="009A69E7">
      <w:pPr>
        <w:spacing w:before="240" w:after="240"/>
        <w:ind w:firstLine="720"/>
        <w:jc w:val="both"/>
        <w:rPr>
          <w:rFonts w:asciiTheme="majorHAnsi" w:hAnsiTheme="majorHAnsi"/>
          <w:bCs/>
          <w:sz w:val="20"/>
          <w:szCs w:val="20"/>
        </w:rPr>
      </w:pPr>
      <w:r>
        <w:rPr>
          <w:rFonts w:asciiTheme="majorHAnsi" w:hAnsiTheme="majorHAnsi"/>
          <w:sz w:val="20"/>
        </w:rPr>
        <w:t>2.</w:t>
      </w:r>
      <w:r>
        <w:rPr>
          <w:rFonts w:asciiTheme="majorHAnsi" w:hAnsiTheme="majorHAnsi"/>
          <w:sz w:val="20"/>
        </w:rPr>
        <w:tab/>
        <w:t xml:space="preserve">The petitioners note that from 1999 to 2004, members of the </w:t>
      </w:r>
      <w:proofErr w:type="spellStart"/>
      <w:r>
        <w:rPr>
          <w:rFonts w:asciiTheme="majorHAnsi" w:hAnsiTheme="majorHAnsi"/>
          <w:sz w:val="20"/>
        </w:rPr>
        <w:t>Calima</w:t>
      </w:r>
      <w:proofErr w:type="spellEnd"/>
      <w:r>
        <w:rPr>
          <w:rFonts w:asciiTheme="majorHAnsi" w:hAnsiTheme="majorHAnsi"/>
          <w:sz w:val="20"/>
        </w:rPr>
        <w:t xml:space="preserve"> block of the United Self-Defense Forces of Colombia (AUC) were present in the municipalities in the north of Cauca and the south of the department of Valle and</w:t>
      </w:r>
      <w:r w:rsidR="00AF6799">
        <w:rPr>
          <w:rFonts w:asciiTheme="majorHAnsi" w:hAnsiTheme="majorHAnsi"/>
          <w:sz w:val="20"/>
        </w:rPr>
        <w:t xml:space="preserve"> committed</w:t>
      </w:r>
      <w:r>
        <w:rPr>
          <w:rFonts w:asciiTheme="majorHAnsi" w:hAnsiTheme="majorHAnsi"/>
          <w:sz w:val="20"/>
        </w:rPr>
        <w:t xml:space="preserve"> </w:t>
      </w:r>
      <w:r w:rsidR="00AF6799">
        <w:rPr>
          <w:rFonts w:asciiTheme="majorHAnsi" w:hAnsiTheme="majorHAnsi"/>
          <w:sz w:val="20"/>
        </w:rPr>
        <w:t xml:space="preserve">violations of </w:t>
      </w:r>
      <w:r>
        <w:rPr>
          <w:rFonts w:asciiTheme="majorHAnsi" w:hAnsiTheme="majorHAnsi"/>
          <w:sz w:val="20"/>
        </w:rPr>
        <w:t xml:space="preserve">human rights and international humanitarian law </w:t>
      </w:r>
      <w:r w:rsidR="00AF6799">
        <w:rPr>
          <w:rFonts w:asciiTheme="majorHAnsi" w:hAnsiTheme="majorHAnsi"/>
          <w:sz w:val="20"/>
        </w:rPr>
        <w:t>to the detriment of the</w:t>
      </w:r>
      <w:r>
        <w:rPr>
          <w:rFonts w:asciiTheme="majorHAnsi" w:hAnsiTheme="majorHAnsi"/>
          <w:sz w:val="20"/>
        </w:rPr>
        <w:t xml:space="preserve"> Nasa indigenous people. Among those violations, the most common was forced disappearance. The facts of the instant petitions reportedly occurred in the northern part of the department of Cauca, where the ACIN is located. Said association acts as a territorial entity in the departments, districts, </w:t>
      </w:r>
      <w:proofErr w:type="gramStart"/>
      <w:r>
        <w:rPr>
          <w:rFonts w:asciiTheme="majorHAnsi" w:hAnsiTheme="majorHAnsi"/>
          <w:sz w:val="20"/>
        </w:rPr>
        <w:t>municipalities</w:t>
      </w:r>
      <w:proofErr w:type="gramEnd"/>
      <w:r>
        <w:rPr>
          <w:rFonts w:asciiTheme="majorHAnsi" w:hAnsiTheme="majorHAnsi"/>
          <w:sz w:val="20"/>
        </w:rPr>
        <w:t xml:space="preserve"> and indigenous territories of the area and brings together seven </w:t>
      </w:r>
      <w:r>
        <w:rPr>
          <w:rFonts w:asciiTheme="majorHAnsi" w:hAnsiTheme="majorHAnsi"/>
          <w:i/>
          <w:iCs/>
          <w:sz w:val="20"/>
        </w:rPr>
        <w:t>cabildos</w:t>
      </w:r>
      <w:r>
        <w:rPr>
          <w:rFonts w:asciiTheme="majorHAnsi" w:hAnsiTheme="majorHAnsi"/>
          <w:sz w:val="20"/>
        </w:rPr>
        <w:t xml:space="preserve"> (municipal councils) in the area.</w:t>
      </w:r>
    </w:p>
    <w:p w14:paraId="4095DB44" w14:textId="35C88359" w:rsidR="00D843F3" w:rsidRDefault="00D843F3" w:rsidP="003239B8">
      <w:pPr>
        <w:spacing w:before="240" w:after="240"/>
        <w:ind w:firstLine="720"/>
        <w:jc w:val="both"/>
        <w:rPr>
          <w:rFonts w:asciiTheme="majorHAnsi" w:hAnsiTheme="majorHAnsi"/>
          <w:bCs/>
          <w:sz w:val="20"/>
          <w:szCs w:val="20"/>
          <w:u w:val="single"/>
        </w:rPr>
      </w:pPr>
      <w:r>
        <w:rPr>
          <w:rFonts w:asciiTheme="majorHAnsi" w:hAnsiTheme="majorHAnsi"/>
          <w:sz w:val="20"/>
          <w:u w:val="single"/>
        </w:rPr>
        <w:t>Specific allegations</w:t>
      </w:r>
    </w:p>
    <w:p w14:paraId="5464511B" w14:textId="77777777" w:rsidR="00951A30" w:rsidRDefault="00951A30" w:rsidP="00951A30">
      <w:pPr>
        <w:spacing w:before="240" w:after="240"/>
        <w:ind w:firstLine="720"/>
        <w:jc w:val="both"/>
        <w:rPr>
          <w:rFonts w:asciiTheme="majorHAnsi" w:hAnsiTheme="majorHAnsi"/>
          <w:bCs/>
          <w:i/>
          <w:iCs/>
          <w:sz w:val="20"/>
          <w:szCs w:val="20"/>
        </w:rPr>
      </w:pPr>
      <w:proofErr w:type="spellStart"/>
      <w:r>
        <w:rPr>
          <w:rFonts w:asciiTheme="majorHAnsi" w:hAnsiTheme="majorHAnsi"/>
          <w:i/>
          <w:sz w:val="20"/>
        </w:rPr>
        <w:t>Adelmo</w:t>
      </w:r>
      <w:proofErr w:type="spellEnd"/>
      <w:r>
        <w:rPr>
          <w:rFonts w:asciiTheme="majorHAnsi" w:hAnsiTheme="majorHAnsi"/>
          <w:i/>
          <w:sz w:val="20"/>
        </w:rPr>
        <w:t xml:space="preserve"> </w:t>
      </w:r>
      <w:proofErr w:type="spellStart"/>
      <w:r>
        <w:rPr>
          <w:rFonts w:asciiTheme="majorHAnsi" w:hAnsiTheme="majorHAnsi"/>
          <w:i/>
          <w:sz w:val="20"/>
        </w:rPr>
        <w:t>Vitonas</w:t>
      </w:r>
      <w:proofErr w:type="spellEnd"/>
      <w:r>
        <w:rPr>
          <w:rFonts w:asciiTheme="majorHAnsi" w:hAnsiTheme="majorHAnsi"/>
          <w:i/>
          <w:sz w:val="20"/>
        </w:rPr>
        <w:t xml:space="preserve"> </w:t>
      </w:r>
      <w:proofErr w:type="spellStart"/>
      <w:r>
        <w:rPr>
          <w:rFonts w:asciiTheme="majorHAnsi" w:hAnsiTheme="majorHAnsi"/>
          <w:i/>
          <w:sz w:val="20"/>
        </w:rPr>
        <w:t>Chilhueso</w:t>
      </w:r>
      <w:proofErr w:type="spellEnd"/>
      <w:r>
        <w:rPr>
          <w:rFonts w:asciiTheme="majorHAnsi" w:hAnsiTheme="majorHAnsi"/>
          <w:i/>
          <w:sz w:val="20"/>
        </w:rPr>
        <w:t xml:space="preserve"> </w:t>
      </w:r>
      <w:r w:rsidRPr="001515CE">
        <w:rPr>
          <w:rFonts w:asciiTheme="majorHAnsi" w:hAnsiTheme="majorHAnsi"/>
          <w:iCs/>
          <w:sz w:val="20"/>
        </w:rPr>
        <w:t>et al</w:t>
      </w:r>
      <w:r>
        <w:rPr>
          <w:rFonts w:asciiTheme="majorHAnsi" w:hAnsiTheme="majorHAnsi"/>
          <w:i/>
          <w:sz w:val="20"/>
        </w:rPr>
        <w:t>. (P- 465-14)</w:t>
      </w:r>
    </w:p>
    <w:p w14:paraId="27886A7A" w14:textId="5F99A8E0" w:rsidR="00951A30" w:rsidRDefault="003C01AC" w:rsidP="00951A30">
      <w:pPr>
        <w:spacing w:before="240" w:after="240"/>
        <w:ind w:firstLine="720"/>
        <w:jc w:val="both"/>
        <w:rPr>
          <w:rFonts w:asciiTheme="majorHAnsi" w:hAnsiTheme="majorHAnsi"/>
          <w:bCs/>
          <w:sz w:val="20"/>
          <w:szCs w:val="20"/>
        </w:rPr>
      </w:pPr>
      <w:r>
        <w:rPr>
          <w:rFonts w:asciiTheme="majorHAnsi" w:hAnsiTheme="majorHAnsi"/>
          <w:sz w:val="20"/>
        </w:rPr>
        <w:t>3.</w:t>
      </w:r>
      <w:r>
        <w:rPr>
          <w:rFonts w:asciiTheme="majorHAnsi" w:hAnsiTheme="majorHAnsi"/>
          <w:sz w:val="20"/>
        </w:rPr>
        <w:tab/>
        <w:t xml:space="preserve">The petitioners indicate that on November 18, 2001, at a site known as </w:t>
      </w:r>
      <w:proofErr w:type="spellStart"/>
      <w:r>
        <w:rPr>
          <w:rFonts w:asciiTheme="majorHAnsi" w:hAnsiTheme="majorHAnsi"/>
          <w:sz w:val="20"/>
        </w:rPr>
        <w:t>Crucero</w:t>
      </w:r>
      <w:proofErr w:type="spellEnd"/>
      <w:r>
        <w:rPr>
          <w:rFonts w:asciiTheme="majorHAnsi" w:hAnsiTheme="majorHAnsi"/>
          <w:sz w:val="20"/>
        </w:rPr>
        <w:t xml:space="preserve"> de </w:t>
      </w:r>
      <w:proofErr w:type="spellStart"/>
      <w:r>
        <w:rPr>
          <w:rFonts w:asciiTheme="majorHAnsi" w:hAnsiTheme="majorHAnsi"/>
          <w:sz w:val="20"/>
        </w:rPr>
        <w:t>Gualanday</w:t>
      </w:r>
      <w:proofErr w:type="spellEnd"/>
      <w:r>
        <w:rPr>
          <w:rFonts w:asciiTheme="majorHAnsi" w:hAnsiTheme="majorHAnsi"/>
          <w:sz w:val="20"/>
        </w:rPr>
        <w:t xml:space="preserve">, in the municipality of </w:t>
      </w:r>
      <w:proofErr w:type="spellStart"/>
      <w:r>
        <w:rPr>
          <w:rFonts w:asciiTheme="majorHAnsi" w:hAnsiTheme="majorHAnsi"/>
          <w:sz w:val="20"/>
        </w:rPr>
        <w:t>Corinto</w:t>
      </w:r>
      <w:proofErr w:type="spellEnd"/>
      <w:r>
        <w:rPr>
          <w:rFonts w:asciiTheme="majorHAnsi" w:hAnsiTheme="majorHAnsi"/>
          <w:sz w:val="20"/>
        </w:rPr>
        <w:t xml:space="preserve">, members of the </w:t>
      </w:r>
      <w:proofErr w:type="spellStart"/>
      <w:r>
        <w:rPr>
          <w:rFonts w:asciiTheme="majorHAnsi" w:hAnsiTheme="majorHAnsi"/>
          <w:sz w:val="20"/>
        </w:rPr>
        <w:t>Calima</w:t>
      </w:r>
      <w:proofErr w:type="spellEnd"/>
      <w:r>
        <w:rPr>
          <w:rFonts w:asciiTheme="majorHAnsi" w:hAnsiTheme="majorHAnsi"/>
          <w:sz w:val="20"/>
        </w:rPr>
        <w:t xml:space="preserve"> block of the AUC intercepted a transport vehicle that connected municipalities and villages, which is known as </w:t>
      </w:r>
      <w:proofErr w:type="spellStart"/>
      <w:r>
        <w:rPr>
          <w:rFonts w:asciiTheme="majorHAnsi" w:hAnsiTheme="majorHAnsi"/>
          <w:i/>
          <w:iCs/>
          <w:sz w:val="20"/>
        </w:rPr>
        <w:t>chiva</w:t>
      </w:r>
      <w:proofErr w:type="spellEnd"/>
      <w:r>
        <w:rPr>
          <w:rFonts w:asciiTheme="majorHAnsi" w:hAnsiTheme="majorHAnsi"/>
          <w:sz w:val="20"/>
        </w:rPr>
        <w:t xml:space="preserve"> or </w:t>
      </w:r>
      <w:r>
        <w:rPr>
          <w:rFonts w:asciiTheme="majorHAnsi" w:hAnsiTheme="majorHAnsi"/>
          <w:i/>
          <w:iCs/>
          <w:sz w:val="20"/>
        </w:rPr>
        <w:t xml:space="preserve">bus </w:t>
      </w:r>
      <w:proofErr w:type="spellStart"/>
      <w:r>
        <w:rPr>
          <w:rFonts w:asciiTheme="majorHAnsi" w:hAnsiTheme="majorHAnsi"/>
          <w:i/>
          <w:iCs/>
          <w:sz w:val="20"/>
        </w:rPr>
        <w:t>escalera</w:t>
      </w:r>
      <w:proofErr w:type="spellEnd"/>
      <w:r>
        <w:rPr>
          <w:rFonts w:asciiTheme="majorHAnsi" w:hAnsiTheme="majorHAnsi"/>
          <w:sz w:val="20"/>
        </w:rPr>
        <w:t xml:space="preserve">. The members of the illegal group reportedly killed nine people who were traveling in the vehicle, including a fourteen-year-old girl, and four people who subsequently arrived at the scene. Also, two girls who were forced to watch the killings </w:t>
      </w:r>
      <w:r w:rsidR="00AF6799">
        <w:rPr>
          <w:rFonts w:asciiTheme="majorHAnsi" w:hAnsiTheme="majorHAnsi"/>
          <w:sz w:val="20"/>
        </w:rPr>
        <w:t xml:space="preserve">suffered </w:t>
      </w:r>
      <w:r>
        <w:rPr>
          <w:rFonts w:asciiTheme="majorHAnsi" w:hAnsiTheme="majorHAnsi"/>
          <w:sz w:val="20"/>
        </w:rPr>
        <w:t xml:space="preserve">post-traumatic </w:t>
      </w:r>
      <w:r w:rsidR="00AF6799">
        <w:rPr>
          <w:rFonts w:asciiTheme="majorHAnsi" w:hAnsiTheme="majorHAnsi"/>
          <w:sz w:val="20"/>
        </w:rPr>
        <w:t>injuries</w:t>
      </w:r>
      <w:r>
        <w:rPr>
          <w:rFonts w:asciiTheme="majorHAnsi" w:hAnsiTheme="majorHAnsi"/>
          <w:sz w:val="20"/>
        </w:rPr>
        <w:t xml:space="preserve">, especially Yenny </w:t>
      </w:r>
      <w:proofErr w:type="spellStart"/>
      <w:r>
        <w:rPr>
          <w:rFonts w:asciiTheme="majorHAnsi" w:hAnsiTheme="majorHAnsi"/>
          <w:sz w:val="20"/>
        </w:rPr>
        <w:t>Rocío</w:t>
      </w:r>
      <w:proofErr w:type="spellEnd"/>
      <w:r>
        <w:rPr>
          <w:rFonts w:asciiTheme="majorHAnsi" w:hAnsiTheme="majorHAnsi"/>
          <w:sz w:val="20"/>
        </w:rPr>
        <w:t xml:space="preserve"> López </w:t>
      </w:r>
      <w:proofErr w:type="spellStart"/>
      <w:r>
        <w:rPr>
          <w:rFonts w:asciiTheme="majorHAnsi" w:hAnsiTheme="majorHAnsi"/>
          <w:sz w:val="20"/>
        </w:rPr>
        <w:t>Ulcue</w:t>
      </w:r>
      <w:proofErr w:type="spellEnd"/>
      <w:r>
        <w:rPr>
          <w:rFonts w:asciiTheme="majorHAnsi" w:hAnsiTheme="majorHAnsi"/>
          <w:sz w:val="20"/>
        </w:rPr>
        <w:t xml:space="preserve">, a girl who gradually lost her speech and part of her cognitive capacity. They emphasize that it was an attack on the Nasa indigenous community and the peasants from the municipality of </w:t>
      </w:r>
      <w:proofErr w:type="spellStart"/>
      <w:r>
        <w:rPr>
          <w:rFonts w:asciiTheme="majorHAnsi" w:hAnsiTheme="majorHAnsi"/>
          <w:sz w:val="20"/>
        </w:rPr>
        <w:t>Corinto</w:t>
      </w:r>
      <w:proofErr w:type="spellEnd"/>
      <w:r>
        <w:rPr>
          <w:rFonts w:asciiTheme="majorHAnsi" w:hAnsiTheme="majorHAnsi"/>
          <w:sz w:val="20"/>
        </w:rPr>
        <w:t xml:space="preserve">, and that to date there are over seventy next of kin of the victims who have not received any comprehensive reparation based on truth, justice and guarantees of non-repetition. </w:t>
      </w:r>
    </w:p>
    <w:p w14:paraId="376992DA" w14:textId="395E012F" w:rsidR="00951A30" w:rsidRDefault="003C01AC" w:rsidP="006C7683">
      <w:pPr>
        <w:spacing w:before="240" w:after="240"/>
        <w:ind w:firstLine="720"/>
        <w:jc w:val="both"/>
        <w:rPr>
          <w:rFonts w:asciiTheme="majorHAnsi" w:hAnsiTheme="majorHAnsi"/>
          <w:bCs/>
          <w:sz w:val="20"/>
          <w:szCs w:val="20"/>
        </w:rPr>
      </w:pPr>
      <w:r>
        <w:rPr>
          <w:rFonts w:asciiTheme="majorHAnsi" w:hAnsiTheme="majorHAnsi"/>
          <w:sz w:val="20"/>
        </w:rPr>
        <w:t>4.</w:t>
      </w:r>
      <w:r>
        <w:rPr>
          <w:rFonts w:asciiTheme="majorHAnsi" w:hAnsiTheme="majorHAnsi"/>
          <w:sz w:val="20"/>
        </w:rPr>
        <w:tab/>
        <w:t xml:space="preserve">The petitioners indicate that judicial proceedings were initiated in ordinary courts in criminal and administrative matters, and that a proceeding was also initiated within the framework of transitional justice. </w:t>
      </w:r>
      <w:proofErr w:type="gramStart"/>
      <w:r>
        <w:rPr>
          <w:rFonts w:asciiTheme="majorHAnsi" w:hAnsiTheme="majorHAnsi"/>
          <w:sz w:val="20"/>
        </w:rPr>
        <w:t>With regard to</w:t>
      </w:r>
      <w:proofErr w:type="gramEnd"/>
      <w:r>
        <w:rPr>
          <w:rFonts w:asciiTheme="majorHAnsi" w:hAnsiTheme="majorHAnsi"/>
          <w:sz w:val="20"/>
        </w:rPr>
        <w:t xml:space="preserve"> the criminal proceedings, they point out that the case was taken over by Public Prosecut</w:t>
      </w:r>
      <w:r w:rsidR="00710517">
        <w:rPr>
          <w:rFonts w:asciiTheme="majorHAnsi" w:hAnsiTheme="majorHAnsi"/>
          <w:sz w:val="20"/>
        </w:rPr>
        <w:t>or’s</w:t>
      </w:r>
      <w:r>
        <w:rPr>
          <w:rFonts w:asciiTheme="majorHAnsi" w:hAnsiTheme="majorHAnsi"/>
          <w:sz w:val="20"/>
        </w:rPr>
        <w:t xml:space="preserve"> Office No. 38 of the Human Rights and International Humanitarian Law Unit of the Attorney General’s Office (AG). During the first five years, the investigation reportedly took the wrong direction. In January 2006, Mr. Armando Lugo, within the framework of Law 975 of 2005, confessed to having participated in the massacre. In November 2008, he was bound over to the proceedings and, during a questioning, he confessed to the participation of paramilitary officers Jaime </w:t>
      </w:r>
      <w:proofErr w:type="spellStart"/>
      <w:r>
        <w:rPr>
          <w:rFonts w:asciiTheme="majorHAnsi" w:hAnsiTheme="majorHAnsi"/>
          <w:sz w:val="20"/>
        </w:rPr>
        <w:t>Caicedo</w:t>
      </w:r>
      <w:proofErr w:type="spellEnd"/>
      <w:r>
        <w:rPr>
          <w:rFonts w:asciiTheme="majorHAnsi" w:hAnsiTheme="majorHAnsi"/>
          <w:sz w:val="20"/>
        </w:rPr>
        <w:t xml:space="preserve"> Ramos, Carlos Fabio </w:t>
      </w:r>
      <w:proofErr w:type="spellStart"/>
      <w:r>
        <w:rPr>
          <w:rFonts w:asciiTheme="majorHAnsi" w:hAnsiTheme="majorHAnsi"/>
          <w:sz w:val="20"/>
        </w:rPr>
        <w:t>Viscunda</w:t>
      </w:r>
      <w:proofErr w:type="spellEnd"/>
      <w:r>
        <w:rPr>
          <w:rFonts w:asciiTheme="majorHAnsi" w:hAnsiTheme="majorHAnsi"/>
          <w:sz w:val="20"/>
        </w:rPr>
        <w:t xml:space="preserve">, Elkin </w:t>
      </w:r>
      <w:proofErr w:type="spellStart"/>
      <w:r>
        <w:rPr>
          <w:rFonts w:asciiTheme="majorHAnsi" w:hAnsiTheme="majorHAnsi"/>
          <w:sz w:val="20"/>
        </w:rPr>
        <w:t>Londoño</w:t>
      </w:r>
      <w:proofErr w:type="spellEnd"/>
      <w:r>
        <w:rPr>
          <w:rFonts w:asciiTheme="majorHAnsi" w:hAnsiTheme="majorHAnsi"/>
          <w:sz w:val="20"/>
        </w:rPr>
        <w:t xml:space="preserve"> </w:t>
      </w:r>
      <w:proofErr w:type="spellStart"/>
      <w:r>
        <w:rPr>
          <w:rFonts w:asciiTheme="majorHAnsi" w:hAnsiTheme="majorHAnsi"/>
          <w:sz w:val="20"/>
        </w:rPr>
        <w:t>Guisao</w:t>
      </w:r>
      <w:proofErr w:type="spellEnd"/>
      <w:r>
        <w:rPr>
          <w:rFonts w:asciiTheme="majorHAnsi" w:hAnsiTheme="majorHAnsi"/>
          <w:sz w:val="20"/>
        </w:rPr>
        <w:t xml:space="preserve">, Elkin Fernando Vicuña and Alejandro Ortega in the facts. As a result, on February 29, 2012, the First Specialized Court of </w:t>
      </w:r>
      <w:proofErr w:type="spellStart"/>
      <w:r>
        <w:rPr>
          <w:rFonts w:asciiTheme="majorHAnsi" w:hAnsiTheme="majorHAnsi"/>
          <w:sz w:val="20"/>
        </w:rPr>
        <w:t>Popayán</w:t>
      </w:r>
      <w:proofErr w:type="spellEnd"/>
      <w:r>
        <w:rPr>
          <w:rFonts w:asciiTheme="majorHAnsi" w:hAnsiTheme="majorHAnsi"/>
          <w:sz w:val="20"/>
        </w:rPr>
        <w:t xml:space="preserve"> sentenced Mr. Armando Lugo and Mr. Elkin Fernando Vicuña to one </w:t>
      </w:r>
      <w:r>
        <w:rPr>
          <w:rFonts w:asciiTheme="majorHAnsi" w:hAnsiTheme="majorHAnsi"/>
          <w:sz w:val="20"/>
        </w:rPr>
        <w:lastRenderedPageBreak/>
        <w:t xml:space="preserve">hundred and ninety months in prison and to the payment of one hundred minimum wages for moral damages to the next of kin of Mr. Julio </w:t>
      </w:r>
      <w:proofErr w:type="spellStart"/>
      <w:r>
        <w:rPr>
          <w:rFonts w:asciiTheme="majorHAnsi" w:hAnsiTheme="majorHAnsi"/>
          <w:sz w:val="20"/>
        </w:rPr>
        <w:t>Vitonas</w:t>
      </w:r>
      <w:proofErr w:type="spellEnd"/>
      <w:r>
        <w:rPr>
          <w:rFonts w:asciiTheme="majorHAnsi" w:hAnsiTheme="majorHAnsi"/>
          <w:sz w:val="20"/>
        </w:rPr>
        <w:t xml:space="preserve"> </w:t>
      </w:r>
      <w:proofErr w:type="spellStart"/>
      <w:r>
        <w:rPr>
          <w:rFonts w:asciiTheme="majorHAnsi" w:hAnsiTheme="majorHAnsi"/>
          <w:sz w:val="20"/>
        </w:rPr>
        <w:t>Chilhueso</w:t>
      </w:r>
      <w:proofErr w:type="spellEnd"/>
      <w:r>
        <w:rPr>
          <w:rFonts w:asciiTheme="majorHAnsi" w:hAnsiTheme="majorHAnsi"/>
          <w:sz w:val="20"/>
        </w:rPr>
        <w:t xml:space="preserve">, Mr. </w:t>
      </w:r>
      <w:proofErr w:type="spellStart"/>
      <w:r>
        <w:rPr>
          <w:rFonts w:asciiTheme="majorHAnsi" w:hAnsiTheme="majorHAnsi"/>
          <w:sz w:val="20"/>
        </w:rPr>
        <w:t>Adelmo</w:t>
      </w:r>
      <w:proofErr w:type="spellEnd"/>
      <w:r>
        <w:rPr>
          <w:rFonts w:asciiTheme="majorHAnsi" w:hAnsiTheme="majorHAnsi"/>
          <w:sz w:val="20"/>
        </w:rPr>
        <w:t xml:space="preserve"> </w:t>
      </w:r>
      <w:proofErr w:type="spellStart"/>
      <w:r>
        <w:rPr>
          <w:rFonts w:asciiTheme="majorHAnsi" w:hAnsiTheme="majorHAnsi"/>
          <w:sz w:val="20"/>
        </w:rPr>
        <w:t>Vitonas</w:t>
      </w:r>
      <w:proofErr w:type="spellEnd"/>
      <w:r>
        <w:rPr>
          <w:rFonts w:asciiTheme="majorHAnsi" w:hAnsiTheme="majorHAnsi"/>
          <w:sz w:val="20"/>
        </w:rPr>
        <w:t xml:space="preserve"> </w:t>
      </w:r>
      <w:proofErr w:type="spellStart"/>
      <w:r>
        <w:rPr>
          <w:rFonts w:asciiTheme="majorHAnsi" w:hAnsiTheme="majorHAnsi"/>
          <w:sz w:val="20"/>
        </w:rPr>
        <w:t>Chilhueso</w:t>
      </w:r>
      <w:proofErr w:type="spellEnd"/>
      <w:r>
        <w:rPr>
          <w:rFonts w:asciiTheme="majorHAnsi" w:hAnsiTheme="majorHAnsi"/>
          <w:sz w:val="20"/>
        </w:rPr>
        <w:t xml:space="preserve"> and young </w:t>
      </w:r>
      <w:proofErr w:type="spellStart"/>
      <w:r>
        <w:rPr>
          <w:rFonts w:asciiTheme="majorHAnsi" w:hAnsiTheme="majorHAnsi"/>
          <w:sz w:val="20"/>
        </w:rPr>
        <w:t>Benilda</w:t>
      </w:r>
      <w:proofErr w:type="spellEnd"/>
      <w:r>
        <w:rPr>
          <w:rFonts w:asciiTheme="majorHAnsi" w:hAnsiTheme="majorHAnsi"/>
          <w:sz w:val="20"/>
        </w:rPr>
        <w:t xml:space="preserve"> Ley </w:t>
      </w:r>
      <w:proofErr w:type="spellStart"/>
      <w:r>
        <w:rPr>
          <w:rFonts w:asciiTheme="majorHAnsi" w:hAnsiTheme="majorHAnsi"/>
          <w:sz w:val="20"/>
        </w:rPr>
        <w:t>Dagua</w:t>
      </w:r>
      <w:proofErr w:type="spellEnd"/>
      <w:r>
        <w:rPr>
          <w:rFonts w:asciiTheme="majorHAnsi" w:hAnsiTheme="majorHAnsi"/>
          <w:sz w:val="20"/>
        </w:rPr>
        <w:t xml:space="preserve">, the victims who had been recognized in the proceedings. The petitioners note that the case of Yenny </w:t>
      </w:r>
      <w:proofErr w:type="spellStart"/>
      <w:r>
        <w:rPr>
          <w:rFonts w:asciiTheme="majorHAnsi" w:hAnsiTheme="majorHAnsi"/>
          <w:sz w:val="20"/>
        </w:rPr>
        <w:t>Rocío</w:t>
      </w:r>
      <w:proofErr w:type="spellEnd"/>
      <w:r>
        <w:rPr>
          <w:rFonts w:asciiTheme="majorHAnsi" w:hAnsiTheme="majorHAnsi"/>
          <w:sz w:val="20"/>
        </w:rPr>
        <w:t xml:space="preserve"> López </w:t>
      </w:r>
      <w:proofErr w:type="spellStart"/>
      <w:r>
        <w:rPr>
          <w:rFonts w:asciiTheme="majorHAnsi" w:hAnsiTheme="majorHAnsi"/>
          <w:sz w:val="20"/>
        </w:rPr>
        <w:t>Ulcue</w:t>
      </w:r>
      <w:proofErr w:type="spellEnd"/>
      <w:r>
        <w:rPr>
          <w:rFonts w:asciiTheme="majorHAnsi" w:hAnsiTheme="majorHAnsi"/>
          <w:sz w:val="20"/>
        </w:rPr>
        <w:t xml:space="preserve"> was not included in the investigation conducted by Public Prosecut</w:t>
      </w:r>
      <w:r w:rsidR="00710517">
        <w:rPr>
          <w:rFonts w:asciiTheme="majorHAnsi" w:hAnsiTheme="majorHAnsi"/>
          <w:sz w:val="20"/>
        </w:rPr>
        <w:t>or’s</w:t>
      </w:r>
      <w:r>
        <w:rPr>
          <w:rFonts w:asciiTheme="majorHAnsi" w:hAnsiTheme="majorHAnsi"/>
          <w:sz w:val="20"/>
        </w:rPr>
        <w:t xml:space="preserve"> Office No. 38 of the Human Rights and International Humanitarian Law Unit. </w:t>
      </w:r>
    </w:p>
    <w:p w14:paraId="1A004C61" w14:textId="4EECB6C5" w:rsidR="0068795F" w:rsidRDefault="003C01AC" w:rsidP="00256355">
      <w:pPr>
        <w:spacing w:before="240" w:after="240"/>
        <w:ind w:firstLine="720"/>
        <w:jc w:val="both"/>
        <w:rPr>
          <w:rFonts w:asciiTheme="majorHAnsi" w:hAnsiTheme="majorHAnsi"/>
          <w:bCs/>
          <w:sz w:val="20"/>
          <w:szCs w:val="20"/>
        </w:rPr>
      </w:pPr>
      <w:r>
        <w:rPr>
          <w:rFonts w:asciiTheme="majorHAnsi" w:hAnsiTheme="majorHAnsi"/>
          <w:sz w:val="20"/>
        </w:rPr>
        <w:t>5.</w:t>
      </w:r>
      <w:r>
        <w:rPr>
          <w:rFonts w:asciiTheme="majorHAnsi" w:hAnsiTheme="majorHAnsi"/>
          <w:sz w:val="20"/>
        </w:rPr>
        <w:tab/>
        <w:t xml:space="preserve">The petitioners allege that no disciplinary investigation has been initiated for the above facts despite that, in their view, civil and military officials have not been included in the proceedings, and that the events of the </w:t>
      </w:r>
      <w:proofErr w:type="spellStart"/>
      <w:r>
        <w:rPr>
          <w:rFonts w:asciiTheme="majorHAnsi" w:hAnsiTheme="majorHAnsi"/>
          <w:sz w:val="20"/>
        </w:rPr>
        <w:t>Gualanday</w:t>
      </w:r>
      <w:proofErr w:type="spellEnd"/>
      <w:r>
        <w:rPr>
          <w:rFonts w:asciiTheme="majorHAnsi" w:hAnsiTheme="majorHAnsi"/>
          <w:sz w:val="20"/>
        </w:rPr>
        <w:t xml:space="preserve"> Massacre are being addressed within the framework of Law 975 of 2005</w:t>
      </w:r>
      <w:r w:rsidR="007B224F">
        <w:rPr>
          <w:rFonts w:asciiTheme="majorHAnsi" w:hAnsiTheme="majorHAnsi"/>
          <w:sz w:val="20"/>
        </w:rPr>
        <w:t xml:space="preserve">. </w:t>
      </w:r>
      <w:r>
        <w:rPr>
          <w:rFonts w:asciiTheme="majorHAnsi" w:hAnsiTheme="majorHAnsi"/>
          <w:sz w:val="20"/>
        </w:rPr>
        <w:t xml:space="preserve">However, they argue that the law does not provide adequate mechanisms for the effective reparation of the victims, since it does not address the specific situation of certain victims (children, women, indigenous </w:t>
      </w:r>
      <w:proofErr w:type="gramStart"/>
      <w:r>
        <w:rPr>
          <w:rFonts w:asciiTheme="majorHAnsi" w:hAnsiTheme="majorHAnsi"/>
          <w:sz w:val="20"/>
        </w:rPr>
        <w:t>peoples</w:t>
      </w:r>
      <w:proofErr w:type="gramEnd"/>
      <w:r>
        <w:rPr>
          <w:rFonts w:asciiTheme="majorHAnsi" w:hAnsiTheme="majorHAnsi"/>
          <w:sz w:val="20"/>
        </w:rPr>
        <w:t xml:space="preserve"> and members of Afro-Colombian communities), and it places the burden of reparation on the victims, who need to file claims against the perpetrator’s equity. They also argue that the proceeding established in said law violates Articles 8 and 25 of the Convention, because it prevents family members from being heard by a judge.</w:t>
      </w:r>
    </w:p>
    <w:p w14:paraId="4F62B6FC" w14:textId="4ABF2ED4" w:rsidR="00A07CF4" w:rsidRDefault="003C01AC" w:rsidP="003E428C">
      <w:pPr>
        <w:spacing w:before="240" w:after="240"/>
        <w:ind w:firstLine="720"/>
        <w:jc w:val="both"/>
        <w:rPr>
          <w:rFonts w:asciiTheme="majorHAnsi" w:hAnsiTheme="majorHAnsi"/>
          <w:bCs/>
          <w:sz w:val="20"/>
          <w:szCs w:val="20"/>
        </w:rPr>
      </w:pPr>
      <w:r>
        <w:rPr>
          <w:rFonts w:asciiTheme="majorHAnsi" w:hAnsiTheme="majorHAnsi"/>
          <w:sz w:val="20"/>
        </w:rPr>
        <w:t>6.</w:t>
      </w:r>
      <w:r>
        <w:rPr>
          <w:rFonts w:asciiTheme="majorHAnsi" w:hAnsiTheme="majorHAnsi"/>
          <w:sz w:val="20"/>
        </w:rPr>
        <w:tab/>
        <w:t>The relatives of the victims reportedly participated actively in the proceedings, without any of the paramilitary officers being charged; and they handed over the necessary documents to the</w:t>
      </w:r>
      <w:r w:rsidR="00B61893">
        <w:rPr>
          <w:rFonts w:asciiTheme="majorHAnsi" w:hAnsiTheme="majorHAnsi"/>
          <w:sz w:val="20"/>
        </w:rPr>
        <w:t xml:space="preserve"> Justice and Peace</w:t>
      </w:r>
      <w:r>
        <w:rPr>
          <w:rFonts w:asciiTheme="majorHAnsi" w:hAnsiTheme="majorHAnsi"/>
          <w:sz w:val="20"/>
        </w:rPr>
        <w:t xml:space="preserve"> Unit</w:t>
      </w:r>
      <w:r w:rsidR="00B61893">
        <w:rPr>
          <w:rFonts w:asciiTheme="majorHAnsi" w:hAnsiTheme="majorHAnsi"/>
          <w:sz w:val="20"/>
        </w:rPr>
        <w:t xml:space="preserve">, </w:t>
      </w:r>
      <w:r>
        <w:rPr>
          <w:rFonts w:asciiTheme="majorHAnsi" w:hAnsiTheme="majorHAnsi"/>
          <w:sz w:val="20"/>
        </w:rPr>
        <w:t>so that the victims and their agents could be recognized in the proceedings. However, upon their request being denied, some next of kin of the victims filed a writ for the protection of their constitutional rights before th</w:t>
      </w:r>
      <w:r w:rsidR="00B61893">
        <w:rPr>
          <w:rFonts w:asciiTheme="majorHAnsi" w:hAnsiTheme="majorHAnsi"/>
          <w:sz w:val="20"/>
        </w:rPr>
        <w:t>e</w:t>
      </w:r>
      <w:r>
        <w:rPr>
          <w:rFonts w:asciiTheme="majorHAnsi" w:hAnsiTheme="majorHAnsi"/>
          <w:sz w:val="20"/>
        </w:rPr>
        <w:t xml:space="preserve"> Court of Contentious-Administrative Matters</w:t>
      </w:r>
      <w:r w:rsidR="00B61893">
        <w:rPr>
          <w:rFonts w:asciiTheme="majorHAnsi" w:hAnsiTheme="majorHAnsi"/>
          <w:sz w:val="20"/>
        </w:rPr>
        <w:t xml:space="preserve"> of Cauca</w:t>
      </w:r>
      <w:r>
        <w:rPr>
          <w:rFonts w:asciiTheme="majorHAnsi" w:hAnsiTheme="majorHAnsi"/>
          <w:sz w:val="20"/>
        </w:rPr>
        <w:t xml:space="preserve">, which was dismissed on September 11, 2012, by the Criminal Division of the Supreme Court of Justice. Finally, </w:t>
      </w:r>
      <w:proofErr w:type="gramStart"/>
      <w:r>
        <w:rPr>
          <w:rFonts w:asciiTheme="majorHAnsi" w:hAnsiTheme="majorHAnsi"/>
          <w:sz w:val="20"/>
        </w:rPr>
        <w:t>with regard to</w:t>
      </w:r>
      <w:proofErr w:type="gramEnd"/>
      <w:r>
        <w:rPr>
          <w:rFonts w:asciiTheme="majorHAnsi" w:hAnsiTheme="majorHAnsi"/>
          <w:sz w:val="20"/>
        </w:rPr>
        <w:t xml:space="preserve"> the administrative reparation, the petitioners indicate that Decree 1290 of 2008 and Law 1448 of 2011 do not meet the minimum </w:t>
      </w:r>
      <w:r w:rsidR="00AF6799">
        <w:rPr>
          <w:rFonts w:asciiTheme="majorHAnsi" w:hAnsiTheme="majorHAnsi"/>
          <w:sz w:val="20"/>
        </w:rPr>
        <w:t>standards</w:t>
      </w:r>
      <w:r>
        <w:rPr>
          <w:rFonts w:asciiTheme="majorHAnsi" w:hAnsiTheme="majorHAnsi"/>
          <w:sz w:val="20"/>
        </w:rPr>
        <w:t xml:space="preserve"> established by international human rights law, and that the State failed to comply with the recommendations made by the IACHR on August 1, 2006, in relation to the enforcement and the scope of the Law on Justice and Peace</w:t>
      </w:r>
      <w:r w:rsidR="007B224F">
        <w:rPr>
          <w:rFonts w:asciiTheme="majorHAnsi" w:hAnsiTheme="majorHAnsi"/>
          <w:sz w:val="20"/>
        </w:rPr>
        <w:t xml:space="preserve">. </w:t>
      </w:r>
    </w:p>
    <w:p w14:paraId="1E8DCBAB" w14:textId="3AEA9173" w:rsidR="006D793D" w:rsidRDefault="003C01AC" w:rsidP="00E82C4E">
      <w:pPr>
        <w:spacing w:before="240" w:after="240"/>
        <w:ind w:firstLine="720"/>
        <w:jc w:val="both"/>
        <w:rPr>
          <w:rFonts w:asciiTheme="majorHAnsi" w:hAnsiTheme="majorHAnsi"/>
          <w:bCs/>
          <w:sz w:val="20"/>
          <w:szCs w:val="20"/>
        </w:rPr>
      </w:pPr>
      <w:r>
        <w:rPr>
          <w:rFonts w:asciiTheme="majorHAnsi" w:hAnsiTheme="majorHAnsi"/>
          <w:sz w:val="20"/>
        </w:rPr>
        <w:t>7.</w:t>
      </w:r>
      <w:r>
        <w:rPr>
          <w:rFonts w:asciiTheme="majorHAnsi" w:hAnsiTheme="majorHAnsi"/>
          <w:sz w:val="20"/>
        </w:rPr>
        <w:tab/>
        <w:t xml:space="preserve">Accordingly, the petitioners allege that the exception set forth in Article 46.2(c) of the Convention should apply, since over twenty years have elapsed since the massacre, and therefore there is an unjustified delay in the Colombian jurisdiction to identify those responsible for the facts. They point out that the facts have been investigated separately, although the legal proceedings should have been conducted </w:t>
      </w:r>
      <w:proofErr w:type="gramStart"/>
      <w:r>
        <w:rPr>
          <w:rFonts w:asciiTheme="majorHAnsi" w:hAnsiTheme="majorHAnsi"/>
          <w:sz w:val="20"/>
        </w:rPr>
        <w:t>on the basis of</w:t>
      </w:r>
      <w:proofErr w:type="gramEnd"/>
      <w:r>
        <w:rPr>
          <w:rFonts w:asciiTheme="majorHAnsi" w:hAnsiTheme="majorHAnsi"/>
          <w:sz w:val="20"/>
        </w:rPr>
        <w:t xml:space="preserve"> the criteria of </w:t>
      </w:r>
      <w:r w:rsidR="001515CE">
        <w:rPr>
          <w:rFonts w:asciiTheme="majorHAnsi" w:hAnsiTheme="majorHAnsi"/>
          <w:sz w:val="20"/>
        </w:rPr>
        <w:t>systematicity</w:t>
      </w:r>
      <w:r>
        <w:rPr>
          <w:rFonts w:asciiTheme="majorHAnsi" w:hAnsiTheme="majorHAnsi"/>
          <w:sz w:val="20"/>
        </w:rPr>
        <w:t xml:space="preserve"> and should have </w:t>
      </w:r>
      <w:r w:rsidR="001515CE">
        <w:rPr>
          <w:rFonts w:asciiTheme="majorHAnsi" w:hAnsiTheme="majorHAnsi"/>
          <w:sz w:val="20"/>
        </w:rPr>
        <w:t>considered</w:t>
      </w:r>
      <w:r>
        <w:rPr>
          <w:rFonts w:asciiTheme="majorHAnsi" w:hAnsiTheme="majorHAnsi"/>
          <w:sz w:val="20"/>
        </w:rPr>
        <w:t xml:space="preserve"> the fact that military and paramilitary agents allegedly forced the displacement of hundreds of families.</w:t>
      </w:r>
    </w:p>
    <w:p w14:paraId="02462637" w14:textId="2B226231" w:rsidR="00973DE8" w:rsidRDefault="003C01AC" w:rsidP="00E045BE">
      <w:pPr>
        <w:spacing w:before="240" w:after="240"/>
        <w:ind w:firstLine="720"/>
        <w:jc w:val="both"/>
        <w:rPr>
          <w:rFonts w:asciiTheme="majorHAnsi" w:hAnsiTheme="majorHAnsi"/>
          <w:bCs/>
          <w:sz w:val="20"/>
          <w:szCs w:val="20"/>
        </w:rPr>
      </w:pPr>
      <w:r>
        <w:rPr>
          <w:rFonts w:asciiTheme="majorHAnsi" w:hAnsiTheme="majorHAnsi"/>
          <w:sz w:val="20"/>
        </w:rPr>
        <w:t>8.</w:t>
      </w:r>
      <w:r>
        <w:rPr>
          <w:rFonts w:asciiTheme="majorHAnsi" w:hAnsiTheme="majorHAnsi"/>
          <w:sz w:val="20"/>
        </w:rPr>
        <w:tab/>
        <w:t xml:space="preserve">The State points out that it has conducted various actions to clarify the facts presented in this petition. In this regard, they explain that on November 23, 2001, in the investigation with file no. 3492, the facts were heard </w:t>
      </w:r>
      <w:r w:rsidR="00055781">
        <w:rPr>
          <w:rFonts w:asciiTheme="majorHAnsi" w:hAnsiTheme="majorHAnsi"/>
          <w:sz w:val="20"/>
        </w:rPr>
        <w:t>by Public</w:t>
      </w:r>
      <w:r>
        <w:rPr>
          <w:rFonts w:asciiTheme="majorHAnsi" w:hAnsiTheme="majorHAnsi"/>
          <w:sz w:val="20"/>
        </w:rPr>
        <w:t xml:space="preserve"> Prosecut</w:t>
      </w:r>
      <w:r w:rsidR="00710517">
        <w:rPr>
          <w:rFonts w:asciiTheme="majorHAnsi" w:hAnsiTheme="majorHAnsi"/>
          <w:sz w:val="20"/>
        </w:rPr>
        <w:t>or’s</w:t>
      </w:r>
      <w:r>
        <w:rPr>
          <w:rFonts w:asciiTheme="majorHAnsi" w:hAnsiTheme="majorHAnsi"/>
          <w:sz w:val="20"/>
        </w:rPr>
        <w:t xml:space="preserve"> Office No. 38 of the Human Rights and International Humanitarian Law Unit of Cali. In this investigation, an order of preventive detention was issued against Mr. José Darío Rojas, without the </w:t>
      </w:r>
      <w:r w:rsidRPr="00281EB7">
        <w:rPr>
          <w:rFonts w:asciiTheme="majorHAnsi" w:hAnsiTheme="majorHAnsi"/>
          <w:color w:val="000000" w:themeColor="text1"/>
          <w:sz w:val="20"/>
        </w:rPr>
        <w:t xml:space="preserve">benefit of provisional release, and on March 6, 2003, he was formally accused </w:t>
      </w:r>
      <w:r w:rsidR="001515CE" w:rsidRPr="00281EB7">
        <w:rPr>
          <w:rFonts w:asciiTheme="majorHAnsi" w:hAnsiTheme="majorHAnsi"/>
          <w:color w:val="000000" w:themeColor="text1"/>
          <w:sz w:val="20"/>
        </w:rPr>
        <w:t>of</w:t>
      </w:r>
      <w:r w:rsidRPr="00281EB7">
        <w:rPr>
          <w:rFonts w:asciiTheme="majorHAnsi" w:hAnsiTheme="majorHAnsi"/>
          <w:color w:val="000000" w:themeColor="text1"/>
          <w:sz w:val="20"/>
        </w:rPr>
        <w:t xml:space="preserve"> the crime of rebellion. In addition, </w:t>
      </w:r>
      <w:r w:rsidR="00072234" w:rsidRPr="00281EB7">
        <w:rPr>
          <w:rFonts w:asciiTheme="majorHAnsi" w:hAnsiTheme="majorHAnsi"/>
          <w:color w:val="000000" w:themeColor="text1"/>
          <w:sz w:val="20"/>
        </w:rPr>
        <w:t>a preclusion order was issued related</w:t>
      </w:r>
      <w:r w:rsidRPr="00281EB7">
        <w:rPr>
          <w:rFonts w:asciiTheme="majorHAnsi" w:hAnsiTheme="majorHAnsi"/>
          <w:color w:val="000000" w:themeColor="text1"/>
          <w:sz w:val="20"/>
        </w:rPr>
        <w:t xml:space="preserve"> </w:t>
      </w:r>
      <w:r w:rsidR="00C6755A" w:rsidRPr="00281EB7">
        <w:rPr>
          <w:rFonts w:asciiTheme="majorHAnsi" w:hAnsiTheme="majorHAnsi"/>
          <w:color w:val="000000" w:themeColor="text1"/>
          <w:sz w:val="20"/>
        </w:rPr>
        <w:t>to</w:t>
      </w:r>
      <w:r w:rsidRPr="00281EB7">
        <w:rPr>
          <w:rFonts w:asciiTheme="majorHAnsi" w:hAnsiTheme="majorHAnsi"/>
          <w:color w:val="000000" w:themeColor="text1"/>
          <w:sz w:val="20"/>
        </w:rPr>
        <w:t xml:space="preserve"> the crime of murder, and illicit manufacturing, </w:t>
      </w:r>
      <w:proofErr w:type="gramStart"/>
      <w:r w:rsidRPr="00281EB7">
        <w:rPr>
          <w:rFonts w:asciiTheme="majorHAnsi" w:hAnsiTheme="majorHAnsi"/>
          <w:color w:val="000000" w:themeColor="text1"/>
          <w:sz w:val="20"/>
        </w:rPr>
        <w:t>trafficking</w:t>
      </w:r>
      <w:proofErr w:type="gramEnd"/>
      <w:r w:rsidRPr="00281EB7">
        <w:rPr>
          <w:rFonts w:asciiTheme="majorHAnsi" w:hAnsiTheme="majorHAnsi"/>
          <w:color w:val="000000" w:themeColor="text1"/>
          <w:sz w:val="20"/>
        </w:rPr>
        <w:t xml:space="preserve"> and holding of firearms. In January 2006, Public </w:t>
      </w:r>
      <w:r w:rsidR="00710517" w:rsidRPr="00281EB7">
        <w:rPr>
          <w:rFonts w:asciiTheme="majorHAnsi" w:hAnsiTheme="majorHAnsi"/>
          <w:color w:val="000000" w:themeColor="text1"/>
          <w:sz w:val="20"/>
        </w:rPr>
        <w:t xml:space="preserve">Prosecutor’s </w:t>
      </w:r>
      <w:r w:rsidRPr="00281EB7">
        <w:rPr>
          <w:rFonts w:asciiTheme="majorHAnsi" w:hAnsiTheme="majorHAnsi"/>
          <w:color w:val="000000" w:themeColor="text1"/>
          <w:sz w:val="20"/>
        </w:rPr>
        <w:t xml:space="preserve">Office No. 38 received a copy of Mr. Armando Lugo’s statement, in which he confessed to his participation in the facts before the Justice and Peace Unit. Therefore, on November </w:t>
      </w:r>
      <w:r>
        <w:rPr>
          <w:rFonts w:asciiTheme="majorHAnsi" w:hAnsiTheme="majorHAnsi"/>
          <w:sz w:val="20"/>
        </w:rPr>
        <w:t xml:space="preserve">10, 2008, in an inquiry procedure, he affirmed he was the mastermind of the massacre and identified “El Negro,” “El Indio Elkin,” “Rubén el de los brakes,” “El Paisa” and “El Flaco Alejandro” as responsible for carrying out the massacre. Thus, on February 29, 2012, the First Specialized Criminal Court of </w:t>
      </w:r>
      <w:proofErr w:type="spellStart"/>
      <w:r>
        <w:rPr>
          <w:rFonts w:asciiTheme="majorHAnsi" w:hAnsiTheme="majorHAnsi"/>
          <w:sz w:val="20"/>
        </w:rPr>
        <w:t>Popayán</w:t>
      </w:r>
      <w:proofErr w:type="spellEnd"/>
      <w:r>
        <w:rPr>
          <w:rFonts w:asciiTheme="majorHAnsi" w:hAnsiTheme="majorHAnsi"/>
          <w:sz w:val="20"/>
        </w:rPr>
        <w:t xml:space="preserve"> issued a judgement of conviction against Mr. Armando Lugo and Mr. Elkin Fernando Vicuña Miranda. The judgement sentenced them to 190 months in prison and the payment of 100 minimum wages per month. The investigation is currently underway </w:t>
      </w:r>
      <w:proofErr w:type="gramStart"/>
      <w:r>
        <w:rPr>
          <w:rFonts w:asciiTheme="majorHAnsi" w:hAnsiTheme="majorHAnsi"/>
          <w:sz w:val="20"/>
        </w:rPr>
        <w:t>with regard to</w:t>
      </w:r>
      <w:proofErr w:type="gramEnd"/>
      <w:r>
        <w:rPr>
          <w:rFonts w:asciiTheme="majorHAnsi" w:hAnsiTheme="majorHAnsi"/>
          <w:sz w:val="20"/>
        </w:rPr>
        <w:t xml:space="preserve"> other persons possibly involved in the facts, who have been bound over to the proceedings and for whom a detention order has been issued.</w:t>
      </w:r>
    </w:p>
    <w:p w14:paraId="59602FF0" w14:textId="413E635A" w:rsidR="006963B6" w:rsidRDefault="003C01AC" w:rsidP="00951A30">
      <w:pPr>
        <w:spacing w:before="240" w:after="240"/>
        <w:ind w:firstLine="720"/>
        <w:jc w:val="both"/>
        <w:rPr>
          <w:rFonts w:asciiTheme="majorHAnsi" w:hAnsiTheme="majorHAnsi"/>
          <w:bCs/>
          <w:sz w:val="20"/>
          <w:szCs w:val="20"/>
        </w:rPr>
      </w:pPr>
      <w:r>
        <w:rPr>
          <w:rFonts w:asciiTheme="majorHAnsi" w:hAnsiTheme="majorHAnsi"/>
          <w:sz w:val="20"/>
        </w:rPr>
        <w:t>9.</w:t>
      </w:r>
      <w:r>
        <w:rPr>
          <w:rFonts w:asciiTheme="majorHAnsi" w:hAnsiTheme="majorHAnsi"/>
          <w:sz w:val="20"/>
        </w:rPr>
        <w:tab/>
        <w:t>These facts were heard by Public Prosecut</w:t>
      </w:r>
      <w:r w:rsidR="00710517">
        <w:rPr>
          <w:rFonts w:asciiTheme="majorHAnsi" w:hAnsiTheme="majorHAnsi"/>
          <w:sz w:val="20"/>
        </w:rPr>
        <w:t>or’s</w:t>
      </w:r>
      <w:r>
        <w:rPr>
          <w:rFonts w:asciiTheme="majorHAnsi" w:hAnsiTheme="majorHAnsi"/>
          <w:sz w:val="20"/>
        </w:rPr>
        <w:t xml:space="preserve"> Office No. 40 of Transitional Justice, who </w:t>
      </w:r>
      <w:proofErr w:type="gramStart"/>
      <w:r>
        <w:rPr>
          <w:rFonts w:asciiTheme="majorHAnsi" w:hAnsiTheme="majorHAnsi"/>
          <w:sz w:val="20"/>
        </w:rPr>
        <w:t>was in charge of</w:t>
      </w:r>
      <w:proofErr w:type="gramEnd"/>
      <w:r>
        <w:rPr>
          <w:rFonts w:asciiTheme="majorHAnsi" w:hAnsiTheme="majorHAnsi"/>
          <w:sz w:val="20"/>
        </w:rPr>
        <w:t xml:space="preserve"> the investigation under file no.1100160002532200681099. In this investigation, some of the accused have assumed responsibility for the </w:t>
      </w:r>
      <w:r w:rsidR="005A142A">
        <w:rPr>
          <w:rFonts w:asciiTheme="majorHAnsi" w:hAnsiTheme="majorHAnsi"/>
          <w:sz w:val="20"/>
        </w:rPr>
        <w:t>f</w:t>
      </w:r>
      <w:r>
        <w:rPr>
          <w:rFonts w:asciiTheme="majorHAnsi" w:hAnsiTheme="majorHAnsi"/>
          <w:sz w:val="20"/>
        </w:rPr>
        <w:t xml:space="preserve">acts in this petition and, as a result, on November 30, 2016, a formal accusation was made. Within the framework of this proceedings, the representative of the alleged victims filed a writ for the protection of constitutional rights before the Justice and Peace Unit of the Attorney General's Office to ensure that the victims of the case were recognized as such. However, said writ was </w:t>
      </w:r>
      <w:r>
        <w:rPr>
          <w:rFonts w:asciiTheme="majorHAnsi" w:hAnsiTheme="majorHAnsi"/>
          <w:sz w:val="20"/>
        </w:rPr>
        <w:lastRenderedPageBreak/>
        <w:t xml:space="preserve">dismissed by the Criminal Cassation Division of the Supreme Court of Justice, since the person who had filed the writ did not </w:t>
      </w:r>
      <w:r w:rsidR="001515CE">
        <w:rPr>
          <w:rFonts w:asciiTheme="majorHAnsi" w:hAnsiTheme="majorHAnsi"/>
          <w:sz w:val="20"/>
        </w:rPr>
        <w:t>submit</w:t>
      </w:r>
      <w:r>
        <w:rPr>
          <w:rFonts w:asciiTheme="majorHAnsi" w:hAnsiTheme="majorHAnsi"/>
          <w:sz w:val="20"/>
        </w:rPr>
        <w:t xml:space="preserve"> any</w:t>
      </w:r>
      <w:r w:rsidR="00AF6799">
        <w:rPr>
          <w:rFonts w:asciiTheme="majorHAnsi" w:hAnsiTheme="majorHAnsi"/>
          <w:sz w:val="20"/>
        </w:rPr>
        <w:t xml:space="preserve"> document proving</w:t>
      </w:r>
      <w:r>
        <w:rPr>
          <w:rFonts w:asciiTheme="majorHAnsi" w:hAnsiTheme="majorHAnsi"/>
          <w:sz w:val="20"/>
        </w:rPr>
        <w:t xml:space="preserve"> their power of attorney</w:t>
      </w:r>
      <w:r w:rsidR="007B224F">
        <w:rPr>
          <w:rFonts w:asciiTheme="majorHAnsi" w:hAnsiTheme="majorHAnsi"/>
          <w:sz w:val="20"/>
        </w:rPr>
        <w:t xml:space="preserve">. </w:t>
      </w:r>
    </w:p>
    <w:p w14:paraId="551D7CEE" w14:textId="0719E939" w:rsidR="00951A30" w:rsidRDefault="003C01AC" w:rsidP="008B5FE3">
      <w:pPr>
        <w:spacing w:before="240" w:after="240"/>
        <w:ind w:firstLine="720"/>
        <w:jc w:val="both"/>
        <w:rPr>
          <w:rFonts w:asciiTheme="majorHAnsi" w:hAnsiTheme="majorHAnsi"/>
          <w:bCs/>
          <w:sz w:val="20"/>
          <w:szCs w:val="20"/>
        </w:rPr>
      </w:pPr>
      <w:r>
        <w:rPr>
          <w:rFonts w:asciiTheme="majorHAnsi" w:hAnsiTheme="majorHAnsi"/>
          <w:sz w:val="20"/>
        </w:rPr>
        <w:t>10.</w:t>
      </w:r>
      <w:r>
        <w:rPr>
          <w:rFonts w:asciiTheme="majorHAnsi" w:hAnsiTheme="majorHAnsi"/>
          <w:sz w:val="20"/>
        </w:rPr>
        <w:tab/>
        <w:t xml:space="preserve">Mr. Jesús </w:t>
      </w:r>
      <w:proofErr w:type="spellStart"/>
      <w:r>
        <w:rPr>
          <w:rFonts w:asciiTheme="majorHAnsi" w:hAnsiTheme="majorHAnsi"/>
          <w:sz w:val="20"/>
        </w:rPr>
        <w:t>Herney</w:t>
      </w:r>
      <w:proofErr w:type="spellEnd"/>
      <w:r>
        <w:rPr>
          <w:rFonts w:asciiTheme="majorHAnsi" w:hAnsiTheme="majorHAnsi"/>
          <w:sz w:val="20"/>
        </w:rPr>
        <w:t xml:space="preserve"> Orozco </w:t>
      </w:r>
      <w:proofErr w:type="spellStart"/>
      <w:r>
        <w:rPr>
          <w:rFonts w:asciiTheme="majorHAnsi" w:hAnsiTheme="majorHAnsi"/>
          <w:sz w:val="20"/>
        </w:rPr>
        <w:t>Villamarín</w:t>
      </w:r>
      <w:proofErr w:type="spellEnd"/>
      <w:r>
        <w:rPr>
          <w:rFonts w:asciiTheme="majorHAnsi" w:hAnsiTheme="majorHAnsi"/>
          <w:sz w:val="20"/>
        </w:rPr>
        <w:t xml:space="preserve"> initiated a </w:t>
      </w:r>
      <w:r w:rsidR="00AF6799">
        <w:rPr>
          <w:rFonts w:asciiTheme="majorHAnsi" w:hAnsiTheme="majorHAnsi"/>
          <w:sz w:val="20"/>
        </w:rPr>
        <w:t xml:space="preserve">claim for </w:t>
      </w:r>
      <w:r>
        <w:rPr>
          <w:rFonts w:asciiTheme="majorHAnsi" w:hAnsiTheme="majorHAnsi"/>
          <w:sz w:val="20"/>
        </w:rPr>
        <w:t xml:space="preserve">direct reparation against the Ministry </w:t>
      </w:r>
      <w:proofErr w:type="gramStart"/>
      <w:r>
        <w:rPr>
          <w:rFonts w:asciiTheme="majorHAnsi" w:hAnsiTheme="majorHAnsi"/>
          <w:sz w:val="20"/>
        </w:rPr>
        <w:t xml:space="preserve">of  </w:t>
      </w:r>
      <w:r w:rsidR="00B61893">
        <w:rPr>
          <w:rFonts w:asciiTheme="majorHAnsi" w:hAnsiTheme="majorHAnsi"/>
          <w:sz w:val="20"/>
        </w:rPr>
        <w:t>National</w:t>
      </w:r>
      <w:proofErr w:type="gramEnd"/>
      <w:r w:rsidR="00B61893">
        <w:rPr>
          <w:rFonts w:asciiTheme="majorHAnsi" w:hAnsiTheme="majorHAnsi"/>
          <w:sz w:val="20"/>
        </w:rPr>
        <w:t xml:space="preserve"> </w:t>
      </w:r>
      <w:r>
        <w:rPr>
          <w:rFonts w:asciiTheme="majorHAnsi" w:hAnsiTheme="majorHAnsi"/>
          <w:sz w:val="20"/>
        </w:rPr>
        <w:t xml:space="preserve">Defense and the National Army for the facts related to the </w:t>
      </w:r>
      <w:proofErr w:type="spellStart"/>
      <w:r>
        <w:rPr>
          <w:rFonts w:asciiTheme="majorHAnsi" w:hAnsiTheme="majorHAnsi"/>
          <w:sz w:val="20"/>
        </w:rPr>
        <w:t>Gualanday</w:t>
      </w:r>
      <w:proofErr w:type="spellEnd"/>
      <w:r>
        <w:rPr>
          <w:rFonts w:asciiTheme="majorHAnsi" w:hAnsiTheme="majorHAnsi"/>
          <w:sz w:val="20"/>
        </w:rPr>
        <w:t xml:space="preserve"> Massacre. On January 1, 2010, the Court </w:t>
      </w:r>
      <w:r w:rsidR="00B61893">
        <w:rPr>
          <w:rFonts w:asciiTheme="majorHAnsi" w:hAnsiTheme="majorHAnsi"/>
          <w:sz w:val="20"/>
        </w:rPr>
        <w:t>of</w:t>
      </w:r>
      <w:r>
        <w:rPr>
          <w:rFonts w:asciiTheme="majorHAnsi" w:hAnsiTheme="majorHAnsi"/>
          <w:sz w:val="20"/>
        </w:rPr>
        <w:t xml:space="preserve"> Contentious-Administrative Matters</w:t>
      </w:r>
      <w:r w:rsidR="00B61893">
        <w:rPr>
          <w:rFonts w:asciiTheme="majorHAnsi" w:hAnsiTheme="majorHAnsi"/>
          <w:sz w:val="20"/>
        </w:rPr>
        <w:t xml:space="preserve"> of Cauca</w:t>
      </w:r>
      <w:r>
        <w:rPr>
          <w:rFonts w:asciiTheme="majorHAnsi" w:hAnsiTheme="majorHAnsi"/>
          <w:sz w:val="20"/>
        </w:rPr>
        <w:t xml:space="preserve"> issued a first instance judgment releasing the State from any administrative or financial responsibility. As for disciplinary matters, the Office</w:t>
      </w:r>
      <w:r w:rsidR="0091771C">
        <w:rPr>
          <w:rFonts w:asciiTheme="majorHAnsi" w:hAnsiTheme="majorHAnsi"/>
          <w:sz w:val="20"/>
        </w:rPr>
        <w:t xml:space="preserve"> of the Inspector General</w:t>
      </w:r>
      <w:r>
        <w:rPr>
          <w:rFonts w:asciiTheme="majorHAnsi" w:hAnsiTheme="majorHAnsi"/>
          <w:sz w:val="20"/>
        </w:rPr>
        <w:t xml:space="preserve"> initiated a disciplinary investigation against some authorities. However, the investigation was closed on March 15, 2004, because no evidence that could point to the participation of state agents in the facts was found. </w:t>
      </w:r>
      <w:proofErr w:type="gramStart"/>
      <w:r>
        <w:rPr>
          <w:rFonts w:asciiTheme="majorHAnsi" w:hAnsiTheme="majorHAnsi"/>
          <w:sz w:val="20"/>
        </w:rPr>
        <w:t>With regard to</w:t>
      </w:r>
      <w:proofErr w:type="gramEnd"/>
      <w:r>
        <w:rPr>
          <w:rFonts w:asciiTheme="majorHAnsi" w:hAnsiTheme="majorHAnsi"/>
          <w:sz w:val="20"/>
        </w:rPr>
        <w:t xml:space="preserve"> the recognition of the alleged victims in the proceedings, the petitioners note that the Unit for the Attention and Integral Reparation to the Victims (UAI</w:t>
      </w:r>
      <w:r w:rsidR="00783FFF">
        <w:rPr>
          <w:rFonts w:asciiTheme="majorHAnsi" w:hAnsiTheme="majorHAnsi"/>
          <w:sz w:val="20"/>
        </w:rPr>
        <w:t>R</w:t>
      </w:r>
      <w:r>
        <w:rPr>
          <w:rFonts w:asciiTheme="majorHAnsi" w:hAnsiTheme="majorHAnsi"/>
          <w:sz w:val="20"/>
        </w:rPr>
        <w:t>V) recognized some of the victims, who were included in the Single Victims Registry (</w:t>
      </w:r>
      <w:r w:rsidR="00783FFF">
        <w:rPr>
          <w:rFonts w:asciiTheme="majorHAnsi" w:hAnsiTheme="majorHAnsi"/>
          <w:sz w:val="20"/>
        </w:rPr>
        <w:t>S</w:t>
      </w:r>
      <w:r>
        <w:rPr>
          <w:rFonts w:asciiTheme="majorHAnsi" w:hAnsiTheme="majorHAnsi"/>
          <w:sz w:val="20"/>
        </w:rPr>
        <w:t>V</w:t>
      </w:r>
      <w:r w:rsidR="00783FFF">
        <w:rPr>
          <w:rFonts w:asciiTheme="majorHAnsi" w:hAnsiTheme="majorHAnsi"/>
          <w:sz w:val="20"/>
        </w:rPr>
        <w:t>R</w:t>
      </w:r>
      <w:r>
        <w:rPr>
          <w:rFonts w:asciiTheme="majorHAnsi" w:hAnsiTheme="majorHAnsi"/>
          <w:sz w:val="20"/>
        </w:rPr>
        <w:t>) and received administrative compensation. However, the State indicates that the compensation granted is not based on its responsibility for the facts.</w:t>
      </w:r>
    </w:p>
    <w:p w14:paraId="0835EDFB" w14:textId="66A71B7E" w:rsidR="0063238B" w:rsidRDefault="00C44132" w:rsidP="0063238B">
      <w:pPr>
        <w:spacing w:before="240" w:after="240"/>
        <w:ind w:firstLine="720"/>
        <w:jc w:val="both"/>
        <w:rPr>
          <w:rFonts w:asciiTheme="majorHAnsi" w:hAnsiTheme="majorHAnsi"/>
          <w:bCs/>
          <w:sz w:val="20"/>
          <w:szCs w:val="20"/>
        </w:rPr>
      </w:pPr>
      <w:r>
        <w:rPr>
          <w:rFonts w:asciiTheme="majorHAnsi" w:hAnsiTheme="majorHAnsi"/>
          <w:sz w:val="20"/>
        </w:rPr>
        <w:t>11.</w:t>
      </w:r>
      <w:r>
        <w:rPr>
          <w:rFonts w:asciiTheme="majorHAnsi" w:hAnsiTheme="majorHAnsi"/>
          <w:sz w:val="20"/>
        </w:rPr>
        <w:tab/>
        <w:t>The State alleges that this petition must not be accepted due to three reasons: (</w:t>
      </w:r>
      <w:proofErr w:type="spellStart"/>
      <w:r>
        <w:rPr>
          <w:rFonts w:asciiTheme="majorHAnsi" w:hAnsiTheme="majorHAnsi"/>
          <w:sz w:val="20"/>
        </w:rPr>
        <w:t>i</w:t>
      </w:r>
      <w:proofErr w:type="spellEnd"/>
      <w:r>
        <w:rPr>
          <w:rFonts w:asciiTheme="majorHAnsi" w:hAnsiTheme="majorHAnsi"/>
          <w:sz w:val="20"/>
        </w:rPr>
        <w:t xml:space="preserve">) manifestly unfounded charges were filed; (ii) domestic remedies have not been exhausted; and (iii) the IACHR is requested to act as a fourth international instance. </w:t>
      </w:r>
      <w:proofErr w:type="gramStart"/>
      <w:r>
        <w:rPr>
          <w:rFonts w:asciiTheme="majorHAnsi" w:hAnsiTheme="majorHAnsi"/>
          <w:sz w:val="20"/>
        </w:rPr>
        <w:t>With regard to</w:t>
      </w:r>
      <w:proofErr w:type="gramEnd"/>
      <w:r>
        <w:rPr>
          <w:rFonts w:asciiTheme="majorHAnsi" w:hAnsiTheme="majorHAnsi"/>
          <w:sz w:val="20"/>
        </w:rPr>
        <w:t xml:space="preserve"> the first item, the State stresses that the petitioners did not provide any evidence to affirm that the Colombian State acted with tolerance or acquiescence in the face of the facts. It points out that the members of the </w:t>
      </w:r>
      <w:proofErr w:type="spellStart"/>
      <w:r>
        <w:rPr>
          <w:rFonts w:asciiTheme="majorHAnsi" w:hAnsiTheme="majorHAnsi"/>
          <w:sz w:val="20"/>
        </w:rPr>
        <w:t>Calima</w:t>
      </w:r>
      <w:proofErr w:type="spellEnd"/>
      <w:r>
        <w:rPr>
          <w:rFonts w:asciiTheme="majorHAnsi" w:hAnsiTheme="majorHAnsi"/>
          <w:sz w:val="20"/>
        </w:rPr>
        <w:t xml:space="preserve"> block of the AUC never indicated that the military forces have been acquiescent. It also considers that this type of claims </w:t>
      </w:r>
      <w:proofErr w:type="gramStart"/>
      <w:r>
        <w:rPr>
          <w:rFonts w:asciiTheme="majorHAnsi" w:hAnsiTheme="majorHAnsi"/>
          <w:sz w:val="20"/>
        </w:rPr>
        <w:t>go</w:t>
      </w:r>
      <w:proofErr w:type="gramEnd"/>
      <w:r>
        <w:rPr>
          <w:rFonts w:asciiTheme="majorHAnsi" w:hAnsiTheme="majorHAnsi"/>
          <w:sz w:val="20"/>
        </w:rPr>
        <w:t xml:space="preserve"> beyond the facts in the petition and, therefore, requests that the claims be ignored in the instant proceedings and that the alleged facts of the petition are limited to those that have been duly proven. </w:t>
      </w:r>
    </w:p>
    <w:p w14:paraId="602AF792" w14:textId="5A00AE52" w:rsidR="00173BD5" w:rsidRDefault="00C44132" w:rsidP="000A5D0F">
      <w:pPr>
        <w:spacing w:before="240" w:after="240"/>
        <w:ind w:firstLine="720"/>
        <w:jc w:val="both"/>
        <w:rPr>
          <w:rFonts w:asciiTheme="majorHAnsi" w:hAnsiTheme="majorHAnsi"/>
          <w:bCs/>
          <w:sz w:val="20"/>
          <w:szCs w:val="20"/>
        </w:rPr>
      </w:pPr>
      <w:r>
        <w:rPr>
          <w:rFonts w:asciiTheme="majorHAnsi" w:hAnsiTheme="majorHAnsi"/>
          <w:sz w:val="20"/>
        </w:rPr>
        <w:t>12.</w:t>
      </w:r>
      <w:r>
        <w:rPr>
          <w:rFonts w:asciiTheme="majorHAnsi" w:hAnsiTheme="majorHAnsi"/>
          <w:sz w:val="20"/>
        </w:rPr>
        <w:tab/>
        <w:t xml:space="preserve">Colombia argues that two different criminal investigations are currently underway for the facts covered by this petition: (a) a criminal investigation before ordinary courts conducted by Public </w:t>
      </w:r>
      <w:r w:rsidR="00710517">
        <w:rPr>
          <w:rFonts w:asciiTheme="majorHAnsi" w:hAnsiTheme="majorHAnsi"/>
          <w:sz w:val="20"/>
        </w:rPr>
        <w:t xml:space="preserve">Prosecutor’s </w:t>
      </w:r>
      <w:r>
        <w:rPr>
          <w:rFonts w:asciiTheme="majorHAnsi" w:hAnsiTheme="majorHAnsi"/>
          <w:sz w:val="20"/>
        </w:rPr>
        <w:t>Office No. 32 of the Human Rights Unit, under file no. 3492; and (b) an investigation conducted within the framework of the Law on Justice and Peace under file no. 110016000253200681099. As a result, domestic remedies have not been exhausted, and accepting the petition would constitute a breach of the requirements established in Article 46.1(a) of the Convention</w:t>
      </w:r>
      <w:r w:rsidR="007B224F">
        <w:rPr>
          <w:rFonts w:asciiTheme="majorHAnsi" w:hAnsiTheme="majorHAnsi"/>
          <w:sz w:val="20"/>
        </w:rPr>
        <w:t xml:space="preserve">. </w:t>
      </w:r>
    </w:p>
    <w:p w14:paraId="18BF23EA" w14:textId="7EE829AF" w:rsidR="0067594D" w:rsidRDefault="00C44132" w:rsidP="000A5D0F">
      <w:pPr>
        <w:spacing w:before="240" w:after="240"/>
        <w:ind w:firstLine="720"/>
        <w:jc w:val="both"/>
        <w:rPr>
          <w:rFonts w:asciiTheme="majorHAnsi" w:hAnsiTheme="majorHAnsi"/>
          <w:bCs/>
          <w:sz w:val="20"/>
          <w:szCs w:val="20"/>
        </w:rPr>
      </w:pPr>
      <w:r>
        <w:rPr>
          <w:rFonts w:asciiTheme="majorHAnsi" w:hAnsiTheme="majorHAnsi"/>
          <w:sz w:val="20"/>
        </w:rPr>
        <w:t>13.</w:t>
      </w:r>
      <w:r>
        <w:rPr>
          <w:rFonts w:asciiTheme="majorHAnsi" w:hAnsiTheme="majorHAnsi"/>
          <w:sz w:val="20"/>
        </w:rPr>
        <w:tab/>
        <w:t xml:space="preserve">In the context of criminal investigation (a), the State maintains that it has ordered for evidence to be collected </w:t>
      </w:r>
      <w:proofErr w:type="gramStart"/>
      <w:r>
        <w:rPr>
          <w:rFonts w:asciiTheme="majorHAnsi" w:hAnsiTheme="majorHAnsi"/>
          <w:sz w:val="20"/>
        </w:rPr>
        <w:t>so as to</w:t>
      </w:r>
      <w:proofErr w:type="gramEnd"/>
      <w:r>
        <w:rPr>
          <w:rFonts w:asciiTheme="majorHAnsi" w:hAnsiTheme="majorHAnsi"/>
          <w:sz w:val="20"/>
        </w:rPr>
        <w:t xml:space="preserve"> clarify the </w:t>
      </w:r>
      <w:r w:rsidR="00AF6799">
        <w:rPr>
          <w:rFonts w:asciiTheme="majorHAnsi" w:hAnsiTheme="majorHAnsi"/>
          <w:sz w:val="20"/>
        </w:rPr>
        <w:t>means</w:t>
      </w:r>
      <w:r>
        <w:rPr>
          <w:rFonts w:asciiTheme="majorHAnsi" w:hAnsiTheme="majorHAnsi"/>
          <w:sz w:val="20"/>
        </w:rPr>
        <w:t xml:space="preserve">, the time and the place in which the facts occurred and thus identify those responsible. As a result, on November 21, 2013, Mr. </w:t>
      </w:r>
      <w:proofErr w:type="spellStart"/>
      <w:r>
        <w:rPr>
          <w:rFonts w:asciiTheme="majorHAnsi" w:hAnsiTheme="majorHAnsi"/>
          <w:sz w:val="20"/>
        </w:rPr>
        <w:t>Harbey</w:t>
      </w:r>
      <w:proofErr w:type="spellEnd"/>
      <w:r>
        <w:rPr>
          <w:rFonts w:asciiTheme="majorHAnsi" w:hAnsiTheme="majorHAnsi"/>
          <w:sz w:val="20"/>
        </w:rPr>
        <w:t xml:space="preserve"> Fabián Rodríguez was bound over to the proceedings, and a preventive detention order was issued against him on November 30, 2013, without the benefit of provisional release. Mr. Rodriguez is allegedly collaborating with justice, which could lead to a guilty plea. On April 29, 2014, a detention order was issued against Mr. Carlos Fabio </w:t>
      </w:r>
      <w:proofErr w:type="spellStart"/>
      <w:r>
        <w:rPr>
          <w:rFonts w:asciiTheme="majorHAnsi" w:hAnsiTheme="majorHAnsi"/>
          <w:sz w:val="20"/>
        </w:rPr>
        <w:t>Viscunda</w:t>
      </w:r>
      <w:proofErr w:type="spellEnd"/>
      <w:r>
        <w:rPr>
          <w:rFonts w:asciiTheme="majorHAnsi" w:hAnsiTheme="majorHAnsi"/>
          <w:sz w:val="20"/>
        </w:rPr>
        <w:t xml:space="preserve"> Guerrero for the crime of conspiracy</w:t>
      </w:r>
      <w:r w:rsidR="009B37FA">
        <w:rPr>
          <w:rFonts w:asciiTheme="majorHAnsi" w:hAnsiTheme="majorHAnsi"/>
          <w:sz w:val="20"/>
        </w:rPr>
        <w:t xml:space="preserve"> to commit a crime</w:t>
      </w:r>
      <w:r>
        <w:rPr>
          <w:rFonts w:asciiTheme="majorHAnsi" w:hAnsiTheme="majorHAnsi"/>
          <w:sz w:val="20"/>
        </w:rPr>
        <w:t>. He had been identified by demobilized persons as a collaborator of the paramilitary groups operating in the Cauca area and the Cauca Valley</w:t>
      </w:r>
      <w:r w:rsidR="007B224F">
        <w:rPr>
          <w:rFonts w:asciiTheme="majorHAnsi" w:hAnsiTheme="majorHAnsi"/>
          <w:sz w:val="20"/>
        </w:rPr>
        <w:t xml:space="preserve">. </w:t>
      </w:r>
    </w:p>
    <w:p w14:paraId="5BDBC339" w14:textId="021B818E" w:rsidR="00A3343B" w:rsidRDefault="00C44132" w:rsidP="00A3343B">
      <w:pPr>
        <w:spacing w:before="240" w:after="240"/>
        <w:ind w:firstLine="720"/>
        <w:jc w:val="both"/>
        <w:rPr>
          <w:rFonts w:asciiTheme="majorHAnsi" w:hAnsiTheme="majorHAnsi"/>
          <w:bCs/>
          <w:sz w:val="20"/>
          <w:szCs w:val="20"/>
        </w:rPr>
      </w:pPr>
      <w:r>
        <w:rPr>
          <w:rFonts w:asciiTheme="majorHAnsi" w:hAnsiTheme="majorHAnsi"/>
          <w:sz w:val="20"/>
        </w:rPr>
        <w:t>14.</w:t>
      </w:r>
      <w:r>
        <w:rPr>
          <w:rFonts w:asciiTheme="majorHAnsi" w:hAnsiTheme="majorHAnsi"/>
          <w:sz w:val="20"/>
        </w:rPr>
        <w:tab/>
        <w:t xml:space="preserve">In the context of criminal investigation (b), the State stresses that transitional justice systems constitute an appropriate, and even necessary, mechanism for the administration of justice for societies in the context of violence towards the end of an armed conflict. It indicates that on December 1, 2016, the Directorate of the National </w:t>
      </w:r>
      <w:r w:rsidR="00710517">
        <w:rPr>
          <w:rFonts w:asciiTheme="majorHAnsi" w:hAnsiTheme="majorHAnsi"/>
          <w:sz w:val="20"/>
        </w:rPr>
        <w:t xml:space="preserve">Public Prosecutor’s </w:t>
      </w:r>
      <w:r>
        <w:rPr>
          <w:rFonts w:asciiTheme="majorHAnsi" w:hAnsiTheme="majorHAnsi"/>
          <w:sz w:val="20"/>
        </w:rPr>
        <w:t xml:space="preserve">Office Specialized in Transitional Justice filed a request for a hearing to file charges against 725 former members of the AUC for 22,221 criminal acts, resulting in over 49,000 victims. The facts of the </w:t>
      </w:r>
      <w:proofErr w:type="spellStart"/>
      <w:r>
        <w:rPr>
          <w:rFonts w:asciiTheme="majorHAnsi" w:hAnsiTheme="majorHAnsi"/>
          <w:sz w:val="20"/>
        </w:rPr>
        <w:t>Gualanday</w:t>
      </w:r>
      <w:proofErr w:type="spellEnd"/>
      <w:r>
        <w:rPr>
          <w:rFonts w:asciiTheme="majorHAnsi" w:hAnsiTheme="majorHAnsi"/>
          <w:sz w:val="20"/>
        </w:rPr>
        <w:t xml:space="preserve"> Massacre were included. Accordingly, the State argues that the domestic remedies appropriate to analyze the alleged facts have not been exhausted. </w:t>
      </w:r>
    </w:p>
    <w:p w14:paraId="3BF5EF8E" w14:textId="7445E88B" w:rsidR="00A3343B" w:rsidRDefault="00C44132" w:rsidP="00A3343B">
      <w:pPr>
        <w:spacing w:before="240" w:after="240"/>
        <w:ind w:firstLine="720"/>
        <w:jc w:val="both"/>
        <w:rPr>
          <w:rFonts w:asciiTheme="majorHAnsi" w:hAnsiTheme="majorHAnsi"/>
          <w:bCs/>
          <w:sz w:val="20"/>
          <w:szCs w:val="20"/>
        </w:rPr>
      </w:pPr>
      <w:r>
        <w:rPr>
          <w:rFonts w:asciiTheme="majorHAnsi" w:hAnsiTheme="majorHAnsi"/>
          <w:sz w:val="20"/>
        </w:rPr>
        <w:t>15.</w:t>
      </w:r>
      <w:r>
        <w:rPr>
          <w:rFonts w:asciiTheme="majorHAnsi" w:hAnsiTheme="majorHAnsi"/>
          <w:sz w:val="20"/>
        </w:rPr>
        <w:tab/>
        <w:t xml:space="preserve">The State emphasizes that it aims to clarify the facts and to identify and try all those responsible. It stresses that the circumstances under which the facts occurred are complex, since the facts took place within the framework of an armed conflict, which included big criminal structures that have made it more difficult to determine the responsibility of all those involved. It adds that the judicial authorities have been collecting evidence, summoning witnesses, and identifying corpses, and have issued two judgements of conviction on February 29, 2012, against Armando Lugo and Elkin Fernando Vicuña Miranda. This proves that judicial operators have acted diligently and effectively in the investigation into the facts. It also adds that with the judgement of conviction and the binding over of those responsible to the proceedings, it has been possible </w:t>
      </w:r>
      <w:r>
        <w:rPr>
          <w:rFonts w:asciiTheme="majorHAnsi" w:hAnsiTheme="majorHAnsi"/>
          <w:sz w:val="20"/>
        </w:rPr>
        <w:lastRenderedPageBreak/>
        <w:t xml:space="preserve">to determine the </w:t>
      </w:r>
      <w:r w:rsidR="00AF6799">
        <w:rPr>
          <w:rFonts w:asciiTheme="majorHAnsi" w:hAnsiTheme="majorHAnsi"/>
          <w:sz w:val="20"/>
        </w:rPr>
        <w:t>means</w:t>
      </w:r>
      <w:r>
        <w:rPr>
          <w:rFonts w:asciiTheme="majorHAnsi" w:hAnsiTheme="majorHAnsi"/>
          <w:sz w:val="20"/>
        </w:rPr>
        <w:t xml:space="preserve">, the </w:t>
      </w:r>
      <w:proofErr w:type="gramStart"/>
      <w:r>
        <w:rPr>
          <w:rFonts w:asciiTheme="majorHAnsi" w:hAnsiTheme="majorHAnsi"/>
          <w:sz w:val="20"/>
        </w:rPr>
        <w:t>time</w:t>
      </w:r>
      <w:proofErr w:type="gramEnd"/>
      <w:r>
        <w:rPr>
          <w:rFonts w:asciiTheme="majorHAnsi" w:hAnsiTheme="majorHAnsi"/>
          <w:sz w:val="20"/>
        </w:rPr>
        <w:t xml:space="preserve"> and the place of the facts, which would guarantee the victims the right to truth and justice. In conclusion, the State affirms that in the instant case the judicial investigation was not subject to an unjustified delay that might exempt the petitioners from exhausting domestic remedies in accordance with Article 46.1(a) of the American Convention. </w:t>
      </w:r>
    </w:p>
    <w:p w14:paraId="776B3EE8" w14:textId="3D48F22D" w:rsidR="00951A30" w:rsidRDefault="00C44132" w:rsidP="00D30181">
      <w:pPr>
        <w:spacing w:before="240" w:after="240"/>
        <w:ind w:firstLine="720"/>
        <w:jc w:val="both"/>
        <w:rPr>
          <w:rFonts w:asciiTheme="majorHAnsi" w:hAnsiTheme="majorHAnsi"/>
          <w:bCs/>
          <w:sz w:val="20"/>
          <w:szCs w:val="20"/>
        </w:rPr>
      </w:pPr>
      <w:r>
        <w:rPr>
          <w:rFonts w:asciiTheme="majorHAnsi" w:hAnsiTheme="majorHAnsi"/>
          <w:sz w:val="20"/>
        </w:rPr>
        <w:t>16.</w:t>
      </w:r>
      <w:r>
        <w:rPr>
          <w:rFonts w:asciiTheme="majorHAnsi" w:hAnsiTheme="majorHAnsi"/>
          <w:sz w:val="20"/>
        </w:rPr>
        <w:tab/>
        <w:t xml:space="preserve">With respect to the contentious-administrative proceedings, the State argues that only a group of victims filed an action for reparation. This fact was confirmed in the observations made by the petitioners. The State stresses that only Mr. </w:t>
      </w:r>
      <w:proofErr w:type="spellStart"/>
      <w:r>
        <w:rPr>
          <w:rFonts w:asciiTheme="majorHAnsi" w:hAnsiTheme="majorHAnsi"/>
          <w:sz w:val="20"/>
        </w:rPr>
        <w:t>Herney</w:t>
      </w:r>
      <w:proofErr w:type="spellEnd"/>
      <w:r>
        <w:rPr>
          <w:rFonts w:asciiTheme="majorHAnsi" w:hAnsiTheme="majorHAnsi"/>
          <w:sz w:val="20"/>
        </w:rPr>
        <w:t xml:space="preserve"> Orozco </w:t>
      </w:r>
      <w:proofErr w:type="spellStart"/>
      <w:r>
        <w:rPr>
          <w:rFonts w:asciiTheme="majorHAnsi" w:hAnsiTheme="majorHAnsi"/>
          <w:sz w:val="20"/>
        </w:rPr>
        <w:t>Villamarín</w:t>
      </w:r>
      <w:proofErr w:type="spellEnd"/>
      <w:r>
        <w:rPr>
          <w:rFonts w:asciiTheme="majorHAnsi" w:hAnsiTheme="majorHAnsi"/>
          <w:sz w:val="20"/>
        </w:rPr>
        <w:t xml:space="preserve">, on behalf of </w:t>
      </w:r>
      <w:r w:rsidR="00021EAA">
        <w:rPr>
          <w:rFonts w:asciiTheme="majorHAnsi" w:hAnsiTheme="majorHAnsi"/>
          <w:sz w:val="20"/>
        </w:rPr>
        <w:t xml:space="preserve">a group of </w:t>
      </w:r>
      <w:r>
        <w:rPr>
          <w:rFonts w:asciiTheme="majorHAnsi" w:hAnsiTheme="majorHAnsi"/>
          <w:sz w:val="20"/>
        </w:rPr>
        <w:t>affected families, filed a claim for direct reparation against th</w:t>
      </w:r>
      <w:r w:rsidR="00B61893">
        <w:rPr>
          <w:rFonts w:asciiTheme="majorHAnsi" w:hAnsiTheme="majorHAnsi"/>
          <w:sz w:val="20"/>
        </w:rPr>
        <w:t>e</w:t>
      </w:r>
      <w:r>
        <w:rPr>
          <w:rFonts w:asciiTheme="majorHAnsi" w:hAnsiTheme="majorHAnsi"/>
          <w:sz w:val="20"/>
        </w:rPr>
        <w:t xml:space="preserve"> Ministry of </w:t>
      </w:r>
      <w:r w:rsidR="00B61893">
        <w:rPr>
          <w:rFonts w:asciiTheme="majorHAnsi" w:hAnsiTheme="majorHAnsi"/>
          <w:sz w:val="20"/>
        </w:rPr>
        <w:t>National</w:t>
      </w:r>
      <w:r>
        <w:rPr>
          <w:rFonts w:asciiTheme="majorHAnsi" w:hAnsiTheme="majorHAnsi"/>
          <w:sz w:val="20"/>
        </w:rPr>
        <w:t xml:space="preserve"> Defense and the National Army, which was resolved in favor of the State. No appeal was filed against said decision. Since they had claims of a compensatory nature, all the alleged victims should have requested administrative measures of reparation, and Mr. Orozco </w:t>
      </w:r>
      <w:proofErr w:type="spellStart"/>
      <w:r>
        <w:rPr>
          <w:rFonts w:asciiTheme="majorHAnsi" w:hAnsiTheme="majorHAnsi"/>
          <w:sz w:val="20"/>
        </w:rPr>
        <w:t>Villamarín</w:t>
      </w:r>
      <w:proofErr w:type="spellEnd"/>
      <w:r>
        <w:rPr>
          <w:rFonts w:asciiTheme="majorHAnsi" w:hAnsiTheme="majorHAnsi"/>
          <w:sz w:val="20"/>
        </w:rPr>
        <w:t xml:space="preserve"> should have also filed an appeal against the administrative decision. Therefore, domestic remedies have not been exhausted, and the exception provided for in Article 46.1(a) of the American Convention has not been met. </w:t>
      </w:r>
    </w:p>
    <w:p w14:paraId="519CBC3A" w14:textId="3C156B91" w:rsidR="00C653F7" w:rsidRDefault="00C44132" w:rsidP="00C653F7">
      <w:pPr>
        <w:spacing w:before="240" w:after="240"/>
        <w:ind w:firstLine="720"/>
        <w:jc w:val="both"/>
        <w:rPr>
          <w:rFonts w:asciiTheme="majorHAnsi" w:hAnsiTheme="majorHAnsi"/>
          <w:bCs/>
          <w:sz w:val="20"/>
          <w:szCs w:val="20"/>
        </w:rPr>
      </w:pPr>
      <w:r>
        <w:rPr>
          <w:rFonts w:asciiTheme="majorHAnsi" w:hAnsiTheme="majorHAnsi"/>
          <w:sz w:val="20"/>
        </w:rPr>
        <w:t>17.</w:t>
      </w:r>
      <w:r>
        <w:rPr>
          <w:rFonts w:asciiTheme="majorHAnsi" w:hAnsiTheme="majorHAnsi"/>
          <w:sz w:val="20"/>
        </w:rPr>
        <w:tab/>
        <w:t>The State indicates that in the instant case there are final decisions in the constitutional, contentious-</w:t>
      </w:r>
      <w:proofErr w:type="gramStart"/>
      <w:r>
        <w:rPr>
          <w:rFonts w:asciiTheme="majorHAnsi" w:hAnsiTheme="majorHAnsi"/>
          <w:sz w:val="20"/>
        </w:rPr>
        <w:t>administrative</w:t>
      </w:r>
      <w:proofErr w:type="gramEnd"/>
      <w:r>
        <w:rPr>
          <w:rFonts w:asciiTheme="majorHAnsi" w:hAnsiTheme="majorHAnsi"/>
          <w:sz w:val="20"/>
        </w:rPr>
        <w:t xml:space="preserve"> and criminal jurisdictions, which have been duly issued by competent judges and with full observance of the guarantees of due process. It stresses that the petitioners have not identified any breaches in the proceedings brought before the criminal, ordinary and transitional jurisdictions, for which final decisions have been issued. The only allegation made by the petitioners is that the two judgements of conviction will not be enforced since those </w:t>
      </w:r>
      <w:r w:rsidR="005A142A">
        <w:rPr>
          <w:rFonts w:asciiTheme="majorHAnsi" w:hAnsiTheme="majorHAnsi"/>
          <w:sz w:val="20"/>
        </w:rPr>
        <w:t>accused</w:t>
      </w:r>
      <w:r>
        <w:rPr>
          <w:rFonts w:asciiTheme="majorHAnsi" w:hAnsiTheme="majorHAnsi"/>
          <w:sz w:val="20"/>
        </w:rPr>
        <w:t xml:space="preserve"> under the Law on Justice and Peace will receive alternative sentences. As a result, it concludes that the petitioners expect the Commission to act as a court of appeals with regard to the conviction judgements, and with regard to Colombian Constitutional Court’s judgement no. C-370, </w:t>
      </w:r>
      <w:proofErr w:type="gramStart"/>
      <w:r>
        <w:rPr>
          <w:rFonts w:asciiTheme="majorHAnsi" w:hAnsiTheme="majorHAnsi"/>
          <w:sz w:val="20"/>
        </w:rPr>
        <w:t>which  established</w:t>
      </w:r>
      <w:proofErr w:type="gramEnd"/>
      <w:r>
        <w:rPr>
          <w:rFonts w:asciiTheme="majorHAnsi" w:hAnsiTheme="majorHAnsi"/>
          <w:sz w:val="20"/>
        </w:rPr>
        <w:t xml:space="preserve"> that the alternative sentences were constitutional. In addition, the State points out that the decision on the writ for the protection of constitutional rights was made following the principles of legal security and proper administration of justice, and therefore the petitions on reparations that were raised by the petitioners were resolved domestically by competent courts. In view of the foregoing, the State concludes that the Commission </w:t>
      </w:r>
      <w:r w:rsidR="00AF6799">
        <w:rPr>
          <w:rFonts w:asciiTheme="majorHAnsi" w:hAnsiTheme="majorHAnsi"/>
          <w:sz w:val="20"/>
        </w:rPr>
        <w:t>is being asked to</w:t>
      </w:r>
      <w:r>
        <w:rPr>
          <w:rFonts w:asciiTheme="majorHAnsi" w:hAnsiTheme="majorHAnsi"/>
          <w:sz w:val="20"/>
        </w:rPr>
        <w:t xml:space="preserve"> act as a “fourth instance</w:t>
      </w:r>
      <w:r w:rsidR="007B224F">
        <w:rPr>
          <w:rFonts w:asciiTheme="majorHAnsi" w:hAnsiTheme="majorHAnsi"/>
          <w:sz w:val="20"/>
        </w:rPr>
        <w:t>,”</w:t>
      </w:r>
      <w:r>
        <w:rPr>
          <w:rFonts w:asciiTheme="majorHAnsi" w:hAnsiTheme="majorHAnsi"/>
          <w:sz w:val="20"/>
        </w:rPr>
        <w:t xml:space="preserve"> and that Article 47(b) of the Convention is met</w:t>
      </w:r>
      <w:r w:rsidR="007B224F">
        <w:rPr>
          <w:rFonts w:asciiTheme="majorHAnsi" w:hAnsiTheme="majorHAnsi"/>
          <w:sz w:val="20"/>
        </w:rPr>
        <w:t xml:space="preserve">. </w:t>
      </w:r>
    </w:p>
    <w:p w14:paraId="24FEE0DD" w14:textId="5118DF0B" w:rsidR="00B61155" w:rsidRPr="00DD65D9" w:rsidRDefault="00C44132" w:rsidP="00DD65D9">
      <w:pPr>
        <w:spacing w:before="240" w:after="240"/>
        <w:ind w:firstLine="720"/>
        <w:jc w:val="both"/>
        <w:rPr>
          <w:rFonts w:asciiTheme="majorHAnsi" w:hAnsiTheme="majorHAnsi"/>
          <w:bCs/>
          <w:sz w:val="20"/>
          <w:szCs w:val="20"/>
        </w:rPr>
      </w:pPr>
      <w:r>
        <w:rPr>
          <w:rFonts w:asciiTheme="majorHAnsi" w:hAnsiTheme="majorHAnsi"/>
          <w:sz w:val="20"/>
        </w:rPr>
        <w:t>18.</w:t>
      </w:r>
      <w:r>
        <w:rPr>
          <w:rFonts w:asciiTheme="majorHAnsi" w:hAnsiTheme="majorHAnsi"/>
          <w:sz w:val="20"/>
        </w:rPr>
        <w:tab/>
        <w:t xml:space="preserve">Finally, the State points out that the petitioners did not submit facts showing an illegal or arbitrary violation of personal liberty or the right to movement and residence of the alleged victims. It indicates that the petitioners merely pointed to the </w:t>
      </w:r>
      <w:proofErr w:type="gramStart"/>
      <w:r>
        <w:rPr>
          <w:rFonts w:asciiTheme="majorHAnsi" w:hAnsiTheme="majorHAnsi"/>
          <w:sz w:val="20"/>
        </w:rPr>
        <w:t>aforementioned articles</w:t>
      </w:r>
      <w:proofErr w:type="gramEnd"/>
      <w:r>
        <w:rPr>
          <w:rFonts w:asciiTheme="majorHAnsi" w:hAnsiTheme="majorHAnsi"/>
          <w:sz w:val="20"/>
        </w:rPr>
        <w:t xml:space="preserve"> of the American Convention, but did not submit any factual or legal allegation, which would demonstrate </w:t>
      </w:r>
      <w:r>
        <w:rPr>
          <w:rFonts w:asciiTheme="majorHAnsi" w:hAnsiTheme="majorHAnsi"/>
          <w:i/>
          <w:sz w:val="20"/>
        </w:rPr>
        <w:t>prima facie</w:t>
      </w:r>
      <w:r>
        <w:rPr>
          <w:rFonts w:asciiTheme="majorHAnsi" w:hAnsiTheme="majorHAnsi"/>
          <w:sz w:val="20"/>
        </w:rPr>
        <w:t xml:space="preserve"> the violation of these rights as a result of actions or omissions by the State</w:t>
      </w:r>
      <w:r w:rsidR="007B224F">
        <w:rPr>
          <w:rFonts w:asciiTheme="majorHAnsi" w:hAnsiTheme="majorHAnsi"/>
          <w:sz w:val="20"/>
        </w:rPr>
        <w:t xml:space="preserve">. </w:t>
      </w:r>
      <w:r>
        <w:rPr>
          <w:rFonts w:asciiTheme="majorHAnsi" w:hAnsiTheme="majorHAnsi"/>
          <w:sz w:val="20"/>
        </w:rPr>
        <w:t xml:space="preserve">Therefore, the State concludes that the facts alleged in this petition are manifestly unfounded in accordance with Article 47(c) of the Convention, with respect to the rights set forth in Articles 7 (personal liberty) and 22 (movement and residence). </w:t>
      </w:r>
    </w:p>
    <w:p w14:paraId="3C3314D8" w14:textId="1201FFD4" w:rsidR="005A7C2A" w:rsidRPr="00203A19" w:rsidRDefault="005A7C2A" w:rsidP="003239B8">
      <w:pPr>
        <w:spacing w:before="240" w:after="240"/>
        <w:ind w:firstLine="720"/>
        <w:jc w:val="both"/>
        <w:rPr>
          <w:rFonts w:ascii="Cambria" w:hAnsi="Cambria"/>
          <w:bCs/>
          <w:i/>
          <w:iCs/>
          <w:color w:val="000000" w:themeColor="text1"/>
          <w:sz w:val="20"/>
          <w:szCs w:val="20"/>
        </w:rPr>
      </w:pPr>
      <w:r w:rsidRPr="00153CAC">
        <w:rPr>
          <w:rFonts w:ascii="Cambria" w:hAnsi="Cambria"/>
          <w:i/>
          <w:color w:val="000000" w:themeColor="text1"/>
          <w:sz w:val="20"/>
          <w:lang w:val="es-US"/>
        </w:rPr>
        <w:t xml:space="preserve">Abelardo Campo Casamachín </w:t>
      </w:r>
      <w:r w:rsidRPr="00153CAC">
        <w:rPr>
          <w:rFonts w:ascii="Cambria" w:hAnsi="Cambria"/>
          <w:iCs/>
          <w:color w:val="000000" w:themeColor="text1"/>
          <w:sz w:val="20"/>
          <w:lang w:val="es-US"/>
        </w:rPr>
        <w:t>et al</w:t>
      </w:r>
      <w:r w:rsidRPr="00153CAC">
        <w:rPr>
          <w:rFonts w:ascii="Cambria" w:hAnsi="Cambria"/>
          <w:i/>
          <w:color w:val="000000" w:themeColor="text1"/>
          <w:sz w:val="20"/>
          <w:lang w:val="es-US"/>
        </w:rPr>
        <w:t xml:space="preserve">. </w:t>
      </w:r>
      <w:r>
        <w:rPr>
          <w:rFonts w:ascii="Cambria" w:hAnsi="Cambria"/>
          <w:i/>
          <w:color w:val="000000" w:themeColor="text1"/>
          <w:sz w:val="20"/>
        </w:rPr>
        <w:t>(P-467-14)</w:t>
      </w:r>
    </w:p>
    <w:p w14:paraId="1819059E" w14:textId="3F5B3B8A" w:rsidR="005F6C5C" w:rsidRDefault="00C44132" w:rsidP="003A64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rPr>
      </w:pPr>
      <w:r>
        <w:rPr>
          <w:rFonts w:asciiTheme="majorHAnsi" w:hAnsiTheme="majorHAnsi"/>
          <w:sz w:val="20"/>
        </w:rPr>
        <w:t>19.</w:t>
      </w:r>
      <w:r>
        <w:rPr>
          <w:rFonts w:asciiTheme="majorHAnsi" w:hAnsiTheme="majorHAnsi"/>
          <w:sz w:val="20"/>
        </w:rPr>
        <w:tab/>
        <w:t xml:space="preserve">The petitioners make a separate and specific account of the facts and proceedings related to the fifteen </w:t>
      </w:r>
      <w:proofErr w:type="spellStart"/>
      <w:r>
        <w:rPr>
          <w:rFonts w:asciiTheme="majorHAnsi" w:hAnsiTheme="majorHAnsi"/>
          <w:i/>
          <w:iCs/>
          <w:sz w:val="20"/>
        </w:rPr>
        <w:t>comuneros</w:t>
      </w:r>
      <w:proofErr w:type="spellEnd"/>
      <w:r>
        <w:rPr>
          <w:rFonts w:asciiTheme="majorHAnsi" w:hAnsiTheme="majorHAnsi"/>
          <w:sz w:val="20"/>
        </w:rPr>
        <w:t xml:space="preserve"> who disappeared </w:t>
      </w:r>
      <w:r w:rsidR="00203C59">
        <w:rPr>
          <w:rFonts w:asciiTheme="majorHAnsi" w:hAnsiTheme="majorHAnsi"/>
          <w:sz w:val="20"/>
        </w:rPr>
        <w:t>and/</w:t>
      </w:r>
      <w:r>
        <w:rPr>
          <w:rFonts w:asciiTheme="majorHAnsi" w:hAnsiTheme="majorHAnsi"/>
          <w:sz w:val="20"/>
        </w:rPr>
        <w:t xml:space="preserve">or were killed within the framework of the present petition. On May 31, 2001, Mr. </w:t>
      </w:r>
      <w:proofErr w:type="spellStart"/>
      <w:r>
        <w:rPr>
          <w:rFonts w:asciiTheme="majorHAnsi" w:hAnsiTheme="majorHAnsi"/>
          <w:sz w:val="20"/>
        </w:rPr>
        <w:t>Libardo</w:t>
      </w:r>
      <w:proofErr w:type="spellEnd"/>
      <w:r>
        <w:rPr>
          <w:rFonts w:asciiTheme="majorHAnsi" w:hAnsiTheme="majorHAnsi"/>
          <w:sz w:val="20"/>
        </w:rPr>
        <w:t xml:space="preserve"> Méndez Passu and Mr. Fabián Alexis Méndez </w:t>
      </w:r>
      <w:proofErr w:type="spellStart"/>
      <w:r>
        <w:rPr>
          <w:rFonts w:asciiTheme="majorHAnsi" w:hAnsiTheme="majorHAnsi"/>
          <w:sz w:val="20"/>
        </w:rPr>
        <w:t>Dagua</w:t>
      </w:r>
      <w:proofErr w:type="spellEnd"/>
      <w:r>
        <w:rPr>
          <w:rFonts w:asciiTheme="majorHAnsi" w:hAnsiTheme="majorHAnsi"/>
          <w:sz w:val="20"/>
        </w:rPr>
        <w:t xml:space="preserve"> were traveling from </w:t>
      </w:r>
      <w:proofErr w:type="spellStart"/>
      <w:r>
        <w:rPr>
          <w:rFonts w:asciiTheme="majorHAnsi" w:hAnsiTheme="majorHAnsi"/>
          <w:sz w:val="20"/>
        </w:rPr>
        <w:t>Resguardo</w:t>
      </w:r>
      <w:proofErr w:type="spellEnd"/>
      <w:r>
        <w:rPr>
          <w:rFonts w:asciiTheme="majorHAnsi" w:hAnsiTheme="majorHAnsi"/>
          <w:sz w:val="20"/>
        </w:rPr>
        <w:t xml:space="preserve"> del </w:t>
      </w:r>
      <w:proofErr w:type="spellStart"/>
      <w:r>
        <w:rPr>
          <w:rFonts w:asciiTheme="majorHAnsi" w:hAnsiTheme="majorHAnsi"/>
          <w:sz w:val="20"/>
        </w:rPr>
        <w:t>Jábalo</w:t>
      </w:r>
      <w:proofErr w:type="spellEnd"/>
      <w:r>
        <w:rPr>
          <w:rFonts w:asciiTheme="majorHAnsi" w:hAnsiTheme="majorHAnsi"/>
          <w:sz w:val="20"/>
        </w:rPr>
        <w:t xml:space="preserve"> to Santander de </w:t>
      </w:r>
      <w:proofErr w:type="spellStart"/>
      <w:r>
        <w:rPr>
          <w:rFonts w:asciiTheme="majorHAnsi" w:hAnsiTheme="majorHAnsi"/>
          <w:sz w:val="20"/>
        </w:rPr>
        <w:t>Quilichao</w:t>
      </w:r>
      <w:proofErr w:type="spellEnd"/>
      <w:r>
        <w:rPr>
          <w:rFonts w:asciiTheme="majorHAnsi" w:hAnsiTheme="majorHAnsi"/>
          <w:sz w:val="20"/>
        </w:rPr>
        <w:t xml:space="preserve"> when they were arrested by members of the AUC, who took them to the banks of the </w:t>
      </w:r>
      <w:proofErr w:type="gramStart"/>
      <w:r>
        <w:rPr>
          <w:rFonts w:asciiTheme="majorHAnsi" w:hAnsiTheme="majorHAnsi"/>
          <w:sz w:val="20"/>
        </w:rPr>
        <w:t>Cauca river</w:t>
      </w:r>
      <w:proofErr w:type="gramEnd"/>
      <w:r>
        <w:rPr>
          <w:rFonts w:asciiTheme="majorHAnsi" w:hAnsiTheme="majorHAnsi"/>
          <w:sz w:val="20"/>
        </w:rPr>
        <w:t xml:space="preserve">, interrogated them and shot them to death. On June 2, 2001, the next of kin of Mr. Méndez Passu and Mr. Méndez </w:t>
      </w:r>
      <w:proofErr w:type="spellStart"/>
      <w:r>
        <w:rPr>
          <w:rFonts w:asciiTheme="majorHAnsi" w:hAnsiTheme="majorHAnsi"/>
          <w:sz w:val="20"/>
        </w:rPr>
        <w:t>Dagua</w:t>
      </w:r>
      <w:proofErr w:type="spellEnd"/>
      <w:r>
        <w:rPr>
          <w:rFonts w:asciiTheme="majorHAnsi" w:hAnsiTheme="majorHAnsi"/>
          <w:sz w:val="20"/>
        </w:rPr>
        <w:t xml:space="preserve"> filed a complaint with the Attorney General’s Office (AG). On February 7, 2002, the criminal investigation was referred to the Specialized Prosecution Office of </w:t>
      </w:r>
      <w:proofErr w:type="spellStart"/>
      <w:r>
        <w:rPr>
          <w:rFonts w:asciiTheme="majorHAnsi" w:hAnsiTheme="majorHAnsi"/>
          <w:sz w:val="20"/>
        </w:rPr>
        <w:t>Popayán</w:t>
      </w:r>
      <w:proofErr w:type="spellEnd"/>
      <w:r>
        <w:rPr>
          <w:rFonts w:asciiTheme="majorHAnsi" w:hAnsiTheme="majorHAnsi"/>
          <w:sz w:val="20"/>
        </w:rPr>
        <w:t xml:space="preserve">. However, the four criminal investigations for enforced disappearance have been suspended since November 15, 2006, when they were sent to the Justice and Peace </w:t>
      </w:r>
      <w:r w:rsidR="00B61893">
        <w:rPr>
          <w:rFonts w:asciiTheme="majorHAnsi" w:hAnsiTheme="majorHAnsi"/>
          <w:sz w:val="20"/>
        </w:rPr>
        <w:t xml:space="preserve">Unit </w:t>
      </w:r>
      <w:r>
        <w:rPr>
          <w:rFonts w:asciiTheme="majorHAnsi" w:hAnsiTheme="majorHAnsi"/>
          <w:sz w:val="20"/>
        </w:rPr>
        <w:t>of Public Prosecut</w:t>
      </w:r>
      <w:r w:rsidR="00710517">
        <w:rPr>
          <w:rFonts w:asciiTheme="majorHAnsi" w:hAnsiTheme="majorHAnsi"/>
          <w:sz w:val="20"/>
        </w:rPr>
        <w:t>or’s</w:t>
      </w:r>
      <w:r>
        <w:rPr>
          <w:rFonts w:asciiTheme="majorHAnsi" w:hAnsiTheme="majorHAnsi"/>
          <w:sz w:val="20"/>
        </w:rPr>
        <w:t xml:space="preserve"> Office No. 40 </w:t>
      </w:r>
      <w:r w:rsidR="00637D0E">
        <w:rPr>
          <w:rFonts w:asciiTheme="majorHAnsi" w:hAnsiTheme="majorHAnsi"/>
          <w:sz w:val="20"/>
        </w:rPr>
        <w:t>to act before the</w:t>
      </w:r>
      <w:r>
        <w:rPr>
          <w:rFonts w:asciiTheme="majorHAnsi" w:hAnsiTheme="majorHAnsi"/>
          <w:sz w:val="20"/>
        </w:rPr>
        <w:t xml:space="preserve"> Superior Court of </w:t>
      </w:r>
      <w:r w:rsidR="00AF6799">
        <w:rPr>
          <w:rFonts w:asciiTheme="majorHAnsi" w:hAnsiTheme="majorHAnsi"/>
          <w:sz w:val="20"/>
        </w:rPr>
        <w:t>the District</w:t>
      </w:r>
      <w:r>
        <w:rPr>
          <w:rFonts w:asciiTheme="majorHAnsi" w:hAnsiTheme="majorHAnsi"/>
          <w:sz w:val="20"/>
        </w:rPr>
        <w:t xml:space="preserve">. </w:t>
      </w:r>
      <w:proofErr w:type="gramStart"/>
      <w:r>
        <w:rPr>
          <w:rFonts w:asciiTheme="majorHAnsi" w:hAnsiTheme="majorHAnsi"/>
          <w:sz w:val="20"/>
        </w:rPr>
        <w:t>With regard to</w:t>
      </w:r>
      <w:proofErr w:type="gramEnd"/>
      <w:r>
        <w:rPr>
          <w:rFonts w:asciiTheme="majorHAnsi" w:hAnsiTheme="majorHAnsi"/>
          <w:sz w:val="20"/>
        </w:rPr>
        <w:t xml:space="preserve"> the contentious-administrative proceedings, the petitioners note that on July 25, 2012, the National Government (the Ministry of the Interior, the Ministry of Defense, the Army, the National Police and the </w:t>
      </w:r>
      <w:r w:rsidR="00B61893">
        <w:rPr>
          <w:rFonts w:asciiTheme="majorHAnsi" w:hAnsiTheme="majorHAnsi"/>
          <w:sz w:val="20"/>
        </w:rPr>
        <w:t>d</w:t>
      </w:r>
      <w:r>
        <w:rPr>
          <w:rFonts w:asciiTheme="majorHAnsi" w:hAnsiTheme="majorHAnsi"/>
          <w:sz w:val="20"/>
        </w:rPr>
        <w:t xml:space="preserve">epartment of Cauca) was summoned to a hearing, in which the alleged victims wanted to reach an agreement based on the recognition of the material and moral damages caused by the facts. However, it was not possible to reach an agreement between the parties. </w:t>
      </w:r>
    </w:p>
    <w:p w14:paraId="31A75F87" w14:textId="66337BC1" w:rsidR="006D4A83" w:rsidRDefault="00FE13DB" w:rsidP="002644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rPr>
      </w:pPr>
      <w:r>
        <w:rPr>
          <w:rFonts w:asciiTheme="majorHAnsi" w:hAnsiTheme="majorHAnsi"/>
          <w:sz w:val="20"/>
        </w:rPr>
        <w:lastRenderedPageBreak/>
        <w:t>20.</w:t>
      </w:r>
      <w:r>
        <w:rPr>
          <w:rFonts w:asciiTheme="majorHAnsi" w:hAnsiTheme="majorHAnsi"/>
          <w:sz w:val="20"/>
        </w:rPr>
        <w:tab/>
        <w:t xml:space="preserve">Therefore, on October 24, 2013, the alleged victims filed a claim for direct reparation that was twice dismissed by the Eighth Administrative Court of </w:t>
      </w:r>
      <w:proofErr w:type="spellStart"/>
      <w:r>
        <w:rPr>
          <w:rFonts w:asciiTheme="majorHAnsi" w:hAnsiTheme="majorHAnsi"/>
          <w:sz w:val="20"/>
        </w:rPr>
        <w:t>Popayán</w:t>
      </w:r>
      <w:proofErr w:type="spellEnd"/>
      <w:r>
        <w:rPr>
          <w:rFonts w:asciiTheme="majorHAnsi" w:hAnsiTheme="majorHAnsi"/>
          <w:sz w:val="20"/>
        </w:rPr>
        <w:t xml:space="preserve">. The alleged victims filed an appeal against the dismissal; the Contentious Administrative Court of </w:t>
      </w:r>
      <w:proofErr w:type="spellStart"/>
      <w:r>
        <w:rPr>
          <w:rFonts w:asciiTheme="majorHAnsi" w:hAnsiTheme="majorHAnsi"/>
          <w:sz w:val="20"/>
        </w:rPr>
        <w:t>Popayán</w:t>
      </w:r>
      <w:proofErr w:type="spellEnd"/>
      <w:r>
        <w:rPr>
          <w:rFonts w:asciiTheme="majorHAnsi" w:hAnsiTheme="majorHAnsi"/>
          <w:sz w:val="20"/>
        </w:rPr>
        <w:t xml:space="preserve"> </w:t>
      </w:r>
      <w:r w:rsidR="00666003">
        <w:rPr>
          <w:rFonts w:asciiTheme="majorHAnsi" w:hAnsiTheme="majorHAnsi"/>
          <w:sz w:val="20"/>
        </w:rPr>
        <w:t>decided</w:t>
      </w:r>
      <w:r>
        <w:rPr>
          <w:rFonts w:asciiTheme="majorHAnsi" w:hAnsiTheme="majorHAnsi"/>
          <w:sz w:val="20"/>
        </w:rPr>
        <w:t xml:space="preserve"> their claim for direct </w:t>
      </w:r>
      <w:proofErr w:type="gramStart"/>
      <w:r>
        <w:rPr>
          <w:rFonts w:asciiTheme="majorHAnsi" w:hAnsiTheme="majorHAnsi"/>
          <w:sz w:val="20"/>
        </w:rPr>
        <w:t>reparation  on</w:t>
      </w:r>
      <w:proofErr w:type="gramEnd"/>
      <w:r>
        <w:rPr>
          <w:rFonts w:asciiTheme="majorHAnsi" w:hAnsiTheme="majorHAnsi"/>
          <w:sz w:val="20"/>
        </w:rPr>
        <w:t xml:space="preserve"> March 14, 2014. Finally, within the framework of Law 975 of 2005, those </w:t>
      </w:r>
      <w:r w:rsidR="005A142A">
        <w:rPr>
          <w:rFonts w:asciiTheme="majorHAnsi" w:hAnsiTheme="majorHAnsi"/>
          <w:sz w:val="20"/>
        </w:rPr>
        <w:t>accused of</w:t>
      </w:r>
      <w:r>
        <w:rPr>
          <w:rFonts w:asciiTheme="majorHAnsi" w:hAnsiTheme="majorHAnsi"/>
          <w:sz w:val="20"/>
        </w:rPr>
        <w:t xml:space="preserve"> the facts allegedly confessed to the crimes spontaneously, and as part of this proceeding the next of kin were reportedly recognized as victims</w:t>
      </w:r>
      <w:r w:rsidR="007B224F">
        <w:rPr>
          <w:rFonts w:asciiTheme="majorHAnsi" w:hAnsiTheme="majorHAnsi"/>
          <w:sz w:val="20"/>
        </w:rPr>
        <w:t xml:space="preserve">. </w:t>
      </w:r>
    </w:p>
    <w:p w14:paraId="58A668A0" w14:textId="306A1214" w:rsidR="000E657E" w:rsidRDefault="00FE13DB" w:rsidP="000E65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rPr>
      </w:pPr>
      <w:r>
        <w:rPr>
          <w:rFonts w:asciiTheme="majorHAnsi" w:hAnsiTheme="majorHAnsi"/>
          <w:sz w:val="20"/>
        </w:rPr>
        <w:t>21.</w:t>
      </w:r>
      <w:r>
        <w:rPr>
          <w:rFonts w:asciiTheme="majorHAnsi" w:hAnsiTheme="majorHAnsi"/>
          <w:sz w:val="20"/>
        </w:rPr>
        <w:tab/>
        <w:t xml:space="preserve">On March 2, 2001, Mr. </w:t>
      </w:r>
      <w:proofErr w:type="spellStart"/>
      <w:r>
        <w:rPr>
          <w:rFonts w:asciiTheme="majorHAnsi" w:hAnsiTheme="majorHAnsi"/>
          <w:sz w:val="20"/>
        </w:rPr>
        <w:t>Saulo</w:t>
      </w:r>
      <w:proofErr w:type="spellEnd"/>
      <w:r>
        <w:rPr>
          <w:rFonts w:asciiTheme="majorHAnsi" w:hAnsiTheme="majorHAnsi"/>
          <w:sz w:val="20"/>
        </w:rPr>
        <w:t xml:space="preserve"> Mosquera </w:t>
      </w:r>
      <w:proofErr w:type="spellStart"/>
      <w:r>
        <w:rPr>
          <w:rFonts w:asciiTheme="majorHAnsi" w:hAnsiTheme="majorHAnsi"/>
          <w:sz w:val="20"/>
        </w:rPr>
        <w:t>Fiscue</w:t>
      </w:r>
      <w:proofErr w:type="spellEnd"/>
      <w:r>
        <w:rPr>
          <w:rFonts w:asciiTheme="majorHAnsi" w:hAnsiTheme="majorHAnsi"/>
          <w:sz w:val="20"/>
        </w:rPr>
        <w:t xml:space="preserve"> was arrested by members of the </w:t>
      </w:r>
      <w:proofErr w:type="spellStart"/>
      <w:r>
        <w:rPr>
          <w:rFonts w:asciiTheme="majorHAnsi" w:hAnsiTheme="majorHAnsi"/>
          <w:sz w:val="20"/>
        </w:rPr>
        <w:t>Calima</w:t>
      </w:r>
      <w:proofErr w:type="spellEnd"/>
      <w:r>
        <w:rPr>
          <w:rFonts w:asciiTheme="majorHAnsi" w:hAnsiTheme="majorHAnsi"/>
          <w:sz w:val="20"/>
        </w:rPr>
        <w:t xml:space="preserve"> block and by an army soldier at a gas station in Santander de </w:t>
      </w:r>
      <w:proofErr w:type="spellStart"/>
      <w:r>
        <w:rPr>
          <w:rFonts w:asciiTheme="majorHAnsi" w:hAnsiTheme="majorHAnsi"/>
          <w:sz w:val="20"/>
        </w:rPr>
        <w:t>Quilichao</w:t>
      </w:r>
      <w:proofErr w:type="spellEnd"/>
      <w:r>
        <w:rPr>
          <w:rFonts w:asciiTheme="majorHAnsi" w:hAnsiTheme="majorHAnsi"/>
          <w:sz w:val="20"/>
        </w:rPr>
        <w:t xml:space="preserve">. He was killed, and his body thrown away in the </w:t>
      </w:r>
      <w:proofErr w:type="gramStart"/>
      <w:r>
        <w:rPr>
          <w:rFonts w:asciiTheme="majorHAnsi" w:hAnsiTheme="majorHAnsi"/>
          <w:sz w:val="20"/>
        </w:rPr>
        <w:t>Cauca river</w:t>
      </w:r>
      <w:proofErr w:type="gramEnd"/>
      <w:r>
        <w:rPr>
          <w:rFonts w:asciiTheme="majorHAnsi" w:hAnsiTheme="majorHAnsi"/>
          <w:sz w:val="20"/>
        </w:rPr>
        <w:t xml:space="preserve">. The petitioners indicate that there is reportedly a proceeding before the Seventh Specialized Prosecution Office of </w:t>
      </w:r>
      <w:proofErr w:type="spellStart"/>
      <w:r>
        <w:rPr>
          <w:rFonts w:asciiTheme="majorHAnsi" w:hAnsiTheme="majorHAnsi"/>
          <w:sz w:val="20"/>
        </w:rPr>
        <w:t>Popayán</w:t>
      </w:r>
      <w:proofErr w:type="spellEnd"/>
      <w:r>
        <w:rPr>
          <w:rFonts w:asciiTheme="majorHAnsi" w:hAnsiTheme="majorHAnsi"/>
          <w:sz w:val="20"/>
        </w:rPr>
        <w:t xml:space="preserve">, which has not progressed, and that the facts were allegedly confessed in transitional justice. As for the contentious-administrative proceedings, the National Government was also summoned to a settlement hearing on July 25, 2012, but no agreement was reached. As a result, the relatives filed a claim for direct reparation before the Fifth Administrative Court of </w:t>
      </w:r>
      <w:proofErr w:type="spellStart"/>
      <w:r>
        <w:rPr>
          <w:rFonts w:asciiTheme="majorHAnsi" w:hAnsiTheme="majorHAnsi"/>
          <w:sz w:val="20"/>
        </w:rPr>
        <w:t>Popayán</w:t>
      </w:r>
      <w:proofErr w:type="spellEnd"/>
      <w:r w:rsidR="007B224F">
        <w:rPr>
          <w:rFonts w:asciiTheme="majorHAnsi" w:hAnsiTheme="majorHAnsi"/>
          <w:sz w:val="20"/>
        </w:rPr>
        <w:t xml:space="preserve">. </w:t>
      </w:r>
      <w:r>
        <w:rPr>
          <w:rFonts w:asciiTheme="majorHAnsi" w:hAnsiTheme="majorHAnsi"/>
          <w:sz w:val="20"/>
        </w:rPr>
        <w:t xml:space="preserve">On May 6, 2001, Mr. Rubén </w:t>
      </w:r>
      <w:proofErr w:type="spellStart"/>
      <w:r>
        <w:rPr>
          <w:rFonts w:asciiTheme="majorHAnsi" w:hAnsiTheme="majorHAnsi"/>
          <w:sz w:val="20"/>
        </w:rPr>
        <w:t>Ulcue</w:t>
      </w:r>
      <w:proofErr w:type="spellEnd"/>
      <w:r>
        <w:rPr>
          <w:rFonts w:asciiTheme="majorHAnsi" w:hAnsiTheme="majorHAnsi"/>
          <w:sz w:val="20"/>
        </w:rPr>
        <w:t xml:space="preserve"> Apio traveled from the township of Buenavista to Santander de </w:t>
      </w:r>
      <w:proofErr w:type="spellStart"/>
      <w:r>
        <w:rPr>
          <w:rFonts w:asciiTheme="majorHAnsi" w:hAnsiTheme="majorHAnsi"/>
          <w:sz w:val="20"/>
        </w:rPr>
        <w:t>Quilichao</w:t>
      </w:r>
      <w:proofErr w:type="spellEnd"/>
      <w:r>
        <w:rPr>
          <w:rFonts w:asciiTheme="majorHAnsi" w:hAnsiTheme="majorHAnsi"/>
          <w:sz w:val="20"/>
        </w:rPr>
        <w:t xml:space="preserve">, where he was killed. His body was later recognized by his next of kin, and a criminal proceeding was brought before Public </w:t>
      </w:r>
      <w:r w:rsidR="00710517">
        <w:rPr>
          <w:rFonts w:asciiTheme="majorHAnsi" w:hAnsiTheme="majorHAnsi"/>
          <w:sz w:val="20"/>
        </w:rPr>
        <w:t xml:space="preserve">Prosecutor’s </w:t>
      </w:r>
      <w:r>
        <w:rPr>
          <w:rFonts w:asciiTheme="majorHAnsi" w:hAnsiTheme="majorHAnsi"/>
          <w:sz w:val="20"/>
        </w:rPr>
        <w:t xml:space="preserve">Office No. 21 of the Unit </w:t>
      </w:r>
      <w:proofErr w:type="gramStart"/>
      <w:r>
        <w:rPr>
          <w:rFonts w:asciiTheme="majorHAnsi" w:hAnsiTheme="majorHAnsi"/>
          <w:sz w:val="20"/>
        </w:rPr>
        <w:t>of  Human</w:t>
      </w:r>
      <w:proofErr w:type="gramEnd"/>
      <w:r>
        <w:rPr>
          <w:rFonts w:asciiTheme="majorHAnsi" w:hAnsiTheme="majorHAnsi"/>
          <w:sz w:val="20"/>
        </w:rPr>
        <w:t xml:space="preserve"> Rights. The proceedings are reportedly in a pre-trial stage.</w:t>
      </w:r>
    </w:p>
    <w:p w14:paraId="4B78A4A3" w14:textId="22274E16" w:rsidR="006D4A83" w:rsidRDefault="00FE13DB" w:rsidP="00BA43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rPr>
      </w:pPr>
      <w:r>
        <w:rPr>
          <w:rFonts w:asciiTheme="majorHAnsi" w:hAnsiTheme="majorHAnsi"/>
          <w:sz w:val="20"/>
        </w:rPr>
        <w:t>22.</w:t>
      </w:r>
      <w:r>
        <w:rPr>
          <w:rFonts w:asciiTheme="majorHAnsi" w:hAnsiTheme="majorHAnsi"/>
          <w:sz w:val="20"/>
        </w:rPr>
        <w:tab/>
        <w:t xml:space="preserve">On March 15, 2001, Mr. Abelardo Campo </w:t>
      </w:r>
      <w:proofErr w:type="spellStart"/>
      <w:r>
        <w:rPr>
          <w:rFonts w:asciiTheme="majorHAnsi" w:hAnsiTheme="majorHAnsi"/>
          <w:sz w:val="20"/>
        </w:rPr>
        <w:t>Casamachín</w:t>
      </w:r>
      <w:proofErr w:type="spellEnd"/>
      <w:r>
        <w:rPr>
          <w:rFonts w:asciiTheme="majorHAnsi" w:hAnsiTheme="majorHAnsi"/>
          <w:sz w:val="20"/>
        </w:rPr>
        <w:t xml:space="preserve"> was traveling from </w:t>
      </w:r>
      <w:proofErr w:type="spellStart"/>
      <w:r>
        <w:rPr>
          <w:rFonts w:asciiTheme="majorHAnsi" w:hAnsiTheme="majorHAnsi"/>
          <w:sz w:val="20"/>
        </w:rPr>
        <w:t>Resguardo</w:t>
      </w:r>
      <w:proofErr w:type="spellEnd"/>
      <w:r>
        <w:rPr>
          <w:rFonts w:asciiTheme="majorHAnsi" w:hAnsiTheme="majorHAnsi"/>
          <w:sz w:val="20"/>
        </w:rPr>
        <w:t xml:space="preserve"> de López </w:t>
      </w:r>
      <w:proofErr w:type="spellStart"/>
      <w:r>
        <w:rPr>
          <w:rFonts w:asciiTheme="majorHAnsi" w:hAnsiTheme="majorHAnsi"/>
          <w:sz w:val="20"/>
        </w:rPr>
        <w:t>Adentro</w:t>
      </w:r>
      <w:proofErr w:type="spellEnd"/>
      <w:r>
        <w:rPr>
          <w:rFonts w:asciiTheme="majorHAnsi" w:hAnsiTheme="majorHAnsi"/>
          <w:sz w:val="20"/>
        </w:rPr>
        <w:t xml:space="preserve"> de </w:t>
      </w:r>
      <w:proofErr w:type="spellStart"/>
      <w:r>
        <w:rPr>
          <w:rFonts w:asciiTheme="majorHAnsi" w:hAnsiTheme="majorHAnsi"/>
          <w:sz w:val="20"/>
        </w:rPr>
        <w:t>Caloto</w:t>
      </w:r>
      <w:proofErr w:type="spellEnd"/>
      <w:r>
        <w:rPr>
          <w:rFonts w:asciiTheme="majorHAnsi" w:hAnsiTheme="majorHAnsi"/>
          <w:sz w:val="20"/>
        </w:rPr>
        <w:t xml:space="preserve"> to </w:t>
      </w:r>
      <w:proofErr w:type="spellStart"/>
      <w:r>
        <w:rPr>
          <w:rFonts w:asciiTheme="majorHAnsi" w:hAnsiTheme="majorHAnsi"/>
          <w:sz w:val="20"/>
        </w:rPr>
        <w:t>Caloto</w:t>
      </w:r>
      <w:proofErr w:type="spellEnd"/>
      <w:r>
        <w:rPr>
          <w:rFonts w:asciiTheme="majorHAnsi" w:hAnsiTheme="majorHAnsi"/>
          <w:sz w:val="20"/>
        </w:rPr>
        <w:t xml:space="preserve">, when he disappeared. His whereabouts remain unknown. The Public </w:t>
      </w:r>
      <w:r w:rsidR="00710517">
        <w:rPr>
          <w:rFonts w:asciiTheme="majorHAnsi" w:hAnsiTheme="majorHAnsi"/>
          <w:sz w:val="20"/>
        </w:rPr>
        <w:t xml:space="preserve">Prosecutor’s </w:t>
      </w:r>
      <w:r>
        <w:rPr>
          <w:rFonts w:asciiTheme="majorHAnsi" w:hAnsiTheme="majorHAnsi"/>
          <w:sz w:val="20"/>
        </w:rPr>
        <w:t xml:space="preserve">Office is not conducting any criminal proceedings to investigate his disappearance, </w:t>
      </w:r>
      <w:proofErr w:type="gramStart"/>
      <w:r>
        <w:rPr>
          <w:rFonts w:asciiTheme="majorHAnsi" w:hAnsiTheme="majorHAnsi"/>
          <w:sz w:val="20"/>
        </w:rPr>
        <w:t>despite the fact that</w:t>
      </w:r>
      <w:proofErr w:type="gramEnd"/>
      <w:r>
        <w:rPr>
          <w:rFonts w:asciiTheme="majorHAnsi" w:hAnsiTheme="majorHAnsi"/>
          <w:sz w:val="20"/>
        </w:rPr>
        <w:t xml:space="preserve"> a complaint was filed on March 17, 2001. On June 14, 2000, Mr. </w:t>
      </w:r>
      <w:proofErr w:type="spellStart"/>
      <w:r>
        <w:rPr>
          <w:rFonts w:asciiTheme="majorHAnsi" w:hAnsiTheme="majorHAnsi"/>
          <w:sz w:val="20"/>
        </w:rPr>
        <w:t>Laurentino</w:t>
      </w:r>
      <w:proofErr w:type="spellEnd"/>
      <w:r>
        <w:rPr>
          <w:rFonts w:asciiTheme="majorHAnsi" w:hAnsiTheme="majorHAnsi"/>
          <w:sz w:val="20"/>
        </w:rPr>
        <w:t xml:space="preserve"> </w:t>
      </w:r>
      <w:proofErr w:type="spellStart"/>
      <w:r>
        <w:rPr>
          <w:rFonts w:asciiTheme="majorHAnsi" w:hAnsiTheme="majorHAnsi"/>
          <w:sz w:val="20"/>
        </w:rPr>
        <w:t>Casamachín</w:t>
      </w:r>
      <w:proofErr w:type="spellEnd"/>
      <w:r>
        <w:rPr>
          <w:rFonts w:asciiTheme="majorHAnsi" w:hAnsiTheme="majorHAnsi"/>
          <w:sz w:val="20"/>
        </w:rPr>
        <w:t xml:space="preserve"> </w:t>
      </w:r>
      <w:proofErr w:type="spellStart"/>
      <w:r>
        <w:rPr>
          <w:rFonts w:asciiTheme="majorHAnsi" w:hAnsiTheme="majorHAnsi"/>
          <w:sz w:val="20"/>
        </w:rPr>
        <w:t>Secue</w:t>
      </w:r>
      <w:proofErr w:type="spellEnd"/>
      <w:r>
        <w:rPr>
          <w:rFonts w:asciiTheme="majorHAnsi" w:hAnsiTheme="majorHAnsi"/>
          <w:sz w:val="20"/>
        </w:rPr>
        <w:t xml:space="preserve"> was traveling from the municipality of Puerto </w:t>
      </w:r>
      <w:proofErr w:type="spellStart"/>
      <w:r>
        <w:rPr>
          <w:rFonts w:asciiTheme="majorHAnsi" w:hAnsiTheme="majorHAnsi"/>
          <w:sz w:val="20"/>
        </w:rPr>
        <w:t>Asís</w:t>
      </w:r>
      <w:proofErr w:type="spellEnd"/>
      <w:r>
        <w:rPr>
          <w:rFonts w:asciiTheme="majorHAnsi" w:hAnsiTheme="majorHAnsi"/>
          <w:sz w:val="20"/>
        </w:rPr>
        <w:t xml:space="preserve"> to </w:t>
      </w:r>
      <w:proofErr w:type="spellStart"/>
      <w:r>
        <w:rPr>
          <w:rFonts w:asciiTheme="majorHAnsi" w:hAnsiTheme="majorHAnsi"/>
          <w:sz w:val="20"/>
        </w:rPr>
        <w:t>Resguardo</w:t>
      </w:r>
      <w:proofErr w:type="spellEnd"/>
      <w:r>
        <w:rPr>
          <w:rFonts w:asciiTheme="majorHAnsi" w:hAnsiTheme="majorHAnsi"/>
          <w:sz w:val="20"/>
        </w:rPr>
        <w:t xml:space="preserve"> </w:t>
      </w:r>
      <w:proofErr w:type="spellStart"/>
      <w:r>
        <w:rPr>
          <w:rFonts w:asciiTheme="majorHAnsi" w:hAnsiTheme="majorHAnsi"/>
          <w:sz w:val="20"/>
        </w:rPr>
        <w:t>Indígena</w:t>
      </w:r>
      <w:proofErr w:type="spellEnd"/>
      <w:r>
        <w:rPr>
          <w:rFonts w:asciiTheme="majorHAnsi" w:hAnsiTheme="majorHAnsi"/>
          <w:sz w:val="20"/>
        </w:rPr>
        <w:t xml:space="preserve"> de Lopez </w:t>
      </w:r>
      <w:proofErr w:type="spellStart"/>
      <w:r>
        <w:rPr>
          <w:rFonts w:asciiTheme="majorHAnsi" w:hAnsiTheme="majorHAnsi"/>
          <w:sz w:val="20"/>
        </w:rPr>
        <w:t>Adentro</w:t>
      </w:r>
      <w:proofErr w:type="spellEnd"/>
      <w:r>
        <w:rPr>
          <w:rFonts w:asciiTheme="majorHAnsi" w:hAnsiTheme="majorHAnsi"/>
          <w:sz w:val="20"/>
        </w:rPr>
        <w:t xml:space="preserve">, when he disappeared. The last time he was seen alive was in Santander de </w:t>
      </w:r>
      <w:proofErr w:type="spellStart"/>
      <w:r>
        <w:rPr>
          <w:rFonts w:asciiTheme="majorHAnsi" w:hAnsiTheme="majorHAnsi"/>
          <w:sz w:val="20"/>
        </w:rPr>
        <w:t>Quilichao</w:t>
      </w:r>
      <w:proofErr w:type="spellEnd"/>
      <w:r>
        <w:rPr>
          <w:rFonts w:asciiTheme="majorHAnsi" w:hAnsiTheme="majorHAnsi"/>
          <w:sz w:val="20"/>
        </w:rPr>
        <w:t xml:space="preserve">. His next of kin filed a complaint. As a result, an investigation was opened by Public </w:t>
      </w:r>
      <w:r w:rsidR="00710517">
        <w:rPr>
          <w:rFonts w:asciiTheme="majorHAnsi" w:hAnsiTheme="majorHAnsi"/>
          <w:sz w:val="20"/>
        </w:rPr>
        <w:t xml:space="preserve">Prosecutor’s </w:t>
      </w:r>
      <w:r>
        <w:rPr>
          <w:rFonts w:asciiTheme="majorHAnsi" w:hAnsiTheme="majorHAnsi"/>
          <w:sz w:val="20"/>
        </w:rPr>
        <w:t xml:space="preserve">Office No. 27 </w:t>
      </w:r>
      <w:r w:rsidR="00637D0E">
        <w:rPr>
          <w:rFonts w:asciiTheme="majorHAnsi" w:hAnsiTheme="majorHAnsi"/>
          <w:sz w:val="20"/>
        </w:rPr>
        <w:t>to act</w:t>
      </w:r>
      <w:r>
        <w:rPr>
          <w:rFonts w:asciiTheme="majorHAnsi" w:hAnsiTheme="majorHAnsi"/>
          <w:sz w:val="20"/>
        </w:rPr>
        <w:t xml:space="preserve"> before the Justice and Peace </w:t>
      </w:r>
      <w:r w:rsidR="00710517">
        <w:rPr>
          <w:rFonts w:asciiTheme="majorHAnsi" w:hAnsiTheme="majorHAnsi"/>
          <w:sz w:val="20"/>
        </w:rPr>
        <w:t xml:space="preserve">Unit </w:t>
      </w:r>
      <w:r>
        <w:rPr>
          <w:rFonts w:asciiTheme="majorHAnsi" w:hAnsiTheme="majorHAnsi"/>
          <w:sz w:val="20"/>
        </w:rPr>
        <w:t xml:space="preserve">of the Superior Court </w:t>
      </w:r>
      <w:r w:rsidR="00710517">
        <w:rPr>
          <w:rFonts w:asciiTheme="majorHAnsi" w:hAnsiTheme="majorHAnsi"/>
          <w:sz w:val="20"/>
        </w:rPr>
        <w:t>of the District</w:t>
      </w:r>
      <w:r>
        <w:rPr>
          <w:rFonts w:asciiTheme="majorHAnsi" w:hAnsiTheme="majorHAnsi"/>
          <w:sz w:val="20"/>
        </w:rPr>
        <w:t xml:space="preserve"> of Bogotá. Those responsible confessed to the facts in the transitional justice jurisdiction</w:t>
      </w:r>
      <w:r w:rsidR="007B224F">
        <w:rPr>
          <w:rFonts w:asciiTheme="majorHAnsi" w:hAnsiTheme="majorHAnsi"/>
          <w:sz w:val="20"/>
        </w:rPr>
        <w:t xml:space="preserve">. </w:t>
      </w:r>
      <w:r>
        <w:rPr>
          <w:rFonts w:asciiTheme="majorHAnsi" w:hAnsiTheme="majorHAnsi"/>
          <w:sz w:val="20"/>
        </w:rPr>
        <w:t xml:space="preserve">On February 7, 2001, Mr. Nepomuceno Largo Campo disappeared while he was traveling from Toribio to Santander de </w:t>
      </w:r>
      <w:proofErr w:type="spellStart"/>
      <w:r>
        <w:rPr>
          <w:rFonts w:asciiTheme="majorHAnsi" w:hAnsiTheme="majorHAnsi"/>
          <w:sz w:val="20"/>
        </w:rPr>
        <w:t>Quilichao</w:t>
      </w:r>
      <w:proofErr w:type="spellEnd"/>
      <w:r>
        <w:rPr>
          <w:rFonts w:asciiTheme="majorHAnsi" w:hAnsiTheme="majorHAnsi"/>
          <w:sz w:val="20"/>
        </w:rPr>
        <w:t xml:space="preserve">. The petitioners allege that Mr. Largo Campo was arrested and killed by members of the AUC, and that his body was buried in the banks of the </w:t>
      </w:r>
      <w:proofErr w:type="gramStart"/>
      <w:r>
        <w:rPr>
          <w:rFonts w:asciiTheme="majorHAnsi" w:hAnsiTheme="majorHAnsi"/>
          <w:sz w:val="20"/>
        </w:rPr>
        <w:t>Cauca river</w:t>
      </w:r>
      <w:proofErr w:type="gramEnd"/>
      <w:r w:rsidR="007B224F">
        <w:rPr>
          <w:rFonts w:asciiTheme="majorHAnsi" w:hAnsiTheme="majorHAnsi"/>
          <w:sz w:val="20"/>
        </w:rPr>
        <w:t xml:space="preserve">. </w:t>
      </w:r>
      <w:r>
        <w:rPr>
          <w:rFonts w:asciiTheme="majorHAnsi" w:hAnsiTheme="majorHAnsi"/>
          <w:sz w:val="20"/>
        </w:rPr>
        <w:t xml:space="preserve">The investigation was assigned to Public </w:t>
      </w:r>
      <w:r w:rsidR="00AF6799">
        <w:rPr>
          <w:rFonts w:asciiTheme="majorHAnsi" w:hAnsiTheme="majorHAnsi"/>
          <w:sz w:val="20"/>
        </w:rPr>
        <w:t xml:space="preserve">Prosecutor’s </w:t>
      </w:r>
      <w:r>
        <w:rPr>
          <w:rFonts w:asciiTheme="majorHAnsi" w:hAnsiTheme="majorHAnsi"/>
          <w:sz w:val="20"/>
        </w:rPr>
        <w:t>No. 18 and charges are being brought within a special criminal proceeding of the Justice and Peace</w:t>
      </w:r>
      <w:r w:rsidR="00B61893">
        <w:rPr>
          <w:rFonts w:asciiTheme="majorHAnsi" w:hAnsiTheme="majorHAnsi"/>
          <w:sz w:val="20"/>
        </w:rPr>
        <w:t xml:space="preserve"> Unit</w:t>
      </w:r>
      <w:r>
        <w:rPr>
          <w:rFonts w:asciiTheme="majorHAnsi" w:hAnsiTheme="majorHAnsi"/>
          <w:sz w:val="20"/>
        </w:rPr>
        <w:t xml:space="preserve">. In this proceeding, members of the AUC confessed to the facts. </w:t>
      </w:r>
    </w:p>
    <w:p w14:paraId="6E50ED55" w14:textId="785DDE4B" w:rsidR="006D4A83" w:rsidRDefault="00FE13DB" w:rsidP="003642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rPr>
      </w:pPr>
      <w:r>
        <w:rPr>
          <w:rFonts w:asciiTheme="majorHAnsi" w:hAnsiTheme="majorHAnsi"/>
          <w:sz w:val="20"/>
        </w:rPr>
        <w:t>23.</w:t>
      </w:r>
      <w:r>
        <w:rPr>
          <w:rFonts w:asciiTheme="majorHAnsi" w:hAnsiTheme="majorHAnsi"/>
          <w:sz w:val="20"/>
        </w:rPr>
        <w:tab/>
        <w:t xml:space="preserve">On December 31, 2000, Mr. Luis Alberto Velasco </w:t>
      </w:r>
      <w:proofErr w:type="spellStart"/>
      <w:r>
        <w:rPr>
          <w:rFonts w:asciiTheme="majorHAnsi" w:hAnsiTheme="majorHAnsi"/>
          <w:sz w:val="20"/>
        </w:rPr>
        <w:t>Conda</w:t>
      </w:r>
      <w:proofErr w:type="spellEnd"/>
      <w:r>
        <w:rPr>
          <w:rFonts w:asciiTheme="majorHAnsi" w:hAnsiTheme="majorHAnsi"/>
          <w:sz w:val="20"/>
        </w:rPr>
        <w:t xml:space="preserve"> disappeared in Santander de </w:t>
      </w:r>
      <w:proofErr w:type="spellStart"/>
      <w:r>
        <w:rPr>
          <w:rFonts w:asciiTheme="majorHAnsi" w:hAnsiTheme="majorHAnsi"/>
          <w:sz w:val="20"/>
        </w:rPr>
        <w:t>Quilichao</w:t>
      </w:r>
      <w:proofErr w:type="spellEnd"/>
      <w:r>
        <w:rPr>
          <w:rFonts w:asciiTheme="majorHAnsi" w:hAnsiTheme="majorHAnsi"/>
          <w:sz w:val="20"/>
        </w:rPr>
        <w:t xml:space="preserve">. The petitioners allege that, despite several meetings with state agents, no information has been provided </w:t>
      </w:r>
      <w:proofErr w:type="gramStart"/>
      <w:r>
        <w:rPr>
          <w:rFonts w:asciiTheme="majorHAnsi" w:hAnsiTheme="majorHAnsi"/>
          <w:sz w:val="20"/>
        </w:rPr>
        <w:t>with regard to</w:t>
      </w:r>
      <w:proofErr w:type="gramEnd"/>
      <w:r>
        <w:rPr>
          <w:rFonts w:asciiTheme="majorHAnsi" w:hAnsiTheme="majorHAnsi"/>
          <w:sz w:val="20"/>
        </w:rPr>
        <w:t xml:space="preserve"> the investigation into his disappearance. On May 2, 2001, Mr. Bernardo Rivera Mestizo was arrested and killed in Santander de </w:t>
      </w:r>
      <w:proofErr w:type="spellStart"/>
      <w:r>
        <w:rPr>
          <w:rFonts w:asciiTheme="majorHAnsi" w:hAnsiTheme="majorHAnsi"/>
          <w:sz w:val="20"/>
        </w:rPr>
        <w:t>Quilichao</w:t>
      </w:r>
      <w:proofErr w:type="spellEnd"/>
      <w:r>
        <w:rPr>
          <w:rFonts w:asciiTheme="majorHAnsi" w:hAnsiTheme="majorHAnsi"/>
          <w:sz w:val="20"/>
        </w:rPr>
        <w:t>. His body has not been found</w:t>
      </w:r>
      <w:r w:rsidR="007B224F">
        <w:rPr>
          <w:rFonts w:asciiTheme="majorHAnsi" w:hAnsiTheme="majorHAnsi"/>
          <w:sz w:val="20"/>
        </w:rPr>
        <w:t xml:space="preserve">. </w:t>
      </w:r>
      <w:r>
        <w:rPr>
          <w:rFonts w:asciiTheme="majorHAnsi" w:hAnsiTheme="majorHAnsi"/>
          <w:sz w:val="20"/>
        </w:rPr>
        <w:t xml:space="preserve">There is currently a proceeding before Public </w:t>
      </w:r>
      <w:r w:rsidR="00710517">
        <w:rPr>
          <w:rFonts w:asciiTheme="majorHAnsi" w:hAnsiTheme="majorHAnsi"/>
          <w:sz w:val="20"/>
        </w:rPr>
        <w:t xml:space="preserve">Prosecutor’s </w:t>
      </w:r>
      <w:r>
        <w:rPr>
          <w:rFonts w:asciiTheme="majorHAnsi" w:hAnsiTheme="majorHAnsi"/>
          <w:sz w:val="20"/>
        </w:rPr>
        <w:t>Office No. 21 of Bogotá, and in the context of transitional justice, the paramilitary officers involved allegedly confessed to the facts. The petitioners consider that the fact that th</w:t>
      </w:r>
      <w:r w:rsidR="005A142A">
        <w:rPr>
          <w:rFonts w:asciiTheme="majorHAnsi" w:hAnsiTheme="majorHAnsi"/>
          <w:sz w:val="20"/>
        </w:rPr>
        <w:t>e accused</w:t>
      </w:r>
      <w:r>
        <w:rPr>
          <w:rFonts w:asciiTheme="majorHAnsi" w:hAnsiTheme="majorHAnsi"/>
          <w:sz w:val="20"/>
        </w:rPr>
        <w:t xml:space="preserve"> confessed to the facts has no impact on the ordinary criminal investigation, and therefore they emphasize that to date there is no decision on the merits, nor is there any plan to search for the victim’s body. In this proceeding, the next of kin reportedly requested to be recognized as victims. On June 13, 2003, Mr. </w:t>
      </w:r>
      <w:proofErr w:type="spellStart"/>
      <w:r>
        <w:rPr>
          <w:rFonts w:asciiTheme="majorHAnsi" w:hAnsiTheme="majorHAnsi"/>
          <w:sz w:val="20"/>
        </w:rPr>
        <w:t>Roberney</w:t>
      </w:r>
      <w:proofErr w:type="spellEnd"/>
      <w:r>
        <w:rPr>
          <w:rFonts w:asciiTheme="majorHAnsi" w:hAnsiTheme="majorHAnsi"/>
          <w:sz w:val="20"/>
        </w:rPr>
        <w:t xml:space="preserve"> Salazar </w:t>
      </w:r>
      <w:proofErr w:type="spellStart"/>
      <w:r>
        <w:rPr>
          <w:rFonts w:asciiTheme="majorHAnsi" w:hAnsiTheme="majorHAnsi"/>
          <w:sz w:val="20"/>
        </w:rPr>
        <w:t>Lizcano</w:t>
      </w:r>
      <w:proofErr w:type="spellEnd"/>
      <w:r>
        <w:rPr>
          <w:rFonts w:asciiTheme="majorHAnsi" w:hAnsiTheme="majorHAnsi"/>
          <w:sz w:val="20"/>
        </w:rPr>
        <w:t xml:space="preserve"> disappeared in El Tigre, Putumayo. His next of kin are unaware of there being any investigation into the facts. </w:t>
      </w:r>
    </w:p>
    <w:p w14:paraId="26F3E8DC" w14:textId="28D576FA" w:rsidR="00CA4832" w:rsidRPr="00072365" w:rsidRDefault="00CA4832" w:rsidP="00CA4832">
      <w:pPr>
        <w:jc w:val="both"/>
        <w:rPr>
          <w:rFonts w:ascii="Cambria" w:hAnsi="Cambria" w:cs="Calibri"/>
          <w:sz w:val="20"/>
          <w:szCs w:val="20"/>
        </w:rPr>
      </w:pPr>
      <w:r>
        <w:rPr>
          <w:noProof/>
        </w:rPr>
        <mc:AlternateContent>
          <mc:Choice Requires="wps">
            <w:drawing>
              <wp:anchor distT="0" distB="0" distL="114300" distR="114300" simplePos="0" relativeHeight="251684864" behindDoc="0" locked="0" layoutInCell="1" allowOverlap="1" wp14:anchorId="2EB6693A" wp14:editId="6D8BD774">
                <wp:simplePos x="0" y="0"/>
                <wp:positionH relativeFrom="column">
                  <wp:posOffset>1282065</wp:posOffset>
                </wp:positionH>
                <wp:positionV relativeFrom="paragraph">
                  <wp:posOffset>-424180</wp:posOffset>
                </wp:positionV>
                <wp:extent cx="5248275" cy="9023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14:paraId="26EFA858" w14:textId="77777777" w:rsidR="00CA4832" w:rsidRDefault="00CA4832" w:rsidP="00CA4832">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6693A" id="Cuadro de texto 2" o:spid="_x0000_s1033" type="#_x0000_t202" style="position:absolute;left:0;text-align:left;margin-left:100.95pt;margin-top:-33.4pt;width:413.25pt;height:7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" filled="f" stroked="f" strokeweight=".5pt">
                <v:textbox>
                  <w:txbxContent>
                    <w:p w14:paraId="26EFA858" w14:textId="77777777" w:rsidR="00CA4832" w:rsidRDefault="00CA4832" w:rsidP="00CA4832">
                      <w:r>
                        <w:tab/>
                        <w:t xml:space="preserve">                              </w:t>
                      </w:r>
                    </w:p>
                  </w:txbxContent>
                </v:textbox>
              </v:shape>
            </w:pict>
          </mc:Fallback>
        </mc:AlternateContent>
      </w:r>
      <w:r>
        <w:rPr>
          <w:rFonts w:ascii="Cambria" w:hAnsi="Cambria"/>
          <w:b/>
          <w:sz w:val="22"/>
        </w:rPr>
        <w:t xml:space="preserve"> </w:t>
      </w:r>
    </w:p>
    <w:p w14:paraId="76390EAB" w14:textId="7BE42C7C" w:rsidR="00CA4832" w:rsidRPr="000723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Pr>
          <w:rFonts w:ascii="Cambria" w:hAnsi="Cambria"/>
          <w:sz w:val="20"/>
        </w:rPr>
        <w:t>24.</w:t>
      </w:r>
      <w:r>
        <w:rPr>
          <w:rFonts w:ascii="Cambria" w:hAnsi="Cambria"/>
          <w:sz w:val="20"/>
        </w:rPr>
        <w:tab/>
        <w:t xml:space="preserve">Mr. Carlos </w:t>
      </w:r>
      <w:proofErr w:type="spellStart"/>
      <w:r>
        <w:rPr>
          <w:rFonts w:ascii="Cambria" w:hAnsi="Cambria"/>
          <w:sz w:val="20"/>
        </w:rPr>
        <w:t>Yonda</w:t>
      </w:r>
      <w:proofErr w:type="spellEnd"/>
      <w:r>
        <w:rPr>
          <w:rFonts w:ascii="Cambria" w:hAnsi="Cambria"/>
          <w:sz w:val="20"/>
        </w:rPr>
        <w:t xml:space="preserve"> </w:t>
      </w:r>
      <w:proofErr w:type="spellStart"/>
      <w:r>
        <w:rPr>
          <w:rFonts w:ascii="Cambria" w:hAnsi="Cambria"/>
          <w:sz w:val="20"/>
        </w:rPr>
        <w:t>Pinzón</w:t>
      </w:r>
      <w:proofErr w:type="spellEnd"/>
      <w:r>
        <w:rPr>
          <w:rFonts w:ascii="Cambria" w:hAnsi="Cambria"/>
          <w:sz w:val="20"/>
        </w:rPr>
        <w:t xml:space="preserve"> and Ms. Florinda </w:t>
      </w:r>
      <w:proofErr w:type="spellStart"/>
      <w:r>
        <w:rPr>
          <w:rFonts w:ascii="Cambria" w:hAnsi="Cambria"/>
          <w:sz w:val="20"/>
        </w:rPr>
        <w:t>Yonda</w:t>
      </w:r>
      <w:proofErr w:type="spellEnd"/>
      <w:r>
        <w:rPr>
          <w:rFonts w:ascii="Cambria" w:hAnsi="Cambria"/>
          <w:sz w:val="20"/>
        </w:rPr>
        <w:t xml:space="preserve"> </w:t>
      </w:r>
      <w:proofErr w:type="spellStart"/>
      <w:r>
        <w:rPr>
          <w:rFonts w:ascii="Cambria" w:hAnsi="Cambria"/>
          <w:sz w:val="20"/>
        </w:rPr>
        <w:t>Pinzón</w:t>
      </w:r>
      <w:proofErr w:type="spellEnd"/>
      <w:r>
        <w:rPr>
          <w:rFonts w:ascii="Cambria" w:hAnsi="Cambria"/>
          <w:sz w:val="20"/>
        </w:rPr>
        <w:t xml:space="preserve"> were victims of the Naya Massacre on April 11, 2001. Therefore, they are presumed to be disappeared persons. These events are investigated by Public Prosecut</w:t>
      </w:r>
      <w:r w:rsidR="00CE1FCC">
        <w:rPr>
          <w:rFonts w:ascii="Cambria" w:hAnsi="Cambria"/>
          <w:sz w:val="20"/>
        </w:rPr>
        <w:t>or’s</w:t>
      </w:r>
      <w:r>
        <w:rPr>
          <w:rFonts w:ascii="Cambria" w:hAnsi="Cambria"/>
          <w:sz w:val="20"/>
        </w:rPr>
        <w:t xml:space="preserve"> Office No. 21 of the Human Rights and International Humanitarian Law Unit and, at the same time, Public Prosecut</w:t>
      </w:r>
      <w:r w:rsidR="00CE1FCC">
        <w:rPr>
          <w:rFonts w:ascii="Cambria" w:hAnsi="Cambria"/>
          <w:sz w:val="20"/>
        </w:rPr>
        <w:t>or’s</w:t>
      </w:r>
      <w:r>
        <w:rPr>
          <w:rFonts w:ascii="Cambria" w:hAnsi="Cambria"/>
          <w:sz w:val="20"/>
        </w:rPr>
        <w:t xml:space="preserve"> Office No. 18 of the National Peace and Justice Unit of Cali is conducting another investigation. This case was reportedly mentioned in the spontaneous statement of paramilitary officers. However, the accused did not admit their involvement in these events. On May 17, 2000, Ms. Martha Inés </w:t>
      </w:r>
      <w:proofErr w:type="spellStart"/>
      <w:r>
        <w:rPr>
          <w:rFonts w:ascii="Cambria" w:hAnsi="Cambria"/>
          <w:sz w:val="20"/>
        </w:rPr>
        <w:t>Zúñiga</w:t>
      </w:r>
      <w:proofErr w:type="spellEnd"/>
      <w:r>
        <w:rPr>
          <w:rFonts w:ascii="Cambria" w:hAnsi="Cambria"/>
          <w:sz w:val="20"/>
        </w:rPr>
        <w:t xml:space="preserve"> disappeared in the area known as “La Virgen Salida de </w:t>
      </w:r>
      <w:proofErr w:type="spellStart"/>
      <w:r>
        <w:rPr>
          <w:rFonts w:ascii="Cambria" w:hAnsi="Cambria"/>
          <w:sz w:val="20"/>
        </w:rPr>
        <w:t>Popayán</w:t>
      </w:r>
      <w:proofErr w:type="spellEnd"/>
      <w:r>
        <w:rPr>
          <w:rFonts w:ascii="Cambria" w:hAnsi="Cambria"/>
          <w:sz w:val="20"/>
        </w:rPr>
        <w:t xml:space="preserve">”, in the municipality of Santander de </w:t>
      </w:r>
      <w:proofErr w:type="spellStart"/>
      <w:r>
        <w:rPr>
          <w:rFonts w:ascii="Cambria" w:hAnsi="Cambria"/>
          <w:sz w:val="20"/>
        </w:rPr>
        <w:t>Quilichao</w:t>
      </w:r>
      <w:proofErr w:type="spellEnd"/>
      <w:r>
        <w:rPr>
          <w:rFonts w:ascii="Cambria" w:hAnsi="Cambria"/>
          <w:sz w:val="20"/>
        </w:rPr>
        <w:t>. These facts led to criminal proceedings for the crimes of conspiracy to commit crimes and simple kidnapping. However, the accused admitted their involvement in these events in their spontaneous statement of June 9, 2011</w:t>
      </w:r>
      <w:r w:rsidR="007B224F">
        <w:rPr>
          <w:rFonts w:ascii="Cambria" w:hAnsi="Cambria"/>
          <w:sz w:val="20"/>
        </w:rPr>
        <w:t xml:space="preserve">. </w:t>
      </w:r>
      <w:r>
        <w:rPr>
          <w:rFonts w:ascii="Cambria" w:hAnsi="Cambria"/>
          <w:sz w:val="20"/>
        </w:rPr>
        <w:t xml:space="preserve">The victims’ next of kin were reportedly advised to submit more information </w:t>
      </w:r>
      <w:proofErr w:type="gramStart"/>
      <w:r>
        <w:rPr>
          <w:rFonts w:ascii="Cambria" w:hAnsi="Cambria"/>
          <w:sz w:val="20"/>
        </w:rPr>
        <w:t>in order to</w:t>
      </w:r>
      <w:proofErr w:type="gramEnd"/>
      <w:r>
        <w:rPr>
          <w:rFonts w:ascii="Cambria" w:hAnsi="Cambria"/>
          <w:sz w:val="20"/>
        </w:rPr>
        <w:t xml:space="preserve"> be recognized as victims in the transitional justice proceedings. </w:t>
      </w:r>
    </w:p>
    <w:p w14:paraId="05F4B2A8" w14:textId="77777777" w:rsidR="00CA4832" w:rsidRPr="000723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Pr>
          <w:rFonts w:ascii="Cambria" w:hAnsi="Cambria"/>
          <w:sz w:val="20"/>
        </w:rPr>
        <w:lastRenderedPageBreak/>
        <w:t>25.</w:t>
      </w:r>
      <w:r>
        <w:rPr>
          <w:rFonts w:ascii="Cambria" w:hAnsi="Cambria"/>
          <w:sz w:val="20"/>
        </w:rPr>
        <w:tab/>
        <w:t xml:space="preserve">Mr. </w:t>
      </w:r>
      <w:proofErr w:type="spellStart"/>
      <w:r>
        <w:rPr>
          <w:rFonts w:ascii="Cambria" w:hAnsi="Cambria"/>
          <w:sz w:val="20"/>
        </w:rPr>
        <w:t>Einer</w:t>
      </w:r>
      <w:proofErr w:type="spellEnd"/>
      <w:r>
        <w:rPr>
          <w:rFonts w:ascii="Cambria" w:hAnsi="Cambria"/>
          <w:sz w:val="20"/>
        </w:rPr>
        <w:t xml:space="preserve"> </w:t>
      </w:r>
      <w:proofErr w:type="spellStart"/>
      <w:r>
        <w:rPr>
          <w:rFonts w:ascii="Cambria" w:hAnsi="Cambria"/>
          <w:sz w:val="20"/>
        </w:rPr>
        <w:t>Lizcano</w:t>
      </w:r>
      <w:proofErr w:type="spellEnd"/>
      <w:r>
        <w:rPr>
          <w:rFonts w:ascii="Cambria" w:hAnsi="Cambria"/>
          <w:sz w:val="20"/>
        </w:rPr>
        <w:t xml:space="preserve"> disappeared in Valle del </w:t>
      </w:r>
      <w:proofErr w:type="spellStart"/>
      <w:r>
        <w:rPr>
          <w:rFonts w:ascii="Cambria" w:hAnsi="Cambria"/>
          <w:sz w:val="20"/>
        </w:rPr>
        <w:t>Guamez</w:t>
      </w:r>
      <w:proofErr w:type="spellEnd"/>
      <w:r>
        <w:rPr>
          <w:rFonts w:ascii="Cambria" w:hAnsi="Cambria"/>
          <w:sz w:val="20"/>
        </w:rPr>
        <w:t xml:space="preserve">, Putumayo, on May 10, 2001. His remains were handed over to his relatives on November 29, 2013, and there is no information regarding any type of proceeding carried out before ordinary courts. Mr. Juan Andrés </w:t>
      </w:r>
      <w:proofErr w:type="spellStart"/>
      <w:r>
        <w:rPr>
          <w:rFonts w:ascii="Cambria" w:hAnsi="Cambria"/>
          <w:sz w:val="20"/>
        </w:rPr>
        <w:t>Rosero</w:t>
      </w:r>
      <w:proofErr w:type="spellEnd"/>
      <w:r>
        <w:rPr>
          <w:rFonts w:ascii="Cambria" w:hAnsi="Cambria"/>
          <w:sz w:val="20"/>
        </w:rPr>
        <w:t xml:space="preserve"> Salazar disappeared in Puerto </w:t>
      </w:r>
      <w:proofErr w:type="spellStart"/>
      <w:r>
        <w:rPr>
          <w:rFonts w:ascii="Cambria" w:hAnsi="Cambria"/>
          <w:sz w:val="20"/>
        </w:rPr>
        <w:t>Asís</w:t>
      </w:r>
      <w:proofErr w:type="spellEnd"/>
      <w:r>
        <w:rPr>
          <w:rFonts w:ascii="Cambria" w:hAnsi="Cambria"/>
          <w:sz w:val="20"/>
        </w:rPr>
        <w:t xml:space="preserve">, Putumayo, on November 26, 2000. The petitioners have no information regarding any type of proceeding being carried out before ordinary courts and stress that the relatives are not listed as victims in the databases. </w:t>
      </w:r>
    </w:p>
    <w:p w14:paraId="17768650" w14:textId="61794B0E" w:rsidR="00CA4832" w:rsidRPr="000723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Pr>
          <w:rFonts w:ascii="Cambria" w:hAnsi="Cambria"/>
          <w:sz w:val="20"/>
        </w:rPr>
        <w:t>26.</w:t>
      </w:r>
      <w:r>
        <w:rPr>
          <w:rFonts w:ascii="Cambria" w:hAnsi="Cambria"/>
          <w:sz w:val="20"/>
        </w:rPr>
        <w:tab/>
        <w:t>Finally, on June 10, 2021, COMAC filed three petitions before the</w:t>
      </w:r>
      <w:r w:rsidR="00553F5B">
        <w:rPr>
          <w:rFonts w:ascii="Cambria" w:hAnsi="Cambria"/>
          <w:sz w:val="20"/>
        </w:rPr>
        <w:t xml:space="preserve"> </w:t>
      </w:r>
      <w:r w:rsidR="00281EB7">
        <w:rPr>
          <w:rFonts w:ascii="Cambria" w:hAnsi="Cambria"/>
          <w:sz w:val="20"/>
        </w:rPr>
        <w:t xml:space="preserve">AG </w:t>
      </w:r>
      <w:r>
        <w:rPr>
          <w:rFonts w:ascii="Cambria" w:hAnsi="Cambria"/>
          <w:sz w:val="20"/>
        </w:rPr>
        <w:t>requesting information about the status of the criminal investigations, as well as the reopening and relocation of over 60 proceedings in the Specialized Human Rights Unit of the</w:t>
      </w:r>
      <w:r w:rsidR="00553F5B" w:rsidRPr="00553F5B">
        <w:rPr>
          <w:rFonts w:ascii="Cambria" w:hAnsi="Cambria"/>
          <w:sz w:val="20"/>
        </w:rPr>
        <w:t xml:space="preserve"> </w:t>
      </w:r>
      <w:r w:rsidR="00281EB7">
        <w:rPr>
          <w:rFonts w:ascii="Cambria" w:hAnsi="Cambria"/>
          <w:sz w:val="20"/>
        </w:rPr>
        <w:t>AG</w:t>
      </w:r>
      <w:r>
        <w:rPr>
          <w:rFonts w:ascii="Cambria" w:hAnsi="Cambria"/>
          <w:sz w:val="20"/>
        </w:rPr>
        <w:t xml:space="preserve">. However, COMAC had not received any answer to these petitions by the date in which the instant petition was filed. </w:t>
      </w:r>
    </w:p>
    <w:p w14:paraId="390B7624" w14:textId="62341CA7" w:rsidR="00CA4832" w:rsidRPr="000723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Pr>
          <w:rFonts w:ascii="Cambria" w:hAnsi="Cambria"/>
          <w:sz w:val="20"/>
        </w:rPr>
        <w:t>27.</w:t>
      </w:r>
      <w:r>
        <w:rPr>
          <w:rFonts w:ascii="Cambria" w:hAnsi="Cambria"/>
          <w:sz w:val="20"/>
        </w:rPr>
        <w:tab/>
        <w:t xml:space="preserve">The petitioners conclude that the exception of unwarranted delay set out in Article 46.2.c) of the American Convention applies in the instant case, since the Colombian justice system has not issued reasoned decisions aimed at materializing the rights to truth, </w:t>
      </w:r>
      <w:proofErr w:type="gramStart"/>
      <w:r>
        <w:rPr>
          <w:rFonts w:ascii="Cambria" w:hAnsi="Cambria"/>
          <w:sz w:val="20"/>
        </w:rPr>
        <w:t>justice</w:t>
      </w:r>
      <w:proofErr w:type="gramEnd"/>
      <w:r>
        <w:rPr>
          <w:rFonts w:ascii="Cambria" w:hAnsi="Cambria"/>
          <w:sz w:val="20"/>
        </w:rPr>
        <w:t xml:space="preserve"> and comprehensive reparation. In addition, the petitioners allege that the public officials have not been bound over to the criminal investigations, that there has not been any coordination between the Public </w:t>
      </w:r>
      <w:r w:rsidR="00CE1FCC">
        <w:rPr>
          <w:rFonts w:ascii="Cambria" w:hAnsi="Cambria"/>
          <w:sz w:val="20"/>
        </w:rPr>
        <w:t xml:space="preserve">Prosecutor’s </w:t>
      </w:r>
      <w:r>
        <w:rPr>
          <w:rFonts w:ascii="Cambria" w:hAnsi="Cambria"/>
          <w:sz w:val="20"/>
        </w:rPr>
        <w:t xml:space="preserve">Office of the National Peace and Justice Unit and the Human Rights and International Humanitarian Law Unit of the </w:t>
      </w:r>
      <w:r w:rsidR="00B75551">
        <w:rPr>
          <w:rFonts w:ascii="Cambria" w:hAnsi="Cambria"/>
          <w:sz w:val="20"/>
        </w:rPr>
        <w:t>AG</w:t>
      </w:r>
      <w:r>
        <w:rPr>
          <w:rFonts w:ascii="Cambria" w:hAnsi="Cambria"/>
          <w:sz w:val="20"/>
        </w:rPr>
        <w:t xml:space="preserve">, and that the victims have not been given any opportunity to participate in the proceedings carried out by the ordinary and transitional justice systems. </w:t>
      </w:r>
    </w:p>
    <w:p w14:paraId="07C01D12" w14:textId="2A4ABE8F" w:rsidR="00CA4832" w:rsidRPr="000723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Pr>
          <w:rFonts w:ascii="Cambria" w:hAnsi="Cambria"/>
          <w:sz w:val="20"/>
        </w:rPr>
        <w:t xml:space="preserve">28. </w:t>
      </w:r>
      <w:r>
        <w:rPr>
          <w:rFonts w:ascii="Cambria" w:hAnsi="Cambria"/>
          <w:sz w:val="20"/>
        </w:rPr>
        <w:tab/>
        <w:t xml:space="preserve">The State, for its part, argues that the alleged acquiescence and collaboration of some members of </w:t>
      </w:r>
      <w:r w:rsidR="007B224F">
        <w:rPr>
          <w:rFonts w:ascii="Cambria" w:hAnsi="Cambria"/>
          <w:sz w:val="20"/>
        </w:rPr>
        <w:t>the public forces</w:t>
      </w:r>
      <w:r>
        <w:rPr>
          <w:rFonts w:ascii="Cambria" w:hAnsi="Cambria"/>
          <w:sz w:val="20"/>
        </w:rPr>
        <w:t xml:space="preserve"> and some members of the self-defense groups in the region mentioned by the petitioners has been progressively clarified in judgements issued domestically. It stresses that the special</w:t>
      </w:r>
      <w:r w:rsidR="00B61893">
        <w:rPr>
          <w:rFonts w:ascii="Cambria" w:hAnsi="Cambria"/>
          <w:sz w:val="20"/>
        </w:rPr>
        <w:t xml:space="preserve"> criminal proceeding of the</w:t>
      </w:r>
      <w:r>
        <w:rPr>
          <w:rFonts w:ascii="Cambria" w:hAnsi="Cambria"/>
          <w:sz w:val="20"/>
        </w:rPr>
        <w:t xml:space="preserve"> Justice and Peace </w:t>
      </w:r>
      <w:r w:rsidR="00B61893">
        <w:rPr>
          <w:rFonts w:ascii="Cambria" w:hAnsi="Cambria"/>
          <w:sz w:val="20"/>
        </w:rPr>
        <w:t>Unit</w:t>
      </w:r>
      <w:r>
        <w:rPr>
          <w:rFonts w:ascii="Cambria" w:hAnsi="Cambria"/>
          <w:sz w:val="20"/>
        </w:rPr>
        <w:t xml:space="preserve"> has been aimed at clarifying the facts that were committed during the more than fifty years of armed conflicts in the country. Consequently, the State argues that it has made all the efforts possible to investigate, prosecute and punish those responsible for human rights violations committed in the context of the armed conflict, and to identify the causes, beneficiaries and structures which made such violations possible. Therefore, the State concludes that the Inter-American Commission should not rule on any issues related to alliances between agents of the </w:t>
      </w:r>
      <w:r w:rsidR="00CE1FCC">
        <w:rPr>
          <w:rFonts w:ascii="Cambria" w:hAnsi="Cambria"/>
          <w:sz w:val="20"/>
        </w:rPr>
        <w:t>public forces</w:t>
      </w:r>
      <w:r>
        <w:rPr>
          <w:rFonts w:ascii="Cambria" w:hAnsi="Cambria"/>
          <w:sz w:val="20"/>
        </w:rPr>
        <w:t xml:space="preserve">, the politicians of the area and members of the AUC, since that may violate the reinforcing and supplementary mandate of the </w:t>
      </w:r>
      <w:r w:rsidR="000E1488">
        <w:rPr>
          <w:rFonts w:ascii="Cambria" w:hAnsi="Cambria"/>
          <w:sz w:val="20"/>
        </w:rPr>
        <w:t>I</w:t>
      </w:r>
      <w:r>
        <w:rPr>
          <w:rFonts w:ascii="Cambria" w:hAnsi="Cambria"/>
          <w:sz w:val="20"/>
        </w:rPr>
        <w:t xml:space="preserve">nter-American </w:t>
      </w:r>
      <w:r w:rsidR="000E1488">
        <w:rPr>
          <w:rFonts w:ascii="Cambria" w:hAnsi="Cambria"/>
          <w:sz w:val="20"/>
        </w:rPr>
        <w:t>S</w:t>
      </w:r>
      <w:r>
        <w:rPr>
          <w:rFonts w:ascii="Cambria" w:hAnsi="Cambria"/>
          <w:sz w:val="20"/>
        </w:rPr>
        <w:t>ystem</w:t>
      </w:r>
      <w:r w:rsidR="000E1488">
        <w:rPr>
          <w:rFonts w:ascii="Cambria" w:hAnsi="Cambria"/>
          <w:sz w:val="20"/>
        </w:rPr>
        <w:t xml:space="preserve"> of Human Rights</w:t>
      </w:r>
      <w:r>
        <w:rPr>
          <w:rFonts w:ascii="Cambria" w:hAnsi="Cambria"/>
          <w:sz w:val="20"/>
        </w:rPr>
        <w:t xml:space="preserve">. </w:t>
      </w:r>
    </w:p>
    <w:p w14:paraId="7027F4C8" w14:textId="40E80079"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Pr>
          <w:rFonts w:ascii="Cambria" w:hAnsi="Cambria"/>
          <w:sz w:val="20"/>
        </w:rPr>
        <w:t>29.</w:t>
      </w:r>
      <w:r>
        <w:rPr>
          <w:rFonts w:ascii="Cambria" w:hAnsi="Cambria"/>
          <w:sz w:val="20"/>
        </w:rPr>
        <w:tab/>
      </w:r>
      <w:proofErr w:type="gramStart"/>
      <w:r w:rsidRPr="00646665">
        <w:rPr>
          <w:rFonts w:ascii="Cambria" w:hAnsi="Cambria"/>
          <w:sz w:val="20"/>
          <w:szCs w:val="20"/>
        </w:rPr>
        <w:t>With regard to</w:t>
      </w:r>
      <w:proofErr w:type="gramEnd"/>
      <w:r w:rsidRPr="00646665">
        <w:rPr>
          <w:rFonts w:ascii="Cambria" w:hAnsi="Cambria"/>
          <w:sz w:val="20"/>
          <w:szCs w:val="20"/>
        </w:rPr>
        <w:t xml:space="preserve"> the exhaustion of domestic remedies, the State argues that the petitioner</w:t>
      </w:r>
      <w:r>
        <w:rPr>
          <w:rFonts w:ascii="Cambria" w:hAnsi="Cambria"/>
          <w:sz w:val="20"/>
          <w:szCs w:val="20"/>
        </w:rPr>
        <w:t>s</w:t>
      </w:r>
      <w:r w:rsidRPr="00646665">
        <w:rPr>
          <w:rFonts w:ascii="Cambria" w:hAnsi="Cambria"/>
          <w:sz w:val="20"/>
          <w:szCs w:val="20"/>
        </w:rPr>
        <w:t xml:space="preserve"> did not exhaust the available re</w:t>
      </w:r>
      <w:r>
        <w:rPr>
          <w:rFonts w:ascii="Cambria" w:hAnsi="Cambria"/>
          <w:sz w:val="20"/>
          <w:szCs w:val="20"/>
        </w:rPr>
        <w:t>medies</w:t>
      </w:r>
      <w:r w:rsidRPr="00646665">
        <w:rPr>
          <w:rFonts w:ascii="Cambria" w:hAnsi="Cambria"/>
          <w:sz w:val="20"/>
          <w:szCs w:val="20"/>
        </w:rPr>
        <w:t xml:space="preserve"> in </w:t>
      </w:r>
      <w:r>
        <w:rPr>
          <w:rFonts w:ascii="Cambria" w:hAnsi="Cambria"/>
          <w:sz w:val="20"/>
          <w:szCs w:val="20"/>
        </w:rPr>
        <w:t xml:space="preserve">the </w:t>
      </w:r>
      <w:r w:rsidRPr="00646665">
        <w:rPr>
          <w:rFonts w:ascii="Cambria" w:hAnsi="Cambria"/>
          <w:sz w:val="20"/>
          <w:szCs w:val="20"/>
        </w:rPr>
        <w:t>criminal and contentious</w:t>
      </w:r>
      <w:r>
        <w:rPr>
          <w:rFonts w:ascii="Cambria" w:hAnsi="Cambria"/>
          <w:sz w:val="20"/>
          <w:szCs w:val="20"/>
        </w:rPr>
        <w:t>-</w:t>
      </w:r>
      <w:r w:rsidRPr="00646665">
        <w:rPr>
          <w:rFonts w:ascii="Cambria" w:hAnsi="Cambria"/>
          <w:sz w:val="20"/>
          <w:szCs w:val="20"/>
        </w:rPr>
        <w:t xml:space="preserve">administrative </w:t>
      </w:r>
      <w:r>
        <w:rPr>
          <w:rFonts w:ascii="Cambria" w:hAnsi="Cambria"/>
          <w:sz w:val="20"/>
          <w:szCs w:val="20"/>
        </w:rPr>
        <w:t>jurisdictions,</w:t>
      </w:r>
      <w:r w:rsidRPr="00646665">
        <w:rPr>
          <w:rFonts w:ascii="Cambria" w:hAnsi="Cambria"/>
          <w:sz w:val="20"/>
          <w:szCs w:val="20"/>
        </w:rPr>
        <w:t xml:space="preserve"> and that, consequently, the petition should be declared inadmissible. </w:t>
      </w:r>
      <w:r>
        <w:rPr>
          <w:rFonts w:ascii="Cambria" w:hAnsi="Cambria"/>
          <w:sz w:val="20"/>
          <w:szCs w:val="20"/>
        </w:rPr>
        <w:t>It</w:t>
      </w:r>
      <w:r w:rsidRPr="00646665">
        <w:rPr>
          <w:rFonts w:ascii="Cambria" w:hAnsi="Cambria"/>
          <w:sz w:val="20"/>
          <w:szCs w:val="20"/>
        </w:rPr>
        <w:t xml:space="preserve"> also alleges that the exception set forth in Article 46.2 of the Convention and</w:t>
      </w:r>
      <w:proofErr w:type="gramStart"/>
      <w:r w:rsidRPr="00646665">
        <w:rPr>
          <w:rFonts w:ascii="Cambria" w:hAnsi="Cambria"/>
          <w:sz w:val="20"/>
          <w:szCs w:val="20"/>
        </w:rPr>
        <w:t>, in particular, the</w:t>
      </w:r>
      <w:proofErr w:type="gramEnd"/>
      <w:r w:rsidRPr="00646665">
        <w:rPr>
          <w:rFonts w:ascii="Cambria" w:hAnsi="Cambria"/>
          <w:sz w:val="20"/>
          <w:szCs w:val="20"/>
        </w:rPr>
        <w:t xml:space="preserve"> exception set out in subparagraph c), does not apply in the instant case. It stresses that the IAHR Court has established four criteria to determine whether the duration of the proceedings is reasonable or not </w:t>
      </w:r>
      <w:proofErr w:type="gramStart"/>
      <w:r w:rsidRPr="00646665">
        <w:rPr>
          <w:rFonts w:ascii="Cambria" w:hAnsi="Cambria"/>
          <w:sz w:val="20"/>
          <w:szCs w:val="20"/>
        </w:rPr>
        <w:t>in light of</w:t>
      </w:r>
      <w:proofErr w:type="gramEnd"/>
      <w:r w:rsidRPr="00646665">
        <w:rPr>
          <w:rFonts w:ascii="Cambria" w:hAnsi="Cambria"/>
          <w:sz w:val="20"/>
          <w:szCs w:val="20"/>
        </w:rPr>
        <w:t xml:space="preserve"> the Convention: </w:t>
      </w:r>
      <w:proofErr w:type="spellStart"/>
      <w:r w:rsidRPr="00646665">
        <w:rPr>
          <w:rFonts w:ascii="Cambria" w:hAnsi="Cambria"/>
          <w:sz w:val="20"/>
          <w:szCs w:val="20"/>
        </w:rPr>
        <w:t>i</w:t>
      </w:r>
      <w:proofErr w:type="spellEnd"/>
      <w:r w:rsidRPr="00646665">
        <w:rPr>
          <w:rFonts w:ascii="Cambria" w:hAnsi="Cambria"/>
          <w:sz w:val="20"/>
          <w:szCs w:val="20"/>
        </w:rPr>
        <w:t xml:space="preserve">) the complexity of the matter, ii) the procedural activity of the interested party, iii) the conduct of the judicial authorities and iv) the adverse effect of the duration of proceedings on the judicial situation of the interested party. In addition, the State highlights that the jurisprudence of the IAHR Court establishes that the specific characteristics of the conduct under investigation, the complexity of the evidence and the number of procedural subjects or the number of victims shall be considered to determine the complexity of the matter. </w:t>
      </w:r>
    </w:p>
    <w:p w14:paraId="47E6942B" w14:textId="738363C8"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30.</w:t>
      </w:r>
      <w:r w:rsidRPr="00646665">
        <w:rPr>
          <w:rFonts w:ascii="Cambria" w:hAnsi="Cambria"/>
          <w:sz w:val="20"/>
          <w:szCs w:val="20"/>
        </w:rPr>
        <w:tab/>
        <w:t xml:space="preserve">The State indicates that the clarification of the </w:t>
      </w:r>
      <w:r>
        <w:rPr>
          <w:rFonts w:ascii="Cambria" w:hAnsi="Cambria"/>
          <w:sz w:val="20"/>
          <w:szCs w:val="20"/>
        </w:rPr>
        <w:t>facts</w:t>
      </w:r>
      <w:r w:rsidRPr="00646665">
        <w:rPr>
          <w:rFonts w:ascii="Cambria" w:hAnsi="Cambria"/>
          <w:sz w:val="20"/>
          <w:szCs w:val="20"/>
        </w:rPr>
        <w:t xml:space="preserve"> is highly complex since the acts were committed by the </w:t>
      </w:r>
      <w:proofErr w:type="spellStart"/>
      <w:r w:rsidRPr="00646665">
        <w:rPr>
          <w:rFonts w:ascii="Cambria" w:hAnsi="Cambria"/>
          <w:sz w:val="20"/>
          <w:szCs w:val="20"/>
        </w:rPr>
        <w:t>Calima</w:t>
      </w:r>
      <w:proofErr w:type="spellEnd"/>
      <w:r w:rsidRPr="00646665">
        <w:rPr>
          <w:rFonts w:ascii="Cambria" w:hAnsi="Cambria"/>
          <w:sz w:val="20"/>
          <w:szCs w:val="20"/>
        </w:rPr>
        <w:t xml:space="preserve"> block of the AUC and, allegedly, by members of the Armed Forces. It also notes that the date in which these acts were committed (1999-2004) has hindered the collection of the evidence. Therefore, the State considers that it is important to analyze the characteristics of each crime to determine the complexity of </w:t>
      </w:r>
      <w:r w:rsidR="00AF6799">
        <w:rPr>
          <w:rFonts w:ascii="Cambria" w:hAnsi="Cambria"/>
          <w:sz w:val="20"/>
          <w:szCs w:val="20"/>
        </w:rPr>
        <w:t>the case under investigation</w:t>
      </w:r>
      <w:r w:rsidRPr="00646665">
        <w:rPr>
          <w:rFonts w:ascii="Cambria" w:hAnsi="Cambria"/>
          <w:sz w:val="20"/>
          <w:szCs w:val="20"/>
        </w:rPr>
        <w:t xml:space="preserve">, and that the practice of the AUC of suppressing the evidence of their criminal acts should be considered. In addition, the State highlights that four fronts of the Revolutionary Armed Forces of Colombia (FARC) and the National Liberation Army (ELN) operate in the area where the events occurred, and that, consequently, the criminal proceedings carried out by the </w:t>
      </w:r>
      <w:r>
        <w:rPr>
          <w:rFonts w:ascii="Cambria" w:hAnsi="Cambria"/>
          <w:sz w:val="20"/>
          <w:szCs w:val="20"/>
        </w:rPr>
        <w:t xml:space="preserve">judicial </w:t>
      </w:r>
      <w:r w:rsidRPr="00646665">
        <w:rPr>
          <w:rFonts w:ascii="Cambria" w:hAnsi="Cambria"/>
          <w:sz w:val="20"/>
          <w:szCs w:val="20"/>
        </w:rPr>
        <w:t xml:space="preserve">authorities have been serious, </w:t>
      </w:r>
      <w:proofErr w:type="gramStart"/>
      <w:r w:rsidRPr="00646665">
        <w:rPr>
          <w:rFonts w:ascii="Cambria" w:hAnsi="Cambria"/>
          <w:sz w:val="20"/>
          <w:szCs w:val="20"/>
        </w:rPr>
        <w:t>impartial</w:t>
      </w:r>
      <w:proofErr w:type="gramEnd"/>
      <w:r w:rsidRPr="00646665">
        <w:rPr>
          <w:rFonts w:ascii="Cambria" w:hAnsi="Cambria"/>
          <w:sz w:val="20"/>
          <w:szCs w:val="20"/>
        </w:rPr>
        <w:t xml:space="preserve"> and independent</w:t>
      </w:r>
      <w:r>
        <w:rPr>
          <w:rFonts w:ascii="Cambria" w:hAnsi="Cambria"/>
          <w:sz w:val="20"/>
          <w:szCs w:val="20"/>
        </w:rPr>
        <w:t>;</w:t>
      </w:r>
      <w:r w:rsidRPr="00646665">
        <w:rPr>
          <w:rFonts w:ascii="Cambria" w:hAnsi="Cambria"/>
          <w:sz w:val="20"/>
          <w:szCs w:val="20"/>
        </w:rPr>
        <w:t xml:space="preserve"> and</w:t>
      </w:r>
      <w:r>
        <w:rPr>
          <w:rFonts w:ascii="Cambria" w:hAnsi="Cambria"/>
          <w:sz w:val="20"/>
          <w:szCs w:val="20"/>
        </w:rPr>
        <w:t xml:space="preserve"> therefore,</w:t>
      </w:r>
      <w:r w:rsidRPr="00646665">
        <w:rPr>
          <w:rFonts w:ascii="Cambria" w:hAnsi="Cambria"/>
          <w:sz w:val="20"/>
          <w:szCs w:val="20"/>
        </w:rPr>
        <w:t xml:space="preserve"> they have acted </w:t>
      </w:r>
      <w:r>
        <w:rPr>
          <w:rFonts w:ascii="Cambria" w:hAnsi="Cambria"/>
          <w:sz w:val="20"/>
          <w:szCs w:val="20"/>
        </w:rPr>
        <w:t>d</w:t>
      </w:r>
      <w:r w:rsidRPr="00646665">
        <w:rPr>
          <w:rFonts w:ascii="Cambria" w:hAnsi="Cambria"/>
          <w:sz w:val="20"/>
          <w:szCs w:val="20"/>
        </w:rPr>
        <w:t>iligent</w:t>
      </w:r>
      <w:r>
        <w:rPr>
          <w:rFonts w:ascii="Cambria" w:hAnsi="Cambria"/>
          <w:sz w:val="20"/>
          <w:szCs w:val="20"/>
        </w:rPr>
        <w:t>ly</w:t>
      </w:r>
      <w:r w:rsidRPr="00646665">
        <w:rPr>
          <w:rFonts w:ascii="Cambria" w:hAnsi="Cambria"/>
          <w:sz w:val="20"/>
          <w:szCs w:val="20"/>
        </w:rPr>
        <w:t xml:space="preserve">. In this </w:t>
      </w:r>
      <w:r>
        <w:rPr>
          <w:rFonts w:ascii="Cambria" w:hAnsi="Cambria"/>
          <w:sz w:val="20"/>
          <w:szCs w:val="20"/>
        </w:rPr>
        <w:t>regard</w:t>
      </w:r>
      <w:r w:rsidRPr="00646665">
        <w:rPr>
          <w:rFonts w:ascii="Cambria" w:hAnsi="Cambria"/>
          <w:sz w:val="20"/>
          <w:szCs w:val="20"/>
        </w:rPr>
        <w:t xml:space="preserve">, the State considers that the criminal proceedings have been </w:t>
      </w:r>
      <w:r>
        <w:rPr>
          <w:rFonts w:ascii="Cambria" w:hAnsi="Cambria"/>
          <w:sz w:val="20"/>
          <w:szCs w:val="20"/>
        </w:rPr>
        <w:t>conducted</w:t>
      </w:r>
      <w:r w:rsidRPr="00646665">
        <w:rPr>
          <w:rFonts w:ascii="Cambria" w:hAnsi="Cambria"/>
          <w:sz w:val="20"/>
          <w:szCs w:val="20"/>
        </w:rPr>
        <w:t xml:space="preserve"> </w:t>
      </w:r>
      <w:r w:rsidRPr="00BB1EAB">
        <w:rPr>
          <w:rFonts w:ascii="Cambria" w:hAnsi="Cambria"/>
          <w:i/>
          <w:iCs/>
          <w:sz w:val="20"/>
          <w:szCs w:val="20"/>
        </w:rPr>
        <w:t>ex officio</w:t>
      </w:r>
      <w:r w:rsidRPr="00646665">
        <w:rPr>
          <w:rFonts w:ascii="Cambria" w:hAnsi="Cambria"/>
          <w:sz w:val="20"/>
          <w:szCs w:val="20"/>
        </w:rPr>
        <w:t xml:space="preserve"> within a reasonable time in accordance with the </w:t>
      </w:r>
      <w:r w:rsidRPr="00646665">
        <w:rPr>
          <w:rFonts w:ascii="Cambria" w:hAnsi="Cambria"/>
          <w:sz w:val="20"/>
          <w:szCs w:val="20"/>
        </w:rPr>
        <w:lastRenderedPageBreak/>
        <w:t xml:space="preserve">standards </w:t>
      </w:r>
      <w:r>
        <w:rPr>
          <w:rFonts w:ascii="Cambria" w:hAnsi="Cambria"/>
          <w:sz w:val="20"/>
          <w:szCs w:val="20"/>
        </w:rPr>
        <w:t>provided for</w:t>
      </w:r>
      <w:r w:rsidRPr="00646665">
        <w:rPr>
          <w:rFonts w:ascii="Cambria" w:hAnsi="Cambria"/>
          <w:sz w:val="20"/>
          <w:szCs w:val="20"/>
        </w:rPr>
        <w:t xml:space="preserve"> the </w:t>
      </w:r>
      <w:r w:rsidR="00667E6F">
        <w:rPr>
          <w:rFonts w:ascii="Cambria" w:hAnsi="Cambria"/>
          <w:sz w:val="20"/>
          <w:szCs w:val="20"/>
        </w:rPr>
        <w:t>I</w:t>
      </w:r>
      <w:r w:rsidRPr="00646665">
        <w:rPr>
          <w:rFonts w:ascii="Cambria" w:hAnsi="Cambria"/>
          <w:sz w:val="20"/>
          <w:szCs w:val="20"/>
        </w:rPr>
        <w:t>A</w:t>
      </w:r>
      <w:r w:rsidR="00667E6F">
        <w:rPr>
          <w:rFonts w:ascii="Cambria" w:hAnsi="Cambria"/>
          <w:sz w:val="20"/>
          <w:szCs w:val="20"/>
        </w:rPr>
        <w:t>SHR</w:t>
      </w:r>
      <w:r w:rsidRPr="00646665">
        <w:rPr>
          <w:rFonts w:ascii="Cambria" w:hAnsi="Cambria"/>
          <w:sz w:val="20"/>
          <w:szCs w:val="20"/>
        </w:rPr>
        <w:t>, and that the petitioner</w:t>
      </w:r>
      <w:r>
        <w:rPr>
          <w:rFonts w:ascii="Cambria" w:hAnsi="Cambria"/>
          <w:sz w:val="20"/>
          <w:szCs w:val="20"/>
        </w:rPr>
        <w:t>s</w:t>
      </w:r>
      <w:r w:rsidRPr="00646665">
        <w:rPr>
          <w:rFonts w:ascii="Cambria" w:hAnsi="Cambria"/>
          <w:sz w:val="20"/>
          <w:szCs w:val="20"/>
        </w:rPr>
        <w:t xml:space="preserve"> did not exhaust the applicable proceedings before resorting to the Commission. </w:t>
      </w:r>
    </w:p>
    <w:p w14:paraId="73CF04AB" w14:textId="64743129"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31.</w:t>
      </w:r>
      <w:r w:rsidRPr="00646665">
        <w:rPr>
          <w:rFonts w:ascii="Cambria" w:hAnsi="Cambria"/>
          <w:sz w:val="20"/>
          <w:szCs w:val="20"/>
        </w:rPr>
        <w:tab/>
        <w:t xml:space="preserve">Colombia concludes that the actions taken by the </w:t>
      </w:r>
      <w:r w:rsidR="00667E6F">
        <w:rPr>
          <w:rFonts w:ascii="Cambria" w:hAnsi="Cambria"/>
          <w:sz w:val="20"/>
        </w:rPr>
        <w:t>AG</w:t>
      </w:r>
      <w:r w:rsidRPr="00646665">
        <w:rPr>
          <w:rFonts w:ascii="Cambria" w:hAnsi="Cambria"/>
          <w:sz w:val="20"/>
          <w:szCs w:val="20"/>
        </w:rPr>
        <w:t xml:space="preserve"> to investigate the case have been carried out within a reasonable time, since there are several criminal investigations related to the events that support the petition under study:</w:t>
      </w:r>
    </w:p>
    <w:p w14:paraId="67F30629" w14:textId="2BF05B3A"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proofErr w:type="spellStart"/>
      <w:r w:rsidRPr="00646665">
        <w:rPr>
          <w:rFonts w:ascii="Cambria" w:hAnsi="Cambria"/>
          <w:sz w:val="20"/>
          <w:szCs w:val="20"/>
        </w:rPr>
        <w:t>i</w:t>
      </w:r>
      <w:proofErr w:type="spellEnd"/>
      <w:r w:rsidRPr="00646665">
        <w:rPr>
          <w:rFonts w:ascii="Cambria" w:hAnsi="Cambria"/>
          <w:sz w:val="20"/>
          <w:szCs w:val="20"/>
        </w:rPr>
        <w:t xml:space="preserve">) </w:t>
      </w:r>
      <w:r w:rsidRPr="00646665">
        <w:rPr>
          <w:rFonts w:ascii="Cambria" w:hAnsi="Cambria"/>
          <w:sz w:val="20"/>
          <w:szCs w:val="20"/>
        </w:rPr>
        <w:tab/>
        <w:t xml:space="preserve">The Specialized 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of </w:t>
      </w:r>
      <w:proofErr w:type="spellStart"/>
      <w:r w:rsidRPr="00646665">
        <w:rPr>
          <w:rFonts w:ascii="Cambria" w:hAnsi="Cambria"/>
          <w:sz w:val="20"/>
          <w:szCs w:val="20"/>
        </w:rPr>
        <w:t>Popayán</w:t>
      </w:r>
      <w:proofErr w:type="spellEnd"/>
      <w:r w:rsidRPr="00646665">
        <w:rPr>
          <w:rFonts w:ascii="Cambria" w:hAnsi="Cambria"/>
          <w:sz w:val="20"/>
          <w:szCs w:val="20"/>
        </w:rPr>
        <w:t xml:space="preserve"> is carrying out a criminal investigation under file </w:t>
      </w:r>
      <w:r>
        <w:rPr>
          <w:rFonts w:ascii="Cambria" w:hAnsi="Cambria"/>
          <w:sz w:val="20"/>
          <w:szCs w:val="20"/>
        </w:rPr>
        <w:t>n</w:t>
      </w:r>
      <w:r w:rsidRPr="00646665">
        <w:rPr>
          <w:rFonts w:ascii="Cambria" w:hAnsi="Cambria"/>
          <w:sz w:val="20"/>
          <w:szCs w:val="20"/>
        </w:rPr>
        <w:t>o. 3405</w:t>
      </w:r>
      <w:r>
        <w:rPr>
          <w:rFonts w:ascii="Cambria" w:hAnsi="Cambria"/>
          <w:sz w:val="20"/>
          <w:szCs w:val="20"/>
        </w:rPr>
        <w:t>,</w:t>
      </w:r>
      <w:r w:rsidRPr="00646665">
        <w:rPr>
          <w:rFonts w:ascii="Cambria" w:hAnsi="Cambria"/>
          <w:sz w:val="20"/>
          <w:szCs w:val="20"/>
        </w:rPr>
        <w:t xml:space="preserve"> in which the case of Mr. </w:t>
      </w:r>
      <w:proofErr w:type="spellStart"/>
      <w:r w:rsidRPr="00646665">
        <w:rPr>
          <w:rFonts w:ascii="Cambria" w:hAnsi="Cambria"/>
          <w:sz w:val="20"/>
          <w:szCs w:val="20"/>
        </w:rPr>
        <w:t>Ulcue</w:t>
      </w:r>
      <w:proofErr w:type="spellEnd"/>
      <w:r w:rsidRPr="00646665">
        <w:rPr>
          <w:rFonts w:ascii="Cambria" w:hAnsi="Cambria"/>
          <w:sz w:val="20"/>
          <w:szCs w:val="20"/>
        </w:rPr>
        <w:t xml:space="preserve"> Apio is included. </w:t>
      </w:r>
    </w:p>
    <w:p w14:paraId="71403E6A" w14:textId="588EDD44"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 xml:space="preserve">ii) </w:t>
      </w:r>
      <w:r w:rsidRPr="00646665">
        <w:rPr>
          <w:rFonts w:ascii="Cambria" w:hAnsi="Cambria"/>
          <w:sz w:val="20"/>
          <w:szCs w:val="20"/>
        </w:rPr>
        <w:tab/>
        <w:t xml:space="preserve">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No. 2 of Santander de </w:t>
      </w:r>
      <w:proofErr w:type="spellStart"/>
      <w:r w:rsidRPr="00646665">
        <w:rPr>
          <w:rFonts w:ascii="Cambria" w:hAnsi="Cambria"/>
          <w:sz w:val="20"/>
          <w:szCs w:val="20"/>
        </w:rPr>
        <w:t>Quilichao</w:t>
      </w:r>
      <w:proofErr w:type="spellEnd"/>
      <w:r w:rsidRPr="00646665">
        <w:rPr>
          <w:rFonts w:ascii="Cambria" w:hAnsi="Cambria"/>
          <w:sz w:val="20"/>
          <w:szCs w:val="20"/>
        </w:rPr>
        <w:t xml:space="preserve"> is carrying out an investigation under file </w:t>
      </w:r>
      <w:r>
        <w:rPr>
          <w:rFonts w:ascii="Cambria" w:hAnsi="Cambria"/>
          <w:sz w:val="20"/>
          <w:szCs w:val="20"/>
        </w:rPr>
        <w:t>n</w:t>
      </w:r>
      <w:r w:rsidRPr="00646665">
        <w:rPr>
          <w:rFonts w:ascii="Cambria" w:hAnsi="Cambria"/>
          <w:sz w:val="20"/>
          <w:szCs w:val="20"/>
        </w:rPr>
        <w:t xml:space="preserve">o. 12716 for the crimes of torture, kidnapping and homicide, in which the cases of Mr. Méndez Passu and Mr. Méndez </w:t>
      </w:r>
      <w:proofErr w:type="spellStart"/>
      <w:r w:rsidRPr="00646665">
        <w:rPr>
          <w:rFonts w:ascii="Cambria" w:hAnsi="Cambria"/>
          <w:sz w:val="20"/>
          <w:szCs w:val="20"/>
        </w:rPr>
        <w:t>Dagua</w:t>
      </w:r>
      <w:proofErr w:type="spellEnd"/>
      <w:r w:rsidRPr="00646665">
        <w:rPr>
          <w:rFonts w:ascii="Cambria" w:hAnsi="Cambria"/>
          <w:sz w:val="20"/>
          <w:szCs w:val="20"/>
        </w:rPr>
        <w:t xml:space="preserve"> are included. This investigation is in the stage of pressing charges </w:t>
      </w:r>
      <w:r>
        <w:rPr>
          <w:rFonts w:ascii="Cambria" w:hAnsi="Cambria"/>
          <w:sz w:val="20"/>
          <w:szCs w:val="20"/>
        </w:rPr>
        <w:t>with</w:t>
      </w:r>
      <w:r w:rsidRPr="00646665">
        <w:rPr>
          <w:rFonts w:ascii="Cambria" w:hAnsi="Cambria"/>
          <w:sz w:val="20"/>
          <w:szCs w:val="20"/>
        </w:rPr>
        <w:t>in the special</w:t>
      </w:r>
      <w:r>
        <w:rPr>
          <w:rFonts w:ascii="Cambria" w:hAnsi="Cambria"/>
          <w:sz w:val="20"/>
          <w:szCs w:val="20"/>
        </w:rPr>
        <w:t xml:space="preserve"> proceedings of the</w:t>
      </w:r>
      <w:r w:rsidRPr="00646665">
        <w:rPr>
          <w:rFonts w:ascii="Cambria" w:hAnsi="Cambria"/>
          <w:sz w:val="20"/>
          <w:szCs w:val="20"/>
        </w:rPr>
        <w:t xml:space="preserve"> Justice and Peace</w:t>
      </w:r>
      <w:r>
        <w:rPr>
          <w:rFonts w:ascii="Cambria" w:hAnsi="Cambria"/>
          <w:sz w:val="20"/>
          <w:szCs w:val="20"/>
        </w:rPr>
        <w:t xml:space="preserve"> Unit</w:t>
      </w:r>
      <w:r w:rsidRPr="00646665">
        <w:rPr>
          <w:rFonts w:ascii="Cambria" w:hAnsi="Cambria"/>
          <w:sz w:val="20"/>
          <w:szCs w:val="20"/>
        </w:rPr>
        <w:t>.</w:t>
      </w:r>
    </w:p>
    <w:p w14:paraId="48A75B73" w14:textId="7BCB5EB4"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 xml:space="preserve">iii) </w:t>
      </w:r>
      <w:r w:rsidRPr="00646665">
        <w:rPr>
          <w:rFonts w:ascii="Cambria" w:hAnsi="Cambria"/>
          <w:sz w:val="20"/>
          <w:szCs w:val="20"/>
        </w:rPr>
        <w:tab/>
        <w:t xml:space="preserve">Specialized 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No. 7 is carrying out an investigation under file </w:t>
      </w:r>
      <w:r>
        <w:rPr>
          <w:rFonts w:ascii="Cambria" w:hAnsi="Cambria"/>
          <w:sz w:val="20"/>
          <w:szCs w:val="20"/>
        </w:rPr>
        <w:t>n</w:t>
      </w:r>
      <w:r w:rsidRPr="00646665">
        <w:rPr>
          <w:rFonts w:ascii="Cambria" w:hAnsi="Cambria"/>
          <w:sz w:val="20"/>
          <w:szCs w:val="20"/>
        </w:rPr>
        <w:t xml:space="preserve">o. 175895 for the crimes of homicide and forced disappearance, in which the case of Mr. Mosquera </w:t>
      </w:r>
      <w:proofErr w:type="spellStart"/>
      <w:r w:rsidRPr="00646665">
        <w:rPr>
          <w:rFonts w:ascii="Cambria" w:hAnsi="Cambria"/>
          <w:sz w:val="20"/>
          <w:szCs w:val="20"/>
        </w:rPr>
        <w:t>Fiscué</w:t>
      </w:r>
      <w:proofErr w:type="spellEnd"/>
      <w:r w:rsidRPr="00646665">
        <w:rPr>
          <w:rFonts w:ascii="Cambria" w:hAnsi="Cambria"/>
          <w:sz w:val="20"/>
          <w:szCs w:val="20"/>
        </w:rPr>
        <w:t xml:space="preserve"> is included. The investigation is in the stage of pressing charges </w:t>
      </w:r>
      <w:r>
        <w:rPr>
          <w:rFonts w:ascii="Cambria" w:hAnsi="Cambria"/>
          <w:sz w:val="20"/>
          <w:szCs w:val="20"/>
        </w:rPr>
        <w:t>with</w:t>
      </w:r>
      <w:r w:rsidRPr="00646665">
        <w:rPr>
          <w:rFonts w:ascii="Cambria" w:hAnsi="Cambria"/>
          <w:sz w:val="20"/>
          <w:szCs w:val="20"/>
        </w:rPr>
        <w:t xml:space="preserve">in the special </w:t>
      </w:r>
      <w:r>
        <w:rPr>
          <w:rFonts w:ascii="Cambria" w:hAnsi="Cambria"/>
          <w:sz w:val="20"/>
          <w:szCs w:val="20"/>
        </w:rPr>
        <w:t xml:space="preserve">criminal proceeding of the </w:t>
      </w:r>
      <w:r w:rsidRPr="00646665">
        <w:rPr>
          <w:rFonts w:ascii="Cambria" w:hAnsi="Cambria"/>
          <w:sz w:val="20"/>
          <w:szCs w:val="20"/>
        </w:rPr>
        <w:t xml:space="preserve">Justice and Peace </w:t>
      </w:r>
      <w:r>
        <w:rPr>
          <w:rFonts w:ascii="Cambria" w:hAnsi="Cambria"/>
          <w:sz w:val="20"/>
          <w:szCs w:val="20"/>
        </w:rPr>
        <w:t>Unit</w:t>
      </w:r>
      <w:r w:rsidRPr="00646665">
        <w:rPr>
          <w:rFonts w:ascii="Cambria" w:hAnsi="Cambria"/>
          <w:sz w:val="20"/>
          <w:szCs w:val="20"/>
        </w:rPr>
        <w:t xml:space="preserve">. </w:t>
      </w:r>
    </w:p>
    <w:p w14:paraId="576C16D4" w14:textId="43FD19E6"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 xml:space="preserve">iv) </w:t>
      </w:r>
      <w:r w:rsidRPr="00646665">
        <w:rPr>
          <w:rFonts w:ascii="Cambria" w:hAnsi="Cambria"/>
          <w:sz w:val="20"/>
          <w:szCs w:val="20"/>
        </w:rPr>
        <w:tab/>
        <w:t xml:space="preserve">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No. 18 is carrying out an investigation under file </w:t>
      </w:r>
      <w:r>
        <w:rPr>
          <w:rFonts w:ascii="Cambria" w:hAnsi="Cambria"/>
          <w:sz w:val="20"/>
          <w:szCs w:val="20"/>
        </w:rPr>
        <w:t>n</w:t>
      </w:r>
      <w:r w:rsidRPr="00646665">
        <w:rPr>
          <w:rFonts w:ascii="Cambria" w:hAnsi="Cambria"/>
          <w:sz w:val="20"/>
          <w:szCs w:val="20"/>
        </w:rPr>
        <w:t xml:space="preserve">o. 173699 for the crimes of kidnapping, forced disappearance and murder of a protected person, in which the case of Mr. Largo Campo is included. The investigation is in the stage of pressing charges </w:t>
      </w:r>
      <w:r>
        <w:rPr>
          <w:rFonts w:ascii="Cambria" w:hAnsi="Cambria"/>
          <w:sz w:val="20"/>
          <w:szCs w:val="20"/>
        </w:rPr>
        <w:t>with</w:t>
      </w:r>
      <w:r w:rsidRPr="00646665">
        <w:rPr>
          <w:rFonts w:ascii="Cambria" w:hAnsi="Cambria"/>
          <w:sz w:val="20"/>
          <w:szCs w:val="20"/>
        </w:rPr>
        <w:t>in the special</w:t>
      </w:r>
      <w:r>
        <w:rPr>
          <w:rFonts w:ascii="Cambria" w:hAnsi="Cambria"/>
          <w:sz w:val="20"/>
          <w:szCs w:val="20"/>
        </w:rPr>
        <w:t xml:space="preserve"> criminal proceeding</w:t>
      </w:r>
      <w:r w:rsidRPr="00646665">
        <w:rPr>
          <w:rFonts w:ascii="Cambria" w:hAnsi="Cambria"/>
          <w:sz w:val="20"/>
          <w:szCs w:val="20"/>
        </w:rPr>
        <w:t xml:space="preserve"> </w:t>
      </w:r>
      <w:r>
        <w:rPr>
          <w:rFonts w:ascii="Cambria" w:hAnsi="Cambria"/>
          <w:sz w:val="20"/>
          <w:szCs w:val="20"/>
        </w:rPr>
        <w:t xml:space="preserve">of the </w:t>
      </w:r>
      <w:r w:rsidRPr="00646665">
        <w:rPr>
          <w:rFonts w:ascii="Cambria" w:hAnsi="Cambria"/>
          <w:sz w:val="20"/>
          <w:szCs w:val="20"/>
        </w:rPr>
        <w:t>Justice and Peace</w:t>
      </w:r>
      <w:r>
        <w:rPr>
          <w:rFonts w:ascii="Cambria" w:hAnsi="Cambria"/>
          <w:sz w:val="20"/>
          <w:szCs w:val="20"/>
        </w:rPr>
        <w:t xml:space="preserve"> Unit</w:t>
      </w:r>
      <w:r w:rsidRPr="00646665">
        <w:rPr>
          <w:rFonts w:ascii="Cambria" w:hAnsi="Cambria"/>
          <w:sz w:val="20"/>
          <w:szCs w:val="20"/>
        </w:rPr>
        <w:t xml:space="preserve">. </w:t>
      </w:r>
    </w:p>
    <w:p w14:paraId="68B4AADD" w14:textId="5FD765CB"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 xml:space="preserve">v) </w:t>
      </w:r>
      <w:r w:rsidRPr="00646665">
        <w:rPr>
          <w:rFonts w:ascii="Cambria" w:hAnsi="Cambria"/>
          <w:sz w:val="20"/>
          <w:szCs w:val="20"/>
        </w:rPr>
        <w:tab/>
        <w:t xml:space="preserve">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No. 21 is carrying out an investigation under file </w:t>
      </w:r>
      <w:r>
        <w:rPr>
          <w:rFonts w:ascii="Cambria" w:hAnsi="Cambria"/>
          <w:sz w:val="20"/>
          <w:szCs w:val="20"/>
        </w:rPr>
        <w:t>n</w:t>
      </w:r>
      <w:r w:rsidRPr="00646665">
        <w:rPr>
          <w:rFonts w:ascii="Cambria" w:hAnsi="Cambria"/>
          <w:sz w:val="20"/>
          <w:szCs w:val="20"/>
        </w:rPr>
        <w:t xml:space="preserve">o. 242809 for the crimes of kidnapping and homicide, in which the case of Mr. Rivera Mestizo is included. The investigation is in the stage of pressing charges </w:t>
      </w:r>
      <w:r>
        <w:rPr>
          <w:rFonts w:ascii="Cambria" w:hAnsi="Cambria"/>
          <w:sz w:val="20"/>
          <w:szCs w:val="20"/>
        </w:rPr>
        <w:t>with</w:t>
      </w:r>
      <w:r w:rsidRPr="00646665">
        <w:rPr>
          <w:rFonts w:ascii="Cambria" w:hAnsi="Cambria"/>
          <w:sz w:val="20"/>
          <w:szCs w:val="20"/>
        </w:rPr>
        <w:t>in the special</w:t>
      </w:r>
      <w:r>
        <w:rPr>
          <w:rFonts w:ascii="Cambria" w:hAnsi="Cambria"/>
          <w:sz w:val="20"/>
          <w:szCs w:val="20"/>
        </w:rPr>
        <w:t xml:space="preserve"> criminal proceeding</w:t>
      </w:r>
      <w:r w:rsidRPr="00646665">
        <w:rPr>
          <w:rFonts w:ascii="Cambria" w:hAnsi="Cambria"/>
          <w:sz w:val="20"/>
          <w:szCs w:val="20"/>
        </w:rPr>
        <w:t xml:space="preserve"> </w:t>
      </w:r>
      <w:r>
        <w:rPr>
          <w:rFonts w:ascii="Cambria" w:hAnsi="Cambria"/>
          <w:sz w:val="20"/>
          <w:szCs w:val="20"/>
        </w:rPr>
        <w:t xml:space="preserve">of the </w:t>
      </w:r>
      <w:r w:rsidRPr="00646665">
        <w:rPr>
          <w:rFonts w:ascii="Cambria" w:hAnsi="Cambria"/>
          <w:sz w:val="20"/>
          <w:szCs w:val="20"/>
        </w:rPr>
        <w:t>Justice and Peace</w:t>
      </w:r>
      <w:r>
        <w:rPr>
          <w:rFonts w:ascii="Cambria" w:hAnsi="Cambria"/>
          <w:sz w:val="20"/>
          <w:szCs w:val="20"/>
        </w:rPr>
        <w:t xml:space="preserve"> Unit.</w:t>
      </w:r>
      <w:r w:rsidRPr="00646665">
        <w:rPr>
          <w:rFonts w:ascii="Cambria" w:hAnsi="Cambria"/>
          <w:sz w:val="20"/>
          <w:szCs w:val="20"/>
        </w:rPr>
        <w:t xml:space="preserve"> </w:t>
      </w:r>
    </w:p>
    <w:p w14:paraId="760BD70B" w14:textId="3637574F"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 xml:space="preserve">vi) </w:t>
      </w:r>
      <w:r w:rsidRPr="00646665">
        <w:rPr>
          <w:rFonts w:ascii="Cambria" w:hAnsi="Cambria"/>
          <w:sz w:val="20"/>
          <w:szCs w:val="20"/>
        </w:rPr>
        <w:tab/>
        <w:t xml:space="preserve">The </w:t>
      </w:r>
      <w:r w:rsidR="00667E6F">
        <w:rPr>
          <w:rFonts w:ascii="Cambria" w:hAnsi="Cambria"/>
          <w:sz w:val="20"/>
        </w:rPr>
        <w:t>AG</w:t>
      </w:r>
      <w:r w:rsidR="00553F5B" w:rsidRPr="00646665">
        <w:rPr>
          <w:rFonts w:ascii="Cambria" w:hAnsi="Cambria"/>
          <w:sz w:val="20"/>
          <w:szCs w:val="20"/>
        </w:rPr>
        <w:t xml:space="preserve"> </w:t>
      </w:r>
      <w:r w:rsidRPr="00646665">
        <w:rPr>
          <w:rFonts w:ascii="Cambria" w:hAnsi="Cambria"/>
          <w:sz w:val="20"/>
          <w:szCs w:val="20"/>
        </w:rPr>
        <w:t xml:space="preserve">is carrying out an investigation under files </w:t>
      </w:r>
      <w:r>
        <w:rPr>
          <w:rFonts w:ascii="Cambria" w:hAnsi="Cambria"/>
          <w:sz w:val="20"/>
          <w:szCs w:val="20"/>
        </w:rPr>
        <w:t>n</w:t>
      </w:r>
      <w:r w:rsidRPr="00646665">
        <w:rPr>
          <w:rFonts w:ascii="Cambria" w:hAnsi="Cambria"/>
          <w:sz w:val="20"/>
          <w:szCs w:val="20"/>
        </w:rPr>
        <w:t xml:space="preserve">o. 240262 and </w:t>
      </w:r>
      <w:r>
        <w:rPr>
          <w:rFonts w:ascii="Cambria" w:hAnsi="Cambria"/>
          <w:sz w:val="20"/>
          <w:szCs w:val="20"/>
        </w:rPr>
        <w:t>n</w:t>
      </w:r>
      <w:r w:rsidRPr="00646665">
        <w:rPr>
          <w:rFonts w:ascii="Cambria" w:hAnsi="Cambria"/>
          <w:sz w:val="20"/>
          <w:szCs w:val="20"/>
        </w:rPr>
        <w:t xml:space="preserve">o. 212197 for the crimes of kidnapping and homicide, in which the case of Ms. </w:t>
      </w:r>
      <w:proofErr w:type="spellStart"/>
      <w:r w:rsidRPr="00646665">
        <w:rPr>
          <w:rFonts w:ascii="Cambria" w:hAnsi="Cambria"/>
          <w:sz w:val="20"/>
          <w:szCs w:val="20"/>
        </w:rPr>
        <w:t>Zúñiga</w:t>
      </w:r>
      <w:proofErr w:type="spellEnd"/>
      <w:r w:rsidRPr="00646665">
        <w:rPr>
          <w:rFonts w:ascii="Cambria" w:hAnsi="Cambria"/>
          <w:sz w:val="20"/>
          <w:szCs w:val="20"/>
        </w:rPr>
        <w:t xml:space="preserve"> is included. The investigation is in the stage of pressing charges </w:t>
      </w:r>
      <w:r>
        <w:rPr>
          <w:rFonts w:ascii="Cambria" w:hAnsi="Cambria"/>
          <w:sz w:val="20"/>
          <w:szCs w:val="20"/>
        </w:rPr>
        <w:t>with</w:t>
      </w:r>
      <w:r w:rsidRPr="00646665">
        <w:rPr>
          <w:rFonts w:ascii="Cambria" w:hAnsi="Cambria"/>
          <w:sz w:val="20"/>
          <w:szCs w:val="20"/>
        </w:rPr>
        <w:t>in the special</w:t>
      </w:r>
      <w:r>
        <w:rPr>
          <w:rFonts w:ascii="Cambria" w:hAnsi="Cambria"/>
          <w:sz w:val="20"/>
          <w:szCs w:val="20"/>
        </w:rPr>
        <w:t xml:space="preserve"> criminal proceeding</w:t>
      </w:r>
      <w:r w:rsidRPr="00646665">
        <w:rPr>
          <w:rFonts w:ascii="Cambria" w:hAnsi="Cambria"/>
          <w:sz w:val="20"/>
          <w:szCs w:val="20"/>
        </w:rPr>
        <w:t xml:space="preserve"> </w:t>
      </w:r>
      <w:r>
        <w:rPr>
          <w:rFonts w:ascii="Cambria" w:hAnsi="Cambria"/>
          <w:sz w:val="20"/>
          <w:szCs w:val="20"/>
        </w:rPr>
        <w:t xml:space="preserve">of the </w:t>
      </w:r>
      <w:r w:rsidRPr="00646665">
        <w:rPr>
          <w:rFonts w:ascii="Cambria" w:hAnsi="Cambria"/>
          <w:sz w:val="20"/>
          <w:szCs w:val="20"/>
        </w:rPr>
        <w:t>Justice and Peace</w:t>
      </w:r>
      <w:r>
        <w:rPr>
          <w:rFonts w:ascii="Cambria" w:hAnsi="Cambria"/>
          <w:sz w:val="20"/>
          <w:szCs w:val="20"/>
        </w:rPr>
        <w:t xml:space="preserve"> Unit</w:t>
      </w:r>
      <w:r w:rsidRPr="00646665">
        <w:rPr>
          <w:rFonts w:ascii="Cambria" w:hAnsi="Cambria"/>
          <w:sz w:val="20"/>
          <w:szCs w:val="20"/>
        </w:rPr>
        <w:t xml:space="preserve">. </w:t>
      </w:r>
    </w:p>
    <w:p w14:paraId="3F45BD61" w14:textId="77777777"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 xml:space="preserve">vii) </w:t>
      </w:r>
      <w:r w:rsidRPr="00646665">
        <w:rPr>
          <w:rFonts w:ascii="Cambria" w:hAnsi="Cambria"/>
          <w:sz w:val="20"/>
          <w:szCs w:val="20"/>
        </w:rPr>
        <w:tab/>
        <w:t>The criminal investigation related to the Naya Massacre</w:t>
      </w:r>
      <w:r>
        <w:rPr>
          <w:rFonts w:ascii="Cambria" w:hAnsi="Cambria"/>
          <w:sz w:val="20"/>
          <w:szCs w:val="20"/>
        </w:rPr>
        <w:t>,</w:t>
      </w:r>
      <w:r w:rsidRPr="00646665">
        <w:rPr>
          <w:rFonts w:ascii="Cambria" w:hAnsi="Cambria"/>
          <w:sz w:val="20"/>
          <w:szCs w:val="20"/>
        </w:rPr>
        <w:t xml:space="preserve"> in which Mr. and Ms. </w:t>
      </w:r>
      <w:proofErr w:type="spellStart"/>
      <w:r w:rsidRPr="00646665">
        <w:rPr>
          <w:rFonts w:ascii="Cambria" w:hAnsi="Cambria"/>
          <w:sz w:val="20"/>
          <w:szCs w:val="20"/>
        </w:rPr>
        <w:t>Yonda</w:t>
      </w:r>
      <w:proofErr w:type="spellEnd"/>
      <w:r w:rsidRPr="00646665">
        <w:rPr>
          <w:rFonts w:ascii="Cambria" w:hAnsi="Cambria"/>
          <w:sz w:val="20"/>
          <w:szCs w:val="20"/>
        </w:rPr>
        <w:t xml:space="preserve"> </w:t>
      </w:r>
      <w:proofErr w:type="spellStart"/>
      <w:r w:rsidRPr="00646665">
        <w:rPr>
          <w:rFonts w:ascii="Cambria" w:hAnsi="Cambria"/>
          <w:sz w:val="20"/>
          <w:szCs w:val="20"/>
        </w:rPr>
        <w:t>Pinzón</w:t>
      </w:r>
      <w:proofErr w:type="spellEnd"/>
      <w:r w:rsidRPr="00646665">
        <w:rPr>
          <w:rFonts w:ascii="Cambria" w:hAnsi="Cambria"/>
          <w:sz w:val="20"/>
          <w:szCs w:val="20"/>
        </w:rPr>
        <w:t xml:space="preserve"> allegedly los</w:t>
      </w:r>
      <w:r>
        <w:rPr>
          <w:rFonts w:ascii="Cambria" w:hAnsi="Cambria"/>
          <w:sz w:val="20"/>
          <w:szCs w:val="20"/>
        </w:rPr>
        <w:t>t</w:t>
      </w:r>
      <w:r w:rsidRPr="00646665">
        <w:rPr>
          <w:rFonts w:ascii="Cambria" w:hAnsi="Cambria"/>
          <w:sz w:val="20"/>
          <w:szCs w:val="20"/>
        </w:rPr>
        <w:t xml:space="preserve"> their lives</w:t>
      </w:r>
      <w:r>
        <w:rPr>
          <w:rFonts w:ascii="Cambria" w:hAnsi="Cambria"/>
          <w:sz w:val="20"/>
          <w:szCs w:val="20"/>
        </w:rPr>
        <w:t>,</w:t>
      </w:r>
      <w:r w:rsidRPr="00646665">
        <w:rPr>
          <w:rFonts w:ascii="Cambria" w:hAnsi="Cambria"/>
          <w:sz w:val="20"/>
          <w:szCs w:val="20"/>
        </w:rPr>
        <w:t xml:space="preserve"> is in the stage of gathering evidence</w:t>
      </w:r>
      <w:r>
        <w:rPr>
          <w:rFonts w:ascii="Cambria" w:hAnsi="Cambria"/>
          <w:sz w:val="20"/>
          <w:szCs w:val="20"/>
        </w:rPr>
        <w:t>.</w:t>
      </w:r>
      <w:r w:rsidRPr="00646665">
        <w:rPr>
          <w:rFonts w:ascii="Cambria" w:hAnsi="Cambria"/>
          <w:sz w:val="20"/>
          <w:szCs w:val="20"/>
        </w:rPr>
        <w:t xml:space="preserve"> </w:t>
      </w:r>
      <w:r>
        <w:rPr>
          <w:rFonts w:ascii="Cambria" w:hAnsi="Cambria"/>
          <w:sz w:val="20"/>
          <w:szCs w:val="20"/>
        </w:rPr>
        <w:t>H</w:t>
      </w:r>
      <w:r w:rsidRPr="00646665">
        <w:rPr>
          <w:rFonts w:ascii="Cambria" w:hAnsi="Cambria"/>
          <w:sz w:val="20"/>
          <w:szCs w:val="20"/>
        </w:rPr>
        <w:t xml:space="preserve">owever, there had reportedly been a division of the procedural unity in the case due to the number of persons involved. Therefore, the State considers that it has complied with its obligation to investigate, </w:t>
      </w:r>
      <w:proofErr w:type="gramStart"/>
      <w:r w:rsidRPr="00646665">
        <w:rPr>
          <w:rFonts w:ascii="Cambria" w:hAnsi="Cambria"/>
          <w:sz w:val="20"/>
          <w:szCs w:val="20"/>
        </w:rPr>
        <w:t>prosecute</w:t>
      </w:r>
      <w:proofErr w:type="gramEnd"/>
      <w:r w:rsidRPr="00646665">
        <w:rPr>
          <w:rFonts w:ascii="Cambria" w:hAnsi="Cambria"/>
          <w:sz w:val="20"/>
          <w:szCs w:val="20"/>
        </w:rPr>
        <w:t xml:space="preserve"> and punish those responsible since their involvement has been clarified in the criminal proceeding</w:t>
      </w:r>
      <w:r>
        <w:rPr>
          <w:rFonts w:ascii="Cambria" w:hAnsi="Cambria"/>
          <w:sz w:val="20"/>
          <w:szCs w:val="20"/>
        </w:rPr>
        <w:t>s</w:t>
      </w:r>
      <w:r w:rsidRPr="00646665">
        <w:rPr>
          <w:rFonts w:ascii="Cambria" w:hAnsi="Cambria"/>
          <w:sz w:val="20"/>
          <w:szCs w:val="20"/>
        </w:rPr>
        <w:t xml:space="preserve">. </w:t>
      </w:r>
    </w:p>
    <w:p w14:paraId="717EF9CB" w14:textId="33C33C69"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32.</w:t>
      </w:r>
      <w:r w:rsidRPr="00646665">
        <w:rPr>
          <w:rFonts w:ascii="Cambria" w:hAnsi="Cambria"/>
          <w:sz w:val="20"/>
          <w:szCs w:val="20"/>
        </w:rPr>
        <w:tab/>
        <w:t>In the field of transitional justice, the State contends that the allegations of the petitioner</w:t>
      </w:r>
      <w:r>
        <w:rPr>
          <w:rFonts w:ascii="Cambria" w:hAnsi="Cambria"/>
          <w:sz w:val="20"/>
          <w:szCs w:val="20"/>
        </w:rPr>
        <w:t>s</w:t>
      </w:r>
      <w:r w:rsidRPr="00646665">
        <w:rPr>
          <w:rFonts w:ascii="Cambria" w:hAnsi="Cambria"/>
          <w:sz w:val="20"/>
          <w:szCs w:val="20"/>
        </w:rPr>
        <w:t xml:space="preserve"> according to which "</w:t>
      </w:r>
      <w:r w:rsidRPr="00905C36">
        <w:rPr>
          <w:rFonts w:ascii="Cambria" w:hAnsi="Cambria"/>
          <w:iCs/>
          <w:sz w:val="20"/>
          <w:szCs w:val="20"/>
        </w:rPr>
        <w:t>Law No. 975 of 2005 does not meet the main elements required to establish a transitional justice system</w:t>
      </w:r>
      <w:r w:rsidRPr="00646665">
        <w:rPr>
          <w:rFonts w:ascii="Cambria" w:hAnsi="Cambria"/>
          <w:sz w:val="20"/>
          <w:szCs w:val="20"/>
        </w:rPr>
        <w:t>" lack any basis</w:t>
      </w:r>
      <w:r w:rsidR="007B224F" w:rsidRPr="00646665">
        <w:rPr>
          <w:rFonts w:ascii="Cambria" w:hAnsi="Cambria"/>
          <w:sz w:val="20"/>
          <w:szCs w:val="20"/>
        </w:rPr>
        <w:t xml:space="preserve">. </w:t>
      </w:r>
      <w:r w:rsidRPr="00646665">
        <w:rPr>
          <w:rFonts w:ascii="Cambria" w:hAnsi="Cambria"/>
          <w:sz w:val="20"/>
          <w:szCs w:val="20"/>
        </w:rPr>
        <w:t>The State stresses that the</w:t>
      </w:r>
      <w:r>
        <w:rPr>
          <w:rFonts w:ascii="Cambria" w:hAnsi="Cambria"/>
          <w:sz w:val="20"/>
          <w:szCs w:val="20"/>
        </w:rPr>
        <w:t xml:space="preserve"> proceeding of the</w:t>
      </w:r>
      <w:r w:rsidRPr="00646665">
        <w:rPr>
          <w:rFonts w:ascii="Cambria" w:hAnsi="Cambria"/>
          <w:sz w:val="20"/>
          <w:szCs w:val="20"/>
        </w:rPr>
        <w:t xml:space="preserve"> Justice and Peace</w:t>
      </w:r>
      <w:r>
        <w:rPr>
          <w:rFonts w:ascii="Cambria" w:hAnsi="Cambria"/>
          <w:sz w:val="20"/>
          <w:szCs w:val="20"/>
        </w:rPr>
        <w:t xml:space="preserve"> Unit</w:t>
      </w:r>
      <w:r w:rsidRPr="00646665">
        <w:rPr>
          <w:rFonts w:ascii="Cambria" w:hAnsi="Cambria"/>
          <w:sz w:val="20"/>
          <w:szCs w:val="20"/>
        </w:rPr>
        <w:t xml:space="preserve"> has enabled the clarification of numerous </w:t>
      </w:r>
      <w:r>
        <w:rPr>
          <w:rFonts w:ascii="Cambria" w:hAnsi="Cambria"/>
          <w:sz w:val="20"/>
          <w:szCs w:val="20"/>
        </w:rPr>
        <w:t>facts</w:t>
      </w:r>
      <w:r w:rsidRPr="00646665">
        <w:rPr>
          <w:rFonts w:ascii="Cambria" w:hAnsi="Cambria"/>
          <w:sz w:val="20"/>
          <w:szCs w:val="20"/>
        </w:rPr>
        <w:t>, not only those related to the petition under study, but a series of events related to the Colombian armed conflict. The State contends that it has built and applied several transitional justice tools during the most recent years, with the purpose of building a comprehensive strategy which allows the country to transition from a situation of armed conflict to a stable and lasting peace</w:t>
      </w:r>
      <w:r>
        <w:rPr>
          <w:rFonts w:ascii="Cambria" w:hAnsi="Cambria"/>
          <w:sz w:val="20"/>
          <w:szCs w:val="20"/>
        </w:rPr>
        <w:t>,</w:t>
      </w:r>
      <w:r w:rsidRPr="00646665">
        <w:rPr>
          <w:rFonts w:ascii="Cambria" w:hAnsi="Cambria"/>
          <w:sz w:val="20"/>
          <w:szCs w:val="20"/>
        </w:rPr>
        <w:t xml:space="preserve"> whose main goal is the utmost satisfaction of the rights of the victims and the strengthening of the </w:t>
      </w:r>
      <w:r>
        <w:rPr>
          <w:rFonts w:ascii="Cambria" w:hAnsi="Cambria"/>
          <w:sz w:val="20"/>
          <w:szCs w:val="20"/>
        </w:rPr>
        <w:t>r</w:t>
      </w:r>
      <w:r w:rsidRPr="00646665">
        <w:rPr>
          <w:rFonts w:ascii="Cambria" w:hAnsi="Cambria"/>
          <w:sz w:val="20"/>
          <w:szCs w:val="20"/>
        </w:rPr>
        <w:t xml:space="preserve">ule of </w:t>
      </w:r>
      <w:r>
        <w:rPr>
          <w:rFonts w:ascii="Cambria" w:hAnsi="Cambria"/>
          <w:sz w:val="20"/>
          <w:szCs w:val="20"/>
        </w:rPr>
        <w:t>l</w:t>
      </w:r>
      <w:r w:rsidRPr="00646665">
        <w:rPr>
          <w:rFonts w:ascii="Cambria" w:hAnsi="Cambria"/>
          <w:sz w:val="20"/>
          <w:szCs w:val="20"/>
        </w:rPr>
        <w:t xml:space="preserve">aw. Thus, Colombia concludes that it has implemented all the steps to build a criminal investigation system which guarantees the rights to truth, </w:t>
      </w:r>
      <w:proofErr w:type="gramStart"/>
      <w:r w:rsidRPr="00646665">
        <w:rPr>
          <w:rFonts w:ascii="Cambria" w:hAnsi="Cambria"/>
          <w:sz w:val="20"/>
          <w:szCs w:val="20"/>
        </w:rPr>
        <w:t>justice</w:t>
      </w:r>
      <w:proofErr w:type="gramEnd"/>
      <w:r w:rsidRPr="00646665">
        <w:rPr>
          <w:rFonts w:ascii="Cambria" w:hAnsi="Cambria"/>
          <w:sz w:val="20"/>
          <w:szCs w:val="20"/>
        </w:rPr>
        <w:t xml:space="preserve"> and reparation. Therefore, the State considers that the petition should be declared inadmissible pursuant to Articles 46.1.a) and 47.a) of the Convention since the criminal proce</w:t>
      </w:r>
      <w:r>
        <w:rPr>
          <w:rFonts w:ascii="Cambria" w:hAnsi="Cambria"/>
          <w:sz w:val="20"/>
          <w:szCs w:val="20"/>
        </w:rPr>
        <w:t>edings</w:t>
      </w:r>
      <w:r w:rsidRPr="00646665">
        <w:rPr>
          <w:rFonts w:ascii="Cambria" w:hAnsi="Cambria"/>
          <w:sz w:val="20"/>
          <w:szCs w:val="20"/>
        </w:rPr>
        <w:t xml:space="preserve"> had been concluded domestically. </w:t>
      </w:r>
    </w:p>
    <w:p w14:paraId="2F41CC7F" w14:textId="075B6153" w:rsidR="00CA4832" w:rsidRPr="00646665" w:rsidRDefault="00CA4832" w:rsidP="00CA4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rPr>
      </w:pPr>
      <w:r w:rsidRPr="00646665">
        <w:rPr>
          <w:rFonts w:ascii="Cambria" w:hAnsi="Cambria"/>
          <w:sz w:val="20"/>
          <w:szCs w:val="20"/>
        </w:rPr>
        <w:t>33.</w:t>
      </w:r>
      <w:r w:rsidRPr="00646665">
        <w:rPr>
          <w:rFonts w:ascii="Cambria" w:hAnsi="Cambria"/>
          <w:sz w:val="20"/>
          <w:szCs w:val="20"/>
        </w:rPr>
        <w:tab/>
        <w:t>With regard to the contentious</w:t>
      </w:r>
      <w:r>
        <w:rPr>
          <w:rFonts w:ascii="Cambria" w:hAnsi="Cambria"/>
          <w:sz w:val="20"/>
          <w:szCs w:val="20"/>
        </w:rPr>
        <w:t>-</w:t>
      </w:r>
      <w:r w:rsidRPr="00646665">
        <w:rPr>
          <w:rFonts w:ascii="Cambria" w:hAnsi="Cambria"/>
          <w:sz w:val="20"/>
          <w:szCs w:val="20"/>
        </w:rPr>
        <w:t xml:space="preserve">administrative matters, the State alleges that, out of the group of 15 members of the indigenous communities, the only </w:t>
      </w:r>
      <w:r>
        <w:rPr>
          <w:rFonts w:ascii="Cambria" w:hAnsi="Cambria"/>
          <w:sz w:val="20"/>
          <w:szCs w:val="20"/>
        </w:rPr>
        <w:t>next of kin</w:t>
      </w:r>
      <w:r w:rsidRPr="00646665">
        <w:rPr>
          <w:rFonts w:ascii="Cambria" w:hAnsi="Cambria"/>
          <w:sz w:val="20"/>
          <w:szCs w:val="20"/>
        </w:rPr>
        <w:t xml:space="preserve"> who have filed a claim for direct reparation are the next of kin of: </w:t>
      </w:r>
      <w:proofErr w:type="spellStart"/>
      <w:r w:rsidRPr="00646665">
        <w:rPr>
          <w:rFonts w:ascii="Cambria" w:hAnsi="Cambria"/>
          <w:sz w:val="20"/>
          <w:szCs w:val="20"/>
        </w:rPr>
        <w:t>i</w:t>
      </w:r>
      <w:proofErr w:type="spellEnd"/>
      <w:r w:rsidRPr="00646665">
        <w:rPr>
          <w:rFonts w:ascii="Cambria" w:hAnsi="Cambria"/>
          <w:sz w:val="20"/>
          <w:szCs w:val="20"/>
        </w:rPr>
        <w:t xml:space="preserve">) Mr. Mosquera </w:t>
      </w:r>
      <w:proofErr w:type="spellStart"/>
      <w:r w:rsidRPr="00646665">
        <w:rPr>
          <w:rFonts w:ascii="Cambria" w:hAnsi="Cambria"/>
          <w:sz w:val="20"/>
          <w:szCs w:val="20"/>
        </w:rPr>
        <w:t>Fiscué</w:t>
      </w:r>
      <w:proofErr w:type="spellEnd"/>
      <w:r>
        <w:rPr>
          <w:rFonts w:ascii="Cambria" w:hAnsi="Cambria"/>
          <w:sz w:val="20"/>
          <w:szCs w:val="20"/>
        </w:rPr>
        <w:t>,</w:t>
      </w:r>
      <w:r w:rsidRPr="00646665">
        <w:rPr>
          <w:rFonts w:ascii="Cambria" w:hAnsi="Cambria"/>
          <w:sz w:val="20"/>
          <w:szCs w:val="20"/>
        </w:rPr>
        <w:t xml:space="preserve"> who filed a claim for direct reparation before the Fifth Court of </w:t>
      </w:r>
      <w:r w:rsidRPr="00646665">
        <w:rPr>
          <w:rFonts w:ascii="Cambria" w:hAnsi="Cambria"/>
          <w:sz w:val="20"/>
          <w:szCs w:val="20"/>
        </w:rPr>
        <w:lastRenderedPageBreak/>
        <w:t xml:space="preserve">Administrative Matters of </w:t>
      </w:r>
      <w:proofErr w:type="spellStart"/>
      <w:r w:rsidRPr="00646665">
        <w:rPr>
          <w:rFonts w:ascii="Cambria" w:hAnsi="Cambria"/>
          <w:sz w:val="20"/>
          <w:szCs w:val="20"/>
        </w:rPr>
        <w:t>Popayán</w:t>
      </w:r>
      <w:proofErr w:type="spellEnd"/>
      <w:r w:rsidRPr="00646665">
        <w:rPr>
          <w:rFonts w:ascii="Cambria" w:hAnsi="Cambria"/>
          <w:sz w:val="20"/>
          <w:szCs w:val="20"/>
        </w:rPr>
        <w:t>, which issued a judgement on August 29, 2016</w:t>
      </w:r>
      <w:r>
        <w:rPr>
          <w:rFonts w:ascii="Cambria" w:hAnsi="Cambria"/>
          <w:sz w:val="20"/>
          <w:szCs w:val="20"/>
        </w:rPr>
        <w:t>,</w:t>
      </w:r>
      <w:r w:rsidRPr="00646665">
        <w:rPr>
          <w:rFonts w:ascii="Cambria" w:hAnsi="Cambria"/>
          <w:sz w:val="20"/>
          <w:szCs w:val="20"/>
        </w:rPr>
        <w:t xml:space="preserve"> declaring that the Colombian State was responsible for the disappearance of Mr. Mosquera </w:t>
      </w:r>
      <w:proofErr w:type="spellStart"/>
      <w:r w:rsidRPr="00646665">
        <w:rPr>
          <w:rFonts w:ascii="Cambria" w:hAnsi="Cambria"/>
          <w:sz w:val="20"/>
          <w:szCs w:val="20"/>
        </w:rPr>
        <w:t>Fiscué</w:t>
      </w:r>
      <w:proofErr w:type="spellEnd"/>
      <w:r w:rsidRPr="00646665">
        <w:rPr>
          <w:rFonts w:ascii="Cambria" w:hAnsi="Cambria"/>
          <w:sz w:val="20"/>
          <w:szCs w:val="20"/>
        </w:rPr>
        <w:t>. However, that ruling was appealed, and the case is currently</w:t>
      </w:r>
      <w:r>
        <w:rPr>
          <w:rFonts w:ascii="Cambria" w:hAnsi="Cambria"/>
          <w:sz w:val="20"/>
          <w:szCs w:val="20"/>
        </w:rPr>
        <w:t xml:space="preserve"> being heard by</w:t>
      </w:r>
      <w:r w:rsidRPr="00646665">
        <w:rPr>
          <w:rFonts w:ascii="Cambria" w:hAnsi="Cambria"/>
          <w:sz w:val="20"/>
          <w:szCs w:val="20"/>
        </w:rPr>
        <w:t xml:space="preserve"> </w:t>
      </w:r>
      <w:r>
        <w:rPr>
          <w:rFonts w:ascii="Cambria" w:hAnsi="Cambria"/>
          <w:sz w:val="20"/>
          <w:szCs w:val="20"/>
        </w:rPr>
        <w:t xml:space="preserve">the </w:t>
      </w:r>
      <w:r w:rsidRPr="00646665">
        <w:rPr>
          <w:rFonts w:ascii="Cambria" w:hAnsi="Cambria"/>
          <w:sz w:val="20"/>
          <w:szCs w:val="20"/>
        </w:rPr>
        <w:t>Court of Contentious</w:t>
      </w:r>
      <w:r>
        <w:rPr>
          <w:rFonts w:ascii="Cambria" w:hAnsi="Cambria"/>
          <w:sz w:val="20"/>
          <w:szCs w:val="20"/>
        </w:rPr>
        <w:t>-</w:t>
      </w:r>
      <w:r w:rsidRPr="00646665">
        <w:rPr>
          <w:rFonts w:ascii="Cambria" w:hAnsi="Cambria"/>
          <w:sz w:val="20"/>
          <w:szCs w:val="20"/>
        </w:rPr>
        <w:t>Administrative Matters</w:t>
      </w:r>
      <w:r>
        <w:rPr>
          <w:rFonts w:ascii="Cambria" w:hAnsi="Cambria"/>
          <w:sz w:val="20"/>
          <w:szCs w:val="20"/>
        </w:rPr>
        <w:t xml:space="preserve"> of Cauca</w:t>
      </w:r>
      <w:r w:rsidRPr="00646665">
        <w:rPr>
          <w:rFonts w:ascii="Cambria" w:hAnsi="Cambria"/>
          <w:sz w:val="20"/>
          <w:szCs w:val="20"/>
        </w:rPr>
        <w:t>, which ha</w:t>
      </w:r>
      <w:r>
        <w:rPr>
          <w:rFonts w:ascii="Cambria" w:hAnsi="Cambria"/>
          <w:sz w:val="20"/>
          <w:szCs w:val="20"/>
        </w:rPr>
        <w:t>s</w:t>
      </w:r>
      <w:r w:rsidRPr="00646665">
        <w:rPr>
          <w:rFonts w:ascii="Cambria" w:hAnsi="Cambria"/>
          <w:sz w:val="20"/>
          <w:szCs w:val="20"/>
        </w:rPr>
        <w:t xml:space="preserve"> not ruled on this matter; and ii) Mr. Méndez Passu and Méndez </w:t>
      </w:r>
      <w:proofErr w:type="spellStart"/>
      <w:r w:rsidRPr="00646665">
        <w:rPr>
          <w:rFonts w:ascii="Cambria" w:hAnsi="Cambria"/>
          <w:sz w:val="20"/>
          <w:szCs w:val="20"/>
        </w:rPr>
        <w:t>Dagua</w:t>
      </w:r>
      <w:proofErr w:type="spellEnd"/>
      <w:r w:rsidRPr="00646665">
        <w:rPr>
          <w:rFonts w:ascii="Cambria" w:hAnsi="Cambria"/>
          <w:sz w:val="20"/>
          <w:szCs w:val="20"/>
        </w:rPr>
        <w:t xml:space="preserve">, who filed a claim for direct reparation before the Eight Court of Administrative Matters of </w:t>
      </w:r>
      <w:proofErr w:type="spellStart"/>
      <w:r w:rsidRPr="00646665">
        <w:rPr>
          <w:rFonts w:ascii="Cambria" w:hAnsi="Cambria"/>
          <w:sz w:val="20"/>
          <w:szCs w:val="20"/>
        </w:rPr>
        <w:t>Popayán</w:t>
      </w:r>
      <w:proofErr w:type="spellEnd"/>
      <w:r w:rsidRPr="00646665">
        <w:rPr>
          <w:rFonts w:ascii="Cambria" w:hAnsi="Cambria"/>
          <w:sz w:val="20"/>
          <w:szCs w:val="20"/>
        </w:rPr>
        <w:t xml:space="preserve"> on December 3, 2013</w:t>
      </w:r>
      <w:r>
        <w:rPr>
          <w:rFonts w:ascii="Cambria" w:hAnsi="Cambria"/>
          <w:sz w:val="20"/>
          <w:szCs w:val="20"/>
        </w:rPr>
        <w:t>,</w:t>
      </w:r>
      <w:r w:rsidRPr="00646665">
        <w:rPr>
          <w:rFonts w:ascii="Cambria" w:hAnsi="Cambria"/>
          <w:sz w:val="20"/>
          <w:szCs w:val="20"/>
        </w:rPr>
        <w:t xml:space="preserve"> due to the disappearance of the alleged victims. This claim was </w:t>
      </w:r>
      <w:r>
        <w:rPr>
          <w:rFonts w:ascii="Cambria" w:hAnsi="Cambria"/>
          <w:sz w:val="20"/>
          <w:szCs w:val="20"/>
        </w:rPr>
        <w:t>admitted</w:t>
      </w:r>
      <w:r w:rsidRPr="00646665">
        <w:rPr>
          <w:rFonts w:ascii="Cambria" w:hAnsi="Cambria"/>
          <w:sz w:val="20"/>
          <w:szCs w:val="20"/>
        </w:rPr>
        <w:t xml:space="preserve"> on March 14, 2014</w:t>
      </w:r>
      <w:r>
        <w:rPr>
          <w:rFonts w:ascii="Cambria" w:hAnsi="Cambria"/>
          <w:sz w:val="20"/>
          <w:szCs w:val="20"/>
        </w:rPr>
        <w:t>,</w:t>
      </w:r>
      <w:r w:rsidRPr="00646665">
        <w:rPr>
          <w:rFonts w:ascii="Cambria" w:hAnsi="Cambria"/>
          <w:sz w:val="20"/>
          <w:szCs w:val="20"/>
        </w:rPr>
        <w:t xml:space="preserve"> by the Court of Contentious</w:t>
      </w:r>
      <w:r>
        <w:rPr>
          <w:rFonts w:ascii="Cambria" w:hAnsi="Cambria"/>
          <w:sz w:val="20"/>
          <w:szCs w:val="20"/>
        </w:rPr>
        <w:t>-</w:t>
      </w:r>
      <w:r w:rsidRPr="00646665">
        <w:rPr>
          <w:rFonts w:ascii="Cambria" w:hAnsi="Cambria"/>
          <w:sz w:val="20"/>
          <w:szCs w:val="20"/>
        </w:rPr>
        <w:t>Administrative Matters</w:t>
      </w:r>
      <w:r>
        <w:rPr>
          <w:rFonts w:ascii="Cambria" w:hAnsi="Cambria"/>
          <w:sz w:val="20"/>
          <w:szCs w:val="20"/>
        </w:rPr>
        <w:t xml:space="preserve"> of Cauca</w:t>
      </w:r>
      <w:r w:rsidRPr="00646665">
        <w:rPr>
          <w:rFonts w:ascii="Cambria" w:hAnsi="Cambria"/>
          <w:sz w:val="20"/>
          <w:szCs w:val="20"/>
        </w:rPr>
        <w:t xml:space="preserve">, which reversed an order </w:t>
      </w:r>
      <w:r>
        <w:rPr>
          <w:rFonts w:ascii="Cambria" w:hAnsi="Cambria"/>
          <w:sz w:val="20"/>
          <w:szCs w:val="20"/>
        </w:rPr>
        <w:t>stating</w:t>
      </w:r>
      <w:r w:rsidRPr="00646665">
        <w:rPr>
          <w:rFonts w:ascii="Cambria" w:hAnsi="Cambria"/>
          <w:sz w:val="20"/>
          <w:szCs w:val="20"/>
        </w:rPr>
        <w:t xml:space="preserve"> that the </w:t>
      </w:r>
      <w:r>
        <w:rPr>
          <w:rFonts w:ascii="Cambria" w:hAnsi="Cambria"/>
          <w:sz w:val="20"/>
          <w:szCs w:val="20"/>
        </w:rPr>
        <w:t>claim had not been filed on a timely manner</w:t>
      </w:r>
      <w:r w:rsidRPr="00646665">
        <w:rPr>
          <w:rFonts w:ascii="Cambria" w:hAnsi="Cambria"/>
          <w:sz w:val="20"/>
          <w:szCs w:val="20"/>
        </w:rPr>
        <w:t>. The State conclude</w:t>
      </w:r>
      <w:r>
        <w:rPr>
          <w:rFonts w:ascii="Cambria" w:hAnsi="Cambria"/>
          <w:sz w:val="20"/>
          <w:szCs w:val="20"/>
        </w:rPr>
        <w:t>s</w:t>
      </w:r>
      <w:r w:rsidRPr="00646665">
        <w:rPr>
          <w:rFonts w:ascii="Cambria" w:hAnsi="Cambria"/>
          <w:sz w:val="20"/>
          <w:szCs w:val="20"/>
        </w:rPr>
        <w:t xml:space="preserve"> that the claim for direct reparation is a proper and effective remedy which guarantees the reparation of possible human rights violations and that, therefore, the alleged victims ha</w:t>
      </w:r>
      <w:r>
        <w:rPr>
          <w:rFonts w:ascii="Cambria" w:hAnsi="Cambria"/>
          <w:sz w:val="20"/>
          <w:szCs w:val="20"/>
        </w:rPr>
        <w:t>ve</w:t>
      </w:r>
      <w:r w:rsidRPr="00646665">
        <w:rPr>
          <w:rFonts w:ascii="Cambria" w:hAnsi="Cambria"/>
          <w:sz w:val="20"/>
          <w:szCs w:val="20"/>
        </w:rPr>
        <w:t xml:space="preserve"> not exhausted domestic remedies. </w:t>
      </w:r>
    </w:p>
    <w:p w14:paraId="0A4EDF69" w14:textId="77777777" w:rsidR="00CA4832" w:rsidRPr="00646665" w:rsidRDefault="00CA4832" w:rsidP="00CA4832">
      <w:pPr>
        <w:spacing w:before="240" w:after="240"/>
        <w:ind w:firstLine="720"/>
        <w:jc w:val="both"/>
        <w:rPr>
          <w:rFonts w:ascii="Cambria" w:eastAsia="Cambria" w:hAnsi="Cambria" w:cs="Cambria"/>
          <w:b/>
          <w:bCs/>
          <w:color w:val="000000"/>
          <w:sz w:val="20"/>
          <w:szCs w:val="20"/>
        </w:rPr>
      </w:pPr>
      <w:r w:rsidRPr="00646665">
        <w:rPr>
          <w:rFonts w:ascii="Cambria" w:hAnsi="Cambria"/>
          <w:b/>
          <w:color w:val="000000"/>
          <w:sz w:val="20"/>
          <w:szCs w:val="20"/>
        </w:rPr>
        <w:t>VI.</w:t>
      </w:r>
      <w:r w:rsidRPr="00646665">
        <w:rPr>
          <w:rFonts w:ascii="Cambria" w:hAnsi="Cambria"/>
          <w:b/>
          <w:color w:val="000000"/>
          <w:sz w:val="20"/>
          <w:szCs w:val="20"/>
        </w:rPr>
        <w:tab/>
      </w:r>
      <w:r w:rsidRPr="00646665">
        <w:rPr>
          <w:rFonts w:ascii="Cambria" w:hAnsi="Cambria"/>
          <w:b/>
          <w:sz w:val="20"/>
          <w:szCs w:val="20"/>
        </w:rPr>
        <w:t>ANALYSIS OF EXHAUSTION OF DOMESTIC REMEDIES AND TIMELINESS OF THE PETITION</w:t>
      </w:r>
      <w:r w:rsidRPr="00646665">
        <w:rPr>
          <w:rFonts w:ascii="Cambria" w:hAnsi="Cambria"/>
          <w:b/>
          <w:color w:val="000000"/>
          <w:sz w:val="20"/>
          <w:szCs w:val="20"/>
        </w:rPr>
        <w:t xml:space="preserve"> </w:t>
      </w:r>
    </w:p>
    <w:p w14:paraId="0EDD6643" w14:textId="77777777" w:rsidR="00CA4832" w:rsidRPr="00646665" w:rsidRDefault="00CA4832" w:rsidP="00CA4832">
      <w:pPr>
        <w:spacing w:before="240" w:after="240"/>
        <w:ind w:firstLine="720"/>
        <w:jc w:val="both"/>
        <w:rPr>
          <w:rFonts w:ascii="Cambria" w:hAnsi="Cambria"/>
          <w:bCs/>
          <w:i/>
          <w:iCs/>
          <w:sz w:val="20"/>
          <w:szCs w:val="20"/>
        </w:rPr>
      </w:pPr>
      <w:r w:rsidRPr="00895DE3">
        <w:rPr>
          <w:rFonts w:ascii="Cambria" w:hAnsi="Cambria"/>
          <w:i/>
          <w:sz w:val="20"/>
          <w:szCs w:val="20"/>
          <w:lang w:val="es-ES"/>
        </w:rPr>
        <w:t xml:space="preserve">Adelmo </w:t>
      </w:r>
      <w:proofErr w:type="spellStart"/>
      <w:r w:rsidRPr="00895DE3">
        <w:rPr>
          <w:rFonts w:ascii="Cambria" w:hAnsi="Cambria"/>
          <w:i/>
          <w:sz w:val="20"/>
          <w:szCs w:val="20"/>
          <w:lang w:val="es-ES"/>
        </w:rPr>
        <w:t>Vitonas</w:t>
      </w:r>
      <w:proofErr w:type="spellEnd"/>
      <w:r w:rsidRPr="00895DE3">
        <w:rPr>
          <w:rFonts w:ascii="Cambria" w:hAnsi="Cambria"/>
          <w:i/>
          <w:sz w:val="20"/>
          <w:szCs w:val="20"/>
          <w:lang w:val="es-ES"/>
        </w:rPr>
        <w:t xml:space="preserve"> </w:t>
      </w:r>
      <w:proofErr w:type="spellStart"/>
      <w:r w:rsidRPr="00895DE3">
        <w:rPr>
          <w:rFonts w:ascii="Cambria" w:hAnsi="Cambria"/>
          <w:i/>
          <w:sz w:val="20"/>
          <w:szCs w:val="20"/>
          <w:lang w:val="es-ES"/>
        </w:rPr>
        <w:t>Chilhueso</w:t>
      </w:r>
      <w:proofErr w:type="spellEnd"/>
      <w:r w:rsidRPr="00895DE3">
        <w:rPr>
          <w:rFonts w:ascii="Cambria" w:hAnsi="Cambria"/>
          <w:i/>
          <w:sz w:val="20"/>
          <w:szCs w:val="20"/>
          <w:lang w:val="es-ES"/>
        </w:rPr>
        <w:t xml:space="preserve"> </w:t>
      </w:r>
      <w:r w:rsidRPr="00AA5A0C">
        <w:rPr>
          <w:rFonts w:ascii="Cambria" w:hAnsi="Cambria"/>
          <w:i/>
          <w:sz w:val="20"/>
          <w:szCs w:val="20"/>
          <w:lang w:val="es-ES"/>
        </w:rPr>
        <w:t>et al</w:t>
      </w:r>
      <w:r w:rsidRPr="00895DE3">
        <w:rPr>
          <w:rFonts w:ascii="Cambria" w:hAnsi="Cambria"/>
          <w:iCs/>
          <w:sz w:val="20"/>
          <w:szCs w:val="20"/>
          <w:lang w:val="es-ES"/>
        </w:rPr>
        <w:t>.</w:t>
      </w:r>
      <w:r w:rsidRPr="00895DE3">
        <w:rPr>
          <w:rFonts w:ascii="Cambria" w:hAnsi="Cambria"/>
          <w:i/>
          <w:sz w:val="20"/>
          <w:szCs w:val="20"/>
          <w:lang w:val="es-ES"/>
        </w:rPr>
        <w:t xml:space="preserve"> </w:t>
      </w:r>
      <w:r w:rsidRPr="00646665">
        <w:rPr>
          <w:rFonts w:ascii="Cambria" w:hAnsi="Cambria"/>
          <w:i/>
          <w:sz w:val="20"/>
          <w:szCs w:val="20"/>
        </w:rPr>
        <w:t>(P-465-14)</w:t>
      </w:r>
    </w:p>
    <w:p w14:paraId="5EA8C4C5" w14:textId="0DF399B5" w:rsidR="00CA4832" w:rsidRPr="00646665" w:rsidRDefault="00CA4832" w:rsidP="00CA4832">
      <w:pPr>
        <w:spacing w:before="240" w:after="240"/>
        <w:ind w:firstLine="720"/>
        <w:jc w:val="both"/>
        <w:rPr>
          <w:rFonts w:ascii="Cambria" w:hAnsi="Cambria"/>
          <w:bCs/>
          <w:sz w:val="20"/>
          <w:szCs w:val="20"/>
        </w:rPr>
      </w:pPr>
      <w:r w:rsidRPr="00646665">
        <w:rPr>
          <w:rFonts w:ascii="Cambria" w:hAnsi="Cambria"/>
          <w:sz w:val="20"/>
          <w:szCs w:val="20"/>
        </w:rPr>
        <w:t>34.</w:t>
      </w:r>
      <w:r w:rsidRPr="00646665">
        <w:rPr>
          <w:rFonts w:ascii="Cambria" w:hAnsi="Cambria"/>
          <w:sz w:val="20"/>
          <w:szCs w:val="20"/>
        </w:rPr>
        <w:tab/>
        <w:t>The petitioner</w:t>
      </w:r>
      <w:r>
        <w:rPr>
          <w:rFonts w:ascii="Cambria" w:hAnsi="Cambria"/>
          <w:sz w:val="20"/>
          <w:szCs w:val="20"/>
        </w:rPr>
        <w:t>s</w:t>
      </w:r>
      <w:r w:rsidRPr="00646665">
        <w:rPr>
          <w:rFonts w:ascii="Cambria" w:hAnsi="Cambria"/>
          <w:sz w:val="20"/>
          <w:szCs w:val="20"/>
        </w:rPr>
        <w:t xml:space="preserve"> affirm that all claims were filed before both the ordinary justice systems for criminal and contentious</w:t>
      </w:r>
      <w:r>
        <w:rPr>
          <w:rFonts w:ascii="Cambria" w:hAnsi="Cambria"/>
          <w:sz w:val="20"/>
          <w:szCs w:val="20"/>
        </w:rPr>
        <w:t>-</w:t>
      </w:r>
      <w:r w:rsidRPr="00646665">
        <w:rPr>
          <w:rFonts w:ascii="Cambria" w:hAnsi="Cambria"/>
          <w:sz w:val="20"/>
          <w:szCs w:val="20"/>
        </w:rPr>
        <w:t>administrative matters, and the transitional justice system. The petitioner</w:t>
      </w:r>
      <w:r>
        <w:rPr>
          <w:rFonts w:ascii="Cambria" w:hAnsi="Cambria"/>
          <w:sz w:val="20"/>
          <w:szCs w:val="20"/>
        </w:rPr>
        <w:t>s</w:t>
      </w:r>
      <w:r w:rsidRPr="00646665">
        <w:rPr>
          <w:rFonts w:ascii="Cambria" w:hAnsi="Cambria"/>
          <w:sz w:val="20"/>
          <w:szCs w:val="20"/>
        </w:rPr>
        <w:t xml:space="preserve"> indicate that Public Prosecut</w:t>
      </w:r>
      <w:r w:rsidR="00CE1FCC">
        <w:rPr>
          <w:rFonts w:ascii="Cambria" w:hAnsi="Cambria"/>
          <w:sz w:val="20"/>
          <w:szCs w:val="20"/>
        </w:rPr>
        <w:t>or’s</w:t>
      </w:r>
      <w:r w:rsidRPr="00646665">
        <w:rPr>
          <w:rFonts w:ascii="Cambria" w:hAnsi="Cambria"/>
          <w:sz w:val="20"/>
          <w:szCs w:val="20"/>
        </w:rPr>
        <w:t xml:space="preserve"> Office No. 38 of the Human Rights and International Humanitarian Law Unit of the </w:t>
      </w:r>
      <w:r w:rsidR="00AA5A0C">
        <w:rPr>
          <w:rFonts w:ascii="Cambria" w:hAnsi="Cambria"/>
          <w:sz w:val="20"/>
        </w:rPr>
        <w:t>AG</w:t>
      </w:r>
      <w:r w:rsidRPr="00646665">
        <w:rPr>
          <w:rFonts w:ascii="Cambria" w:hAnsi="Cambria"/>
          <w:sz w:val="20"/>
          <w:szCs w:val="20"/>
        </w:rPr>
        <w:t xml:space="preserve"> undertook the investigation, which led to the judgement </w:t>
      </w:r>
      <w:r>
        <w:rPr>
          <w:rFonts w:ascii="Cambria" w:hAnsi="Cambria"/>
          <w:sz w:val="20"/>
          <w:szCs w:val="20"/>
        </w:rPr>
        <w:t>issued</w:t>
      </w:r>
      <w:r w:rsidRPr="00646665">
        <w:rPr>
          <w:rFonts w:ascii="Cambria" w:hAnsi="Cambria"/>
          <w:sz w:val="20"/>
          <w:szCs w:val="20"/>
        </w:rPr>
        <w:t xml:space="preserve"> by the First Specialized Court of </w:t>
      </w:r>
      <w:proofErr w:type="spellStart"/>
      <w:r w:rsidRPr="00646665">
        <w:rPr>
          <w:rFonts w:ascii="Cambria" w:hAnsi="Cambria"/>
          <w:sz w:val="20"/>
          <w:szCs w:val="20"/>
        </w:rPr>
        <w:t>Popayán</w:t>
      </w:r>
      <w:proofErr w:type="spellEnd"/>
      <w:r w:rsidRPr="00646665">
        <w:rPr>
          <w:rFonts w:ascii="Cambria" w:hAnsi="Cambria"/>
          <w:sz w:val="20"/>
          <w:szCs w:val="20"/>
        </w:rPr>
        <w:t xml:space="preserve"> on February 29, 2012</w:t>
      </w:r>
      <w:r>
        <w:rPr>
          <w:rFonts w:ascii="Cambria" w:hAnsi="Cambria"/>
          <w:sz w:val="20"/>
          <w:szCs w:val="20"/>
        </w:rPr>
        <w:t>,</w:t>
      </w:r>
      <w:r w:rsidRPr="00646665">
        <w:rPr>
          <w:rFonts w:ascii="Cambria" w:hAnsi="Cambria"/>
          <w:sz w:val="20"/>
          <w:szCs w:val="20"/>
        </w:rPr>
        <w:t xml:space="preserve"> which found Armando Lugo y Elkin Fernando Vicuña, members of the paramilitary, guilty</w:t>
      </w:r>
      <w:r>
        <w:rPr>
          <w:rFonts w:ascii="Cambria" w:hAnsi="Cambria"/>
          <w:sz w:val="20"/>
          <w:szCs w:val="20"/>
        </w:rPr>
        <w:t>,</w:t>
      </w:r>
      <w:r w:rsidRPr="00646665">
        <w:rPr>
          <w:rFonts w:ascii="Cambria" w:hAnsi="Cambria"/>
          <w:sz w:val="20"/>
          <w:szCs w:val="20"/>
        </w:rPr>
        <w:t xml:space="preserve"> and ruled in favor of the </w:t>
      </w:r>
      <w:r>
        <w:rPr>
          <w:rFonts w:ascii="Cambria" w:hAnsi="Cambria"/>
          <w:sz w:val="20"/>
          <w:szCs w:val="20"/>
        </w:rPr>
        <w:t>next of kin</w:t>
      </w:r>
      <w:r w:rsidRPr="00646665">
        <w:rPr>
          <w:rFonts w:ascii="Cambria" w:hAnsi="Cambria"/>
          <w:sz w:val="20"/>
          <w:szCs w:val="20"/>
        </w:rPr>
        <w:t xml:space="preserve"> of Mr. Julio </w:t>
      </w:r>
      <w:proofErr w:type="spellStart"/>
      <w:r w:rsidRPr="00646665">
        <w:rPr>
          <w:rFonts w:ascii="Cambria" w:hAnsi="Cambria"/>
          <w:sz w:val="20"/>
          <w:szCs w:val="20"/>
        </w:rPr>
        <w:t>Vitonas</w:t>
      </w:r>
      <w:proofErr w:type="spellEnd"/>
      <w:r w:rsidRPr="00646665">
        <w:rPr>
          <w:rFonts w:ascii="Cambria" w:hAnsi="Cambria"/>
          <w:sz w:val="20"/>
          <w:szCs w:val="20"/>
        </w:rPr>
        <w:t xml:space="preserve"> </w:t>
      </w:r>
      <w:proofErr w:type="spellStart"/>
      <w:r w:rsidRPr="00646665">
        <w:rPr>
          <w:rFonts w:ascii="Cambria" w:hAnsi="Cambria"/>
          <w:sz w:val="20"/>
          <w:szCs w:val="20"/>
        </w:rPr>
        <w:t>Chilhueso</w:t>
      </w:r>
      <w:proofErr w:type="spellEnd"/>
      <w:r w:rsidRPr="00646665">
        <w:rPr>
          <w:rFonts w:ascii="Cambria" w:hAnsi="Cambria"/>
          <w:sz w:val="20"/>
          <w:szCs w:val="20"/>
        </w:rPr>
        <w:t xml:space="preserve">, Mr. </w:t>
      </w:r>
      <w:proofErr w:type="spellStart"/>
      <w:r w:rsidRPr="00646665">
        <w:rPr>
          <w:rFonts w:ascii="Cambria" w:hAnsi="Cambria"/>
          <w:sz w:val="20"/>
          <w:szCs w:val="20"/>
        </w:rPr>
        <w:t>Adelmo</w:t>
      </w:r>
      <w:proofErr w:type="spellEnd"/>
      <w:r w:rsidRPr="00646665">
        <w:rPr>
          <w:rFonts w:ascii="Cambria" w:hAnsi="Cambria"/>
          <w:sz w:val="20"/>
          <w:szCs w:val="20"/>
        </w:rPr>
        <w:t xml:space="preserve"> </w:t>
      </w:r>
      <w:proofErr w:type="spellStart"/>
      <w:r w:rsidRPr="00646665">
        <w:rPr>
          <w:rFonts w:ascii="Cambria" w:hAnsi="Cambria"/>
          <w:sz w:val="20"/>
          <w:szCs w:val="20"/>
        </w:rPr>
        <w:t>Vitonas</w:t>
      </w:r>
      <w:proofErr w:type="spellEnd"/>
      <w:r w:rsidRPr="00646665">
        <w:rPr>
          <w:rFonts w:ascii="Cambria" w:hAnsi="Cambria"/>
          <w:sz w:val="20"/>
          <w:szCs w:val="20"/>
        </w:rPr>
        <w:t xml:space="preserve"> </w:t>
      </w:r>
      <w:proofErr w:type="spellStart"/>
      <w:r w:rsidRPr="00646665">
        <w:rPr>
          <w:rFonts w:ascii="Cambria" w:hAnsi="Cambria"/>
          <w:sz w:val="20"/>
          <w:szCs w:val="20"/>
        </w:rPr>
        <w:t>Chilhueso</w:t>
      </w:r>
      <w:proofErr w:type="spellEnd"/>
      <w:r w:rsidRPr="00646665">
        <w:rPr>
          <w:rFonts w:ascii="Cambria" w:hAnsi="Cambria"/>
          <w:sz w:val="20"/>
          <w:szCs w:val="20"/>
        </w:rPr>
        <w:t xml:space="preserve"> and </w:t>
      </w:r>
      <w:r w:rsidR="00F52594">
        <w:rPr>
          <w:rFonts w:ascii="Cambria" w:hAnsi="Cambria"/>
          <w:sz w:val="20"/>
          <w:szCs w:val="20"/>
        </w:rPr>
        <w:t>youth</w:t>
      </w:r>
      <w:r w:rsidRPr="00646665">
        <w:rPr>
          <w:rFonts w:ascii="Cambria" w:hAnsi="Cambria"/>
          <w:sz w:val="20"/>
          <w:szCs w:val="20"/>
        </w:rPr>
        <w:t xml:space="preserve"> </w:t>
      </w:r>
      <w:proofErr w:type="spellStart"/>
      <w:r w:rsidRPr="00646665">
        <w:rPr>
          <w:rFonts w:ascii="Cambria" w:hAnsi="Cambria"/>
          <w:sz w:val="20"/>
          <w:szCs w:val="20"/>
        </w:rPr>
        <w:t>Benilda</w:t>
      </w:r>
      <w:proofErr w:type="spellEnd"/>
      <w:r w:rsidRPr="00646665">
        <w:rPr>
          <w:rFonts w:ascii="Cambria" w:hAnsi="Cambria"/>
          <w:sz w:val="20"/>
          <w:szCs w:val="20"/>
        </w:rPr>
        <w:t xml:space="preserve"> Ley </w:t>
      </w:r>
      <w:proofErr w:type="spellStart"/>
      <w:r w:rsidRPr="00646665">
        <w:rPr>
          <w:rFonts w:ascii="Cambria" w:hAnsi="Cambria"/>
          <w:sz w:val="20"/>
          <w:szCs w:val="20"/>
        </w:rPr>
        <w:t>Dagua</w:t>
      </w:r>
      <w:proofErr w:type="spellEnd"/>
      <w:r w:rsidRPr="00646665">
        <w:rPr>
          <w:rFonts w:ascii="Cambria" w:hAnsi="Cambria"/>
          <w:sz w:val="20"/>
          <w:szCs w:val="20"/>
        </w:rPr>
        <w:t xml:space="preserve">. </w:t>
      </w:r>
      <w:proofErr w:type="gramStart"/>
      <w:r w:rsidRPr="00646665">
        <w:rPr>
          <w:rFonts w:ascii="Cambria" w:hAnsi="Cambria"/>
          <w:sz w:val="20"/>
          <w:szCs w:val="20"/>
        </w:rPr>
        <w:t>With regard to</w:t>
      </w:r>
      <w:proofErr w:type="gramEnd"/>
      <w:r w:rsidRPr="00646665">
        <w:rPr>
          <w:rFonts w:ascii="Cambria" w:hAnsi="Cambria"/>
          <w:sz w:val="20"/>
          <w:szCs w:val="20"/>
        </w:rPr>
        <w:t xml:space="preserve"> Law 975 of 2005, the petitioner</w:t>
      </w:r>
      <w:r>
        <w:rPr>
          <w:rFonts w:ascii="Cambria" w:hAnsi="Cambria"/>
          <w:sz w:val="20"/>
          <w:szCs w:val="20"/>
        </w:rPr>
        <w:t>s</w:t>
      </w:r>
      <w:r w:rsidRPr="00646665">
        <w:rPr>
          <w:rFonts w:ascii="Cambria" w:hAnsi="Cambria"/>
          <w:sz w:val="20"/>
          <w:szCs w:val="20"/>
        </w:rPr>
        <w:t xml:space="preserve"> </w:t>
      </w:r>
      <w:r>
        <w:rPr>
          <w:rFonts w:ascii="Cambria" w:hAnsi="Cambria"/>
          <w:sz w:val="20"/>
          <w:szCs w:val="20"/>
        </w:rPr>
        <w:t>point out</w:t>
      </w:r>
      <w:r w:rsidRPr="00646665">
        <w:rPr>
          <w:rFonts w:ascii="Cambria" w:hAnsi="Cambria"/>
          <w:sz w:val="20"/>
          <w:szCs w:val="20"/>
        </w:rPr>
        <w:t xml:space="preserve"> that the family members of the alleged victims were not recognized in the proceedings even though they filed a writ for</w:t>
      </w:r>
      <w:r w:rsidR="00AF6799">
        <w:rPr>
          <w:rFonts w:ascii="Cambria" w:hAnsi="Cambria"/>
          <w:sz w:val="20"/>
          <w:szCs w:val="20"/>
        </w:rPr>
        <w:t xml:space="preserve"> the</w:t>
      </w:r>
      <w:r w:rsidRPr="00646665">
        <w:rPr>
          <w:rFonts w:ascii="Cambria" w:hAnsi="Cambria"/>
          <w:sz w:val="20"/>
          <w:szCs w:val="20"/>
        </w:rPr>
        <w:t xml:space="preserve"> protection of constitutional rights which was rejected by the Criminal Division of the Supreme Court of Justice on September 11, 2012. In this </w:t>
      </w:r>
      <w:r>
        <w:rPr>
          <w:rFonts w:ascii="Cambria" w:hAnsi="Cambria"/>
          <w:sz w:val="20"/>
          <w:szCs w:val="20"/>
        </w:rPr>
        <w:t>regard, t</w:t>
      </w:r>
      <w:r w:rsidRPr="00646665">
        <w:rPr>
          <w:rFonts w:ascii="Cambria" w:hAnsi="Cambria"/>
          <w:sz w:val="20"/>
          <w:szCs w:val="20"/>
        </w:rPr>
        <w:t>he petitioner</w:t>
      </w:r>
      <w:r>
        <w:rPr>
          <w:rFonts w:ascii="Cambria" w:hAnsi="Cambria"/>
          <w:sz w:val="20"/>
          <w:szCs w:val="20"/>
        </w:rPr>
        <w:t>s</w:t>
      </w:r>
      <w:r w:rsidRPr="00646665">
        <w:rPr>
          <w:rFonts w:ascii="Cambria" w:hAnsi="Cambria"/>
          <w:sz w:val="20"/>
          <w:szCs w:val="20"/>
        </w:rPr>
        <w:t xml:space="preserve"> allege that the exception set forth in Article 46.2.c) of the Convention is applicable since the massacre was committed </w:t>
      </w:r>
      <w:r>
        <w:rPr>
          <w:rFonts w:ascii="Cambria" w:hAnsi="Cambria"/>
          <w:sz w:val="20"/>
          <w:szCs w:val="20"/>
        </w:rPr>
        <w:t>over</w:t>
      </w:r>
      <w:r w:rsidRPr="00646665">
        <w:rPr>
          <w:rFonts w:ascii="Cambria" w:hAnsi="Cambria"/>
          <w:sz w:val="20"/>
          <w:szCs w:val="20"/>
        </w:rPr>
        <w:t xml:space="preserve"> 20 years ago, the </w:t>
      </w:r>
      <w:r>
        <w:rPr>
          <w:rFonts w:ascii="Cambria" w:hAnsi="Cambria"/>
          <w:sz w:val="20"/>
          <w:szCs w:val="20"/>
        </w:rPr>
        <w:t>facts</w:t>
      </w:r>
      <w:r w:rsidRPr="00646665">
        <w:rPr>
          <w:rFonts w:ascii="Cambria" w:hAnsi="Cambria"/>
          <w:sz w:val="20"/>
          <w:szCs w:val="20"/>
        </w:rPr>
        <w:t xml:space="preserve"> have not been investigated </w:t>
      </w:r>
      <w:r>
        <w:rPr>
          <w:rFonts w:ascii="Cambria" w:hAnsi="Cambria"/>
          <w:sz w:val="20"/>
          <w:szCs w:val="20"/>
        </w:rPr>
        <w:t>consistent</w:t>
      </w:r>
      <w:r w:rsidRPr="00646665">
        <w:rPr>
          <w:rFonts w:ascii="Cambria" w:hAnsi="Cambria"/>
          <w:sz w:val="20"/>
          <w:szCs w:val="20"/>
        </w:rPr>
        <w:t xml:space="preserve">ly and the persons responsible have not been punished. </w:t>
      </w:r>
    </w:p>
    <w:p w14:paraId="0B91AEC2" w14:textId="2E150907" w:rsidR="00CA4832" w:rsidRPr="00646665" w:rsidRDefault="00CA4832" w:rsidP="00CA4832">
      <w:pPr>
        <w:spacing w:before="240" w:after="240"/>
        <w:ind w:firstLine="720"/>
        <w:jc w:val="both"/>
        <w:rPr>
          <w:rFonts w:ascii="Cambria" w:hAnsi="Cambria"/>
          <w:bCs/>
          <w:sz w:val="20"/>
          <w:szCs w:val="20"/>
        </w:rPr>
      </w:pPr>
      <w:r w:rsidRPr="00646665">
        <w:rPr>
          <w:rFonts w:ascii="Cambria" w:hAnsi="Cambria"/>
          <w:sz w:val="20"/>
          <w:szCs w:val="20"/>
        </w:rPr>
        <w:t>35.</w:t>
      </w:r>
      <w:r w:rsidRPr="00646665">
        <w:rPr>
          <w:rFonts w:ascii="Cambria" w:hAnsi="Cambria"/>
          <w:sz w:val="20"/>
          <w:szCs w:val="20"/>
        </w:rPr>
        <w:tab/>
        <w:t xml:space="preserve">The State, for its part, argues that domestic remedies have not been exhausted since there are currently two ongoing criminal investigations related to the subject matter of the petition. The first investigation is </w:t>
      </w:r>
      <w:r>
        <w:rPr>
          <w:rFonts w:ascii="Cambria" w:hAnsi="Cambria"/>
          <w:sz w:val="20"/>
          <w:szCs w:val="20"/>
        </w:rPr>
        <w:t>being carried out</w:t>
      </w:r>
      <w:r w:rsidRPr="00646665">
        <w:rPr>
          <w:rFonts w:ascii="Cambria" w:hAnsi="Cambria"/>
          <w:sz w:val="20"/>
          <w:szCs w:val="20"/>
        </w:rPr>
        <w:t xml:space="preserve"> by Public </w:t>
      </w:r>
      <w:r w:rsidR="00AF6799" w:rsidRPr="00646665">
        <w:rPr>
          <w:rFonts w:ascii="Cambria" w:hAnsi="Cambria"/>
          <w:sz w:val="20"/>
          <w:szCs w:val="20"/>
        </w:rPr>
        <w:t>Prosecut</w:t>
      </w:r>
      <w:r w:rsidR="00AF6799">
        <w:rPr>
          <w:rFonts w:ascii="Cambria" w:hAnsi="Cambria"/>
          <w:sz w:val="20"/>
          <w:szCs w:val="20"/>
        </w:rPr>
        <w:t xml:space="preserve">or’s </w:t>
      </w:r>
      <w:r>
        <w:rPr>
          <w:rFonts w:ascii="Cambria" w:hAnsi="Cambria"/>
          <w:sz w:val="20"/>
          <w:szCs w:val="20"/>
        </w:rPr>
        <w:t>Office</w:t>
      </w:r>
      <w:r w:rsidRPr="00646665">
        <w:rPr>
          <w:rFonts w:ascii="Cambria" w:hAnsi="Cambria"/>
          <w:sz w:val="20"/>
          <w:szCs w:val="20"/>
        </w:rPr>
        <w:t xml:space="preserve"> No. 32 </w:t>
      </w:r>
      <w:r>
        <w:rPr>
          <w:rFonts w:ascii="Cambria" w:hAnsi="Cambria"/>
          <w:sz w:val="20"/>
          <w:szCs w:val="20"/>
        </w:rPr>
        <w:t xml:space="preserve">of </w:t>
      </w:r>
      <w:r w:rsidRPr="00646665">
        <w:rPr>
          <w:rFonts w:ascii="Cambria" w:hAnsi="Cambria"/>
          <w:sz w:val="20"/>
          <w:szCs w:val="20"/>
        </w:rPr>
        <w:t>Human Rights</w:t>
      </w:r>
      <w:r>
        <w:rPr>
          <w:rFonts w:ascii="Cambria" w:hAnsi="Cambria"/>
          <w:sz w:val="20"/>
          <w:szCs w:val="20"/>
        </w:rPr>
        <w:t xml:space="preserve"> Unit</w:t>
      </w:r>
      <w:r w:rsidRPr="00646665">
        <w:rPr>
          <w:rFonts w:ascii="Cambria" w:hAnsi="Cambria"/>
          <w:sz w:val="20"/>
          <w:szCs w:val="20"/>
        </w:rPr>
        <w:t xml:space="preserve"> before the ordinary justice system, and the second</w:t>
      </w:r>
      <w:r>
        <w:rPr>
          <w:rFonts w:ascii="Cambria" w:hAnsi="Cambria"/>
          <w:sz w:val="20"/>
          <w:szCs w:val="20"/>
        </w:rPr>
        <w:t xml:space="preserve"> investigation is being conducted within</w:t>
      </w:r>
      <w:r w:rsidRPr="00646665">
        <w:rPr>
          <w:rFonts w:ascii="Cambria" w:hAnsi="Cambria"/>
          <w:sz w:val="20"/>
          <w:szCs w:val="20"/>
        </w:rPr>
        <w:t xml:space="preserve"> the framework of the Law o</w:t>
      </w:r>
      <w:r>
        <w:rPr>
          <w:rFonts w:ascii="Cambria" w:hAnsi="Cambria"/>
          <w:sz w:val="20"/>
          <w:szCs w:val="20"/>
        </w:rPr>
        <w:t>n</w:t>
      </w:r>
      <w:r w:rsidRPr="00646665">
        <w:rPr>
          <w:rFonts w:ascii="Cambria" w:hAnsi="Cambria"/>
          <w:sz w:val="20"/>
          <w:szCs w:val="20"/>
        </w:rPr>
        <w:t xml:space="preserve"> Justice and Peace. In addition, the State highlights that Mr. Jesús </w:t>
      </w:r>
      <w:proofErr w:type="spellStart"/>
      <w:r w:rsidRPr="00646665">
        <w:rPr>
          <w:rFonts w:ascii="Cambria" w:hAnsi="Cambria"/>
          <w:sz w:val="20"/>
          <w:szCs w:val="20"/>
        </w:rPr>
        <w:t>Herney</w:t>
      </w:r>
      <w:proofErr w:type="spellEnd"/>
      <w:r w:rsidRPr="00646665">
        <w:rPr>
          <w:rFonts w:ascii="Cambria" w:hAnsi="Cambria"/>
          <w:sz w:val="20"/>
          <w:szCs w:val="20"/>
        </w:rPr>
        <w:t xml:space="preserve"> Orozco </w:t>
      </w:r>
      <w:proofErr w:type="spellStart"/>
      <w:r w:rsidRPr="00646665">
        <w:rPr>
          <w:rFonts w:ascii="Cambria" w:hAnsi="Cambria"/>
          <w:sz w:val="20"/>
          <w:szCs w:val="20"/>
        </w:rPr>
        <w:t>Villamarín</w:t>
      </w:r>
      <w:proofErr w:type="spellEnd"/>
      <w:r w:rsidRPr="00646665">
        <w:rPr>
          <w:rFonts w:ascii="Cambria" w:hAnsi="Cambria"/>
          <w:sz w:val="20"/>
          <w:szCs w:val="20"/>
        </w:rPr>
        <w:t xml:space="preserve"> filed a claim for direct reparation against the Ministry of National Defense, and that the Court of Contentious</w:t>
      </w:r>
      <w:r>
        <w:rPr>
          <w:rFonts w:ascii="Cambria" w:hAnsi="Cambria"/>
          <w:sz w:val="20"/>
          <w:szCs w:val="20"/>
        </w:rPr>
        <w:t>-</w:t>
      </w:r>
      <w:r w:rsidRPr="00646665">
        <w:rPr>
          <w:rFonts w:ascii="Cambria" w:hAnsi="Cambria"/>
          <w:sz w:val="20"/>
          <w:szCs w:val="20"/>
        </w:rPr>
        <w:t xml:space="preserve">Administrative Matters </w:t>
      </w:r>
      <w:r>
        <w:rPr>
          <w:rFonts w:ascii="Cambria" w:hAnsi="Cambria"/>
          <w:sz w:val="20"/>
          <w:szCs w:val="20"/>
        </w:rPr>
        <w:t>of Cauca issued</w:t>
      </w:r>
      <w:r w:rsidRPr="00646665">
        <w:rPr>
          <w:rFonts w:ascii="Cambria" w:hAnsi="Cambria"/>
          <w:sz w:val="20"/>
          <w:szCs w:val="20"/>
        </w:rPr>
        <w:t xml:space="preserve"> a judgement </w:t>
      </w:r>
      <w:r w:rsidR="00CE1FCC">
        <w:rPr>
          <w:rFonts w:ascii="Cambria" w:hAnsi="Cambria"/>
          <w:sz w:val="20"/>
          <w:szCs w:val="20"/>
        </w:rPr>
        <w:t xml:space="preserve">releasing </w:t>
      </w:r>
      <w:r w:rsidRPr="00646665">
        <w:rPr>
          <w:rFonts w:ascii="Cambria" w:hAnsi="Cambria"/>
          <w:sz w:val="20"/>
          <w:szCs w:val="20"/>
        </w:rPr>
        <w:t xml:space="preserve">the State </w:t>
      </w:r>
      <w:r w:rsidR="00CE1FCC">
        <w:rPr>
          <w:rFonts w:ascii="Cambria" w:hAnsi="Cambria"/>
          <w:sz w:val="20"/>
          <w:szCs w:val="20"/>
        </w:rPr>
        <w:t>from</w:t>
      </w:r>
      <w:r w:rsidR="00CE1FCC" w:rsidRPr="00646665">
        <w:rPr>
          <w:rFonts w:ascii="Cambria" w:hAnsi="Cambria"/>
          <w:sz w:val="20"/>
          <w:szCs w:val="20"/>
        </w:rPr>
        <w:t xml:space="preserve"> </w:t>
      </w:r>
      <w:r w:rsidRPr="00646665">
        <w:rPr>
          <w:rFonts w:ascii="Cambria" w:hAnsi="Cambria"/>
          <w:sz w:val="20"/>
          <w:szCs w:val="20"/>
        </w:rPr>
        <w:t>any responsibility</w:t>
      </w:r>
      <w:r>
        <w:rPr>
          <w:rFonts w:ascii="Cambria" w:hAnsi="Cambria"/>
          <w:sz w:val="20"/>
          <w:szCs w:val="20"/>
        </w:rPr>
        <w:t xml:space="preserve"> </w:t>
      </w:r>
      <w:r w:rsidRPr="00646665">
        <w:rPr>
          <w:rFonts w:ascii="Cambria" w:hAnsi="Cambria"/>
          <w:sz w:val="20"/>
          <w:szCs w:val="20"/>
        </w:rPr>
        <w:t>on January 1, 2010</w:t>
      </w:r>
      <w:r>
        <w:rPr>
          <w:rFonts w:ascii="Cambria" w:hAnsi="Cambria"/>
          <w:sz w:val="20"/>
          <w:szCs w:val="20"/>
        </w:rPr>
        <w:t>, which</w:t>
      </w:r>
      <w:r w:rsidRPr="00646665">
        <w:rPr>
          <w:rFonts w:ascii="Cambria" w:hAnsi="Cambria"/>
          <w:sz w:val="20"/>
          <w:szCs w:val="20"/>
        </w:rPr>
        <w:t xml:space="preserve"> was not appealed. Finally, the State indicates that the </w:t>
      </w:r>
      <w:r w:rsidRPr="00637D0E">
        <w:rPr>
          <w:rFonts w:ascii="Cambria" w:hAnsi="Cambria"/>
          <w:sz w:val="20"/>
          <w:szCs w:val="20"/>
        </w:rPr>
        <w:t>Office of the Inspector General</w:t>
      </w:r>
      <w:r w:rsidRPr="00646665">
        <w:rPr>
          <w:rFonts w:ascii="Cambria" w:hAnsi="Cambria"/>
          <w:sz w:val="20"/>
          <w:szCs w:val="20"/>
        </w:rPr>
        <w:t xml:space="preserve"> </w:t>
      </w:r>
      <w:r>
        <w:rPr>
          <w:rFonts w:ascii="Cambria" w:hAnsi="Cambria"/>
          <w:sz w:val="20"/>
          <w:szCs w:val="20"/>
        </w:rPr>
        <w:t>initiated</w:t>
      </w:r>
      <w:r w:rsidRPr="00646665">
        <w:rPr>
          <w:rFonts w:ascii="Cambria" w:hAnsi="Cambria"/>
          <w:sz w:val="20"/>
          <w:szCs w:val="20"/>
        </w:rPr>
        <w:t xml:space="preserve"> a disciplinary investigation</w:t>
      </w:r>
      <w:r w:rsidR="0091771C">
        <w:rPr>
          <w:rFonts w:ascii="Cambria" w:hAnsi="Cambria"/>
          <w:sz w:val="20"/>
          <w:szCs w:val="20"/>
        </w:rPr>
        <w:t>,</w:t>
      </w:r>
      <w:r w:rsidRPr="00646665">
        <w:rPr>
          <w:rFonts w:ascii="Cambria" w:hAnsi="Cambria"/>
          <w:sz w:val="20"/>
          <w:szCs w:val="20"/>
        </w:rPr>
        <w:t xml:space="preserve"> which was closed on March 15, 2004</w:t>
      </w:r>
      <w:r>
        <w:rPr>
          <w:rFonts w:ascii="Cambria" w:hAnsi="Cambria"/>
          <w:sz w:val="20"/>
          <w:szCs w:val="20"/>
        </w:rPr>
        <w:t>,</w:t>
      </w:r>
      <w:r w:rsidRPr="00646665">
        <w:rPr>
          <w:rFonts w:ascii="Cambria" w:hAnsi="Cambria"/>
          <w:sz w:val="20"/>
          <w:szCs w:val="20"/>
        </w:rPr>
        <w:t xml:space="preserve"> due to lack of evidence. In this line, the State affirms that the requirements set forth in </w:t>
      </w:r>
      <w:r>
        <w:rPr>
          <w:rFonts w:ascii="Cambria" w:hAnsi="Cambria"/>
          <w:sz w:val="20"/>
          <w:szCs w:val="20"/>
        </w:rPr>
        <w:t>A</w:t>
      </w:r>
      <w:r w:rsidRPr="00646665">
        <w:rPr>
          <w:rFonts w:ascii="Cambria" w:hAnsi="Cambria"/>
          <w:sz w:val="20"/>
          <w:szCs w:val="20"/>
        </w:rPr>
        <w:t>rticle 46.1.a) of the American Convention have not been met. None of the parties made any reference to the time</w:t>
      </w:r>
      <w:r>
        <w:rPr>
          <w:rFonts w:ascii="Cambria" w:hAnsi="Cambria"/>
          <w:sz w:val="20"/>
          <w:szCs w:val="20"/>
        </w:rPr>
        <w:t>liness</w:t>
      </w:r>
      <w:r w:rsidRPr="00646665">
        <w:rPr>
          <w:rFonts w:ascii="Cambria" w:hAnsi="Cambria"/>
          <w:sz w:val="20"/>
          <w:szCs w:val="20"/>
        </w:rPr>
        <w:t xml:space="preserve"> of the petition. </w:t>
      </w:r>
    </w:p>
    <w:p w14:paraId="6EE9FF3F" w14:textId="77777777" w:rsidR="00CA4832" w:rsidRPr="00646665" w:rsidRDefault="00CA4832" w:rsidP="00CA4832">
      <w:pPr>
        <w:spacing w:before="240" w:after="240"/>
        <w:ind w:firstLine="720"/>
        <w:jc w:val="both"/>
        <w:rPr>
          <w:rFonts w:ascii="Cambria" w:hAnsi="Cambria"/>
          <w:bCs/>
          <w:i/>
          <w:iCs/>
          <w:sz w:val="20"/>
          <w:szCs w:val="20"/>
        </w:rPr>
      </w:pPr>
      <w:r w:rsidRPr="00153CAC">
        <w:rPr>
          <w:rFonts w:ascii="Cambria" w:hAnsi="Cambria"/>
          <w:i/>
          <w:sz w:val="20"/>
          <w:szCs w:val="20"/>
          <w:lang w:val="es-US"/>
        </w:rPr>
        <w:t>Abelardo Campo Casamachín et al</w:t>
      </w:r>
      <w:r w:rsidRPr="00153CAC">
        <w:rPr>
          <w:rFonts w:ascii="Cambria" w:hAnsi="Cambria"/>
          <w:iCs/>
          <w:sz w:val="20"/>
          <w:szCs w:val="20"/>
          <w:lang w:val="es-US"/>
        </w:rPr>
        <w:t>.</w:t>
      </w:r>
      <w:r w:rsidRPr="00153CAC">
        <w:rPr>
          <w:rFonts w:ascii="Cambria" w:hAnsi="Cambria"/>
          <w:i/>
          <w:sz w:val="20"/>
          <w:szCs w:val="20"/>
          <w:lang w:val="es-US"/>
        </w:rPr>
        <w:t xml:space="preserve"> </w:t>
      </w:r>
      <w:r w:rsidRPr="00646665">
        <w:rPr>
          <w:rFonts w:ascii="Cambria" w:hAnsi="Cambria"/>
          <w:i/>
          <w:sz w:val="20"/>
          <w:szCs w:val="20"/>
        </w:rPr>
        <w:t>(P-467-14)</w:t>
      </w:r>
    </w:p>
    <w:p w14:paraId="21F20BA0" w14:textId="3E3B4319" w:rsidR="00CA4832" w:rsidRPr="00646665" w:rsidRDefault="00CA4832" w:rsidP="00CA4832">
      <w:pPr>
        <w:spacing w:before="240" w:after="240"/>
        <w:ind w:firstLine="720"/>
        <w:jc w:val="both"/>
        <w:rPr>
          <w:rFonts w:ascii="Cambria" w:hAnsi="Cambria" w:cs="Calibri"/>
          <w:sz w:val="20"/>
          <w:szCs w:val="20"/>
        </w:rPr>
      </w:pPr>
      <w:r w:rsidRPr="00646665">
        <w:rPr>
          <w:rFonts w:ascii="Cambria" w:hAnsi="Cambria"/>
          <w:color w:val="000000"/>
          <w:sz w:val="20"/>
          <w:szCs w:val="20"/>
        </w:rPr>
        <w:t xml:space="preserve">36. </w:t>
      </w:r>
      <w:r w:rsidRPr="00646665">
        <w:rPr>
          <w:rFonts w:ascii="Cambria" w:hAnsi="Cambria"/>
          <w:color w:val="000000"/>
          <w:sz w:val="20"/>
          <w:szCs w:val="20"/>
        </w:rPr>
        <w:tab/>
      </w:r>
      <w:r w:rsidRPr="00646665">
        <w:rPr>
          <w:rFonts w:ascii="Cambria" w:hAnsi="Cambria"/>
          <w:sz w:val="20"/>
          <w:szCs w:val="20"/>
        </w:rPr>
        <w:t>The petitioner</w:t>
      </w:r>
      <w:r>
        <w:rPr>
          <w:rFonts w:ascii="Cambria" w:hAnsi="Cambria"/>
          <w:sz w:val="20"/>
          <w:szCs w:val="20"/>
        </w:rPr>
        <w:t>s</w:t>
      </w:r>
      <w:r w:rsidRPr="00646665">
        <w:rPr>
          <w:rFonts w:ascii="Cambria" w:hAnsi="Cambria"/>
          <w:sz w:val="20"/>
          <w:szCs w:val="20"/>
        </w:rPr>
        <w:t xml:space="preserve"> </w:t>
      </w:r>
      <w:r>
        <w:rPr>
          <w:rFonts w:ascii="Cambria" w:hAnsi="Cambria"/>
          <w:sz w:val="20"/>
          <w:szCs w:val="20"/>
        </w:rPr>
        <w:t>state</w:t>
      </w:r>
      <w:r w:rsidRPr="00646665">
        <w:rPr>
          <w:rFonts w:ascii="Cambria" w:hAnsi="Cambria"/>
          <w:sz w:val="20"/>
          <w:szCs w:val="20"/>
        </w:rPr>
        <w:t xml:space="preserve"> that the following proceedings have been </w:t>
      </w:r>
      <w:r>
        <w:rPr>
          <w:rFonts w:ascii="Cambria" w:hAnsi="Cambria"/>
          <w:sz w:val="20"/>
          <w:szCs w:val="20"/>
        </w:rPr>
        <w:t xml:space="preserve">conducted </w:t>
      </w:r>
      <w:proofErr w:type="gramStart"/>
      <w:r w:rsidRPr="00646665">
        <w:rPr>
          <w:rFonts w:ascii="Cambria" w:hAnsi="Cambria"/>
          <w:sz w:val="20"/>
          <w:szCs w:val="20"/>
        </w:rPr>
        <w:t>with regard to</w:t>
      </w:r>
      <w:proofErr w:type="gramEnd"/>
      <w:r w:rsidRPr="00646665">
        <w:rPr>
          <w:rFonts w:ascii="Cambria" w:hAnsi="Cambria"/>
          <w:sz w:val="20"/>
          <w:szCs w:val="20"/>
        </w:rPr>
        <w:t xml:space="preserve"> the alleged victims</w:t>
      </w:r>
      <w:r>
        <w:rPr>
          <w:rFonts w:ascii="Cambria" w:hAnsi="Cambria"/>
          <w:sz w:val="20"/>
          <w:szCs w:val="20"/>
        </w:rPr>
        <w:t>.</w:t>
      </w:r>
      <w:r w:rsidRPr="00646665">
        <w:rPr>
          <w:rFonts w:ascii="Cambria" w:hAnsi="Cambria"/>
          <w:sz w:val="20"/>
          <w:szCs w:val="20"/>
        </w:rPr>
        <w:t xml:space="preserve"> </w:t>
      </w:r>
      <w:r>
        <w:rPr>
          <w:rFonts w:ascii="Cambria" w:hAnsi="Cambria"/>
          <w:sz w:val="20"/>
          <w:szCs w:val="20"/>
        </w:rPr>
        <w:t>In the case of</w:t>
      </w:r>
      <w:r w:rsidRPr="00646665">
        <w:rPr>
          <w:rFonts w:ascii="Cambria" w:hAnsi="Cambria"/>
          <w:sz w:val="20"/>
          <w:szCs w:val="20"/>
        </w:rPr>
        <w:t xml:space="preserve"> Mr. Méndez Passu and Mr. Méndez </w:t>
      </w:r>
      <w:proofErr w:type="spellStart"/>
      <w:r w:rsidRPr="00646665">
        <w:rPr>
          <w:rFonts w:ascii="Cambria" w:hAnsi="Cambria"/>
          <w:sz w:val="20"/>
          <w:szCs w:val="20"/>
        </w:rPr>
        <w:t>Dagua</w:t>
      </w:r>
      <w:proofErr w:type="spellEnd"/>
      <w:r w:rsidRPr="00646665">
        <w:rPr>
          <w:rFonts w:ascii="Cambria" w:hAnsi="Cambria"/>
          <w:sz w:val="20"/>
          <w:szCs w:val="20"/>
        </w:rPr>
        <w:t xml:space="preserve">, there were reportedly four criminal investigations </w:t>
      </w:r>
      <w:r>
        <w:rPr>
          <w:rFonts w:ascii="Cambria" w:hAnsi="Cambria"/>
          <w:sz w:val="20"/>
          <w:szCs w:val="20"/>
        </w:rPr>
        <w:t>into</w:t>
      </w:r>
      <w:r w:rsidRPr="00646665">
        <w:rPr>
          <w:rFonts w:ascii="Cambria" w:hAnsi="Cambria"/>
          <w:sz w:val="20"/>
          <w:szCs w:val="20"/>
        </w:rPr>
        <w:t xml:space="preserve"> the crime of forced disappearance</w:t>
      </w:r>
      <w:r>
        <w:rPr>
          <w:rFonts w:ascii="Cambria" w:hAnsi="Cambria"/>
          <w:sz w:val="20"/>
          <w:szCs w:val="20"/>
        </w:rPr>
        <w:t>,</w:t>
      </w:r>
      <w:r w:rsidRPr="00646665">
        <w:rPr>
          <w:rFonts w:ascii="Cambria" w:hAnsi="Cambria"/>
          <w:sz w:val="20"/>
          <w:szCs w:val="20"/>
        </w:rPr>
        <w:t xml:space="preserve"> which were assigned to 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No. 40, </w:t>
      </w:r>
      <w:r w:rsidR="00AF6799">
        <w:rPr>
          <w:rFonts w:ascii="Cambria" w:hAnsi="Cambria"/>
          <w:sz w:val="20"/>
          <w:szCs w:val="20"/>
        </w:rPr>
        <w:t>to act before</w:t>
      </w:r>
      <w:r>
        <w:rPr>
          <w:rFonts w:ascii="Cambria" w:hAnsi="Cambria"/>
          <w:sz w:val="20"/>
          <w:szCs w:val="20"/>
        </w:rPr>
        <w:t xml:space="preserve"> the Justice and Peace Unit of</w:t>
      </w:r>
      <w:r w:rsidRPr="00646665">
        <w:rPr>
          <w:rFonts w:ascii="Cambria" w:hAnsi="Cambria"/>
          <w:sz w:val="20"/>
          <w:szCs w:val="20"/>
        </w:rPr>
        <w:t xml:space="preserve"> the Superior Court of </w:t>
      </w:r>
      <w:r w:rsidR="00AF6799">
        <w:rPr>
          <w:rFonts w:ascii="Cambria" w:hAnsi="Cambria"/>
          <w:sz w:val="20"/>
          <w:szCs w:val="20"/>
        </w:rPr>
        <w:t xml:space="preserve">the District </w:t>
      </w:r>
      <w:r>
        <w:rPr>
          <w:rFonts w:ascii="Cambria" w:hAnsi="Cambria"/>
          <w:sz w:val="20"/>
          <w:szCs w:val="20"/>
        </w:rPr>
        <w:t>and</w:t>
      </w:r>
      <w:r w:rsidRPr="00646665">
        <w:rPr>
          <w:rFonts w:ascii="Cambria" w:hAnsi="Cambria"/>
          <w:sz w:val="20"/>
          <w:szCs w:val="20"/>
        </w:rPr>
        <w:t xml:space="preserve"> allegedly suspended, </w:t>
      </w:r>
      <w:r w:rsidR="0005505C">
        <w:rPr>
          <w:rFonts w:ascii="Cambria" w:hAnsi="Cambria"/>
          <w:sz w:val="20"/>
          <w:szCs w:val="20"/>
        </w:rPr>
        <w:t>and a</w:t>
      </w:r>
      <w:r w:rsidRPr="00646665">
        <w:rPr>
          <w:rFonts w:ascii="Cambria" w:hAnsi="Cambria"/>
          <w:sz w:val="20"/>
          <w:szCs w:val="20"/>
        </w:rPr>
        <w:t xml:space="preserve"> writ for protection of constitutional rights which was </w:t>
      </w:r>
      <w:r>
        <w:rPr>
          <w:rFonts w:ascii="Cambria" w:hAnsi="Cambria"/>
          <w:sz w:val="20"/>
          <w:szCs w:val="20"/>
        </w:rPr>
        <w:t>admitted</w:t>
      </w:r>
      <w:r w:rsidRPr="00646665">
        <w:rPr>
          <w:rFonts w:ascii="Cambria" w:hAnsi="Cambria"/>
          <w:sz w:val="20"/>
          <w:szCs w:val="20"/>
        </w:rPr>
        <w:t xml:space="preserve"> by the Eight Court of </w:t>
      </w:r>
      <w:proofErr w:type="spellStart"/>
      <w:r w:rsidRPr="00646665">
        <w:rPr>
          <w:rFonts w:ascii="Cambria" w:hAnsi="Cambria"/>
          <w:sz w:val="20"/>
          <w:szCs w:val="20"/>
        </w:rPr>
        <w:t>Popayán</w:t>
      </w:r>
      <w:proofErr w:type="spellEnd"/>
      <w:r>
        <w:rPr>
          <w:rFonts w:ascii="Cambria" w:hAnsi="Cambria"/>
          <w:sz w:val="20"/>
          <w:szCs w:val="20"/>
        </w:rPr>
        <w:t xml:space="preserve"> </w:t>
      </w:r>
      <w:r w:rsidRPr="00646665">
        <w:rPr>
          <w:rFonts w:ascii="Cambria" w:hAnsi="Cambria"/>
          <w:sz w:val="20"/>
          <w:szCs w:val="20"/>
        </w:rPr>
        <w:t xml:space="preserve">on March 14, 2014. </w:t>
      </w:r>
      <w:r>
        <w:rPr>
          <w:rFonts w:ascii="Cambria" w:hAnsi="Cambria"/>
          <w:sz w:val="20"/>
          <w:szCs w:val="20"/>
        </w:rPr>
        <w:t>As for</w:t>
      </w:r>
      <w:r w:rsidRPr="00646665">
        <w:rPr>
          <w:rFonts w:ascii="Cambria" w:hAnsi="Cambria"/>
          <w:sz w:val="20"/>
          <w:szCs w:val="20"/>
        </w:rPr>
        <w:t xml:space="preserve"> Mr. Mosquera </w:t>
      </w:r>
      <w:proofErr w:type="spellStart"/>
      <w:r w:rsidRPr="00646665">
        <w:rPr>
          <w:rFonts w:ascii="Cambria" w:hAnsi="Cambria"/>
          <w:sz w:val="20"/>
          <w:szCs w:val="20"/>
        </w:rPr>
        <w:t>Fiscue</w:t>
      </w:r>
      <w:proofErr w:type="spellEnd"/>
      <w:r w:rsidRPr="00646665">
        <w:rPr>
          <w:rFonts w:ascii="Cambria" w:hAnsi="Cambria"/>
          <w:sz w:val="20"/>
          <w:szCs w:val="20"/>
        </w:rPr>
        <w:t xml:space="preserve">, there was reportedly an ongoing proceeding before </w:t>
      </w:r>
      <w:r w:rsidR="00062E43">
        <w:rPr>
          <w:rFonts w:ascii="Cambria" w:hAnsi="Cambria"/>
          <w:sz w:val="20"/>
          <w:szCs w:val="20"/>
        </w:rPr>
        <w:t xml:space="preserve">the </w:t>
      </w:r>
      <w:r w:rsidRPr="00646665">
        <w:rPr>
          <w:rFonts w:ascii="Cambria" w:hAnsi="Cambria"/>
          <w:sz w:val="20"/>
          <w:szCs w:val="20"/>
        </w:rPr>
        <w:t xml:space="preserve">Specialized 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No. 7 of </w:t>
      </w:r>
      <w:proofErr w:type="spellStart"/>
      <w:r w:rsidRPr="00646665">
        <w:rPr>
          <w:rFonts w:ascii="Cambria" w:hAnsi="Cambria"/>
          <w:sz w:val="20"/>
          <w:szCs w:val="20"/>
        </w:rPr>
        <w:t>Popayán</w:t>
      </w:r>
      <w:proofErr w:type="spellEnd"/>
      <w:r w:rsidRPr="00646665">
        <w:rPr>
          <w:rFonts w:ascii="Cambria" w:hAnsi="Cambria"/>
          <w:sz w:val="20"/>
          <w:szCs w:val="20"/>
        </w:rPr>
        <w:t xml:space="preserve">. Regarding Mr. </w:t>
      </w:r>
      <w:proofErr w:type="spellStart"/>
      <w:r w:rsidRPr="00646665">
        <w:rPr>
          <w:rFonts w:ascii="Cambria" w:hAnsi="Cambria"/>
          <w:sz w:val="20"/>
          <w:szCs w:val="20"/>
        </w:rPr>
        <w:t>Ulcue</w:t>
      </w:r>
      <w:proofErr w:type="spellEnd"/>
      <w:r w:rsidRPr="00646665">
        <w:rPr>
          <w:rFonts w:ascii="Cambria" w:hAnsi="Cambria"/>
          <w:sz w:val="20"/>
          <w:szCs w:val="20"/>
        </w:rPr>
        <w:t xml:space="preserve"> Apio, a criminal proceeding was </w:t>
      </w:r>
      <w:r>
        <w:rPr>
          <w:rFonts w:ascii="Cambria" w:hAnsi="Cambria"/>
          <w:sz w:val="20"/>
          <w:szCs w:val="20"/>
        </w:rPr>
        <w:t>conducted</w:t>
      </w:r>
      <w:r w:rsidRPr="00646665">
        <w:rPr>
          <w:rFonts w:ascii="Cambria" w:hAnsi="Cambria"/>
          <w:sz w:val="20"/>
          <w:szCs w:val="20"/>
        </w:rPr>
        <w:t xml:space="preserve"> by Public Prosecut</w:t>
      </w:r>
      <w:r w:rsidR="00CE1FCC">
        <w:rPr>
          <w:rFonts w:ascii="Cambria" w:hAnsi="Cambria"/>
          <w:sz w:val="20"/>
          <w:szCs w:val="20"/>
        </w:rPr>
        <w:t>or’s</w:t>
      </w:r>
      <w:r w:rsidRPr="00646665">
        <w:rPr>
          <w:rFonts w:ascii="Cambria" w:hAnsi="Cambria"/>
          <w:sz w:val="20"/>
          <w:szCs w:val="20"/>
        </w:rPr>
        <w:t xml:space="preserve"> Office No. 21 of the Human Rights Unit. </w:t>
      </w:r>
      <w:r>
        <w:rPr>
          <w:rFonts w:ascii="Cambria" w:hAnsi="Cambria"/>
          <w:sz w:val="20"/>
          <w:szCs w:val="20"/>
        </w:rPr>
        <w:t>In the case of</w:t>
      </w:r>
      <w:r w:rsidRPr="00646665">
        <w:rPr>
          <w:rFonts w:ascii="Cambria" w:hAnsi="Cambria"/>
          <w:sz w:val="20"/>
          <w:szCs w:val="20"/>
        </w:rPr>
        <w:t xml:space="preserve"> Mr. </w:t>
      </w:r>
      <w:proofErr w:type="spellStart"/>
      <w:r w:rsidRPr="00646665">
        <w:rPr>
          <w:rFonts w:ascii="Cambria" w:hAnsi="Cambria"/>
          <w:sz w:val="20"/>
          <w:szCs w:val="20"/>
        </w:rPr>
        <w:t>Casamachín</w:t>
      </w:r>
      <w:proofErr w:type="spellEnd"/>
      <w:r w:rsidRPr="00646665">
        <w:rPr>
          <w:rFonts w:ascii="Cambria" w:hAnsi="Cambria"/>
          <w:sz w:val="20"/>
          <w:szCs w:val="20"/>
        </w:rPr>
        <w:t xml:space="preserve"> </w:t>
      </w:r>
      <w:proofErr w:type="spellStart"/>
      <w:r w:rsidRPr="00646665">
        <w:rPr>
          <w:rFonts w:ascii="Cambria" w:hAnsi="Cambria"/>
          <w:sz w:val="20"/>
          <w:szCs w:val="20"/>
        </w:rPr>
        <w:t>Secue</w:t>
      </w:r>
      <w:proofErr w:type="spellEnd"/>
      <w:r w:rsidRPr="00646665">
        <w:rPr>
          <w:rFonts w:ascii="Cambria" w:hAnsi="Cambria"/>
          <w:sz w:val="20"/>
          <w:szCs w:val="20"/>
        </w:rPr>
        <w:t xml:space="preserve">, an investigation was </w:t>
      </w:r>
      <w:r>
        <w:rPr>
          <w:rFonts w:ascii="Cambria" w:hAnsi="Cambria"/>
          <w:sz w:val="20"/>
          <w:szCs w:val="20"/>
        </w:rPr>
        <w:t>conducted by</w:t>
      </w:r>
      <w:r w:rsidRPr="00646665">
        <w:rPr>
          <w:rFonts w:ascii="Cambria" w:hAnsi="Cambria"/>
          <w:sz w:val="20"/>
          <w:szCs w:val="20"/>
        </w:rPr>
        <w:t xml:space="preserve"> Public Prosecut</w:t>
      </w:r>
      <w:r w:rsidR="00CE1FCC">
        <w:rPr>
          <w:rFonts w:ascii="Cambria" w:hAnsi="Cambria"/>
          <w:sz w:val="20"/>
          <w:szCs w:val="20"/>
        </w:rPr>
        <w:t>or’s</w:t>
      </w:r>
      <w:r w:rsidRPr="00646665">
        <w:rPr>
          <w:rFonts w:ascii="Cambria" w:hAnsi="Cambria"/>
          <w:sz w:val="20"/>
          <w:szCs w:val="20"/>
        </w:rPr>
        <w:t xml:space="preserve"> Office No. 27</w:t>
      </w:r>
      <w:r>
        <w:rPr>
          <w:rFonts w:ascii="Cambria" w:hAnsi="Cambria"/>
          <w:sz w:val="20"/>
          <w:szCs w:val="20"/>
        </w:rPr>
        <w:t xml:space="preserve"> </w:t>
      </w:r>
      <w:r w:rsidR="00AF6799">
        <w:rPr>
          <w:rFonts w:ascii="Cambria" w:hAnsi="Cambria"/>
          <w:sz w:val="20"/>
          <w:szCs w:val="20"/>
        </w:rPr>
        <w:t>to act before</w:t>
      </w:r>
      <w:r w:rsidRPr="00646665">
        <w:rPr>
          <w:rFonts w:ascii="Cambria" w:hAnsi="Cambria"/>
          <w:sz w:val="20"/>
          <w:szCs w:val="20"/>
        </w:rPr>
        <w:t xml:space="preserve"> the </w:t>
      </w:r>
      <w:r>
        <w:rPr>
          <w:rFonts w:ascii="Cambria" w:hAnsi="Cambria"/>
          <w:sz w:val="20"/>
          <w:szCs w:val="20"/>
        </w:rPr>
        <w:t xml:space="preserve">Justice and Peace Unit of the </w:t>
      </w:r>
      <w:r w:rsidRPr="00646665">
        <w:rPr>
          <w:rFonts w:ascii="Cambria" w:hAnsi="Cambria"/>
          <w:sz w:val="20"/>
          <w:szCs w:val="20"/>
        </w:rPr>
        <w:t xml:space="preserve">Superior Court of </w:t>
      </w:r>
      <w:r w:rsidR="00CE1FCC">
        <w:rPr>
          <w:rFonts w:ascii="Cambria" w:hAnsi="Cambria"/>
          <w:sz w:val="20"/>
          <w:szCs w:val="20"/>
        </w:rPr>
        <w:t>the District</w:t>
      </w:r>
      <w:r w:rsidR="00CE1FCC" w:rsidRPr="00646665">
        <w:rPr>
          <w:rFonts w:ascii="Cambria" w:hAnsi="Cambria"/>
          <w:sz w:val="20"/>
          <w:szCs w:val="20"/>
        </w:rPr>
        <w:t xml:space="preserve"> </w:t>
      </w:r>
      <w:r w:rsidRPr="00646665">
        <w:rPr>
          <w:rFonts w:ascii="Cambria" w:hAnsi="Cambria"/>
          <w:sz w:val="20"/>
          <w:szCs w:val="20"/>
        </w:rPr>
        <w:t xml:space="preserve">of Bogotá. Regarding Mr. Largo Campo, an investigation </w:t>
      </w:r>
      <w:r>
        <w:rPr>
          <w:rFonts w:ascii="Cambria" w:hAnsi="Cambria"/>
          <w:sz w:val="20"/>
          <w:szCs w:val="20"/>
        </w:rPr>
        <w:t xml:space="preserve">was </w:t>
      </w:r>
      <w:r w:rsidRPr="00646665">
        <w:rPr>
          <w:rFonts w:ascii="Cambria" w:hAnsi="Cambria"/>
          <w:sz w:val="20"/>
          <w:szCs w:val="20"/>
        </w:rPr>
        <w:t>assigned to Public Prosecut</w:t>
      </w:r>
      <w:r w:rsidR="00CE1FCC">
        <w:rPr>
          <w:rFonts w:ascii="Cambria" w:hAnsi="Cambria"/>
          <w:sz w:val="20"/>
          <w:szCs w:val="20"/>
        </w:rPr>
        <w:t>or’s</w:t>
      </w:r>
      <w:r w:rsidRPr="00646665">
        <w:rPr>
          <w:rFonts w:ascii="Cambria" w:hAnsi="Cambria"/>
          <w:sz w:val="20"/>
          <w:szCs w:val="20"/>
        </w:rPr>
        <w:t xml:space="preserve"> Office No. 18. </w:t>
      </w:r>
      <w:r>
        <w:rPr>
          <w:rFonts w:ascii="Cambria" w:hAnsi="Cambria"/>
          <w:sz w:val="20"/>
          <w:szCs w:val="20"/>
        </w:rPr>
        <w:t xml:space="preserve">As for </w:t>
      </w:r>
      <w:r w:rsidRPr="00646665">
        <w:rPr>
          <w:rFonts w:ascii="Cambria" w:hAnsi="Cambria"/>
          <w:sz w:val="20"/>
          <w:szCs w:val="20"/>
        </w:rPr>
        <w:t xml:space="preserve">Mr. Rivera Mestizo, there was reportedly a criminal proceeding before 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 xml:space="preserve">Office No. 21 of Bogotá. </w:t>
      </w:r>
      <w:r>
        <w:rPr>
          <w:rFonts w:ascii="Cambria" w:hAnsi="Cambria"/>
          <w:sz w:val="20"/>
          <w:szCs w:val="20"/>
        </w:rPr>
        <w:t>In the case</w:t>
      </w:r>
      <w:r w:rsidRPr="00646665">
        <w:rPr>
          <w:rFonts w:ascii="Cambria" w:hAnsi="Cambria"/>
          <w:sz w:val="20"/>
          <w:szCs w:val="20"/>
        </w:rPr>
        <w:t xml:space="preserve"> Mr. and Ms. </w:t>
      </w:r>
      <w:proofErr w:type="spellStart"/>
      <w:r w:rsidRPr="00646665">
        <w:rPr>
          <w:rFonts w:ascii="Cambria" w:hAnsi="Cambria"/>
          <w:sz w:val="20"/>
          <w:szCs w:val="20"/>
        </w:rPr>
        <w:t>Yonda</w:t>
      </w:r>
      <w:proofErr w:type="spellEnd"/>
      <w:r w:rsidRPr="00646665">
        <w:rPr>
          <w:rFonts w:ascii="Cambria" w:hAnsi="Cambria"/>
          <w:sz w:val="20"/>
          <w:szCs w:val="20"/>
        </w:rPr>
        <w:t xml:space="preserve"> </w:t>
      </w:r>
      <w:proofErr w:type="spellStart"/>
      <w:r w:rsidRPr="00646665">
        <w:rPr>
          <w:rFonts w:ascii="Cambria" w:hAnsi="Cambria"/>
          <w:sz w:val="20"/>
          <w:szCs w:val="20"/>
        </w:rPr>
        <w:t>Pinzón</w:t>
      </w:r>
      <w:proofErr w:type="spellEnd"/>
      <w:r w:rsidRPr="00646665">
        <w:rPr>
          <w:rFonts w:ascii="Cambria" w:hAnsi="Cambria"/>
          <w:sz w:val="20"/>
          <w:szCs w:val="20"/>
        </w:rPr>
        <w:t xml:space="preserve">, two investigations of the Naya Massacre were </w:t>
      </w:r>
      <w:r w:rsidRPr="00646665">
        <w:rPr>
          <w:rFonts w:ascii="Cambria" w:hAnsi="Cambria"/>
          <w:sz w:val="20"/>
          <w:szCs w:val="20"/>
        </w:rPr>
        <w:lastRenderedPageBreak/>
        <w:t xml:space="preserve">reportedly </w:t>
      </w:r>
      <w:r>
        <w:rPr>
          <w:rFonts w:ascii="Cambria" w:hAnsi="Cambria"/>
          <w:sz w:val="20"/>
          <w:szCs w:val="20"/>
        </w:rPr>
        <w:t>carried out</w:t>
      </w:r>
      <w:r w:rsidRPr="00646665">
        <w:rPr>
          <w:rFonts w:ascii="Cambria" w:hAnsi="Cambria"/>
          <w:sz w:val="20"/>
          <w:szCs w:val="20"/>
        </w:rPr>
        <w:t xml:space="preserve">, one before 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Office No. 21</w:t>
      </w:r>
      <w:r>
        <w:rPr>
          <w:rFonts w:ascii="Cambria" w:hAnsi="Cambria"/>
          <w:sz w:val="20"/>
          <w:szCs w:val="20"/>
        </w:rPr>
        <w:t xml:space="preserve"> of the</w:t>
      </w:r>
      <w:r w:rsidRPr="00646665">
        <w:rPr>
          <w:rFonts w:ascii="Cambria" w:hAnsi="Cambria"/>
          <w:sz w:val="20"/>
          <w:szCs w:val="20"/>
        </w:rPr>
        <w:t xml:space="preserve"> Human Rights and International Humanitarian Law</w:t>
      </w:r>
      <w:r>
        <w:rPr>
          <w:rFonts w:ascii="Cambria" w:hAnsi="Cambria"/>
          <w:sz w:val="20"/>
          <w:szCs w:val="20"/>
        </w:rPr>
        <w:t xml:space="preserve"> Unit</w:t>
      </w:r>
      <w:r w:rsidRPr="00646665">
        <w:rPr>
          <w:rFonts w:ascii="Cambria" w:hAnsi="Cambria"/>
          <w:sz w:val="20"/>
          <w:szCs w:val="20"/>
        </w:rPr>
        <w:t xml:space="preserve">, and the other before Public </w:t>
      </w:r>
      <w:r w:rsidR="00CE1FCC" w:rsidRPr="00646665">
        <w:rPr>
          <w:rFonts w:ascii="Cambria" w:hAnsi="Cambria"/>
          <w:sz w:val="20"/>
          <w:szCs w:val="20"/>
        </w:rPr>
        <w:t>Prosecut</w:t>
      </w:r>
      <w:r w:rsidR="00CE1FCC">
        <w:rPr>
          <w:rFonts w:ascii="Cambria" w:hAnsi="Cambria"/>
          <w:sz w:val="20"/>
          <w:szCs w:val="20"/>
        </w:rPr>
        <w:t>or’s</w:t>
      </w:r>
      <w:r w:rsidR="00CE1FCC" w:rsidRPr="00646665">
        <w:rPr>
          <w:rFonts w:ascii="Cambria" w:hAnsi="Cambria"/>
          <w:sz w:val="20"/>
          <w:szCs w:val="20"/>
        </w:rPr>
        <w:t xml:space="preserve"> </w:t>
      </w:r>
      <w:r w:rsidRPr="00646665">
        <w:rPr>
          <w:rFonts w:ascii="Cambria" w:hAnsi="Cambria"/>
          <w:sz w:val="20"/>
          <w:szCs w:val="20"/>
        </w:rPr>
        <w:t>Office No. 18 of the National Peace and Justice Unit of Cali. Finally, the petitioner</w:t>
      </w:r>
      <w:r>
        <w:rPr>
          <w:rFonts w:ascii="Cambria" w:hAnsi="Cambria"/>
          <w:sz w:val="20"/>
          <w:szCs w:val="20"/>
        </w:rPr>
        <w:t>s</w:t>
      </w:r>
      <w:r w:rsidRPr="00646665">
        <w:rPr>
          <w:rFonts w:ascii="Cambria" w:hAnsi="Cambria"/>
          <w:sz w:val="20"/>
          <w:szCs w:val="20"/>
        </w:rPr>
        <w:t xml:space="preserve"> stress that COMAC filed petition</w:t>
      </w:r>
      <w:r>
        <w:rPr>
          <w:rFonts w:ascii="Cambria" w:hAnsi="Cambria"/>
          <w:sz w:val="20"/>
          <w:szCs w:val="20"/>
        </w:rPr>
        <w:t>s for information before</w:t>
      </w:r>
      <w:r w:rsidRPr="00646665">
        <w:rPr>
          <w:rFonts w:ascii="Cambria" w:hAnsi="Cambria"/>
          <w:sz w:val="20"/>
          <w:szCs w:val="20"/>
        </w:rPr>
        <w:t xml:space="preserve"> the</w:t>
      </w:r>
      <w:r w:rsidR="00553F5B">
        <w:rPr>
          <w:rFonts w:ascii="Cambria" w:hAnsi="Cambria"/>
          <w:sz w:val="20"/>
          <w:szCs w:val="20"/>
        </w:rPr>
        <w:t xml:space="preserve"> </w:t>
      </w:r>
      <w:r w:rsidR="00496333">
        <w:rPr>
          <w:rFonts w:ascii="Cambria" w:hAnsi="Cambria"/>
          <w:sz w:val="20"/>
        </w:rPr>
        <w:t>AG</w:t>
      </w:r>
      <w:r w:rsidRPr="00646665">
        <w:rPr>
          <w:rFonts w:ascii="Cambria" w:hAnsi="Cambria"/>
          <w:sz w:val="20"/>
          <w:szCs w:val="20"/>
        </w:rPr>
        <w:t xml:space="preserve"> </w:t>
      </w:r>
      <w:r>
        <w:rPr>
          <w:rFonts w:ascii="Cambria" w:hAnsi="Cambria"/>
          <w:sz w:val="20"/>
          <w:szCs w:val="20"/>
        </w:rPr>
        <w:t>in relation</w:t>
      </w:r>
      <w:r w:rsidRPr="00646665">
        <w:rPr>
          <w:rFonts w:ascii="Cambria" w:hAnsi="Cambria"/>
          <w:sz w:val="20"/>
          <w:szCs w:val="20"/>
        </w:rPr>
        <w:t xml:space="preserve"> to </w:t>
      </w:r>
      <w:r>
        <w:rPr>
          <w:rFonts w:ascii="Cambria" w:hAnsi="Cambria"/>
          <w:sz w:val="20"/>
          <w:szCs w:val="20"/>
        </w:rPr>
        <w:t>over</w:t>
      </w:r>
      <w:r w:rsidRPr="00646665">
        <w:rPr>
          <w:rFonts w:ascii="Cambria" w:hAnsi="Cambria"/>
          <w:sz w:val="20"/>
          <w:szCs w:val="20"/>
        </w:rPr>
        <w:t xml:space="preserve"> 60 proceedings, and that such claims ha</w:t>
      </w:r>
      <w:r>
        <w:rPr>
          <w:rFonts w:ascii="Cambria" w:hAnsi="Cambria"/>
          <w:sz w:val="20"/>
          <w:szCs w:val="20"/>
        </w:rPr>
        <w:t>ve</w:t>
      </w:r>
      <w:r w:rsidRPr="00646665">
        <w:rPr>
          <w:rFonts w:ascii="Cambria" w:hAnsi="Cambria"/>
          <w:sz w:val="20"/>
          <w:szCs w:val="20"/>
        </w:rPr>
        <w:t xml:space="preserve"> not been answered. Therefore, the petitioner</w:t>
      </w:r>
      <w:r>
        <w:rPr>
          <w:rFonts w:ascii="Cambria" w:hAnsi="Cambria"/>
          <w:sz w:val="20"/>
          <w:szCs w:val="20"/>
        </w:rPr>
        <w:t>s</w:t>
      </w:r>
      <w:r w:rsidRPr="00646665">
        <w:rPr>
          <w:rFonts w:ascii="Cambria" w:hAnsi="Cambria"/>
          <w:sz w:val="20"/>
          <w:szCs w:val="20"/>
        </w:rPr>
        <w:t xml:space="preserve"> conclude that the exception of unjustified delay set forth in Article 46.2.c) of the Convention is applicable</w:t>
      </w:r>
      <w:r w:rsidR="00EF3A9B">
        <w:rPr>
          <w:rFonts w:ascii="Cambria" w:hAnsi="Cambria"/>
          <w:sz w:val="20"/>
          <w:szCs w:val="20"/>
        </w:rPr>
        <w:t xml:space="preserve"> </w:t>
      </w:r>
      <w:r w:rsidRPr="00646665">
        <w:rPr>
          <w:rFonts w:ascii="Cambria" w:hAnsi="Cambria"/>
          <w:sz w:val="20"/>
          <w:szCs w:val="20"/>
        </w:rPr>
        <w:t xml:space="preserve">since the </w:t>
      </w:r>
      <w:r>
        <w:rPr>
          <w:rFonts w:ascii="Cambria" w:hAnsi="Cambria"/>
          <w:sz w:val="20"/>
          <w:szCs w:val="20"/>
        </w:rPr>
        <w:t>facts</w:t>
      </w:r>
      <w:r w:rsidRPr="00646665">
        <w:rPr>
          <w:rFonts w:ascii="Cambria" w:hAnsi="Cambria"/>
          <w:sz w:val="20"/>
          <w:szCs w:val="20"/>
        </w:rPr>
        <w:t xml:space="preserve"> occurred between 2001 and 2003</w:t>
      </w:r>
      <w:r>
        <w:rPr>
          <w:rFonts w:ascii="Cambria" w:hAnsi="Cambria"/>
          <w:sz w:val="20"/>
          <w:szCs w:val="20"/>
        </w:rPr>
        <w:t>,</w:t>
      </w:r>
      <w:r w:rsidRPr="00646665">
        <w:rPr>
          <w:rFonts w:ascii="Cambria" w:hAnsi="Cambria"/>
          <w:sz w:val="20"/>
          <w:szCs w:val="20"/>
        </w:rPr>
        <w:t xml:space="preserve"> and to date those responsible have not been punished</w:t>
      </w:r>
      <w:r>
        <w:rPr>
          <w:rFonts w:ascii="Cambria" w:hAnsi="Cambria"/>
          <w:sz w:val="20"/>
          <w:szCs w:val="20"/>
        </w:rPr>
        <w:t>,</w:t>
      </w:r>
      <w:r w:rsidRPr="00646665">
        <w:rPr>
          <w:rFonts w:ascii="Cambria" w:hAnsi="Cambria"/>
          <w:sz w:val="20"/>
          <w:szCs w:val="20"/>
        </w:rPr>
        <w:t xml:space="preserve"> and the alleged victims have not been repaired. </w:t>
      </w:r>
    </w:p>
    <w:p w14:paraId="5DB4B6CA" w14:textId="6336A1AD" w:rsidR="00CA4832" w:rsidRPr="00646665" w:rsidRDefault="00CA4832" w:rsidP="00CA4832">
      <w:pPr>
        <w:spacing w:before="240" w:after="240"/>
        <w:ind w:firstLine="720"/>
        <w:jc w:val="both"/>
        <w:rPr>
          <w:rFonts w:ascii="Cambria" w:hAnsi="Cambria" w:cs="Calibri"/>
          <w:sz w:val="20"/>
          <w:szCs w:val="20"/>
        </w:rPr>
      </w:pPr>
      <w:r w:rsidRPr="00646665">
        <w:rPr>
          <w:rFonts w:ascii="Cambria" w:hAnsi="Cambria"/>
          <w:sz w:val="20"/>
          <w:szCs w:val="20"/>
        </w:rPr>
        <w:t xml:space="preserve">37. </w:t>
      </w:r>
      <w:r w:rsidRPr="00646665">
        <w:rPr>
          <w:rFonts w:ascii="Cambria" w:hAnsi="Cambria"/>
          <w:sz w:val="20"/>
          <w:szCs w:val="20"/>
        </w:rPr>
        <w:tab/>
        <w:t xml:space="preserve">The State, for its part, argues that the alleged victims have not exhausted domestic remedies since the criminal proceedings initiated are </w:t>
      </w:r>
      <w:r>
        <w:rPr>
          <w:rFonts w:ascii="Cambria" w:hAnsi="Cambria"/>
          <w:sz w:val="20"/>
          <w:szCs w:val="20"/>
        </w:rPr>
        <w:t xml:space="preserve">still </w:t>
      </w:r>
      <w:r w:rsidRPr="00646665">
        <w:rPr>
          <w:rFonts w:ascii="Cambria" w:hAnsi="Cambria"/>
          <w:sz w:val="20"/>
          <w:szCs w:val="20"/>
        </w:rPr>
        <w:t>pending. It also alleges that, regarding contentious</w:t>
      </w:r>
      <w:r>
        <w:rPr>
          <w:rFonts w:ascii="Cambria" w:hAnsi="Cambria"/>
          <w:sz w:val="20"/>
          <w:szCs w:val="20"/>
        </w:rPr>
        <w:t>-</w:t>
      </w:r>
      <w:r w:rsidRPr="00646665">
        <w:rPr>
          <w:rFonts w:ascii="Cambria" w:hAnsi="Cambria"/>
          <w:sz w:val="20"/>
          <w:szCs w:val="20"/>
        </w:rPr>
        <w:t xml:space="preserve">administrative matters, the </w:t>
      </w:r>
      <w:r>
        <w:rPr>
          <w:rFonts w:ascii="Cambria" w:hAnsi="Cambria"/>
          <w:sz w:val="20"/>
          <w:szCs w:val="20"/>
        </w:rPr>
        <w:t>next of kin</w:t>
      </w:r>
      <w:r w:rsidRPr="00646665">
        <w:rPr>
          <w:rFonts w:ascii="Cambria" w:hAnsi="Cambria"/>
          <w:sz w:val="20"/>
          <w:szCs w:val="20"/>
        </w:rPr>
        <w:t xml:space="preserve"> of Mr. Mosquera </w:t>
      </w:r>
      <w:proofErr w:type="spellStart"/>
      <w:r w:rsidRPr="00646665">
        <w:rPr>
          <w:rFonts w:ascii="Cambria" w:hAnsi="Cambria"/>
          <w:sz w:val="20"/>
          <w:szCs w:val="20"/>
        </w:rPr>
        <w:t>Fiscué</w:t>
      </w:r>
      <w:proofErr w:type="spellEnd"/>
      <w:r w:rsidRPr="00646665">
        <w:rPr>
          <w:rFonts w:ascii="Cambria" w:hAnsi="Cambria"/>
          <w:sz w:val="20"/>
          <w:szCs w:val="20"/>
        </w:rPr>
        <w:t xml:space="preserve">, Mr. Méndez Passu and Mr. Méndez </w:t>
      </w:r>
      <w:proofErr w:type="spellStart"/>
      <w:r w:rsidRPr="00646665">
        <w:rPr>
          <w:rFonts w:ascii="Cambria" w:hAnsi="Cambria"/>
          <w:sz w:val="20"/>
          <w:szCs w:val="20"/>
        </w:rPr>
        <w:t>Dagua</w:t>
      </w:r>
      <w:proofErr w:type="spellEnd"/>
      <w:r w:rsidRPr="00646665">
        <w:rPr>
          <w:rFonts w:ascii="Cambria" w:hAnsi="Cambria"/>
          <w:sz w:val="20"/>
          <w:szCs w:val="20"/>
        </w:rPr>
        <w:t xml:space="preserve"> were the only ones </w:t>
      </w:r>
      <w:r>
        <w:rPr>
          <w:rFonts w:ascii="Cambria" w:hAnsi="Cambria"/>
          <w:sz w:val="20"/>
          <w:szCs w:val="20"/>
        </w:rPr>
        <w:t>who</w:t>
      </w:r>
      <w:r w:rsidRPr="00646665">
        <w:rPr>
          <w:rFonts w:ascii="Cambria" w:hAnsi="Cambria"/>
          <w:sz w:val="20"/>
          <w:szCs w:val="20"/>
        </w:rPr>
        <w:t xml:space="preserve"> file claims for direct reparation. As to the time</w:t>
      </w:r>
      <w:r>
        <w:rPr>
          <w:rFonts w:ascii="Cambria" w:hAnsi="Cambria"/>
          <w:sz w:val="20"/>
          <w:szCs w:val="20"/>
        </w:rPr>
        <w:t>liness of the petition</w:t>
      </w:r>
      <w:r w:rsidRPr="00646665">
        <w:rPr>
          <w:rFonts w:ascii="Cambria" w:hAnsi="Cambria"/>
          <w:sz w:val="20"/>
          <w:szCs w:val="20"/>
        </w:rPr>
        <w:t>, the State stresses that there ha</w:t>
      </w:r>
      <w:r>
        <w:rPr>
          <w:rFonts w:ascii="Cambria" w:hAnsi="Cambria"/>
          <w:sz w:val="20"/>
          <w:szCs w:val="20"/>
        </w:rPr>
        <w:t>s</w:t>
      </w:r>
      <w:r w:rsidRPr="00646665">
        <w:rPr>
          <w:rFonts w:ascii="Cambria" w:hAnsi="Cambria"/>
          <w:sz w:val="20"/>
          <w:szCs w:val="20"/>
        </w:rPr>
        <w:t xml:space="preserve"> not been any unwarranted delay and, consequently, none of the exceptions set forth in Article 46.2 of the Convention </w:t>
      </w:r>
      <w:r>
        <w:rPr>
          <w:rFonts w:ascii="Cambria" w:hAnsi="Cambria"/>
          <w:sz w:val="20"/>
          <w:szCs w:val="20"/>
        </w:rPr>
        <w:t>can be applied</w:t>
      </w:r>
      <w:r w:rsidRPr="00646665">
        <w:rPr>
          <w:rFonts w:ascii="Cambria" w:hAnsi="Cambria"/>
          <w:sz w:val="20"/>
          <w:szCs w:val="20"/>
        </w:rPr>
        <w:t xml:space="preserve">. In particular, the State highlights that there </w:t>
      </w:r>
      <w:r>
        <w:rPr>
          <w:rFonts w:ascii="Cambria" w:hAnsi="Cambria"/>
          <w:sz w:val="20"/>
          <w:szCs w:val="20"/>
        </w:rPr>
        <w:t>was</w:t>
      </w:r>
      <w:r w:rsidRPr="00646665">
        <w:rPr>
          <w:rFonts w:ascii="Cambria" w:hAnsi="Cambria"/>
          <w:sz w:val="20"/>
          <w:szCs w:val="20"/>
        </w:rPr>
        <w:t xml:space="preserve"> no unwarranted delay since the criteria established by the </w:t>
      </w:r>
      <w:proofErr w:type="spellStart"/>
      <w:r w:rsidRPr="00646665">
        <w:rPr>
          <w:rFonts w:ascii="Cambria" w:hAnsi="Cambria"/>
          <w:sz w:val="20"/>
          <w:szCs w:val="20"/>
        </w:rPr>
        <w:t>IA</w:t>
      </w:r>
      <w:r w:rsidR="006A79ED">
        <w:rPr>
          <w:rFonts w:ascii="Cambria" w:hAnsi="Cambria"/>
          <w:sz w:val="20"/>
          <w:szCs w:val="20"/>
        </w:rPr>
        <w:t>Ct</w:t>
      </w:r>
      <w:r w:rsidRPr="00646665">
        <w:rPr>
          <w:rFonts w:ascii="Cambria" w:hAnsi="Cambria"/>
          <w:sz w:val="20"/>
          <w:szCs w:val="20"/>
        </w:rPr>
        <w:t>HR</w:t>
      </w:r>
      <w:proofErr w:type="spellEnd"/>
      <w:r w:rsidRPr="00646665">
        <w:rPr>
          <w:rFonts w:ascii="Cambria" w:hAnsi="Cambria"/>
          <w:sz w:val="20"/>
          <w:szCs w:val="20"/>
        </w:rPr>
        <w:t xml:space="preserve"> to determine if the duration of the proceedings </w:t>
      </w:r>
      <w:r>
        <w:rPr>
          <w:rFonts w:ascii="Cambria" w:hAnsi="Cambria"/>
          <w:sz w:val="20"/>
          <w:szCs w:val="20"/>
        </w:rPr>
        <w:t>is</w:t>
      </w:r>
      <w:r w:rsidRPr="00646665">
        <w:rPr>
          <w:rFonts w:ascii="Cambria" w:hAnsi="Cambria"/>
          <w:sz w:val="20"/>
          <w:szCs w:val="20"/>
        </w:rPr>
        <w:t xml:space="preserve"> reasonable </w:t>
      </w:r>
      <w:r>
        <w:rPr>
          <w:rFonts w:ascii="Cambria" w:hAnsi="Cambria"/>
          <w:sz w:val="20"/>
          <w:szCs w:val="20"/>
        </w:rPr>
        <w:t>were</w:t>
      </w:r>
      <w:r w:rsidRPr="00646665">
        <w:rPr>
          <w:rFonts w:ascii="Cambria" w:hAnsi="Cambria"/>
          <w:sz w:val="20"/>
          <w:szCs w:val="20"/>
        </w:rPr>
        <w:t xml:space="preserve"> met, especially in view of the complexity of the matter. </w:t>
      </w:r>
      <w:r>
        <w:rPr>
          <w:rFonts w:ascii="Cambria" w:hAnsi="Cambria"/>
          <w:sz w:val="20"/>
          <w:szCs w:val="20"/>
        </w:rPr>
        <w:t>As a result</w:t>
      </w:r>
      <w:r w:rsidRPr="00646665">
        <w:rPr>
          <w:rFonts w:ascii="Cambria" w:hAnsi="Cambria"/>
          <w:sz w:val="20"/>
          <w:szCs w:val="20"/>
        </w:rPr>
        <w:t>, the State conclude</w:t>
      </w:r>
      <w:r>
        <w:rPr>
          <w:rFonts w:ascii="Cambria" w:hAnsi="Cambria"/>
          <w:sz w:val="20"/>
          <w:szCs w:val="20"/>
        </w:rPr>
        <w:t>s</w:t>
      </w:r>
      <w:r w:rsidRPr="00646665">
        <w:rPr>
          <w:rFonts w:ascii="Cambria" w:hAnsi="Cambria"/>
          <w:sz w:val="20"/>
          <w:szCs w:val="20"/>
        </w:rPr>
        <w:t xml:space="preserve"> that the petition is inadmissible since the requirements set forth in </w:t>
      </w:r>
      <w:r>
        <w:rPr>
          <w:rFonts w:ascii="Cambria" w:hAnsi="Cambria"/>
          <w:sz w:val="20"/>
          <w:szCs w:val="20"/>
        </w:rPr>
        <w:t>A</w:t>
      </w:r>
      <w:r w:rsidRPr="00646665">
        <w:rPr>
          <w:rFonts w:ascii="Cambria" w:hAnsi="Cambria"/>
          <w:sz w:val="20"/>
          <w:szCs w:val="20"/>
        </w:rPr>
        <w:t xml:space="preserve">rticle 46.1.a) of the American Convention have not been met. </w:t>
      </w:r>
    </w:p>
    <w:p w14:paraId="78D55007" w14:textId="77777777" w:rsidR="00CA4832" w:rsidRPr="00646665" w:rsidRDefault="00CA4832" w:rsidP="00CA4832">
      <w:pPr>
        <w:spacing w:before="240" w:after="240"/>
        <w:ind w:firstLine="720"/>
        <w:jc w:val="both"/>
        <w:rPr>
          <w:rFonts w:ascii="Cambria" w:hAnsi="Cambria" w:cs="Calibri"/>
          <w:i/>
          <w:iCs/>
          <w:sz w:val="20"/>
          <w:szCs w:val="20"/>
        </w:rPr>
      </w:pPr>
      <w:r w:rsidRPr="00646665">
        <w:rPr>
          <w:rFonts w:ascii="Cambria" w:hAnsi="Cambria"/>
          <w:i/>
          <w:sz w:val="20"/>
          <w:szCs w:val="20"/>
        </w:rPr>
        <w:t>Analysis of exhaustion of domestic remedies common to both petitions</w:t>
      </w:r>
    </w:p>
    <w:p w14:paraId="2A6C04EB" w14:textId="2314CB59" w:rsidR="00CA4832" w:rsidRPr="00646665" w:rsidRDefault="00CA4832" w:rsidP="00CA4832">
      <w:pPr>
        <w:spacing w:before="240" w:after="240"/>
        <w:jc w:val="both"/>
        <w:rPr>
          <w:rFonts w:ascii="Cambria" w:hAnsi="Cambria" w:cs="Calibri"/>
          <w:sz w:val="20"/>
          <w:szCs w:val="20"/>
        </w:rPr>
      </w:pPr>
      <w:r w:rsidRPr="00646665">
        <w:rPr>
          <w:rFonts w:ascii="Cambria" w:hAnsi="Cambria"/>
          <w:sz w:val="20"/>
          <w:szCs w:val="20"/>
        </w:rPr>
        <w:tab/>
        <w:t xml:space="preserve">38. </w:t>
      </w:r>
      <w:r w:rsidRPr="00646665">
        <w:rPr>
          <w:rFonts w:ascii="Cambria" w:hAnsi="Cambria"/>
          <w:sz w:val="20"/>
          <w:szCs w:val="20"/>
        </w:rPr>
        <w:tab/>
        <w:t>The Commission notes that the alleged facts took place between 200</w:t>
      </w:r>
      <w:r>
        <w:rPr>
          <w:rFonts w:ascii="Cambria" w:hAnsi="Cambria"/>
          <w:sz w:val="20"/>
          <w:szCs w:val="20"/>
        </w:rPr>
        <w:t xml:space="preserve">1 and </w:t>
      </w:r>
      <w:r w:rsidRPr="00646665">
        <w:rPr>
          <w:rFonts w:ascii="Cambria" w:hAnsi="Cambria"/>
          <w:sz w:val="20"/>
          <w:szCs w:val="20"/>
        </w:rPr>
        <w:t xml:space="preserve">2003 in a </w:t>
      </w:r>
      <w:r>
        <w:rPr>
          <w:rFonts w:ascii="Cambria" w:hAnsi="Cambria"/>
          <w:sz w:val="20"/>
          <w:szCs w:val="20"/>
        </w:rPr>
        <w:t>specific</w:t>
      </w:r>
      <w:r w:rsidRPr="00646665">
        <w:rPr>
          <w:rFonts w:ascii="Cambria" w:hAnsi="Cambria"/>
          <w:sz w:val="20"/>
          <w:szCs w:val="20"/>
        </w:rPr>
        <w:t xml:space="preserve"> territory and against an indigenous group </w:t>
      </w:r>
      <w:r>
        <w:rPr>
          <w:rFonts w:ascii="Cambria" w:hAnsi="Cambria"/>
          <w:sz w:val="20"/>
          <w:szCs w:val="20"/>
        </w:rPr>
        <w:t>and the</w:t>
      </w:r>
      <w:r w:rsidRPr="00646665">
        <w:rPr>
          <w:rFonts w:ascii="Cambria" w:hAnsi="Cambria"/>
          <w:sz w:val="20"/>
          <w:szCs w:val="20"/>
        </w:rPr>
        <w:t xml:space="preserve"> peasants of the area. Therefore, these facts will be analyzed jointly. The Commission further notes that the </w:t>
      </w:r>
      <w:r>
        <w:rPr>
          <w:rFonts w:ascii="Cambria" w:hAnsi="Cambria"/>
          <w:sz w:val="20"/>
          <w:szCs w:val="20"/>
        </w:rPr>
        <w:t>facts described in</w:t>
      </w:r>
      <w:r w:rsidRPr="00646665">
        <w:rPr>
          <w:rFonts w:ascii="Cambria" w:hAnsi="Cambria"/>
          <w:sz w:val="20"/>
          <w:szCs w:val="20"/>
        </w:rPr>
        <w:t xml:space="preserve"> this petition </w:t>
      </w:r>
      <w:r>
        <w:rPr>
          <w:rFonts w:ascii="Cambria" w:hAnsi="Cambria"/>
          <w:sz w:val="20"/>
          <w:szCs w:val="20"/>
        </w:rPr>
        <w:t xml:space="preserve">occurred over </w:t>
      </w:r>
      <w:r w:rsidRPr="00646665">
        <w:rPr>
          <w:rFonts w:ascii="Cambria" w:hAnsi="Cambria"/>
          <w:sz w:val="20"/>
          <w:szCs w:val="20"/>
        </w:rPr>
        <w:t xml:space="preserve">17 years ago and to date it is known that several members of the AUC </w:t>
      </w:r>
      <w:r>
        <w:rPr>
          <w:rFonts w:ascii="Cambria" w:hAnsi="Cambria"/>
          <w:sz w:val="20"/>
          <w:szCs w:val="20"/>
        </w:rPr>
        <w:t>confessed to</w:t>
      </w:r>
      <w:r w:rsidRPr="00646665">
        <w:rPr>
          <w:rFonts w:ascii="Cambria" w:hAnsi="Cambria"/>
          <w:sz w:val="20"/>
          <w:szCs w:val="20"/>
        </w:rPr>
        <w:t xml:space="preserve"> their involvement in several of the </w:t>
      </w:r>
      <w:r>
        <w:rPr>
          <w:rFonts w:ascii="Cambria" w:hAnsi="Cambria"/>
          <w:sz w:val="20"/>
          <w:szCs w:val="20"/>
        </w:rPr>
        <w:t xml:space="preserve">facts in </w:t>
      </w:r>
      <w:r w:rsidRPr="00646665">
        <w:rPr>
          <w:rFonts w:ascii="Cambria" w:hAnsi="Cambria"/>
          <w:sz w:val="20"/>
          <w:szCs w:val="20"/>
        </w:rPr>
        <w:t xml:space="preserve">these petitions during </w:t>
      </w:r>
      <w:r>
        <w:rPr>
          <w:rFonts w:ascii="Cambria" w:hAnsi="Cambria"/>
          <w:sz w:val="20"/>
          <w:szCs w:val="20"/>
        </w:rPr>
        <w:t xml:space="preserve">the </w:t>
      </w:r>
      <w:r w:rsidRPr="00646665">
        <w:rPr>
          <w:rFonts w:ascii="Cambria" w:hAnsi="Cambria"/>
          <w:sz w:val="20"/>
          <w:szCs w:val="20"/>
        </w:rPr>
        <w:t>transitional justice proceedings</w:t>
      </w:r>
      <w:r>
        <w:rPr>
          <w:rFonts w:ascii="Cambria" w:hAnsi="Cambria"/>
          <w:sz w:val="20"/>
          <w:szCs w:val="20"/>
        </w:rPr>
        <w:t xml:space="preserve"> carried out</w:t>
      </w:r>
      <w:r w:rsidRPr="00646665">
        <w:rPr>
          <w:rFonts w:ascii="Cambria" w:hAnsi="Cambria"/>
          <w:sz w:val="20"/>
          <w:szCs w:val="20"/>
        </w:rPr>
        <w:t xml:space="preserve"> </w:t>
      </w:r>
      <w:r>
        <w:rPr>
          <w:rFonts w:ascii="Cambria" w:hAnsi="Cambria"/>
          <w:sz w:val="20"/>
          <w:szCs w:val="20"/>
        </w:rPr>
        <w:t>with</w:t>
      </w:r>
      <w:r w:rsidRPr="00646665">
        <w:rPr>
          <w:rFonts w:ascii="Cambria" w:hAnsi="Cambria"/>
          <w:sz w:val="20"/>
          <w:szCs w:val="20"/>
        </w:rPr>
        <w:t xml:space="preserve">in the framework of Law 975 of 2005. In petition 465-14, the Commission observes that two </w:t>
      </w:r>
      <w:r>
        <w:rPr>
          <w:rFonts w:ascii="Cambria" w:hAnsi="Cambria"/>
          <w:sz w:val="20"/>
          <w:szCs w:val="20"/>
        </w:rPr>
        <w:t xml:space="preserve">judgements of </w:t>
      </w:r>
      <w:r w:rsidRPr="00646665">
        <w:rPr>
          <w:rFonts w:ascii="Cambria" w:hAnsi="Cambria"/>
          <w:sz w:val="20"/>
          <w:szCs w:val="20"/>
        </w:rPr>
        <w:t xml:space="preserve">conviction were issued against Mr. Armando Lugo and Mr. Elkin Fernando Vicuña. The </w:t>
      </w:r>
      <w:r>
        <w:rPr>
          <w:rFonts w:ascii="Cambria" w:hAnsi="Cambria"/>
          <w:sz w:val="20"/>
          <w:szCs w:val="20"/>
        </w:rPr>
        <w:t>c</w:t>
      </w:r>
      <w:r w:rsidRPr="00646665">
        <w:rPr>
          <w:rFonts w:ascii="Cambria" w:hAnsi="Cambria"/>
          <w:sz w:val="20"/>
          <w:szCs w:val="20"/>
        </w:rPr>
        <w:t xml:space="preserve">ourts ruled in favor of the </w:t>
      </w:r>
      <w:r>
        <w:rPr>
          <w:rFonts w:ascii="Cambria" w:hAnsi="Cambria"/>
          <w:sz w:val="20"/>
          <w:szCs w:val="20"/>
        </w:rPr>
        <w:t>next of kin</w:t>
      </w:r>
      <w:r w:rsidRPr="00646665">
        <w:rPr>
          <w:rFonts w:ascii="Cambria" w:hAnsi="Cambria"/>
          <w:sz w:val="20"/>
          <w:szCs w:val="20"/>
        </w:rPr>
        <w:t xml:space="preserve"> of Mr. Julio </w:t>
      </w:r>
      <w:proofErr w:type="spellStart"/>
      <w:r w:rsidRPr="00646665">
        <w:rPr>
          <w:rFonts w:ascii="Cambria" w:hAnsi="Cambria"/>
          <w:sz w:val="20"/>
          <w:szCs w:val="20"/>
        </w:rPr>
        <w:t>Vitonas</w:t>
      </w:r>
      <w:proofErr w:type="spellEnd"/>
      <w:r w:rsidRPr="00646665">
        <w:rPr>
          <w:rFonts w:ascii="Cambria" w:hAnsi="Cambria"/>
          <w:sz w:val="20"/>
          <w:szCs w:val="20"/>
        </w:rPr>
        <w:t xml:space="preserve"> </w:t>
      </w:r>
      <w:proofErr w:type="spellStart"/>
      <w:r w:rsidRPr="00646665">
        <w:rPr>
          <w:rFonts w:ascii="Cambria" w:hAnsi="Cambria"/>
          <w:sz w:val="20"/>
          <w:szCs w:val="20"/>
        </w:rPr>
        <w:t>Chilhueso</w:t>
      </w:r>
      <w:proofErr w:type="spellEnd"/>
      <w:r w:rsidRPr="00646665">
        <w:rPr>
          <w:rFonts w:ascii="Cambria" w:hAnsi="Cambria"/>
          <w:sz w:val="20"/>
          <w:szCs w:val="20"/>
        </w:rPr>
        <w:t xml:space="preserve">, Mr. </w:t>
      </w:r>
      <w:proofErr w:type="spellStart"/>
      <w:r w:rsidRPr="00646665">
        <w:rPr>
          <w:rFonts w:ascii="Cambria" w:hAnsi="Cambria"/>
          <w:sz w:val="20"/>
          <w:szCs w:val="20"/>
        </w:rPr>
        <w:t>Adelmo</w:t>
      </w:r>
      <w:proofErr w:type="spellEnd"/>
      <w:r w:rsidRPr="00646665">
        <w:rPr>
          <w:rFonts w:ascii="Cambria" w:hAnsi="Cambria"/>
          <w:sz w:val="20"/>
          <w:szCs w:val="20"/>
        </w:rPr>
        <w:t xml:space="preserve"> </w:t>
      </w:r>
      <w:proofErr w:type="spellStart"/>
      <w:r w:rsidRPr="00646665">
        <w:rPr>
          <w:rFonts w:ascii="Cambria" w:hAnsi="Cambria"/>
          <w:sz w:val="20"/>
          <w:szCs w:val="20"/>
        </w:rPr>
        <w:t>Vitonas</w:t>
      </w:r>
      <w:proofErr w:type="spellEnd"/>
      <w:r w:rsidRPr="00646665">
        <w:rPr>
          <w:rFonts w:ascii="Cambria" w:hAnsi="Cambria"/>
          <w:sz w:val="20"/>
          <w:szCs w:val="20"/>
        </w:rPr>
        <w:t xml:space="preserve"> </w:t>
      </w:r>
      <w:proofErr w:type="spellStart"/>
      <w:r w:rsidRPr="00646665">
        <w:rPr>
          <w:rFonts w:ascii="Cambria" w:hAnsi="Cambria"/>
          <w:sz w:val="20"/>
          <w:szCs w:val="20"/>
        </w:rPr>
        <w:t>Chilhueso</w:t>
      </w:r>
      <w:proofErr w:type="spellEnd"/>
      <w:r w:rsidRPr="00646665">
        <w:rPr>
          <w:rFonts w:ascii="Cambria" w:hAnsi="Cambria"/>
          <w:sz w:val="20"/>
          <w:szCs w:val="20"/>
        </w:rPr>
        <w:t xml:space="preserve"> and </w:t>
      </w:r>
      <w:r w:rsidR="00954DF2">
        <w:rPr>
          <w:rFonts w:ascii="Cambria" w:hAnsi="Cambria"/>
          <w:sz w:val="20"/>
          <w:szCs w:val="20"/>
        </w:rPr>
        <w:t>youth</w:t>
      </w:r>
      <w:r w:rsidRPr="00646665">
        <w:rPr>
          <w:rFonts w:ascii="Cambria" w:hAnsi="Cambria"/>
          <w:sz w:val="20"/>
          <w:szCs w:val="20"/>
        </w:rPr>
        <w:t xml:space="preserve"> </w:t>
      </w:r>
      <w:proofErr w:type="spellStart"/>
      <w:r w:rsidRPr="00646665">
        <w:rPr>
          <w:rFonts w:ascii="Cambria" w:hAnsi="Cambria"/>
          <w:sz w:val="20"/>
          <w:szCs w:val="20"/>
        </w:rPr>
        <w:t>Benilda</w:t>
      </w:r>
      <w:proofErr w:type="spellEnd"/>
      <w:r w:rsidRPr="00646665">
        <w:rPr>
          <w:rFonts w:ascii="Cambria" w:hAnsi="Cambria"/>
          <w:sz w:val="20"/>
          <w:szCs w:val="20"/>
        </w:rPr>
        <w:t xml:space="preserve"> Ley </w:t>
      </w:r>
      <w:proofErr w:type="spellStart"/>
      <w:r w:rsidRPr="00646665">
        <w:rPr>
          <w:rFonts w:ascii="Cambria" w:hAnsi="Cambria"/>
          <w:sz w:val="20"/>
          <w:szCs w:val="20"/>
        </w:rPr>
        <w:t>Dagua</w:t>
      </w:r>
      <w:proofErr w:type="spellEnd"/>
      <w:r w:rsidRPr="00646665">
        <w:rPr>
          <w:rFonts w:ascii="Cambria" w:hAnsi="Cambria"/>
          <w:sz w:val="20"/>
          <w:szCs w:val="20"/>
        </w:rPr>
        <w:t xml:space="preserve">. However, the </w:t>
      </w:r>
      <w:r>
        <w:rPr>
          <w:rFonts w:ascii="Cambria" w:hAnsi="Cambria"/>
          <w:sz w:val="20"/>
          <w:szCs w:val="20"/>
        </w:rPr>
        <w:t>next of kin</w:t>
      </w:r>
      <w:r w:rsidRPr="00646665">
        <w:rPr>
          <w:rFonts w:ascii="Cambria" w:hAnsi="Cambria"/>
          <w:sz w:val="20"/>
          <w:szCs w:val="20"/>
        </w:rPr>
        <w:t xml:space="preserve"> of the alleged victims were not recognized in the proceedings carried out within the framework of Law 975 of 2005. In addition, the Commission notes that, in petition 467-14, none of the proceedings carried out before the ordinary </w:t>
      </w:r>
      <w:r>
        <w:rPr>
          <w:rFonts w:ascii="Cambria" w:hAnsi="Cambria"/>
          <w:sz w:val="20"/>
          <w:szCs w:val="20"/>
        </w:rPr>
        <w:t>courts</w:t>
      </w:r>
      <w:r w:rsidRPr="00646665">
        <w:rPr>
          <w:rFonts w:ascii="Cambria" w:hAnsi="Cambria"/>
          <w:sz w:val="20"/>
          <w:szCs w:val="20"/>
        </w:rPr>
        <w:t xml:space="preserve"> has </w:t>
      </w:r>
      <w:r>
        <w:rPr>
          <w:rFonts w:ascii="Cambria" w:hAnsi="Cambria"/>
          <w:sz w:val="20"/>
          <w:szCs w:val="20"/>
        </w:rPr>
        <w:t>resulted in</w:t>
      </w:r>
      <w:r w:rsidRPr="00646665">
        <w:rPr>
          <w:rFonts w:ascii="Cambria" w:hAnsi="Cambria"/>
          <w:sz w:val="20"/>
          <w:szCs w:val="20"/>
        </w:rPr>
        <w:t xml:space="preserve"> a conviction or sanction against the alleged perpetrators, and that none of the alleged victims had received a comprehensive reparation for these </w:t>
      </w:r>
      <w:r>
        <w:rPr>
          <w:rFonts w:ascii="Cambria" w:hAnsi="Cambria"/>
          <w:sz w:val="20"/>
          <w:szCs w:val="20"/>
        </w:rPr>
        <w:t>facts.</w:t>
      </w:r>
      <w:r w:rsidRPr="00646665">
        <w:rPr>
          <w:rFonts w:ascii="Cambria" w:hAnsi="Cambria"/>
          <w:sz w:val="20"/>
          <w:szCs w:val="20"/>
        </w:rPr>
        <w:t xml:space="preserve"> </w:t>
      </w:r>
    </w:p>
    <w:p w14:paraId="0D058643" w14:textId="31C68931" w:rsidR="00CA4832" w:rsidRPr="00646665" w:rsidRDefault="00CA4832" w:rsidP="00CA4832">
      <w:pPr>
        <w:spacing w:before="240" w:after="240"/>
        <w:ind w:firstLine="720"/>
        <w:jc w:val="both"/>
        <w:rPr>
          <w:rFonts w:ascii="Cambria" w:hAnsi="Cambria" w:cs="Calibri"/>
          <w:sz w:val="20"/>
          <w:szCs w:val="20"/>
        </w:rPr>
      </w:pPr>
      <w:r w:rsidRPr="00646665">
        <w:rPr>
          <w:rFonts w:ascii="Cambria" w:hAnsi="Cambria"/>
          <w:sz w:val="20"/>
          <w:szCs w:val="20"/>
        </w:rPr>
        <w:t>39.</w:t>
      </w:r>
      <w:r w:rsidRPr="00646665">
        <w:rPr>
          <w:rFonts w:ascii="Cambria" w:hAnsi="Cambria"/>
          <w:sz w:val="20"/>
          <w:szCs w:val="20"/>
        </w:rPr>
        <w:tab/>
        <w:t>In view of the foregoing, the IACHR concludes, as it has done in previous cases</w:t>
      </w:r>
      <w:r w:rsidRPr="00646665">
        <w:rPr>
          <w:rStyle w:val="FootnoteReference"/>
          <w:rFonts w:ascii="Cambria" w:hAnsi="Cambria"/>
          <w:sz w:val="20"/>
          <w:szCs w:val="20"/>
        </w:rPr>
        <w:footnoteReference w:id="6"/>
      </w:r>
      <w:r w:rsidRPr="00646665">
        <w:rPr>
          <w:rFonts w:ascii="Cambria" w:hAnsi="Cambria"/>
          <w:sz w:val="20"/>
          <w:szCs w:val="20"/>
        </w:rPr>
        <w:t xml:space="preserve"> in which situations of partial impunity have been alleged, that the exception to the requirement of prior exhaustion of domestic remedies established in Article 46.2.c</w:t>
      </w:r>
      <w:r w:rsidR="00C2700B">
        <w:rPr>
          <w:rFonts w:ascii="Cambria" w:hAnsi="Cambria"/>
          <w:sz w:val="20"/>
          <w:szCs w:val="20"/>
        </w:rPr>
        <w:t>)</w:t>
      </w:r>
      <w:r w:rsidRPr="00646665">
        <w:rPr>
          <w:rFonts w:ascii="Cambria" w:hAnsi="Cambria"/>
          <w:sz w:val="20"/>
          <w:szCs w:val="20"/>
        </w:rPr>
        <w:t xml:space="preserve"> of the American Convention applies to the instant case since the </w:t>
      </w:r>
      <w:r>
        <w:rPr>
          <w:rFonts w:ascii="Cambria" w:hAnsi="Cambria"/>
          <w:sz w:val="20"/>
          <w:szCs w:val="20"/>
        </w:rPr>
        <w:t>fact</w:t>
      </w:r>
      <w:r w:rsidRPr="00646665">
        <w:rPr>
          <w:rFonts w:ascii="Cambria" w:hAnsi="Cambria"/>
          <w:sz w:val="20"/>
          <w:szCs w:val="20"/>
        </w:rPr>
        <w:t>s happened almost 20 years ago</w:t>
      </w:r>
      <w:r>
        <w:rPr>
          <w:rFonts w:ascii="Cambria" w:hAnsi="Cambria"/>
          <w:sz w:val="20"/>
          <w:szCs w:val="20"/>
        </w:rPr>
        <w:t>,</w:t>
      </w:r>
      <w:r w:rsidRPr="00646665">
        <w:rPr>
          <w:rFonts w:ascii="Cambria" w:hAnsi="Cambria"/>
          <w:sz w:val="20"/>
          <w:szCs w:val="20"/>
        </w:rPr>
        <w:t xml:space="preserve"> and only two persons have been </w:t>
      </w:r>
      <w:r>
        <w:rPr>
          <w:rFonts w:ascii="Cambria" w:hAnsi="Cambria"/>
          <w:sz w:val="20"/>
          <w:szCs w:val="20"/>
        </w:rPr>
        <w:t>punished</w:t>
      </w:r>
      <w:r w:rsidRPr="00646665">
        <w:rPr>
          <w:rFonts w:ascii="Cambria" w:hAnsi="Cambria"/>
          <w:sz w:val="20"/>
          <w:szCs w:val="20"/>
        </w:rPr>
        <w:t xml:space="preserve"> for the facts alleged in petition 465-15, which affected 15 persons directly and their family members indirectly. The facts alleged in petition 467-14 affected 15 different persons directly and their family members indirectly. </w:t>
      </w:r>
    </w:p>
    <w:p w14:paraId="27FC787B" w14:textId="77777777" w:rsidR="00CA4832" w:rsidRPr="00646665" w:rsidRDefault="00CA4832" w:rsidP="00CA4832">
      <w:pPr>
        <w:spacing w:before="240" w:after="240"/>
        <w:jc w:val="both"/>
        <w:rPr>
          <w:rFonts w:ascii="Cambria" w:hAnsi="Cambria" w:cs="Calibri"/>
          <w:sz w:val="20"/>
          <w:szCs w:val="20"/>
        </w:rPr>
      </w:pPr>
      <w:r w:rsidRPr="00646665">
        <w:rPr>
          <w:rFonts w:ascii="Cambria" w:hAnsi="Cambria"/>
          <w:sz w:val="20"/>
          <w:szCs w:val="20"/>
        </w:rPr>
        <w:tab/>
        <w:t>40.</w:t>
      </w:r>
      <w:r w:rsidRPr="00646665">
        <w:rPr>
          <w:rFonts w:ascii="Cambria" w:hAnsi="Cambria"/>
          <w:sz w:val="20"/>
          <w:szCs w:val="20"/>
        </w:rPr>
        <w:tab/>
        <w:t>In addition, the petitions were filed on March 24, 2014, and March 27, 2014, respectively. Therefore, considering the specific circumstances alleged in these petitions</w:t>
      </w:r>
      <w:proofErr w:type="gramStart"/>
      <w:r w:rsidRPr="00646665">
        <w:rPr>
          <w:rFonts w:ascii="Cambria" w:hAnsi="Cambria"/>
          <w:sz w:val="20"/>
          <w:szCs w:val="20"/>
        </w:rPr>
        <w:t>, in particular, the</w:t>
      </w:r>
      <w:proofErr w:type="gramEnd"/>
      <w:r w:rsidRPr="00646665">
        <w:rPr>
          <w:rFonts w:ascii="Cambria" w:hAnsi="Cambria"/>
          <w:sz w:val="20"/>
          <w:szCs w:val="20"/>
        </w:rPr>
        <w:t xml:space="preserve"> allegations regarding the unwarranted delay in the domestic criminal proceedings, which presumably still continues to the date of this report, the IACHR concludes that the petition was filed within a reasonable period of time, in accordance with Article 46.2 of the American Convention and Article 32.2 of the Rules of Procedure of the </w:t>
      </w:r>
      <w:r>
        <w:rPr>
          <w:rFonts w:ascii="Cambria" w:hAnsi="Cambria"/>
          <w:sz w:val="20"/>
          <w:szCs w:val="20"/>
        </w:rPr>
        <w:t xml:space="preserve">Inter-American </w:t>
      </w:r>
      <w:r w:rsidRPr="00646665">
        <w:rPr>
          <w:rFonts w:ascii="Cambria" w:hAnsi="Cambria"/>
          <w:sz w:val="20"/>
          <w:szCs w:val="20"/>
        </w:rPr>
        <w:t>Commission.</w:t>
      </w:r>
    </w:p>
    <w:p w14:paraId="1BA6CCBE" w14:textId="77777777" w:rsidR="00CA4832" w:rsidRPr="00646665" w:rsidRDefault="00CA4832" w:rsidP="00CA4832">
      <w:pPr>
        <w:pStyle w:val="ListParagraph"/>
        <w:spacing w:before="240" w:after="240"/>
        <w:jc w:val="both"/>
        <w:rPr>
          <w:b/>
          <w:bCs/>
          <w:sz w:val="20"/>
          <w:szCs w:val="20"/>
        </w:rPr>
      </w:pPr>
      <w:r w:rsidRPr="00646665">
        <w:rPr>
          <w:b/>
          <w:sz w:val="20"/>
          <w:szCs w:val="20"/>
        </w:rPr>
        <w:t>VII.</w:t>
      </w:r>
      <w:r w:rsidRPr="00646665">
        <w:rPr>
          <w:b/>
          <w:sz w:val="20"/>
          <w:szCs w:val="20"/>
        </w:rPr>
        <w:tab/>
        <w:t>ANALYSIS OF COLORABLE CLAIM</w:t>
      </w:r>
    </w:p>
    <w:p w14:paraId="6909687E" w14:textId="6EAD4979" w:rsidR="00CA4832" w:rsidRPr="00646665" w:rsidRDefault="00CA4832" w:rsidP="00CA4832">
      <w:pPr>
        <w:spacing w:before="240" w:after="240"/>
        <w:ind w:firstLine="720"/>
        <w:jc w:val="both"/>
        <w:rPr>
          <w:rFonts w:ascii="Cambria" w:hAnsi="Cambria"/>
          <w:sz w:val="20"/>
          <w:szCs w:val="20"/>
        </w:rPr>
      </w:pPr>
      <w:r w:rsidRPr="00646665">
        <w:rPr>
          <w:rFonts w:ascii="Cambria" w:hAnsi="Cambria"/>
          <w:sz w:val="20"/>
          <w:szCs w:val="20"/>
        </w:rPr>
        <w:t xml:space="preserve">41. </w:t>
      </w:r>
      <w:r w:rsidRPr="00646665">
        <w:rPr>
          <w:rFonts w:ascii="Cambria" w:hAnsi="Cambria"/>
          <w:sz w:val="20"/>
          <w:szCs w:val="20"/>
        </w:rPr>
        <w:tab/>
        <w:t xml:space="preserve">The Commission observes that these petitions were filed by the same petitioners, ACIN and COMAC, and that they include events which occurred between 1999 and 2004 in the </w:t>
      </w:r>
      <w:r w:rsidR="00B61893">
        <w:rPr>
          <w:rFonts w:ascii="Cambria" w:hAnsi="Cambria"/>
          <w:sz w:val="20"/>
          <w:szCs w:val="20"/>
        </w:rPr>
        <w:t>n</w:t>
      </w:r>
      <w:r w:rsidRPr="00646665">
        <w:rPr>
          <w:rFonts w:ascii="Cambria" w:hAnsi="Cambria"/>
          <w:sz w:val="20"/>
          <w:szCs w:val="20"/>
        </w:rPr>
        <w:t xml:space="preserve">orthern Cauca area and in the south of the Valle department. Petitioners allege the violation of the rights of 30 members of the Nasa </w:t>
      </w:r>
      <w:r w:rsidRPr="00646665">
        <w:rPr>
          <w:rFonts w:ascii="Cambria" w:hAnsi="Cambria"/>
          <w:sz w:val="20"/>
          <w:szCs w:val="20"/>
        </w:rPr>
        <w:lastRenderedPageBreak/>
        <w:t>indigenous community and peasants of the area</w:t>
      </w:r>
      <w:r>
        <w:rPr>
          <w:rFonts w:ascii="Cambria" w:hAnsi="Cambria"/>
          <w:sz w:val="20"/>
          <w:szCs w:val="20"/>
        </w:rPr>
        <w:t>,</w:t>
      </w:r>
      <w:r w:rsidRPr="00646665">
        <w:rPr>
          <w:rFonts w:ascii="Cambria" w:hAnsi="Cambria"/>
          <w:sz w:val="20"/>
          <w:szCs w:val="20"/>
        </w:rPr>
        <w:t xml:space="preserve"> who were reportedly victims of the crimes of disappearance, murder and injuries committed by members of the </w:t>
      </w:r>
      <w:proofErr w:type="spellStart"/>
      <w:r w:rsidRPr="00646665">
        <w:rPr>
          <w:rFonts w:ascii="Cambria" w:hAnsi="Cambria"/>
          <w:sz w:val="20"/>
          <w:szCs w:val="20"/>
        </w:rPr>
        <w:t>Calima</w:t>
      </w:r>
      <w:proofErr w:type="spellEnd"/>
      <w:r w:rsidRPr="00646665">
        <w:rPr>
          <w:rFonts w:ascii="Cambria" w:hAnsi="Cambria"/>
          <w:sz w:val="20"/>
          <w:szCs w:val="20"/>
        </w:rPr>
        <w:t xml:space="preserve"> </w:t>
      </w:r>
      <w:r>
        <w:rPr>
          <w:rFonts w:ascii="Cambria" w:hAnsi="Cambria"/>
          <w:sz w:val="20"/>
          <w:szCs w:val="20"/>
        </w:rPr>
        <w:t>b</w:t>
      </w:r>
      <w:r w:rsidRPr="00646665">
        <w:rPr>
          <w:rFonts w:ascii="Cambria" w:hAnsi="Cambria"/>
          <w:sz w:val="20"/>
          <w:szCs w:val="20"/>
        </w:rPr>
        <w:t xml:space="preserve">lock of the AUC. </w:t>
      </w:r>
    </w:p>
    <w:p w14:paraId="28FA90F4" w14:textId="77777777" w:rsidR="00CA4832" w:rsidRPr="00646665" w:rsidRDefault="00CA4832" w:rsidP="00CA4832">
      <w:pPr>
        <w:spacing w:before="240" w:after="240"/>
        <w:ind w:firstLine="720"/>
        <w:jc w:val="both"/>
        <w:rPr>
          <w:rFonts w:ascii="Cambria" w:hAnsi="Cambria"/>
          <w:sz w:val="20"/>
          <w:szCs w:val="20"/>
        </w:rPr>
      </w:pPr>
      <w:r w:rsidRPr="00646665">
        <w:rPr>
          <w:rFonts w:ascii="Cambria" w:hAnsi="Cambria"/>
          <w:sz w:val="20"/>
          <w:szCs w:val="20"/>
        </w:rPr>
        <w:t>42.</w:t>
      </w:r>
      <w:r w:rsidRPr="00646665">
        <w:rPr>
          <w:rFonts w:ascii="Cambria" w:hAnsi="Cambria"/>
          <w:sz w:val="20"/>
          <w:szCs w:val="20"/>
        </w:rPr>
        <w:tab/>
        <w:t>As in previous cases</w:t>
      </w:r>
      <w:r>
        <w:rPr>
          <w:rFonts w:ascii="Cambria" w:hAnsi="Cambria"/>
          <w:sz w:val="20"/>
          <w:szCs w:val="20"/>
        </w:rPr>
        <w:t>,</w:t>
      </w:r>
      <w:r w:rsidRPr="00646665">
        <w:rPr>
          <w:rStyle w:val="FootnoteReference"/>
          <w:rFonts w:ascii="Cambria" w:hAnsi="Cambria"/>
          <w:sz w:val="20"/>
          <w:szCs w:val="20"/>
        </w:rPr>
        <w:footnoteReference w:id="7"/>
      </w:r>
      <w:r w:rsidRPr="00646665">
        <w:rPr>
          <w:rFonts w:ascii="Cambria" w:hAnsi="Cambria"/>
          <w:sz w:val="20"/>
          <w:szCs w:val="20"/>
        </w:rPr>
        <w:t xml:space="preserve"> the petitions under study in the instant case mainly refer,</w:t>
      </w:r>
      <w:r>
        <w:rPr>
          <w:rFonts w:ascii="Cambria" w:hAnsi="Cambria"/>
          <w:sz w:val="20"/>
          <w:szCs w:val="20"/>
        </w:rPr>
        <w:t xml:space="preserve"> </w:t>
      </w:r>
      <w:r w:rsidRPr="00646665">
        <w:rPr>
          <w:rFonts w:ascii="Cambria" w:hAnsi="Cambria"/>
          <w:sz w:val="20"/>
          <w:szCs w:val="20"/>
        </w:rPr>
        <w:t xml:space="preserve">besides the alleged violation </w:t>
      </w:r>
      <w:r>
        <w:rPr>
          <w:rFonts w:ascii="Cambria" w:hAnsi="Cambria"/>
          <w:sz w:val="20"/>
          <w:szCs w:val="20"/>
        </w:rPr>
        <w:t>of</w:t>
      </w:r>
      <w:r w:rsidRPr="00646665">
        <w:rPr>
          <w:rFonts w:ascii="Cambria" w:hAnsi="Cambria"/>
          <w:sz w:val="20"/>
          <w:szCs w:val="20"/>
        </w:rPr>
        <w:t xml:space="preserve"> the right to life, to the compliance of the State with its duties to prevent, investigate and punish those responsible, in a context in which the petitioners allege that there is a situation of partial impunity of the perpetrators. During the merits stage, the Commission will consider effectively the investigative actions carried out by the State, which have led to the punishment of some of the perpetrators of the reported </w:t>
      </w:r>
      <w:r>
        <w:rPr>
          <w:rFonts w:ascii="Cambria" w:hAnsi="Cambria"/>
          <w:sz w:val="20"/>
          <w:szCs w:val="20"/>
        </w:rPr>
        <w:t>f</w:t>
      </w:r>
      <w:r w:rsidRPr="00646665">
        <w:rPr>
          <w:rFonts w:ascii="Cambria" w:hAnsi="Cambria"/>
          <w:sz w:val="20"/>
          <w:szCs w:val="20"/>
        </w:rPr>
        <w:t xml:space="preserve">acts, as well as the eventual reparation mechanisms that the Colombian State had already implemented for the alleged victims. The IACHR recognizes the progress that has been made and will consider it during its analysis of the facts alleged in this case. </w:t>
      </w:r>
    </w:p>
    <w:p w14:paraId="2F9798B0" w14:textId="77777777" w:rsidR="00CA4832" w:rsidRPr="00646665" w:rsidRDefault="00CA4832" w:rsidP="00CA4832">
      <w:pPr>
        <w:ind w:firstLine="720"/>
        <w:jc w:val="both"/>
        <w:rPr>
          <w:rFonts w:ascii="Cambria" w:hAnsi="Cambria"/>
          <w:bCs/>
          <w:sz w:val="20"/>
          <w:szCs w:val="20"/>
        </w:rPr>
      </w:pPr>
      <w:r w:rsidRPr="00646665">
        <w:rPr>
          <w:rFonts w:ascii="Cambria" w:hAnsi="Cambria"/>
          <w:sz w:val="20"/>
          <w:szCs w:val="20"/>
        </w:rPr>
        <w:t>43.</w:t>
      </w:r>
      <w:r w:rsidRPr="00646665">
        <w:rPr>
          <w:rFonts w:ascii="Cambria" w:hAnsi="Cambria"/>
          <w:sz w:val="20"/>
          <w:szCs w:val="20"/>
        </w:rPr>
        <w:tab/>
        <w:t>In this regard, the Commission considers that the allegations of the petitioner</w:t>
      </w:r>
      <w:r>
        <w:rPr>
          <w:rFonts w:ascii="Cambria" w:hAnsi="Cambria"/>
          <w:sz w:val="20"/>
          <w:szCs w:val="20"/>
        </w:rPr>
        <w:t>s</w:t>
      </w:r>
      <w:r w:rsidRPr="00646665">
        <w:rPr>
          <w:rFonts w:ascii="Cambria" w:hAnsi="Cambria"/>
          <w:sz w:val="20"/>
          <w:szCs w:val="20"/>
        </w:rPr>
        <w:t xml:space="preserve"> </w:t>
      </w:r>
      <w:r>
        <w:rPr>
          <w:rFonts w:ascii="Cambria" w:hAnsi="Cambria"/>
          <w:sz w:val="20"/>
          <w:szCs w:val="20"/>
        </w:rPr>
        <w:t>must be assessed</w:t>
      </w:r>
      <w:r w:rsidRPr="00646665">
        <w:rPr>
          <w:rFonts w:ascii="Cambria" w:hAnsi="Cambria"/>
          <w:sz w:val="20"/>
          <w:szCs w:val="20"/>
        </w:rPr>
        <w:t xml:space="preserve"> on the merits in </w:t>
      </w:r>
      <w:r>
        <w:rPr>
          <w:rFonts w:ascii="Cambria" w:hAnsi="Cambria"/>
          <w:sz w:val="20"/>
          <w:szCs w:val="20"/>
        </w:rPr>
        <w:t>relation to</w:t>
      </w:r>
      <w:r w:rsidRPr="00646665">
        <w:rPr>
          <w:rFonts w:ascii="Cambria" w:hAnsi="Cambria"/>
          <w:sz w:val="20"/>
          <w:szCs w:val="20"/>
        </w:rPr>
        <w:t xml:space="preserve"> the rights set out in Articles 3 (right to juridical personality), 4</w:t>
      </w:r>
      <w:r>
        <w:rPr>
          <w:rFonts w:ascii="Cambria" w:hAnsi="Cambria"/>
          <w:sz w:val="20"/>
          <w:szCs w:val="20"/>
        </w:rPr>
        <w:t xml:space="preserve"> </w:t>
      </w:r>
      <w:r w:rsidRPr="00646665">
        <w:rPr>
          <w:rFonts w:ascii="Cambria" w:hAnsi="Cambria"/>
          <w:sz w:val="20"/>
          <w:szCs w:val="20"/>
        </w:rPr>
        <w:t xml:space="preserve">(right to life), 5 (right to humane treatment), 7 (right to personal liberty), 8 (right to a fair trial), 11 (right to privacy), 19 (rights of the child), 22 (freedom of movement and residence) and 25 (right to judicial protection) of the American Convention in relation to Article 1.1 (obligation to respect rights) thereof, to the detriment of the alleged victims identified in this report and of those victims which </w:t>
      </w:r>
      <w:r>
        <w:rPr>
          <w:rFonts w:ascii="Cambria" w:hAnsi="Cambria"/>
          <w:sz w:val="20"/>
          <w:szCs w:val="20"/>
        </w:rPr>
        <w:t>are to be</w:t>
      </w:r>
      <w:r w:rsidRPr="00646665">
        <w:rPr>
          <w:rFonts w:ascii="Cambria" w:hAnsi="Cambria"/>
          <w:sz w:val="20"/>
          <w:szCs w:val="20"/>
        </w:rPr>
        <w:t xml:space="preserve"> identified during the merits stage of this case. </w:t>
      </w:r>
    </w:p>
    <w:p w14:paraId="65C96CAE" w14:textId="77777777" w:rsidR="00CA4832" w:rsidRPr="00646665" w:rsidRDefault="00CA4832" w:rsidP="00CA4832">
      <w:pPr>
        <w:ind w:firstLine="720"/>
        <w:jc w:val="both"/>
        <w:rPr>
          <w:rFonts w:ascii="Cambria" w:hAnsi="Cambria"/>
          <w:bCs/>
          <w:sz w:val="20"/>
          <w:szCs w:val="20"/>
        </w:rPr>
      </w:pPr>
    </w:p>
    <w:p w14:paraId="7B5B39C1" w14:textId="77777777" w:rsidR="00CA4832" w:rsidRPr="00646665" w:rsidRDefault="00CA4832" w:rsidP="00CA4832">
      <w:pPr>
        <w:ind w:firstLine="720"/>
        <w:jc w:val="both"/>
        <w:rPr>
          <w:rFonts w:ascii="Cambria" w:hAnsi="Cambria"/>
          <w:bCs/>
          <w:sz w:val="20"/>
          <w:szCs w:val="20"/>
        </w:rPr>
      </w:pPr>
      <w:r w:rsidRPr="00646665">
        <w:rPr>
          <w:rFonts w:ascii="Cambria" w:hAnsi="Cambria"/>
          <w:sz w:val="20"/>
          <w:szCs w:val="20"/>
        </w:rPr>
        <w:t>44.</w:t>
      </w:r>
      <w:r w:rsidRPr="00646665">
        <w:rPr>
          <w:rFonts w:ascii="Cambria" w:hAnsi="Cambria"/>
          <w:sz w:val="20"/>
          <w:szCs w:val="20"/>
        </w:rPr>
        <w:tab/>
      </w:r>
      <w:proofErr w:type="gramStart"/>
      <w:r w:rsidRPr="00646665">
        <w:rPr>
          <w:rFonts w:ascii="Cambria" w:hAnsi="Cambria"/>
          <w:sz w:val="20"/>
          <w:szCs w:val="20"/>
        </w:rPr>
        <w:t>With regard to</w:t>
      </w:r>
      <w:proofErr w:type="gramEnd"/>
      <w:r w:rsidRPr="00646665">
        <w:rPr>
          <w:rFonts w:ascii="Cambria" w:hAnsi="Cambria"/>
          <w:sz w:val="20"/>
          <w:szCs w:val="20"/>
        </w:rPr>
        <w:t xml:space="preserve"> the "fourth instance" allegations, the Commission ratifies that, for purposes of admissibility, it must decide whether the facts alleged could characterize a violation of rights, according to the provisions of Article 47</w:t>
      </w:r>
      <w:r>
        <w:rPr>
          <w:rFonts w:ascii="Cambria" w:hAnsi="Cambria"/>
          <w:sz w:val="20"/>
          <w:szCs w:val="20"/>
        </w:rPr>
        <w:t>.</w:t>
      </w:r>
      <w:r w:rsidRPr="00646665">
        <w:rPr>
          <w:rFonts w:ascii="Cambria" w:hAnsi="Cambria"/>
          <w:sz w:val="20"/>
          <w:szCs w:val="20"/>
        </w:rPr>
        <w:t xml:space="preserve">b) of the American Convention, or whether the petition is </w:t>
      </w:r>
      <w:r w:rsidRPr="00646665">
        <w:rPr>
          <w:rFonts w:ascii="Cambria" w:hAnsi="Cambria" w:cs="Cambria"/>
          <w:sz w:val="20"/>
          <w:szCs w:val="20"/>
          <w:cs/>
        </w:rPr>
        <w:t>“</w:t>
      </w:r>
      <w:r w:rsidRPr="00646665">
        <w:rPr>
          <w:rFonts w:ascii="Cambria" w:hAnsi="Cambria"/>
          <w:sz w:val="20"/>
          <w:szCs w:val="20"/>
        </w:rPr>
        <w:t>manifestly groundless</w:t>
      </w:r>
      <w:r w:rsidRPr="00646665">
        <w:rPr>
          <w:rFonts w:ascii="Cambria" w:hAnsi="Cambria" w:cs="Cambria"/>
          <w:sz w:val="20"/>
          <w:szCs w:val="20"/>
          <w:cs/>
        </w:rPr>
        <w:t xml:space="preserve">” </w:t>
      </w:r>
      <w:r w:rsidRPr="00646665">
        <w:rPr>
          <w:rFonts w:ascii="Cambria" w:hAnsi="Cambria"/>
          <w:sz w:val="20"/>
          <w:szCs w:val="20"/>
        </w:rPr>
        <w:t xml:space="preserve">or </w:t>
      </w:r>
      <w:r w:rsidRPr="00646665">
        <w:rPr>
          <w:rFonts w:ascii="Cambria" w:hAnsi="Cambria" w:cs="Cambria"/>
          <w:sz w:val="20"/>
          <w:szCs w:val="20"/>
          <w:cs/>
        </w:rPr>
        <w:t>“</w:t>
      </w:r>
      <w:r w:rsidRPr="00646665">
        <w:rPr>
          <w:rFonts w:ascii="Cambria" w:hAnsi="Cambria"/>
          <w:sz w:val="20"/>
          <w:szCs w:val="20"/>
        </w:rPr>
        <w:t>obviously out of order,</w:t>
      </w:r>
      <w:r w:rsidRPr="00646665">
        <w:rPr>
          <w:rFonts w:ascii="Cambria" w:hAnsi="Cambria" w:cs="Cambria"/>
          <w:sz w:val="20"/>
          <w:szCs w:val="20"/>
          <w:cs/>
        </w:rPr>
        <w:t xml:space="preserve">” </w:t>
      </w:r>
      <w:r w:rsidRPr="00646665">
        <w:rPr>
          <w:rFonts w:ascii="Cambria" w:hAnsi="Cambria"/>
          <w:sz w:val="20"/>
          <w:szCs w:val="20"/>
        </w:rPr>
        <w:t xml:space="preserve">pursuant to subparagraph (c) of </w:t>
      </w:r>
      <w:r>
        <w:rPr>
          <w:rFonts w:ascii="Cambria" w:hAnsi="Cambria"/>
          <w:sz w:val="20"/>
          <w:szCs w:val="20"/>
        </w:rPr>
        <w:t>said</w:t>
      </w:r>
      <w:r w:rsidRPr="00646665">
        <w:rPr>
          <w:rFonts w:ascii="Cambria" w:hAnsi="Cambria"/>
          <w:sz w:val="20"/>
          <w:szCs w:val="20"/>
        </w:rPr>
        <w:t xml:space="preserve"> article. The standard of appraisal of these extremes is different from the required to decide on the merits of a claim. Likewise, within the scope of its mandate</w:t>
      </w:r>
      <w:r>
        <w:rPr>
          <w:rFonts w:ascii="Cambria" w:hAnsi="Cambria"/>
          <w:sz w:val="20"/>
          <w:szCs w:val="20"/>
        </w:rPr>
        <w:t>,</w:t>
      </w:r>
      <w:r w:rsidRPr="00646665">
        <w:rPr>
          <w:rFonts w:ascii="Cambria" w:hAnsi="Cambria"/>
          <w:sz w:val="20"/>
          <w:szCs w:val="20"/>
        </w:rPr>
        <w:t xml:space="preserve"> the IACHR is competent to declare a petition admissible if it refers to domestic proceedings which may violate rights guaranteed by the American Convention. In other words, pursuant to the </w:t>
      </w:r>
      <w:proofErr w:type="gramStart"/>
      <w:r w:rsidRPr="00646665">
        <w:rPr>
          <w:rFonts w:ascii="Cambria" w:hAnsi="Cambria"/>
          <w:sz w:val="20"/>
          <w:szCs w:val="20"/>
        </w:rPr>
        <w:t>aforementioned rules</w:t>
      </w:r>
      <w:proofErr w:type="gramEnd"/>
      <w:r w:rsidRPr="00646665">
        <w:rPr>
          <w:rFonts w:ascii="Cambria" w:hAnsi="Cambria"/>
          <w:sz w:val="20"/>
          <w:szCs w:val="20"/>
        </w:rPr>
        <w:t xml:space="preserve"> of the Convention and in accordance with Article 34 of the Rules of Procedure, the analysis on admissibility is centered in the verification of such requirements, which refer to the existence of elements that, if proven, could </w:t>
      </w:r>
      <w:r w:rsidRPr="008A6F7D">
        <w:rPr>
          <w:rFonts w:ascii="Cambria" w:hAnsi="Cambria"/>
          <w:i/>
          <w:iCs/>
          <w:sz w:val="20"/>
          <w:szCs w:val="20"/>
        </w:rPr>
        <w:t>prima facie</w:t>
      </w:r>
      <w:r w:rsidRPr="00646665">
        <w:rPr>
          <w:rFonts w:ascii="Cambria" w:hAnsi="Cambria"/>
          <w:sz w:val="20"/>
          <w:szCs w:val="20"/>
        </w:rPr>
        <w:t xml:space="preserve"> lead to determine violations of the American Convention.</w:t>
      </w:r>
    </w:p>
    <w:p w14:paraId="75C3AC8D" w14:textId="77777777" w:rsidR="00CA4832" w:rsidRPr="00072365" w:rsidRDefault="00CA4832" w:rsidP="00CA4832">
      <w:pPr>
        <w:spacing w:before="240" w:after="240"/>
        <w:ind w:firstLine="720"/>
        <w:jc w:val="both"/>
        <w:rPr>
          <w:rFonts w:ascii="Cambria" w:hAnsi="Cambria"/>
          <w:sz w:val="20"/>
          <w:szCs w:val="20"/>
        </w:rPr>
      </w:pPr>
      <w:r>
        <w:rPr>
          <w:rFonts w:ascii="Cambria" w:hAnsi="Cambria"/>
          <w:sz w:val="20"/>
        </w:rPr>
        <w:t>45.</w:t>
      </w:r>
      <w:r>
        <w:rPr>
          <w:rFonts w:ascii="Cambria" w:hAnsi="Cambria"/>
          <w:sz w:val="20"/>
        </w:rPr>
        <w:tab/>
        <w:t>The Commission concludes that it is not competent to declare that the provisions of the International Covenant on Civil and Political Rights have been violated. However, the Commission may take this treaty into consideration as part of its interpretation of the provisions of the American Convention during the merits stage of this case, pursuant to Article 29 of the Convention.</w:t>
      </w:r>
    </w:p>
    <w:p w14:paraId="6EBF9EC5" w14:textId="77777777" w:rsidR="00CA4832" w:rsidRPr="00072365" w:rsidRDefault="00CA4832" w:rsidP="00CA4832">
      <w:pPr>
        <w:pStyle w:val="ListParagraph"/>
        <w:spacing w:before="240" w:after="240"/>
        <w:jc w:val="both"/>
        <w:rPr>
          <w:b/>
          <w:bCs/>
          <w:sz w:val="20"/>
          <w:szCs w:val="20"/>
        </w:rPr>
      </w:pPr>
      <w:r>
        <w:rPr>
          <w:b/>
          <w:sz w:val="20"/>
        </w:rPr>
        <w:t xml:space="preserve">VIII. </w:t>
      </w:r>
      <w:r>
        <w:rPr>
          <w:b/>
          <w:sz w:val="20"/>
        </w:rPr>
        <w:tab/>
        <w:t>DECISION</w:t>
      </w:r>
    </w:p>
    <w:p w14:paraId="483AEE04" w14:textId="77777777" w:rsidR="00CA4832" w:rsidRPr="003100E6" w:rsidRDefault="00CA4832" w:rsidP="00CA48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To declare these petitions admissible in relation to Articles 3, 4, 5, 7, 8, 11, 19, 22 and 25 of the Convention in accordance with Article 1.1 of the same instrument; and</w:t>
      </w:r>
    </w:p>
    <w:p w14:paraId="17C9F270" w14:textId="77777777" w:rsidR="00CA4832" w:rsidRPr="00072365" w:rsidRDefault="00CA4832" w:rsidP="00CA483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rPr>
        <w:t>To notify the parties of this decision; to proceed with the merits of the case; to publish this decision and include it in its Annual Report to the General Assembly of the Organization of American States.</w:t>
      </w:r>
    </w:p>
    <w:p w14:paraId="4751E606" w14:textId="162F6521" w:rsidR="00CA4832" w:rsidRPr="00072365" w:rsidRDefault="00D23B46" w:rsidP="00D23B46">
      <w:pPr>
        <w:pStyle w:val="ListParagraph"/>
        <w:suppressAutoHyphens/>
        <w:ind w:left="0" w:firstLine="720"/>
        <w:jc w:val="both"/>
        <w:rPr>
          <w:b/>
          <w:bCs/>
          <w:sz w:val="20"/>
          <w:szCs w:val="20"/>
        </w:rPr>
      </w:pPr>
      <w:r>
        <w:rPr>
          <w:spacing w:val="-2"/>
          <w:sz w:val="20"/>
        </w:rPr>
        <w:t>A</w:t>
      </w:r>
      <w:r w:rsidRPr="0043395D">
        <w:rPr>
          <w:spacing w:val="-2"/>
          <w:sz w:val="20"/>
        </w:rPr>
        <w:t>pproved by the Inter-American Commission on Human Rights on the</w:t>
      </w:r>
      <w:r>
        <w:rPr>
          <w:spacing w:val="-2"/>
          <w:sz w:val="20"/>
        </w:rPr>
        <w:t xml:space="preserve"> </w:t>
      </w:r>
      <w:r>
        <w:rPr>
          <w:spacing w:val="-2"/>
          <w:sz w:val="20"/>
        </w:rPr>
        <w:t>5</w:t>
      </w:r>
      <w:r w:rsidRPr="00A02258">
        <w:rPr>
          <w:spacing w:val="-2"/>
          <w:sz w:val="20"/>
          <w:vertAlign w:val="superscript"/>
        </w:rPr>
        <w:t>th</w:t>
      </w:r>
      <w:r w:rsidRPr="0043395D">
        <w:rPr>
          <w:spacing w:val="-2"/>
          <w:sz w:val="20"/>
        </w:rPr>
        <w:t xml:space="preserve"> day of the month of </w:t>
      </w:r>
      <w:proofErr w:type="gramStart"/>
      <w:r>
        <w:rPr>
          <w:spacing w:val="-2"/>
          <w:sz w:val="20"/>
        </w:rPr>
        <w:t>October</w:t>
      </w:r>
      <w:r w:rsidRPr="0043395D">
        <w:rPr>
          <w:spacing w:val="-2"/>
          <w:sz w:val="20"/>
        </w:rPr>
        <w:t>,</w:t>
      </w:r>
      <w:proofErr w:type="gramEnd"/>
      <w:r w:rsidRPr="0043395D">
        <w:rPr>
          <w:spacing w:val="-2"/>
          <w:sz w:val="20"/>
        </w:rPr>
        <w:t xml:space="preserve"> 2021. (Signed):  </w:t>
      </w:r>
      <w:r w:rsidRPr="004A7F23">
        <w:rPr>
          <w:sz w:val="20"/>
          <w:szCs w:val="20"/>
        </w:rPr>
        <w:t xml:space="preserve">Antonia Urrejola, President; Julissa Mantilla Falcón, First Vice-President; Flavia </w:t>
      </w:r>
      <w:proofErr w:type="spellStart"/>
      <w:r w:rsidRPr="004A7F23">
        <w:rPr>
          <w:sz w:val="20"/>
          <w:szCs w:val="20"/>
        </w:rPr>
        <w:t>Piovesan</w:t>
      </w:r>
      <w:proofErr w:type="spellEnd"/>
      <w:r w:rsidRPr="004A7F23">
        <w:rPr>
          <w:sz w:val="20"/>
          <w:szCs w:val="20"/>
        </w:rPr>
        <w:t xml:space="preserve">, Second Vice-President; Margarette May Macaulay; Esmeralda E. </w:t>
      </w:r>
      <w:proofErr w:type="spellStart"/>
      <w:r w:rsidRPr="004A7F23">
        <w:rPr>
          <w:sz w:val="20"/>
          <w:szCs w:val="20"/>
        </w:rPr>
        <w:t>Arosemena</w:t>
      </w:r>
      <w:proofErr w:type="spellEnd"/>
      <w:r w:rsidRPr="004A7F23">
        <w:rPr>
          <w:sz w:val="20"/>
          <w:szCs w:val="20"/>
        </w:rPr>
        <w:t xml:space="preserve"> Bernal de </w:t>
      </w:r>
      <w:proofErr w:type="spellStart"/>
      <w:r w:rsidRPr="004A7F23">
        <w:rPr>
          <w:sz w:val="20"/>
          <w:szCs w:val="20"/>
        </w:rPr>
        <w:t>Troitiño</w:t>
      </w:r>
      <w:proofErr w:type="spellEnd"/>
      <w:r w:rsidRPr="004A7F23">
        <w:rPr>
          <w:sz w:val="20"/>
          <w:szCs w:val="20"/>
        </w:rPr>
        <w:t xml:space="preserve">; Joel Hernández García and Edgar </w:t>
      </w:r>
      <w:proofErr w:type="spellStart"/>
      <w:r w:rsidRPr="004A7F23">
        <w:rPr>
          <w:sz w:val="20"/>
          <w:szCs w:val="20"/>
        </w:rPr>
        <w:t>Stuardo</w:t>
      </w:r>
      <w:proofErr w:type="spellEnd"/>
      <w:r w:rsidRPr="004A7F23">
        <w:rPr>
          <w:sz w:val="20"/>
          <w:szCs w:val="20"/>
        </w:rPr>
        <w:t xml:space="preserve"> </w:t>
      </w:r>
      <w:proofErr w:type="spellStart"/>
      <w:r w:rsidRPr="004A7F23">
        <w:rPr>
          <w:sz w:val="20"/>
          <w:szCs w:val="20"/>
        </w:rPr>
        <w:t>Ralón</w:t>
      </w:r>
      <w:proofErr w:type="spellEnd"/>
      <w:r w:rsidRPr="004A7F23">
        <w:rPr>
          <w:sz w:val="20"/>
          <w:szCs w:val="20"/>
        </w:rPr>
        <w:t xml:space="preserve"> Orellana, Members of the Commission.</w:t>
      </w:r>
    </w:p>
    <w:p w14:paraId="2BF2536A" w14:textId="77777777" w:rsidR="00CA4832" w:rsidRPr="00072365" w:rsidRDefault="00CA4832" w:rsidP="00CA4832">
      <w:pPr>
        <w:jc w:val="both"/>
        <w:rPr>
          <w:rFonts w:ascii="Cambria" w:hAnsi="Cambria"/>
          <w:b/>
          <w:bCs/>
          <w:sz w:val="20"/>
          <w:szCs w:val="20"/>
        </w:rPr>
      </w:pPr>
    </w:p>
    <w:p w14:paraId="16EED31C" w14:textId="251F5E72" w:rsidR="00CA4832" w:rsidRPr="00072365" w:rsidRDefault="00CA4832" w:rsidP="00CA4832">
      <w:pPr>
        <w:ind w:firstLine="720"/>
        <w:jc w:val="center"/>
        <w:rPr>
          <w:rFonts w:ascii="Cambria" w:hAnsi="Cambria"/>
          <w:b/>
          <w:bCs/>
          <w:sz w:val="20"/>
          <w:szCs w:val="20"/>
        </w:rPr>
      </w:pPr>
      <w:r>
        <w:rPr>
          <w:rFonts w:ascii="Cambria" w:hAnsi="Cambria"/>
          <w:b/>
          <w:sz w:val="20"/>
        </w:rPr>
        <w:t>VICTIMS OF P-467-14</w:t>
      </w:r>
    </w:p>
    <w:p w14:paraId="63259CC1" w14:textId="77777777" w:rsidR="00CA4832" w:rsidRPr="00072365" w:rsidRDefault="00CA4832" w:rsidP="00CA4832">
      <w:pPr>
        <w:ind w:firstLine="720"/>
        <w:jc w:val="center"/>
        <w:rPr>
          <w:rFonts w:ascii="Cambria" w:hAnsi="Cambria"/>
          <w:b/>
          <w:bCs/>
          <w:sz w:val="20"/>
          <w:szCs w:val="20"/>
        </w:rPr>
      </w:pPr>
    </w:p>
    <w:p w14:paraId="34FB922C" w14:textId="77777777" w:rsidR="00CA4832" w:rsidRPr="00072365" w:rsidRDefault="00CA4832" w:rsidP="00CA4832">
      <w:pPr>
        <w:ind w:firstLine="720"/>
        <w:jc w:val="center"/>
        <w:rPr>
          <w:rFonts w:ascii="Cambria" w:hAnsi="Cambria"/>
          <w:b/>
          <w:bCs/>
          <w:sz w:val="20"/>
          <w:szCs w:val="20"/>
        </w:rPr>
      </w:pPr>
    </w:p>
    <w:p w14:paraId="322377B4" w14:textId="77777777" w:rsidR="00CA4832" w:rsidRPr="00072365" w:rsidRDefault="00CA4832" w:rsidP="00CA4832">
      <w:pPr>
        <w:pStyle w:val="ListParagraph"/>
        <w:numPr>
          <w:ilvl w:val="0"/>
          <w:numId w:val="59"/>
        </w:numPr>
        <w:rPr>
          <w:sz w:val="20"/>
          <w:szCs w:val="20"/>
        </w:rPr>
      </w:pPr>
      <w:proofErr w:type="spellStart"/>
      <w:r>
        <w:rPr>
          <w:sz w:val="20"/>
        </w:rPr>
        <w:t>Libardo</w:t>
      </w:r>
      <w:proofErr w:type="spellEnd"/>
      <w:r>
        <w:rPr>
          <w:sz w:val="20"/>
        </w:rPr>
        <w:t xml:space="preserve"> </w:t>
      </w:r>
      <w:proofErr w:type="spellStart"/>
      <w:r>
        <w:rPr>
          <w:sz w:val="20"/>
        </w:rPr>
        <w:t>Mes</w:t>
      </w:r>
      <w:proofErr w:type="spellEnd"/>
      <w:r>
        <w:rPr>
          <w:sz w:val="20"/>
        </w:rPr>
        <w:t xml:space="preserve"> Passu</w:t>
      </w:r>
    </w:p>
    <w:p w14:paraId="15B40671" w14:textId="77777777" w:rsidR="00CA4832" w:rsidRPr="00072365" w:rsidRDefault="00CA4832" w:rsidP="00CA4832">
      <w:pPr>
        <w:pStyle w:val="ListParagraph"/>
        <w:numPr>
          <w:ilvl w:val="0"/>
          <w:numId w:val="59"/>
        </w:numPr>
        <w:rPr>
          <w:sz w:val="20"/>
          <w:szCs w:val="20"/>
        </w:rPr>
      </w:pPr>
      <w:r>
        <w:rPr>
          <w:sz w:val="20"/>
        </w:rPr>
        <w:t xml:space="preserve">Fabián Alexis Mendes </w:t>
      </w:r>
      <w:proofErr w:type="spellStart"/>
      <w:r>
        <w:rPr>
          <w:sz w:val="20"/>
        </w:rPr>
        <w:t>Dagua</w:t>
      </w:r>
      <w:proofErr w:type="spellEnd"/>
    </w:p>
    <w:p w14:paraId="3667CC8E" w14:textId="77777777" w:rsidR="00CA4832" w:rsidRPr="00072365" w:rsidRDefault="00CA4832" w:rsidP="00CA4832">
      <w:pPr>
        <w:pStyle w:val="ListParagraph"/>
        <w:numPr>
          <w:ilvl w:val="0"/>
          <w:numId w:val="59"/>
        </w:numPr>
        <w:rPr>
          <w:sz w:val="20"/>
          <w:szCs w:val="20"/>
        </w:rPr>
      </w:pPr>
      <w:proofErr w:type="spellStart"/>
      <w:r>
        <w:rPr>
          <w:sz w:val="20"/>
        </w:rPr>
        <w:t>Saulo</w:t>
      </w:r>
      <w:proofErr w:type="spellEnd"/>
      <w:r>
        <w:rPr>
          <w:sz w:val="20"/>
        </w:rPr>
        <w:t xml:space="preserve"> Mosquera </w:t>
      </w:r>
      <w:proofErr w:type="spellStart"/>
      <w:r>
        <w:rPr>
          <w:sz w:val="20"/>
        </w:rPr>
        <w:t>Fiscue</w:t>
      </w:r>
      <w:proofErr w:type="spellEnd"/>
    </w:p>
    <w:p w14:paraId="471F4392" w14:textId="77777777" w:rsidR="00CA4832" w:rsidRPr="00072365" w:rsidRDefault="00CA4832" w:rsidP="00CA4832">
      <w:pPr>
        <w:pStyle w:val="ListParagraph"/>
        <w:numPr>
          <w:ilvl w:val="0"/>
          <w:numId w:val="59"/>
        </w:numPr>
        <w:rPr>
          <w:sz w:val="20"/>
          <w:szCs w:val="20"/>
        </w:rPr>
      </w:pPr>
      <w:r>
        <w:rPr>
          <w:sz w:val="20"/>
        </w:rPr>
        <w:t xml:space="preserve">Rubén </w:t>
      </w:r>
      <w:proofErr w:type="spellStart"/>
      <w:r>
        <w:rPr>
          <w:sz w:val="20"/>
        </w:rPr>
        <w:t>Ulcue</w:t>
      </w:r>
      <w:proofErr w:type="spellEnd"/>
      <w:r>
        <w:rPr>
          <w:sz w:val="20"/>
        </w:rPr>
        <w:t xml:space="preserve"> Pio</w:t>
      </w:r>
    </w:p>
    <w:p w14:paraId="157005AB" w14:textId="17A6AF1E" w:rsidR="00CA4832" w:rsidRPr="00072365" w:rsidRDefault="00CA4832" w:rsidP="00CA4832">
      <w:pPr>
        <w:pStyle w:val="ListParagraph"/>
        <w:numPr>
          <w:ilvl w:val="0"/>
          <w:numId w:val="59"/>
        </w:numPr>
        <w:rPr>
          <w:sz w:val="20"/>
          <w:szCs w:val="20"/>
        </w:rPr>
      </w:pPr>
      <w:r>
        <w:rPr>
          <w:sz w:val="20"/>
        </w:rPr>
        <w:t xml:space="preserve">Abelardo Campo </w:t>
      </w:r>
      <w:proofErr w:type="spellStart"/>
      <w:r>
        <w:rPr>
          <w:sz w:val="20"/>
        </w:rPr>
        <w:t>Casamach</w:t>
      </w:r>
      <w:r w:rsidR="00F17EA9">
        <w:rPr>
          <w:sz w:val="20"/>
        </w:rPr>
        <w:t>í</w:t>
      </w:r>
      <w:r>
        <w:rPr>
          <w:sz w:val="20"/>
        </w:rPr>
        <w:t>n</w:t>
      </w:r>
      <w:proofErr w:type="spellEnd"/>
    </w:p>
    <w:p w14:paraId="05962B7E" w14:textId="320C2C33" w:rsidR="00CA4832" w:rsidRPr="00072365" w:rsidRDefault="00CA4832" w:rsidP="00CA4832">
      <w:pPr>
        <w:pStyle w:val="ListParagraph"/>
        <w:numPr>
          <w:ilvl w:val="0"/>
          <w:numId w:val="59"/>
        </w:numPr>
        <w:rPr>
          <w:sz w:val="20"/>
          <w:szCs w:val="20"/>
        </w:rPr>
      </w:pPr>
      <w:proofErr w:type="spellStart"/>
      <w:r>
        <w:rPr>
          <w:sz w:val="20"/>
        </w:rPr>
        <w:t>Laurentino</w:t>
      </w:r>
      <w:proofErr w:type="spellEnd"/>
      <w:r>
        <w:rPr>
          <w:sz w:val="20"/>
        </w:rPr>
        <w:t xml:space="preserve"> </w:t>
      </w:r>
      <w:proofErr w:type="spellStart"/>
      <w:r>
        <w:rPr>
          <w:sz w:val="20"/>
        </w:rPr>
        <w:t>Casamach</w:t>
      </w:r>
      <w:r w:rsidR="00F17EA9">
        <w:rPr>
          <w:sz w:val="20"/>
        </w:rPr>
        <w:t>í</w:t>
      </w:r>
      <w:r>
        <w:rPr>
          <w:sz w:val="20"/>
        </w:rPr>
        <w:t>n</w:t>
      </w:r>
      <w:proofErr w:type="spellEnd"/>
      <w:r>
        <w:rPr>
          <w:sz w:val="20"/>
        </w:rPr>
        <w:t xml:space="preserve"> </w:t>
      </w:r>
      <w:proofErr w:type="spellStart"/>
      <w:r>
        <w:rPr>
          <w:sz w:val="20"/>
        </w:rPr>
        <w:t>Secue</w:t>
      </w:r>
      <w:proofErr w:type="spellEnd"/>
    </w:p>
    <w:p w14:paraId="6D0F475A" w14:textId="77777777" w:rsidR="00CA4832" w:rsidRPr="00072365" w:rsidRDefault="00CA4832" w:rsidP="00CA4832">
      <w:pPr>
        <w:pStyle w:val="ListParagraph"/>
        <w:numPr>
          <w:ilvl w:val="0"/>
          <w:numId w:val="59"/>
        </w:numPr>
        <w:rPr>
          <w:sz w:val="20"/>
          <w:szCs w:val="20"/>
        </w:rPr>
      </w:pPr>
      <w:r>
        <w:rPr>
          <w:sz w:val="20"/>
        </w:rPr>
        <w:t>Nepomuceno Largo Campo</w:t>
      </w:r>
    </w:p>
    <w:p w14:paraId="7E314BF1" w14:textId="77777777" w:rsidR="00CA4832" w:rsidRPr="00072365" w:rsidRDefault="00CA4832" w:rsidP="00CA4832">
      <w:pPr>
        <w:pStyle w:val="ListParagraph"/>
        <w:numPr>
          <w:ilvl w:val="0"/>
          <w:numId w:val="59"/>
        </w:numPr>
        <w:rPr>
          <w:sz w:val="20"/>
          <w:szCs w:val="20"/>
        </w:rPr>
      </w:pPr>
      <w:r>
        <w:rPr>
          <w:sz w:val="20"/>
        </w:rPr>
        <w:t xml:space="preserve">Luis Alberto Velasco </w:t>
      </w:r>
      <w:proofErr w:type="spellStart"/>
      <w:r>
        <w:rPr>
          <w:sz w:val="20"/>
        </w:rPr>
        <w:t>Conda</w:t>
      </w:r>
      <w:proofErr w:type="spellEnd"/>
    </w:p>
    <w:p w14:paraId="443B4D51" w14:textId="77777777" w:rsidR="00CA4832" w:rsidRPr="00072365" w:rsidRDefault="00CA4832" w:rsidP="00CA4832">
      <w:pPr>
        <w:pStyle w:val="ListParagraph"/>
        <w:numPr>
          <w:ilvl w:val="0"/>
          <w:numId w:val="59"/>
        </w:numPr>
        <w:rPr>
          <w:sz w:val="20"/>
          <w:szCs w:val="20"/>
        </w:rPr>
      </w:pPr>
      <w:r>
        <w:rPr>
          <w:sz w:val="20"/>
        </w:rPr>
        <w:t>Bernardo Rivera Mestizo</w:t>
      </w:r>
    </w:p>
    <w:p w14:paraId="32120481" w14:textId="77777777" w:rsidR="00CA4832" w:rsidRPr="00072365" w:rsidRDefault="00CA4832" w:rsidP="00CA4832">
      <w:pPr>
        <w:pStyle w:val="ListParagraph"/>
        <w:numPr>
          <w:ilvl w:val="0"/>
          <w:numId w:val="59"/>
        </w:numPr>
        <w:rPr>
          <w:sz w:val="20"/>
          <w:szCs w:val="20"/>
        </w:rPr>
      </w:pPr>
      <w:proofErr w:type="spellStart"/>
      <w:r>
        <w:rPr>
          <w:sz w:val="20"/>
        </w:rPr>
        <w:t>Roberney</w:t>
      </w:r>
      <w:proofErr w:type="spellEnd"/>
      <w:r>
        <w:rPr>
          <w:sz w:val="20"/>
        </w:rPr>
        <w:t xml:space="preserve"> Salazar </w:t>
      </w:r>
      <w:proofErr w:type="spellStart"/>
      <w:r>
        <w:rPr>
          <w:sz w:val="20"/>
        </w:rPr>
        <w:t>Lizcano</w:t>
      </w:r>
      <w:proofErr w:type="spellEnd"/>
    </w:p>
    <w:p w14:paraId="784387CD" w14:textId="77777777" w:rsidR="00CA4832" w:rsidRPr="00072365" w:rsidRDefault="00CA4832" w:rsidP="00CA4832">
      <w:pPr>
        <w:pStyle w:val="ListParagraph"/>
        <w:numPr>
          <w:ilvl w:val="0"/>
          <w:numId w:val="59"/>
        </w:numPr>
        <w:rPr>
          <w:sz w:val="20"/>
          <w:szCs w:val="20"/>
        </w:rPr>
      </w:pPr>
      <w:r>
        <w:rPr>
          <w:sz w:val="20"/>
        </w:rPr>
        <w:t xml:space="preserve">Carlos </w:t>
      </w:r>
      <w:proofErr w:type="spellStart"/>
      <w:r>
        <w:rPr>
          <w:sz w:val="20"/>
        </w:rPr>
        <w:t>Yonda</w:t>
      </w:r>
      <w:proofErr w:type="spellEnd"/>
      <w:r>
        <w:rPr>
          <w:sz w:val="20"/>
        </w:rPr>
        <w:t xml:space="preserve"> </w:t>
      </w:r>
      <w:proofErr w:type="spellStart"/>
      <w:r>
        <w:rPr>
          <w:sz w:val="20"/>
        </w:rPr>
        <w:t>Pinzón</w:t>
      </w:r>
      <w:proofErr w:type="spellEnd"/>
    </w:p>
    <w:p w14:paraId="51BDB37D" w14:textId="77777777" w:rsidR="00CA4832" w:rsidRPr="00072365" w:rsidRDefault="00CA4832" w:rsidP="00CA4832">
      <w:pPr>
        <w:pStyle w:val="ListParagraph"/>
        <w:numPr>
          <w:ilvl w:val="0"/>
          <w:numId w:val="59"/>
        </w:numPr>
        <w:rPr>
          <w:sz w:val="20"/>
          <w:szCs w:val="20"/>
        </w:rPr>
      </w:pPr>
      <w:r>
        <w:rPr>
          <w:sz w:val="20"/>
        </w:rPr>
        <w:t xml:space="preserve">Florinda </w:t>
      </w:r>
      <w:proofErr w:type="spellStart"/>
      <w:r>
        <w:rPr>
          <w:sz w:val="20"/>
        </w:rPr>
        <w:t>Yonda</w:t>
      </w:r>
      <w:proofErr w:type="spellEnd"/>
      <w:r>
        <w:rPr>
          <w:sz w:val="20"/>
        </w:rPr>
        <w:t xml:space="preserve"> </w:t>
      </w:r>
      <w:proofErr w:type="spellStart"/>
      <w:r>
        <w:rPr>
          <w:sz w:val="20"/>
        </w:rPr>
        <w:t>Pinzón</w:t>
      </w:r>
      <w:proofErr w:type="spellEnd"/>
    </w:p>
    <w:p w14:paraId="759BB187" w14:textId="77777777" w:rsidR="00CA4832" w:rsidRPr="00072365" w:rsidRDefault="00CA4832" w:rsidP="00CA4832">
      <w:pPr>
        <w:pStyle w:val="ListParagraph"/>
        <w:numPr>
          <w:ilvl w:val="0"/>
          <w:numId w:val="59"/>
        </w:numPr>
        <w:rPr>
          <w:sz w:val="20"/>
          <w:szCs w:val="20"/>
        </w:rPr>
      </w:pPr>
      <w:r>
        <w:rPr>
          <w:sz w:val="20"/>
        </w:rPr>
        <w:t xml:space="preserve">Martha Inés </w:t>
      </w:r>
      <w:proofErr w:type="spellStart"/>
      <w:r>
        <w:rPr>
          <w:sz w:val="20"/>
        </w:rPr>
        <w:t>Zúñiga</w:t>
      </w:r>
      <w:proofErr w:type="spellEnd"/>
    </w:p>
    <w:p w14:paraId="70F67031" w14:textId="77777777" w:rsidR="00CA4832" w:rsidRPr="00072365" w:rsidRDefault="00CA4832" w:rsidP="00CA4832">
      <w:pPr>
        <w:pStyle w:val="ListParagraph"/>
        <w:numPr>
          <w:ilvl w:val="0"/>
          <w:numId w:val="59"/>
        </w:numPr>
        <w:rPr>
          <w:sz w:val="20"/>
          <w:szCs w:val="20"/>
        </w:rPr>
      </w:pPr>
      <w:proofErr w:type="spellStart"/>
      <w:r>
        <w:rPr>
          <w:sz w:val="20"/>
        </w:rPr>
        <w:t>Einer</w:t>
      </w:r>
      <w:proofErr w:type="spellEnd"/>
      <w:r>
        <w:rPr>
          <w:sz w:val="20"/>
        </w:rPr>
        <w:t xml:space="preserve"> Fernández </w:t>
      </w:r>
      <w:proofErr w:type="spellStart"/>
      <w:r>
        <w:rPr>
          <w:sz w:val="20"/>
        </w:rPr>
        <w:t>Lizcano</w:t>
      </w:r>
      <w:proofErr w:type="spellEnd"/>
      <w:r>
        <w:rPr>
          <w:sz w:val="20"/>
        </w:rPr>
        <w:t xml:space="preserve"> </w:t>
      </w:r>
    </w:p>
    <w:p w14:paraId="393AF439" w14:textId="77777777" w:rsidR="00CA4832" w:rsidRPr="00072365" w:rsidRDefault="00CA4832" w:rsidP="00CA4832">
      <w:pPr>
        <w:pStyle w:val="ListParagraph"/>
        <w:numPr>
          <w:ilvl w:val="0"/>
          <w:numId w:val="59"/>
        </w:numPr>
        <w:rPr>
          <w:sz w:val="20"/>
          <w:szCs w:val="20"/>
        </w:rPr>
      </w:pPr>
      <w:r>
        <w:rPr>
          <w:sz w:val="20"/>
        </w:rPr>
        <w:t xml:space="preserve">Juan Andrés </w:t>
      </w:r>
      <w:proofErr w:type="spellStart"/>
      <w:r>
        <w:rPr>
          <w:sz w:val="20"/>
        </w:rPr>
        <w:t>Rosero</w:t>
      </w:r>
      <w:proofErr w:type="spellEnd"/>
      <w:r>
        <w:rPr>
          <w:sz w:val="20"/>
        </w:rPr>
        <w:t xml:space="preserve"> Salazar</w:t>
      </w:r>
    </w:p>
    <w:p w14:paraId="25B80241" w14:textId="77777777" w:rsidR="00CA4832" w:rsidRPr="00072365" w:rsidRDefault="00CA4832" w:rsidP="00CA4832">
      <w:pPr>
        <w:ind w:firstLine="720"/>
        <w:jc w:val="both"/>
        <w:rPr>
          <w:rFonts w:ascii="Cambria" w:hAnsi="Cambria"/>
          <w:b/>
          <w:bCs/>
          <w:sz w:val="20"/>
          <w:szCs w:val="20"/>
        </w:rPr>
      </w:pPr>
    </w:p>
    <w:p w14:paraId="1F3B3F66" w14:textId="77777777" w:rsidR="00CA4832" w:rsidRPr="00072365" w:rsidRDefault="00CA4832" w:rsidP="00CA4832">
      <w:pPr>
        <w:ind w:firstLine="720"/>
        <w:jc w:val="both"/>
        <w:rPr>
          <w:rFonts w:ascii="Cambria" w:hAnsi="Cambria"/>
          <w:b/>
          <w:bCs/>
          <w:sz w:val="20"/>
          <w:szCs w:val="20"/>
        </w:rPr>
      </w:pPr>
    </w:p>
    <w:p w14:paraId="3EFBDFFB" w14:textId="77777777" w:rsidR="00CA4832" w:rsidRDefault="00CA4832" w:rsidP="00CA4832">
      <w:pPr>
        <w:ind w:firstLine="720"/>
        <w:jc w:val="both"/>
        <w:rPr>
          <w:rFonts w:ascii="Cambria" w:hAnsi="Cambria" w:cs="Calibri"/>
          <w:b/>
          <w:bCs/>
          <w:sz w:val="20"/>
          <w:szCs w:val="20"/>
        </w:rPr>
      </w:pPr>
    </w:p>
    <w:p w14:paraId="5FCC754D" w14:textId="28B071E4" w:rsidR="00CA4832" w:rsidRDefault="00CA4832" w:rsidP="00CA4832">
      <w:pPr>
        <w:ind w:firstLine="720"/>
        <w:jc w:val="center"/>
        <w:rPr>
          <w:rFonts w:ascii="Cambria" w:hAnsi="Cambria"/>
          <w:b/>
          <w:sz w:val="20"/>
          <w:szCs w:val="20"/>
        </w:rPr>
      </w:pPr>
      <w:r>
        <w:rPr>
          <w:rFonts w:ascii="Cambria" w:hAnsi="Cambria"/>
          <w:b/>
          <w:sz w:val="20"/>
        </w:rPr>
        <w:t>VICTIMS OF P-465-14</w:t>
      </w:r>
    </w:p>
    <w:p w14:paraId="41BCF200" w14:textId="77777777" w:rsidR="00CA4832" w:rsidRPr="000A2FBD" w:rsidRDefault="00CA4832" w:rsidP="00CA4832">
      <w:pPr>
        <w:ind w:firstLine="720"/>
        <w:jc w:val="center"/>
        <w:rPr>
          <w:rFonts w:ascii="Cambria" w:hAnsi="Cambria"/>
          <w:sz w:val="20"/>
          <w:szCs w:val="20"/>
        </w:rPr>
      </w:pPr>
    </w:p>
    <w:p w14:paraId="089CBA7A" w14:textId="77777777" w:rsidR="00CA4832" w:rsidRPr="000A2FBD" w:rsidRDefault="00CA4832" w:rsidP="00CA4832">
      <w:pPr>
        <w:ind w:firstLine="720"/>
        <w:jc w:val="center"/>
        <w:rPr>
          <w:rFonts w:ascii="Cambria" w:hAnsi="Cambria"/>
          <w:sz w:val="20"/>
          <w:szCs w:val="20"/>
        </w:rPr>
      </w:pPr>
    </w:p>
    <w:p w14:paraId="7FAA90F1" w14:textId="77777777" w:rsidR="00CA4832" w:rsidRPr="00072365" w:rsidRDefault="00CA4832" w:rsidP="00CA4832">
      <w:pPr>
        <w:pStyle w:val="ListParagraph"/>
        <w:numPr>
          <w:ilvl w:val="0"/>
          <w:numId w:val="61"/>
        </w:numPr>
        <w:rPr>
          <w:sz w:val="20"/>
          <w:szCs w:val="20"/>
        </w:rPr>
      </w:pPr>
      <w:proofErr w:type="spellStart"/>
      <w:r>
        <w:rPr>
          <w:sz w:val="20"/>
        </w:rPr>
        <w:t>Benilda</w:t>
      </w:r>
      <w:proofErr w:type="spellEnd"/>
      <w:r>
        <w:rPr>
          <w:sz w:val="20"/>
        </w:rPr>
        <w:t xml:space="preserve"> Ley </w:t>
      </w:r>
      <w:proofErr w:type="spellStart"/>
      <w:r>
        <w:rPr>
          <w:sz w:val="20"/>
        </w:rPr>
        <w:t>Dagua</w:t>
      </w:r>
      <w:proofErr w:type="spellEnd"/>
    </w:p>
    <w:p w14:paraId="4D875759" w14:textId="77777777" w:rsidR="00CA4832" w:rsidRPr="00072365" w:rsidRDefault="00CA4832" w:rsidP="00CA4832">
      <w:pPr>
        <w:pStyle w:val="ListParagraph"/>
        <w:numPr>
          <w:ilvl w:val="0"/>
          <w:numId w:val="61"/>
        </w:numPr>
        <w:rPr>
          <w:sz w:val="20"/>
          <w:szCs w:val="20"/>
        </w:rPr>
      </w:pPr>
      <w:r>
        <w:rPr>
          <w:sz w:val="20"/>
        </w:rPr>
        <w:t>Marcos Medina Mestizo</w:t>
      </w:r>
    </w:p>
    <w:p w14:paraId="5C2EDD74" w14:textId="77777777" w:rsidR="00CA4832" w:rsidRPr="00072365" w:rsidRDefault="00CA4832" w:rsidP="00CA4832">
      <w:pPr>
        <w:pStyle w:val="ListParagraph"/>
        <w:numPr>
          <w:ilvl w:val="0"/>
          <w:numId w:val="61"/>
        </w:numPr>
        <w:rPr>
          <w:sz w:val="20"/>
          <w:szCs w:val="20"/>
        </w:rPr>
      </w:pPr>
      <w:r>
        <w:rPr>
          <w:sz w:val="20"/>
        </w:rPr>
        <w:t>Frans Indico Pete</w:t>
      </w:r>
    </w:p>
    <w:p w14:paraId="0CF2891B" w14:textId="77777777" w:rsidR="00CA4832" w:rsidRPr="00072365" w:rsidRDefault="00CA4832" w:rsidP="00CA4832">
      <w:pPr>
        <w:pStyle w:val="ListParagraph"/>
        <w:numPr>
          <w:ilvl w:val="0"/>
          <w:numId w:val="61"/>
        </w:numPr>
        <w:rPr>
          <w:sz w:val="20"/>
          <w:szCs w:val="20"/>
        </w:rPr>
      </w:pPr>
      <w:r>
        <w:rPr>
          <w:sz w:val="20"/>
        </w:rPr>
        <w:t>John Edward Osorio Salazar</w:t>
      </w:r>
    </w:p>
    <w:p w14:paraId="4F827BBE" w14:textId="77777777" w:rsidR="00CA4832" w:rsidRPr="00072365" w:rsidRDefault="00CA4832" w:rsidP="00CA4832">
      <w:pPr>
        <w:pStyle w:val="ListParagraph"/>
        <w:numPr>
          <w:ilvl w:val="0"/>
          <w:numId w:val="61"/>
        </w:numPr>
        <w:rPr>
          <w:sz w:val="20"/>
          <w:szCs w:val="20"/>
        </w:rPr>
      </w:pPr>
      <w:r>
        <w:rPr>
          <w:sz w:val="20"/>
        </w:rPr>
        <w:t xml:space="preserve">Julio </w:t>
      </w:r>
      <w:proofErr w:type="spellStart"/>
      <w:r>
        <w:rPr>
          <w:sz w:val="20"/>
        </w:rPr>
        <w:t>Vitonas</w:t>
      </w:r>
      <w:proofErr w:type="spellEnd"/>
      <w:r>
        <w:rPr>
          <w:sz w:val="20"/>
        </w:rPr>
        <w:t xml:space="preserve"> </w:t>
      </w:r>
      <w:proofErr w:type="spellStart"/>
      <w:r>
        <w:rPr>
          <w:sz w:val="20"/>
        </w:rPr>
        <w:t>Chilhueso</w:t>
      </w:r>
      <w:proofErr w:type="spellEnd"/>
    </w:p>
    <w:p w14:paraId="5BD204EF" w14:textId="77777777" w:rsidR="00CA4832" w:rsidRPr="00072365" w:rsidRDefault="00CA4832" w:rsidP="00CA4832">
      <w:pPr>
        <w:pStyle w:val="ListParagraph"/>
        <w:numPr>
          <w:ilvl w:val="0"/>
          <w:numId w:val="61"/>
        </w:numPr>
        <w:rPr>
          <w:sz w:val="20"/>
          <w:szCs w:val="20"/>
        </w:rPr>
      </w:pPr>
      <w:proofErr w:type="spellStart"/>
      <w:r>
        <w:rPr>
          <w:sz w:val="20"/>
        </w:rPr>
        <w:t>Adelmo</w:t>
      </w:r>
      <w:proofErr w:type="spellEnd"/>
      <w:r>
        <w:rPr>
          <w:sz w:val="20"/>
        </w:rPr>
        <w:t xml:space="preserve"> </w:t>
      </w:r>
      <w:proofErr w:type="spellStart"/>
      <w:r>
        <w:rPr>
          <w:sz w:val="20"/>
        </w:rPr>
        <w:t>Vitonas</w:t>
      </w:r>
      <w:proofErr w:type="spellEnd"/>
      <w:r>
        <w:rPr>
          <w:sz w:val="20"/>
        </w:rPr>
        <w:t xml:space="preserve"> </w:t>
      </w:r>
      <w:proofErr w:type="spellStart"/>
      <w:r>
        <w:rPr>
          <w:sz w:val="20"/>
        </w:rPr>
        <w:t>Chilhueso</w:t>
      </w:r>
      <w:proofErr w:type="spellEnd"/>
    </w:p>
    <w:p w14:paraId="231427A8" w14:textId="2B50DF2A" w:rsidR="00CA4832" w:rsidRPr="00072365" w:rsidRDefault="00CA4832" w:rsidP="00CA4832">
      <w:pPr>
        <w:pStyle w:val="ListParagraph"/>
        <w:numPr>
          <w:ilvl w:val="0"/>
          <w:numId w:val="61"/>
        </w:numPr>
        <w:rPr>
          <w:sz w:val="20"/>
          <w:szCs w:val="20"/>
        </w:rPr>
      </w:pPr>
      <w:r>
        <w:rPr>
          <w:sz w:val="20"/>
        </w:rPr>
        <w:t xml:space="preserve">Ernesto </w:t>
      </w:r>
      <w:proofErr w:type="spellStart"/>
      <w:r>
        <w:rPr>
          <w:sz w:val="20"/>
        </w:rPr>
        <w:t>Talaga</w:t>
      </w:r>
      <w:proofErr w:type="spellEnd"/>
    </w:p>
    <w:p w14:paraId="574221E9" w14:textId="77777777" w:rsidR="00CA4832" w:rsidRPr="00072365" w:rsidRDefault="00CA4832" w:rsidP="00CA4832">
      <w:pPr>
        <w:pStyle w:val="ListParagraph"/>
        <w:numPr>
          <w:ilvl w:val="0"/>
          <w:numId w:val="61"/>
        </w:numPr>
        <w:rPr>
          <w:sz w:val="20"/>
          <w:szCs w:val="20"/>
        </w:rPr>
      </w:pPr>
      <w:proofErr w:type="spellStart"/>
      <w:r>
        <w:rPr>
          <w:sz w:val="20"/>
        </w:rPr>
        <w:t>Edilberto</w:t>
      </w:r>
      <w:proofErr w:type="spellEnd"/>
      <w:r>
        <w:rPr>
          <w:sz w:val="20"/>
        </w:rPr>
        <w:t xml:space="preserve"> Sandoval Villamarin</w:t>
      </w:r>
    </w:p>
    <w:p w14:paraId="1F1BC53B" w14:textId="77777777" w:rsidR="00CA4832" w:rsidRPr="00072365" w:rsidRDefault="00CA4832" w:rsidP="00CA4832">
      <w:pPr>
        <w:pStyle w:val="ListParagraph"/>
        <w:numPr>
          <w:ilvl w:val="0"/>
          <w:numId w:val="61"/>
        </w:numPr>
        <w:rPr>
          <w:sz w:val="20"/>
          <w:szCs w:val="20"/>
        </w:rPr>
      </w:pPr>
      <w:proofErr w:type="spellStart"/>
      <w:r>
        <w:rPr>
          <w:sz w:val="20"/>
        </w:rPr>
        <w:t>Eliécer</w:t>
      </w:r>
      <w:proofErr w:type="spellEnd"/>
      <w:r>
        <w:rPr>
          <w:sz w:val="20"/>
        </w:rPr>
        <w:t xml:space="preserve"> Orozco Villamarin</w:t>
      </w:r>
    </w:p>
    <w:p w14:paraId="076A3D42" w14:textId="77777777" w:rsidR="00CA4832" w:rsidRPr="00072365" w:rsidRDefault="00CA4832" w:rsidP="00CA4832">
      <w:pPr>
        <w:pStyle w:val="ListParagraph"/>
        <w:numPr>
          <w:ilvl w:val="0"/>
          <w:numId w:val="61"/>
        </w:numPr>
        <w:rPr>
          <w:sz w:val="20"/>
          <w:szCs w:val="20"/>
        </w:rPr>
      </w:pPr>
      <w:r>
        <w:rPr>
          <w:sz w:val="20"/>
        </w:rPr>
        <w:t xml:space="preserve">Luis Emilio Morales </w:t>
      </w:r>
      <w:proofErr w:type="spellStart"/>
      <w:r>
        <w:rPr>
          <w:sz w:val="20"/>
        </w:rPr>
        <w:t>Alzate</w:t>
      </w:r>
      <w:proofErr w:type="spellEnd"/>
    </w:p>
    <w:p w14:paraId="11BCB1C5" w14:textId="77777777" w:rsidR="00CA4832" w:rsidRPr="00072365" w:rsidRDefault="00CA4832" w:rsidP="00CA4832">
      <w:pPr>
        <w:pStyle w:val="ListParagraph"/>
        <w:numPr>
          <w:ilvl w:val="0"/>
          <w:numId w:val="61"/>
        </w:numPr>
        <w:rPr>
          <w:sz w:val="20"/>
          <w:szCs w:val="20"/>
        </w:rPr>
      </w:pPr>
      <w:proofErr w:type="spellStart"/>
      <w:r>
        <w:rPr>
          <w:sz w:val="20"/>
        </w:rPr>
        <w:t>Sigilfredo</w:t>
      </w:r>
      <w:proofErr w:type="spellEnd"/>
      <w:r>
        <w:rPr>
          <w:sz w:val="20"/>
        </w:rPr>
        <w:t xml:space="preserve"> Rojas Bustamante</w:t>
      </w:r>
    </w:p>
    <w:p w14:paraId="0EFC8D2A" w14:textId="77777777" w:rsidR="00CA4832" w:rsidRPr="00072365" w:rsidRDefault="00CA4832" w:rsidP="00CA4832">
      <w:pPr>
        <w:pStyle w:val="ListParagraph"/>
        <w:numPr>
          <w:ilvl w:val="0"/>
          <w:numId w:val="61"/>
        </w:numPr>
        <w:rPr>
          <w:sz w:val="20"/>
          <w:szCs w:val="20"/>
        </w:rPr>
      </w:pPr>
      <w:r>
        <w:rPr>
          <w:sz w:val="20"/>
        </w:rPr>
        <w:t xml:space="preserve">José William Rojas </w:t>
      </w:r>
      <w:proofErr w:type="spellStart"/>
      <w:r>
        <w:rPr>
          <w:sz w:val="20"/>
        </w:rPr>
        <w:t>Higuita</w:t>
      </w:r>
      <w:proofErr w:type="spellEnd"/>
    </w:p>
    <w:p w14:paraId="09C03963" w14:textId="77777777" w:rsidR="00CA4832" w:rsidRPr="00072365" w:rsidRDefault="00CA4832" w:rsidP="00CA4832">
      <w:pPr>
        <w:pStyle w:val="ListParagraph"/>
        <w:numPr>
          <w:ilvl w:val="0"/>
          <w:numId w:val="61"/>
        </w:numPr>
        <w:rPr>
          <w:sz w:val="20"/>
          <w:szCs w:val="20"/>
        </w:rPr>
      </w:pPr>
      <w:proofErr w:type="spellStart"/>
      <w:r>
        <w:rPr>
          <w:sz w:val="20"/>
        </w:rPr>
        <w:t>Edier</w:t>
      </w:r>
      <w:proofErr w:type="spellEnd"/>
      <w:r>
        <w:rPr>
          <w:sz w:val="20"/>
        </w:rPr>
        <w:t xml:space="preserve"> Alexander Orozco López</w:t>
      </w:r>
    </w:p>
    <w:p w14:paraId="2E663620" w14:textId="77777777" w:rsidR="00CA4832" w:rsidRPr="00072365" w:rsidRDefault="00CA4832" w:rsidP="00CA4832">
      <w:pPr>
        <w:pStyle w:val="ListParagraph"/>
        <w:numPr>
          <w:ilvl w:val="0"/>
          <w:numId w:val="61"/>
        </w:numPr>
        <w:rPr>
          <w:sz w:val="20"/>
          <w:szCs w:val="20"/>
        </w:rPr>
      </w:pPr>
      <w:r>
        <w:rPr>
          <w:sz w:val="20"/>
        </w:rPr>
        <w:t xml:space="preserve">Yenny </w:t>
      </w:r>
      <w:proofErr w:type="spellStart"/>
      <w:r>
        <w:rPr>
          <w:sz w:val="20"/>
        </w:rPr>
        <w:t>Rocío</w:t>
      </w:r>
      <w:proofErr w:type="spellEnd"/>
      <w:r>
        <w:rPr>
          <w:sz w:val="20"/>
        </w:rPr>
        <w:t xml:space="preserve"> López </w:t>
      </w:r>
      <w:proofErr w:type="spellStart"/>
      <w:r>
        <w:rPr>
          <w:sz w:val="20"/>
        </w:rPr>
        <w:t>Ulcue</w:t>
      </w:r>
      <w:proofErr w:type="spellEnd"/>
    </w:p>
    <w:p w14:paraId="22373514" w14:textId="77777777" w:rsidR="00CA4832" w:rsidRPr="00072365" w:rsidRDefault="00CA4832" w:rsidP="00CA4832">
      <w:pPr>
        <w:pStyle w:val="ListParagraph"/>
        <w:numPr>
          <w:ilvl w:val="0"/>
          <w:numId w:val="61"/>
        </w:numPr>
        <w:rPr>
          <w:sz w:val="20"/>
          <w:szCs w:val="20"/>
        </w:rPr>
      </w:pPr>
      <w:r>
        <w:rPr>
          <w:sz w:val="20"/>
        </w:rPr>
        <w:t xml:space="preserve">Claudia Marcela López </w:t>
      </w:r>
      <w:proofErr w:type="spellStart"/>
      <w:r>
        <w:rPr>
          <w:sz w:val="20"/>
        </w:rPr>
        <w:t>Ulcue</w:t>
      </w:r>
      <w:proofErr w:type="spellEnd"/>
    </w:p>
    <w:p w14:paraId="3AFC16BC" w14:textId="77777777" w:rsidR="00CA4832" w:rsidRPr="00F048DE" w:rsidRDefault="00CA4832" w:rsidP="00CA4832">
      <w:pPr>
        <w:ind w:firstLine="720"/>
        <w:jc w:val="both"/>
        <w:rPr>
          <w:rFonts w:ascii="Cambria" w:hAnsi="Cambria" w:cs="Calibri"/>
          <w:b/>
          <w:bCs/>
          <w:sz w:val="20"/>
          <w:szCs w:val="20"/>
        </w:rPr>
      </w:pPr>
    </w:p>
    <w:p w14:paraId="6A613836" w14:textId="77777777" w:rsidR="00CA4832" w:rsidRDefault="00CA4832" w:rsidP="003642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rPr>
      </w:pPr>
    </w:p>
    <w:sectPr w:rsidR="00CA483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C710" w14:textId="77777777" w:rsidR="00A343C4" w:rsidRDefault="00A343C4">
      <w:r>
        <w:separator/>
      </w:r>
    </w:p>
  </w:endnote>
  <w:endnote w:type="continuationSeparator" w:id="0">
    <w:p w14:paraId="5686E3A2" w14:textId="77777777" w:rsidR="00A343C4" w:rsidRDefault="00A3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14DEB0A3"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FE29F5">
          <w:rPr>
            <w:noProof/>
            <w:sz w:val="16"/>
          </w:rPr>
          <w:t>3</w:t>
        </w:r>
        <w:r w:rsidRPr="00934A2C">
          <w:rPr>
            <w:sz w:val="16"/>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E936" w14:textId="77777777" w:rsidR="00A343C4" w:rsidRPr="000F35ED" w:rsidRDefault="00A343C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5904D6" w14:textId="77777777" w:rsidR="00A343C4" w:rsidRPr="000F35ED" w:rsidRDefault="00A343C4" w:rsidP="000F35ED">
      <w:pPr>
        <w:rPr>
          <w:rFonts w:asciiTheme="majorHAnsi" w:hAnsiTheme="majorHAnsi"/>
          <w:sz w:val="16"/>
          <w:szCs w:val="16"/>
        </w:rPr>
      </w:pPr>
      <w:r w:rsidRPr="000F35ED">
        <w:rPr>
          <w:rFonts w:asciiTheme="majorHAnsi" w:hAnsiTheme="majorHAnsi"/>
          <w:sz w:val="16"/>
          <w:szCs w:val="16"/>
        </w:rPr>
        <w:separator/>
      </w:r>
    </w:p>
    <w:p w14:paraId="4E1B4654" w14:textId="77777777" w:rsidR="00A343C4" w:rsidRPr="000F35ED" w:rsidRDefault="00A343C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D5D34B5" w14:textId="77777777" w:rsidR="00A343C4" w:rsidRPr="000F35ED" w:rsidRDefault="00A343C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B67A0CF" w14:textId="7F4BB3BB" w:rsidR="0037669F" w:rsidRPr="002E2AE6" w:rsidRDefault="0037669F" w:rsidP="0037669F">
      <w:pPr>
        <w:pStyle w:val="FootnoteText"/>
        <w:ind w:firstLine="720"/>
        <w:rPr>
          <w:rFonts w:asciiTheme="majorHAnsi" w:hAnsiTheme="majorHAnsi" w:cs="Times New Roman"/>
          <w:sz w:val="16"/>
          <w:szCs w:val="16"/>
        </w:rPr>
      </w:pPr>
      <w:r>
        <w:rPr>
          <w:rStyle w:val="FootnoteReference"/>
          <w:rFonts w:ascii="Times New Roman" w:hAnsi="Times New Roman" w:cs="Times New Roman"/>
          <w:sz w:val="16"/>
          <w:szCs w:val="16"/>
        </w:rPr>
        <w:footnoteRef/>
      </w:r>
      <w:r>
        <w:rPr>
          <w:rFonts w:asciiTheme="majorHAnsi" w:hAnsiTheme="majorHAnsi"/>
        </w:rPr>
        <w:t xml:space="preserve"> </w:t>
      </w:r>
      <w:r w:rsidRPr="00637D0E">
        <w:rPr>
          <w:rFonts w:asciiTheme="majorHAnsi" w:hAnsiTheme="majorHAnsi"/>
          <w:sz w:val="16"/>
          <w:szCs w:val="16"/>
        </w:rPr>
        <w:t>Hereinafter “the American Convention” or “the Convention.”</w:t>
      </w:r>
      <w:r>
        <w:rPr>
          <w:rFonts w:asciiTheme="majorHAnsi" w:hAnsiTheme="majorHAnsi"/>
          <w:sz w:val="16"/>
        </w:rPr>
        <w:t xml:space="preserve"> </w:t>
      </w:r>
    </w:p>
  </w:footnote>
  <w:footnote w:id="3">
    <w:p w14:paraId="01911D9D" w14:textId="77777777" w:rsidR="0037669F" w:rsidRPr="002E2AE6" w:rsidRDefault="0037669F" w:rsidP="0037669F">
      <w:pPr>
        <w:pStyle w:val="FootnoteText"/>
        <w:ind w:firstLine="720"/>
        <w:rPr>
          <w:rFonts w:asciiTheme="majorHAnsi" w:hAnsiTheme="majorHAnsi" w:cs="Times New Roman"/>
          <w:sz w:val="16"/>
          <w:szCs w:val="16"/>
        </w:rPr>
      </w:pPr>
      <w:r>
        <w:rPr>
          <w:rStyle w:val="FootnoteReference"/>
          <w:rFonts w:asciiTheme="majorHAnsi" w:hAnsiTheme="majorHAnsi" w:cs="Times New Roman"/>
          <w:sz w:val="16"/>
          <w:szCs w:val="16"/>
        </w:rPr>
        <w:footnoteRef/>
      </w:r>
      <w:r>
        <w:rPr>
          <w:rFonts w:asciiTheme="majorHAnsi" w:hAnsiTheme="majorHAnsi"/>
          <w:sz w:val="16"/>
        </w:rPr>
        <w:t xml:space="preserve"> International Covenant on Civil and Political Rights, Article 2. </w:t>
      </w:r>
    </w:p>
  </w:footnote>
  <w:footnote w:id="4">
    <w:p w14:paraId="4DB1BB11" w14:textId="77777777" w:rsidR="008E3BFE" w:rsidRPr="002E2AE6" w:rsidRDefault="008E3BFE" w:rsidP="00306F33">
      <w:pPr>
        <w:pStyle w:val="FootnoteText"/>
        <w:ind w:firstLine="720"/>
        <w:jc w:val="both"/>
        <w:rPr>
          <w:rFonts w:asciiTheme="majorHAnsi" w:hAnsiTheme="majorHAnsi" w:cs="Times New Roman"/>
          <w:sz w:val="16"/>
          <w:szCs w:val="16"/>
        </w:rPr>
      </w:pPr>
      <w:r>
        <w:rPr>
          <w:rStyle w:val="FootnoteReference"/>
          <w:rFonts w:asciiTheme="majorHAnsi" w:hAnsiTheme="majorHAnsi" w:cs="Times New Roman"/>
          <w:sz w:val="16"/>
          <w:szCs w:val="16"/>
        </w:rPr>
        <w:footnoteRef/>
      </w:r>
      <w:r>
        <w:rPr>
          <w:rFonts w:asciiTheme="majorHAnsi" w:hAnsiTheme="majorHAnsi"/>
          <w:sz w:val="16"/>
        </w:rPr>
        <w:t xml:space="preserve"> The observations submitted by each party were duly transmitted to the opposing party.</w:t>
      </w:r>
    </w:p>
  </w:footnote>
  <w:footnote w:id="5">
    <w:p w14:paraId="43FFD925" w14:textId="34B597D5" w:rsidR="002E2AE6" w:rsidRPr="002E2AE6" w:rsidRDefault="002E2AE6" w:rsidP="002E2AE6">
      <w:pPr>
        <w:pStyle w:val="FootnoteText"/>
        <w:ind w:firstLine="720"/>
      </w:pPr>
      <w:r>
        <w:rPr>
          <w:rStyle w:val="FootnoteReference"/>
          <w:rFonts w:asciiTheme="majorHAnsi" w:hAnsiTheme="majorHAnsi" w:cs="Times New Roman"/>
          <w:sz w:val="16"/>
          <w:szCs w:val="16"/>
        </w:rPr>
        <w:footnoteRef/>
      </w:r>
      <w:r>
        <w:rPr>
          <w:rFonts w:asciiTheme="majorHAnsi" w:hAnsiTheme="majorHAnsi"/>
          <w:sz w:val="16"/>
        </w:rPr>
        <w:t xml:space="preserve"> Request for a working meeting made on September 26, 2016.</w:t>
      </w:r>
      <w:r>
        <w:t xml:space="preserve"> </w:t>
      </w:r>
    </w:p>
  </w:footnote>
  <w:footnote w:id="6">
    <w:p w14:paraId="7400F54C" w14:textId="77777777" w:rsidR="00CA4832" w:rsidRPr="00055781" w:rsidRDefault="00CA4832" w:rsidP="00CA4832">
      <w:pPr>
        <w:pStyle w:val="FootnoteText"/>
        <w:ind w:firstLine="720"/>
        <w:jc w:val="both"/>
        <w:rPr>
          <w:rFonts w:ascii="Cambria" w:hAnsi="Cambria"/>
          <w:sz w:val="16"/>
          <w:szCs w:val="16"/>
          <w:lang w:val="fr-FR"/>
        </w:rPr>
      </w:pPr>
      <w:r>
        <w:rPr>
          <w:rStyle w:val="FootnoteReference"/>
          <w:rFonts w:ascii="Cambria" w:hAnsi="Cambria"/>
          <w:sz w:val="16"/>
        </w:rPr>
        <w:footnoteRef/>
      </w:r>
      <w:r>
        <w:rPr>
          <w:rFonts w:ascii="Cambria" w:hAnsi="Cambria"/>
          <w:sz w:val="16"/>
        </w:rPr>
        <w:t xml:space="preserve">  IACHR, Report No. 240/20. Petition 399/11. Admissibility. </w:t>
      </w:r>
      <w:r w:rsidRPr="00055781">
        <w:rPr>
          <w:rFonts w:ascii="Cambria" w:hAnsi="Cambria"/>
          <w:sz w:val="16"/>
          <w:lang w:val="fr-FR"/>
        </w:rPr>
        <w:t xml:space="preserve">Over Jose Quila </w:t>
      </w:r>
      <w:r w:rsidRPr="00055781">
        <w:rPr>
          <w:rFonts w:ascii="Cambria" w:hAnsi="Cambria"/>
          <w:i/>
          <w:sz w:val="16"/>
          <w:lang w:val="fr-FR"/>
        </w:rPr>
        <w:t xml:space="preserve">et al. </w:t>
      </w:r>
      <w:r w:rsidRPr="00055781">
        <w:rPr>
          <w:rFonts w:ascii="Cambria" w:hAnsi="Cambria"/>
          <w:sz w:val="16"/>
          <w:lang w:val="fr-FR"/>
        </w:rPr>
        <w:t xml:space="preserve">(La Rejoya Massacre). Colombia. September 6, 2020. </w:t>
      </w:r>
    </w:p>
  </w:footnote>
  <w:footnote w:id="7">
    <w:p w14:paraId="63CF5DFE" w14:textId="77777777" w:rsidR="00CA4832" w:rsidRPr="00072365" w:rsidRDefault="00CA4832" w:rsidP="00CA4832">
      <w:pPr>
        <w:pStyle w:val="FootnoteText"/>
        <w:ind w:firstLine="720"/>
        <w:jc w:val="both"/>
        <w:rPr>
          <w:rFonts w:ascii="Cambria" w:hAnsi="Cambria"/>
          <w:sz w:val="16"/>
          <w:szCs w:val="16"/>
        </w:rPr>
      </w:pPr>
      <w:r>
        <w:rPr>
          <w:rStyle w:val="FootnoteReference"/>
          <w:rFonts w:ascii="Cambria" w:hAnsi="Cambria"/>
          <w:sz w:val="16"/>
        </w:rPr>
        <w:footnoteRef/>
      </w:r>
      <w:r w:rsidRPr="00055781">
        <w:rPr>
          <w:rFonts w:ascii="Cambria" w:hAnsi="Cambria"/>
          <w:sz w:val="16"/>
          <w:lang w:val="fr-FR"/>
        </w:rPr>
        <w:t xml:space="preserve">  IACHR, Report No. 39/18. Petition 196-07. Admissibility. José Ricardo Parra Hurtado, Félix Alberto Páez Suárez and their families. </w:t>
      </w:r>
      <w:r w:rsidRPr="00D23B46">
        <w:rPr>
          <w:rFonts w:ascii="Cambria" w:hAnsi="Cambria"/>
          <w:sz w:val="16"/>
          <w:lang w:val="fr-FR"/>
        </w:rPr>
        <w:t xml:space="preserve">Colombia. May 4, </w:t>
      </w:r>
      <w:proofErr w:type="gramStart"/>
      <w:r w:rsidRPr="00D23B46">
        <w:rPr>
          <w:rFonts w:ascii="Cambria" w:hAnsi="Cambria"/>
          <w:sz w:val="16"/>
          <w:lang w:val="fr-FR"/>
        </w:rPr>
        <w:t>2018;</w:t>
      </w:r>
      <w:proofErr w:type="gramEnd"/>
      <w:r w:rsidRPr="00D23B46">
        <w:rPr>
          <w:rFonts w:ascii="Cambria" w:hAnsi="Cambria"/>
          <w:sz w:val="16"/>
          <w:lang w:val="fr-FR"/>
        </w:rPr>
        <w:t xml:space="preserve"> IACHR, Report No. 61/16. </w:t>
      </w:r>
      <w:r>
        <w:rPr>
          <w:rFonts w:ascii="Cambria" w:hAnsi="Cambria"/>
          <w:sz w:val="16"/>
        </w:rPr>
        <w:t xml:space="preserve">Petition 12,325. Admissibility. Peace Community of San José de Apartadó. Colombia. December 6, 2016. IACHR, Report No. 38/13, Petition 65-04. Admissibility. Jorge Adolfo Freytter Romero </w:t>
      </w:r>
      <w:r>
        <w:rPr>
          <w:rFonts w:ascii="Cambria" w:hAnsi="Cambria"/>
          <w:i/>
          <w:sz w:val="16"/>
        </w:rPr>
        <w:t>et al.</w:t>
      </w:r>
      <w:r>
        <w:rPr>
          <w:rFonts w:ascii="Cambria" w:hAnsi="Cambria"/>
          <w:sz w:val="16"/>
        </w:rPr>
        <w:t xml:space="preserve"> Colombia. July 11, 2013; IACHR, Report No. 35/17, Case 12,713, Merits (published), Jose Rusbel Lara </w:t>
      </w:r>
      <w:r>
        <w:rPr>
          <w:rFonts w:ascii="Cambria" w:hAnsi="Cambria"/>
          <w:i/>
          <w:sz w:val="16"/>
        </w:rPr>
        <w:t>et al</w:t>
      </w:r>
      <w:r>
        <w:rPr>
          <w:rFonts w:ascii="Cambria" w:hAnsi="Cambria"/>
          <w:sz w:val="16"/>
        </w:rPr>
        <w:t>. Colombia. March 21,2017; and IACHR, Report No. 122/21. Petition 482-12. Admissibility. Amparo Figueroa, her family and members of "ANTHOC". Colombia. June 14, 2021.</w:t>
      </w:r>
    </w:p>
    <w:p w14:paraId="2555BD01" w14:textId="77777777" w:rsidR="00CA4832" w:rsidRPr="00316ED0" w:rsidRDefault="00CA4832" w:rsidP="00CA4832">
      <w:pPr>
        <w:pStyle w:val="FootnoteText"/>
        <w:ind w:firstLine="720"/>
      </w:pPr>
    </w:p>
    <w:p w14:paraId="6540A022" w14:textId="77777777" w:rsidR="00CA4832" w:rsidRPr="00316ED0" w:rsidRDefault="00CA4832" w:rsidP="00CA4832">
      <w:pPr>
        <w:pStyle w:val="FootnoteText"/>
        <w:ind w:firstLine="72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8C076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rPr>
      <w:drawing>
        <wp:inline distT="0" distB="0" distL="0" distR="0" wp14:anchorId="091CAAE1" wp14:editId="7017DD34">
          <wp:extent cx="1972237" cy="1020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7" cy="102012"/>
                  </a:xfrm>
                  <a:prstGeom prst="rect">
                    <a:avLst/>
                  </a:prstGeom>
                  <a:noFill/>
                  <a:ln>
                    <a:noFill/>
                  </a:ln>
                </pic:spPr>
              </pic:pic>
            </a:graphicData>
          </a:graphic>
        </wp:inline>
      </w:drawing>
    </w:r>
  </w:p>
  <w:p w14:paraId="2C537792" w14:textId="77777777" w:rsidR="00040C3A" w:rsidRPr="00EC7D62" w:rsidRDefault="00A343C4" w:rsidP="00A50FCF">
    <w:pPr>
      <w:pStyle w:val="Header"/>
      <w:tabs>
        <w:tab w:val="clear" w:pos="4320"/>
        <w:tab w:val="clear" w:pos="8640"/>
      </w:tabs>
      <w:jc w:val="center"/>
      <w:rPr>
        <w:sz w:val="22"/>
        <w:szCs w:val="22"/>
      </w:rPr>
    </w:pPr>
    <w:r>
      <w:rPr>
        <w:noProof/>
        <w:sz w:val="22"/>
        <w:bdr w:val="nil"/>
      </w:rPr>
      <w:pict w14:anchorId="4571EB8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3646E6D"/>
    <w:multiLevelType w:val="hybridMultilevel"/>
    <w:tmpl w:val="541C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86310E"/>
    <w:multiLevelType w:val="hybridMultilevel"/>
    <w:tmpl w:val="5596E4A8"/>
    <w:lvl w:ilvl="0" w:tplc="A282E4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5C5C71"/>
    <w:multiLevelType w:val="hybridMultilevel"/>
    <w:tmpl w:val="6FF80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19"/>
  </w:num>
  <w:num w:numId="5">
    <w:abstractNumId w:val="48"/>
  </w:num>
  <w:num w:numId="6">
    <w:abstractNumId w:val="26"/>
  </w:num>
  <w:num w:numId="7">
    <w:abstractNumId w:val="5"/>
  </w:num>
  <w:num w:numId="8">
    <w:abstractNumId w:val="15"/>
  </w:num>
  <w:num w:numId="9">
    <w:abstractNumId w:val="42"/>
  </w:num>
  <w:num w:numId="10">
    <w:abstractNumId w:val="0"/>
  </w:num>
  <w:num w:numId="11">
    <w:abstractNumId w:val="36"/>
  </w:num>
  <w:num w:numId="12">
    <w:abstractNumId w:val="37"/>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7"/>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8"/>
  </w:num>
  <w:num w:numId="52">
    <w:abstractNumId w:val="40"/>
  </w:num>
  <w:num w:numId="53">
    <w:abstractNumId w:val="52"/>
  </w:num>
  <w:num w:numId="54">
    <w:abstractNumId w:val="46"/>
  </w:num>
  <w:num w:numId="55">
    <w:abstractNumId w:val="44"/>
  </w:num>
  <w:num w:numId="56">
    <w:abstractNumId w:val="25"/>
  </w:num>
  <w:num w:numId="57">
    <w:abstractNumId w:val="23"/>
  </w:num>
  <w:num w:numId="58">
    <w:abstractNumId w:val="35"/>
  </w:num>
  <w:num w:numId="59">
    <w:abstractNumId w:val="41"/>
  </w:num>
  <w:num w:numId="60">
    <w:abstractNumId w:val="51"/>
  </w:num>
  <w:num w:numId="61">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11C"/>
    <w:rsid w:val="0000752E"/>
    <w:rsid w:val="00012C15"/>
    <w:rsid w:val="00012D4D"/>
    <w:rsid w:val="00014572"/>
    <w:rsid w:val="00015E0D"/>
    <w:rsid w:val="00016176"/>
    <w:rsid w:val="000169D0"/>
    <w:rsid w:val="00016E81"/>
    <w:rsid w:val="0001788C"/>
    <w:rsid w:val="00021641"/>
    <w:rsid w:val="00021B68"/>
    <w:rsid w:val="00021EAA"/>
    <w:rsid w:val="00022CEF"/>
    <w:rsid w:val="0002634E"/>
    <w:rsid w:val="000263F8"/>
    <w:rsid w:val="000312EE"/>
    <w:rsid w:val="000337EF"/>
    <w:rsid w:val="000342E7"/>
    <w:rsid w:val="00034D72"/>
    <w:rsid w:val="00037B80"/>
    <w:rsid w:val="00040A4D"/>
    <w:rsid w:val="00040C3A"/>
    <w:rsid w:val="000416C8"/>
    <w:rsid w:val="000419AD"/>
    <w:rsid w:val="000433C9"/>
    <w:rsid w:val="000443F6"/>
    <w:rsid w:val="00045C59"/>
    <w:rsid w:val="00046023"/>
    <w:rsid w:val="00046718"/>
    <w:rsid w:val="00050936"/>
    <w:rsid w:val="0005169E"/>
    <w:rsid w:val="00051810"/>
    <w:rsid w:val="00053517"/>
    <w:rsid w:val="0005505C"/>
    <w:rsid w:val="0005522B"/>
    <w:rsid w:val="0005561C"/>
    <w:rsid w:val="00055781"/>
    <w:rsid w:val="00062311"/>
    <w:rsid w:val="00062E43"/>
    <w:rsid w:val="00063804"/>
    <w:rsid w:val="00067696"/>
    <w:rsid w:val="00070474"/>
    <w:rsid w:val="0007075B"/>
    <w:rsid w:val="00071051"/>
    <w:rsid w:val="00071174"/>
    <w:rsid w:val="000716C5"/>
    <w:rsid w:val="00072234"/>
    <w:rsid w:val="000754FC"/>
    <w:rsid w:val="00075E23"/>
    <w:rsid w:val="0007756B"/>
    <w:rsid w:val="00080C72"/>
    <w:rsid w:val="00080CD8"/>
    <w:rsid w:val="000853EC"/>
    <w:rsid w:val="0008642F"/>
    <w:rsid w:val="00087DE4"/>
    <w:rsid w:val="00091188"/>
    <w:rsid w:val="0009344A"/>
    <w:rsid w:val="00093DF9"/>
    <w:rsid w:val="00094692"/>
    <w:rsid w:val="00094A8E"/>
    <w:rsid w:val="0009525F"/>
    <w:rsid w:val="000979BC"/>
    <w:rsid w:val="000A0123"/>
    <w:rsid w:val="000A03E5"/>
    <w:rsid w:val="000A060B"/>
    <w:rsid w:val="000A1CD7"/>
    <w:rsid w:val="000A23BD"/>
    <w:rsid w:val="000A2A61"/>
    <w:rsid w:val="000A2E89"/>
    <w:rsid w:val="000A2FBD"/>
    <w:rsid w:val="000A35F0"/>
    <w:rsid w:val="000A392E"/>
    <w:rsid w:val="000A4B9E"/>
    <w:rsid w:val="000A575F"/>
    <w:rsid w:val="000A5D0F"/>
    <w:rsid w:val="000B0F46"/>
    <w:rsid w:val="000B1A6D"/>
    <w:rsid w:val="000B26C8"/>
    <w:rsid w:val="000B2A7A"/>
    <w:rsid w:val="000B6D05"/>
    <w:rsid w:val="000B7259"/>
    <w:rsid w:val="000C3950"/>
    <w:rsid w:val="000C3B63"/>
    <w:rsid w:val="000C40BF"/>
    <w:rsid w:val="000C79FA"/>
    <w:rsid w:val="000D05CB"/>
    <w:rsid w:val="000D10DB"/>
    <w:rsid w:val="000D3E7A"/>
    <w:rsid w:val="000D474E"/>
    <w:rsid w:val="000D6CB5"/>
    <w:rsid w:val="000E1463"/>
    <w:rsid w:val="000E1488"/>
    <w:rsid w:val="000E372C"/>
    <w:rsid w:val="000E5EB5"/>
    <w:rsid w:val="000E6197"/>
    <w:rsid w:val="000E657E"/>
    <w:rsid w:val="000F0200"/>
    <w:rsid w:val="000F3188"/>
    <w:rsid w:val="000F35ED"/>
    <w:rsid w:val="000F540B"/>
    <w:rsid w:val="000F57AF"/>
    <w:rsid w:val="00100F46"/>
    <w:rsid w:val="00102352"/>
    <w:rsid w:val="00102DD6"/>
    <w:rsid w:val="0010420B"/>
    <w:rsid w:val="00107131"/>
    <w:rsid w:val="0010736F"/>
    <w:rsid w:val="00112288"/>
    <w:rsid w:val="001123BA"/>
    <w:rsid w:val="00113F73"/>
    <w:rsid w:val="00120AA6"/>
    <w:rsid w:val="00121CC2"/>
    <w:rsid w:val="00122F61"/>
    <w:rsid w:val="001238A4"/>
    <w:rsid w:val="00123C44"/>
    <w:rsid w:val="00123EAD"/>
    <w:rsid w:val="00124361"/>
    <w:rsid w:val="00130DED"/>
    <w:rsid w:val="00130E3E"/>
    <w:rsid w:val="00131425"/>
    <w:rsid w:val="00133EE5"/>
    <w:rsid w:val="00135E1B"/>
    <w:rsid w:val="001414C9"/>
    <w:rsid w:val="0014218D"/>
    <w:rsid w:val="001515CE"/>
    <w:rsid w:val="00153B3C"/>
    <w:rsid w:val="00153CAC"/>
    <w:rsid w:val="0015611C"/>
    <w:rsid w:val="00156374"/>
    <w:rsid w:val="00160F24"/>
    <w:rsid w:val="001616BC"/>
    <w:rsid w:val="00163852"/>
    <w:rsid w:val="00163D50"/>
    <w:rsid w:val="00164DCC"/>
    <w:rsid w:val="00165496"/>
    <w:rsid w:val="00167A34"/>
    <w:rsid w:val="0017160C"/>
    <w:rsid w:val="001738EE"/>
    <w:rsid w:val="00173937"/>
    <w:rsid w:val="0017395B"/>
    <w:rsid w:val="00173BD5"/>
    <w:rsid w:val="0017667D"/>
    <w:rsid w:val="0017784B"/>
    <w:rsid w:val="00177D97"/>
    <w:rsid w:val="00177E2C"/>
    <w:rsid w:val="00180270"/>
    <w:rsid w:val="00180552"/>
    <w:rsid w:val="0018081B"/>
    <w:rsid w:val="0018112C"/>
    <w:rsid w:val="001838C1"/>
    <w:rsid w:val="0018556B"/>
    <w:rsid w:val="00187C87"/>
    <w:rsid w:val="00195B08"/>
    <w:rsid w:val="001A01FA"/>
    <w:rsid w:val="001A520D"/>
    <w:rsid w:val="001A6895"/>
    <w:rsid w:val="001A7870"/>
    <w:rsid w:val="001B1EBE"/>
    <w:rsid w:val="001B3614"/>
    <w:rsid w:val="001B3A00"/>
    <w:rsid w:val="001B4800"/>
    <w:rsid w:val="001B6EA9"/>
    <w:rsid w:val="001C1B41"/>
    <w:rsid w:val="001C5FA8"/>
    <w:rsid w:val="001C6D3D"/>
    <w:rsid w:val="001D4E1B"/>
    <w:rsid w:val="001D65EF"/>
    <w:rsid w:val="001E08D5"/>
    <w:rsid w:val="001E0BCC"/>
    <w:rsid w:val="001E243E"/>
    <w:rsid w:val="001E43E9"/>
    <w:rsid w:val="001E49E7"/>
    <w:rsid w:val="001E55FB"/>
    <w:rsid w:val="001F04DA"/>
    <w:rsid w:val="001F32D7"/>
    <w:rsid w:val="001F5C18"/>
    <w:rsid w:val="001F6BAE"/>
    <w:rsid w:val="001F7201"/>
    <w:rsid w:val="001F770B"/>
    <w:rsid w:val="00200CC5"/>
    <w:rsid w:val="0020156B"/>
    <w:rsid w:val="00202868"/>
    <w:rsid w:val="00203A19"/>
    <w:rsid w:val="00203C59"/>
    <w:rsid w:val="00204A61"/>
    <w:rsid w:val="00206D96"/>
    <w:rsid w:val="002074B9"/>
    <w:rsid w:val="00216BE5"/>
    <w:rsid w:val="00217BFA"/>
    <w:rsid w:val="0022106E"/>
    <w:rsid w:val="00222157"/>
    <w:rsid w:val="00223162"/>
    <w:rsid w:val="00223A29"/>
    <w:rsid w:val="002250A3"/>
    <w:rsid w:val="00225CFB"/>
    <w:rsid w:val="00231826"/>
    <w:rsid w:val="00232986"/>
    <w:rsid w:val="002350EC"/>
    <w:rsid w:val="00235217"/>
    <w:rsid w:val="002378EA"/>
    <w:rsid w:val="00242307"/>
    <w:rsid w:val="00242E1C"/>
    <w:rsid w:val="002432B5"/>
    <w:rsid w:val="00243E66"/>
    <w:rsid w:val="00245D29"/>
    <w:rsid w:val="00246D1F"/>
    <w:rsid w:val="00247403"/>
    <w:rsid w:val="00247542"/>
    <w:rsid w:val="00250248"/>
    <w:rsid w:val="00250980"/>
    <w:rsid w:val="0025399F"/>
    <w:rsid w:val="00256355"/>
    <w:rsid w:val="00257322"/>
    <w:rsid w:val="00260DFF"/>
    <w:rsid w:val="00264474"/>
    <w:rsid w:val="00266000"/>
    <w:rsid w:val="00266B61"/>
    <w:rsid w:val="0026712A"/>
    <w:rsid w:val="002704DB"/>
    <w:rsid w:val="00274B06"/>
    <w:rsid w:val="00276422"/>
    <w:rsid w:val="002818BE"/>
    <w:rsid w:val="00281EB7"/>
    <w:rsid w:val="00283FB9"/>
    <w:rsid w:val="00287A88"/>
    <w:rsid w:val="00291C33"/>
    <w:rsid w:val="00292596"/>
    <w:rsid w:val="00294099"/>
    <w:rsid w:val="002A06DC"/>
    <w:rsid w:val="002A0AAE"/>
    <w:rsid w:val="002A1698"/>
    <w:rsid w:val="002A17B0"/>
    <w:rsid w:val="002A3367"/>
    <w:rsid w:val="002A3BE1"/>
    <w:rsid w:val="002A5062"/>
    <w:rsid w:val="002A5820"/>
    <w:rsid w:val="002A652F"/>
    <w:rsid w:val="002B0F25"/>
    <w:rsid w:val="002B1A05"/>
    <w:rsid w:val="002B1A63"/>
    <w:rsid w:val="002B2440"/>
    <w:rsid w:val="002B305F"/>
    <w:rsid w:val="002B3CD8"/>
    <w:rsid w:val="002B4836"/>
    <w:rsid w:val="002B55EA"/>
    <w:rsid w:val="002B5683"/>
    <w:rsid w:val="002C2A34"/>
    <w:rsid w:val="002C4149"/>
    <w:rsid w:val="002C5292"/>
    <w:rsid w:val="002C7F74"/>
    <w:rsid w:val="002D1013"/>
    <w:rsid w:val="002D28BF"/>
    <w:rsid w:val="002D2B26"/>
    <w:rsid w:val="002D3BC3"/>
    <w:rsid w:val="002D44F1"/>
    <w:rsid w:val="002D4AF0"/>
    <w:rsid w:val="002D57CB"/>
    <w:rsid w:val="002D5E38"/>
    <w:rsid w:val="002D7EA2"/>
    <w:rsid w:val="002E187C"/>
    <w:rsid w:val="002E2AE6"/>
    <w:rsid w:val="002E3507"/>
    <w:rsid w:val="002E5045"/>
    <w:rsid w:val="002E6A26"/>
    <w:rsid w:val="002F09EF"/>
    <w:rsid w:val="002F3C21"/>
    <w:rsid w:val="002F4C42"/>
    <w:rsid w:val="00302733"/>
    <w:rsid w:val="003048EA"/>
    <w:rsid w:val="00304973"/>
    <w:rsid w:val="00305835"/>
    <w:rsid w:val="00306F33"/>
    <w:rsid w:val="003076CF"/>
    <w:rsid w:val="003100E6"/>
    <w:rsid w:val="00311154"/>
    <w:rsid w:val="00314078"/>
    <w:rsid w:val="00314589"/>
    <w:rsid w:val="00314765"/>
    <w:rsid w:val="0031535D"/>
    <w:rsid w:val="00316ED0"/>
    <w:rsid w:val="00323762"/>
    <w:rsid w:val="003239B8"/>
    <w:rsid w:val="0032580F"/>
    <w:rsid w:val="00326EDF"/>
    <w:rsid w:val="0032716C"/>
    <w:rsid w:val="00327A76"/>
    <w:rsid w:val="00330888"/>
    <w:rsid w:val="0033169F"/>
    <w:rsid w:val="00331F1C"/>
    <w:rsid w:val="00337496"/>
    <w:rsid w:val="003400C5"/>
    <w:rsid w:val="00341C1A"/>
    <w:rsid w:val="00344977"/>
    <w:rsid w:val="00346B87"/>
    <w:rsid w:val="00346C95"/>
    <w:rsid w:val="00347AAB"/>
    <w:rsid w:val="00347AE4"/>
    <w:rsid w:val="00347D93"/>
    <w:rsid w:val="00351A4A"/>
    <w:rsid w:val="00356185"/>
    <w:rsid w:val="0035654F"/>
    <w:rsid w:val="00357363"/>
    <w:rsid w:val="00360380"/>
    <w:rsid w:val="003618A3"/>
    <w:rsid w:val="0036429B"/>
    <w:rsid w:val="003643CD"/>
    <w:rsid w:val="00365066"/>
    <w:rsid w:val="003664AF"/>
    <w:rsid w:val="003706CF"/>
    <w:rsid w:val="003728C2"/>
    <w:rsid w:val="00374887"/>
    <w:rsid w:val="00375125"/>
    <w:rsid w:val="0037519E"/>
    <w:rsid w:val="00375F2B"/>
    <w:rsid w:val="0037669F"/>
    <w:rsid w:val="00382480"/>
    <w:rsid w:val="0038542A"/>
    <w:rsid w:val="00385CFF"/>
    <w:rsid w:val="00386CF0"/>
    <w:rsid w:val="00387658"/>
    <w:rsid w:val="00391A46"/>
    <w:rsid w:val="00392B8E"/>
    <w:rsid w:val="003968A0"/>
    <w:rsid w:val="003A1537"/>
    <w:rsid w:val="003A18D2"/>
    <w:rsid w:val="003A4ECE"/>
    <w:rsid w:val="003A64D2"/>
    <w:rsid w:val="003A7602"/>
    <w:rsid w:val="003B0695"/>
    <w:rsid w:val="003B092D"/>
    <w:rsid w:val="003B14D3"/>
    <w:rsid w:val="003B290C"/>
    <w:rsid w:val="003B5553"/>
    <w:rsid w:val="003B5E25"/>
    <w:rsid w:val="003B70FB"/>
    <w:rsid w:val="003B70FE"/>
    <w:rsid w:val="003C01AC"/>
    <w:rsid w:val="003C0360"/>
    <w:rsid w:val="003C0E09"/>
    <w:rsid w:val="003C14A0"/>
    <w:rsid w:val="003C259A"/>
    <w:rsid w:val="003C4C7F"/>
    <w:rsid w:val="003C676B"/>
    <w:rsid w:val="003C67CE"/>
    <w:rsid w:val="003D0B80"/>
    <w:rsid w:val="003D34E3"/>
    <w:rsid w:val="003D3BC2"/>
    <w:rsid w:val="003D3FB3"/>
    <w:rsid w:val="003D676B"/>
    <w:rsid w:val="003E3ACD"/>
    <w:rsid w:val="003E3B29"/>
    <w:rsid w:val="003E428C"/>
    <w:rsid w:val="003E4DB9"/>
    <w:rsid w:val="003E68A9"/>
    <w:rsid w:val="003E6CA1"/>
    <w:rsid w:val="003F2763"/>
    <w:rsid w:val="003F43EB"/>
    <w:rsid w:val="003F496F"/>
    <w:rsid w:val="003F5154"/>
    <w:rsid w:val="003F70DC"/>
    <w:rsid w:val="00400E40"/>
    <w:rsid w:val="00401988"/>
    <w:rsid w:val="00401D14"/>
    <w:rsid w:val="00405F9C"/>
    <w:rsid w:val="004065A8"/>
    <w:rsid w:val="00406803"/>
    <w:rsid w:val="00406CC8"/>
    <w:rsid w:val="0040729F"/>
    <w:rsid w:val="004075EA"/>
    <w:rsid w:val="004117C8"/>
    <w:rsid w:val="004124EF"/>
    <w:rsid w:val="00412B11"/>
    <w:rsid w:val="00412FD1"/>
    <w:rsid w:val="00413AB6"/>
    <w:rsid w:val="00415F11"/>
    <w:rsid w:val="004165C2"/>
    <w:rsid w:val="004218DF"/>
    <w:rsid w:val="0042489A"/>
    <w:rsid w:val="00425FF0"/>
    <w:rsid w:val="00430A2C"/>
    <w:rsid w:val="00431314"/>
    <w:rsid w:val="0043638A"/>
    <w:rsid w:val="004402DA"/>
    <w:rsid w:val="00441ECB"/>
    <w:rsid w:val="004439ED"/>
    <w:rsid w:val="00443B03"/>
    <w:rsid w:val="00445193"/>
    <w:rsid w:val="00445DEB"/>
    <w:rsid w:val="004505FA"/>
    <w:rsid w:val="0045503D"/>
    <w:rsid w:val="00460711"/>
    <w:rsid w:val="00462C1B"/>
    <w:rsid w:val="004636FA"/>
    <w:rsid w:val="00467B7E"/>
    <w:rsid w:val="00470034"/>
    <w:rsid w:val="004738C3"/>
    <w:rsid w:val="00473BB4"/>
    <w:rsid w:val="00473D5B"/>
    <w:rsid w:val="00477592"/>
    <w:rsid w:val="00477FF0"/>
    <w:rsid w:val="004810F4"/>
    <w:rsid w:val="004823C7"/>
    <w:rsid w:val="00483912"/>
    <w:rsid w:val="00483B00"/>
    <w:rsid w:val="004845EC"/>
    <w:rsid w:val="00486435"/>
    <w:rsid w:val="00486F1C"/>
    <w:rsid w:val="004926BD"/>
    <w:rsid w:val="0049419D"/>
    <w:rsid w:val="00495DEE"/>
    <w:rsid w:val="00496333"/>
    <w:rsid w:val="004A0178"/>
    <w:rsid w:val="004A6A54"/>
    <w:rsid w:val="004A6BED"/>
    <w:rsid w:val="004A6FF7"/>
    <w:rsid w:val="004B289C"/>
    <w:rsid w:val="004B421C"/>
    <w:rsid w:val="004C20D2"/>
    <w:rsid w:val="004C2312"/>
    <w:rsid w:val="004C3CF2"/>
    <w:rsid w:val="004C41AA"/>
    <w:rsid w:val="004C4B62"/>
    <w:rsid w:val="004C54C9"/>
    <w:rsid w:val="004D1A81"/>
    <w:rsid w:val="004D40C0"/>
    <w:rsid w:val="004D4ABA"/>
    <w:rsid w:val="004D6025"/>
    <w:rsid w:val="004D795B"/>
    <w:rsid w:val="004E00AD"/>
    <w:rsid w:val="004E1826"/>
    <w:rsid w:val="004E2649"/>
    <w:rsid w:val="004E2C39"/>
    <w:rsid w:val="004E39B4"/>
    <w:rsid w:val="004E4022"/>
    <w:rsid w:val="004E521C"/>
    <w:rsid w:val="004E6BA0"/>
    <w:rsid w:val="004E747F"/>
    <w:rsid w:val="004F1060"/>
    <w:rsid w:val="004F12D5"/>
    <w:rsid w:val="004F364E"/>
    <w:rsid w:val="004F490C"/>
    <w:rsid w:val="004F626F"/>
    <w:rsid w:val="004F75B0"/>
    <w:rsid w:val="004F7E3E"/>
    <w:rsid w:val="0050008C"/>
    <w:rsid w:val="00500480"/>
    <w:rsid w:val="00501399"/>
    <w:rsid w:val="005047ED"/>
    <w:rsid w:val="0050633D"/>
    <w:rsid w:val="0050784B"/>
    <w:rsid w:val="00507BC4"/>
    <w:rsid w:val="00511356"/>
    <w:rsid w:val="005128E4"/>
    <w:rsid w:val="005133DB"/>
    <w:rsid w:val="00513864"/>
    <w:rsid w:val="00514504"/>
    <w:rsid w:val="005148D9"/>
    <w:rsid w:val="00520695"/>
    <w:rsid w:val="00521E1F"/>
    <w:rsid w:val="005234DD"/>
    <w:rsid w:val="005234EF"/>
    <w:rsid w:val="00523D1D"/>
    <w:rsid w:val="00525560"/>
    <w:rsid w:val="00533A4E"/>
    <w:rsid w:val="00534885"/>
    <w:rsid w:val="00535F13"/>
    <w:rsid w:val="005362AE"/>
    <w:rsid w:val="00540E16"/>
    <w:rsid w:val="0054475A"/>
    <w:rsid w:val="00544C49"/>
    <w:rsid w:val="00544C7A"/>
    <w:rsid w:val="00544F64"/>
    <w:rsid w:val="005463B3"/>
    <w:rsid w:val="00546C73"/>
    <w:rsid w:val="00547911"/>
    <w:rsid w:val="00551685"/>
    <w:rsid w:val="005516A1"/>
    <w:rsid w:val="0055242C"/>
    <w:rsid w:val="00553E05"/>
    <w:rsid w:val="00553F5B"/>
    <w:rsid w:val="00554C39"/>
    <w:rsid w:val="00555654"/>
    <w:rsid w:val="00555776"/>
    <w:rsid w:val="005559EF"/>
    <w:rsid w:val="00556660"/>
    <w:rsid w:val="00556C29"/>
    <w:rsid w:val="00560FB8"/>
    <w:rsid w:val="00563557"/>
    <w:rsid w:val="00563E9A"/>
    <w:rsid w:val="00567D2E"/>
    <w:rsid w:val="005711C2"/>
    <w:rsid w:val="005729F8"/>
    <w:rsid w:val="0057380B"/>
    <w:rsid w:val="0057397F"/>
    <w:rsid w:val="0057402A"/>
    <w:rsid w:val="00574604"/>
    <w:rsid w:val="005755C5"/>
    <w:rsid w:val="00575F4A"/>
    <w:rsid w:val="00576BDD"/>
    <w:rsid w:val="005771D0"/>
    <w:rsid w:val="00582467"/>
    <w:rsid w:val="0058266F"/>
    <w:rsid w:val="00585693"/>
    <w:rsid w:val="00586D09"/>
    <w:rsid w:val="005906BC"/>
    <w:rsid w:val="0059191A"/>
    <w:rsid w:val="005921FF"/>
    <w:rsid w:val="00593CAD"/>
    <w:rsid w:val="005941B1"/>
    <w:rsid w:val="00595040"/>
    <w:rsid w:val="0059640D"/>
    <w:rsid w:val="005A0612"/>
    <w:rsid w:val="005A0C00"/>
    <w:rsid w:val="005A142A"/>
    <w:rsid w:val="005A24ED"/>
    <w:rsid w:val="005A310A"/>
    <w:rsid w:val="005A3C24"/>
    <w:rsid w:val="005A3C4B"/>
    <w:rsid w:val="005A56C9"/>
    <w:rsid w:val="005A6D0E"/>
    <w:rsid w:val="005A7526"/>
    <w:rsid w:val="005A7659"/>
    <w:rsid w:val="005A7C2A"/>
    <w:rsid w:val="005B0B78"/>
    <w:rsid w:val="005B23A1"/>
    <w:rsid w:val="005B35B3"/>
    <w:rsid w:val="005B4850"/>
    <w:rsid w:val="005B52B0"/>
    <w:rsid w:val="005B5A47"/>
    <w:rsid w:val="005B6806"/>
    <w:rsid w:val="005B731F"/>
    <w:rsid w:val="005C2821"/>
    <w:rsid w:val="005C34E9"/>
    <w:rsid w:val="005C4225"/>
    <w:rsid w:val="005C7DCA"/>
    <w:rsid w:val="005D3E1A"/>
    <w:rsid w:val="005D5D79"/>
    <w:rsid w:val="005D6A1E"/>
    <w:rsid w:val="005E1422"/>
    <w:rsid w:val="005E1B72"/>
    <w:rsid w:val="005E2088"/>
    <w:rsid w:val="005E6E86"/>
    <w:rsid w:val="005F0DAD"/>
    <w:rsid w:val="005F0F33"/>
    <w:rsid w:val="005F1675"/>
    <w:rsid w:val="005F5180"/>
    <w:rsid w:val="005F5281"/>
    <w:rsid w:val="005F6C5C"/>
    <w:rsid w:val="005F7DF9"/>
    <w:rsid w:val="00600DEB"/>
    <w:rsid w:val="00602C92"/>
    <w:rsid w:val="00602E15"/>
    <w:rsid w:val="00603BE2"/>
    <w:rsid w:val="00604345"/>
    <w:rsid w:val="00604C76"/>
    <w:rsid w:val="00606AE4"/>
    <w:rsid w:val="0061049D"/>
    <w:rsid w:val="00614A03"/>
    <w:rsid w:val="00617963"/>
    <w:rsid w:val="00620698"/>
    <w:rsid w:val="00621361"/>
    <w:rsid w:val="00621E31"/>
    <w:rsid w:val="006224C4"/>
    <w:rsid w:val="006246F4"/>
    <w:rsid w:val="00627C9F"/>
    <w:rsid w:val="006311E9"/>
    <w:rsid w:val="00632354"/>
    <w:rsid w:val="0063238B"/>
    <w:rsid w:val="006326B9"/>
    <w:rsid w:val="006344E2"/>
    <w:rsid w:val="00635421"/>
    <w:rsid w:val="006356B6"/>
    <w:rsid w:val="0063670F"/>
    <w:rsid w:val="0063754D"/>
    <w:rsid w:val="00637D0E"/>
    <w:rsid w:val="00642810"/>
    <w:rsid w:val="006441CF"/>
    <w:rsid w:val="006457E0"/>
    <w:rsid w:val="006465EB"/>
    <w:rsid w:val="0065094A"/>
    <w:rsid w:val="00651D9A"/>
    <w:rsid w:val="00652333"/>
    <w:rsid w:val="00653E0A"/>
    <w:rsid w:val="00654589"/>
    <w:rsid w:val="00654BD8"/>
    <w:rsid w:val="0065643F"/>
    <w:rsid w:val="00657DE1"/>
    <w:rsid w:val="00661F6A"/>
    <w:rsid w:val="00663F60"/>
    <w:rsid w:val="006650C5"/>
    <w:rsid w:val="00666003"/>
    <w:rsid w:val="0066714A"/>
    <w:rsid w:val="00667E6F"/>
    <w:rsid w:val="006721CC"/>
    <w:rsid w:val="00672B0B"/>
    <w:rsid w:val="00673D8B"/>
    <w:rsid w:val="0067594D"/>
    <w:rsid w:val="00676551"/>
    <w:rsid w:val="00676AC6"/>
    <w:rsid w:val="006771A5"/>
    <w:rsid w:val="00677A00"/>
    <w:rsid w:val="0068009E"/>
    <w:rsid w:val="00681C34"/>
    <w:rsid w:val="00682E41"/>
    <w:rsid w:val="0068706D"/>
    <w:rsid w:val="0068795F"/>
    <w:rsid w:val="0069055A"/>
    <w:rsid w:val="00692219"/>
    <w:rsid w:val="006944D3"/>
    <w:rsid w:val="006963B6"/>
    <w:rsid w:val="00696D0D"/>
    <w:rsid w:val="006A019D"/>
    <w:rsid w:val="006A0860"/>
    <w:rsid w:val="006A17D2"/>
    <w:rsid w:val="006A2664"/>
    <w:rsid w:val="006A53B4"/>
    <w:rsid w:val="006A6170"/>
    <w:rsid w:val="006A73E6"/>
    <w:rsid w:val="006A79ED"/>
    <w:rsid w:val="006B149B"/>
    <w:rsid w:val="006B2D5C"/>
    <w:rsid w:val="006B6E6F"/>
    <w:rsid w:val="006B72D3"/>
    <w:rsid w:val="006C0C9E"/>
    <w:rsid w:val="006C0ECF"/>
    <w:rsid w:val="006C0F5E"/>
    <w:rsid w:val="006C1B87"/>
    <w:rsid w:val="006C3486"/>
    <w:rsid w:val="006C4438"/>
    <w:rsid w:val="006C4C7B"/>
    <w:rsid w:val="006C4CEF"/>
    <w:rsid w:val="006C4EB1"/>
    <w:rsid w:val="006C58A6"/>
    <w:rsid w:val="006C7683"/>
    <w:rsid w:val="006D2911"/>
    <w:rsid w:val="006D4676"/>
    <w:rsid w:val="006D4A83"/>
    <w:rsid w:val="006D4B3A"/>
    <w:rsid w:val="006D51B8"/>
    <w:rsid w:val="006D5713"/>
    <w:rsid w:val="006D793D"/>
    <w:rsid w:val="006E0166"/>
    <w:rsid w:val="006E2FFB"/>
    <w:rsid w:val="006E43FC"/>
    <w:rsid w:val="006E6312"/>
    <w:rsid w:val="006E6C26"/>
    <w:rsid w:val="006E7B34"/>
    <w:rsid w:val="006F0CD3"/>
    <w:rsid w:val="006F504A"/>
    <w:rsid w:val="00702F9A"/>
    <w:rsid w:val="0070697F"/>
    <w:rsid w:val="007103C4"/>
    <w:rsid w:val="00710517"/>
    <w:rsid w:val="00710A98"/>
    <w:rsid w:val="0071452A"/>
    <w:rsid w:val="00717FB6"/>
    <w:rsid w:val="007210DB"/>
    <w:rsid w:val="0072199C"/>
    <w:rsid w:val="00722C9F"/>
    <w:rsid w:val="00722CD8"/>
    <w:rsid w:val="0072406B"/>
    <w:rsid w:val="007253B8"/>
    <w:rsid w:val="0072657D"/>
    <w:rsid w:val="007275F5"/>
    <w:rsid w:val="007276C3"/>
    <w:rsid w:val="00730325"/>
    <w:rsid w:val="0073053B"/>
    <w:rsid w:val="00731E89"/>
    <w:rsid w:val="00733B09"/>
    <w:rsid w:val="0073741F"/>
    <w:rsid w:val="00737BF6"/>
    <w:rsid w:val="007402A2"/>
    <w:rsid w:val="00741865"/>
    <w:rsid w:val="00744401"/>
    <w:rsid w:val="007444F5"/>
    <w:rsid w:val="007458FB"/>
    <w:rsid w:val="00745A43"/>
    <w:rsid w:val="00745C38"/>
    <w:rsid w:val="0074651B"/>
    <w:rsid w:val="00754A82"/>
    <w:rsid w:val="0075700E"/>
    <w:rsid w:val="00760E6E"/>
    <w:rsid w:val="00761A79"/>
    <w:rsid w:val="00764D94"/>
    <w:rsid w:val="0076643F"/>
    <w:rsid w:val="007673E1"/>
    <w:rsid w:val="007715CE"/>
    <w:rsid w:val="00773799"/>
    <w:rsid w:val="00775449"/>
    <w:rsid w:val="00777DD2"/>
    <w:rsid w:val="00777F63"/>
    <w:rsid w:val="0078175C"/>
    <w:rsid w:val="0078278C"/>
    <w:rsid w:val="00783C49"/>
    <w:rsid w:val="00783FFF"/>
    <w:rsid w:val="00785220"/>
    <w:rsid w:val="00786A1D"/>
    <w:rsid w:val="00793E8A"/>
    <w:rsid w:val="00795CFB"/>
    <w:rsid w:val="007A041C"/>
    <w:rsid w:val="007A3E57"/>
    <w:rsid w:val="007A43C1"/>
    <w:rsid w:val="007A4491"/>
    <w:rsid w:val="007A5817"/>
    <w:rsid w:val="007A5CDD"/>
    <w:rsid w:val="007A676B"/>
    <w:rsid w:val="007B05C4"/>
    <w:rsid w:val="007B0FEE"/>
    <w:rsid w:val="007B224F"/>
    <w:rsid w:val="007B2996"/>
    <w:rsid w:val="007B3091"/>
    <w:rsid w:val="007B49A9"/>
    <w:rsid w:val="007B60E9"/>
    <w:rsid w:val="007B6B14"/>
    <w:rsid w:val="007B6CC3"/>
    <w:rsid w:val="007B76D3"/>
    <w:rsid w:val="007C20D5"/>
    <w:rsid w:val="007C2127"/>
    <w:rsid w:val="007C3334"/>
    <w:rsid w:val="007C49EE"/>
    <w:rsid w:val="007C7049"/>
    <w:rsid w:val="007C75A2"/>
    <w:rsid w:val="007C7775"/>
    <w:rsid w:val="007C7DC0"/>
    <w:rsid w:val="007D2118"/>
    <w:rsid w:val="007D2B98"/>
    <w:rsid w:val="007D6299"/>
    <w:rsid w:val="007D6C32"/>
    <w:rsid w:val="007E1EFE"/>
    <w:rsid w:val="007E2122"/>
    <w:rsid w:val="007E21BC"/>
    <w:rsid w:val="007E2331"/>
    <w:rsid w:val="007E42AE"/>
    <w:rsid w:val="007E5EA1"/>
    <w:rsid w:val="007E6C02"/>
    <w:rsid w:val="007E7C82"/>
    <w:rsid w:val="007F2AA1"/>
    <w:rsid w:val="007F2DAB"/>
    <w:rsid w:val="007F4CE7"/>
    <w:rsid w:val="007F5463"/>
    <w:rsid w:val="007F588D"/>
    <w:rsid w:val="007F58C3"/>
    <w:rsid w:val="007F7110"/>
    <w:rsid w:val="00801DE9"/>
    <w:rsid w:val="00803F1C"/>
    <w:rsid w:val="0080600E"/>
    <w:rsid w:val="00814321"/>
    <w:rsid w:val="00814688"/>
    <w:rsid w:val="00814ADA"/>
    <w:rsid w:val="00817612"/>
    <w:rsid w:val="008204DD"/>
    <w:rsid w:val="008210CB"/>
    <w:rsid w:val="00822E4D"/>
    <w:rsid w:val="00823A67"/>
    <w:rsid w:val="00823C56"/>
    <w:rsid w:val="00824AE9"/>
    <w:rsid w:val="008260E2"/>
    <w:rsid w:val="008261FC"/>
    <w:rsid w:val="00826B91"/>
    <w:rsid w:val="00830275"/>
    <w:rsid w:val="008334B0"/>
    <w:rsid w:val="008338A4"/>
    <w:rsid w:val="00833DA8"/>
    <w:rsid w:val="00834970"/>
    <w:rsid w:val="00834D49"/>
    <w:rsid w:val="00837C45"/>
    <w:rsid w:val="00837CD8"/>
    <w:rsid w:val="00844730"/>
    <w:rsid w:val="008457C2"/>
    <w:rsid w:val="00845886"/>
    <w:rsid w:val="0085033C"/>
    <w:rsid w:val="008504EC"/>
    <w:rsid w:val="00853AB6"/>
    <w:rsid w:val="00855784"/>
    <w:rsid w:val="008562C1"/>
    <w:rsid w:val="0085766E"/>
    <w:rsid w:val="00857A82"/>
    <w:rsid w:val="008623D9"/>
    <w:rsid w:val="008624A7"/>
    <w:rsid w:val="00864801"/>
    <w:rsid w:val="00873836"/>
    <w:rsid w:val="00873A9D"/>
    <w:rsid w:val="00883852"/>
    <w:rsid w:val="008839FC"/>
    <w:rsid w:val="00884CCC"/>
    <w:rsid w:val="00885737"/>
    <w:rsid w:val="00886698"/>
    <w:rsid w:val="00886B25"/>
    <w:rsid w:val="00890540"/>
    <w:rsid w:val="00890650"/>
    <w:rsid w:val="008914C0"/>
    <w:rsid w:val="008944DC"/>
    <w:rsid w:val="008951AC"/>
    <w:rsid w:val="00895674"/>
    <w:rsid w:val="00895DE3"/>
    <w:rsid w:val="00897E12"/>
    <w:rsid w:val="008A1D5B"/>
    <w:rsid w:val="008A37C2"/>
    <w:rsid w:val="008A4694"/>
    <w:rsid w:val="008A5F5D"/>
    <w:rsid w:val="008A6466"/>
    <w:rsid w:val="008A65DB"/>
    <w:rsid w:val="008A74C7"/>
    <w:rsid w:val="008A7E0F"/>
    <w:rsid w:val="008B0D88"/>
    <w:rsid w:val="008B12F5"/>
    <w:rsid w:val="008B5FE3"/>
    <w:rsid w:val="008B6B4C"/>
    <w:rsid w:val="008C0762"/>
    <w:rsid w:val="008C2C78"/>
    <w:rsid w:val="008C3D54"/>
    <w:rsid w:val="008C5E2D"/>
    <w:rsid w:val="008C78DC"/>
    <w:rsid w:val="008D0E1B"/>
    <w:rsid w:val="008D4FDC"/>
    <w:rsid w:val="008D521F"/>
    <w:rsid w:val="008D527F"/>
    <w:rsid w:val="008D768D"/>
    <w:rsid w:val="008E0BFA"/>
    <w:rsid w:val="008E1976"/>
    <w:rsid w:val="008E3759"/>
    <w:rsid w:val="008E3BFE"/>
    <w:rsid w:val="008E5236"/>
    <w:rsid w:val="008F1912"/>
    <w:rsid w:val="008F4994"/>
    <w:rsid w:val="008F513B"/>
    <w:rsid w:val="00900A79"/>
    <w:rsid w:val="00902297"/>
    <w:rsid w:val="0090270B"/>
    <w:rsid w:val="009041DC"/>
    <w:rsid w:val="00904646"/>
    <w:rsid w:val="00905AF4"/>
    <w:rsid w:val="00905D42"/>
    <w:rsid w:val="00910844"/>
    <w:rsid w:val="00915C38"/>
    <w:rsid w:val="00916328"/>
    <w:rsid w:val="00917386"/>
    <w:rsid w:val="0091771C"/>
    <w:rsid w:val="00917B5A"/>
    <w:rsid w:val="00920A58"/>
    <w:rsid w:val="00920A8C"/>
    <w:rsid w:val="009210BF"/>
    <w:rsid w:val="009227D8"/>
    <w:rsid w:val="00927C01"/>
    <w:rsid w:val="00934A2C"/>
    <w:rsid w:val="00936D7D"/>
    <w:rsid w:val="009372D2"/>
    <w:rsid w:val="00937C48"/>
    <w:rsid w:val="00937CD8"/>
    <w:rsid w:val="00944176"/>
    <w:rsid w:val="00951A30"/>
    <w:rsid w:val="00951B74"/>
    <w:rsid w:val="00954DF2"/>
    <w:rsid w:val="00955280"/>
    <w:rsid w:val="00965E98"/>
    <w:rsid w:val="0096706E"/>
    <w:rsid w:val="00972C43"/>
    <w:rsid w:val="00973DE8"/>
    <w:rsid w:val="0097419E"/>
    <w:rsid w:val="009743D6"/>
    <w:rsid w:val="00974491"/>
    <w:rsid w:val="00974E19"/>
    <w:rsid w:val="00975C4E"/>
    <w:rsid w:val="0098175F"/>
    <w:rsid w:val="00981C4C"/>
    <w:rsid w:val="00981FBA"/>
    <w:rsid w:val="0098314F"/>
    <w:rsid w:val="009835B9"/>
    <w:rsid w:val="009842CC"/>
    <w:rsid w:val="009860A4"/>
    <w:rsid w:val="0099247D"/>
    <w:rsid w:val="00992CD1"/>
    <w:rsid w:val="00992FC4"/>
    <w:rsid w:val="00995086"/>
    <w:rsid w:val="00995D5E"/>
    <w:rsid w:val="00997BC5"/>
    <w:rsid w:val="009A1105"/>
    <w:rsid w:val="009A25E6"/>
    <w:rsid w:val="009A3A5B"/>
    <w:rsid w:val="009A41C3"/>
    <w:rsid w:val="009A4F41"/>
    <w:rsid w:val="009A69E7"/>
    <w:rsid w:val="009B19E7"/>
    <w:rsid w:val="009B29D1"/>
    <w:rsid w:val="009B37FA"/>
    <w:rsid w:val="009B381B"/>
    <w:rsid w:val="009B4C15"/>
    <w:rsid w:val="009B5E29"/>
    <w:rsid w:val="009B78E4"/>
    <w:rsid w:val="009C6513"/>
    <w:rsid w:val="009D0908"/>
    <w:rsid w:val="009D1753"/>
    <w:rsid w:val="009D2455"/>
    <w:rsid w:val="009D2FA9"/>
    <w:rsid w:val="009D3E5F"/>
    <w:rsid w:val="009D4AD8"/>
    <w:rsid w:val="009D61F0"/>
    <w:rsid w:val="009D6C34"/>
    <w:rsid w:val="009D7611"/>
    <w:rsid w:val="009E0B61"/>
    <w:rsid w:val="009E19F1"/>
    <w:rsid w:val="009E1D25"/>
    <w:rsid w:val="009E20A1"/>
    <w:rsid w:val="009E53DE"/>
    <w:rsid w:val="009E57C6"/>
    <w:rsid w:val="009E5CCE"/>
    <w:rsid w:val="009E5CD7"/>
    <w:rsid w:val="009E6459"/>
    <w:rsid w:val="009E74C0"/>
    <w:rsid w:val="009F3D1E"/>
    <w:rsid w:val="009F4158"/>
    <w:rsid w:val="009F7EEC"/>
    <w:rsid w:val="00A003CD"/>
    <w:rsid w:val="00A02C49"/>
    <w:rsid w:val="00A05FAD"/>
    <w:rsid w:val="00A06B9F"/>
    <w:rsid w:val="00A07CF4"/>
    <w:rsid w:val="00A11212"/>
    <w:rsid w:val="00A11E44"/>
    <w:rsid w:val="00A140CC"/>
    <w:rsid w:val="00A21D51"/>
    <w:rsid w:val="00A2245C"/>
    <w:rsid w:val="00A2258B"/>
    <w:rsid w:val="00A22F69"/>
    <w:rsid w:val="00A23C51"/>
    <w:rsid w:val="00A26A3F"/>
    <w:rsid w:val="00A30100"/>
    <w:rsid w:val="00A32751"/>
    <w:rsid w:val="00A328B3"/>
    <w:rsid w:val="00A3343B"/>
    <w:rsid w:val="00A337D6"/>
    <w:rsid w:val="00A34133"/>
    <w:rsid w:val="00A343C4"/>
    <w:rsid w:val="00A358E5"/>
    <w:rsid w:val="00A3738E"/>
    <w:rsid w:val="00A42204"/>
    <w:rsid w:val="00A43282"/>
    <w:rsid w:val="00A44708"/>
    <w:rsid w:val="00A460C0"/>
    <w:rsid w:val="00A50FCF"/>
    <w:rsid w:val="00A528D1"/>
    <w:rsid w:val="00A5498D"/>
    <w:rsid w:val="00A561C0"/>
    <w:rsid w:val="00A610CD"/>
    <w:rsid w:val="00A612CC"/>
    <w:rsid w:val="00A650BD"/>
    <w:rsid w:val="00A65471"/>
    <w:rsid w:val="00A65C7F"/>
    <w:rsid w:val="00A65FC7"/>
    <w:rsid w:val="00A674AE"/>
    <w:rsid w:val="00A7029E"/>
    <w:rsid w:val="00A758AA"/>
    <w:rsid w:val="00A77B41"/>
    <w:rsid w:val="00A81C0D"/>
    <w:rsid w:val="00A86F68"/>
    <w:rsid w:val="00A87FEF"/>
    <w:rsid w:val="00A9221A"/>
    <w:rsid w:val="00A934EC"/>
    <w:rsid w:val="00A93CBF"/>
    <w:rsid w:val="00A93E5D"/>
    <w:rsid w:val="00AA0054"/>
    <w:rsid w:val="00AA04E5"/>
    <w:rsid w:val="00AA09A2"/>
    <w:rsid w:val="00AA1957"/>
    <w:rsid w:val="00AA1D34"/>
    <w:rsid w:val="00AA1D75"/>
    <w:rsid w:val="00AA2F8A"/>
    <w:rsid w:val="00AA3103"/>
    <w:rsid w:val="00AA32DC"/>
    <w:rsid w:val="00AA38ED"/>
    <w:rsid w:val="00AA55C8"/>
    <w:rsid w:val="00AA5A0C"/>
    <w:rsid w:val="00AA6308"/>
    <w:rsid w:val="00AA692D"/>
    <w:rsid w:val="00AA7996"/>
    <w:rsid w:val="00AB1D34"/>
    <w:rsid w:val="00AB43D1"/>
    <w:rsid w:val="00AB60F0"/>
    <w:rsid w:val="00AB6EDF"/>
    <w:rsid w:val="00AC1229"/>
    <w:rsid w:val="00AC19CB"/>
    <w:rsid w:val="00AC5D15"/>
    <w:rsid w:val="00AD1631"/>
    <w:rsid w:val="00AD165F"/>
    <w:rsid w:val="00AD2A4F"/>
    <w:rsid w:val="00AE099F"/>
    <w:rsid w:val="00AE351A"/>
    <w:rsid w:val="00AE3956"/>
    <w:rsid w:val="00AE4A50"/>
    <w:rsid w:val="00AE4C01"/>
    <w:rsid w:val="00AE5488"/>
    <w:rsid w:val="00AE6507"/>
    <w:rsid w:val="00AE6F91"/>
    <w:rsid w:val="00AE74BD"/>
    <w:rsid w:val="00AF0FCF"/>
    <w:rsid w:val="00AF31B5"/>
    <w:rsid w:val="00AF5571"/>
    <w:rsid w:val="00AF5590"/>
    <w:rsid w:val="00AF6799"/>
    <w:rsid w:val="00AF7BBE"/>
    <w:rsid w:val="00B07341"/>
    <w:rsid w:val="00B10667"/>
    <w:rsid w:val="00B17F8F"/>
    <w:rsid w:val="00B20787"/>
    <w:rsid w:val="00B20E0A"/>
    <w:rsid w:val="00B2224C"/>
    <w:rsid w:val="00B2291F"/>
    <w:rsid w:val="00B30356"/>
    <w:rsid w:val="00B30539"/>
    <w:rsid w:val="00B30C57"/>
    <w:rsid w:val="00B31185"/>
    <w:rsid w:val="00B314DB"/>
    <w:rsid w:val="00B3150F"/>
    <w:rsid w:val="00B315AB"/>
    <w:rsid w:val="00B33BFE"/>
    <w:rsid w:val="00B361F2"/>
    <w:rsid w:val="00B3718B"/>
    <w:rsid w:val="00B3745F"/>
    <w:rsid w:val="00B377BB"/>
    <w:rsid w:val="00B42B38"/>
    <w:rsid w:val="00B42E33"/>
    <w:rsid w:val="00B4632A"/>
    <w:rsid w:val="00B46EC4"/>
    <w:rsid w:val="00B527EA"/>
    <w:rsid w:val="00B52D77"/>
    <w:rsid w:val="00B52F96"/>
    <w:rsid w:val="00B530F1"/>
    <w:rsid w:val="00B56581"/>
    <w:rsid w:val="00B61155"/>
    <w:rsid w:val="00B61893"/>
    <w:rsid w:val="00B61B5A"/>
    <w:rsid w:val="00B61CE1"/>
    <w:rsid w:val="00B62F37"/>
    <w:rsid w:val="00B6362C"/>
    <w:rsid w:val="00B6395D"/>
    <w:rsid w:val="00B65466"/>
    <w:rsid w:val="00B6682D"/>
    <w:rsid w:val="00B710BA"/>
    <w:rsid w:val="00B71A0E"/>
    <w:rsid w:val="00B72B47"/>
    <w:rsid w:val="00B74099"/>
    <w:rsid w:val="00B7548E"/>
    <w:rsid w:val="00B75551"/>
    <w:rsid w:val="00B758F2"/>
    <w:rsid w:val="00B75BF6"/>
    <w:rsid w:val="00B81275"/>
    <w:rsid w:val="00B81AC4"/>
    <w:rsid w:val="00B8300E"/>
    <w:rsid w:val="00B8498A"/>
    <w:rsid w:val="00B85C3F"/>
    <w:rsid w:val="00B902F7"/>
    <w:rsid w:val="00B91244"/>
    <w:rsid w:val="00B9386F"/>
    <w:rsid w:val="00B93D7F"/>
    <w:rsid w:val="00B9409A"/>
    <w:rsid w:val="00B96136"/>
    <w:rsid w:val="00BA276C"/>
    <w:rsid w:val="00BA4351"/>
    <w:rsid w:val="00BA76FD"/>
    <w:rsid w:val="00BB019D"/>
    <w:rsid w:val="00BB306F"/>
    <w:rsid w:val="00BB3B54"/>
    <w:rsid w:val="00BB553B"/>
    <w:rsid w:val="00BC2494"/>
    <w:rsid w:val="00BC2AC8"/>
    <w:rsid w:val="00BC4018"/>
    <w:rsid w:val="00BD0FF5"/>
    <w:rsid w:val="00BD1274"/>
    <w:rsid w:val="00BD1FFC"/>
    <w:rsid w:val="00BD4B89"/>
    <w:rsid w:val="00BD5922"/>
    <w:rsid w:val="00BD67AF"/>
    <w:rsid w:val="00BD6BD9"/>
    <w:rsid w:val="00BD7006"/>
    <w:rsid w:val="00BE08D1"/>
    <w:rsid w:val="00BE5D51"/>
    <w:rsid w:val="00BE60E5"/>
    <w:rsid w:val="00BE731A"/>
    <w:rsid w:val="00BF02CB"/>
    <w:rsid w:val="00BF0B3D"/>
    <w:rsid w:val="00BF2AC5"/>
    <w:rsid w:val="00BF3EE1"/>
    <w:rsid w:val="00BF4F94"/>
    <w:rsid w:val="00BF6FD8"/>
    <w:rsid w:val="00C00B0E"/>
    <w:rsid w:val="00C0183C"/>
    <w:rsid w:val="00C01B37"/>
    <w:rsid w:val="00C024C0"/>
    <w:rsid w:val="00C03680"/>
    <w:rsid w:val="00C03815"/>
    <w:rsid w:val="00C054DF"/>
    <w:rsid w:val="00C1044B"/>
    <w:rsid w:val="00C10B8C"/>
    <w:rsid w:val="00C13067"/>
    <w:rsid w:val="00C13E7C"/>
    <w:rsid w:val="00C21762"/>
    <w:rsid w:val="00C21FEF"/>
    <w:rsid w:val="00C2211B"/>
    <w:rsid w:val="00C221C0"/>
    <w:rsid w:val="00C23BA4"/>
    <w:rsid w:val="00C23D60"/>
    <w:rsid w:val="00C24543"/>
    <w:rsid w:val="00C24E8F"/>
    <w:rsid w:val="00C256A2"/>
    <w:rsid w:val="00C25ADB"/>
    <w:rsid w:val="00C26CF9"/>
    <w:rsid w:val="00C2700B"/>
    <w:rsid w:val="00C27460"/>
    <w:rsid w:val="00C31AD3"/>
    <w:rsid w:val="00C33C09"/>
    <w:rsid w:val="00C340FD"/>
    <w:rsid w:val="00C35687"/>
    <w:rsid w:val="00C41786"/>
    <w:rsid w:val="00C43A94"/>
    <w:rsid w:val="00C44132"/>
    <w:rsid w:val="00C454C6"/>
    <w:rsid w:val="00C5098C"/>
    <w:rsid w:val="00C51515"/>
    <w:rsid w:val="00C53E98"/>
    <w:rsid w:val="00C55843"/>
    <w:rsid w:val="00C5660B"/>
    <w:rsid w:val="00C56B52"/>
    <w:rsid w:val="00C639FF"/>
    <w:rsid w:val="00C63B5E"/>
    <w:rsid w:val="00C653F7"/>
    <w:rsid w:val="00C66535"/>
    <w:rsid w:val="00C66B72"/>
    <w:rsid w:val="00C66E2D"/>
    <w:rsid w:val="00C6755A"/>
    <w:rsid w:val="00C71EEF"/>
    <w:rsid w:val="00C72AF4"/>
    <w:rsid w:val="00C75097"/>
    <w:rsid w:val="00C75CF0"/>
    <w:rsid w:val="00C76A3A"/>
    <w:rsid w:val="00C80DF0"/>
    <w:rsid w:val="00C812AB"/>
    <w:rsid w:val="00C8152C"/>
    <w:rsid w:val="00C81BAD"/>
    <w:rsid w:val="00C85D2B"/>
    <w:rsid w:val="00C86556"/>
    <w:rsid w:val="00C86B4F"/>
    <w:rsid w:val="00C86E99"/>
    <w:rsid w:val="00C87AC4"/>
    <w:rsid w:val="00C941AE"/>
    <w:rsid w:val="00C9567A"/>
    <w:rsid w:val="00CA06FE"/>
    <w:rsid w:val="00CA4832"/>
    <w:rsid w:val="00CA4F79"/>
    <w:rsid w:val="00CA571B"/>
    <w:rsid w:val="00CA5724"/>
    <w:rsid w:val="00CA7734"/>
    <w:rsid w:val="00CB0468"/>
    <w:rsid w:val="00CB212D"/>
    <w:rsid w:val="00CB2660"/>
    <w:rsid w:val="00CC03B9"/>
    <w:rsid w:val="00CC0AA8"/>
    <w:rsid w:val="00CC5E90"/>
    <w:rsid w:val="00CC650B"/>
    <w:rsid w:val="00CC6C11"/>
    <w:rsid w:val="00CC77F0"/>
    <w:rsid w:val="00CC7A17"/>
    <w:rsid w:val="00CD046C"/>
    <w:rsid w:val="00CD04CD"/>
    <w:rsid w:val="00CD0890"/>
    <w:rsid w:val="00CD3BF4"/>
    <w:rsid w:val="00CD432C"/>
    <w:rsid w:val="00CE076C"/>
    <w:rsid w:val="00CE1FCC"/>
    <w:rsid w:val="00CE5199"/>
    <w:rsid w:val="00CE64AB"/>
    <w:rsid w:val="00CE66D5"/>
    <w:rsid w:val="00CE7159"/>
    <w:rsid w:val="00CE7539"/>
    <w:rsid w:val="00CF00E2"/>
    <w:rsid w:val="00CF0FF2"/>
    <w:rsid w:val="00CF1D02"/>
    <w:rsid w:val="00CF20F5"/>
    <w:rsid w:val="00CF637A"/>
    <w:rsid w:val="00CF7D05"/>
    <w:rsid w:val="00D002A4"/>
    <w:rsid w:val="00D040CF"/>
    <w:rsid w:val="00D059DE"/>
    <w:rsid w:val="00D05ABD"/>
    <w:rsid w:val="00D061CB"/>
    <w:rsid w:val="00D062E9"/>
    <w:rsid w:val="00D06E4A"/>
    <w:rsid w:val="00D12838"/>
    <w:rsid w:val="00D13977"/>
    <w:rsid w:val="00D13FCE"/>
    <w:rsid w:val="00D23B46"/>
    <w:rsid w:val="00D26AB1"/>
    <w:rsid w:val="00D26AE9"/>
    <w:rsid w:val="00D30181"/>
    <w:rsid w:val="00D306D1"/>
    <w:rsid w:val="00D30800"/>
    <w:rsid w:val="00D312D7"/>
    <w:rsid w:val="00D31489"/>
    <w:rsid w:val="00D32927"/>
    <w:rsid w:val="00D338C1"/>
    <w:rsid w:val="00D34786"/>
    <w:rsid w:val="00D3517C"/>
    <w:rsid w:val="00D377ED"/>
    <w:rsid w:val="00D37BFC"/>
    <w:rsid w:val="00D4011F"/>
    <w:rsid w:val="00D414AC"/>
    <w:rsid w:val="00D41DE8"/>
    <w:rsid w:val="00D424C7"/>
    <w:rsid w:val="00D44C19"/>
    <w:rsid w:val="00D45A92"/>
    <w:rsid w:val="00D470B1"/>
    <w:rsid w:val="00D47A84"/>
    <w:rsid w:val="00D47A8E"/>
    <w:rsid w:val="00D502C5"/>
    <w:rsid w:val="00D50ED7"/>
    <w:rsid w:val="00D52D14"/>
    <w:rsid w:val="00D53664"/>
    <w:rsid w:val="00D544DD"/>
    <w:rsid w:val="00D6173B"/>
    <w:rsid w:val="00D64498"/>
    <w:rsid w:val="00D64D5C"/>
    <w:rsid w:val="00D65449"/>
    <w:rsid w:val="00D665C7"/>
    <w:rsid w:val="00D712D3"/>
    <w:rsid w:val="00D71422"/>
    <w:rsid w:val="00D72D63"/>
    <w:rsid w:val="00D72DC6"/>
    <w:rsid w:val="00D740C2"/>
    <w:rsid w:val="00D7499E"/>
    <w:rsid w:val="00D7558D"/>
    <w:rsid w:val="00D75C1B"/>
    <w:rsid w:val="00D76711"/>
    <w:rsid w:val="00D76BA2"/>
    <w:rsid w:val="00D814D7"/>
    <w:rsid w:val="00D81D92"/>
    <w:rsid w:val="00D835E9"/>
    <w:rsid w:val="00D843F3"/>
    <w:rsid w:val="00D876F9"/>
    <w:rsid w:val="00D912EE"/>
    <w:rsid w:val="00D9145C"/>
    <w:rsid w:val="00D931C0"/>
    <w:rsid w:val="00D955C9"/>
    <w:rsid w:val="00D96AE7"/>
    <w:rsid w:val="00DA17DA"/>
    <w:rsid w:val="00DA7B5F"/>
    <w:rsid w:val="00DA7BD4"/>
    <w:rsid w:val="00DB05F0"/>
    <w:rsid w:val="00DB0750"/>
    <w:rsid w:val="00DB4E3B"/>
    <w:rsid w:val="00DB7B9D"/>
    <w:rsid w:val="00DC103A"/>
    <w:rsid w:val="00DC11E7"/>
    <w:rsid w:val="00DC21EA"/>
    <w:rsid w:val="00DC24E3"/>
    <w:rsid w:val="00DC322F"/>
    <w:rsid w:val="00DC7023"/>
    <w:rsid w:val="00DC751C"/>
    <w:rsid w:val="00DC769A"/>
    <w:rsid w:val="00DD05DB"/>
    <w:rsid w:val="00DD05FF"/>
    <w:rsid w:val="00DD0E7E"/>
    <w:rsid w:val="00DD3D86"/>
    <w:rsid w:val="00DD4AD2"/>
    <w:rsid w:val="00DD58AF"/>
    <w:rsid w:val="00DD65D9"/>
    <w:rsid w:val="00DD67E3"/>
    <w:rsid w:val="00DE003E"/>
    <w:rsid w:val="00DE1289"/>
    <w:rsid w:val="00DE1FAB"/>
    <w:rsid w:val="00DE2862"/>
    <w:rsid w:val="00DE4D3A"/>
    <w:rsid w:val="00DE5A3B"/>
    <w:rsid w:val="00DE6DA5"/>
    <w:rsid w:val="00DE71F5"/>
    <w:rsid w:val="00DE72D6"/>
    <w:rsid w:val="00DF1EC4"/>
    <w:rsid w:val="00DF1F2A"/>
    <w:rsid w:val="00DF3A2B"/>
    <w:rsid w:val="00DF3B41"/>
    <w:rsid w:val="00E004B8"/>
    <w:rsid w:val="00E014FE"/>
    <w:rsid w:val="00E0340B"/>
    <w:rsid w:val="00E0443D"/>
    <w:rsid w:val="00E045BE"/>
    <w:rsid w:val="00E04A90"/>
    <w:rsid w:val="00E053BC"/>
    <w:rsid w:val="00E0551F"/>
    <w:rsid w:val="00E065AE"/>
    <w:rsid w:val="00E06CB8"/>
    <w:rsid w:val="00E06F4B"/>
    <w:rsid w:val="00E103AC"/>
    <w:rsid w:val="00E11BF7"/>
    <w:rsid w:val="00E11CC7"/>
    <w:rsid w:val="00E13475"/>
    <w:rsid w:val="00E164B2"/>
    <w:rsid w:val="00E219C7"/>
    <w:rsid w:val="00E261CD"/>
    <w:rsid w:val="00E269DD"/>
    <w:rsid w:val="00E26E07"/>
    <w:rsid w:val="00E27526"/>
    <w:rsid w:val="00E30A14"/>
    <w:rsid w:val="00E327CD"/>
    <w:rsid w:val="00E40341"/>
    <w:rsid w:val="00E4118C"/>
    <w:rsid w:val="00E42250"/>
    <w:rsid w:val="00E4270A"/>
    <w:rsid w:val="00E43157"/>
    <w:rsid w:val="00E461CE"/>
    <w:rsid w:val="00E463EE"/>
    <w:rsid w:val="00E47876"/>
    <w:rsid w:val="00E504C5"/>
    <w:rsid w:val="00E51B3E"/>
    <w:rsid w:val="00E54BE3"/>
    <w:rsid w:val="00E54C7A"/>
    <w:rsid w:val="00E55AC6"/>
    <w:rsid w:val="00E55FED"/>
    <w:rsid w:val="00E573E4"/>
    <w:rsid w:val="00E621FF"/>
    <w:rsid w:val="00E62A80"/>
    <w:rsid w:val="00E649F8"/>
    <w:rsid w:val="00E64C3D"/>
    <w:rsid w:val="00E67A33"/>
    <w:rsid w:val="00E67EE6"/>
    <w:rsid w:val="00E67F33"/>
    <w:rsid w:val="00E705C2"/>
    <w:rsid w:val="00E720CA"/>
    <w:rsid w:val="00E741D0"/>
    <w:rsid w:val="00E74B2B"/>
    <w:rsid w:val="00E74C7E"/>
    <w:rsid w:val="00E76159"/>
    <w:rsid w:val="00E77506"/>
    <w:rsid w:val="00E77ECA"/>
    <w:rsid w:val="00E80546"/>
    <w:rsid w:val="00E81E22"/>
    <w:rsid w:val="00E82C4E"/>
    <w:rsid w:val="00E84EB5"/>
    <w:rsid w:val="00E85662"/>
    <w:rsid w:val="00E87238"/>
    <w:rsid w:val="00E8789F"/>
    <w:rsid w:val="00E8795E"/>
    <w:rsid w:val="00E93C82"/>
    <w:rsid w:val="00E95A1B"/>
    <w:rsid w:val="00E97B71"/>
    <w:rsid w:val="00EA34A6"/>
    <w:rsid w:val="00EA3D34"/>
    <w:rsid w:val="00EA4D10"/>
    <w:rsid w:val="00EA6055"/>
    <w:rsid w:val="00EB0675"/>
    <w:rsid w:val="00EB0C75"/>
    <w:rsid w:val="00EB18C5"/>
    <w:rsid w:val="00EB32C8"/>
    <w:rsid w:val="00EB454D"/>
    <w:rsid w:val="00EB65E7"/>
    <w:rsid w:val="00EC18CF"/>
    <w:rsid w:val="00EC5F24"/>
    <w:rsid w:val="00ED18D3"/>
    <w:rsid w:val="00ED39AF"/>
    <w:rsid w:val="00ED549D"/>
    <w:rsid w:val="00ED5E10"/>
    <w:rsid w:val="00ED76BE"/>
    <w:rsid w:val="00EE00E9"/>
    <w:rsid w:val="00EE1FD1"/>
    <w:rsid w:val="00EE278C"/>
    <w:rsid w:val="00EE30AB"/>
    <w:rsid w:val="00EE3C8B"/>
    <w:rsid w:val="00EE7337"/>
    <w:rsid w:val="00EE770E"/>
    <w:rsid w:val="00EF04D2"/>
    <w:rsid w:val="00EF1AAA"/>
    <w:rsid w:val="00EF2E33"/>
    <w:rsid w:val="00EF3A9B"/>
    <w:rsid w:val="00EF5292"/>
    <w:rsid w:val="00EF5B0D"/>
    <w:rsid w:val="00EF619B"/>
    <w:rsid w:val="00EF6650"/>
    <w:rsid w:val="00EF735A"/>
    <w:rsid w:val="00EF7991"/>
    <w:rsid w:val="00F006FE"/>
    <w:rsid w:val="00F00A39"/>
    <w:rsid w:val="00F00A56"/>
    <w:rsid w:val="00F00B55"/>
    <w:rsid w:val="00F010D7"/>
    <w:rsid w:val="00F01891"/>
    <w:rsid w:val="00F02AD1"/>
    <w:rsid w:val="00F04028"/>
    <w:rsid w:val="00F04264"/>
    <w:rsid w:val="00F048DE"/>
    <w:rsid w:val="00F10F80"/>
    <w:rsid w:val="00F14088"/>
    <w:rsid w:val="00F140C8"/>
    <w:rsid w:val="00F14B5B"/>
    <w:rsid w:val="00F15594"/>
    <w:rsid w:val="00F1582E"/>
    <w:rsid w:val="00F172D9"/>
    <w:rsid w:val="00F17EA9"/>
    <w:rsid w:val="00F2054E"/>
    <w:rsid w:val="00F211BF"/>
    <w:rsid w:val="00F213D1"/>
    <w:rsid w:val="00F21C5F"/>
    <w:rsid w:val="00F24B29"/>
    <w:rsid w:val="00F253CC"/>
    <w:rsid w:val="00F3345B"/>
    <w:rsid w:val="00F343DC"/>
    <w:rsid w:val="00F34ECB"/>
    <w:rsid w:val="00F35216"/>
    <w:rsid w:val="00F37106"/>
    <w:rsid w:val="00F4152E"/>
    <w:rsid w:val="00F41ECF"/>
    <w:rsid w:val="00F42965"/>
    <w:rsid w:val="00F430AA"/>
    <w:rsid w:val="00F44145"/>
    <w:rsid w:val="00F44E25"/>
    <w:rsid w:val="00F5019C"/>
    <w:rsid w:val="00F519CF"/>
    <w:rsid w:val="00F52594"/>
    <w:rsid w:val="00F52FF1"/>
    <w:rsid w:val="00F54884"/>
    <w:rsid w:val="00F56BA5"/>
    <w:rsid w:val="00F56EDB"/>
    <w:rsid w:val="00F60E22"/>
    <w:rsid w:val="00F61932"/>
    <w:rsid w:val="00F6307F"/>
    <w:rsid w:val="00F703A0"/>
    <w:rsid w:val="00F712FB"/>
    <w:rsid w:val="00F72477"/>
    <w:rsid w:val="00F73CF2"/>
    <w:rsid w:val="00F77793"/>
    <w:rsid w:val="00F80D8F"/>
    <w:rsid w:val="00F81395"/>
    <w:rsid w:val="00F81BB8"/>
    <w:rsid w:val="00F81CF0"/>
    <w:rsid w:val="00F81EA7"/>
    <w:rsid w:val="00F841FC"/>
    <w:rsid w:val="00F86C05"/>
    <w:rsid w:val="00F90C64"/>
    <w:rsid w:val="00F917D1"/>
    <w:rsid w:val="00F92228"/>
    <w:rsid w:val="00F9653B"/>
    <w:rsid w:val="00F96D3F"/>
    <w:rsid w:val="00FA08C8"/>
    <w:rsid w:val="00FA0E74"/>
    <w:rsid w:val="00FA119D"/>
    <w:rsid w:val="00FA2719"/>
    <w:rsid w:val="00FA3384"/>
    <w:rsid w:val="00FA34D2"/>
    <w:rsid w:val="00FA65A8"/>
    <w:rsid w:val="00FB400F"/>
    <w:rsid w:val="00FB5791"/>
    <w:rsid w:val="00FB62CF"/>
    <w:rsid w:val="00FB668A"/>
    <w:rsid w:val="00FC11F7"/>
    <w:rsid w:val="00FC31DB"/>
    <w:rsid w:val="00FC7C0E"/>
    <w:rsid w:val="00FD146E"/>
    <w:rsid w:val="00FD3C3B"/>
    <w:rsid w:val="00FE07DD"/>
    <w:rsid w:val="00FE13DB"/>
    <w:rsid w:val="00FE1C71"/>
    <w:rsid w:val="00FE29F5"/>
    <w:rsid w:val="00FE3C8F"/>
    <w:rsid w:val="00FE430A"/>
    <w:rsid w:val="00FE4A1C"/>
    <w:rsid w:val="00FE52F8"/>
    <w:rsid w:val="00FE6B45"/>
    <w:rsid w:val="00FF05B6"/>
    <w:rsid w:val="00FF383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3067"/>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4D7"/>
    <w:rPr>
      <w:sz w:val="16"/>
      <w:szCs w:val="16"/>
    </w:rPr>
  </w:style>
  <w:style w:type="paragraph" w:styleId="CommentText">
    <w:name w:val="annotation text"/>
    <w:basedOn w:val="Normal"/>
    <w:link w:val="CommentTextChar"/>
    <w:uiPriority w:val="99"/>
    <w:semiHidden/>
    <w:unhideWhenUsed/>
    <w:rsid w:val="00D814D7"/>
    <w:rPr>
      <w:sz w:val="20"/>
      <w:szCs w:val="20"/>
    </w:rPr>
  </w:style>
  <w:style w:type="character" w:customStyle="1" w:styleId="CommentTextChar">
    <w:name w:val="Comment Text Char"/>
    <w:basedOn w:val="DefaultParagraphFont"/>
    <w:link w:val="CommentText"/>
    <w:uiPriority w:val="99"/>
    <w:semiHidden/>
    <w:rsid w:val="00D814D7"/>
    <w:rPr>
      <w:lang w:val="en-US" w:eastAsia="en-US"/>
    </w:rPr>
  </w:style>
  <w:style w:type="paragraph" w:styleId="CommentSubject">
    <w:name w:val="annotation subject"/>
    <w:basedOn w:val="CommentText"/>
    <w:next w:val="CommentText"/>
    <w:link w:val="CommentSubjectChar"/>
    <w:uiPriority w:val="99"/>
    <w:semiHidden/>
    <w:unhideWhenUsed/>
    <w:rsid w:val="00D814D7"/>
    <w:rPr>
      <w:b/>
      <w:bCs/>
    </w:rPr>
  </w:style>
  <w:style w:type="character" w:customStyle="1" w:styleId="CommentSubjectChar">
    <w:name w:val="Comment Subject Char"/>
    <w:basedOn w:val="CommentTextChar"/>
    <w:link w:val="CommentSubject"/>
    <w:uiPriority w:val="99"/>
    <w:semiHidden/>
    <w:rsid w:val="00D814D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60853">
      <w:bodyDiv w:val="1"/>
      <w:marLeft w:val="0"/>
      <w:marRight w:val="0"/>
      <w:marTop w:val="0"/>
      <w:marBottom w:val="0"/>
      <w:divBdr>
        <w:top w:val="none" w:sz="0" w:space="0" w:color="auto"/>
        <w:left w:val="none" w:sz="0" w:space="0" w:color="auto"/>
        <w:bottom w:val="none" w:sz="0" w:space="0" w:color="auto"/>
        <w:right w:val="none" w:sz="0" w:space="0" w:color="auto"/>
      </w:divBdr>
    </w:div>
    <w:div w:id="924342938">
      <w:bodyDiv w:val="1"/>
      <w:marLeft w:val="0"/>
      <w:marRight w:val="0"/>
      <w:marTop w:val="0"/>
      <w:marBottom w:val="0"/>
      <w:divBdr>
        <w:top w:val="none" w:sz="0" w:space="0" w:color="auto"/>
        <w:left w:val="none" w:sz="0" w:space="0" w:color="auto"/>
        <w:bottom w:val="none" w:sz="0" w:space="0" w:color="auto"/>
        <w:right w:val="none" w:sz="0" w:space="0" w:color="auto"/>
      </w:divBdr>
    </w:div>
    <w:div w:id="119388462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43782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8348167">
      <w:bodyDiv w:val="1"/>
      <w:marLeft w:val="0"/>
      <w:marRight w:val="0"/>
      <w:marTop w:val="0"/>
      <w:marBottom w:val="0"/>
      <w:divBdr>
        <w:top w:val="none" w:sz="0" w:space="0" w:color="auto"/>
        <w:left w:val="none" w:sz="0" w:space="0" w:color="auto"/>
        <w:bottom w:val="none" w:sz="0" w:space="0" w:color="auto"/>
        <w:right w:val="none" w:sz="0" w:space="0" w:color="auto"/>
      </w:divBdr>
    </w:div>
    <w:div w:id="20970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5F6"/>
    <w:rsid w:val="00014908"/>
    <w:rsid w:val="00121D24"/>
    <w:rsid w:val="001B0AA5"/>
    <w:rsid w:val="00200821"/>
    <w:rsid w:val="00240AA8"/>
    <w:rsid w:val="0025245B"/>
    <w:rsid w:val="002A3923"/>
    <w:rsid w:val="002E1EB2"/>
    <w:rsid w:val="002E7758"/>
    <w:rsid w:val="00394049"/>
    <w:rsid w:val="003B0C71"/>
    <w:rsid w:val="003B24DF"/>
    <w:rsid w:val="003C7F00"/>
    <w:rsid w:val="00410510"/>
    <w:rsid w:val="004255E4"/>
    <w:rsid w:val="00444E42"/>
    <w:rsid w:val="004871C8"/>
    <w:rsid w:val="00493755"/>
    <w:rsid w:val="004B5BBB"/>
    <w:rsid w:val="004F2DF8"/>
    <w:rsid w:val="00517E2A"/>
    <w:rsid w:val="0068775B"/>
    <w:rsid w:val="006F24A1"/>
    <w:rsid w:val="0071058C"/>
    <w:rsid w:val="007D1633"/>
    <w:rsid w:val="008D01A6"/>
    <w:rsid w:val="00933333"/>
    <w:rsid w:val="009A261B"/>
    <w:rsid w:val="00AA2E17"/>
    <w:rsid w:val="00AC15A4"/>
    <w:rsid w:val="00B0336C"/>
    <w:rsid w:val="00B56312"/>
    <w:rsid w:val="00BD5332"/>
    <w:rsid w:val="00CA1039"/>
    <w:rsid w:val="00CD736A"/>
    <w:rsid w:val="00D241E9"/>
    <w:rsid w:val="00D42553"/>
    <w:rsid w:val="00D51289"/>
    <w:rsid w:val="00D60EF9"/>
    <w:rsid w:val="00D62F14"/>
    <w:rsid w:val="00D7750D"/>
    <w:rsid w:val="00DF1D14"/>
    <w:rsid w:val="00ED4A14"/>
    <w:rsid w:val="00F00D2F"/>
    <w:rsid w:val="00F128DF"/>
    <w:rsid w:val="00F43BED"/>
    <w:rsid w:val="00FD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E699-7F00-4AAC-9011-DE1B0385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8053</Words>
  <Characters>41476</Characters>
  <Application>Microsoft Office Word</Application>
  <DocSecurity>0</DocSecurity>
  <Lines>782</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283/21</dc:title>
  <dc:subject/>
  <dc:creator/>
  <cp:keywords/>
  <dc:description/>
  <cp:lastModifiedBy/>
  <cp:revision>1</cp:revision>
  <dcterms:created xsi:type="dcterms:W3CDTF">2022-02-07T20:36:00Z</dcterms:created>
  <dcterms:modified xsi:type="dcterms:W3CDTF">2022-02-07T20:36:00Z</dcterms:modified>
</cp:coreProperties>
</file>