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1BB3" w14:textId="231088E5" w:rsidR="00040C3A" w:rsidRPr="00006B74" w:rsidRDefault="00C856E9" w:rsidP="00627C9F">
      <w:pPr>
        <w:jc w:val="both"/>
        <w:rPr>
          <w:rFonts w:asciiTheme="majorHAnsi" w:hAnsiTheme="majorHAnsi" w:cs="Univers"/>
          <w:b/>
          <w:bCs/>
          <w:sz w:val="22"/>
          <w:szCs w:val="22"/>
          <w:lang w:val="es-ES"/>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4C6076EF" wp14:editId="2DDE9B52">
                <wp:simplePos x="0" y="0"/>
                <wp:positionH relativeFrom="column">
                  <wp:posOffset>-304413</wp:posOffset>
                </wp:positionH>
                <wp:positionV relativeFrom="paragraph">
                  <wp:posOffset>-370840</wp:posOffset>
                </wp:positionV>
                <wp:extent cx="1409700" cy="8977630"/>
                <wp:effectExtent l="0" t="0" r="0" b="127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A029" id="Rectangle 1" o:spid="_x0000_s1026" style="position:absolute;margin-left:-23.95pt;margin-top:-29.2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" fillcolor="#67ae3c"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501C6DA2">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2DBF5AB4" w:rsidR="0084056C" w:rsidRDefault="0084056C" w:rsidP="00AE5488">
                            <w:r>
                              <w:rPr>
                                <w:noProof/>
                              </w:rPr>
                              <w:drawing>
                                <wp:inline distT="0" distB="0" distL="0" distR="0" wp14:anchorId="210784EF" wp14:editId="38837AA0">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2DBF5AB4" w:rsidR="0084056C" w:rsidRDefault="0084056C" w:rsidP="00AE5488">
                      <w:r>
                        <w:rPr>
                          <w:noProof/>
                        </w:rPr>
                        <w:drawing>
                          <wp:inline distT="0" distB="0" distL="0" distR="0" wp14:anchorId="210784EF" wp14:editId="38837AA0">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70ABB2CA">
                <wp:simplePos x="0" y="0"/>
                <wp:positionH relativeFrom="column">
                  <wp:posOffset>1361017</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6663504" w:rsidR="0084056C" w:rsidRPr="00246553" w:rsidRDefault="0084056C" w:rsidP="00997BC5">
                            <w:pPr>
                              <w:spacing w:line="276" w:lineRule="auto"/>
                              <w:rPr>
                                <w:rFonts w:asciiTheme="majorHAnsi" w:hAnsiTheme="majorHAnsi" w:cs="Arial"/>
                                <w:b/>
                                <w:bCs/>
                                <w:color w:val="0D0D0D" w:themeColor="text1" w:themeTint="F2"/>
                                <w:sz w:val="36"/>
                                <w:szCs w:val="22"/>
                              </w:rPr>
                            </w:pPr>
                            <w:r w:rsidRPr="00246553">
                              <w:rPr>
                                <w:rFonts w:asciiTheme="majorHAnsi" w:hAnsiTheme="majorHAnsi" w:cs="Arial"/>
                                <w:b/>
                                <w:bCs/>
                                <w:color w:val="0D0D0D" w:themeColor="text1" w:themeTint="F2"/>
                                <w:sz w:val="36"/>
                                <w:szCs w:val="22"/>
                              </w:rPr>
                              <w:t xml:space="preserve">REPORT </w:t>
                            </w:r>
                            <w:r w:rsidRPr="00246553">
                              <w:rPr>
                                <w:rFonts w:asciiTheme="majorHAnsi" w:hAnsiTheme="majorHAnsi" w:cs="Arial"/>
                                <w:b/>
                                <w:bCs/>
                                <w:color w:val="0D0D0D" w:themeColor="text1" w:themeTint="F2"/>
                                <w:sz w:val="36"/>
                                <w:szCs w:val="40"/>
                              </w:rPr>
                              <w:t>No.</w:t>
                            </w:r>
                            <w:r w:rsidRPr="00246553">
                              <w:rPr>
                                <w:rFonts w:asciiTheme="majorHAnsi" w:hAnsiTheme="majorHAnsi" w:cs="Arial"/>
                                <w:b/>
                                <w:bCs/>
                                <w:color w:val="0D0D0D" w:themeColor="text1" w:themeTint="F2"/>
                                <w:sz w:val="36"/>
                                <w:szCs w:val="22"/>
                              </w:rPr>
                              <w:t xml:space="preserve"> </w:t>
                            </w:r>
                            <w:r w:rsidR="00F807AA">
                              <w:rPr>
                                <w:rFonts w:asciiTheme="majorHAnsi" w:hAnsiTheme="majorHAnsi" w:cs="Arial"/>
                                <w:b/>
                                <w:bCs/>
                                <w:color w:val="0D0D0D" w:themeColor="text1" w:themeTint="F2"/>
                                <w:sz w:val="36"/>
                                <w:szCs w:val="22"/>
                              </w:rPr>
                              <w:t>193</w:t>
                            </w:r>
                            <w:r w:rsidRPr="00246553">
                              <w:rPr>
                                <w:rFonts w:asciiTheme="majorHAnsi" w:hAnsiTheme="majorHAnsi" w:cs="Arial"/>
                                <w:b/>
                                <w:bCs/>
                                <w:color w:val="0D0D0D" w:themeColor="text1" w:themeTint="F2"/>
                                <w:sz w:val="36"/>
                                <w:szCs w:val="22"/>
                              </w:rPr>
                              <w:t>/2</w:t>
                            </w:r>
                            <w:r w:rsidR="000173CD">
                              <w:rPr>
                                <w:rFonts w:asciiTheme="majorHAnsi" w:hAnsiTheme="majorHAnsi" w:cs="Arial"/>
                                <w:b/>
                                <w:bCs/>
                                <w:color w:val="0D0D0D" w:themeColor="text1" w:themeTint="F2"/>
                                <w:sz w:val="36"/>
                                <w:szCs w:val="22"/>
                              </w:rPr>
                              <w:t>1</w:t>
                            </w:r>
                          </w:p>
                          <w:p w14:paraId="09C54AB3" w14:textId="059F72F3" w:rsidR="0084056C" w:rsidRPr="00015FBD" w:rsidRDefault="0084056C" w:rsidP="00997BC5">
                            <w:pPr>
                              <w:spacing w:line="276" w:lineRule="auto"/>
                              <w:rPr>
                                <w:rFonts w:asciiTheme="majorHAnsi" w:hAnsiTheme="majorHAnsi" w:cs="Arial"/>
                                <w:b/>
                                <w:color w:val="0D0D0D" w:themeColor="text1" w:themeTint="F2"/>
                                <w:sz w:val="36"/>
                                <w:szCs w:val="22"/>
                              </w:rPr>
                            </w:pPr>
                            <w:r w:rsidRPr="00015FBD">
                              <w:rPr>
                                <w:rFonts w:asciiTheme="majorHAnsi" w:hAnsiTheme="majorHAnsi" w:cs="Arial"/>
                                <w:b/>
                                <w:color w:val="0D0D0D" w:themeColor="text1" w:themeTint="F2"/>
                                <w:sz w:val="36"/>
                                <w:szCs w:val="22"/>
                              </w:rPr>
                              <w:t xml:space="preserve">PETITION </w:t>
                            </w:r>
                            <w:r w:rsidR="000173CD">
                              <w:rPr>
                                <w:rFonts w:asciiTheme="majorHAnsi" w:hAnsiTheme="majorHAnsi" w:cs="Arial"/>
                                <w:b/>
                                <w:color w:val="0D0D0D" w:themeColor="text1" w:themeTint="F2"/>
                                <w:sz w:val="36"/>
                                <w:szCs w:val="22"/>
                              </w:rPr>
                              <w:t>1833-12</w:t>
                            </w:r>
                          </w:p>
                          <w:p w14:paraId="70CF6833" w14:textId="3CB1BB73"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REPORT ON INADMISSIBILITY</w:t>
                            </w:r>
                          </w:p>
                          <w:p w14:paraId="5FDD6F0D" w14:textId="77777777" w:rsidR="0084056C" w:rsidRPr="00015FBD" w:rsidRDefault="0084056C" w:rsidP="00997BC5">
                            <w:pPr>
                              <w:spacing w:line="276" w:lineRule="auto"/>
                              <w:rPr>
                                <w:rFonts w:asciiTheme="majorHAnsi" w:hAnsiTheme="majorHAnsi" w:cs="Arial"/>
                                <w:color w:val="0D0D0D" w:themeColor="text1" w:themeTint="F2"/>
                                <w:szCs w:val="22"/>
                              </w:rPr>
                            </w:pPr>
                            <w:bookmarkStart w:id="0" w:name="_ftnref1"/>
                          </w:p>
                          <w:p w14:paraId="4CFA2FBF" w14:textId="351E5075" w:rsidR="0084056C" w:rsidRPr="00EF765A" w:rsidRDefault="000173CD" w:rsidP="00997BC5">
                            <w:pPr>
                              <w:spacing w:line="276" w:lineRule="auto"/>
                              <w:rPr>
                                <w:rFonts w:asciiTheme="majorHAnsi" w:hAnsiTheme="majorHAnsi" w:cs="Arial"/>
                                <w:color w:val="0D0D0D" w:themeColor="text1" w:themeTint="F2"/>
                                <w:szCs w:val="22"/>
                              </w:rPr>
                            </w:pPr>
                            <w:r w:rsidRPr="00EF765A">
                              <w:rPr>
                                <w:rFonts w:asciiTheme="majorHAnsi" w:hAnsiTheme="majorHAnsi" w:cs="Arial"/>
                                <w:color w:val="0D0D0D" w:themeColor="text1" w:themeTint="F2"/>
                                <w:szCs w:val="22"/>
                              </w:rPr>
                              <w:t>ALFONSO RAFAEL LÓPEZ LARA AND OTHERS</w:t>
                            </w:r>
                          </w:p>
                          <w:bookmarkEnd w:id="0"/>
                          <w:p w14:paraId="35068D0D" w14:textId="2520E39D" w:rsidR="0084056C" w:rsidRPr="00246553" w:rsidRDefault="000173CD"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COLOMBIA</w:t>
                            </w:r>
                          </w:p>
                          <w:p w14:paraId="575DFD52" w14:textId="77777777" w:rsidR="0084056C" w:rsidRPr="00246553" w:rsidRDefault="0084056C"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7.1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" filled="f" stroked="f" strokeweight=".5pt">
                <v:textbox>
                  <w:txbxContent>
                    <w:p w14:paraId="4D9FE29C" w14:textId="36663504" w:rsidR="0084056C" w:rsidRPr="00246553" w:rsidRDefault="0084056C" w:rsidP="00997BC5">
                      <w:pPr>
                        <w:spacing w:line="276" w:lineRule="auto"/>
                        <w:rPr>
                          <w:rFonts w:asciiTheme="majorHAnsi" w:hAnsiTheme="majorHAnsi" w:cs="Arial"/>
                          <w:b/>
                          <w:bCs/>
                          <w:color w:val="0D0D0D" w:themeColor="text1" w:themeTint="F2"/>
                          <w:sz w:val="36"/>
                          <w:szCs w:val="22"/>
                        </w:rPr>
                      </w:pPr>
                      <w:r w:rsidRPr="00246553">
                        <w:rPr>
                          <w:rFonts w:asciiTheme="majorHAnsi" w:hAnsiTheme="majorHAnsi" w:cs="Arial"/>
                          <w:b/>
                          <w:bCs/>
                          <w:color w:val="0D0D0D" w:themeColor="text1" w:themeTint="F2"/>
                          <w:sz w:val="36"/>
                          <w:szCs w:val="22"/>
                        </w:rPr>
                        <w:t xml:space="preserve">REPORT </w:t>
                      </w:r>
                      <w:r w:rsidRPr="00246553">
                        <w:rPr>
                          <w:rFonts w:asciiTheme="majorHAnsi" w:hAnsiTheme="majorHAnsi" w:cs="Arial"/>
                          <w:b/>
                          <w:bCs/>
                          <w:color w:val="0D0D0D" w:themeColor="text1" w:themeTint="F2"/>
                          <w:sz w:val="36"/>
                          <w:szCs w:val="40"/>
                        </w:rPr>
                        <w:t>No.</w:t>
                      </w:r>
                      <w:r w:rsidRPr="00246553">
                        <w:rPr>
                          <w:rFonts w:asciiTheme="majorHAnsi" w:hAnsiTheme="majorHAnsi" w:cs="Arial"/>
                          <w:b/>
                          <w:bCs/>
                          <w:color w:val="0D0D0D" w:themeColor="text1" w:themeTint="F2"/>
                          <w:sz w:val="36"/>
                          <w:szCs w:val="22"/>
                        </w:rPr>
                        <w:t xml:space="preserve"> </w:t>
                      </w:r>
                      <w:r w:rsidR="00F807AA">
                        <w:rPr>
                          <w:rFonts w:asciiTheme="majorHAnsi" w:hAnsiTheme="majorHAnsi" w:cs="Arial"/>
                          <w:b/>
                          <w:bCs/>
                          <w:color w:val="0D0D0D" w:themeColor="text1" w:themeTint="F2"/>
                          <w:sz w:val="36"/>
                          <w:szCs w:val="22"/>
                        </w:rPr>
                        <w:t>193</w:t>
                      </w:r>
                      <w:r w:rsidRPr="00246553">
                        <w:rPr>
                          <w:rFonts w:asciiTheme="majorHAnsi" w:hAnsiTheme="majorHAnsi" w:cs="Arial"/>
                          <w:b/>
                          <w:bCs/>
                          <w:color w:val="0D0D0D" w:themeColor="text1" w:themeTint="F2"/>
                          <w:sz w:val="36"/>
                          <w:szCs w:val="22"/>
                        </w:rPr>
                        <w:t>/2</w:t>
                      </w:r>
                      <w:r w:rsidR="000173CD">
                        <w:rPr>
                          <w:rFonts w:asciiTheme="majorHAnsi" w:hAnsiTheme="majorHAnsi" w:cs="Arial"/>
                          <w:b/>
                          <w:bCs/>
                          <w:color w:val="0D0D0D" w:themeColor="text1" w:themeTint="F2"/>
                          <w:sz w:val="36"/>
                          <w:szCs w:val="22"/>
                        </w:rPr>
                        <w:t>1</w:t>
                      </w:r>
                    </w:p>
                    <w:p w14:paraId="09C54AB3" w14:textId="059F72F3" w:rsidR="0084056C" w:rsidRPr="00015FBD" w:rsidRDefault="0084056C" w:rsidP="00997BC5">
                      <w:pPr>
                        <w:spacing w:line="276" w:lineRule="auto"/>
                        <w:rPr>
                          <w:rFonts w:asciiTheme="majorHAnsi" w:hAnsiTheme="majorHAnsi" w:cs="Arial"/>
                          <w:b/>
                          <w:color w:val="0D0D0D" w:themeColor="text1" w:themeTint="F2"/>
                          <w:sz w:val="36"/>
                          <w:szCs w:val="22"/>
                        </w:rPr>
                      </w:pPr>
                      <w:r w:rsidRPr="00015FBD">
                        <w:rPr>
                          <w:rFonts w:asciiTheme="majorHAnsi" w:hAnsiTheme="majorHAnsi" w:cs="Arial"/>
                          <w:b/>
                          <w:color w:val="0D0D0D" w:themeColor="text1" w:themeTint="F2"/>
                          <w:sz w:val="36"/>
                          <w:szCs w:val="22"/>
                        </w:rPr>
                        <w:t xml:space="preserve">PETITION </w:t>
                      </w:r>
                      <w:r w:rsidR="000173CD">
                        <w:rPr>
                          <w:rFonts w:asciiTheme="majorHAnsi" w:hAnsiTheme="majorHAnsi" w:cs="Arial"/>
                          <w:b/>
                          <w:color w:val="0D0D0D" w:themeColor="text1" w:themeTint="F2"/>
                          <w:sz w:val="36"/>
                          <w:szCs w:val="22"/>
                        </w:rPr>
                        <w:t>1833-12</w:t>
                      </w:r>
                    </w:p>
                    <w:p w14:paraId="70CF6833" w14:textId="3CB1BB73" w:rsidR="0084056C" w:rsidRPr="00015FBD" w:rsidRDefault="0084056C" w:rsidP="00997BC5">
                      <w:pPr>
                        <w:spacing w:line="276" w:lineRule="auto"/>
                        <w:rPr>
                          <w:rFonts w:asciiTheme="majorHAnsi" w:hAnsiTheme="majorHAnsi" w:cs="Arial"/>
                          <w:color w:val="0D0D0D" w:themeColor="text1" w:themeTint="F2"/>
                          <w:szCs w:val="22"/>
                        </w:rPr>
                      </w:pPr>
                      <w:r w:rsidRPr="00015FBD">
                        <w:rPr>
                          <w:rFonts w:asciiTheme="majorHAnsi" w:hAnsiTheme="majorHAnsi" w:cs="Arial"/>
                          <w:color w:val="0D0D0D" w:themeColor="text1" w:themeTint="F2"/>
                          <w:szCs w:val="22"/>
                        </w:rPr>
                        <w:t>REPORT ON INADMISSIBILITY</w:t>
                      </w:r>
                    </w:p>
                    <w:p w14:paraId="5FDD6F0D" w14:textId="77777777" w:rsidR="0084056C" w:rsidRPr="00015FBD" w:rsidRDefault="0084056C" w:rsidP="00997BC5">
                      <w:pPr>
                        <w:spacing w:line="276" w:lineRule="auto"/>
                        <w:rPr>
                          <w:rFonts w:asciiTheme="majorHAnsi" w:hAnsiTheme="majorHAnsi" w:cs="Arial"/>
                          <w:color w:val="0D0D0D" w:themeColor="text1" w:themeTint="F2"/>
                          <w:szCs w:val="22"/>
                        </w:rPr>
                      </w:pPr>
                      <w:bookmarkStart w:id="1" w:name="_ftnref1"/>
                    </w:p>
                    <w:p w14:paraId="4CFA2FBF" w14:textId="351E5075" w:rsidR="0084056C" w:rsidRPr="00EF765A" w:rsidRDefault="000173CD" w:rsidP="00997BC5">
                      <w:pPr>
                        <w:spacing w:line="276" w:lineRule="auto"/>
                        <w:rPr>
                          <w:rFonts w:asciiTheme="majorHAnsi" w:hAnsiTheme="majorHAnsi" w:cs="Arial"/>
                          <w:color w:val="0D0D0D" w:themeColor="text1" w:themeTint="F2"/>
                          <w:szCs w:val="22"/>
                        </w:rPr>
                      </w:pPr>
                      <w:r w:rsidRPr="00EF765A">
                        <w:rPr>
                          <w:rFonts w:asciiTheme="majorHAnsi" w:hAnsiTheme="majorHAnsi" w:cs="Arial"/>
                          <w:color w:val="0D0D0D" w:themeColor="text1" w:themeTint="F2"/>
                          <w:szCs w:val="22"/>
                        </w:rPr>
                        <w:t>ALFONSO RAFAEL LÓPEZ LARA AND OTHERS</w:t>
                      </w:r>
                    </w:p>
                    <w:bookmarkEnd w:id="1"/>
                    <w:p w14:paraId="35068D0D" w14:textId="2520E39D" w:rsidR="0084056C" w:rsidRPr="00246553" w:rsidRDefault="000173CD"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COLOMBIA</w:t>
                      </w:r>
                    </w:p>
                    <w:p w14:paraId="575DFD52" w14:textId="77777777" w:rsidR="0084056C" w:rsidRPr="00246553" w:rsidRDefault="0084056C" w:rsidP="007A5817">
                      <w:pPr>
                        <w:rPr>
                          <w:color w:val="0D0D0D" w:themeColor="text1" w:themeTint="F2"/>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A0CA157"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86FD31D"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F807AA">
                              <w:rPr>
                                <w:rFonts w:asciiTheme="minorHAnsi" w:hAnsiTheme="minorHAnsi"/>
                                <w:color w:val="FFFFFF" w:themeColor="background1"/>
                                <w:sz w:val="22"/>
                                <w:lang w:val="pt-BR"/>
                              </w:rPr>
                              <w:t>201</w:t>
                            </w:r>
                          </w:p>
                          <w:p w14:paraId="69373ED2" w14:textId="64279C29" w:rsidR="0084056C" w:rsidRPr="00424D6B" w:rsidRDefault="00F807A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7 </w:t>
                            </w:r>
                            <w:proofErr w:type="spellStart"/>
                            <w:r>
                              <w:rPr>
                                <w:rFonts w:asciiTheme="minorHAnsi" w:hAnsiTheme="minorHAnsi"/>
                                <w:color w:val="FFFFFF" w:themeColor="background1"/>
                                <w:sz w:val="22"/>
                                <w:lang w:val="es-MX"/>
                              </w:rPr>
                              <w:t>September</w:t>
                            </w:r>
                            <w:proofErr w:type="spellEnd"/>
                            <w:r w:rsidR="0084056C" w:rsidRPr="00424D6B">
                              <w:rPr>
                                <w:rFonts w:asciiTheme="minorHAnsi" w:hAnsiTheme="minorHAnsi"/>
                                <w:color w:val="FFFFFF" w:themeColor="background1"/>
                                <w:sz w:val="22"/>
                                <w:lang w:val="es-MX"/>
                              </w:rPr>
                              <w:t xml:space="preserve"> 202</w:t>
                            </w:r>
                            <w:r w:rsidR="000173CD">
                              <w:rPr>
                                <w:rFonts w:asciiTheme="minorHAnsi" w:hAnsiTheme="minorHAnsi"/>
                                <w:color w:val="FFFFFF" w:themeColor="background1"/>
                                <w:sz w:val="22"/>
                                <w:lang w:val="es-MX"/>
                              </w:rPr>
                              <w:t>1</w:t>
                            </w:r>
                          </w:p>
                          <w:p w14:paraId="0771DB5B" w14:textId="54C9C064" w:rsidR="0084056C" w:rsidRPr="00424D6B" w:rsidRDefault="0084056C"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proofErr w:type="spellStart"/>
                            <w:r w:rsidR="006A2653">
                              <w:rPr>
                                <w:rFonts w:asciiTheme="minorHAnsi" w:hAnsiTheme="minorHAnsi"/>
                                <w:color w:val="FFFFFF" w:themeColor="background1"/>
                                <w:sz w:val="22"/>
                                <w:lang w:val="es-MX"/>
                              </w:rPr>
                              <w:t>Spanish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A0CA157"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086FD31D" w:rsidR="0084056C" w:rsidRPr="00935F06" w:rsidRDefault="0084056C"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 xml:space="preserve">Doc. </w:t>
                      </w:r>
                      <w:r w:rsidR="00F807AA">
                        <w:rPr>
                          <w:rFonts w:asciiTheme="minorHAnsi" w:hAnsiTheme="minorHAnsi"/>
                          <w:color w:val="FFFFFF" w:themeColor="background1"/>
                          <w:sz w:val="22"/>
                          <w:lang w:val="pt-BR"/>
                        </w:rPr>
                        <w:t>201</w:t>
                      </w:r>
                    </w:p>
                    <w:p w14:paraId="69373ED2" w14:textId="64279C29" w:rsidR="0084056C" w:rsidRPr="00424D6B" w:rsidRDefault="00F807AA" w:rsidP="007A5817">
                      <w:pPr>
                        <w:spacing w:line="276" w:lineRule="auto"/>
                        <w:jc w:val="right"/>
                        <w:rPr>
                          <w:rFonts w:asciiTheme="minorHAnsi" w:hAnsiTheme="minorHAnsi"/>
                          <w:color w:val="FFFFFF" w:themeColor="background1"/>
                          <w:sz w:val="22"/>
                          <w:lang w:val="es-MX"/>
                        </w:rPr>
                      </w:pPr>
                      <w:r>
                        <w:rPr>
                          <w:rFonts w:asciiTheme="minorHAnsi" w:hAnsiTheme="minorHAnsi"/>
                          <w:color w:val="FFFFFF" w:themeColor="background1"/>
                          <w:sz w:val="22"/>
                          <w:lang w:val="es-MX"/>
                        </w:rPr>
                        <w:t xml:space="preserve">7 </w:t>
                      </w:r>
                      <w:proofErr w:type="spellStart"/>
                      <w:r>
                        <w:rPr>
                          <w:rFonts w:asciiTheme="minorHAnsi" w:hAnsiTheme="minorHAnsi"/>
                          <w:color w:val="FFFFFF" w:themeColor="background1"/>
                          <w:sz w:val="22"/>
                          <w:lang w:val="es-MX"/>
                        </w:rPr>
                        <w:t>September</w:t>
                      </w:r>
                      <w:proofErr w:type="spellEnd"/>
                      <w:r w:rsidR="0084056C" w:rsidRPr="00424D6B">
                        <w:rPr>
                          <w:rFonts w:asciiTheme="minorHAnsi" w:hAnsiTheme="minorHAnsi"/>
                          <w:color w:val="FFFFFF" w:themeColor="background1"/>
                          <w:sz w:val="22"/>
                          <w:lang w:val="es-MX"/>
                        </w:rPr>
                        <w:t xml:space="preserve"> 202</w:t>
                      </w:r>
                      <w:r w:rsidR="000173CD">
                        <w:rPr>
                          <w:rFonts w:asciiTheme="minorHAnsi" w:hAnsiTheme="minorHAnsi"/>
                          <w:color w:val="FFFFFF" w:themeColor="background1"/>
                          <w:sz w:val="22"/>
                          <w:lang w:val="es-MX"/>
                        </w:rPr>
                        <w:t>1</w:t>
                      </w:r>
                    </w:p>
                    <w:p w14:paraId="0771DB5B" w14:textId="54C9C064" w:rsidR="0084056C" w:rsidRPr="00424D6B" w:rsidRDefault="0084056C" w:rsidP="007A5817">
                      <w:pPr>
                        <w:spacing w:line="276" w:lineRule="auto"/>
                        <w:jc w:val="right"/>
                        <w:rPr>
                          <w:rFonts w:asciiTheme="minorHAnsi" w:hAnsiTheme="minorHAnsi"/>
                          <w:color w:val="FFFFFF" w:themeColor="background1"/>
                          <w:sz w:val="22"/>
                          <w:lang w:val="es-MX"/>
                        </w:rPr>
                      </w:pPr>
                      <w:r w:rsidRPr="00424D6B">
                        <w:rPr>
                          <w:rFonts w:asciiTheme="minorHAnsi" w:hAnsiTheme="minorHAnsi"/>
                          <w:color w:val="FFFFFF" w:themeColor="background1"/>
                          <w:sz w:val="22"/>
                          <w:lang w:val="es-MX"/>
                        </w:rPr>
                        <w:t xml:space="preserve">Original: </w:t>
                      </w:r>
                      <w:proofErr w:type="spellStart"/>
                      <w:r w:rsidR="006A2653">
                        <w:rPr>
                          <w:rFonts w:asciiTheme="minorHAnsi" w:hAnsiTheme="minorHAnsi"/>
                          <w:color w:val="FFFFFF" w:themeColor="background1"/>
                          <w:sz w:val="22"/>
                          <w:lang w:val="es-MX"/>
                        </w:rPr>
                        <w:t>Spanish</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4AC833" w14:textId="6BBF4775" w:rsidR="0084056C" w:rsidRPr="003C32BC" w:rsidRDefault="00F807AA" w:rsidP="00015FB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w:t>
                            </w:r>
                            <w:r w:rsidR="0084056C">
                              <w:rPr>
                                <w:rFonts w:asciiTheme="majorHAnsi" w:hAnsiTheme="majorHAnsi" w:cs="Univers"/>
                                <w:color w:val="0D0D0D" w:themeColor="text1" w:themeTint="F2"/>
                                <w:sz w:val="18"/>
                                <w:szCs w:val="20"/>
                              </w:rPr>
                              <w:t xml:space="preserve">lectronically by the Commission on </w:t>
                            </w:r>
                            <w:r>
                              <w:rPr>
                                <w:rFonts w:asciiTheme="majorHAnsi" w:hAnsiTheme="majorHAnsi" w:cs="Univers"/>
                                <w:color w:val="0D0D0D" w:themeColor="text1" w:themeTint="F2"/>
                                <w:sz w:val="18"/>
                                <w:szCs w:val="20"/>
                              </w:rPr>
                              <w:t>September 7, 2021</w:t>
                            </w:r>
                            <w:r w:rsidR="0032721B">
                              <w:rPr>
                                <w:rFonts w:asciiTheme="majorHAnsi" w:hAnsiTheme="majorHAnsi" w:cs="Univers"/>
                                <w:color w:val="0D0D0D" w:themeColor="text1" w:themeTint="F2"/>
                                <w:sz w:val="18"/>
                                <w:szCs w:val="20"/>
                              </w:rPr>
                              <w:t>.</w:t>
                            </w:r>
                          </w:p>
                          <w:p w14:paraId="4D148488" w14:textId="77777777" w:rsidR="0084056C" w:rsidRPr="00015FBD" w:rsidRDefault="0084056C"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04AC833" w14:textId="6BBF4775" w:rsidR="0084056C" w:rsidRPr="003C32BC" w:rsidRDefault="00F807AA" w:rsidP="00015FBD">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Approved e</w:t>
                      </w:r>
                      <w:r w:rsidR="0084056C">
                        <w:rPr>
                          <w:rFonts w:asciiTheme="majorHAnsi" w:hAnsiTheme="majorHAnsi" w:cs="Univers"/>
                          <w:color w:val="0D0D0D" w:themeColor="text1" w:themeTint="F2"/>
                          <w:sz w:val="18"/>
                          <w:szCs w:val="20"/>
                        </w:rPr>
                        <w:t xml:space="preserve">lectronically by the Commission on </w:t>
                      </w:r>
                      <w:r>
                        <w:rPr>
                          <w:rFonts w:asciiTheme="majorHAnsi" w:hAnsiTheme="majorHAnsi" w:cs="Univers"/>
                          <w:color w:val="0D0D0D" w:themeColor="text1" w:themeTint="F2"/>
                          <w:sz w:val="18"/>
                          <w:szCs w:val="20"/>
                        </w:rPr>
                        <w:t>September 7, 2021</w:t>
                      </w:r>
                      <w:r w:rsidR="0032721B">
                        <w:rPr>
                          <w:rFonts w:asciiTheme="majorHAnsi" w:hAnsiTheme="majorHAnsi" w:cs="Univers"/>
                          <w:color w:val="0D0D0D" w:themeColor="text1" w:themeTint="F2"/>
                          <w:sz w:val="18"/>
                          <w:szCs w:val="20"/>
                        </w:rPr>
                        <w:t>.</w:t>
                      </w:r>
                    </w:p>
                    <w:p w14:paraId="4D148488" w14:textId="77777777" w:rsidR="0084056C" w:rsidRPr="00015FBD" w:rsidRDefault="0084056C"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39900ADB" w:rsidR="0084056C" w:rsidRPr="00015FBD" w:rsidRDefault="0084056C" w:rsidP="00E114C1">
                            <w:pPr>
                              <w:spacing w:line="276" w:lineRule="auto"/>
                              <w:rPr>
                                <w:rFonts w:asciiTheme="majorHAnsi" w:hAnsiTheme="majorHAnsi"/>
                                <w:color w:val="595959" w:themeColor="text1" w:themeTint="A6"/>
                                <w:sz w:val="18"/>
                                <w:szCs w:val="18"/>
                              </w:rPr>
                            </w:pPr>
                            <w:r w:rsidRPr="00EF765A">
                              <w:rPr>
                                <w:rFonts w:asciiTheme="majorHAnsi" w:hAnsiTheme="majorHAnsi"/>
                                <w:b/>
                                <w:color w:val="595959" w:themeColor="text1" w:themeTint="A6"/>
                                <w:sz w:val="18"/>
                                <w:szCs w:val="18"/>
                              </w:rPr>
                              <w:t>Cit</w:t>
                            </w:r>
                            <w:r w:rsidR="000173CD" w:rsidRPr="00EF765A">
                              <w:rPr>
                                <w:rFonts w:asciiTheme="majorHAnsi" w:hAnsiTheme="majorHAnsi"/>
                                <w:b/>
                                <w:color w:val="595959" w:themeColor="text1" w:themeTint="A6"/>
                                <w:sz w:val="18"/>
                                <w:szCs w:val="18"/>
                              </w:rPr>
                              <w:t>e AS</w:t>
                            </w:r>
                            <w:r w:rsidRPr="00EF765A">
                              <w:rPr>
                                <w:rFonts w:asciiTheme="majorHAnsi" w:hAnsiTheme="majorHAnsi"/>
                                <w:b/>
                                <w:color w:val="595959" w:themeColor="text1" w:themeTint="A6"/>
                                <w:sz w:val="18"/>
                                <w:szCs w:val="18"/>
                              </w:rPr>
                              <w:t>:</w:t>
                            </w:r>
                            <w:r w:rsidRPr="00EF765A">
                              <w:rPr>
                                <w:rFonts w:asciiTheme="majorHAnsi" w:hAnsiTheme="majorHAnsi"/>
                                <w:color w:val="595959" w:themeColor="text1" w:themeTint="A6"/>
                                <w:sz w:val="18"/>
                                <w:szCs w:val="18"/>
                              </w:rPr>
                              <w:t xml:space="preserve"> </w:t>
                            </w:r>
                            <w:r w:rsidR="000173CD" w:rsidRPr="00EF765A">
                              <w:rPr>
                                <w:rFonts w:asciiTheme="majorHAnsi" w:hAnsiTheme="majorHAnsi"/>
                                <w:color w:val="595959" w:themeColor="text1" w:themeTint="A6"/>
                                <w:sz w:val="18"/>
                                <w:szCs w:val="18"/>
                              </w:rPr>
                              <w:t>IACHR</w:t>
                            </w:r>
                            <w:r w:rsidRPr="00EF765A">
                              <w:rPr>
                                <w:rFonts w:asciiTheme="majorHAnsi" w:hAnsiTheme="majorHAnsi"/>
                                <w:color w:val="595959" w:themeColor="text1" w:themeTint="A6"/>
                                <w:sz w:val="18"/>
                                <w:szCs w:val="18"/>
                              </w:rPr>
                              <w:t xml:space="preserve">, Report </w:t>
                            </w:r>
                            <w:r w:rsidR="00F807AA">
                              <w:rPr>
                                <w:rFonts w:asciiTheme="majorHAnsi" w:hAnsiTheme="majorHAnsi"/>
                                <w:color w:val="595959" w:themeColor="text1" w:themeTint="A6"/>
                                <w:sz w:val="18"/>
                                <w:szCs w:val="18"/>
                              </w:rPr>
                              <w:t>193/21</w:t>
                            </w:r>
                            <w:r w:rsidRPr="00015FBD">
                              <w:rPr>
                                <w:rFonts w:asciiTheme="majorHAnsi" w:hAnsiTheme="majorHAnsi"/>
                                <w:color w:val="595959" w:themeColor="text1" w:themeTint="A6"/>
                                <w:sz w:val="18"/>
                                <w:szCs w:val="18"/>
                              </w:rPr>
                              <w:t>. Petition 1</w:t>
                            </w:r>
                            <w:r w:rsidR="000173CD">
                              <w:rPr>
                                <w:rFonts w:asciiTheme="majorHAnsi" w:hAnsiTheme="majorHAnsi"/>
                                <w:color w:val="595959" w:themeColor="text1" w:themeTint="A6"/>
                                <w:sz w:val="18"/>
                                <w:szCs w:val="18"/>
                              </w:rPr>
                              <w:t>833</w:t>
                            </w:r>
                            <w:r w:rsidRPr="00015FBD">
                              <w:rPr>
                                <w:rFonts w:asciiTheme="majorHAnsi" w:hAnsiTheme="majorHAnsi"/>
                                <w:color w:val="595959" w:themeColor="text1" w:themeTint="A6"/>
                                <w:sz w:val="18"/>
                                <w:szCs w:val="18"/>
                              </w:rPr>
                              <w:t>-</w:t>
                            </w:r>
                            <w:r w:rsidR="000173CD">
                              <w:rPr>
                                <w:rFonts w:asciiTheme="majorHAnsi" w:hAnsiTheme="majorHAnsi"/>
                                <w:color w:val="595959" w:themeColor="text1" w:themeTint="A6"/>
                                <w:sz w:val="18"/>
                                <w:szCs w:val="18"/>
                              </w:rPr>
                              <w:t>12</w:t>
                            </w:r>
                            <w:r w:rsidRPr="00015FBD">
                              <w:rPr>
                                <w:rFonts w:asciiTheme="majorHAnsi" w:hAnsiTheme="majorHAnsi"/>
                                <w:color w:val="595959" w:themeColor="text1" w:themeTint="A6"/>
                                <w:sz w:val="18"/>
                                <w:szCs w:val="18"/>
                              </w:rPr>
                              <w:t xml:space="preserve">. Inadmissibility. </w:t>
                            </w:r>
                            <w:r w:rsidR="000173CD">
                              <w:rPr>
                                <w:rFonts w:asciiTheme="majorHAnsi" w:hAnsiTheme="majorHAnsi"/>
                                <w:color w:val="595959" w:themeColor="text1" w:themeTint="A6"/>
                                <w:sz w:val="18"/>
                                <w:szCs w:val="18"/>
                              </w:rPr>
                              <w:t>Alfonso Rafael López Lara</w:t>
                            </w:r>
                            <w:r w:rsidRPr="00015FBD">
                              <w:rPr>
                                <w:rFonts w:asciiTheme="majorHAnsi" w:hAnsiTheme="majorHAnsi"/>
                                <w:color w:val="595959" w:themeColor="text1" w:themeTint="A6"/>
                                <w:sz w:val="18"/>
                                <w:szCs w:val="18"/>
                              </w:rPr>
                              <w:t xml:space="preserve"> and others. </w:t>
                            </w:r>
                            <w:r w:rsidR="000173CD">
                              <w:rPr>
                                <w:rFonts w:asciiTheme="majorHAnsi" w:hAnsiTheme="majorHAnsi"/>
                                <w:color w:val="595959" w:themeColor="text1" w:themeTint="A6"/>
                                <w:sz w:val="18"/>
                                <w:szCs w:val="18"/>
                              </w:rPr>
                              <w:t>Colombia</w:t>
                            </w:r>
                            <w:r w:rsidRPr="00015FBD">
                              <w:rPr>
                                <w:rFonts w:asciiTheme="majorHAnsi" w:hAnsiTheme="majorHAnsi"/>
                                <w:color w:val="595959" w:themeColor="text1" w:themeTint="A6"/>
                                <w:sz w:val="18"/>
                                <w:szCs w:val="18"/>
                              </w:rPr>
                              <w:t xml:space="preserve">. </w:t>
                            </w:r>
                            <w:r w:rsidR="00F807AA">
                              <w:rPr>
                                <w:rFonts w:asciiTheme="majorHAnsi" w:hAnsiTheme="majorHAnsi"/>
                                <w:color w:val="595959" w:themeColor="text1" w:themeTint="A6"/>
                                <w:sz w:val="18"/>
                                <w:szCs w:val="18"/>
                              </w:rPr>
                              <w:t>September 7, 2021</w:t>
                            </w:r>
                            <w:r w:rsidRPr="00015FBD">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39900ADB" w:rsidR="0084056C" w:rsidRPr="00015FBD" w:rsidRDefault="0084056C" w:rsidP="00E114C1">
                      <w:pPr>
                        <w:spacing w:line="276" w:lineRule="auto"/>
                        <w:rPr>
                          <w:rFonts w:asciiTheme="majorHAnsi" w:hAnsiTheme="majorHAnsi"/>
                          <w:color w:val="595959" w:themeColor="text1" w:themeTint="A6"/>
                          <w:sz w:val="18"/>
                          <w:szCs w:val="18"/>
                        </w:rPr>
                      </w:pPr>
                      <w:r w:rsidRPr="00EF765A">
                        <w:rPr>
                          <w:rFonts w:asciiTheme="majorHAnsi" w:hAnsiTheme="majorHAnsi"/>
                          <w:b/>
                          <w:color w:val="595959" w:themeColor="text1" w:themeTint="A6"/>
                          <w:sz w:val="18"/>
                          <w:szCs w:val="18"/>
                        </w:rPr>
                        <w:t>Cit</w:t>
                      </w:r>
                      <w:r w:rsidR="000173CD" w:rsidRPr="00EF765A">
                        <w:rPr>
                          <w:rFonts w:asciiTheme="majorHAnsi" w:hAnsiTheme="majorHAnsi"/>
                          <w:b/>
                          <w:color w:val="595959" w:themeColor="text1" w:themeTint="A6"/>
                          <w:sz w:val="18"/>
                          <w:szCs w:val="18"/>
                        </w:rPr>
                        <w:t>e AS</w:t>
                      </w:r>
                      <w:r w:rsidRPr="00EF765A">
                        <w:rPr>
                          <w:rFonts w:asciiTheme="majorHAnsi" w:hAnsiTheme="majorHAnsi"/>
                          <w:b/>
                          <w:color w:val="595959" w:themeColor="text1" w:themeTint="A6"/>
                          <w:sz w:val="18"/>
                          <w:szCs w:val="18"/>
                        </w:rPr>
                        <w:t>:</w:t>
                      </w:r>
                      <w:r w:rsidRPr="00EF765A">
                        <w:rPr>
                          <w:rFonts w:asciiTheme="majorHAnsi" w:hAnsiTheme="majorHAnsi"/>
                          <w:color w:val="595959" w:themeColor="text1" w:themeTint="A6"/>
                          <w:sz w:val="18"/>
                          <w:szCs w:val="18"/>
                        </w:rPr>
                        <w:t xml:space="preserve"> </w:t>
                      </w:r>
                      <w:r w:rsidR="000173CD" w:rsidRPr="00EF765A">
                        <w:rPr>
                          <w:rFonts w:asciiTheme="majorHAnsi" w:hAnsiTheme="majorHAnsi"/>
                          <w:color w:val="595959" w:themeColor="text1" w:themeTint="A6"/>
                          <w:sz w:val="18"/>
                          <w:szCs w:val="18"/>
                        </w:rPr>
                        <w:t>IACHR</w:t>
                      </w:r>
                      <w:r w:rsidRPr="00EF765A">
                        <w:rPr>
                          <w:rFonts w:asciiTheme="majorHAnsi" w:hAnsiTheme="majorHAnsi"/>
                          <w:color w:val="595959" w:themeColor="text1" w:themeTint="A6"/>
                          <w:sz w:val="18"/>
                          <w:szCs w:val="18"/>
                        </w:rPr>
                        <w:t xml:space="preserve">, Report </w:t>
                      </w:r>
                      <w:r w:rsidR="00F807AA">
                        <w:rPr>
                          <w:rFonts w:asciiTheme="majorHAnsi" w:hAnsiTheme="majorHAnsi"/>
                          <w:color w:val="595959" w:themeColor="text1" w:themeTint="A6"/>
                          <w:sz w:val="18"/>
                          <w:szCs w:val="18"/>
                        </w:rPr>
                        <w:t>193/21</w:t>
                      </w:r>
                      <w:r w:rsidRPr="00015FBD">
                        <w:rPr>
                          <w:rFonts w:asciiTheme="majorHAnsi" w:hAnsiTheme="majorHAnsi"/>
                          <w:color w:val="595959" w:themeColor="text1" w:themeTint="A6"/>
                          <w:sz w:val="18"/>
                          <w:szCs w:val="18"/>
                        </w:rPr>
                        <w:t>. Petition 1</w:t>
                      </w:r>
                      <w:r w:rsidR="000173CD">
                        <w:rPr>
                          <w:rFonts w:asciiTheme="majorHAnsi" w:hAnsiTheme="majorHAnsi"/>
                          <w:color w:val="595959" w:themeColor="text1" w:themeTint="A6"/>
                          <w:sz w:val="18"/>
                          <w:szCs w:val="18"/>
                        </w:rPr>
                        <w:t>833</w:t>
                      </w:r>
                      <w:r w:rsidRPr="00015FBD">
                        <w:rPr>
                          <w:rFonts w:asciiTheme="majorHAnsi" w:hAnsiTheme="majorHAnsi"/>
                          <w:color w:val="595959" w:themeColor="text1" w:themeTint="A6"/>
                          <w:sz w:val="18"/>
                          <w:szCs w:val="18"/>
                        </w:rPr>
                        <w:t>-</w:t>
                      </w:r>
                      <w:r w:rsidR="000173CD">
                        <w:rPr>
                          <w:rFonts w:asciiTheme="majorHAnsi" w:hAnsiTheme="majorHAnsi"/>
                          <w:color w:val="595959" w:themeColor="text1" w:themeTint="A6"/>
                          <w:sz w:val="18"/>
                          <w:szCs w:val="18"/>
                        </w:rPr>
                        <w:t>12</w:t>
                      </w:r>
                      <w:r w:rsidRPr="00015FBD">
                        <w:rPr>
                          <w:rFonts w:asciiTheme="majorHAnsi" w:hAnsiTheme="majorHAnsi"/>
                          <w:color w:val="595959" w:themeColor="text1" w:themeTint="A6"/>
                          <w:sz w:val="18"/>
                          <w:szCs w:val="18"/>
                        </w:rPr>
                        <w:t xml:space="preserve">. Inadmissibility. </w:t>
                      </w:r>
                      <w:r w:rsidR="000173CD">
                        <w:rPr>
                          <w:rFonts w:asciiTheme="majorHAnsi" w:hAnsiTheme="majorHAnsi"/>
                          <w:color w:val="595959" w:themeColor="text1" w:themeTint="A6"/>
                          <w:sz w:val="18"/>
                          <w:szCs w:val="18"/>
                        </w:rPr>
                        <w:t>Alfonso Rafael López Lara</w:t>
                      </w:r>
                      <w:r w:rsidRPr="00015FBD">
                        <w:rPr>
                          <w:rFonts w:asciiTheme="majorHAnsi" w:hAnsiTheme="majorHAnsi"/>
                          <w:color w:val="595959" w:themeColor="text1" w:themeTint="A6"/>
                          <w:sz w:val="18"/>
                          <w:szCs w:val="18"/>
                        </w:rPr>
                        <w:t xml:space="preserve"> and others. </w:t>
                      </w:r>
                      <w:r w:rsidR="000173CD">
                        <w:rPr>
                          <w:rFonts w:asciiTheme="majorHAnsi" w:hAnsiTheme="majorHAnsi"/>
                          <w:color w:val="595959" w:themeColor="text1" w:themeTint="A6"/>
                          <w:sz w:val="18"/>
                          <w:szCs w:val="18"/>
                        </w:rPr>
                        <w:t>Colombia</w:t>
                      </w:r>
                      <w:r w:rsidRPr="00015FBD">
                        <w:rPr>
                          <w:rFonts w:asciiTheme="majorHAnsi" w:hAnsiTheme="majorHAnsi"/>
                          <w:color w:val="595959" w:themeColor="text1" w:themeTint="A6"/>
                          <w:sz w:val="18"/>
                          <w:szCs w:val="18"/>
                        </w:rPr>
                        <w:t xml:space="preserve">. </w:t>
                      </w:r>
                      <w:r w:rsidR="00F807AA">
                        <w:rPr>
                          <w:rFonts w:asciiTheme="majorHAnsi" w:hAnsiTheme="majorHAnsi"/>
                          <w:color w:val="595959" w:themeColor="text1" w:themeTint="A6"/>
                          <w:sz w:val="18"/>
                          <w:szCs w:val="18"/>
                        </w:rPr>
                        <w:t>September 7, 2021</w:t>
                      </w:r>
                      <w:r w:rsidRPr="00015FBD">
                        <w:rPr>
                          <w:rFonts w:asciiTheme="majorHAnsi" w:hAnsiTheme="majorHAnsi"/>
                          <w:color w:val="595959" w:themeColor="text1" w:themeTint="A6"/>
                          <w:sz w:val="18"/>
                          <w:szCs w:val="18"/>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7FB97188">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0153FEB" w:rsidR="0084056C" w:rsidRPr="00D72DC6" w:rsidRDefault="0032721B" w:rsidP="00F02AD1">
                            <w:pPr>
                              <w:rPr>
                                <w:color w:val="FFFFFF" w:themeColor="background1"/>
                                <w14:textFill>
                                  <w14:noFill/>
                                </w14:textFill>
                              </w:rPr>
                            </w:pPr>
                            <w:r>
                              <w:rPr>
                                <w:noProof/>
                                <w:color w:val="FFFFFF" w:themeColor="background1"/>
                              </w:rPr>
                              <w:drawing>
                                <wp:inline distT="0" distB="0" distL="0" distR="0" wp14:anchorId="1A41D066" wp14:editId="7C0F5EBC">
                                  <wp:extent cx="1837690" cy="469265"/>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10153FEB" w:rsidR="0084056C" w:rsidRPr="00D72DC6" w:rsidRDefault="0032721B" w:rsidP="00F02AD1">
                      <w:pPr>
                        <w:rPr>
                          <w:color w:val="FFFFFF" w:themeColor="background1"/>
                          <w14:textFill>
                            <w14:noFill/>
                          </w14:textFill>
                        </w:rPr>
                      </w:pPr>
                      <w:r>
                        <w:rPr>
                          <w:noProof/>
                          <w:color w:val="FFFFFF" w:themeColor="background1"/>
                        </w:rPr>
                        <w:drawing>
                          <wp:inline distT="0" distB="0" distL="0" distR="0" wp14:anchorId="1A41D066" wp14:editId="7C0F5EBC">
                            <wp:extent cx="1837690" cy="469265"/>
                            <wp:effectExtent l="0" t="0" r="0"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37690" cy="469265"/>
                                    </a:xfrm>
                                    <a:prstGeom prst="rect">
                                      <a:avLst/>
                                    </a:prstGeom>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0B3C6831" w:rsidR="0084056C" w:rsidRPr="004B7EB6" w:rsidRDefault="0084056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57A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0B3C6831" w:rsidR="0084056C" w:rsidRPr="004B7EB6" w:rsidRDefault="0084056C"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C757AC">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790BC2F5" w14:textId="53432E0F" w:rsidR="00C856E9" w:rsidRPr="00C856E9" w:rsidRDefault="00C856E9" w:rsidP="00C856E9">
      <w:pPr>
        <w:pStyle w:val="ListParagraph"/>
        <w:numPr>
          <w:ilvl w:val="0"/>
          <w:numId w:val="58"/>
        </w:numPr>
        <w:spacing w:after="120"/>
        <w:jc w:val="both"/>
        <w:rPr>
          <w:rFonts w:asciiTheme="majorHAnsi" w:hAnsiTheme="majorHAnsi"/>
          <w:b/>
          <w:bCs/>
          <w:sz w:val="20"/>
          <w:szCs w:val="20"/>
          <w:lang w:val="es-ES"/>
        </w:rPr>
      </w:pPr>
      <w:r w:rsidRPr="00C856E9">
        <w:rPr>
          <w:rFonts w:asciiTheme="majorHAnsi" w:hAnsiTheme="majorHAnsi"/>
          <w:b/>
          <w:bCs/>
          <w:sz w:val="20"/>
          <w:szCs w:val="20"/>
          <w:lang w:val="es-ES"/>
        </w:rPr>
        <w:lastRenderedPageBreak/>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856E9" w:rsidRPr="0032721B" w14:paraId="020E97AC" w14:textId="77777777" w:rsidTr="0084056C">
        <w:tc>
          <w:tcPr>
            <w:tcW w:w="2790" w:type="dxa"/>
            <w:tcBorders>
              <w:top w:val="single" w:sz="4" w:space="0" w:color="auto"/>
              <w:bottom w:val="single" w:sz="6" w:space="0" w:color="auto"/>
            </w:tcBorders>
            <w:shd w:val="clear" w:color="auto" w:fill="67AE3C"/>
            <w:vAlign w:val="center"/>
          </w:tcPr>
          <w:p w14:paraId="2B000734"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Petitioner</w:t>
            </w:r>
          </w:p>
        </w:tc>
        <w:tc>
          <w:tcPr>
            <w:tcW w:w="6570" w:type="dxa"/>
            <w:vAlign w:val="center"/>
          </w:tcPr>
          <w:p w14:paraId="3B21282A" w14:textId="3F94C331" w:rsidR="00C856E9" w:rsidRPr="008414C6" w:rsidRDefault="000173CD" w:rsidP="0084056C">
            <w:pPr>
              <w:jc w:val="both"/>
              <w:rPr>
                <w:rFonts w:ascii="Cambria" w:hAnsi="Cambria"/>
                <w:bCs/>
                <w:sz w:val="19"/>
                <w:szCs w:val="19"/>
                <w:lang w:val="es-ES"/>
              </w:rPr>
            </w:pPr>
            <w:r>
              <w:rPr>
                <w:rFonts w:ascii="Cambria" w:hAnsi="Cambria"/>
                <w:bCs/>
                <w:sz w:val="20"/>
                <w:szCs w:val="20"/>
                <w:lang w:val="es-ES"/>
              </w:rPr>
              <w:t xml:space="preserve">Alfonso Rafael López Lara, Manuel Antonio Echevarría Franco and Roberto Rafael Romero </w:t>
            </w:r>
            <w:proofErr w:type="spellStart"/>
            <w:r>
              <w:rPr>
                <w:rFonts w:ascii="Cambria" w:hAnsi="Cambria"/>
                <w:bCs/>
                <w:sz w:val="20"/>
                <w:szCs w:val="20"/>
                <w:lang w:val="es-ES"/>
              </w:rPr>
              <w:t>Turizo</w:t>
            </w:r>
            <w:proofErr w:type="spellEnd"/>
          </w:p>
        </w:tc>
      </w:tr>
      <w:tr w:rsidR="008414C6" w:rsidRPr="000173CD" w14:paraId="000BA218" w14:textId="77777777" w:rsidTr="0084056C">
        <w:tc>
          <w:tcPr>
            <w:tcW w:w="2790" w:type="dxa"/>
            <w:tcBorders>
              <w:top w:val="single" w:sz="6" w:space="0" w:color="auto"/>
              <w:bottom w:val="single" w:sz="6" w:space="0" w:color="auto"/>
            </w:tcBorders>
            <w:shd w:val="clear" w:color="auto" w:fill="67AE3C"/>
            <w:vAlign w:val="center"/>
          </w:tcPr>
          <w:p w14:paraId="04DD4EBF"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Alleged victim</w:t>
            </w:r>
          </w:p>
        </w:tc>
        <w:tc>
          <w:tcPr>
            <w:tcW w:w="6570" w:type="dxa"/>
            <w:vAlign w:val="center"/>
          </w:tcPr>
          <w:p w14:paraId="39229DC7" w14:textId="5D873A0C" w:rsidR="008414C6" w:rsidRPr="00EF765A" w:rsidRDefault="000173CD" w:rsidP="008414C6">
            <w:pPr>
              <w:jc w:val="both"/>
              <w:rPr>
                <w:rFonts w:ascii="Cambria" w:hAnsi="Cambria"/>
                <w:bCs/>
                <w:sz w:val="19"/>
                <w:szCs w:val="19"/>
              </w:rPr>
            </w:pPr>
            <w:r w:rsidRPr="00EF765A">
              <w:rPr>
                <w:rFonts w:ascii="Cambria" w:hAnsi="Cambria"/>
                <w:bCs/>
                <w:sz w:val="19"/>
                <w:szCs w:val="19"/>
              </w:rPr>
              <w:t>Alfonso Rafael López Lara</w:t>
            </w:r>
            <w:r w:rsidR="008414C6" w:rsidRPr="00EF765A">
              <w:rPr>
                <w:rFonts w:ascii="Cambria" w:hAnsi="Cambria"/>
                <w:bCs/>
                <w:sz w:val="19"/>
                <w:szCs w:val="19"/>
              </w:rPr>
              <w:t xml:space="preserve"> </w:t>
            </w:r>
            <w:r w:rsidRPr="00EF765A">
              <w:rPr>
                <w:rFonts w:ascii="Cambria" w:hAnsi="Cambria"/>
                <w:bCs/>
                <w:sz w:val="19"/>
                <w:szCs w:val="19"/>
              </w:rPr>
              <w:t>and others</w:t>
            </w:r>
            <w:r w:rsidR="008414C6" w:rsidRPr="001F41F3">
              <w:rPr>
                <w:rStyle w:val="FootnoteReference"/>
                <w:rFonts w:ascii="Cambria" w:hAnsi="Cambria"/>
                <w:bCs/>
                <w:sz w:val="19"/>
                <w:szCs w:val="19"/>
                <w:lang w:val="es-ES"/>
              </w:rPr>
              <w:footnoteReference w:id="2"/>
            </w:r>
          </w:p>
        </w:tc>
      </w:tr>
      <w:tr w:rsidR="008414C6" w:rsidRPr="000B6B7A" w14:paraId="1F74DDAB" w14:textId="77777777" w:rsidTr="0084056C">
        <w:tc>
          <w:tcPr>
            <w:tcW w:w="2790" w:type="dxa"/>
            <w:tcBorders>
              <w:top w:val="single" w:sz="6" w:space="0" w:color="auto"/>
              <w:bottom w:val="single" w:sz="6" w:space="0" w:color="auto"/>
            </w:tcBorders>
            <w:shd w:val="clear" w:color="auto" w:fill="67AE3C"/>
            <w:vAlign w:val="center"/>
          </w:tcPr>
          <w:p w14:paraId="59562FDC"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Respondent </w:t>
            </w:r>
            <w:r>
              <w:rPr>
                <w:rFonts w:ascii="Cambria" w:hAnsi="Cambria"/>
                <w:bCs/>
                <w:color w:val="FFFFFF" w:themeColor="background1"/>
                <w:sz w:val="19"/>
                <w:szCs w:val="19"/>
              </w:rPr>
              <w:t>State</w:t>
            </w:r>
          </w:p>
        </w:tc>
        <w:tc>
          <w:tcPr>
            <w:tcW w:w="6570" w:type="dxa"/>
            <w:vAlign w:val="center"/>
          </w:tcPr>
          <w:p w14:paraId="5A76ED27" w14:textId="5169FC9C" w:rsidR="008414C6" w:rsidRPr="00C355B4" w:rsidRDefault="000173CD" w:rsidP="008414C6">
            <w:pPr>
              <w:jc w:val="both"/>
              <w:rPr>
                <w:rFonts w:ascii="Cambria" w:hAnsi="Cambria"/>
                <w:bCs/>
                <w:sz w:val="19"/>
                <w:szCs w:val="19"/>
              </w:rPr>
            </w:pPr>
            <w:r>
              <w:rPr>
                <w:rFonts w:ascii="Cambria" w:hAnsi="Cambria"/>
                <w:bCs/>
                <w:sz w:val="19"/>
                <w:szCs w:val="19"/>
              </w:rPr>
              <w:t>Colombia</w:t>
            </w:r>
          </w:p>
        </w:tc>
      </w:tr>
      <w:tr w:rsidR="008414C6" w:rsidRPr="0001454A" w14:paraId="51EEC521" w14:textId="77777777" w:rsidTr="0084056C">
        <w:tc>
          <w:tcPr>
            <w:tcW w:w="2790" w:type="dxa"/>
            <w:tcBorders>
              <w:top w:val="single" w:sz="6" w:space="0" w:color="auto"/>
              <w:bottom w:val="single" w:sz="6" w:space="0" w:color="auto"/>
            </w:tcBorders>
            <w:shd w:val="clear" w:color="auto" w:fill="67AE3C"/>
            <w:vAlign w:val="center"/>
          </w:tcPr>
          <w:p w14:paraId="61689D32" w14:textId="77777777" w:rsidR="008414C6" w:rsidRPr="00C355B4" w:rsidRDefault="008414C6" w:rsidP="008414C6">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Rights </w:t>
            </w:r>
            <w:r>
              <w:rPr>
                <w:rFonts w:ascii="Cambria" w:hAnsi="Cambria"/>
                <w:bCs/>
                <w:color w:val="FFFFFF" w:themeColor="background1"/>
                <w:sz w:val="19"/>
                <w:szCs w:val="19"/>
              </w:rPr>
              <w:t>invoked</w:t>
            </w:r>
          </w:p>
        </w:tc>
        <w:tc>
          <w:tcPr>
            <w:tcW w:w="6570" w:type="dxa"/>
            <w:vAlign w:val="center"/>
          </w:tcPr>
          <w:p w14:paraId="05636A39" w14:textId="014CAD8C" w:rsidR="008414C6" w:rsidRPr="00015FBD" w:rsidRDefault="008414C6" w:rsidP="008414C6">
            <w:pPr>
              <w:jc w:val="both"/>
              <w:rPr>
                <w:rFonts w:ascii="Cambria" w:hAnsi="Cambria"/>
                <w:bCs/>
                <w:sz w:val="20"/>
                <w:szCs w:val="20"/>
              </w:rPr>
            </w:pPr>
            <w:r>
              <w:rPr>
                <w:rFonts w:ascii="Cambria" w:hAnsi="Cambria"/>
                <w:bCs/>
                <w:sz w:val="20"/>
                <w:szCs w:val="20"/>
              </w:rPr>
              <w:t>Articles 4 (</w:t>
            </w:r>
            <w:r w:rsidR="000173CD">
              <w:rPr>
                <w:rFonts w:ascii="Cambria" w:hAnsi="Cambria"/>
                <w:bCs/>
                <w:sz w:val="20"/>
                <w:szCs w:val="20"/>
              </w:rPr>
              <w:t xml:space="preserve">right to </w:t>
            </w:r>
            <w:r>
              <w:rPr>
                <w:rFonts w:ascii="Cambria" w:hAnsi="Cambria"/>
                <w:bCs/>
                <w:sz w:val="20"/>
                <w:szCs w:val="20"/>
              </w:rPr>
              <w:t>life), 5 (</w:t>
            </w:r>
            <w:r w:rsidR="000173CD">
              <w:rPr>
                <w:rFonts w:ascii="Cambria" w:hAnsi="Cambria"/>
                <w:bCs/>
                <w:sz w:val="20"/>
                <w:szCs w:val="20"/>
              </w:rPr>
              <w:t xml:space="preserve">right to </w:t>
            </w:r>
            <w:r>
              <w:rPr>
                <w:rFonts w:ascii="Cambria" w:hAnsi="Cambria"/>
                <w:bCs/>
                <w:sz w:val="20"/>
                <w:szCs w:val="20"/>
              </w:rPr>
              <w:t>humane treatment),</w:t>
            </w:r>
            <w:r w:rsidR="000173CD">
              <w:rPr>
                <w:rFonts w:ascii="Cambria" w:hAnsi="Cambria"/>
                <w:bCs/>
                <w:sz w:val="20"/>
                <w:szCs w:val="20"/>
              </w:rPr>
              <w:t xml:space="preserve"> 7(right to personal liberty),</w:t>
            </w:r>
            <w:r>
              <w:rPr>
                <w:rFonts w:ascii="Cambria" w:hAnsi="Cambria"/>
                <w:bCs/>
                <w:sz w:val="20"/>
                <w:szCs w:val="20"/>
              </w:rPr>
              <w:t xml:space="preserve"> 8 (</w:t>
            </w:r>
            <w:r w:rsidR="000173CD">
              <w:rPr>
                <w:rFonts w:ascii="Cambria" w:hAnsi="Cambria"/>
                <w:bCs/>
                <w:sz w:val="20"/>
                <w:szCs w:val="20"/>
              </w:rPr>
              <w:t xml:space="preserve">right to a </w:t>
            </w:r>
            <w:r>
              <w:rPr>
                <w:rFonts w:ascii="Cambria" w:hAnsi="Cambria"/>
                <w:bCs/>
                <w:sz w:val="20"/>
                <w:szCs w:val="20"/>
              </w:rPr>
              <w:t>fair trial),</w:t>
            </w:r>
            <w:r w:rsidR="000173CD">
              <w:rPr>
                <w:rFonts w:ascii="Cambria" w:hAnsi="Cambria"/>
                <w:bCs/>
                <w:sz w:val="20"/>
                <w:szCs w:val="20"/>
              </w:rPr>
              <w:t xml:space="preserve"> 9 (freedom from ex post facto laws), 17 (right of the family), </w:t>
            </w:r>
            <w:r>
              <w:rPr>
                <w:rFonts w:ascii="Cambria" w:hAnsi="Cambria"/>
                <w:bCs/>
                <w:sz w:val="20"/>
                <w:szCs w:val="20"/>
              </w:rPr>
              <w:t>21 (</w:t>
            </w:r>
            <w:r w:rsidR="000173CD">
              <w:rPr>
                <w:rFonts w:ascii="Cambria" w:hAnsi="Cambria"/>
                <w:bCs/>
                <w:sz w:val="20"/>
                <w:szCs w:val="20"/>
              </w:rPr>
              <w:t xml:space="preserve">right to </w:t>
            </w:r>
            <w:r>
              <w:rPr>
                <w:rFonts w:ascii="Cambria" w:hAnsi="Cambria"/>
                <w:bCs/>
                <w:sz w:val="20"/>
                <w:szCs w:val="20"/>
              </w:rPr>
              <w:t>property), 24 (</w:t>
            </w:r>
            <w:r w:rsidR="000173CD">
              <w:rPr>
                <w:rFonts w:ascii="Cambria" w:hAnsi="Cambria"/>
                <w:bCs/>
                <w:sz w:val="20"/>
                <w:szCs w:val="20"/>
              </w:rPr>
              <w:t xml:space="preserve">right to </w:t>
            </w:r>
            <w:r>
              <w:rPr>
                <w:rFonts w:ascii="Cambria" w:hAnsi="Cambria"/>
                <w:bCs/>
                <w:sz w:val="20"/>
                <w:szCs w:val="20"/>
              </w:rPr>
              <w:t>equal protection), 25 (</w:t>
            </w:r>
            <w:r w:rsidR="000173CD">
              <w:rPr>
                <w:rFonts w:ascii="Cambria" w:hAnsi="Cambria"/>
                <w:bCs/>
                <w:sz w:val="20"/>
                <w:szCs w:val="20"/>
              </w:rPr>
              <w:t xml:space="preserve">right to </w:t>
            </w:r>
            <w:r>
              <w:rPr>
                <w:rFonts w:ascii="Cambria" w:hAnsi="Cambria"/>
                <w:bCs/>
                <w:sz w:val="20"/>
                <w:szCs w:val="20"/>
              </w:rPr>
              <w:t>judicial protection)</w:t>
            </w:r>
            <w:r w:rsidR="000173CD">
              <w:rPr>
                <w:rFonts w:ascii="Cambria" w:hAnsi="Cambria"/>
                <w:bCs/>
                <w:sz w:val="20"/>
                <w:szCs w:val="20"/>
              </w:rPr>
              <w:t>, 26 (progressive development)</w:t>
            </w:r>
            <w:r>
              <w:rPr>
                <w:rFonts w:ascii="Cambria" w:hAnsi="Cambria"/>
                <w:bCs/>
                <w:sz w:val="20"/>
                <w:szCs w:val="20"/>
              </w:rPr>
              <w:t xml:space="preserve"> of the American Convention on Human Rights</w:t>
            </w:r>
            <w:r w:rsidRPr="001F41F3">
              <w:rPr>
                <w:rStyle w:val="FootnoteReference"/>
                <w:rFonts w:ascii="Cambria" w:hAnsi="Cambria"/>
                <w:bCs/>
                <w:sz w:val="19"/>
                <w:szCs w:val="19"/>
                <w:lang w:val="es-ES"/>
              </w:rPr>
              <w:footnoteReference w:id="3"/>
            </w:r>
            <w:r>
              <w:rPr>
                <w:rFonts w:ascii="Cambria" w:hAnsi="Cambria"/>
                <w:bCs/>
                <w:sz w:val="20"/>
                <w:szCs w:val="20"/>
              </w:rPr>
              <w:t>, in relation to its article 1.1 (obligation to respect rights)</w:t>
            </w:r>
          </w:p>
        </w:tc>
      </w:tr>
    </w:tbl>
    <w:p w14:paraId="20263696" w14:textId="7D7794DD" w:rsidR="003239B8" w:rsidRPr="00F807AA" w:rsidRDefault="003239B8" w:rsidP="004D6A9B">
      <w:pPr>
        <w:pStyle w:val="ListParagraph"/>
        <w:numPr>
          <w:ilvl w:val="0"/>
          <w:numId w:val="58"/>
        </w:numPr>
        <w:spacing w:before="120" w:after="120"/>
        <w:jc w:val="both"/>
        <w:rPr>
          <w:rFonts w:asciiTheme="majorHAnsi" w:hAnsiTheme="majorHAnsi"/>
          <w:b/>
          <w:bCs/>
          <w:sz w:val="20"/>
          <w:szCs w:val="20"/>
          <w:lang w:val="es-ES"/>
        </w:rPr>
      </w:pPr>
      <w:r w:rsidRPr="00F807AA">
        <w:rPr>
          <w:rFonts w:asciiTheme="majorHAnsi" w:hAnsiTheme="majorHAnsi"/>
          <w:b/>
          <w:bCs/>
          <w:sz w:val="20"/>
          <w:szCs w:val="20"/>
        </w:rPr>
        <w:t xml:space="preserve"> </w:t>
      </w:r>
      <w:r w:rsidR="00C856E9" w:rsidRPr="00F807AA">
        <w:rPr>
          <w:rFonts w:asciiTheme="majorHAnsi" w:hAnsiTheme="majorHAnsi"/>
          <w:b/>
          <w:bCs/>
          <w:sz w:val="20"/>
          <w:szCs w:val="20"/>
          <w:lang w:val="es-ES"/>
        </w:rPr>
        <w:t>PROCEEDINGS BEFORE THE IACHR</w:t>
      </w:r>
      <w:r w:rsidR="008E3BFE" w:rsidRPr="00006B74">
        <w:rPr>
          <w:rStyle w:val="FootnoteReference"/>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C856E9" w:rsidRPr="000B6B7A" w14:paraId="0686CB00" w14:textId="77777777" w:rsidTr="0084056C">
        <w:tc>
          <w:tcPr>
            <w:tcW w:w="2790" w:type="dxa"/>
            <w:tcBorders>
              <w:top w:val="single" w:sz="6" w:space="0" w:color="auto"/>
              <w:bottom w:val="single" w:sz="6" w:space="0" w:color="auto"/>
            </w:tcBorders>
            <w:shd w:val="clear" w:color="auto" w:fill="67AE3C"/>
            <w:vAlign w:val="center"/>
          </w:tcPr>
          <w:p w14:paraId="407E3689"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Filing of the petition</w:t>
            </w:r>
          </w:p>
        </w:tc>
        <w:tc>
          <w:tcPr>
            <w:tcW w:w="6570" w:type="dxa"/>
            <w:vAlign w:val="center"/>
          </w:tcPr>
          <w:p w14:paraId="44FF059A" w14:textId="71D8AE8F" w:rsidR="00C856E9" w:rsidRPr="00C355B4" w:rsidRDefault="000173CD" w:rsidP="0084056C">
            <w:pPr>
              <w:jc w:val="both"/>
              <w:rPr>
                <w:rFonts w:ascii="Cambria" w:hAnsi="Cambria"/>
                <w:bCs/>
                <w:sz w:val="19"/>
                <w:szCs w:val="19"/>
              </w:rPr>
            </w:pPr>
            <w:proofErr w:type="spellStart"/>
            <w:r>
              <w:rPr>
                <w:rFonts w:ascii="Cambria" w:hAnsi="Cambria"/>
                <w:bCs/>
                <w:sz w:val="19"/>
                <w:szCs w:val="19"/>
                <w:lang w:val="es-ES"/>
              </w:rPr>
              <w:t>October</w:t>
            </w:r>
            <w:proofErr w:type="spellEnd"/>
            <w:r>
              <w:rPr>
                <w:rFonts w:ascii="Cambria" w:hAnsi="Cambria"/>
                <w:bCs/>
                <w:sz w:val="19"/>
                <w:szCs w:val="19"/>
                <w:lang w:val="es-ES"/>
              </w:rPr>
              <w:t xml:space="preserve"> 3, 2012</w:t>
            </w:r>
          </w:p>
        </w:tc>
      </w:tr>
      <w:tr w:rsidR="00C856E9" w:rsidRPr="000B6B7A" w14:paraId="011E0E95" w14:textId="77777777" w:rsidTr="0084056C">
        <w:tc>
          <w:tcPr>
            <w:tcW w:w="2790" w:type="dxa"/>
            <w:tcBorders>
              <w:top w:val="single" w:sz="6" w:space="0" w:color="auto"/>
              <w:bottom w:val="single" w:sz="6" w:space="0" w:color="auto"/>
            </w:tcBorders>
            <w:shd w:val="clear" w:color="auto" w:fill="67AE3C"/>
            <w:vAlign w:val="center"/>
          </w:tcPr>
          <w:p w14:paraId="7C26819C" w14:textId="77777777" w:rsidR="00C856E9" w:rsidRPr="00C355B4" w:rsidRDefault="00C856E9" w:rsidP="0084056C">
            <w:pPr>
              <w:jc w:val="center"/>
              <w:rPr>
                <w:rFonts w:ascii="Cambria" w:hAnsi="Cambria"/>
                <w:color w:val="FFFFFF" w:themeColor="background1"/>
                <w:sz w:val="19"/>
                <w:szCs w:val="19"/>
              </w:rPr>
            </w:pPr>
            <w:r w:rsidRPr="00C355B4">
              <w:rPr>
                <w:rFonts w:ascii="Cambria" w:hAnsi="Cambria"/>
                <w:color w:val="FFFFFF" w:themeColor="background1"/>
                <w:sz w:val="19"/>
                <w:szCs w:val="19"/>
              </w:rPr>
              <w:t>Additional information received during initial review</w:t>
            </w:r>
          </w:p>
        </w:tc>
        <w:tc>
          <w:tcPr>
            <w:tcW w:w="6570" w:type="dxa"/>
            <w:vAlign w:val="center"/>
          </w:tcPr>
          <w:p w14:paraId="6C4729DE" w14:textId="6796EB99" w:rsidR="00C856E9" w:rsidRPr="00C355B4" w:rsidRDefault="000173CD" w:rsidP="0084056C">
            <w:pPr>
              <w:jc w:val="both"/>
              <w:rPr>
                <w:rFonts w:ascii="Cambria" w:hAnsi="Cambria"/>
                <w:bCs/>
                <w:sz w:val="19"/>
                <w:szCs w:val="19"/>
              </w:rPr>
            </w:pPr>
            <w:r>
              <w:rPr>
                <w:rFonts w:ascii="Cambria" w:hAnsi="Cambria"/>
                <w:bCs/>
                <w:sz w:val="19"/>
                <w:szCs w:val="19"/>
              </w:rPr>
              <w:t>June 26, 27</w:t>
            </w:r>
            <w:r w:rsidR="00267FC3">
              <w:rPr>
                <w:rFonts w:ascii="Cambria" w:hAnsi="Cambria"/>
                <w:bCs/>
                <w:sz w:val="19"/>
                <w:szCs w:val="19"/>
              </w:rPr>
              <w:t>,</w:t>
            </w:r>
            <w:r>
              <w:rPr>
                <w:rFonts w:ascii="Cambria" w:hAnsi="Cambria"/>
                <w:bCs/>
                <w:sz w:val="19"/>
                <w:szCs w:val="19"/>
              </w:rPr>
              <w:t xml:space="preserve"> 2013; September 13, 17, 27, 2013; May 30, 2014; July 10, 2014; September 18, 2014; October 28, 2014; December 2, 2014; March 23, 2015; August 20, 21, 2015; September 9, 2015; May 26, 2016; July 12, 2016; November 15, 2016; May 25, 2017; August 1, 14, 16, 18, 23, 25, 28, 2017; September 12, 13, 27, 28, 2017 and October 17, 2017</w:t>
            </w:r>
          </w:p>
        </w:tc>
      </w:tr>
      <w:tr w:rsidR="00C856E9" w:rsidRPr="000B6B7A" w14:paraId="60E8C87B" w14:textId="77777777" w:rsidTr="0084056C">
        <w:tc>
          <w:tcPr>
            <w:tcW w:w="2790" w:type="dxa"/>
            <w:tcBorders>
              <w:top w:val="single" w:sz="6" w:space="0" w:color="auto"/>
              <w:bottom w:val="single" w:sz="6" w:space="0" w:color="auto"/>
            </w:tcBorders>
            <w:shd w:val="clear" w:color="auto" w:fill="67AE3C"/>
            <w:vAlign w:val="center"/>
          </w:tcPr>
          <w:p w14:paraId="79221103" w14:textId="2E00EAD8" w:rsidR="00C856E9" w:rsidRPr="00C355B4" w:rsidRDefault="00C856E9" w:rsidP="0084056C">
            <w:pPr>
              <w:jc w:val="center"/>
              <w:rPr>
                <w:rFonts w:ascii="Cambria" w:hAnsi="Cambria"/>
                <w:bCs/>
                <w:color w:val="FFFFFF" w:themeColor="background1"/>
                <w:sz w:val="19"/>
                <w:szCs w:val="19"/>
              </w:rPr>
            </w:pPr>
            <w:r w:rsidRPr="00C355B4">
              <w:rPr>
                <w:rFonts w:ascii="Cambria" w:hAnsi="Cambria"/>
                <w:color w:val="FFFFFF" w:themeColor="background1"/>
                <w:sz w:val="19"/>
                <w:szCs w:val="19"/>
              </w:rPr>
              <w:t>Notification of the petition</w:t>
            </w:r>
            <w:r w:rsidR="000173CD">
              <w:rPr>
                <w:rFonts w:ascii="Cambria" w:hAnsi="Cambria"/>
                <w:color w:val="FFFFFF" w:themeColor="background1"/>
                <w:sz w:val="19"/>
                <w:szCs w:val="19"/>
              </w:rPr>
              <w:t xml:space="preserve"> to the State</w:t>
            </w:r>
          </w:p>
        </w:tc>
        <w:tc>
          <w:tcPr>
            <w:tcW w:w="6570" w:type="dxa"/>
            <w:vAlign w:val="center"/>
          </w:tcPr>
          <w:p w14:paraId="2AF3AAB6" w14:textId="7501805D" w:rsidR="00C856E9" w:rsidRPr="00C355B4" w:rsidRDefault="000173CD" w:rsidP="0084056C">
            <w:pPr>
              <w:jc w:val="both"/>
              <w:rPr>
                <w:rFonts w:ascii="Cambria" w:hAnsi="Cambria"/>
                <w:bCs/>
                <w:sz w:val="19"/>
                <w:szCs w:val="19"/>
              </w:rPr>
            </w:pPr>
            <w:r>
              <w:rPr>
                <w:rFonts w:ascii="Cambria" w:hAnsi="Cambria"/>
                <w:bCs/>
                <w:sz w:val="19"/>
                <w:szCs w:val="19"/>
              </w:rPr>
              <w:t>October 30, 2017</w:t>
            </w:r>
          </w:p>
        </w:tc>
      </w:tr>
      <w:tr w:rsidR="00C856E9" w:rsidRPr="000B6B7A" w14:paraId="02D58873" w14:textId="77777777" w:rsidTr="0084056C">
        <w:trPr>
          <w:trHeight w:val="264"/>
        </w:trPr>
        <w:tc>
          <w:tcPr>
            <w:tcW w:w="2790" w:type="dxa"/>
            <w:tcBorders>
              <w:top w:val="single" w:sz="6" w:space="0" w:color="auto"/>
              <w:bottom w:val="single" w:sz="6" w:space="0" w:color="auto"/>
            </w:tcBorders>
            <w:shd w:val="clear" w:color="auto" w:fill="67AE3C"/>
            <w:vAlign w:val="center"/>
          </w:tcPr>
          <w:p w14:paraId="5D5FF1A5"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color w:val="FFFFFF" w:themeColor="background1"/>
                <w:sz w:val="19"/>
                <w:szCs w:val="19"/>
              </w:rPr>
              <w:t>State’s first response</w:t>
            </w:r>
          </w:p>
        </w:tc>
        <w:tc>
          <w:tcPr>
            <w:tcW w:w="6570" w:type="dxa"/>
            <w:vAlign w:val="center"/>
          </w:tcPr>
          <w:p w14:paraId="44C63469" w14:textId="5F9F80DB" w:rsidR="00C856E9" w:rsidRPr="00C355B4" w:rsidRDefault="000173CD" w:rsidP="0084056C">
            <w:pPr>
              <w:jc w:val="both"/>
              <w:rPr>
                <w:rFonts w:ascii="Cambria" w:hAnsi="Cambria"/>
                <w:bCs/>
                <w:sz w:val="19"/>
                <w:szCs w:val="19"/>
              </w:rPr>
            </w:pPr>
            <w:proofErr w:type="gramStart"/>
            <w:r>
              <w:rPr>
                <w:rFonts w:ascii="Cambria" w:hAnsi="Cambria"/>
                <w:bCs/>
                <w:sz w:val="19"/>
                <w:szCs w:val="19"/>
              </w:rPr>
              <w:t>July,</w:t>
            </w:r>
            <w:proofErr w:type="gramEnd"/>
            <w:r>
              <w:rPr>
                <w:rFonts w:ascii="Cambria" w:hAnsi="Cambria"/>
                <w:bCs/>
                <w:sz w:val="19"/>
                <w:szCs w:val="19"/>
              </w:rPr>
              <w:t xml:space="preserve"> 26, 2018</w:t>
            </w:r>
          </w:p>
        </w:tc>
      </w:tr>
      <w:tr w:rsidR="00C856E9" w:rsidRPr="000B6B7A" w14:paraId="02E20BAA" w14:textId="77777777" w:rsidTr="0084056C">
        <w:tc>
          <w:tcPr>
            <w:tcW w:w="2790" w:type="dxa"/>
            <w:tcBorders>
              <w:top w:val="single" w:sz="6" w:space="0" w:color="auto"/>
              <w:bottom w:val="single" w:sz="6" w:space="0" w:color="auto"/>
            </w:tcBorders>
            <w:shd w:val="clear" w:color="auto" w:fill="67AE3C"/>
            <w:vAlign w:val="center"/>
          </w:tcPr>
          <w:p w14:paraId="54E05142" w14:textId="77777777" w:rsidR="00C856E9" w:rsidRPr="00C355B4" w:rsidRDefault="00C856E9"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Additional observations from the petitioner</w:t>
            </w:r>
          </w:p>
        </w:tc>
        <w:tc>
          <w:tcPr>
            <w:tcW w:w="6570" w:type="dxa"/>
            <w:vAlign w:val="center"/>
          </w:tcPr>
          <w:p w14:paraId="3C9A34A2" w14:textId="0E2116BF" w:rsidR="00C856E9" w:rsidRPr="00C355B4" w:rsidRDefault="000173CD" w:rsidP="0084056C">
            <w:pPr>
              <w:jc w:val="both"/>
              <w:rPr>
                <w:rFonts w:ascii="Cambria" w:hAnsi="Cambria"/>
                <w:bCs/>
                <w:sz w:val="19"/>
                <w:szCs w:val="19"/>
              </w:rPr>
            </w:pPr>
            <w:r>
              <w:rPr>
                <w:rFonts w:ascii="Cambria" w:hAnsi="Cambria"/>
                <w:bCs/>
                <w:sz w:val="19"/>
                <w:szCs w:val="19"/>
              </w:rPr>
              <w:t xml:space="preserve">April 12, </w:t>
            </w:r>
            <w:proofErr w:type="gramStart"/>
            <w:r>
              <w:rPr>
                <w:rFonts w:ascii="Cambria" w:hAnsi="Cambria"/>
                <w:bCs/>
                <w:sz w:val="19"/>
                <w:szCs w:val="19"/>
              </w:rPr>
              <w:t>2019</w:t>
            </w:r>
            <w:proofErr w:type="gramEnd"/>
            <w:r w:rsidR="00E25717">
              <w:rPr>
                <w:rFonts w:ascii="Cambria" w:hAnsi="Cambria"/>
                <w:bCs/>
                <w:sz w:val="19"/>
                <w:szCs w:val="19"/>
              </w:rPr>
              <w:t xml:space="preserve"> and August 3, 2021</w:t>
            </w:r>
          </w:p>
        </w:tc>
      </w:tr>
    </w:tbl>
    <w:p w14:paraId="51BEB2B1" w14:textId="1BDA04AC" w:rsidR="00C856E9" w:rsidRPr="00C856E9" w:rsidRDefault="003239B8" w:rsidP="00C856E9">
      <w:pPr>
        <w:pStyle w:val="ListParagraph"/>
        <w:numPr>
          <w:ilvl w:val="0"/>
          <w:numId w:val="58"/>
        </w:numPr>
        <w:spacing w:before="120" w:after="120"/>
        <w:jc w:val="both"/>
        <w:rPr>
          <w:rFonts w:asciiTheme="majorHAnsi" w:hAnsiTheme="majorHAnsi"/>
          <w:b/>
          <w:bCs/>
          <w:sz w:val="20"/>
          <w:szCs w:val="20"/>
          <w:lang w:val="es-ES"/>
        </w:rPr>
      </w:pPr>
      <w:r w:rsidRPr="00C856E9">
        <w:rPr>
          <w:rFonts w:asciiTheme="majorHAnsi" w:hAnsiTheme="majorHAnsi"/>
          <w:b/>
          <w:bCs/>
          <w:sz w:val="20"/>
          <w:szCs w:val="20"/>
          <w:lang w:val="es-ES"/>
        </w:rPr>
        <w:t>COMPETENC</w:t>
      </w:r>
      <w:r w:rsidR="00C856E9" w:rsidRPr="00C856E9">
        <w:rPr>
          <w:rFonts w:asciiTheme="majorHAnsi" w:hAnsiTheme="majorHAnsi"/>
          <w:b/>
          <w:bCs/>
          <w:sz w:val="20"/>
          <w:szCs w:val="20"/>
          <w:lang w:val="es-ES"/>
        </w:rPr>
        <w:t>E</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1"/>
        <w:gridCol w:w="6481"/>
      </w:tblGrid>
      <w:tr w:rsidR="00C856E9" w:rsidRPr="000B6B7A" w14:paraId="2898E3EC" w14:textId="77777777" w:rsidTr="0084056C">
        <w:trPr>
          <w:cantSplit/>
        </w:trPr>
        <w:tc>
          <w:tcPr>
            <w:tcW w:w="2790" w:type="dxa"/>
            <w:tcBorders>
              <w:top w:val="single" w:sz="4" w:space="0" w:color="auto"/>
              <w:bottom w:val="single" w:sz="6" w:space="0" w:color="auto"/>
            </w:tcBorders>
            <w:shd w:val="clear" w:color="auto" w:fill="67AE3C"/>
            <w:vAlign w:val="center"/>
          </w:tcPr>
          <w:p w14:paraId="4944947A" w14:textId="77777777" w:rsidR="00C856E9" w:rsidRPr="00C355B4" w:rsidRDefault="00C856E9" w:rsidP="0084056C">
            <w:pPr>
              <w:jc w:val="center"/>
              <w:rPr>
                <w:rFonts w:ascii="Cambria" w:hAnsi="Cambria"/>
                <w:bCs/>
                <w:i/>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personae:</w:t>
            </w:r>
          </w:p>
        </w:tc>
        <w:tc>
          <w:tcPr>
            <w:tcW w:w="6570" w:type="dxa"/>
            <w:vAlign w:val="center"/>
          </w:tcPr>
          <w:p w14:paraId="6700E688"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676EEA03" w14:textId="77777777" w:rsidTr="0084056C">
        <w:trPr>
          <w:cantSplit/>
        </w:trPr>
        <w:tc>
          <w:tcPr>
            <w:tcW w:w="2790" w:type="dxa"/>
            <w:tcBorders>
              <w:top w:val="single" w:sz="6" w:space="0" w:color="auto"/>
              <w:bottom w:val="single" w:sz="6" w:space="0" w:color="auto"/>
            </w:tcBorders>
            <w:shd w:val="clear" w:color="auto" w:fill="67AE3C"/>
            <w:vAlign w:val="center"/>
          </w:tcPr>
          <w:p w14:paraId="0C6C9986" w14:textId="77777777" w:rsidR="00C856E9" w:rsidRPr="00C355B4" w:rsidRDefault="00C856E9" w:rsidP="0084056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loci</w:t>
            </w:r>
            <w:r w:rsidRPr="00C355B4">
              <w:rPr>
                <w:rFonts w:ascii="Cambria" w:hAnsi="Cambria"/>
                <w:bCs/>
                <w:color w:val="FFFFFF" w:themeColor="background1"/>
                <w:sz w:val="19"/>
                <w:szCs w:val="19"/>
              </w:rPr>
              <w:t>:</w:t>
            </w:r>
          </w:p>
        </w:tc>
        <w:tc>
          <w:tcPr>
            <w:tcW w:w="6570" w:type="dxa"/>
            <w:vAlign w:val="center"/>
          </w:tcPr>
          <w:p w14:paraId="3D4A536A"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30D81663" w14:textId="77777777" w:rsidTr="0084056C">
        <w:trPr>
          <w:cantSplit/>
        </w:trPr>
        <w:tc>
          <w:tcPr>
            <w:tcW w:w="2790" w:type="dxa"/>
            <w:tcBorders>
              <w:top w:val="single" w:sz="6" w:space="0" w:color="auto"/>
              <w:bottom w:val="single" w:sz="6" w:space="0" w:color="auto"/>
            </w:tcBorders>
            <w:shd w:val="clear" w:color="auto" w:fill="67AE3C"/>
            <w:vAlign w:val="center"/>
          </w:tcPr>
          <w:p w14:paraId="2514737F" w14:textId="77777777" w:rsidR="00C856E9" w:rsidRPr="00C355B4" w:rsidRDefault="00C856E9" w:rsidP="0084056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temporis</w:t>
            </w:r>
            <w:proofErr w:type="spellEnd"/>
            <w:r w:rsidRPr="00C355B4">
              <w:rPr>
                <w:rFonts w:ascii="Cambria" w:hAnsi="Cambria"/>
                <w:bCs/>
                <w:color w:val="FFFFFF" w:themeColor="background1"/>
                <w:sz w:val="19"/>
                <w:szCs w:val="19"/>
              </w:rPr>
              <w:t>:</w:t>
            </w:r>
          </w:p>
        </w:tc>
        <w:tc>
          <w:tcPr>
            <w:tcW w:w="6570" w:type="dxa"/>
            <w:vAlign w:val="center"/>
          </w:tcPr>
          <w:p w14:paraId="1C9F9306" w14:textId="77777777" w:rsidR="00C856E9" w:rsidRPr="00C355B4" w:rsidRDefault="00C856E9" w:rsidP="0084056C">
            <w:pPr>
              <w:rPr>
                <w:rFonts w:asciiTheme="majorHAnsi" w:hAnsiTheme="majorHAnsi"/>
                <w:bCs/>
                <w:sz w:val="19"/>
                <w:szCs w:val="19"/>
              </w:rPr>
            </w:pPr>
            <w:r>
              <w:rPr>
                <w:rFonts w:asciiTheme="majorHAnsi" w:hAnsiTheme="majorHAnsi"/>
                <w:bCs/>
                <w:sz w:val="19"/>
                <w:szCs w:val="19"/>
              </w:rPr>
              <w:t>Yes</w:t>
            </w:r>
          </w:p>
        </w:tc>
      </w:tr>
      <w:tr w:rsidR="00C856E9" w:rsidRPr="000B6B7A" w14:paraId="31D359C3" w14:textId="77777777" w:rsidTr="00015FBD">
        <w:trPr>
          <w:cantSplit/>
          <w:trHeight w:val="668"/>
        </w:trPr>
        <w:tc>
          <w:tcPr>
            <w:tcW w:w="2790" w:type="dxa"/>
            <w:tcBorders>
              <w:top w:val="single" w:sz="6" w:space="0" w:color="auto"/>
              <w:bottom w:val="single" w:sz="6" w:space="0" w:color="auto"/>
            </w:tcBorders>
            <w:shd w:val="clear" w:color="auto" w:fill="67AE3C"/>
            <w:vAlign w:val="center"/>
          </w:tcPr>
          <w:p w14:paraId="6CDF9932" w14:textId="77777777" w:rsidR="00C856E9" w:rsidRPr="00C355B4" w:rsidRDefault="00C856E9" w:rsidP="0084056C">
            <w:pPr>
              <w:jc w:val="center"/>
              <w:rPr>
                <w:rFonts w:ascii="Cambria" w:hAnsi="Cambria"/>
                <w:bCs/>
                <w:color w:val="FFFFFF" w:themeColor="background1"/>
                <w:sz w:val="19"/>
                <w:szCs w:val="19"/>
              </w:rPr>
            </w:pPr>
            <w:proofErr w:type="spellStart"/>
            <w:r w:rsidRPr="00C355B4">
              <w:rPr>
                <w:rFonts w:ascii="Cambria" w:hAnsi="Cambria"/>
                <w:bCs/>
                <w:i/>
                <w:color w:val="FFFFFF" w:themeColor="background1"/>
                <w:sz w:val="19"/>
                <w:szCs w:val="19"/>
              </w:rPr>
              <w:t>Ratione</w:t>
            </w:r>
            <w:proofErr w:type="spellEnd"/>
            <w:r w:rsidRPr="00C355B4">
              <w:rPr>
                <w:rFonts w:ascii="Cambria" w:hAnsi="Cambria"/>
                <w:bCs/>
                <w:i/>
                <w:color w:val="FFFFFF" w:themeColor="background1"/>
                <w:sz w:val="19"/>
                <w:szCs w:val="19"/>
              </w:rPr>
              <w:t xml:space="preserve"> </w:t>
            </w:r>
            <w:proofErr w:type="spellStart"/>
            <w:r w:rsidRPr="00C355B4">
              <w:rPr>
                <w:rFonts w:ascii="Cambria" w:hAnsi="Cambria"/>
                <w:bCs/>
                <w:i/>
                <w:color w:val="FFFFFF" w:themeColor="background1"/>
                <w:sz w:val="19"/>
                <w:szCs w:val="19"/>
              </w:rPr>
              <w:t>materiae</w:t>
            </w:r>
            <w:proofErr w:type="spellEnd"/>
            <w:r w:rsidRPr="00C355B4">
              <w:rPr>
                <w:rFonts w:ascii="Cambria" w:hAnsi="Cambria"/>
                <w:bCs/>
                <w:color w:val="FFFFFF" w:themeColor="background1"/>
                <w:sz w:val="19"/>
                <w:szCs w:val="19"/>
              </w:rPr>
              <w:t>:</w:t>
            </w:r>
          </w:p>
        </w:tc>
        <w:tc>
          <w:tcPr>
            <w:tcW w:w="6570" w:type="dxa"/>
            <w:vAlign w:val="center"/>
          </w:tcPr>
          <w:p w14:paraId="59050D12" w14:textId="1A682FC8" w:rsidR="00C856E9" w:rsidRPr="00C355B4" w:rsidRDefault="00C856E9" w:rsidP="0084056C">
            <w:pPr>
              <w:jc w:val="both"/>
              <w:rPr>
                <w:rFonts w:asciiTheme="majorHAnsi" w:hAnsiTheme="majorHAnsi"/>
                <w:bCs/>
                <w:sz w:val="19"/>
                <w:szCs w:val="19"/>
              </w:rPr>
            </w:pPr>
            <w:r>
              <w:rPr>
                <w:rFonts w:asciiTheme="majorHAnsi" w:hAnsiTheme="majorHAnsi"/>
                <w:bCs/>
                <w:sz w:val="19"/>
                <w:szCs w:val="19"/>
              </w:rPr>
              <w:t>Yes, American Convention (</w:t>
            </w:r>
            <w:r w:rsidR="00C757AC">
              <w:rPr>
                <w:rFonts w:asciiTheme="majorHAnsi" w:hAnsiTheme="majorHAnsi"/>
                <w:bCs/>
                <w:sz w:val="19"/>
                <w:szCs w:val="19"/>
              </w:rPr>
              <w:t>deposit of instrument of ratification</w:t>
            </w:r>
            <w:r>
              <w:rPr>
                <w:rFonts w:asciiTheme="majorHAnsi" w:hAnsiTheme="majorHAnsi"/>
                <w:bCs/>
                <w:sz w:val="19"/>
                <w:szCs w:val="19"/>
              </w:rPr>
              <w:t xml:space="preserve"> on July </w:t>
            </w:r>
            <w:r w:rsidR="000173CD">
              <w:rPr>
                <w:rFonts w:asciiTheme="majorHAnsi" w:hAnsiTheme="majorHAnsi"/>
                <w:bCs/>
                <w:sz w:val="19"/>
                <w:szCs w:val="19"/>
              </w:rPr>
              <w:t>31</w:t>
            </w:r>
            <w:r>
              <w:rPr>
                <w:rFonts w:asciiTheme="majorHAnsi" w:hAnsiTheme="majorHAnsi"/>
                <w:bCs/>
                <w:sz w:val="19"/>
                <w:szCs w:val="19"/>
              </w:rPr>
              <w:t>, 197</w:t>
            </w:r>
            <w:r w:rsidR="000173CD">
              <w:rPr>
                <w:rFonts w:asciiTheme="majorHAnsi" w:hAnsiTheme="majorHAnsi"/>
                <w:bCs/>
                <w:sz w:val="19"/>
                <w:szCs w:val="19"/>
              </w:rPr>
              <w:t>3</w:t>
            </w:r>
            <w:r>
              <w:rPr>
                <w:rFonts w:asciiTheme="majorHAnsi" w:hAnsiTheme="majorHAnsi"/>
                <w:bCs/>
                <w:sz w:val="19"/>
                <w:szCs w:val="19"/>
              </w:rPr>
              <w:t xml:space="preserve">) </w:t>
            </w:r>
          </w:p>
        </w:tc>
      </w:tr>
    </w:tbl>
    <w:p w14:paraId="7758C4B4" w14:textId="6FDC9086" w:rsidR="00C856E9" w:rsidRDefault="00EE00E9" w:rsidP="00F807AA">
      <w:pPr>
        <w:pStyle w:val="ListParagraph"/>
        <w:numPr>
          <w:ilvl w:val="0"/>
          <w:numId w:val="58"/>
        </w:numPr>
        <w:spacing w:before="120" w:after="120"/>
        <w:jc w:val="both"/>
        <w:rPr>
          <w:rFonts w:asciiTheme="majorHAnsi" w:hAnsiTheme="majorHAnsi"/>
          <w:b/>
          <w:bCs/>
          <w:sz w:val="20"/>
          <w:szCs w:val="20"/>
        </w:rPr>
      </w:pPr>
      <w:r w:rsidRPr="00C856E9">
        <w:rPr>
          <w:rFonts w:asciiTheme="majorHAnsi" w:hAnsiTheme="majorHAnsi"/>
          <w:b/>
          <w:bCs/>
          <w:sz w:val="20"/>
          <w:szCs w:val="20"/>
        </w:rPr>
        <w:t xml:space="preserve"> </w:t>
      </w:r>
      <w:r w:rsidR="00C856E9" w:rsidRPr="0032721B">
        <w:rPr>
          <w:rFonts w:asciiTheme="majorHAnsi" w:hAnsiTheme="majorHAnsi"/>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5"/>
        <w:gridCol w:w="6477"/>
      </w:tblGrid>
      <w:tr w:rsidR="00015FBD" w:rsidRPr="000B6B7A" w14:paraId="1820AF09" w14:textId="77777777" w:rsidTr="0084056C">
        <w:trPr>
          <w:cantSplit/>
        </w:trPr>
        <w:tc>
          <w:tcPr>
            <w:tcW w:w="2790" w:type="dxa"/>
            <w:tcBorders>
              <w:top w:val="single" w:sz="4" w:space="0" w:color="auto"/>
              <w:bottom w:val="single" w:sz="6" w:space="0" w:color="auto"/>
            </w:tcBorders>
            <w:shd w:val="clear" w:color="auto" w:fill="67AE3C"/>
            <w:vAlign w:val="center"/>
          </w:tcPr>
          <w:p w14:paraId="0CEB3C35" w14:textId="77777777" w:rsidR="00015FBD" w:rsidRPr="00C355B4" w:rsidRDefault="00015FBD"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Duplication of procedures and </w:t>
            </w:r>
            <w:r>
              <w:rPr>
                <w:rFonts w:ascii="Cambria" w:hAnsi="Cambria"/>
                <w:bCs/>
                <w:color w:val="FFFFFF" w:themeColor="background1"/>
                <w:sz w:val="19"/>
                <w:szCs w:val="19"/>
              </w:rPr>
              <w:t>i</w:t>
            </w:r>
            <w:r w:rsidRPr="00C355B4">
              <w:rPr>
                <w:rFonts w:ascii="Cambria" w:hAnsi="Cambria"/>
                <w:bCs/>
                <w:color w:val="FFFFFF" w:themeColor="background1"/>
                <w:sz w:val="19"/>
                <w:szCs w:val="19"/>
              </w:rPr>
              <w:t xml:space="preserve">nternational </w:t>
            </w:r>
            <w:r w:rsidRPr="00C355B4">
              <w:rPr>
                <w:rFonts w:ascii="Cambria" w:hAnsi="Cambria"/>
                <w:bCs/>
                <w:i/>
                <w:color w:val="FFFFFF" w:themeColor="background1"/>
                <w:sz w:val="19"/>
                <w:szCs w:val="19"/>
              </w:rPr>
              <w:t>res judicata</w:t>
            </w:r>
          </w:p>
        </w:tc>
        <w:tc>
          <w:tcPr>
            <w:tcW w:w="6570" w:type="dxa"/>
            <w:vAlign w:val="center"/>
          </w:tcPr>
          <w:p w14:paraId="37717EF8" w14:textId="77777777" w:rsidR="00015FBD" w:rsidRPr="00C355B4" w:rsidRDefault="00015FBD" w:rsidP="0084056C">
            <w:pPr>
              <w:jc w:val="both"/>
              <w:rPr>
                <w:rFonts w:ascii="Cambria" w:hAnsi="Cambria"/>
                <w:bCs/>
                <w:sz w:val="19"/>
                <w:szCs w:val="19"/>
              </w:rPr>
            </w:pPr>
            <w:r>
              <w:rPr>
                <w:rFonts w:ascii="Cambria" w:hAnsi="Cambria"/>
                <w:bCs/>
                <w:sz w:val="19"/>
                <w:szCs w:val="19"/>
              </w:rPr>
              <w:t>No</w:t>
            </w:r>
          </w:p>
        </w:tc>
      </w:tr>
      <w:tr w:rsidR="00015FBD" w:rsidRPr="0001454A" w14:paraId="708C6C79" w14:textId="77777777" w:rsidTr="0084056C">
        <w:trPr>
          <w:cantSplit/>
        </w:trPr>
        <w:tc>
          <w:tcPr>
            <w:tcW w:w="2790" w:type="dxa"/>
            <w:tcBorders>
              <w:top w:val="single" w:sz="6" w:space="0" w:color="auto"/>
              <w:bottom w:val="single" w:sz="6" w:space="0" w:color="auto"/>
            </w:tcBorders>
            <w:shd w:val="clear" w:color="auto" w:fill="67AE3C"/>
            <w:vAlign w:val="center"/>
          </w:tcPr>
          <w:p w14:paraId="38E7B5ED" w14:textId="77777777" w:rsidR="00015FBD" w:rsidRPr="00C355B4" w:rsidRDefault="00015FBD" w:rsidP="0084056C">
            <w:pPr>
              <w:jc w:val="center"/>
              <w:rPr>
                <w:rFonts w:ascii="Cambria" w:hAnsi="Cambria"/>
                <w:bCs/>
                <w:i/>
                <w:color w:val="FFFFFF" w:themeColor="background1"/>
                <w:sz w:val="19"/>
                <w:szCs w:val="19"/>
              </w:rPr>
            </w:pPr>
            <w:r w:rsidRPr="00C355B4">
              <w:rPr>
                <w:rFonts w:ascii="Cambria" w:hAnsi="Cambria"/>
                <w:bCs/>
                <w:color w:val="FFFFFF" w:themeColor="background1"/>
                <w:sz w:val="19"/>
                <w:szCs w:val="19"/>
              </w:rPr>
              <w:t>Rights declared admissible</w:t>
            </w:r>
          </w:p>
        </w:tc>
        <w:tc>
          <w:tcPr>
            <w:tcW w:w="6570" w:type="dxa"/>
            <w:vAlign w:val="center"/>
          </w:tcPr>
          <w:p w14:paraId="2C3B0DC8" w14:textId="693FDE5F" w:rsidR="00015FBD" w:rsidRPr="00B320E2" w:rsidRDefault="00015FBD" w:rsidP="0084056C">
            <w:pPr>
              <w:jc w:val="both"/>
              <w:rPr>
                <w:rFonts w:ascii="Cambria" w:hAnsi="Cambria"/>
                <w:bCs/>
                <w:sz w:val="20"/>
                <w:szCs w:val="20"/>
              </w:rPr>
            </w:pPr>
            <w:r>
              <w:rPr>
                <w:rFonts w:ascii="Cambria" w:hAnsi="Cambria"/>
                <w:bCs/>
                <w:sz w:val="20"/>
                <w:szCs w:val="20"/>
              </w:rPr>
              <w:t>None</w:t>
            </w:r>
          </w:p>
        </w:tc>
      </w:tr>
      <w:tr w:rsidR="00015FBD" w:rsidRPr="00B320E2" w14:paraId="6E2A7922" w14:textId="77777777" w:rsidTr="0084056C">
        <w:trPr>
          <w:cantSplit/>
        </w:trPr>
        <w:tc>
          <w:tcPr>
            <w:tcW w:w="2790" w:type="dxa"/>
            <w:tcBorders>
              <w:top w:val="single" w:sz="6" w:space="0" w:color="auto"/>
              <w:bottom w:val="single" w:sz="6" w:space="0" w:color="auto"/>
            </w:tcBorders>
            <w:shd w:val="clear" w:color="auto" w:fill="67AE3C"/>
            <w:vAlign w:val="center"/>
          </w:tcPr>
          <w:p w14:paraId="562A4E59" w14:textId="77777777" w:rsidR="00015FBD" w:rsidRPr="00C355B4" w:rsidRDefault="00015FBD" w:rsidP="0084056C">
            <w:pPr>
              <w:jc w:val="center"/>
              <w:rPr>
                <w:rFonts w:ascii="Cambria" w:hAnsi="Cambria"/>
                <w:bCs/>
                <w:color w:val="FFFFFF" w:themeColor="background1"/>
                <w:sz w:val="19"/>
                <w:szCs w:val="19"/>
              </w:rPr>
            </w:pPr>
            <w:r w:rsidRPr="00C355B4">
              <w:rPr>
                <w:rFonts w:ascii="Cambria" w:hAnsi="Cambria"/>
                <w:bCs/>
                <w:color w:val="FFFFFF" w:themeColor="background1"/>
                <w:sz w:val="19"/>
                <w:szCs w:val="19"/>
              </w:rPr>
              <w:t xml:space="preserve">Exhaustion </w:t>
            </w:r>
            <w:r>
              <w:rPr>
                <w:rFonts w:ascii="Cambria" w:hAnsi="Cambria"/>
                <w:bCs/>
                <w:color w:val="FFFFFF" w:themeColor="background1"/>
                <w:sz w:val="19"/>
                <w:szCs w:val="19"/>
              </w:rPr>
              <w:t>or exception to the exhaustion of remedies</w:t>
            </w:r>
            <w:r w:rsidRPr="00C355B4">
              <w:rPr>
                <w:rFonts w:ascii="Cambria" w:hAnsi="Cambria"/>
                <w:bCs/>
                <w:color w:val="FFFFFF" w:themeColor="background1"/>
                <w:sz w:val="19"/>
                <w:szCs w:val="19"/>
              </w:rPr>
              <w:t xml:space="preserve"> </w:t>
            </w:r>
          </w:p>
        </w:tc>
        <w:tc>
          <w:tcPr>
            <w:tcW w:w="6570" w:type="dxa"/>
            <w:vAlign w:val="center"/>
          </w:tcPr>
          <w:p w14:paraId="300C97DB" w14:textId="463B5B00" w:rsidR="00015FBD" w:rsidRPr="00B320E2" w:rsidRDefault="00015FBD" w:rsidP="0084056C">
            <w:pPr>
              <w:rPr>
                <w:rFonts w:ascii="Cambria" w:hAnsi="Cambria"/>
                <w:bCs/>
                <w:sz w:val="20"/>
                <w:szCs w:val="20"/>
              </w:rPr>
            </w:pPr>
            <w:r>
              <w:rPr>
                <w:rFonts w:ascii="Cambria" w:hAnsi="Cambria"/>
                <w:bCs/>
                <w:sz w:val="20"/>
                <w:szCs w:val="20"/>
              </w:rPr>
              <w:t>No</w:t>
            </w:r>
            <w:r w:rsidR="000173CD">
              <w:rPr>
                <w:rFonts w:ascii="Cambria" w:hAnsi="Cambria"/>
                <w:bCs/>
                <w:sz w:val="20"/>
                <w:szCs w:val="20"/>
              </w:rPr>
              <w:t>, according to section VI</w:t>
            </w:r>
          </w:p>
        </w:tc>
      </w:tr>
      <w:tr w:rsidR="00015FBD" w:rsidRPr="00B320E2" w14:paraId="7C52F7A5" w14:textId="77777777" w:rsidTr="0084056C">
        <w:trPr>
          <w:cantSplit/>
        </w:trPr>
        <w:tc>
          <w:tcPr>
            <w:tcW w:w="2790" w:type="dxa"/>
            <w:tcBorders>
              <w:top w:val="single" w:sz="6" w:space="0" w:color="auto"/>
              <w:bottom w:val="single" w:sz="6" w:space="0" w:color="auto"/>
            </w:tcBorders>
            <w:shd w:val="clear" w:color="auto" w:fill="67AE3C"/>
            <w:vAlign w:val="center"/>
          </w:tcPr>
          <w:p w14:paraId="6E75FF9D" w14:textId="77777777" w:rsidR="00015FBD" w:rsidRPr="00C355B4" w:rsidRDefault="00015FBD" w:rsidP="0084056C">
            <w:pPr>
              <w:jc w:val="center"/>
              <w:rPr>
                <w:rFonts w:ascii="Cambria" w:hAnsi="Cambria"/>
                <w:bCs/>
                <w:color w:val="FFFFFF" w:themeColor="background1"/>
                <w:sz w:val="19"/>
                <w:szCs w:val="19"/>
              </w:rPr>
            </w:pPr>
            <w:r>
              <w:rPr>
                <w:rFonts w:ascii="Cambria" w:hAnsi="Cambria"/>
                <w:bCs/>
                <w:color w:val="FFFFFF" w:themeColor="background1"/>
                <w:sz w:val="19"/>
                <w:szCs w:val="19"/>
              </w:rPr>
              <w:t>Timeliness of the petition</w:t>
            </w:r>
          </w:p>
        </w:tc>
        <w:tc>
          <w:tcPr>
            <w:tcW w:w="6570" w:type="dxa"/>
            <w:vAlign w:val="center"/>
          </w:tcPr>
          <w:p w14:paraId="3FDC2A63" w14:textId="03DD1FCD" w:rsidR="00015FBD" w:rsidRPr="00B320E2" w:rsidRDefault="000173CD" w:rsidP="0084056C">
            <w:pPr>
              <w:rPr>
                <w:rFonts w:asciiTheme="majorHAnsi" w:hAnsiTheme="majorHAnsi"/>
                <w:bCs/>
                <w:sz w:val="19"/>
                <w:szCs w:val="19"/>
              </w:rPr>
            </w:pPr>
            <w:r>
              <w:rPr>
                <w:rFonts w:asciiTheme="majorHAnsi" w:hAnsiTheme="majorHAnsi"/>
                <w:bCs/>
                <w:sz w:val="19"/>
                <w:szCs w:val="19"/>
              </w:rPr>
              <w:t>No, according to section VI</w:t>
            </w:r>
          </w:p>
        </w:tc>
      </w:tr>
    </w:tbl>
    <w:p w14:paraId="18E6423B" w14:textId="7923C719" w:rsidR="003239B8" w:rsidRPr="00C856E9" w:rsidRDefault="00223A29" w:rsidP="00647756">
      <w:pPr>
        <w:spacing w:before="120" w:after="120"/>
        <w:ind w:firstLine="720"/>
        <w:jc w:val="both"/>
        <w:rPr>
          <w:rFonts w:asciiTheme="majorHAnsi" w:hAnsiTheme="majorHAnsi"/>
          <w:b/>
          <w:sz w:val="20"/>
          <w:szCs w:val="20"/>
        </w:rPr>
      </w:pPr>
      <w:r w:rsidRPr="00C856E9">
        <w:rPr>
          <w:rFonts w:asciiTheme="majorHAnsi" w:hAnsiTheme="majorHAnsi"/>
          <w:b/>
          <w:sz w:val="20"/>
          <w:szCs w:val="20"/>
        </w:rPr>
        <w:t xml:space="preserve">V. </w:t>
      </w:r>
      <w:r w:rsidRPr="00C856E9">
        <w:rPr>
          <w:rFonts w:asciiTheme="majorHAnsi" w:hAnsiTheme="majorHAnsi"/>
          <w:b/>
          <w:sz w:val="20"/>
          <w:szCs w:val="20"/>
        </w:rPr>
        <w:tab/>
      </w:r>
      <w:r w:rsidR="00C856E9" w:rsidRPr="00C856E9">
        <w:rPr>
          <w:rFonts w:asciiTheme="majorHAnsi" w:hAnsiTheme="majorHAnsi"/>
          <w:b/>
          <w:sz w:val="20"/>
          <w:szCs w:val="20"/>
        </w:rPr>
        <w:t>SUMMARY OF ALLEGED FACTS</w:t>
      </w:r>
    </w:p>
    <w:p w14:paraId="5D05563C" w14:textId="5C08D639"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The </w:t>
      </w:r>
      <w:r w:rsidRPr="00267FC3">
        <w:rPr>
          <w:rFonts w:ascii="Cambria" w:hAnsi="Cambria"/>
          <w:sz w:val="20"/>
          <w:szCs w:val="20"/>
        </w:rPr>
        <w:t>petitioner</w:t>
      </w:r>
      <w:r w:rsidRPr="000173CD">
        <w:rPr>
          <w:rFonts w:ascii="Cambria" w:hAnsi="Cambria"/>
          <w:sz w:val="20"/>
          <w:szCs w:val="20"/>
        </w:rPr>
        <w:t xml:space="preserve"> party denounces that the State criminally </w:t>
      </w:r>
      <w:r w:rsidR="00267FC3">
        <w:rPr>
          <w:rFonts w:ascii="Cambria" w:hAnsi="Cambria"/>
          <w:sz w:val="20"/>
          <w:szCs w:val="20"/>
        </w:rPr>
        <w:t>convicted</w:t>
      </w:r>
      <w:r w:rsidRPr="000173CD">
        <w:rPr>
          <w:rFonts w:ascii="Cambria" w:hAnsi="Cambria"/>
          <w:sz w:val="20"/>
          <w:szCs w:val="20"/>
        </w:rPr>
        <w:t xml:space="preserve"> the alleged victims for the labor lawsuits that they initiated against the </w:t>
      </w:r>
      <w:proofErr w:type="spellStart"/>
      <w:r w:rsidRPr="000173CD">
        <w:rPr>
          <w:rFonts w:ascii="Cambria" w:hAnsi="Cambria"/>
          <w:sz w:val="20"/>
          <w:szCs w:val="20"/>
        </w:rPr>
        <w:t>Puertos</w:t>
      </w:r>
      <w:proofErr w:type="spellEnd"/>
      <w:r w:rsidRPr="000173CD">
        <w:rPr>
          <w:rFonts w:ascii="Cambria" w:hAnsi="Cambria"/>
          <w:sz w:val="20"/>
          <w:szCs w:val="20"/>
        </w:rPr>
        <w:t xml:space="preserve"> de Colombia</w:t>
      </w:r>
      <w:r>
        <w:rPr>
          <w:rFonts w:ascii="Cambria" w:hAnsi="Cambria"/>
          <w:sz w:val="20"/>
          <w:szCs w:val="20"/>
        </w:rPr>
        <w:t xml:space="preserve"> Company</w:t>
      </w:r>
      <w:r w:rsidRPr="000173CD">
        <w:rPr>
          <w:rFonts w:ascii="Cambria" w:hAnsi="Cambria"/>
          <w:sz w:val="20"/>
          <w:szCs w:val="20"/>
        </w:rPr>
        <w:t xml:space="preserve"> (hereinafter, “COLPUERTOS”). Likewise, </w:t>
      </w:r>
      <w:r>
        <w:rPr>
          <w:rFonts w:ascii="Cambria" w:hAnsi="Cambria"/>
          <w:sz w:val="20"/>
          <w:szCs w:val="20"/>
        </w:rPr>
        <w:t>the petitioner</w:t>
      </w:r>
      <w:r w:rsidRPr="000173CD">
        <w:rPr>
          <w:rFonts w:ascii="Cambria" w:hAnsi="Cambria"/>
          <w:sz w:val="20"/>
          <w:szCs w:val="20"/>
        </w:rPr>
        <w:t xml:space="preserve"> argues that the jurisdictional authorities arbitrarily reversed a set of final decisions that ordered the payment of rights and social benefits in favor of a group of the alleged victims, in their capacity as former employees of the </w:t>
      </w:r>
      <w:proofErr w:type="gramStart"/>
      <w:r w:rsidRPr="000173CD">
        <w:rPr>
          <w:rFonts w:ascii="Cambria" w:hAnsi="Cambria"/>
          <w:sz w:val="20"/>
          <w:szCs w:val="20"/>
        </w:rPr>
        <w:t>aforementioned public</w:t>
      </w:r>
      <w:proofErr w:type="gramEnd"/>
      <w:r w:rsidRPr="000173CD">
        <w:rPr>
          <w:rFonts w:ascii="Cambria" w:hAnsi="Cambria"/>
          <w:sz w:val="20"/>
          <w:szCs w:val="20"/>
        </w:rPr>
        <w:t xml:space="preserve"> company.</w:t>
      </w:r>
    </w:p>
    <w:p w14:paraId="369091E4" w14:textId="3EAD2B56"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lastRenderedPageBreak/>
        <w:t>Without providing clear details, the petition</w:t>
      </w:r>
      <w:r>
        <w:rPr>
          <w:rFonts w:ascii="Cambria" w:hAnsi="Cambria"/>
          <w:sz w:val="20"/>
          <w:szCs w:val="20"/>
        </w:rPr>
        <w:t>er</w:t>
      </w:r>
      <w:r w:rsidRPr="000173CD">
        <w:rPr>
          <w:rFonts w:ascii="Cambria" w:hAnsi="Cambria"/>
          <w:sz w:val="20"/>
          <w:szCs w:val="20"/>
        </w:rPr>
        <w:t xml:space="preserve"> </w:t>
      </w:r>
      <w:r w:rsidR="00267FC3">
        <w:rPr>
          <w:rFonts w:ascii="Cambria" w:hAnsi="Cambria"/>
          <w:sz w:val="20"/>
          <w:szCs w:val="20"/>
        </w:rPr>
        <w:t xml:space="preserve">party </w:t>
      </w:r>
      <w:r w:rsidRPr="000173CD">
        <w:rPr>
          <w:rFonts w:ascii="Cambria" w:hAnsi="Cambria"/>
          <w:sz w:val="20"/>
          <w:szCs w:val="20"/>
        </w:rPr>
        <w:t xml:space="preserve">mentions that David Alba de la </w:t>
      </w:r>
      <w:proofErr w:type="spellStart"/>
      <w:r w:rsidRPr="000173CD">
        <w:rPr>
          <w:rFonts w:ascii="Cambria" w:hAnsi="Cambria"/>
          <w:sz w:val="20"/>
          <w:szCs w:val="20"/>
        </w:rPr>
        <w:t>Hoz</w:t>
      </w:r>
      <w:proofErr w:type="spellEnd"/>
      <w:r w:rsidRPr="000173CD">
        <w:rPr>
          <w:rFonts w:ascii="Cambria" w:hAnsi="Cambria"/>
          <w:sz w:val="20"/>
          <w:szCs w:val="20"/>
        </w:rPr>
        <w:t xml:space="preserve">, María Teresa Suárez </w:t>
      </w:r>
      <w:proofErr w:type="spellStart"/>
      <w:r w:rsidRPr="000173CD">
        <w:rPr>
          <w:rFonts w:ascii="Cambria" w:hAnsi="Cambria"/>
          <w:sz w:val="20"/>
          <w:szCs w:val="20"/>
        </w:rPr>
        <w:t>Cabrales</w:t>
      </w:r>
      <w:proofErr w:type="spellEnd"/>
      <w:r w:rsidRPr="000173CD">
        <w:rPr>
          <w:rFonts w:ascii="Cambria" w:hAnsi="Cambria"/>
          <w:sz w:val="20"/>
          <w:szCs w:val="20"/>
        </w:rPr>
        <w:t xml:space="preserve"> and Rosa Emilia Barraza </w:t>
      </w:r>
      <w:proofErr w:type="spellStart"/>
      <w:r w:rsidRPr="000173CD">
        <w:rPr>
          <w:rFonts w:ascii="Cambria" w:hAnsi="Cambria"/>
          <w:sz w:val="20"/>
          <w:szCs w:val="20"/>
        </w:rPr>
        <w:t>Barraza</w:t>
      </w:r>
      <w:proofErr w:type="spellEnd"/>
      <w:r w:rsidRPr="000173CD">
        <w:rPr>
          <w:rFonts w:ascii="Cambria" w:hAnsi="Cambria"/>
          <w:sz w:val="20"/>
          <w:szCs w:val="20"/>
        </w:rPr>
        <w:t xml:space="preserve"> filed an ordinary labor lawsuit against “COLPUERTOS” and the Social Liability Fund of the </w:t>
      </w:r>
      <w:proofErr w:type="spellStart"/>
      <w:r w:rsidRPr="000173CD">
        <w:rPr>
          <w:rFonts w:ascii="Cambria" w:hAnsi="Cambria"/>
          <w:sz w:val="20"/>
          <w:szCs w:val="20"/>
        </w:rPr>
        <w:t>Puertos</w:t>
      </w:r>
      <w:proofErr w:type="spellEnd"/>
      <w:r w:rsidRPr="000173CD">
        <w:rPr>
          <w:rFonts w:ascii="Cambria" w:hAnsi="Cambria"/>
          <w:sz w:val="20"/>
          <w:szCs w:val="20"/>
        </w:rPr>
        <w:t xml:space="preserve"> de Colombia Company (</w:t>
      </w:r>
      <w:r>
        <w:rPr>
          <w:rFonts w:ascii="Cambria" w:hAnsi="Cambria"/>
          <w:sz w:val="20"/>
          <w:szCs w:val="20"/>
        </w:rPr>
        <w:t>hereinafter</w:t>
      </w:r>
      <w:r w:rsidRPr="000173CD">
        <w:rPr>
          <w:rFonts w:ascii="Cambria" w:hAnsi="Cambria"/>
          <w:sz w:val="20"/>
          <w:szCs w:val="20"/>
        </w:rPr>
        <w:t xml:space="preserve">, "FONCOLPUERTOS"), obtaining favorable judgments that ordered the recognition of their rights as former workers of said company. </w:t>
      </w:r>
      <w:r>
        <w:rPr>
          <w:rFonts w:ascii="Cambria" w:hAnsi="Cambria"/>
          <w:sz w:val="20"/>
          <w:szCs w:val="20"/>
        </w:rPr>
        <w:t>The petitioner</w:t>
      </w:r>
      <w:r w:rsidRPr="000173CD">
        <w:rPr>
          <w:rFonts w:ascii="Cambria" w:hAnsi="Cambria"/>
          <w:sz w:val="20"/>
          <w:szCs w:val="20"/>
        </w:rPr>
        <w:t xml:space="preserve"> indicates that, in 1998, the Ministry of Finance and Credit issued resolutions that ordered the payment of said compensation. Despite this, it denounces that the Judiciary Council, through a procedure </w:t>
      </w:r>
      <w:r>
        <w:rPr>
          <w:rFonts w:ascii="Cambria" w:hAnsi="Cambria"/>
          <w:sz w:val="20"/>
          <w:szCs w:val="20"/>
        </w:rPr>
        <w:t>which damaged their</w:t>
      </w:r>
      <w:r w:rsidRPr="000173CD">
        <w:rPr>
          <w:rFonts w:ascii="Cambria" w:hAnsi="Cambria"/>
          <w:sz w:val="20"/>
          <w:szCs w:val="20"/>
        </w:rPr>
        <w:t xml:space="preserve"> judicial guarantees, ordered the unarchiving of such </w:t>
      </w:r>
      <w:r w:rsidR="00EF765A" w:rsidRPr="000173CD">
        <w:rPr>
          <w:rFonts w:ascii="Cambria" w:hAnsi="Cambria"/>
          <w:sz w:val="20"/>
          <w:szCs w:val="20"/>
        </w:rPr>
        <w:t>processes,</w:t>
      </w:r>
      <w:r w:rsidRPr="000173CD">
        <w:rPr>
          <w:rFonts w:ascii="Cambria" w:hAnsi="Cambria"/>
          <w:sz w:val="20"/>
          <w:szCs w:val="20"/>
        </w:rPr>
        <w:t xml:space="preserve"> and distributed them among the </w:t>
      </w:r>
      <w:r>
        <w:rPr>
          <w:rFonts w:ascii="Cambria" w:hAnsi="Cambria"/>
          <w:sz w:val="20"/>
          <w:szCs w:val="20"/>
        </w:rPr>
        <w:t>Overflow</w:t>
      </w:r>
      <w:r w:rsidRPr="000173CD">
        <w:rPr>
          <w:rFonts w:ascii="Cambria" w:hAnsi="Cambria"/>
          <w:sz w:val="20"/>
          <w:szCs w:val="20"/>
        </w:rPr>
        <w:t xml:space="preserve"> Courts.</w:t>
      </w:r>
    </w:p>
    <w:p w14:paraId="3224B8CF" w14:textId="146446CE"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In this regard, it indicates that the </w:t>
      </w:r>
      <w:proofErr w:type="gramStart"/>
      <w:r w:rsidRPr="000173CD">
        <w:rPr>
          <w:rFonts w:ascii="Cambria" w:hAnsi="Cambria"/>
          <w:sz w:val="20"/>
          <w:szCs w:val="20"/>
        </w:rPr>
        <w:t>aforementioned decision</w:t>
      </w:r>
      <w:proofErr w:type="gramEnd"/>
      <w:r w:rsidRPr="000173CD">
        <w:rPr>
          <w:rFonts w:ascii="Cambria" w:hAnsi="Cambria"/>
          <w:sz w:val="20"/>
          <w:szCs w:val="20"/>
        </w:rPr>
        <w:t xml:space="preserve"> of the Judicial Council relied on the unification judgment 962 of the Constitutional Court, of December 1, 1999, which held that, by virtue of Article 69 of the Labor</w:t>
      </w:r>
      <w:r>
        <w:rPr>
          <w:rFonts w:ascii="Cambria" w:hAnsi="Cambria"/>
          <w:sz w:val="20"/>
          <w:szCs w:val="20"/>
        </w:rPr>
        <w:t xml:space="preserve"> and Social Security</w:t>
      </w:r>
      <w:r w:rsidRPr="000173CD">
        <w:rPr>
          <w:rFonts w:ascii="Cambria" w:hAnsi="Cambria"/>
          <w:sz w:val="20"/>
          <w:szCs w:val="20"/>
        </w:rPr>
        <w:t xml:space="preserve"> Procedure Code,</w:t>
      </w:r>
      <w:r>
        <w:rPr>
          <w:rStyle w:val="FootnoteReference"/>
          <w:rFonts w:ascii="Cambria" w:hAnsi="Cambria"/>
          <w:sz w:val="20"/>
          <w:szCs w:val="20"/>
        </w:rPr>
        <w:footnoteReference w:id="5"/>
      </w:r>
      <w:r w:rsidRPr="000173CD">
        <w:rPr>
          <w:rFonts w:ascii="Cambria" w:hAnsi="Cambria"/>
          <w:sz w:val="20"/>
          <w:szCs w:val="20"/>
        </w:rPr>
        <w:t xml:space="preserve"> the decisions related to the liquidation process of "COLPUERTOS" </w:t>
      </w:r>
      <w:r>
        <w:rPr>
          <w:rFonts w:ascii="Cambria" w:hAnsi="Cambria"/>
          <w:sz w:val="20"/>
          <w:szCs w:val="20"/>
        </w:rPr>
        <w:t xml:space="preserve">which </w:t>
      </w:r>
      <w:r w:rsidR="00267FC3">
        <w:rPr>
          <w:rFonts w:ascii="Cambria" w:hAnsi="Cambria"/>
          <w:sz w:val="20"/>
          <w:szCs w:val="20"/>
        </w:rPr>
        <w:t>impacts</w:t>
      </w:r>
      <w:r w:rsidRPr="000173CD">
        <w:rPr>
          <w:rFonts w:ascii="Cambria" w:hAnsi="Cambria"/>
          <w:sz w:val="20"/>
          <w:szCs w:val="20"/>
        </w:rPr>
        <w:t xml:space="preserve"> the national treasury, will only be final after being submitted to a consultation procedure. Specifically, the Court held that</w:t>
      </w:r>
      <w:r>
        <w:rPr>
          <w:rFonts w:ascii="Cambria" w:hAnsi="Cambria"/>
          <w:sz w:val="20"/>
          <w:szCs w:val="20"/>
        </w:rPr>
        <w:t>:</w:t>
      </w:r>
    </w:p>
    <w:p w14:paraId="3D3A49B9" w14:textId="6D563BF6" w:rsidR="000173CD" w:rsidRDefault="000173CD" w:rsidP="00327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rPr>
      </w:pPr>
      <w:r w:rsidRPr="000173CD">
        <w:rPr>
          <w:rFonts w:ascii="Cambria" w:hAnsi="Cambria"/>
          <w:sz w:val="20"/>
          <w:szCs w:val="20"/>
        </w:rPr>
        <w:t xml:space="preserve">There is no doubt about the mandatory application of article 69 of the Labor and Social Security Procedure </w:t>
      </w:r>
      <w:r>
        <w:rPr>
          <w:rFonts w:ascii="Cambria" w:hAnsi="Cambria"/>
          <w:sz w:val="20"/>
          <w:szCs w:val="20"/>
        </w:rPr>
        <w:t xml:space="preserve">Code </w:t>
      </w:r>
      <w:r w:rsidRPr="000173CD">
        <w:rPr>
          <w:rFonts w:ascii="Cambria" w:hAnsi="Cambria"/>
          <w:sz w:val="20"/>
          <w:szCs w:val="20"/>
        </w:rPr>
        <w:t xml:space="preserve">and, therefore, of the forced consultation of first instance judgments that are totally or partially adverse to FONCOLPUERTOS, since the payment of the recognized credits would </w:t>
      </w:r>
      <w:r>
        <w:rPr>
          <w:rFonts w:ascii="Cambria" w:hAnsi="Cambria"/>
          <w:sz w:val="20"/>
          <w:szCs w:val="20"/>
        </w:rPr>
        <w:t>have to be carried out</w:t>
      </w:r>
      <w:r w:rsidRPr="000173CD">
        <w:rPr>
          <w:rFonts w:ascii="Cambria" w:hAnsi="Cambria"/>
          <w:sz w:val="20"/>
          <w:szCs w:val="20"/>
        </w:rPr>
        <w:t xml:space="preserve"> </w:t>
      </w:r>
      <w:r>
        <w:rPr>
          <w:rFonts w:ascii="Cambria" w:hAnsi="Cambria"/>
          <w:sz w:val="20"/>
          <w:szCs w:val="20"/>
        </w:rPr>
        <w:t>by the State</w:t>
      </w:r>
      <w:r w:rsidRPr="000173CD">
        <w:rPr>
          <w:rFonts w:ascii="Cambria" w:hAnsi="Cambria"/>
          <w:sz w:val="20"/>
          <w:szCs w:val="20"/>
        </w:rPr>
        <w:t xml:space="preserve"> Nation, directly responsible for the labor obligations and the labor liabilities of COLPUERTOS and FONCOLPUERTOS.</w:t>
      </w:r>
    </w:p>
    <w:p w14:paraId="5C50C634" w14:textId="2CFD53B4"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The petition</w:t>
      </w:r>
      <w:r>
        <w:rPr>
          <w:rFonts w:ascii="Cambria" w:hAnsi="Cambria"/>
          <w:sz w:val="20"/>
          <w:szCs w:val="20"/>
        </w:rPr>
        <w:t>er</w:t>
      </w:r>
      <w:r w:rsidRPr="000173CD">
        <w:rPr>
          <w:rFonts w:ascii="Cambria" w:hAnsi="Cambria"/>
          <w:sz w:val="20"/>
          <w:szCs w:val="20"/>
        </w:rPr>
        <w:t xml:space="preserve"> party argues that, by virtue of </w:t>
      </w:r>
      <w:r w:rsidR="00EF765A">
        <w:rPr>
          <w:rFonts w:ascii="Cambria" w:hAnsi="Cambria"/>
          <w:sz w:val="20"/>
          <w:szCs w:val="20"/>
        </w:rPr>
        <w:t xml:space="preserve">this </w:t>
      </w:r>
      <w:r w:rsidRPr="000173CD">
        <w:rPr>
          <w:rFonts w:ascii="Cambria" w:hAnsi="Cambria"/>
          <w:sz w:val="20"/>
          <w:szCs w:val="20"/>
        </w:rPr>
        <w:t>jurisprudence, the Courts arbitrarily reversed the decisions favoring the alleged victims. The petiti</w:t>
      </w:r>
      <w:r>
        <w:rPr>
          <w:rFonts w:ascii="Cambria" w:hAnsi="Cambria"/>
          <w:sz w:val="20"/>
          <w:szCs w:val="20"/>
        </w:rPr>
        <w:t>oner</w:t>
      </w:r>
      <w:r w:rsidRPr="000173CD">
        <w:rPr>
          <w:rFonts w:ascii="Cambria" w:hAnsi="Cambria"/>
          <w:sz w:val="20"/>
          <w:szCs w:val="20"/>
        </w:rPr>
        <w:t xml:space="preserve"> party does not provide precise information </w:t>
      </w:r>
      <w:r>
        <w:rPr>
          <w:rFonts w:ascii="Cambria" w:hAnsi="Cambria"/>
          <w:sz w:val="20"/>
          <w:szCs w:val="20"/>
        </w:rPr>
        <w:t>with</w:t>
      </w:r>
      <w:r w:rsidRPr="000173CD">
        <w:rPr>
          <w:rFonts w:ascii="Cambria" w:hAnsi="Cambria"/>
          <w:sz w:val="20"/>
          <w:szCs w:val="20"/>
        </w:rPr>
        <w:t xml:space="preserve"> the specific dates of such resolutions.</w:t>
      </w:r>
    </w:p>
    <w:p w14:paraId="64C849D2" w14:textId="6D8E001D" w:rsidR="000173CD" w:rsidRP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Subsequently, the </w:t>
      </w:r>
      <w:r>
        <w:rPr>
          <w:rFonts w:ascii="Cambria" w:hAnsi="Cambria"/>
          <w:sz w:val="20"/>
          <w:szCs w:val="20"/>
        </w:rPr>
        <w:t>Prosecutor</w:t>
      </w:r>
      <w:r w:rsidRPr="000173CD">
        <w:rPr>
          <w:rFonts w:ascii="Cambria" w:hAnsi="Cambria"/>
          <w:sz w:val="20"/>
          <w:szCs w:val="20"/>
        </w:rPr>
        <w:t xml:space="preserve"> began criminal investigations against all the alleged victims for the crimes of embezzlement by appropriation and </w:t>
      </w:r>
      <w:r>
        <w:rPr>
          <w:rFonts w:ascii="Cambria" w:hAnsi="Cambria"/>
          <w:sz w:val="20"/>
          <w:szCs w:val="20"/>
        </w:rPr>
        <w:t>breach of public duty</w:t>
      </w:r>
      <w:r w:rsidRPr="000173CD">
        <w:rPr>
          <w:rFonts w:ascii="Cambria" w:hAnsi="Cambria"/>
          <w:sz w:val="20"/>
          <w:szCs w:val="20"/>
        </w:rPr>
        <w:t xml:space="preserve"> by action, alleging that they had committed irregular acts </w:t>
      </w:r>
      <w:r>
        <w:rPr>
          <w:rFonts w:ascii="Cambria" w:hAnsi="Cambria"/>
          <w:sz w:val="20"/>
          <w:szCs w:val="20"/>
        </w:rPr>
        <w:t>during</w:t>
      </w:r>
      <w:r w:rsidRPr="000173CD">
        <w:rPr>
          <w:rFonts w:ascii="Cambria" w:hAnsi="Cambria"/>
          <w:sz w:val="20"/>
          <w:szCs w:val="20"/>
        </w:rPr>
        <w:t xml:space="preserve"> the </w:t>
      </w:r>
      <w:proofErr w:type="gramStart"/>
      <w:r w:rsidRPr="000173CD">
        <w:rPr>
          <w:rFonts w:ascii="Cambria" w:hAnsi="Cambria"/>
          <w:sz w:val="20"/>
          <w:szCs w:val="20"/>
        </w:rPr>
        <w:t>aforementioned labor</w:t>
      </w:r>
      <w:proofErr w:type="gramEnd"/>
      <w:r w:rsidRPr="000173CD">
        <w:rPr>
          <w:rFonts w:ascii="Cambria" w:hAnsi="Cambria"/>
          <w:sz w:val="20"/>
          <w:szCs w:val="20"/>
        </w:rPr>
        <w:t xml:space="preserve"> proceedings. </w:t>
      </w:r>
      <w:r>
        <w:rPr>
          <w:rFonts w:ascii="Cambria" w:hAnsi="Cambria"/>
          <w:sz w:val="20"/>
          <w:szCs w:val="20"/>
        </w:rPr>
        <w:t>The petitioner s</w:t>
      </w:r>
      <w:r w:rsidRPr="000173CD">
        <w:rPr>
          <w:rFonts w:ascii="Cambria" w:hAnsi="Cambria"/>
          <w:sz w:val="20"/>
          <w:szCs w:val="20"/>
        </w:rPr>
        <w:t xml:space="preserve">pecifies that while David Alba de la </w:t>
      </w:r>
      <w:proofErr w:type="spellStart"/>
      <w:r w:rsidRPr="000173CD">
        <w:rPr>
          <w:rFonts w:ascii="Cambria" w:hAnsi="Cambria"/>
          <w:sz w:val="20"/>
          <w:szCs w:val="20"/>
        </w:rPr>
        <w:t>Hoz</w:t>
      </w:r>
      <w:proofErr w:type="spellEnd"/>
      <w:r w:rsidRPr="000173CD">
        <w:rPr>
          <w:rFonts w:ascii="Cambria" w:hAnsi="Cambria"/>
          <w:sz w:val="20"/>
          <w:szCs w:val="20"/>
        </w:rPr>
        <w:t xml:space="preserve">, María Teresa Suárez </w:t>
      </w:r>
      <w:proofErr w:type="spellStart"/>
      <w:r w:rsidRPr="000173CD">
        <w:rPr>
          <w:rFonts w:ascii="Cambria" w:hAnsi="Cambria"/>
          <w:sz w:val="20"/>
          <w:szCs w:val="20"/>
        </w:rPr>
        <w:t>Cabrales</w:t>
      </w:r>
      <w:proofErr w:type="spellEnd"/>
      <w:r w:rsidRPr="000173CD">
        <w:rPr>
          <w:rFonts w:ascii="Cambria" w:hAnsi="Cambria"/>
          <w:sz w:val="20"/>
          <w:szCs w:val="20"/>
        </w:rPr>
        <w:t xml:space="preserve"> and Rosa Emilia Barraza </w:t>
      </w:r>
      <w:proofErr w:type="spellStart"/>
      <w:r w:rsidRPr="000173CD">
        <w:rPr>
          <w:rFonts w:ascii="Cambria" w:hAnsi="Cambria"/>
          <w:sz w:val="20"/>
          <w:szCs w:val="20"/>
        </w:rPr>
        <w:t>Barraza</w:t>
      </w:r>
      <w:proofErr w:type="spellEnd"/>
      <w:r w:rsidRPr="000173CD">
        <w:rPr>
          <w:rFonts w:ascii="Cambria" w:hAnsi="Cambria"/>
          <w:sz w:val="20"/>
          <w:szCs w:val="20"/>
        </w:rPr>
        <w:t xml:space="preserve"> faced the charges in their capacity as plaintiffs and former COLPUERTOS workers, the rest of the alleged victims were linked by the actions they adopted as lawyers or judges in such </w:t>
      </w:r>
      <w:r>
        <w:rPr>
          <w:rFonts w:ascii="Cambria" w:hAnsi="Cambria"/>
          <w:sz w:val="20"/>
          <w:szCs w:val="20"/>
        </w:rPr>
        <w:t>cases</w:t>
      </w:r>
      <w:r w:rsidRPr="000173CD">
        <w:rPr>
          <w:rFonts w:ascii="Cambria" w:hAnsi="Cambria"/>
          <w:sz w:val="20"/>
          <w:szCs w:val="20"/>
        </w:rPr>
        <w:t>. -Although the petitioners denounce that the alleged victims have been sanctioned by the judicial bodies in said proceedings, the information they provide to the IACHR lacks clarity; therefore, it is not possible to establish the procedural status of these processes.</w:t>
      </w:r>
    </w:p>
    <w:p w14:paraId="447F1866" w14:textId="3433285C"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By virtue of these considerations, </w:t>
      </w:r>
      <w:r>
        <w:rPr>
          <w:rFonts w:ascii="Cambria" w:hAnsi="Cambria"/>
          <w:sz w:val="20"/>
          <w:szCs w:val="20"/>
        </w:rPr>
        <w:t>the petitioner</w:t>
      </w:r>
      <w:r w:rsidRPr="000173CD">
        <w:rPr>
          <w:rFonts w:ascii="Cambria" w:hAnsi="Cambria"/>
          <w:sz w:val="20"/>
          <w:szCs w:val="20"/>
        </w:rPr>
        <w:t xml:space="preserve"> denounces that the right to judicial guarantees of the alleged victims was violated, since the criminal proceedings against them</w:t>
      </w:r>
      <w:r>
        <w:rPr>
          <w:rFonts w:ascii="Cambria" w:hAnsi="Cambria"/>
          <w:sz w:val="20"/>
          <w:szCs w:val="20"/>
        </w:rPr>
        <w:t xml:space="preserve"> suffered</w:t>
      </w:r>
      <w:r w:rsidRPr="000173CD">
        <w:rPr>
          <w:rFonts w:ascii="Cambria" w:hAnsi="Cambria"/>
          <w:sz w:val="20"/>
          <w:szCs w:val="20"/>
        </w:rPr>
        <w:t xml:space="preserve"> an unreasonable delay and that, in most of such cases, the statute of limitations should have been decreed. Likewise, </w:t>
      </w:r>
      <w:r w:rsidR="00267FC3">
        <w:rPr>
          <w:rFonts w:ascii="Cambria" w:hAnsi="Cambria"/>
          <w:sz w:val="20"/>
          <w:szCs w:val="20"/>
        </w:rPr>
        <w:t xml:space="preserve">the petitioner affirms that </w:t>
      </w:r>
      <w:r w:rsidRPr="000173CD">
        <w:rPr>
          <w:rFonts w:ascii="Cambria" w:hAnsi="Cambria"/>
          <w:sz w:val="20"/>
          <w:szCs w:val="20"/>
        </w:rPr>
        <w:t>the jurisdictional authorities did not correctly assess the evidence provided and made incorrectly reasoned decisions.</w:t>
      </w:r>
    </w:p>
    <w:p w14:paraId="41B94157" w14:textId="4D2B464C"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Additionally, </w:t>
      </w:r>
      <w:r>
        <w:rPr>
          <w:rFonts w:ascii="Cambria" w:hAnsi="Cambria"/>
          <w:sz w:val="20"/>
          <w:szCs w:val="20"/>
        </w:rPr>
        <w:t>the petitioner</w:t>
      </w:r>
      <w:r w:rsidRPr="000173CD">
        <w:rPr>
          <w:rFonts w:ascii="Cambria" w:hAnsi="Cambria"/>
          <w:sz w:val="20"/>
          <w:szCs w:val="20"/>
        </w:rPr>
        <w:t xml:space="preserve"> argues that the rights to private property, due </w:t>
      </w:r>
      <w:r w:rsidR="00EF765A" w:rsidRPr="000173CD">
        <w:rPr>
          <w:rFonts w:ascii="Cambria" w:hAnsi="Cambria"/>
          <w:sz w:val="20"/>
          <w:szCs w:val="20"/>
        </w:rPr>
        <w:t>process,</w:t>
      </w:r>
      <w:r w:rsidRPr="000173CD">
        <w:rPr>
          <w:rFonts w:ascii="Cambria" w:hAnsi="Cambria"/>
          <w:sz w:val="20"/>
          <w:szCs w:val="20"/>
        </w:rPr>
        <w:t xml:space="preserve"> and the principle of legality of the alleged victims were violated, since the judicial decisions that recognized </w:t>
      </w:r>
      <w:r>
        <w:rPr>
          <w:rFonts w:ascii="Cambria" w:hAnsi="Cambria"/>
          <w:sz w:val="20"/>
          <w:szCs w:val="20"/>
        </w:rPr>
        <w:t>their</w:t>
      </w:r>
      <w:r w:rsidRPr="000173CD">
        <w:rPr>
          <w:rFonts w:ascii="Cambria" w:hAnsi="Cambria"/>
          <w:sz w:val="20"/>
          <w:szCs w:val="20"/>
        </w:rPr>
        <w:t xml:space="preserve"> conventional and pension rights were issued before December 1</w:t>
      </w:r>
      <w:r w:rsidR="00EF765A" w:rsidRPr="000173CD">
        <w:rPr>
          <w:rFonts w:ascii="Cambria" w:hAnsi="Cambria"/>
          <w:sz w:val="20"/>
          <w:szCs w:val="20"/>
        </w:rPr>
        <w:t>, 1999</w:t>
      </w:r>
      <w:r w:rsidRPr="000173CD">
        <w:rPr>
          <w:rFonts w:ascii="Cambria" w:hAnsi="Cambria"/>
          <w:sz w:val="20"/>
          <w:szCs w:val="20"/>
        </w:rPr>
        <w:t xml:space="preserve">, the date on which the unification </w:t>
      </w:r>
      <w:r w:rsidR="00267FC3">
        <w:rPr>
          <w:rFonts w:ascii="Cambria" w:hAnsi="Cambria"/>
          <w:sz w:val="20"/>
          <w:szCs w:val="20"/>
        </w:rPr>
        <w:t>judgement</w:t>
      </w:r>
      <w:r w:rsidRPr="000173CD">
        <w:rPr>
          <w:rFonts w:ascii="Cambria" w:hAnsi="Cambria"/>
          <w:sz w:val="20"/>
          <w:szCs w:val="20"/>
        </w:rPr>
        <w:t xml:space="preserve"> 962 was promulgated. Consequently, it maintains that at the time the </w:t>
      </w:r>
      <w:proofErr w:type="gramStart"/>
      <w:r w:rsidRPr="000173CD">
        <w:rPr>
          <w:rFonts w:ascii="Cambria" w:hAnsi="Cambria"/>
          <w:sz w:val="20"/>
          <w:szCs w:val="20"/>
        </w:rPr>
        <w:t>aforementioned resolutions</w:t>
      </w:r>
      <w:proofErr w:type="gramEnd"/>
      <w:r w:rsidRPr="000173CD">
        <w:rPr>
          <w:rFonts w:ascii="Cambria" w:hAnsi="Cambria"/>
          <w:sz w:val="20"/>
          <w:szCs w:val="20"/>
        </w:rPr>
        <w:t xml:space="preserve"> were issued, the consultation procedure was not applicable to the proceedings against "COLPUERTOS."</w:t>
      </w:r>
    </w:p>
    <w:p w14:paraId="5C80931A" w14:textId="1A3273B1"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Finally, it argues that the alleged victims' right to a natural judge was also violated. </w:t>
      </w:r>
      <w:r>
        <w:rPr>
          <w:rFonts w:ascii="Cambria" w:hAnsi="Cambria"/>
          <w:sz w:val="20"/>
          <w:szCs w:val="20"/>
        </w:rPr>
        <w:t>It</w:t>
      </w:r>
      <w:r w:rsidRPr="000173CD">
        <w:rPr>
          <w:rFonts w:ascii="Cambria" w:hAnsi="Cambria"/>
          <w:sz w:val="20"/>
          <w:szCs w:val="20"/>
        </w:rPr>
        <w:t xml:space="preserve"> argues that the Superior Council of the Judiciary forwarded, in an extraordinary </w:t>
      </w:r>
      <w:r>
        <w:rPr>
          <w:rFonts w:ascii="Cambria" w:hAnsi="Cambria"/>
          <w:sz w:val="20"/>
          <w:szCs w:val="20"/>
        </w:rPr>
        <w:t>manner,</w:t>
      </w:r>
      <w:r w:rsidRPr="000173CD">
        <w:rPr>
          <w:rFonts w:ascii="Cambria" w:hAnsi="Cambria"/>
          <w:sz w:val="20"/>
          <w:szCs w:val="20"/>
        </w:rPr>
        <w:t xml:space="preserve"> the labor files to the </w:t>
      </w:r>
      <w:r>
        <w:rPr>
          <w:rFonts w:ascii="Cambria" w:hAnsi="Cambria"/>
          <w:sz w:val="20"/>
          <w:szCs w:val="20"/>
        </w:rPr>
        <w:t>Overflow</w:t>
      </w:r>
      <w:r w:rsidRPr="000173CD">
        <w:rPr>
          <w:rFonts w:ascii="Cambria" w:hAnsi="Cambria"/>
          <w:sz w:val="20"/>
          <w:szCs w:val="20"/>
        </w:rPr>
        <w:t xml:space="preserve"> Chambers of the different courts of the country, which compromised the impartiality and independence of the </w:t>
      </w:r>
      <w:r w:rsidRPr="000173CD">
        <w:rPr>
          <w:rFonts w:ascii="Cambria" w:hAnsi="Cambria"/>
          <w:sz w:val="20"/>
          <w:szCs w:val="20"/>
        </w:rPr>
        <w:lastRenderedPageBreak/>
        <w:t>judges of such cases. In a similar vein, it argues that the criminal files were also sent to special bodies, which affected the right to defense of the alleged victims.</w:t>
      </w:r>
    </w:p>
    <w:p w14:paraId="4EF57758" w14:textId="75F7C6AB"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The State, for its part, replies that the facts denounced do not characterize human rights violations. On a preliminary basis, it questions that the petition is presented in a general manner and that it includes eight alleged victims with different legal situations within the questioned labor proceedings. It specifies that some of these people appear as former workers, while others appear as lawyers, former </w:t>
      </w:r>
      <w:r>
        <w:rPr>
          <w:rFonts w:ascii="Cambria" w:hAnsi="Cambria"/>
          <w:sz w:val="20"/>
          <w:szCs w:val="20"/>
        </w:rPr>
        <w:t xml:space="preserve">public </w:t>
      </w:r>
      <w:r w:rsidR="00EF765A" w:rsidRPr="000173CD">
        <w:rPr>
          <w:rFonts w:ascii="Cambria" w:hAnsi="Cambria"/>
          <w:sz w:val="20"/>
          <w:szCs w:val="20"/>
        </w:rPr>
        <w:t>officials,</w:t>
      </w:r>
      <w:r w:rsidRPr="000173CD">
        <w:rPr>
          <w:rFonts w:ascii="Cambria" w:hAnsi="Cambria"/>
          <w:sz w:val="20"/>
          <w:szCs w:val="20"/>
        </w:rPr>
        <w:t xml:space="preserve"> and former judges. Likewise, it argues that it cannot be identified with certainty which are the alleged violations that the petitioner alleges in each case, nor which correspond to each of the alleged victims with respect to the processes faced by each one of them.</w:t>
      </w:r>
    </w:p>
    <w:p w14:paraId="5E939A04" w14:textId="775AD03A"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Despite this, by way of context, it explains that the so-called “FONCOLPUERTOS scandal” has been classified as one of the largest corruption cases in the country. </w:t>
      </w:r>
      <w:r>
        <w:rPr>
          <w:rFonts w:ascii="Cambria" w:hAnsi="Cambria"/>
          <w:sz w:val="20"/>
          <w:szCs w:val="20"/>
        </w:rPr>
        <w:t>The State</w:t>
      </w:r>
      <w:r w:rsidRPr="000173CD">
        <w:rPr>
          <w:rFonts w:ascii="Cambria" w:hAnsi="Cambria"/>
          <w:sz w:val="20"/>
          <w:szCs w:val="20"/>
        </w:rPr>
        <w:t xml:space="preserve"> reports that "COLPUERTOS", created as a State Industrial and Commercial Company, </w:t>
      </w:r>
      <w:proofErr w:type="gramStart"/>
      <w:r w:rsidRPr="000173CD">
        <w:rPr>
          <w:rFonts w:ascii="Cambria" w:hAnsi="Cambria"/>
          <w:sz w:val="20"/>
          <w:szCs w:val="20"/>
        </w:rPr>
        <w:t>was in charge of</w:t>
      </w:r>
      <w:proofErr w:type="gramEnd"/>
      <w:r w:rsidRPr="000173CD">
        <w:rPr>
          <w:rFonts w:ascii="Cambria" w:hAnsi="Cambria"/>
          <w:sz w:val="20"/>
          <w:szCs w:val="20"/>
        </w:rPr>
        <w:t xml:space="preserve"> the administration of the country's Maritime and River Ports. </w:t>
      </w:r>
      <w:r>
        <w:rPr>
          <w:rFonts w:ascii="Cambria" w:hAnsi="Cambria"/>
          <w:sz w:val="20"/>
          <w:szCs w:val="20"/>
        </w:rPr>
        <w:t>It</w:t>
      </w:r>
      <w:r w:rsidRPr="000173CD">
        <w:rPr>
          <w:rFonts w:ascii="Cambria" w:hAnsi="Cambria"/>
          <w:sz w:val="20"/>
          <w:szCs w:val="20"/>
        </w:rPr>
        <w:t xml:space="preserve"> maintains that, in 1991, given the anomalies presented in the management of the ports and the constant losses that said company was </w:t>
      </w:r>
      <w:r>
        <w:rPr>
          <w:rFonts w:ascii="Cambria" w:hAnsi="Cambria"/>
          <w:sz w:val="20"/>
          <w:szCs w:val="20"/>
        </w:rPr>
        <w:t>reporting</w:t>
      </w:r>
      <w:r w:rsidRPr="000173CD">
        <w:rPr>
          <w:rFonts w:ascii="Cambria" w:hAnsi="Cambria"/>
          <w:sz w:val="20"/>
          <w:szCs w:val="20"/>
        </w:rPr>
        <w:t>, the then president issued the Ports Law, which privatized its administration and ordered the liquidation of COLPUERTOS. It argues that, later, by Decree 036 of 1992, “FONCOLPUERTOS” was created as a Public Establishment of National Order, attached to the Ministry of Transportation, and in charge of managing the payment of different rights to former workers of “COLPUERTOS”.</w:t>
      </w:r>
    </w:p>
    <w:p w14:paraId="033B32C9" w14:textId="77777777"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In this context, it argues that the lawyers of the former workers and other judicial authorities, taking advantage of the chaos of the archives, initiated a series of administrative and judicial actions, without legal support, aimed at defrauding the interests of the Colombian</w:t>
      </w:r>
      <w:r>
        <w:rPr>
          <w:rFonts w:ascii="Cambria" w:hAnsi="Cambria"/>
          <w:sz w:val="20"/>
          <w:szCs w:val="20"/>
        </w:rPr>
        <w:t xml:space="preserve"> state worth millions</w:t>
      </w:r>
      <w:r w:rsidRPr="000173CD">
        <w:rPr>
          <w:rFonts w:ascii="Cambria" w:hAnsi="Cambria"/>
          <w:sz w:val="20"/>
          <w:szCs w:val="20"/>
        </w:rPr>
        <w:t xml:space="preserve">, through the </w:t>
      </w:r>
      <w:r>
        <w:rPr>
          <w:rFonts w:ascii="Cambria" w:hAnsi="Cambria"/>
          <w:sz w:val="20"/>
          <w:szCs w:val="20"/>
        </w:rPr>
        <w:t xml:space="preserve">filling of </w:t>
      </w:r>
      <w:r w:rsidRPr="000173CD">
        <w:rPr>
          <w:rFonts w:ascii="Cambria" w:hAnsi="Cambria"/>
          <w:sz w:val="20"/>
          <w:szCs w:val="20"/>
        </w:rPr>
        <w:t xml:space="preserve">claim of benefits </w:t>
      </w:r>
      <w:r>
        <w:rPr>
          <w:rFonts w:ascii="Cambria" w:hAnsi="Cambria"/>
          <w:sz w:val="20"/>
          <w:szCs w:val="20"/>
        </w:rPr>
        <w:t>for remaining balances</w:t>
      </w:r>
      <w:r w:rsidRPr="000173CD">
        <w:rPr>
          <w:rFonts w:ascii="Cambria" w:hAnsi="Cambria"/>
          <w:sz w:val="20"/>
          <w:szCs w:val="20"/>
        </w:rPr>
        <w:t xml:space="preserve"> and definitive </w:t>
      </w:r>
      <w:r>
        <w:rPr>
          <w:rFonts w:ascii="Cambria" w:hAnsi="Cambria"/>
          <w:sz w:val="20"/>
          <w:szCs w:val="20"/>
        </w:rPr>
        <w:t>dismissals</w:t>
      </w:r>
      <w:r w:rsidRPr="000173CD">
        <w:rPr>
          <w:rFonts w:ascii="Cambria" w:hAnsi="Cambria"/>
          <w:sz w:val="20"/>
          <w:szCs w:val="20"/>
        </w:rPr>
        <w:t>. It specifies that such a situation made it easier for the general directors of FONCOLPUERTOS to issue recognition resolutions and payments for non-existent or inappropriate labor claims to former workers, in collusion with judges, labor inspectors and the lawyers of the alleged victims.</w:t>
      </w:r>
    </w:p>
    <w:p w14:paraId="78A17ADA" w14:textId="321C554E"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Due to this, it indicates that the jurisdictional labor authorities reviewed the first instance judgments that benefited the former COLPUERTOS workers, through consultation procedures, and reversed </w:t>
      </w:r>
      <w:r w:rsidR="00EF765A">
        <w:rPr>
          <w:rFonts w:ascii="Cambria" w:hAnsi="Cambria"/>
          <w:sz w:val="20"/>
          <w:szCs w:val="20"/>
        </w:rPr>
        <w:t>such</w:t>
      </w:r>
      <w:r w:rsidRPr="000173CD">
        <w:rPr>
          <w:rFonts w:ascii="Cambria" w:hAnsi="Cambria"/>
          <w:sz w:val="20"/>
          <w:szCs w:val="20"/>
        </w:rPr>
        <w:t xml:space="preserve"> decisions. In this regard, the State maintains that such situation did not </w:t>
      </w:r>
      <w:r>
        <w:rPr>
          <w:rFonts w:ascii="Cambria" w:hAnsi="Cambria"/>
          <w:sz w:val="20"/>
          <w:szCs w:val="20"/>
        </w:rPr>
        <w:t>cause</w:t>
      </w:r>
      <w:r w:rsidRPr="000173CD">
        <w:rPr>
          <w:rFonts w:ascii="Cambria" w:hAnsi="Cambria"/>
          <w:sz w:val="20"/>
          <w:szCs w:val="20"/>
        </w:rPr>
        <w:t xml:space="preserve"> any violation of rights, since, according to Article 69 of the Labor and Social Security Procedure</w:t>
      </w:r>
      <w:r>
        <w:rPr>
          <w:rFonts w:ascii="Cambria" w:hAnsi="Cambria"/>
          <w:sz w:val="20"/>
          <w:szCs w:val="20"/>
        </w:rPr>
        <w:t xml:space="preserve"> Code</w:t>
      </w:r>
      <w:r w:rsidRPr="000173CD">
        <w:rPr>
          <w:rFonts w:ascii="Cambria" w:hAnsi="Cambria"/>
          <w:sz w:val="20"/>
          <w:szCs w:val="20"/>
        </w:rPr>
        <w:t xml:space="preserve">, the first instance judgments that </w:t>
      </w:r>
      <w:r>
        <w:rPr>
          <w:rFonts w:ascii="Cambria" w:hAnsi="Cambria"/>
          <w:sz w:val="20"/>
          <w:szCs w:val="20"/>
        </w:rPr>
        <w:t>ruled against the State</w:t>
      </w:r>
      <w:r w:rsidRPr="000173CD">
        <w:rPr>
          <w:rFonts w:ascii="Cambria" w:hAnsi="Cambria"/>
          <w:sz w:val="20"/>
          <w:szCs w:val="20"/>
        </w:rPr>
        <w:t xml:space="preserve"> must be consulted </w:t>
      </w:r>
      <w:r>
        <w:rPr>
          <w:rFonts w:ascii="Cambria" w:hAnsi="Cambria"/>
          <w:sz w:val="20"/>
          <w:szCs w:val="20"/>
        </w:rPr>
        <w:t xml:space="preserve">with </w:t>
      </w:r>
      <w:r w:rsidRPr="000173CD">
        <w:rPr>
          <w:rFonts w:ascii="Cambria" w:hAnsi="Cambria"/>
          <w:sz w:val="20"/>
          <w:szCs w:val="20"/>
        </w:rPr>
        <w:t>the respective Labor Court, in case they are not appealed. It emphasizes that, in accordance with what is alleged by the petition</w:t>
      </w:r>
      <w:r>
        <w:rPr>
          <w:rFonts w:ascii="Cambria" w:hAnsi="Cambria"/>
          <w:sz w:val="20"/>
          <w:szCs w:val="20"/>
        </w:rPr>
        <w:t>er</w:t>
      </w:r>
      <w:r w:rsidRPr="000173CD">
        <w:rPr>
          <w:rFonts w:ascii="Cambria" w:hAnsi="Cambria"/>
          <w:sz w:val="20"/>
          <w:szCs w:val="20"/>
        </w:rPr>
        <w:t xml:space="preserve"> party, in 1999, the Constitutional Court, through the unification judgment 692, heard several protection actions filed by the </w:t>
      </w:r>
      <w:proofErr w:type="gramStart"/>
      <w:r w:rsidRPr="000173CD">
        <w:rPr>
          <w:rFonts w:ascii="Cambria" w:hAnsi="Cambria"/>
          <w:sz w:val="20"/>
          <w:szCs w:val="20"/>
        </w:rPr>
        <w:t>aforementioned former</w:t>
      </w:r>
      <w:proofErr w:type="gramEnd"/>
      <w:r w:rsidRPr="000173CD">
        <w:rPr>
          <w:rFonts w:ascii="Cambria" w:hAnsi="Cambria"/>
          <w:sz w:val="20"/>
          <w:szCs w:val="20"/>
        </w:rPr>
        <w:t xml:space="preserve"> workers and confirmed that the questioned consultation procedures were mandatory and did not produce a violation of rights.</w:t>
      </w:r>
    </w:p>
    <w:p w14:paraId="3E0A3616" w14:textId="3DB43596"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Additionally, it indicates that, on December 31, 1998, the Ministry of Labor and Social Security created the Internal Work Group for the Management of the Social Liabilities of Colombian Ports (hereinafter, “GIT”), </w:t>
      </w:r>
      <w:proofErr w:type="gramStart"/>
      <w:r w:rsidRPr="000173CD">
        <w:rPr>
          <w:rFonts w:ascii="Cambria" w:hAnsi="Cambria"/>
          <w:sz w:val="20"/>
          <w:szCs w:val="20"/>
        </w:rPr>
        <w:t>in order to</w:t>
      </w:r>
      <w:proofErr w:type="gramEnd"/>
      <w:r w:rsidRPr="000173CD">
        <w:rPr>
          <w:rFonts w:ascii="Cambria" w:hAnsi="Cambria"/>
          <w:sz w:val="20"/>
          <w:szCs w:val="20"/>
        </w:rPr>
        <w:t xml:space="preserve"> attend to the </w:t>
      </w:r>
      <w:r w:rsidR="00EF765A">
        <w:rPr>
          <w:rFonts w:ascii="Cambria" w:hAnsi="Cambria"/>
          <w:sz w:val="20"/>
          <w:szCs w:val="20"/>
        </w:rPr>
        <w:t>labor</w:t>
      </w:r>
      <w:r>
        <w:rPr>
          <w:rFonts w:ascii="Cambria" w:hAnsi="Cambria"/>
          <w:sz w:val="20"/>
          <w:szCs w:val="20"/>
        </w:rPr>
        <w:t xml:space="preserve"> </w:t>
      </w:r>
      <w:r w:rsidRPr="000173CD">
        <w:rPr>
          <w:rFonts w:ascii="Cambria" w:hAnsi="Cambria"/>
          <w:sz w:val="20"/>
          <w:szCs w:val="20"/>
        </w:rPr>
        <w:t xml:space="preserve">claims and payments of COLPUERTOS. It points out that, after verifying the magnitude of the fraud, said body sent copies of the files to the Office of the </w:t>
      </w:r>
      <w:r>
        <w:rPr>
          <w:rFonts w:ascii="Cambria" w:hAnsi="Cambria"/>
          <w:sz w:val="20"/>
          <w:szCs w:val="20"/>
        </w:rPr>
        <w:t xml:space="preserve">National </w:t>
      </w:r>
      <w:r w:rsidRPr="000173CD">
        <w:rPr>
          <w:rFonts w:ascii="Cambria" w:hAnsi="Cambria"/>
          <w:sz w:val="20"/>
          <w:szCs w:val="20"/>
        </w:rPr>
        <w:t xml:space="preserve">Attorney General so that it could criminally investigate the former workers and their lawyers; the Circuit Labor Judges; the Labor Inspectors; the </w:t>
      </w:r>
      <w:r>
        <w:rPr>
          <w:rFonts w:ascii="Cambria" w:hAnsi="Cambria"/>
          <w:sz w:val="20"/>
          <w:szCs w:val="20"/>
        </w:rPr>
        <w:t>legal representatives</w:t>
      </w:r>
      <w:r w:rsidRPr="000173CD">
        <w:rPr>
          <w:rFonts w:ascii="Cambria" w:hAnsi="Cambria"/>
          <w:sz w:val="20"/>
          <w:szCs w:val="20"/>
        </w:rPr>
        <w:t>; the Heads of the Office and the General Directors of FONCOLPUERTOS, for their participation in the embezzlement of State assets.</w:t>
      </w:r>
    </w:p>
    <w:p w14:paraId="7E79FE85" w14:textId="6764164A"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It reports that, in 2004, the</w:t>
      </w:r>
      <w:r>
        <w:rPr>
          <w:rFonts w:ascii="Cambria" w:hAnsi="Cambria"/>
          <w:sz w:val="20"/>
          <w:szCs w:val="20"/>
        </w:rPr>
        <w:t xml:space="preserve"> National</w:t>
      </w:r>
      <w:r w:rsidRPr="000173CD">
        <w:rPr>
          <w:rFonts w:ascii="Cambria" w:hAnsi="Cambria"/>
          <w:sz w:val="20"/>
          <w:szCs w:val="20"/>
        </w:rPr>
        <w:t xml:space="preserve"> Attorney General created the Support Structure for the FONCOLPUERTOS </w:t>
      </w:r>
      <w:r>
        <w:rPr>
          <w:rFonts w:ascii="Cambria" w:hAnsi="Cambria"/>
          <w:sz w:val="20"/>
          <w:szCs w:val="20"/>
        </w:rPr>
        <w:t>case</w:t>
      </w:r>
      <w:r w:rsidRPr="000173CD">
        <w:rPr>
          <w:rFonts w:ascii="Cambria" w:hAnsi="Cambria"/>
          <w:sz w:val="20"/>
          <w:szCs w:val="20"/>
        </w:rPr>
        <w:t xml:space="preserve">, made up of eight Sectional Prosecutors; while the Superior Council of the Judiciary, exclusively singled out the Sixteenth Criminal Circuit Judge for said matter. The State alleges that such organization allowed, on the one hand, </w:t>
      </w:r>
      <w:r>
        <w:rPr>
          <w:rFonts w:ascii="Cambria" w:hAnsi="Cambria"/>
          <w:sz w:val="20"/>
          <w:szCs w:val="20"/>
        </w:rPr>
        <w:t xml:space="preserve">for </w:t>
      </w:r>
      <w:r w:rsidRPr="000173CD">
        <w:rPr>
          <w:rFonts w:ascii="Cambria" w:hAnsi="Cambria"/>
          <w:sz w:val="20"/>
          <w:szCs w:val="20"/>
        </w:rPr>
        <w:t xml:space="preserve">the clarification of the truth about the various ways that were devised to steal public money, and, furthermore, </w:t>
      </w:r>
      <w:r>
        <w:rPr>
          <w:rFonts w:ascii="Cambria" w:hAnsi="Cambria"/>
          <w:sz w:val="20"/>
          <w:szCs w:val="20"/>
        </w:rPr>
        <w:t xml:space="preserve">for </w:t>
      </w:r>
      <w:r w:rsidRPr="000173CD">
        <w:rPr>
          <w:rFonts w:ascii="Cambria" w:hAnsi="Cambria"/>
          <w:sz w:val="20"/>
          <w:szCs w:val="20"/>
        </w:rPr>
        <w:t>the imposition of convictions against those involved in the looting of the national treasury.</w:t>
      </w:r>
    </w:p>
    <w:p w14:paraId="05B80D85" w14:textId="659527B9"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proofErr w:type="gramStart"/>
      <w:r w:rsidRPr="000173CD">
        <w:rPr>
          <w:rFonts w:ascii="Cambria" w:hAnsi="Cambria"/>
          <w:sz w:val="20"/>
          <w:szCs w:val="20"/>
        </w:rPr>
        <w:lastRenderedPageBreak/>
        <w:t>With regard to</w:t>
      </w:r>
      <w:proofErr w:type="gramEnd"/>
      <w:r w:rsidRPr="000173CD">
        <w:rPr>
          <w:rFonts w:ascii="Cambria" w:hAnsi="Cambria"/>
          <w:sz w:val="20"/>
          <w:szCs w:val="20"/>
        </w:rPr>
        <w:t xml:space="preserve"> the criminal proceedings against the alleged victims, it argues that there are no elements that, in a preliminary </w:t>
      </w:r>
      <w:r>
        <w:rPr>
          <w:rFonts w:ascii="Cambria" w:hAnsi="Cambria"/>
          <w:sz w:val="20"/>
          <w:szCs w:val="20"/>
        </w:rPr>
        <w:t>manner</w:t>
      </w:r>
      <w:r w:rsidRPr="000173CD">
        <w:rPr>
          <w:rFonts w:ascii="Cambria" w:hAnsi="Cambria"/>
          <w:sz w:val="20"/>
          <w:szCs w:val="20"/>
        </w:rPr>
        <w:t xml:space="preserve">, show evidence of the existence of violations of judicial guarantees or judicial protection. Regarding Mr. Luis Alberto Gutiérrez Alfaro, </w:t>
      </w:r>
      <w:r>
        <w:rPr>
          <w:rFonts w:ascii="Cambria" w:hAnsi="Cambria"/>
          <w:sz w:val="20"/>
          <w:szCs w:val="20"/>
        </w:rPr>
        <w:t>it</w:t>
      </w:r>
      <w:r w:rsidRPr="000173CD">
        <w:rPr>
          <w:rFonts w:ascii="Cambria" w:hAnsi="Cambria"/>
          <w:sz w:val="20"/>
          <w:szCs w:val="20"/>
        </w:rPr>
        <w:t xml:space="preserve"> maintains that on December 28, 2009, the First Criminal Court of the </w:t>
      </w:r>
      <w:r>
        <w:rPr>
          <w:rFonts w:ascii="Cambria" w:hAnsi="Cambria"/>
          <w:sz w:val="20"/>
          <w:szCs w:val="20"/>
        </w:rPr>
        <w:t>Overflow</w:t>
      </w:r>
      <w:r w:rsidRPr="000173CD">
        <w:rPr>
          <w:rFonts w:ascii="Cambria" w:hAnsi="Cambria"/>
          <w:sz w:val="20"/>
          <w:szCs w:val="20"/>
        </w:rPr>
        <w:t xml:space="preserve"> Circuit - FONCOLPUERTOS CAJANAL convicted him, along with other defendants, for the crime of embezzlement by appropriation </w:t>
      </w:r>
      <w:r>
        <w:rPr>
          <w:rFonts w:ascii="Cambria" w:hAnsi="Cambria"/>
          <w:sz w:val="20"/>
          <w:szCs w:val="20"/>
        </w:rPr>
        <w:t>to</w:t>
      </w:r>
      <w:r w:rsidRPr="000173CD">
        <w:rPr>
          <w:rFonts w:ascii="Cambria" w:hAnsi="Cambria"/>
          <w:sz w:val="20"/>
          <w:szCs w:val="20"/>
        </w:rPr>
        <w:t xml:space="preserve"> 72 months imprisonment, a fine equivalent to 20 legal minimum wages and an interdiction </w:t>
      </w:r>
      <w:r w:rsidR="00267FC3">
        <w:rPr>
          <w:rFonts w:ascii="Cambria" w:hAnsi="Cambria"/>
          <w:sz w:val="20"/>
          <w:szCs w:val="20"/>
        </w:rPr>
        <w:t>to perform</w:t>
      </w:r>
      <w:r w:rsidRPr="000173CD">
        <w:rPr>
          <w:rFonts w:ascii="Cambria" w:hAnsi="Cambria"/>
          <w:sz w:val="20"/>
          <w:szCs w:val="20"/>
        </w:rPr>
        <w:t xml:space="preserve"> public functions, for his participation as a lawyer </w:t>
      </w:r>
      <w:r>
        <w:rPr>
          <w:rFonts w:ascii="Cambria" w:hAnsi="Cambria"/>
          <w:sz w:val="20"/>
          <w:szCs w:val="20"/>
        </w:rPr>
        <w:t>of</w:t>
      </w:r>
      <w:r w:rsidRPr="000173CD">
        <w:rPr>
          <w:rFonts w:ascii="Cambria" w:hAnsi="Cambria"/>
          <w:sz w:val="20"/>
          <w:szCs w:val="20"/>
        </w:rPr>
        <w:t xml:space="preserve"> some former workers. </w:t>
      </w:r>
      <w:r>
        <w:rPr>
          <w:rFonts w:ascii="Cambria" w:hAnsi="Cambria"/>
          <w:sz w:val="20"/>
          <w:szCs w:val="20"/>
        </w:rPr>
        <w:t>It</w:t>
      </w:r>
      <w:r w:rsidRPr="000173CD">
        <w:rPr>
          <w:rFonts w:ascii="Cambria" w:hAnsi="Cambria"/>
          <w:sz w:val="20"/>
          <w:szCs w:val="20"/>
        </w:rPr>
        <w:t xml:space="preserve"> argues that the alleged victim appealed that decision, but on February 17, 2012, the Criminal Chamber of the Superior Court of Bogotá confirmed the conviction.</w:t>
      </w:r>
    </w:p>
    <w:p w14:paraId="70D8336D" w14:textId="430DFE2B"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Given this, the </w:t>
      </w:r>
      <w:r>
        <w:rPr>
          <w:rFonts w:ascii="Cambria" w:hAnsi="Cambria"/>
          <w:sz w:val="20"/>
          <w:szCs w:val="20"/>
        </w:rPr>
        <w:t>legal representative</w:t>
      </w:r>
      <w:r w:rsidRPr="000173CD">
        <w:rPr>
          <w:rFonts w:ascii="Cambria" w:hAnsi="Cambria"/>
          <w:sz w:val="20"/>
          <w:szCs w:val="20"/>
        </w:rPr>
        <w:t xml:space="preserve"> of Luis Alberto Gutiérrez Alfaro filed a cassation appeal, alleging the violation of the guarantee of the natural judge, due to the creation of a specialized division to investigate the matter of FONCOLPUERTOS </w:t>
      </w:r>
      <w:r>
        <w:rPr>
          <w:rFonts w:ascii="Cambria" w:hAnsi="Cambria"/>
          <w:sz w:val="20"/>
          <w:szCs w:val="20"/>
        </w:rPr>
        <w:t>with</w:t>
      </w:r>
      <w:r w:rsidRPr="000173CD">
        <w:rPr>
          <w:rFonts w:ascii="Cambria" w:hAnsi="Cambria"/>
          <w:sz w:val="20"/>
          <w:szCs w:val="20"/>
        </w:rPr>
        <w:t xml:space="preserve">in the Attorney General's Office. However, it points out that, on October 9, 2013, the Criminal Cassation Chamber of the Supreme Court rejected </w:t>
      </w:r>
      <w:r w:rsidR="00EF765A">
        <w:rPr>
          <w:rFonts w:ascii="Cambria" w:hAnsi="Cambria"/>
          <w:sz w:val="20"/>
          <w:szCs w:val="20"/>
        </w:rPr>
        <w:t>such</w:t>
      </w:r>
      <w:r w:rsidRPr="000173CD">
        <w:rPr>
          <w:rFonts w:ascii="Cambria" w:hAnsi="Cambria"/>
          <w:sz w:val="20"/>
          <w:szCs w:val="20"/>
        </w:rPr>
        <w:t xml:space="preserve"> action, arguing that the constitutional and legal framework allows the Superior Council of the Judiciary to create temporary positions </w:t>
      </w:r>
      <w:r>
        <w:rPr>
          <w:rFonts w:ascii="Cambria" w:hAnsi="Cambria"/>
          <w:sz w:val="20"/>
          <w:szCs w:val="20"/>
        </w:rPr>
        <w:t>for</w:t>
      </w:r>
      <w:r w:rsidRPr="000173CD">
        <w:rPr>
          <w:rFonts w:ascii="Cambria" w:hAnsi="Cambria"/>
          <w:sz w:val="20"/>
          <w:szCs w:val="20"/>
        </w:rPr>
        <w:t xml:space="preserve"> judges in cases of </w:t>
      </w:r>
      <w:r>
        <w:rPr>
          <w:rFonts w:ascii="Cambria" w:hAnsi="Cambria"/>
          <w:sz w:val="20"/>
          <w:szCs w:val="20"/>
        </w:rPr>
        <w:t>overflow</w:t>
      </w:r>
      <w:r w:rsidRPr="000173CD">
        <w:rPr>
          <w:rFonts w:ascii="Cambria" w:hAnsi="Cambria"/>
          <w:sz w:val="20"/>
          <w:szCs w:val="20"/>
        </w:rPr>
        <w:t xml:space="preserve"> to achieve efficiency in the administration of justice, </w:t>
      </w:r>
      <w:r>
        <w:rPr>
          <w:rFonts w:ascii="Cambria" w:hAnsi="Cambria"/>
          <w:sz w:val="20"/>
          <w:szCs w:val="20"/>
        </w:rPr>
        <w:t xml:space="preserve">hence </w:t>
      </w:r>
      <w:r w:rsidRPr="000173CD">
        <w:rPr>
          <w:rFonts w:ascii="Cambria" w:hAnsi="Cambria"/>
          <w:sz w:val="20"/>
          <w:szCs w:val="20"/>
        </w:rPr>
        <w:t>the facts denounced did not violate any right of Mr. Luis Alberto Gutiérrez Alfaro.</w:t>
      </w:r>
    </w:p>
    <w:p w14:paraId="664D5B62" w14:textId="21ACDE60"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Regarding the proceedings against David Alba de la </w:t>
      </w:r>
      <w:proofErr w:type="spellStart"/>
      <w:r w:rsidRPr="000173CD">
        <w:rPr>
          <w:rFonts w:ascii="Cambria" w:hAnsi="Cambria"/>
          <w:sz w:val="20"/>
          <w:szCs w:val="20"/>
        </w:rPr>
        <w:t>Hoz</w:t>
      </w:r>
      <w:proofErr w:type="spellEnd"/>
      <w:r w:rsidRPr="000173CD">
        <w:rPr>
          <w:rFonts w:ascii="Cambria" w:hAnsi="Cambria"/>
          <w:sz w:val="20"/>
          <w:szCs w:val="20"/>
        </w:rPr>
        <w:t xml:space="preserve">, Rosa Emilia Barraza, Alfonso Rafael López </w:t>
      </w:r>
      <w:proofErr w:type="gramStart"/>
      <w:r w:rsidRPr="000173CD">
        <w:rPr>
          <w:rFonts w:ascii="Cambria" w:hAnsi="Cambria"/>
          <w:sz w:val="20"/>
          <w:szCs w:val="20"/>
        </w:rPr>
        <w:t>Lara</w:t>
      </w:r>
      <w:proofErr w:type="gramEnd"/>
      <w:r w:rsidRPr="000173CD">
        <w:rPr>
          <w:rFonts w:ascii="Cambria" w:hAnsi="Cambria"/>
          <w:sz w:val="20"/>
          <w:szCs w:val="20"/>
        </w:rPr>
        <w:t xml:space="preserve"> and María Teresa Suárez </w:t>
      </w:r>
      <w:proofErr w:type="spellStart"/>
      <w:r w:rsidRPr="000173CD">
        <w:rPr>
          <w:rFonts w:ascii="Cambria" w:hAnsi="Cambria"/>
          <w:sz w:val="20"/>
          <w:szCs w:val="20"/>
        </w:rPr>
        <w:t>Cabrales</w:t>
      </w:r>
      <w:proofErr w:type="spellEnd"/>
      <w:r w:rsidRPr="000173CD">
        <w:rPr>
          <w:rFonts w:ascii="Cambria" w:hAnsi="Cambria"/>
          <w:sz w:val="20"/>
          <w:szCs w:val="20"/>
        </w:rPr>
        <w:t xml:space="preserve">, it details that on December 12, </w:t>
      </w:r>
      <w:r w:rsidR="00EF765A" w:rsidRPr="000173CD">
        <w:rPr>
          <w:rFonts w:ascii="Cambria" w:hAnsi="Cambria"/>
          <w:sz w:val="20"/>
          <w:szCs w:val="20"/>
        </w:rPr>
        <w:t>2014,</w:t>
      </w:r>
      <w:r w:rsidRPr="000173CD">
        <w:rPr>
          <w:rFonts w:ascii="Cambria" w:hAnsi="Cambria"/>
          <w:sz w:val="20"/>
          <w:szCs w:val="20"/>
        </w:rPr>
        <w:t xml:space="preserve"> the 16th Criminal Court of the Bogotá Circuit sentenced them to custodial sentences, disqualification from the exercise of public functions and the payment of a fine </w:t>
      </w:r>
      <w:r>
        <w:rPr>
          <w:rFonts w:ascii="Cambria" w:hAnsi="Cambria"/>
          <w:sz w:val="20"/>
          <w:szCs w:val="20"/>
        </w:rPr>
        <w:t xml:space="preserve">for the crime of </w:t>
      </w:r>
      <w:r w:rsidRPr="000173CD">
        <w:rPr>
          <w:rFonts w:ascii="Cambria" w:hAnsi="Cambria"/>
          <w:sz w:val="20"/>
          <w:szCs w:val="20"/>
        </w:rPr>
        <w:t xml:space="preserve">embezzlement by appropriation. It details that the representation of the alleged victims appealed that decision, but on July 18, 2017, the Criminal Chamber of the Superior Court of the Bogotá District confirmed said decision. Given this, it maintains that the defenders of Alfonso Rafael López Lara and María Teresa Suárez </w:t>
      </w:r>
      <w:proofErr w:type="spellStart"/>
      <w:r w:rsidRPr="000173CD">
        <w:rPr>
          <w:rFonts w:ascii="Cambria" w:hAnsi="Cambria"/>
          <w:sz w:val="20"/>
          <w:szCs w:val="20"/>
        </w:rPr>
        <w:t>Cabrales</w:t>
      </w:r>
      <w:proofErr w:type="spellEnd"/>
      <w:r w:rsidRPr="000173CD">
        <w:rPr>
          <w:rFonts w:ascii="Cambria" w:hAnsi="Cambria"/>
          <w:sz w:val="20"/>
          <w:szCs w:val="20"/>
        </w:rPr>
        <w:t xml:space="preserve"> filed an appeal, arguing the improper assessment of the body of evidence. However, on April 4, 2018, the Criminal Cassation Chamber of the Supreme Court of Justice </w:t>
      </w:r>
      <w:r>
        <w:rPr>
          <w:rFonts w:ascii="Cambria" w:hAnsi="Cambria"/>
          <w:sz w:val="20"/>
          <w:szCs w:val="20"/>
        </w:rPr>
        <w:t xml:space="preserve">rendered those </w:t>
      </w:r>
      <w:r w:rsidRPr="000173CD">
        <w:rPr>
          <w:rFonts w:ascii="Cambria" w:hAnsi="Cambria"/>
          <w:sz w:val="20"/>
          <w:szCs w:val="20"/>
        </w:rPr>
        <w:t>claims</w:t>
      </w:r>
      <w:r>
        <w:rPr>
          <w:rFonts w:ascii="Cambria" w:hAnsi="Cambria"/>
          <w:sz w:val="20"/>
          <w:szCs w:val="20"/>
        </w:rPr>
        <w:t xml:space="preserve"> </w:t>
      </w:r>
      <w:proofErr w:type="spellStart"/>
      <w:r>
        <w:rPr>
          <w:rFonts w:ascii="Cambria" w:hAnsi="Cambria"/>
          <w:sz w:val="20"/>
          <w:szCs w:val="20"/>
        </w:rPr>
        <w:t>inamissible</w:t>
      </w:r>
      <w:proofErr w:type="spellEnd"/>
      <w:r w:rsidRPr="000173CD">
        <w:rPr>
          <w:rFonts w:ascii="Cambria" w:hAnsi="Cambria"/>
          <w:sz w:val="20"/>
          <w:szCs w:val="20"/>
        </w:rPr>
        <w:t xml:space="preserve">, stating, among other formal flaws, that the appellants did not specifically indicate the evidence that was </w:t>
      </w:r>
      <w:r>
        <w:rPr>
          <w:rFonts w:ascii="Cambria" w:hAnsi="Cambria"/>
          <w:sz w:val="20"/>
          <w:szCs w:val="20"/>
        </w:rPr>
        <w:t>incorrectly</w:t>
      </w:r>
      <w:r w:rsidRPr="000173CD">
        <w:rPr>
          <w:rFonts w:ascii="Cambria" w:hAnsi="Cambria"/>
          <w:sz w:val="20"/>
          <w:szCs w:val="20"/>
        </w:rPr>
        <w:t xml:space="preserve"> analyzed.</w:t>
      </w:r>
    </w:p>
    <w:p w14:paraId="179B45FF" w14:textId="7C497AE7"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In relation to the investigation initiated against José Alfredo Constantino </w:t>
      </w:r>
      <w:proofErr w:type="spellStart"/>
      <w:r w:rsidRPr="000173CD">
        <w:rPr>
          <w:rFonts w:ascii="Cambria" w:hAnsi="Cambria"/>
          <w:sz w:val="20"/>
          <w:szCs w:val="20"/>
        </w:rPr>
        <w:t>Prasca</w:t>
      </w:r>
      <w:proofErr w:type="spellEnd"/>
      <w:r w:rsidRPr="000173CD">
        <w:rPr>
          <w:rFonts w:ascii="Cambria" w:hAnsi="Cambria"/>
          <w:sz w:val="20"/>
          <w:szCs w:val="20"/>
        </w:rPr>
        <w:t xml:space="preserve">, it reports that on July 6, </w:t>
      </w:r>
      <w:r w:rsidR="00EF765A" w:rsidRPr="000173CD">
        <w:rPr>
          <w:rFonts w:ascii="Cambria" w:hAnsi="Cambria"/>
          <w:sz w:val="20"/>
          <w:szCs w:val="20"/>
        </w:rPr>
        <w:t>2009,</w:t>
      </w:r>
      <w:r w:rsidRPr="000173CD">
        <w:rPr>
          <w:rFonts w:ascii="Cambria" w:hAnsi="Cambria"/>
          <w:sz w:val="20"/>
          <w:szCs w:val="20"/>
        </w:rPr>
        <w:t xml:space="preserve"> the Superior Court of Barranquilla convicted him </w:t>
      </w:r>
      <w:r>
        <w:rPr>
          <w:rFonts w:ascii="Cambria" w:hAnsi="Cambria"/>
          <w:sz w:val="20"/>
          <w:szCs w:val="20"/>
        </w:rPr>
        <w:t xml:space="preserve">for the crime </w:t>
      </w:r>
      <w:r w:rsidRPr="000173CD">
        <w:rPr>
          <w:rFonts w:ascii="Cambria" w:hAnsi="Cambria"/>
          <w:sz w:val="20"/>
          <w:szCs w:val="20"/>
        </w:rPr>
        <w:t xml:space="preserve">of </w:t>
      </w:r>
      <w:r>
        <w:rPr>
          <w:rFonts w:ascii="Cambria" w:hAnsi="Cambria"/>
          <w:sz w:val="20"/>
          <w:szCs w:val="20"/>
        </w:rPr>
        <w:t>breach of public duty</w:t>
      </w:r>
      <w:r w:rsidRPr="000173CD">
        <w:rPr>
          <w:rFonts w:ascii="Cambria" w:hAnsi="Cambria"/>
          <w:sz w:val="20"/>
          <w:szCs w:val="20"/>
        </w:rPr>
        <w:t xml:space="preserve">, for the irregularities he committed as Fourth Labor Judge in nine executive proceedings related to the </w:t>
      </w:r>
      <w:r>
        <w:rPr>
          <w:rFonts w:ascii="Cambria" w:hAnsi="Cambria"/>
          <w:sz w:val="20"/>
          <w:szCs w:val="20"/>
        </w:rPr>
        <w:t>case</w:t>
      </w:r>
      <w:r w:rsidRPr="000173CD">
        <w:rPr>
          <w:rFonts w:ascii="Cambria" w:hAnsi="Cambria"/>
          <w:sz w:val="20"/>
          <w:szCs w:val="20"/>
        </w:rPr>
        <w:t xml:space="preserve"> of FONCOLPUERTOS. He filed an appeal, but on February 24, 2010, the Criminal Cassation Chamber of the Supreme Court confirmed the conviction, considering that it was properly founded.</w:t>
      </w:r>
    </w:p>
    <w:p w14:paraId="7CD82A5D" w14:textId="77777777"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Finally, regarding the process initiated against Roberto Rafael Romero </w:t>
      </w:r>
      <w:proofErr w:type="spellStart"/>
      <w:r w:rsidRPr="000173CD">
        <w:rPr>
          <w:rFonts w:ascii="Cambria" w:hAnsi="Cambria"/>
          <w:sz w:val="20"/>
          <w:szCs w:val="20"/>
        </w:rPr>
        <w:t>Turizzo</w:t>
      </w:r>
      <w:proofErr w:type="spellEnd"/>
      <w:r w:rsidRPr="000173CD">
        <w:rPr>
          <w:rFonts w:ascii="Cambria" w:hAnsi="Cambria"/>
          <w:sz w:val="20"/>
          <w:szCs w:val="20"/>
        </w:rPr>
        <w:t xml:space="preserve">, it details that, on April 4, 2013, the 16th Criminal Court of the Bogotá Circuit convicted him of the crime of embezzlement by appropriation for his participation in the signing of records of conciliation before the Eighth Labor Inspector of the Cundinamarca Section. It maintains that, on December 18, 2013, the Criminal Chamber of the Bogotá District Court confirmed the </w:t>
      </w:r>
      <w:proofErr w:type="gramStart"/>
      <w:r w:rsidRPr="000173CD">
        <w:rPr>
          <w:rFonts w:ascii="Cambria" w:hAnsi="Cambria"/>
          <w:sz w:val="20"/>
          <w:szCs w:val="20"/>
        </w:rPr>
        <w:t>aforementioned conviction</w:t>
      </w:r>
      <w:proofErr w:type="gramEnd"/>
      <w:r w:rsidRPr="000173CD">
        <w:rPr>
          <w:rFonts w:ascii="Cambria" w:hAnsi="Cambria"/>
          <w:sz w:val="20"/>
          <w:szCs w:val="20"/>
        </w:rPr>
        <w:t xml:space="preserve"> and, in light of this, the alleged victim filed a cassation appeal</w:t>
      </w:r>
      <w:r>
        <w:rPr>
          <w:rFonts w:ascii="Cambria" w:hAnsi="Cambria"/>
          <w:sz w:val="20"/>
          <w:szCs w:val="20"/>
        </w:rPr>
        <w:t xml:space="preserve"> alleging </w:t>
      </w:r>
      <w:r w:rsidRPr="000173CD">
        <w:rPr>
          <w:rFonts w:ascii="Cambria" w:hAnsi="Cambria"/>
          <w:sz w:val="20"/>
          <w:szCs w:val="20"/>
        </w:rPr>
        <w:t xml:space="preserve">that the body of evidence was improperly assessed. However, </w:t>
      </w:r>
      <w:r>
        <w:rPr>
          <w:rFonts w:ascii="Cambria" w:hAnsi="Cambria"/>
          <w:sz w:val="20"/>
          <w:szCs w:val="20"/>
        </w:rPr>
        <w:t>the State</w:t>
      </w:r>
      <w:r w:rsidRPr="000173CD">
        <w:rPr>
          <w:rFonts w:ascii="Cambria" w:hAnsi="Cambria"/>
          <w:sz w:val="20"/>
          <w:szCs w:val="20"/>
        </w:rPr>
        <w:t xml:space="preserve"> argues that, on October 22, 2014, the Criminal Cassation Chamber of the Supreme Court of Justice dismissed said action and confirmed the first instance</w:t>
      </w:r>
      <w:r>
        <w:rPr>
          <w:rFonts w:ascii="Cambria" w:hAnsi="Cambria"/>
          <w:sz w:val="20"/>
          <w:szCs w:val="20"/>
        </w:rPr>
        <w:t xml:space="preserve"> judgement</w:t>
      </w:r>
    </w:p>
    <w:p w14:paraId="38AC1935" w14:textId="1BAFC3EA" w:rsidR="000173CD" w:rsidRP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Based on these considerations, Colombia maintains that the alleged victims had access to adequate and effective remedies in each of the criminal instances, without any arbitrariness being evidenced in the decisions adopted by the judicial bodies. On the contrary, it argues that said resolutions were correctly motivated, responding to the</w:t>
      </w:r>
      <w:r>
        <w:rPr>
          <w:rFonts w:ascii="Cambria" w:hAnsi="Cambria"/>
          <w:sz w:val="20"/>
          <w:szCs w:val="20"/>
        </w:rPr>
        <w:t xml:space="preserve"> appeals</w:t>
      </w:r>
      <w:r w:rsidRPr="000173CD">
        <w:rPr>
          <w:rFonts w:ascii="Cambria" w:hAnsi="Cambria"/>
          <w:sz w:val="20"/>
          <w:szCs w:val="20"/>
        </w:rPr>
        <w:t xml:space="preserve"> presented by the defendants regarding the convictions issued in each case. For this reason, it requests that the petition be declared inadmissible based on Article 47 (b) of the American Convention, since it considers that the petitioner's claim is for the Commission to act as a court of appeal, </w:t>
      </w:r>
      <w:r>
        <w:rPr>
          <w:rFonts w:ascii="Cambria" w:hAnsi="Cambria"/>
          <w:sz w:val="20"/>
          <w:szCs w:val="20"/>
        </w:rPr>
        <w:t>contradicting its complementary nature.</w:t>
      </w:r>
    </w:p>
    <w:p w14:paraId="3FE6F5AE" w14:textId="1F075DAD" w:rsidR="004C616A" w:rsidRPr="0084056C" w:rsidRDefault="004C616A" w:rsidP="0032721B">
      <w:pPr>
        <w:pStyle w:val="ListParagraph"/>
        <w:spacing w:before="120" w:after="240"/>
        <w:jc w:val="both"/>
        <w:rPr>
          <w:rFonts w:asciiTheme="majorHAnsi" w:hAnsiTheme="majorHAnsi"/>
          <w:b/>
          <w:bCs/>
          <w:sz w:val="20"/>
          <w:szCs w:val="20"/>
        </w:rPr>
      </w:pPr>
      <w:r w:rsidRPr="0084056C">
        <w:rPr>
          <w:rFonts w:asciiTheme="majorHAnsi" w:hAnsiTheme="majorHAnsi"/>
          <w:b/>
          <w:bCs/>
          <w:sz w:val="20"/>
          <w:szCs w:val="20"/>
        </w:rPr>
        <w:t xml:space="preserve">VI. </w:t>
      </w:r>
      <w:r w:rsidRPr="0084056C">
        <w:rPr>
          <w:rFonts w:asciiTheme="majorHAnsi" w:hAnsiTheme="majorHAnsi"/>
          <w:b/>
          <w:bCs/>
          <w:sz w:val="20"/>
          <w:szCs w:val="20"/>
        </w:rPr>
        <w:tab/>
      </w:r>
      <w:r w:rsidR="0084056C" w:rsidRPr="0084056C">
        <w:rPr>
          <w:rFonts w:asciiTheme="majorHAnsi" w:hAnsiTheme="majorHAnsi"/>
          <w:b/>
          <w:bCs/>
          <w:sz w:val="20"/>
          <w:szCs w:val="20"/>
        </w:rPr>
        <w:t>EXHAUSTION OF DOMESTIC REMEDIES AND TIMEL</w:t>
      </w:r>
      <w:r w:rsidR="0084056C">
        <w:rPr>
          <w:rFonts w:asciiTheme="majorHAnsi" w:hAnsiTheme="majorHAnsi"/>
          <w:b/>
          <w:bCs/>
          <w:sz w:val="20"/>
          <w:szCs w:val="20"/>
        </w:rPr>
        <w:t>INESS OF THE PETITION</w:t>
      </w:r>
    </w:p>
    <w:p w14:paraId="152B2339" w14:textId="349497E8"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The petition</w:t>
      </w:r>
      <w:r>
        <w:rPr>
          <w:rFonts w:ascii="Cambria" w:hAnsi="Cambria"/>
          <w:sz w:val="20"/>
          <w:szCs w:val="20"/>
        </w:rPr>
        <w:t>er</w:t>
      </w:r>
      <w:r w:rsidRPr="000173CD">
        <w:rPr>
          <w:rFonts w:ascii="Cambria" w:hAnsi="Cambria"/>
          <w:sz w:val="20"/>
          <w:szCs w:val="20"/>
        </w:rPr>
        <w:t xml:space="preserve"> party alleges that the alleged victims exhausted domestic remedies with the labor resolutions that rejected their claims and the criminal </w:t>
      </w:r>
      <w:r>
        <w:rPr>
          <w:rFonts w:ascii="Cambria" w:hAnsi="Cambria"/>
          <w:sz w:val="20"/>
          <w:szCs w:val="20"/>
        </w:rPr>
        <w:t>judgements</w:t>
      </w:r>
      <w:r w:rsidRPr="000173CD">
        <w:rPr>
          <w:rFonts w:ascii="Cambria" w:hAnsi="Cambria"/>
          <w:sz w:val="20"/>
          <w:szCs w:val="20"/>
        </w:rPr>
        <w:t xml:space="preserve"> that confirmed their convictions. For </w:t>
      </w:r>
      <w:r w:rsidRPr="000173CD">
        <w:rPr>
          <w:rFonts w:ascii="Cambria" w:hAnsi="Cambria"/>
          <w:sz w:val="20"/>
          <w:szCs w:val="20"/>
        </w:rPr>
        <w:lastRenderedPageBreak/>
        <w:t>its part, the State has not disputed the exhaustion of domestic remedies nor has it made any reference to the deadline for submitting the petition.</w:t>
      </w:r>
    </w:p>
    <w:p w14:paraId="43946929" w14:textId="723BBF8C"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 xml:space="preserve">In relation to the labor proceedings, the Commission observes that none of the parties has provided information that makes it possible to identify when the internal proceedings ended, nor has the petitioner argued that any exception to the exhaustion of domestic remedies </w:t>
      </w:r>
      <w:r>
        <w:rPr>
          <w:rFonts w:ascii="Cambria" w:hAnsi="Cambria"/>
          <w:sz w:val="20"/>
          <w:szCs w:val="20"/>
        </w:rPr>
        <w:t xml:space="preserve">rule </w:t>
      </w:r>
      <w:r w:rsidRPr="000173CD">
        <w:rPr>
          <w:rFonts w:ascii="Cambria" w:hAnsi="Cambria"/>
          <w:sz w:val="20"/>
          <w:szCs w:val="20"/>
        </w:rPr>
        <w:t>has been established. Given that, according to the information available, the latest decisions on this matter were issued in early 2000, the IACHR considers that this petition does not meet the requirement of the six-month submission period established in Article 46.1.b) of the American Convention.</w:t>
      </w:r>
    </w:p>
    <w:p w14:paraId="705B4006" w14:textId="716FFDEF" w:rsidR="000173CD" w:rsidRDefault="000173CD" w:rsidP="003272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173CD">
        <w:rPr>
          <w:rFonts w:ascii="Cambria" w:hAnsi="Cambria"/>
          <w:sz w:val="20"/>
          <w:szCs w:val="20"/>
        </w:rPr>
        <w:t>With respect to the criminal proceedings, taking into consideration the lack of opposition from the State and the information in the file - most of which was provided by the State - the Commission observes that</w:t>
      </w:r>
      <w:r>
        <w:rPr>
          <w:rFonts w:ascii="Cambria" w:hAnsi="Cambria"/>
          <w:sz w:val="20"/>
          <w:szCs w:val="20"/>
        </w:rPr>
        <w:t xml:space="preserve">, at </w:t>
      </w:r>
      <w:r w:rsidRPr="000173CD">
        <w:rPr>
          <w:rFonts w:ascii="Cambria" w:hAnsi="Cambria"/>
          <w:sz w:val="20"/>
          <w:szCs w:val="20"/>
        </w:rPr>
        <w:t>this point</w:t>
      </w:r>
      <w:r>
        <w:rPr>
          <w:rFonts w:ascii="Cambria" w:hAnsi="Cambria"/>
          <w:sz w:val="20"/>
          <w:szCs w:val="20"/>
        </w:rPr>
        <w:t>,</w:t>
      </w:r>
      <w:r w:rsidRPr="000173CD">
        <w:rPr>
          <w:rFonts w:ascii="Cambria" w:hAnsi="Cambria"/>
          <w:sz w:val="20"/>
          <w:szCs w:val="20"/>
        </w:rPr>
        <w:t xml:space="preserve"> the petition compl</w:t>
      </w:r>
      <w:r>
        <w:rPr>
          <w:rFonts w:ascii="Cambria" w:hAnsi="Cambria"/>
          <w:sz w:val="20"/>
          <w:szCs w:val="20"/>
        </w:rPr>
        <w:t>ies</w:t>
      </w:r>
      <w:r w:rsidRPr="000173CD">
        <w:rPr>
          <w:rFonts w:ascii="Cambria" w:hAnsi="Cambria"/>
          <w:sz w:val="20"/>
          <w:szCs w:val="20"/>
        </w:rPr>
        <w:t xml:space="preserve"> with the requirement of exhaustion of domestic remedies in accordance with Article 46.1.a) of the American Convention. Similarly, taking into consideration the dates of said resolutions, detailed above, and that this petition was received by the Commission on October 3, 2012, it is considered that this aspect complies with the </w:t>
      </w:r>
      <w:proofErr w:type="gramStart"/>
      <w:r w:rsidRPr="000173CD">
        <w:rPr>
          <w:rFonts w:ascii="Cambria" w:hAnsi="Cambria"/>
          <w:sz w:val="20"/>
          <w:szCs w:val="20"/>
        </w:rPr>
        <w:t>aforementioned Article</w:t>
      </w:r>
      <w:proofErr w:type="gramEnd"/>
      <w:r w:rsidRPr="000173CD">
        <w:rPr>
          <w:rFonts w:ascii="Cambria" w:hAnsi="Cambria"/>
          <w:sz w:val="20"/>
          <w:szCs w:val="20"/>
        </w:rPr>
        <w:t xml:space="preserve"> 46.1.b) of the American Convention.</w:t>
      </w:r>
    </w:p>
    <w:p w14:paraId="638BB1E4" w14:textId="7BC8782B" w:rsidR="000173CD" w:rsidRDefault="000173CD" w:rsidP="00327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ES"/>
        </w:rPr>
      </w:pPr>
      <w:r w:rsidRPr="000173CD">
        <w:rPr>
          <w:rFonts w:ascii="Cambria" w:hAnsi="Cambria"/>
          <w:b/>
          <w:bCs/>
          <w:sz w:val="20"/>
          <w:szCs w:val="20"/>
          <w:lang w:val="es-ES"/>
        </w:rPr>
        <w:t xml:space="preserve">VII. </w:t>
      </w:r>
      <w:r w:rsidR="0032721B">
        <w:rPr>
          <w:rFonts w:ascii="Cambria" w:hAnsi="Cambria"/>
          <w:b/>
          <w:bCs/>
          <w:sz w:val="20"/>
          <w:szCs w:val="20"/>
          <w:lang w:val="es-ES"/>
        </w:rPr>
        <w:tab/>
      </w:r>
      <w:r w:rsidRPr="000173CD">
        <w:rPr>
          <w:rFonts w:ascii="Cambria" w:hAnsi="Cambria"/>
          <w:b/>
          <w:bCs/>
          <w:sz w:val="20"/>
          <w:szCs w:val="20"/>
          <w:lang w:val="es-ES"/>
        </w:rPr>
        <w:t>COLORABLE CLAIM</w:t>
      </w:r>
    </w:p>
    <w:p w14:paraId="4D765291" w14:textId="0E95C76E" w:rsidR="000173CD" w:rsidRDefault="000173CD" w:rsidP="003272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173CD">
        <w:rPr>
          <w:sz w:val="20"/>
          <w:szCs w:val="20"/>
        </w:rPr>
        <w:t xml:space="preserve">In the instant case, as detailed above, the petitioner claims that the domestic jurisdictional bodies were not impartial and that they did not adequately assess the body of evidence, leading to the conviction of the alleged victims. For its part, the State has provided documents that show that the national courts adequately assessed the evidence provided </w:t>
      </w:r>
      <w:r>
        <w:rPr>
          <w:sz w:val="20"/>
          <w:szCs w:val="20"/>
        </w:rPr>
        <w:t>in</w:t>
      </w:r>
      <w:r w:rsidRPr="000173CD">
        <w:rPr>
          <w:sz w:val="20"/>
          <w:szCs w:val="20"/>
        </w:rPr>
        <w:t xml:space="preserve"> the process and determined the criminal responsibility of the alleged victims, in accordance with the requirements established by each criminal type.</w:t>
      </w:r>
    </w:p>
    <w:p w14:paraId="25F2B2EC" w14:textId="4AE96A1F" w:rsidR="000173CD" w:rsidRDefault="000173CD" w:rsidP="003272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173CD">
        <w:rPr>
          <w:sz w:val="20"/>
          <w:szCs w:val="20"/>
        </w:rPr>
        <w:t>In this regard, the Commission reiterates that it is not competent to review the judgments handed down by national courts that act in the sphere of their competence and apply due process and judicial guarantees. Furthermore, it recalls that the mere discrepancy of the petitioners with the interpretation that the domestic courts have made of the pertinent legal norms is not enough to establish violations of the Convention. The interpretation of the law, the pertinent procedure and the evaluation of the evidence is, among others, the exercise of the function of the internal jurisdiction, which cannot be replaced by the IACHR.</w:t>
      </w:r>
      <w:r>
        <w:rPr>
          <w:rStyle w:val="FootnoteReference"/>
          <w:sz w:val="20"/>
          <w:szCs w:val="20"/>
        </w:rPr>
        <w:footnoteReference w:id="6"/>
      </w:r>
    </w:p>
    <w:p w14:paraId="779908E4" w14:textId="49A8B0E4" w:rsidR="000173CD" w:rsidRPr="000173CD" w:rsidRDefault="000173CD" w:rsidP="0032721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sidRPr="000173CD">
        <w:rPr>
          <w:sz w:val="20"/>
          <w:szCs w:val="20"/>
        </w:rPr>
        <w:t>In keeping with these criteria, and in accordance with the information provided by the parties in the file of this petition, the Commission observes that the petitio</w:t>
      </w:r>
      <w:r>
        <w:rPr>
          <w:sz w:val="20"/>
          <w:szCs w:val="20"/>
        </w:rPr>
        <w:t>ner</w:t>
      </w:r>
      <w:r w:rsidRPr="000173CD">
        <w:rPr>
          <w:sz w:val="20"/>
          <w:szCs w:val="20"/>
        </w:rPr>
        <w:t xml:space="preserve"> party has not presented concrete</w:t>
      </w:r>
      <w:r>
        <w:rPr>
          <w:sz w:val="20"/>
          <w:szCs w:val="20"/>
        </w:rPr>
        <w:t xml:space="preserve"> factual and legal</w:t>
      </w:r>
      <w:r w:rsidRPr="000173CD">
        <w:rPr>
          <w:sz w:val="20"/>
          <w:szCs w:val="20"/>
        </w:rPr>
        <w:t xml:space="preserve"> elements that support that the </w:t>
      </w:r>
      <w:proofErr w:type="gramStart"/>
      <w:r w:rsidRPr="000173CD">
        <w:rPr>
          <w:sz w:val="20"/>
          <w:szCs w:val="20"/>
        </w:rPr>
        <w:t>aforementioned criminal</w:t>
      </w:r>
      <w:proofErr w:type="gramEnd"/>
      <w:r w:rsidRPr="000173CD">
        <w:rPr>
          <w:sz w:val="20"/>
          <w:szCs w:val="20"/>
        </w:rPr>
        <w:t xml:space="preserve"> decisions adopted against the alleged victims suffer from a </w:t>
      </w:r>
      <w:r w:rsidR="00267FC3">
        <w:rPr>
          <w:sz w:val="20"/>
          <w:szCs w:val="20"/>
        </w:rPr>
        <w:t>defect</w:t>
      </w:r>
      <w:r w:rsidRPr="000173CD">
        <w:rPr>
          <w:sz w:val="20"/>
          <w:szCs w:val="20"/>
        </w:rPr>
        <w:t xml:space="preserve"> or have violated any guarantee contemplated in the American Convention. Therefore, the Commission concludes that such allegation is inadmissible based on Article 47 (b) of the American Convention, since the facts presented do not reveal, not even </w:t>
      </w:r>
      <w:r w:rsidRPr="000173CD">
        <w:rPr>
          <w:i/>
          <w:iCs/>
          <w:sz w:val="20"/>
          <w:szCs w:val="20"/>
        </w:rPr>
        <w:t>prima facie</w:t>
      </w:r>
      <w:r w:rsidRPr="000173CD">
        <w:rPr>
          <w:sz w:val="20"/>
          <w:szCs w:val="20"/>
        </w:rPr>
        <w:t>, possible violations of the Convention</w:t>
      </w:r>
      <w:r>
        <w:rPr>
          <w:sz w:val="20"/>
          <w:szCs w:val="20"/>
        </w:rPr>
        <w:t>.</w:t>
      </w:r>
    </w:p>
    <w:p w14:paraId="29BB41F5" w14:textId="0DE3CB43" w:rsidR="003239B8" w:rsidRPr="00006B74" w:rsidRDefault="00EC72AB" w:rsidP="003272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w:t>
      </w:r>
      <w:r w:rsidR="0032721B">
        <w:rPr>
          <w:rFonts w:asciiTheme="majorHAnsi" w:hAnsiTheme="majorHAnsi"/>
          <w:b/>
          <w:bCs/>
          <w:sz w:val="20"/>
          <w:szCs w:val="20"/>
          <w:lang w:val="es-ES"/>
        </w:rPr>
        <w:t>O</w:t>
      </w:r>
      <w:r w:rsidR="003239B8" w:rsidRPr="00006B74">
        <w:rPr>
          <w:rFonts w:asciiTheme="majorHAnsi" w:hAnsiTheme="majorHAnsi"/>
          <w:b/>
          <w:bCs/>
          <w:sz w:val="20"/>
          <w:szCs w:val="20"/>
          <w:lang w:val="es-ES"/>
        </w:rPr>
        <w:t>N</w:t>
      </w:r>
    </w:p>
    <w:p w14:paraId="570DA61C" w14:textId="04C4E98F" w:rsidR="000419AD" w:rsidRPr="00F0350F" w:rsidRDefault="00F0350F" w:rsidP="0032721B">
      <w:pPr>
        <w:pStyle w:val="ListParagraph"/>
        <w:numPr>
          <w:ilvl w:val="0"/>
          <w:numId w:val="56"/>
        </w:numPr>
        <w:spacing w:after="240"/>
        <w:jc w:val="both"/>
        <w:rPr>
          <w:rFonts w:eastAsia="Arial Unicode MS" w:cs="Times New Roman"/>
          <w:color w:val="auto"/>
          <w:sz w:val="20"/>
          <w:szCs w:val="20"/>
          <w:lang w:eastAsia="en-US"/>
        </w:rPr>
      </w:pPr>
      <w:r w:rsidRPr="00F0350F">
        <w:rPr>
          <w:rFonts w:eastAsia="Arial Unicode MS" w:cs="Times New Roman"/>
          <w:color w:val="auto"/>
          <w:sz w:val="20"/>
          <w:szCs w:val="20"/>
          <w:lang w:eastAsia="en-US"/>
        </w:rPr>
        <w:t xml:space="preserve">To </w:t>
      </w:r>
      <w:r>
        <w:rPr>
          <w:rFonts w:eastAsia="Arial Unicode MS" w:cs="Times New Roman"/>
          <w:color w:val="auto"/>
          <w:sz w:val="20"/>
          <w:szCs w:val="20"/>
          <w:lang w:eastAsia="en-US"/>
        </w:rPr>
        <w:t>find</w:t>
      </w:r>
      <w:r w:rsidRPr="00F0350F">
        <w:rPr>
          <w:rFonts w:eastAsia="Arial Unicode MS" w:cs="Times New Roman"/>
          <w:color w:val="auto"/>
          <w:sz w:val="20"/>
          <w:szCs w:val="20"/>
          <w:lang w:eastAsia="en-US"/>
        </w:rPr>
        <w:t xml:space="preserve"> the instant petition </w:t>
      </w:r>
      <w:proofErr w:type="gramStart"/>
      <w:r w:rsidRPr="00F0350F">
        <w:rPr>
          <w:rFonts w:eastAsia="Arial Unicode MS" w:cs="Times New Roman"/>
          <w:color w:val="auto"/>
          <w:sz w:val="20"/>
          <w:szCs w:val="20"/>
          <w:lang w:eastAsia="en-US"/>
        </w:rPr>
        <w:t>inadmissible</w:t>
      </w:r>
      <w:r w:rsidR="003A6337" w:rsidRPr="00F0350F">
        <w:rPr>
          <w:rFonts w:eastAsia="Arial Unicode MS" w:cs="Times New Roman"/>
          <w:color w:val="auto"/>
          <w:sz w:val="20"/>
          <w:szCs w:val="20"/>
          <w:lang w:eastAsia="en-US"/>
        </w:rPr>
        <w:t>;</w:t>
      </w:r>
      <w:proofErr w:type="gramEnd"/>
    </w:p>
    <w:p w14:paraId="2E290538" w14:textId="68ECD350" w:rsidR="00F0350F" w:rsidRPr="00F807AA" w:rsidRDefault="00F0350F" w:rsidP="0032721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jc w:val="both"/>
        <w:rPr>
          <w:rFonts w:ascii="Cambria" w:hAnsi="Cambria"/>
          <w:sz w:val="20"/>
          <w:szCs w:val="20"/>
        </w:rPr>
      </w:pPr>
      <w:r w:rsidRPr="001F1902">
        <w:rPr>
          <w:rFonts w:asciiTheme="majorHAnsi" w:hAnsiTheme="majorHAnsi"/>
          <w:sz w:val="20"/>
          <w:szCs w:val="20"/>
        </w:rPr>
        <w:t xml:space="preserve">To notify the parties of this decision; </w:t>
      </w:r>
      <w:r>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607395A7" w14:textId="6B2D6333" w:rsidR="00F807AA" w:rsidRPr="001F1902" w:rsidRDefault="00F807AA" w:rsidP="0032721B">
      <w:pPr>
        <w:suppressAutoHyphens/>
        <w:spacing w:after="240"/>
        <w:ind w:firstLine="720"/>
        <w:jc w:val="both"/>
        <w:rPr>
          <w:rFonts w:ascii="Cambria" w:hAnsi="Cambria"/>
          <w:sz w:val="20"/>
          <w:szCs w:val="20"/>
        </w:rPr>
      </w:pPr>
      <w:bookmarkStart w:id="2" w:name="_Hlk69908510"/>
      <w:r w:rsidRPr="006D25D7">
        <w:rPr>
          <w:rFonts w:ascii="Cambria" w:hAnsi="Cambria"/>
          <w:spacing w:val="-2"/>
          <w:sz w:val="20"/>
        </w:rPr>
        <w:t xml:space="preserve">Approved by the Inter-American Commission on Human Rights on the </w:t>
      </w:r>
      <w:r>
        <w:rPr>
          <w:rFonts w:ascii="Cambria" w:hAnsi="Cambria"/>
          <w:spacing w:val="-2"/>
          <w:sz w:val="20"/>
        </w:rPr>
        <w:t>7</w:t>
      </w:r>
      <w:r w:rsidRPr="00F807A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proofErr w:type="gramStart"/>
      <w:r>
        <w:rPr>
          <w:rFonts w:ascii="Cambria" w:hAnsi="Cambria"/>
          <w:spacing w:val="-2"/>
          <w:sz w:val="20"/>
        </w:rPr>
        <w:t>September,</w:t>
      </w:r>
      <w:proofErr w:type="gramEnd"/>
      <w:r>
        <w:rPr>
          <w:rFonts w:ascii="Cambria" w:hAnsi="Cambria"/>
          <w:spacing w:val="-2"/>
          <w:sz w:val="20"/>
        </w:rPr>
        <w:t xml:space="preserve">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proofErr w:type="spellStart"/>
      <w:r>
        <w:rPr>
          <w:rFonts w:ascii="Cambria" w:hAnsi="Cambria"/>
          <w:sz w:val="20"/>
          <w:szCs w:val="20"/>
        </w:rPr>
        <w:t>Flávia</w:t>
      </w:r>
      <w:proofErr w:type="spellEnd"/>
      <w:r>
        <w:rPr>
          <w:rFonts w:ascii="Cambria" w:hAnsi="Cambria"/>
          <w:sz w:val="20"/>
          <w:szCs w:val="20"/>
        </w:rPr>
        <w:t xml:space="preserve"> </w:t>
      </w:r>
      <w:proofErr w:type="spellStart"/>
      <w:r>
        <w:rPr>
          <w:rFonts w:ascii="Cambria" w:hAnsi="Cambria"/>
          <w:sz w:val="20"/>
          <w:szCs w:val="20"/>
        </w:rPr>
        <w:t>Piovesan</w:t>
      </w:r>
      <w:proofErr w:type="spellEnd"/>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bookmarkEnd w:id="2"/>
    </w:p>
    <w:p w14:paraId="4F50A2F3" w14:textId="615F989F" w:rsidR="00631E1D" w:rsidRPr="00F0350F" w:rsidRDefault="00631E1D" w:rsidP="00D8145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sz w:val="20"/>
          <w:szCs w:val="20"/>
        </w:rPr>
      </w:pPr>
    </w:p>
    <w:sectPr w:rsidR="00631E1D" w:rsidRPr="00F0350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F604" w14:textId="77777777" w:rsidR="00DE1C5F" w:rsidRDefault="00DE1C5F">
      <w:r>
        <w:separator/>
      </w:r>
    </w:p>
  </w:endnote>
  <w:endnote w:type="continuationSeparator" w:id="0">
    <w:p w14:paraId="7B282867" w14:textId="77777777" w:rsidR="00DE1C5F" w:rsidRDefault="00DE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E243E2" w14:textId="4B1FDA79" w:rsidR="0084056C" w:rsidRPr="00934A2C" w:rsidRDefault="0084056C">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6</w:t>
        </w:r>
        <w:r w:rsidRPr="00934A2C">
          <w:rPr>
            <w:noProof/>
            <w:sz w:val="16"/>
            <w:szCs w:val="22"/>
          </w:rPr>
          <w:fldChar w:fldCharType="end"/>
        </w:r>
      </w:p>
    </w:sdtContent>
  </w:sdt>
  <w:p w14:paraId="68530E6A" w14:textId="77777777" w:rsidR="0084056C" w:rsidRDefault="008405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4FDC" w14:textId="77777777" w:rsidR="0084056C" w:rsidRPr="00934A2C" w:rsidRDefault="0084056C">
    <w:pPr>
      <w:pStyle w:val="Footer"/>
      <w:jc w:val="center"/>
      <w:rPr>
        <w:sz w:val="16"/>
        <w:szCs w:val="22"/>
      </w:rPr>
    </w:pPr>
  </w:p>
  <w:p w14:paraId="49059CE3" w14:textId="77777777" w:rsidR="0084056C" w:rsidRDefault="00840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41FA8" w14:textId="77777777" w:rsidR="00DE1C5F" w:rsidRPr="000F35ED" w:rsidRDefault="00DE1C5F">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C7F3EFB" w14:textId="77777777" w:rsidR="00DE1C5F" w:rsidRPr="000F35ED" w:rsidRDefault="00DE1C5F" w:rsidP="000F35ED">
      <w:pPr>
        <w:rPr>
          <w:rFonts w:asciiTheme="majorHAnsi" w:hAnsiTheme="majorHAnsi"/>
          <w:sz w:val="16"/>
          <w:szCs w:val="16"/>
        </w:rPr>
      </w:pPr>
      <w:r w:rsidRPr="000F35ED">
        <w:rPr>
          <w:rFonts w:asciiTheme="majorHAnsi" w:hAnsiTheme="majorHAnsi"/>
          <w:sz w:val="16"/>
          <w:szCs w:val="16"/>
        </w:rPr>
        <w:separator/>
      </w:r>
    </w:p>
    <w:p w14:paraId="68A01FCA" w14:textId="77777777" w:rsidR="00DE1C5F" w:rsidRPr="000F35ED" w:rsidRDefault="00DE1C5F"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5E5C71B9" w14:textId="77777777" w:rsidR="00DE1C5F" w:rsidRPr="000F35ED" w:rsidRDefault="00DE1C5F"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364A4649" w14:textId="72D25EB8" w:rsidR="0084056C" w:rsidRPr="000173CD" w:rsidRDefault="00F807AA">
      <w:pPr>
        <w:pStyle w:val="FootnoteText"/>
        <w:rPr>
          <w:rFonts w:asciiTheme="majorHAnsi" w:hAnsiTheme="majorHAnsi"/>
          <w:color w:val="auto"/>
          <w:sz w:val="16"/>
          <w:szCs w:val="16"/>
          <w:lang w:val="es-ES"/>
        </w:rPr>
      </w:pPr>
      <w:r>
        <w:rPr>
          <w:rFonts w:asciiTheme="majorHAnsi" w:hAnsiTheme="majorHAnsi"/>
          <w:color w:val="auto"/>
          <w:sz w:val="16"/>
          <w:szCs w:val="16"/>
          <w:lang w:val="es-ES"/>
        </w:rPr>
        <w:tab/>
      </w:r>
      <w:r w:rsidR="0084056C" w:rsidRPr="00BD0E48">
        <w:rPr>
          <w:rStyle w:val="FootnoteReference"/>
          <w:rFonts w:asciiTheme="majorHAnsi" w:hAnsiTheme="majorHAnsi"/>
          <w:color w:val="auto"/>
          <w:sz w:val="16"/>
          <w:szCs w:val="16"/>
        </w:rPr>
        <w:footnoteRef/>
      </w:r>
      <w:r w:rsidR="0084056C" w:rsidRPr="000173CD">
        <w:rPr>
          <w:rFonts w:asciiTheme="majorHAnsi" w:hAnsiTheme="majorHAnsi"/>
          <w:color w:val="auto"/>
          <w:sz w:val="16"/>
          <w:szCs w:val="16"/>
          <w:lang w:val="es-ES"/>
        </w:rPr>
        <w:t xml:space="preserve"> </w:t>
      </w:r>
      <w:r w:rsidR="000173CD" w:rsidRPr="005F1956">
        <w:rPr>
          <w:rFonts w:ascii="Cambria" w:hAnsi="Cambria"/>
          <w:sz w:val="16"/>
          <w:szCs w:val="16"/>
          <w:lang w:val="es-ES"/>
        </w:rPr>
        <w:t xml:space="preserve">Roberto Rafael Romero </w:t>
      </w:r>
      <w:proofErr w:type="spellStart"/>
      <w:r w:rsidR="000173CD" w:rsidRPr="005F1956">
        <w:rPr>
          <w:rFonts w:ascii="Cambria" w:hAnsi="Cambria"/>
          <w:sz w:val="16"/>
          <w:szCs w:val="16"/>
          <w:lang w:val="es-ES"/>
        </w:rPr>
        <w:t>Turizzo</w:t>
      </w:r>
      <w:proofErr w:type="spellEnd"/>
      <w:r w:rsidR="000173CD" w:rsidRPr="005F1956">
        <w:rPr>
          <w:rFonts w:ascii="Cambria" w:hAnsi="Cambria"/>
          <w:sz w:val="16"/>
          <w:szCs w:val="16"/>
          <w:lang w:val="es-ES"/>
        </w:rPr>
        <w:t xml:space="preserve">, Horacio Cantillo Narváez, Luis Alberto Gutierrez Alfaro, Jose Alfredo Constantino </w:t>
      </w:r>
      <w:proofErr w:type="spellStart"/>
      <w:r w:rsidR="000173CD" w:rsidRPr="005F1956">
        <w:rPr>
          <w:rFonts w:ascii="Cambria" w:hAnsi="Cambria"/>
          <w:sz w:val="16"/>
          <w:szCs w:val="16"/>
          <w:lang w:val="es-ES"/>
        </w:rPr>
        <w:t>Prasca</w:t>
      </w:r>
      <w:proofErr w:type="spellEnd"/>
      <w:r w:rsidR="000173CD" w:rsidRPr="005F1956">
        <w:rPr>
          <w:rFonts w:ascii="Cambria" w:hAnsi="Cambria"/>
          <w:sz w:val="16"/>
          <w:szCs w:val="16"/>
          <w:lang w:val="es-ES"/>
        </w:rPr>
        <w:t xml:space="preserve">, David Alba de la Hoz, María Teresa Suárez Cabrales </w:t>
      </w:r>
      <w:r w:rsidR="000173CD">
        <w:rPr>
          <w:rFonts w:ascii="Cambria" w:hAnsi="Cambria"/>
          <w:sz w:val="16"/>
          <w:szCs w:val="16"/>
          <w:lang w:val="es-ES"/>
        </w:rPr>
        <w:t>and</w:t>
      </w:r>
      <w:r w:rsidR="000173CD" w:rsidRPr="005F1956">
        <w:rPr>
          <w:rFonts w:ascii="Cambria" w:hAnsi="Cambria"/>
          <w:sz w:val="16"/>
          <w:szCs w:val="16"/>
          <w:lang w:val="es-ES"/>
        </w:rPr>
        <w:t xml:space="preserve"> Rosa Emilia Barraza.</w:t>
      </w:r>
    </w:p>
  </w:footnote>
  <w:footnote w:id="3">
    <w:p w14:paraId="05AC14BE" w14:textId="0B88B35B" w:rsidR="0084056C" w:rsidRPr="00C757AC" w:rsidRDefault="00F807AA" w:rsidP="008414C6">
      <w:pPr>
        <w:pStyle w:val="FootnoteText"/>
        <w:jc w:val="both"/>
        <w:rPr>
          <w:rFonts w:asciiTheme="majorHAnsi" w:hAnsiTheme="majorHAnsi"/>
          <w:color w:val="auto"/>
          <w:sz w:val="16"/>
          <w:szCs w:val="16"/>
        </w:rPr>
      </w:pPr>
      <w:r w:rsidRPr="0032721B">
        <w:rPr>
          <w:rFonts w:asciiTheme="majorHAnsi" w:hAnsiTheme="majorHAnsi"/>
          <w:color w:val="auto"/>
          <w:sz w:val="16"/>
          <w:szCs w:val="16"/>
          <w:lang w:val="es-US"/>
        </w:rPr>
        <w:tab/>
      </w:r>
      <w:r w:rsidR="0084056C" w:rsidRPr="00BD0E48">
        <w:rPr>
          <w:rStyle w:val="FootnoteReference"/>
          <w:rFonts w:asciiTheme="majorHAnsi" w:hAnsiTheme="majorHAnsi"/>
          <w:color w:val="auto"/>
          <w:sz w:val="16"/>
          <w:szCs w:val="16"/>
        </w:rPr>
        <w:footnoteRef/>
      </w:r>
      <w:r w:rsidR="0084056C"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 xml:space="preserve">Hereinafter </w:t>
      </w:r>
      <w:r w:rsidR="0084056C" w:rsidRPr="00C757AC">
        <w:rPr>
          <w:rFonts w:asciiTheme="majorHAnsi" w:hAnsiTheme="majorHAnsi"/>
          <w:color w:val="auto"/>
          <w:sz w:val="16"/>
          <w:szCs w:val="16"/>
        </w:rPr>
        <w:t>“</w:t>
      </w:r>
      <w:r w:rsidR="00C757AC" w:rsidRPr="00C757AC">
        <w:rPr>
          <w:rFonts w:asciiTheme="majorHAnsi" w:hAnsiTheme="majorHAnsi"/>
          <w:color w:val="auto"/>
          <w:sz w:val="16"/>
          <w:szCs w:val="16"/>
        </w:rPr>
        <w:t>the American Convention</w:t>
      </w:r>
      <w:r w:rsidR="0084056C" w:rsidRPr="00C757AC">
        <w:rPr>
          <w:rFonts w:asciiTheme="majorHAnsi" w:hAnsiTheme="majorHAnsi"/>
          <w:color w:val="auto"/>
          <w:sz w:val="16"/>
          <w:szCs w:val="16"/>
        </w:rPr>
        <w:t>” o</w:t>
      </w:r>
      <w:r w:rsidR="00C757AC" w:rsidRPr="00C757AC">
        <w:rPr>
          <w:rFonts w:asciiTheme="majorHAnsi" w:hAnsiTheme="majorHAnsi"/>
          <w:color w:val="auto"/>
          <w:sz w:val="16"/>
          <w:szCs w:val="16"/>
        </w:rPr>
        <w:t>r</w:t>
      </w:r>
      <w:r w:rsidR="0084056C"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the</w:t>
      </w:r>
      <w:r w:rsidR="0084056C" w:rsidRPr="00C757AC">
        <w:rPr>
          <w:rFonts w:asciiTheme="majorHAnsi" w:hAnsiTheme="majorHAnsi"/>
          <w:color w:val="auto"/>
          <w:sz w:val="16"/>
          <w:szCs w:val="16"/>
        </w:rPr>
        <w:t xml:space="preserve"> Conven</w:t>
      </w:r>
      <w:r w:rsidR="00C757AC" w:rsidRPr="00C757AC">
        <w:rPr>
          <w:rFonts w:asciiTheme="majorHAnsi" w:hAnsiTheme="majorHAnsi"/>
          <w:color w:val="auto"/>
          <w:sz w:val="16"/>
          <w:szCs w:val="16"/>
        </w:rPr>
        <w:t>tion</w:t>
      </w:r>
      <w:r w:rsidR="0084056C" w:rsidRPr="00C757AC">
        <w:rPr>
          <w:rFonts w:asciiTheme="majorHAnsi" w:hAnsiTheme="majorHAnsi"/>
          <w:color w:val="auto"/>
          <w:sz w:val="16"/>
          <w:szCs w:val="16"/>
        </w:rPr>
        <w:t>”.</w:t>
      </w:r>
    </w:p>
  </w:footnote>
  <w:footnote w:id="4">
    <w:p w14:paraId="79F07139" w14:textId="16555CF0" w:rsidR="0084056C" w:rsidRPr="00C757AC" w:rsidRDefault="00F807AA" w:rsidP="00DE17E2">
      <w:pPr>
        <w:pStyle w:val="FootnoteText"/>
        <w:jc w:val="both"/>
        <w:rPr>
          <w:rFonts w:asciiTheme="majorHAnsi" w:hAnsiTheme="majorHAnsi"/>
          <w:color w:val="auto"/>
          <w:sz w:val="16"/>
          <w:szCs w:val="16"/>
        </w:rPr>
      </w:pPr>
      <w:r>
        <w:rPr>
          <w:rFonts w:asciiTheme="majorHAnsi" w:hAnsiTheme="majorHAnsi"/>
          <w:color w:val="auto"/>
          <w:sz w:val="16"/>
          <w:szCs w:val="16"/>
        </w:rPr>
        <w:tab/>
      </w:r>
      <w:r w:rsidR="0084056C" w:rsidRPr="00BD0E48">
        <w:rPr>
          <w:rStyle w:val="FootnoteReference"/>
          <w:rFonts w:asciiTheme="majorHAnsi" w:hAnsiTheme="majorHAnsi"/>
          <w:color w:val="auto"/>
          <w:sz w:val="16"/>
          <w:szCs w:val="16"/>
        </w:rPr>
        <w:footnoteRef/>
      </w:r>
      <w:r w:rsidR="0084056C" w:rsidRPr="00C757AC">
        <w:rPr>
          <w:rFonts w:asciiTheme="majorHAnsi" w:hAnsiTheme="majorHAnsi"/>
          <w:color w:val="auto"/>
          <w:sz w:val="16"/>
          <w:szCs w:val="16"/>
        </w:rPr>
        <w:t xml:space="preserve"> </w:t>
      </w:r>
      <w:r w:rsidR="00C757AC" w:rsidRPr="00C757AC">
        <w:rPr>
          <w:rFonts w:asciiTheme="majorHAnsi" w:hAnsiTheme="majorHAnsi"/>
          <w:color w:val="auto"/>
          <w:sz w:val="16"/>
          <w:szCs w:val="16"/>
        </w:rPr>
        <w:t xml:space="preserve">The observations presented by each party were dully </w:t>
      </w:r>
      <w:r w:rsidR="000173CD" w:rsidRPr="00C757AC">
        <w:rPr>
          <w:rFonts w:asciiTheme="majorHAnsi" w:hAnsiTheme="majorHAnsi"/>
          <w:color w:val="auto"/>
          <w:sz w:val="16"/>
          <w:szCs w:val="16"/>
        </w:rPr>
        <w:t>transmitted</w:t>
      </w:r>
      <w:r w:rsidR="00C757AC" w:rsidRPr="00C757AC">
        <w:rPr>
          <w:rFonts w:asciiTheme="majorHAnsi" w:hAnsiTheme="majorHAnsi"/>
          <w:color w:val="auto"/>
          <w:sz w:val="16"/>
          <w:szCs w:val="16"/>
        </w:rPr>
        <w:t xml:space="preserve"> to the opposing party.</w:t>
      </w:r>
    </w:p>
  </w:footnote>
  <w:footnote w:id="5">
    <w:p w14:paraId="4F91980C" w14:textId="35E0D5B7" w:rsidR="000173CD" w:rsidRPr="000173CD" w:rsidRDefault="000173CD">
      <w:pPr>
        <w:pStyle w:val="FootnoteText"/>
        <w:rPr>
          <w:rFonts w:ascii="Cambria" w:hAnsi="Cambria"/>
          <w:sz w:val="16"/>
          <w:szCs w:val="16"/>
        </w:rPr>
      </w:pPr>
      <w:r w:rsidRPr="000173CD">
        <w:rPr>
          <w:rStyle w:val="FootnoteReference"/>
          <w:rFonts w:ascii="Cambria" w:hAnsi="Cambria"/>
          <w:sz w:val="16"/>
          <w:szCs w:val="16"/>
        </w:rPr>
        <w:footnoteRef/>
      </w:r>
      <w:r w:rsidRPr="000173CD">
        <w:rPr>
          <w:rFonts w:ascii="Cambria" w:hAnsi="Cambria"/>
          <w:sz w:val="16"/>
          <w:szCs w:val="16"/>
        </w:rPr>
        <w:t xml:space="preserve"> </w:t>
      </w:r>
      <w:proofErr w:type="spellStart"/>
      <w:r w:rsidRPr="000173CD">
        <w:rPr>
          <w:rFonts w:ascii="Cambria" w:hAnsi="Cambria"/>
          <w:sz w:val="16"/>
          <w:szCs w:val="16"/>
        </w:rPr>
        <w:t>Labour</w:t>
      </w:r>
      <w:proofErr w:type="spellEnd"/>
      <w:r w:rsidRPr="000173CD">
        <w:rPr>
          <w:rFonts w:ascii="Cambria" w:hAnsi="Cambria"/>
          <w:sz w:val="16"/>
          <w:szCs w:val="16"/>
        </w:rPr>
        <w:t xml:space="preserve"> and Social Security Procedure Code. Article 69. Appropriateness of the query. In addition to these resources there will be a degree of jurisdiction called "consultation". The judgments of first instance, when they are totally against to the claims submitted by the worker, will necessarily be consulted with the respective Labor </w:t>
      </w:r>
      <w:proofErr w:type="gramStart"/>
      <w:r w:rsidRPr="000173CD">
        <w:rPr>
          <w:rFonts w:ascii="Cambria" w:hAnsi="Cambria"/>
          <w:sz w:val="16"/>
          <w:szCs w:val="16"/>
        </w:rPr>
        <w:t>Court, if</w:t>
      </w:r>
      <w:proofErr w:type="gramEnd"/>
      <w:r w:rsidRPr="000173CD">
        <w:rPr>
          <w:rFonts w:ascii="Cambria" w:hAnsi="Cambria"/>
          <w:sz w:val="16"/>
          <w:szCs w:val="16"/>
        </w:rPr>
        <w:t xml:space="preserve"> they are not appealed. First instance judgments will also be consulted when they are against to the State, the </w:t>
      </w:r>
      <w:proofErr w:type="gramStart"/>
      <w:r w:rsidRPr="000173CD">
        <w:rPr>
          <w:rFonts w:ascii="Cambria" w:hAnsi="Cambria"/>
          <w:sz w:val="16"/>
          <w:szCs w:val="16"/>
        </w:rPr>
        <w:t>Department</w:t>
      </w:r>
      <w:proofErr w:type="gramEnd"/>
      <w:r w:rsidRPr="000173CD">
        <w:rPr>
          <w:rFonts w:ascii="Cambria" w:hAnsi="Cambria"/>
          <w:sz w:val="16"/>
          <w:szCs w:val="16"/>
        </w:rPr>
        <w:t xml:space="preserve"> or the Municipality.</w:t>
      </w:r>
    </w:p>
  </w:footnote>
  <w:footnote w:id="6">
    <w:p w14:paraId="66EA245D" w14:textId="63DB2379" w:rsidR="000173CD" w:rsidRPr="000173CD" w:rsidRDefault="00F807AA">
      <w:pPr>
        <w:pStyle w:val="FootnoteText"/>
        <w:rPr>
          <w:rFonts w:ascii="Cambria" w:hAnsi="Cambria"/>
          <w:sz w:val="16"/>
          <w:szCs w:val="16"/>
          <w:lang w:val="es-ES"/>
        </w:rPr>
      </w:pPr>
      <w:r w:rsidRPr="0032721B">
        <w:rPr>
          <w:rFonts w:ascii="Cambria" w:hAnsi="Cambria"/>
          <w:sz w:val="16"/>
          <w:szCs w:val="16"/>
        </w:rPr>
        <w:tab/>
      </w:r>
      <w:r w:rsidR="000173CD" w:rsidRPr="000173CD">
        <w:rPr>
          <w:rStyle w:val="FootnoteReference"/>
          <w:rFonts w:ascii="Cambria" w:hAnsi="Cambria"/>
          <w:sz w:val="16"/>
          <w:szCs w:val="16"/>
        </w:rPr>
        <w:footnoteRef/>
      </w:r>
      <w:r w:rsidR="000173CD" w:rsidRPr="000173CD">
        <w:rPr>
          <w:rFonts w:ascii="Cambria" w:hAnsi="Cambria"/>
          <w:sz w:val="16"/>
          <w:szCs w:val="16"/>
          <w:lang w:val="es-ES"/>
        </w:rPr>
        <w:t xml:space="preserve"> IACHR, </w:t>
      </w:r>
      <w:proofErr w:type="spellStart"/>
      <w:r w:rsidR="000173CD" w:rsidRPr="000173CD">
        <w:rPr>
          <w:rFonts w:ascii="Cambria" w:hAnsi="Cambria"/>
          <w:sz w:val="16"/>
          <w:szCs w:val="16"/>
          <w:lang w:val="es-ES"/>
        </w:rPr>
        <w:t>Report</w:t>
      </w:r>
      <w:proofErr w:type="spellEnd"/>
      <w:r w:rsidR="000173CD" w:rsidRPr="000173CD">
        <w:rPr>
          <w:rFonts w:ascii="Cambria" w:hAnsi="Cambria"/>
          <w:sz w:val="16"/>
          <w:szCs w:val="16"/>
          <w:lang w:val="es-ES"/>
        </w:rPr>
        <w:t xml:space="preserve"> N 83/05 (</w:t>
      </w:r>
      <w:proofErr w:type="spellStart"/>
      <w:r w:rsidR="000173CD" w:rsidRPr="000173CD">
        <w:rPr>
          <w:rFonts w:ascii="Cambria" w:hAnsi="Cambria"/>
          <w:sz w:val="16"/>
          <w:szCs w:val="16"/>
          <w:lang w:val="es-ES"/>
        </w:rPr>
        <w:t>Inadmissibility</w:t>
      </w:r>
      <w:proofErr w:type="spellEnd"/>
      <w:r w:rsidR="000173CD" w:rsidRPr="000173CD">
        <w:rPr>
          <w:rFonts w:ascii="Cambria" w:hAnsi="Cambria"/>
          <w:sz w:val="16"/>
          <w:szCs w:val="16"/>
          <w:lang w:val="es-ES"/>
        </w:rPr>
        <w:t xml:space="preserve">), </w:t>
      </w:r>
      <w:proofErr w:type="spellStart"/>
      <w:r w:rsidR="00267FC3">
        <w:rPr>
          <w:rFonts w:ascii="Cambria" w:hAnsi="Cambria"/>
          <w:sz w:val="16"/>
          <w:szCs w:val="16"/>
          <w:lang w:val="es-ES"/>
        </w:rPr>
        <w:t>P</w:t>
      </w:r>
      <w:r w:rsidR="000173CD" w:rsidRPr="000173CD">
        <w:rPr>
          <w:rFonts w:ascii="Cambria" w:hAnsi="Cambria"/>
          <w:sz w:val="16"/>
          <w:szCs w:val="16"/>
          <w:lang w:val="es-ES"/>
        </w:rPr>
        <w:t>etition</w:t>
      </w:r>
      <w:proofErr w:type="spellEnd"/>
      <w:r w:rsidR="000173CD" w:rsidRPr="000173CD">
        <w:rPr>
          <w:rFonts w:ascii="Cambria" w:hAnsi="Cambria"/>
          <w:sz w:val="16"/>
          <w:szCs w:val="16"/>
          <w:lang w:val="es-ES"/>
        </w:rPr>
        <w:t xml:space="preserve"> 664/00, Carlos Alberto López Urquía, Honduras, </w:t>
      </w:r>
      <w:proofErr w:type="spellStart"/>
      <w:r w:rsidR="000173CD" w:rsidRPr="000173CD">
        <w:rPr>
          <w:rFonts w:ascii="Cambria" w:hAnsi="Cambria"/>
          <w:sz w:val="16"/>
          <w:szCs w:val="16"/>
          <w:lang w:val="es-ES"/>
        </w:rPr>
        <w:t>October</w:t>
      </w:r>
      <w:proofErr w:type="spellEnd"/>
      <w:r w:rsidR="000173CD" w:rsidRPr="000173CD">
        <w:rPr>
          <w:rFonts w:ascii="Cambria" w:hAnsi="Cambria"/>
          <w:sz w:val="16"/>
          <w:szCs w:val="16"/>
          <w:lang w:val="es-ES"/>
        </w:rPr>
        <w:t xml:space="preserve"> 24, 2005, par. 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00DB" w14:textId="77777777" w:rsidR="0084056C" w:rsidRDefault="0084056C" w:rsidP="001E4EB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4056C" w:rsidRDefault="00840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401BB" w14:textId="7E6931ED" w:rsidR="0084056C" w:rsidRDefault="0084056C" w:rsidP="00A50FCF">
    <w:pPr>
      <w:pStyle w:val="Header"/>
      <w:tabs>
        <w:tab w:val="clear" w:pos="4320"/>
        <w:tab w:val="clear" w:pos="8640"/>
      </w:tabs>
      <w:jc w:val="center"/>
      <w:rPr>
        <w:sz w:val="22"/>
        <w:szCs w:val="22"/>
      </w:rPr>
    </w:pPr>
    <w:r>
      <w:rPr>
        <w:noProof/>
        <w:sz w:val="22"/>
        <w:szCs w:val="22"/>
      </w:rPr>
      <w:drawing>
        <wp:inline distT="0" distB="0" distL="0" distR="0" wp14:anchorId="24AD531A" wp14:editId="2859C59E">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CF3204D" w14:textId="77777777" w:rsidR="0084056C" w:rsidRPr="00EC7D62" w:rsidRDefault="00DE1C5F" w:rsidP="00A50FCF">
    <w:pPr>
      <w:pStyle w:val="Header"/>
      <w:tabs>
        <w:tab w:val="clear" w:pos="4320"/>
        <w:tab w:val="clear" w:pos="8640"/>
      </w:tabs>
      <w:jc w:val="center"/>
      <w:rPr>
        <w:sz w:val="22"/>
        <w:szCs w:val="22"/>
      </w:rPr>
    </w:pPr>
    <w:r>
      <w:rPr>
        <w:noProof/>
        <w:sz w:val="22"/>
        <w:szCs w:val="22"/>
        <w:bdr w:val="nil"/>
      </w:rPr>
      <w:pict w14:anchorId="628DA432">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5649E14"/>
    <w:lvl w:ilvl="0" w:tplc="E3AA9152">
      <w:start w:val="1"/>
      <w:numFmt w:val="decimal"/>
      <w:lvlText w:val="%1."/>
      <w:lvlJc w:val="left"/>
      <w:pPr>
        <w:tabs>
          <w:tab w:val="num" w:pos="720"/>
        </w:tabs>
        <w:ind w:left="0" w:firstLine="720"/>
      </w:pPr>
      <w:rPr>
        <w:rFonts w:hint="default"/>
        <w:color w:val="auto"/>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34A78E9"/>
    <w:multiLevelType w:val="hybridMultilevel"/>
    <w:tmpl w:val="5FE0AB60"/>
    <w:lvl w:ilvl="0" w:tplc="AF2A6E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D35036D"/>
    <w:multiLevelType w:val="hybridMultilevel"/>
    <w:tmpl w:val="4E162E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2"/>
  </w:num>
  <w:num w:numId="4">
    <w:abstractNumId w:val="20"/>
  </w:num>
  <w:num w:numId="5">
    <w:abstractNumId w:val="46"/>
  </w:num>
  <w:num w:numId="6">
    <w:abstractNumId w:val="25"/>
  </w:num>
  <w:num w:numId="7">
    <w:abstractNumId w:val="6"/>
  </w:num>
  <w:num w:numId="8">
    <w:abstractNumId w:val="16"/>
  </w:num>
  <w:num w:numId="9">
    <w:abstractNumId w:val="40"/>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8"/>
  </w:num>
  <w:num w:numId="53">
    <w:abstractNumId w:val="49"/>
  </w:num>
  <w:num w:numId="54">
    <w:abstractNumId w:val="43"/>
  </w:num>
  <w:num w:numId="55">
    <w:abstractNumId w:val="4"/>
  </w:num>
  <w:num w:numId="56">
    <w:abstractNumId w:val="41"/>
  </w:num>
  <w:num w:numId="57">
    <w:abstractNumId w:val="44"/>
  </w:num>
  <w:num w:numId="58">
    <w:abstractNumId w:val="3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47"/>
    <w:rsid w:val="00000CDA"/>
    <w:rsid w:val="0000442B"/>
    <w:rsid w:val="000065D0"/>
    <w:rsid w:val="00006B74"/>
    <w:rsid w:val="00006E1F"/>
    <w:rsid w:val="000070D7"/>
    <w:rsid w:val="000104F5"/>
    <w:rsid w:val="00014CCE"/>
    <w:rsid w:val="00015701"/>
    <w:rsid w:val="00015FBD"/>
    <w:rsid w:val="000173CD"/>
    <w:rsid w:val="0001788C"/>
    <w:rsid w:val="0002186F"/>
    <w:rsid w:val="000307C6"/>
    <w:rsid w:val="000321CA"/>
    <w:rsid w:val="000337EF"/>
    <w:rsid w:val="00040C3A"/>
    <w:rsid w:val="000419AD"/>
    <w:rsid w:val="00043F12"/>
    <w:rsid w:val="00047DCF"/>
    <w:rsid w:val="0005077B"/>
    <w:rsid w:val="00056A76"/>
    <w:rsid w:val="00056D73"/>
    <w:rsid w:val="00060070"/>
    <w:rsid w:val="00061FF7"/>
    <w:rsid w:val="000716C5"/>
    <w:rsid w:val="00075E23"/>
    <w:rsid w:val="00076DE4"/>
    <w:rsid w:val="00077982"/>
    <w:rsid w:val="00077FC2"/>
    <w:rsid w:val="000809B6"/>
    <w:rsid w:val="00081E56"/>
    <w:rsid w:val="00082A7B"/>
    <w:rsid w:val="000855AB"/>
    <w:rsid w:val="0009116E"/>
    <w:rsid w:val="0009344A"/>
    <w:rsid w:val="0009767E"/>
    <w:rsid w:val="000A03C2"/>
    <w:rsid w:val="000A3254"/>
    <w:rsid w:val="000A392E"/>
    <w:rsid w:val="000A5346"/>
    <w:rsid w:val="000A575F"/>
    <w:rsid w:val="000A73B3"/>
    <w:rsid w:val="000B0579"/>
    <w:rsid w:val="000B4945"/>
    <w:rsid w:val="000C1C69"/>
    <w:rsid w:val="000C2ACB"/>
    <w:rsid w:val="000D10DB"/>
    <w:rsid w:val="000D41AC"/>
    <w:rsid w:val="000E2789"/>
    <w:rsid w:val="000E4629"/>
    <w:rsid w:val="000E5EB5"/>
    <w:rsid w:val="000F2CFD"/>
    <w:rsid w:val="000F35ED"/>
    <w:rsid w:val="0010356D"/>
    <w:rsid w:val="00105E7E"/>
    <w:rsid w:val="00107131"/>
    <w:rsid w:val="0010736F"/>
    <w:rsid w:val="00111A8A"/>
    <w:rsid w:val="00113F73"/>
    <w:rsid w:val="00121CC2"/>
    <w:rsid w:val="001226B2"/>
    <w:rsid w:val="0012735C"/>
    <w:rsid w:val="00131D8B"/>
    <w:rsid w:val="00132C13"/>
    <w:rsid w:val="00133EE5"/>
    <w:rsid w:val="00134585"/>
    <w:rsid w:val="00136E3D"/>
    <w:rsid w:val="00143EFE"/>
    <w:rsid w:val="001479C0"/>
    <w:rsid w:val="0015330B"/>
    <w:rsid w:val="001540FD"/>
    <w:rsid w:val="00156585"/>
    <w:rsid w:val="00166DBA"/>
    <w:rsid w:val="00167A34"/>
    <w:rsid w:val="00175636"/>
    <w:rsid w:val="00175B41"/>
    <w:rsid w:val="00177EEF"/>
    <w:rsid w:val="001836CC"/>
    <w:rsid w:val="001850E5"/>
    <w:rsid w:val="001A3671"/>
    <w:rsid w:val="001A414B"/>
    <w:rsid w:val="001A43BB"/>
    <w:rsid w:val="001A7870"/>
    <w:rsid w:val="001B3A00"/>
    <w:rsid w:val="001B41A8"/>
    <w:rsid w:val="001C131B"/>
    <w:rsid w:val="001C1B41"/>
    <w:rsid w:val="001D1B26"/>
    <w:rsid w:val="001D65EF"/>
    <w:rsid w:val="001E0899"/>
    <w:rsid w:val="001E49E7"/>
    <w:rsid w:val="001E4EB2"/>
    <w:rsid w:val="001F149E"/>
    <w:rsid w:val="001F271B"/>
    <w:rsid w:val="001F37B7"/>
    <w:rsid w:val="001F41F3"/>
    <w:rsid w:val="001F6353"/>
    <w:rsid w:val="001F7201"/>
    <w:rsid w:val="00204931"/>
    <w:rsid w:val="00205B94"/>
    <w:rsid w:val="00206281"/>
    <w:rsid w:val="0021074B"/>
    <w:rsid w:val="002144CE"/>
    <w:rsid w:val="0022337B"/>
    <w:rsid w:val="00223A29"/>
    <w:rsid w:val="002250A3"/>
    <w:rsid w:val="00231294"/>
    <w:rsid w:val="0023328E"/>
    <w:rsid w:val="00235217"/>
    <w:rsid w:val="002362D3"/>
    <w:rsid w:val="00236866"/>
    <w:rsid w:val="002437E9"/>
    <w:rsid w:val="00246553"/>
    <w:rsid w:val="00246D1F"/>
    <w:rsid w:val="00247403"/>
    <w:rsid w:val="00247542"/>
    <w:rsid w:val="00257663"/>
    <w:rsid w:val="00260B98"/>
    <w:rsid w:val="0026537A"/>
    <w:rsid w:val="00266B61"/>
    <w:rsid w:val="00266BD3"/>
    <w:rsid w:val="00266EAF"/>
    <w:rsid w:val="0026712A"/>
    <w:rsid w:val="00267FC3"/>
    <w:rsid w:val="002704DB"/>
    <w:rsid w:val="00277BDA"/>
    <w:rsid w:val="00290ADD"/>
    <w:rsid w:val="00291B5E"/>
    <w:rsid w:val="00293210"/>
    <w:rsid w:val="0029338C"/>
    <w:rsid w:val="0029575A"/>
    <w:rsid w:val="002A0AAE"/>
    <w:rsid w:val="002A57F5"/>
    <w:rsid w:val="002A5820"/>
    <w:rsid w:val="002B770B"/>
    <w:rsid w:val="002C1609"/>
    <w:rsid w:val="002C3350"/>
    <w:rsid w:val="002D133D"/>
    <w:rsid w:val="002D2B26"/>
    <w:rsid w:val="002D7EA2"/>
    <w:rsid w:val="002E0632"/>
    <w:rsid w:val="002E187C"/>
    <w:rsid w:val="002E50A8"/>
    <w:rsid w:val="002E51E5"/>
    <w:rsid w:val="002E5495"/>
    <w:rsid w:val="002E7512"/>
    <w:rsid w:val="002F0EA1"/>
    <w:rsid w:val="00302733"/>
    <w:rsid w:val="00310AE8"/>
    <w:rsid w:val="00310C18"/>
    <w:rsid w:val="0031104C"/>
    <w:rsid w:val="003121D5"/>
    <w:rsid w:val="00313E65"/>
    <w:rsid w:val="00314078"/>
    <w:rsid w:val="0031424E"/>
    <w:rsid w:val="0031535D"/>
    <w:rsid w:val="003205A4"/>
    <w:rsid w:val="003205EB"/>
    <w:rsid w:val="003239B8"/>
    <w:rsid w:val="00326117"/>
    <w:rsid w:val="0032721B"/>
    <w:rsid w:val="0033169F"/>
    <w:rsid w:val="00340E41"/>
    <w:rsid w:val="0034224A"/>
    <w:rsid w:val="00343438"/>
    <w:rsid w:val="00344977"/>
    <w:rsid w:val="00346C95"/>
    <w:rsid w:val="00346F52"/>
    <w:rsid w:val="00351155"/>
    <w:rsid w:val="00356185"/>
    <w:rsid w:val="00360380"/>
    <w:rsid w:val="003616E0"/>
    <w:rsid w:val="0036293A"/>
    <w:rsid w:val="0036477A"/>
    <w:rsid w:val="00367212"/>
    <w:rsid w:val="0037212E"/>
    <w:rsid w:val="00372BF0"/>
    <w:rsid w:val="00372C04"/>
    <w:rsid w:val="0037436A"/>
    <w:rsid w:val="0037519E"/>
    <w:rsid w:val="00386C6C"/>
    <w:rsid w:val="00386CF0"/>
    <w:rsid w:val="00392E48"/>
    <w:rsid w:val="00396246"/>
    <w:rsid w:val="003A1CA5"/>
    <w:rsid w:val="003A27C1"/>
    <w:rsid w:val="003A6337"/>
    <w:rsid w:val="003A6E47"/>
    <w:rsid w:val="003B3A0D"/>
    <w:rsid w:val="003B4FF6"/>
    <w:rsid w:val="003B70FB"/>
    <w:rsid w:val="003B778F"/>
    <w:rsid w:val="003C1389"/>
    <w:rsid w:val="003C676B"/>
    <w:rsid w:val="003D0A55"/>
    <w:rsid w:val="003D3BC2"/>
    <w:rsid w:val="003E6CA1"/>
    <w:rsid w:val="003F1B33"/>
    <w:rsid w:val="003F6BB3"/>
    <w:rsid w:val="00400397"/>
    <w:rsid w:val="004065A8"/>
    <w:rsid w:val="00415820"/>
    <w:rsid w:val="004165C2"/>
    <w:rsid w:val="0042259F"/>
    <w:rsid w:val="00424D6B"/>
    <w:rsid w:val="004304AD"/>
    <w:rsid w:val="00430F5F"/>
    <w:rsid w:val="004315E5"/>
    <w:rsid w:val="00432D17"/>
    <w:rsid w:val="004335E0"/>
    <w:rsid w:val="0043477C"/>
    <w:rsid w:val="004411C7"/>
    <w:rsid w:val="00441ECB"/>
    <w:rsid w:val="0044348C"/>
    <w:rsid w:val="00445193"/>
    <w:rsid w:val="00446B85"/>
    <w:rsid w:val="00447CCF"/>
    <w:rsid w:val="004565BA"/>
    <w:rsid w:val="00462C1B"/>
    <w:rsid w:val="004636A9"/>
    <w:rsid w:val="00467B7E"/>
    <w:rsid w:val="00472D9F"/>
    <w:rsid w:val="004736CB"/>
    <w:rsid w:val="00473BB4"/>
    <w:rsid w:val="00474153"/>
    <w:rsid w:val="00475A5E"/>
    <w:rsid w:val="00475C92"/>
    <w:rsid w:val="00477592"/>
    <w:rsid w:val="00486F1C"/>
    <w:rsid w:val="00491470"/>
    <w:rsid w:val="0049419D"/>
    <w:rsid w:val="00494D7B"/>
    <w:rsid w:val="004979D3"/>
    <w:rsid w:val="00497F80"/>
    <w:rsid w:val="004A59CC"/>
    <w:rsid w:val="004A6A54"/>
    <w:rsid w:val="004B2FB9"/>
    <w:rsid w:val="004B4D68"/>
    <w:rsid w:val="004B53EC"/>
    <w:rsid w:val="004C20D2"/>
    <w:rsid w:val="004C2312"/>
    <w:rsid w:val="004C36E0"/>
    <w:rsid w:val="004C4B62"/>
    <w:rsid w:val="004C54C9"/>
    <w:rsid w:val="004C5ADC"/>
    <w:rsid w:val="004C616A"/>
    <w:rsid w:val="004D09FC"/>
    <w:rsid w:val="004D26AF"/>
    <w:rsid w:val="004D4ABA"/>
    <w:rsid w:val="004D6025"/>
    <w:rsid w:val="004E19B1"/>
    <w:rsid w:val="004E2649"/>
    <w:rsid w:val="004E7FEE"/>
    <w:rsid w:val="00501399"/>
    <w:rsid w:val="00501652"/>
    <w:rsid w:val="00505D5E"/>
    <w:rsid w:val="0050633D"/>
    <w:rsid w:val="00507BC4"/>
    <w:rsid w:val="005105D2"/>
    <w:rsid w:val="00511AA1"/>
    <w:rsid w:val="005128E4"/>
    <w:rsid w:val="005133DB"/>
    <w:rsid w:val="005203E1"/>
    <w:rsid w:val="00523A57"/>
    <w:rsid w:val="00524464"/>
    <w:rsid w:val="00525560"/>
    <w:rsid w:val="00533B0A"/>
    <w:rsid w:val="00534373"/>
    <w:rsid w:val="00537786"/>
    <w:rsid w:val="005415E6"/>
    <w:rsid w:val="00542007"/>
    <w:rsid w:val="00542AA5"/>
    <w:rsid w:val="00543230"/>
    <w:rsid w:val="00544216"/>
    <w:rsid w:val="00544C49"/>
    <w:rsid w:val="00546C11"/>
    <w:rsid w:val="00547A4E"/>
    <w:rsid w:val="005516A1"/>
    <w:rsid w:val="00552547"/>
    <w:rsid w:val="00554887"/>
    <w:rsid w:val="005553D9"/>
    <w:rsid w:val="005611FB"/>
    <w:rsid w:val="00562984"/>
    <w:rsid w:val="00563557"/>
    <w:rsid w:val="00566FC0"/>
    <w:rsid w:val="0057402A"/>
    <w:rsid w:val="00574CB7"/>
    <w:rsid w:val="00574D9B"/>
    <w:rsid w:val="005771D0"/>
    <w:rsid w:val="005808BE"/>
    <w:rsid w:val="005835D7"/>
    <w:rsid w:val="0059191A"/>
    <w:rsid w:val="005921FF"/>
    <w:rsid w:val="00597ECB"/>
    <w:rsid w:val="005A0DA4"/>
    <w:rsid w:val="005A110D"/>
    <w:rsid w:val="005A249C"/>
    <w:rsid w:val="005A24ED"/>
    <w:rsid w:val="005A6D0E"/>
    <w:rsid w:val="005B37CC"/>
    <w:rsid w:val="005B4356"/>
    <w:rsid w:val="005B52B0"/>
    <w:rsid w:val="005B6806"/>
    <w:rsid w:val="005B6D22"/>
    <w:rsid w:val="005C261A"/>
    <w:rsid w:val="005C37DD"/>
    <w:rsid w:val="005C4225"/>
    <w:rsid w:val="005C60C8"/>
    <w:rsid w:val="005C7989"/>
    <w:rsid w:val="005E0B65"/>
    <w:rsid w:val="005E11B2"/>
    <w:rsid w:val="005E46EE"/>
    <w:rsid w:val="005E62CA"/>
    <w:rsid w:val="005F0DAD"/>
    <w:rsid w:val="005F0F33"/>
    <w:rsid w:val="005F4DF9"/>
    <w:rsid w:val="00600DEB"/>
    <w:rsid w:val="006015ED"/>
    <w:rsid w:val="0060477F"/>
    <w:rsid w:val="00605E68"/>
    <w:rsid w:val="006066D8"/>
    <w:rsid w:val="00611A80"/>
    <w:rsid w:val="00615EBA"/>
    <w:rsid w:val="0061721B"/>
    <w:rsid w:val="0061754C"/>
    <w:rsid w:val="006277DE"/>
    <w:rsid w:val="00627C9F"/>
    <w:rsid w:val="006311E9"/>
    <w:rsid w:val="00631E1D"/>
    <w:rsid w:val="00632354"/>
    <w:rsid w:val="00642810"/>
    <w:rsid w:val="00647756"/>
    <w:rsid w:val="006509DA"/>
    <w:rsid w:val="00652333"/>
    <w:rsid w:val="00672146"/>
    <w:rsid w:val="00675259"/>
    <w:rsid w:val="0068009E"/>
    <w:rsid w:val="006819E9"/>
    <w:rsid w:val="00686471"/>
    <w:rsid w:val="00691BBE"/>
    <w:rsid w:val="00692219"/>
    <w:rsid w:val="006923AA"/>
    <w:rsid w:val="006939D0"/>
    <w:rsid w:val="006A17D2"/>
    <w:rsid w:val="006A2653"/>
    <w:rsid w:val="006A3F47"/>
    <w:rsid w:val="006A73E6"/>
    <w:rsid w:val="006B2D5C"/>
    <w:rsid w:val="006B5C06"/>
    <w:rsid w:val="006B782D"/>
    <w:rsid w:val="006C2D44"/>
    <w:rsid w:val="006C4EB1"/>
    <w:rsid w:val="006C56A3"/>
    <w:rsid w:val="006D58A6"/>
    <w:rsid w:val="006D594B"/>
    <w:rsid w:val="006D7FFE"/>
    <w:rsid w:val="006E0166"/>
    <w:rsid w:val="006E2A97"/>
    <w:rsid w:val="006E7B34"/>
    <w:rsid w:val="0070395B"/>
    <w:rsid w:val="00703E77"/>
    <w:rsid w:val="0070697F"/>
    <w:rsid w:val="00712E83"/>
    <w:rsid w:val="00714DA7"/>
    <w:rsid w:val="0072199C"/>
    <w:rsid w:val="00722C9F"/>
    <w:rsid w:val="00722EE2"/>
    <w:rsid w:val="007253B8"/>
    <w:rsid w:val="007304F8"/>
    <w:rsid w:val="00733192"/>
    <w:rsid w:val="00733B70"/>
    <w:rsid w:val="0073598C"/>
    <w:rsid w:val="0073741F"/>
    <w:rsid w:val="00741349"/>
    <w:rsid w:val="007509BE"/>
    <w:rsid w:val="00750E45"/>
    <w:rsid w:val="00753CAE"/>
    <w:rsid w:val="00755F1A"/>
    <w:rsid w:val="00760F84"/>
    <w:rsid w:val="0076643F"/>
    <w:rsid w:val="00767048"/>
    <w:rsid w:val="00770F85"/>
    <w:rsid w:val="00777F63"/>
    <w:rsid w:val="00780E26"/>
    <w:rsid w:val="007816E3"/>
    <w:rsid w:val="007852B5"/>
    <w:rsid w:val="007901D9"/>
    <w:rsid w:val="007916F8"/>
    <w:rsid w:val="00794C8C"/>
    <w:rsid w:val="00797E15"/>
    <w:rsid w:val="007A5817"/>
    <w:rsid w:val="007B05C4"/>
    <w:rsid w:val="007B60E9"/>
    <w:rsid w:val="007B6CC3"/>
    <w:rsid w:val="007C1F7F"/>
    <w:rsid w:val="007C3334"/>
    <w:rsid w:val="007C402A"/>
    <w:rsid w:val="007D0572"/>
    <w:rsid w:val="007D2B98"/>
    <w:rsid w:val="007D2E7B"/>
    <w:rsid w:val="007D659C"/>
    <w:rsid w:val="007D7C02"/>
    <w:rsid w:val="007E1674"/>
    <w:rsid w:val="007E21BC"/>
    <w:rsid w:val="007E370C"/>
    <w:rsid w:val="007E53EA"/>
    <w:rsid w:val="007E58FE"/>
    <w:rsid w:val="007E61B9"/>
    <w:rsid w:val="007E7C82"/>
    <w:rsid w:val="007E7CB0"/>
    <w:rsid w:val="007F0719"/>
    <w:rsid w:val="007F588D"/>
    <w:rsid w:val="007F5AB8"/>
    <w:rsid w:val="00800853"/>
    <w:rsid w:val="00802748"/>
    <w:rsid w:val="00803F1C"/>
    <w:rsid w:val="0080600E"/>
    <w:rsid w:val="00812EB8"/>
    <w:rsid w:val="0081328D"/>
    <w:rsid w:val="00813BD5"/>
    <w:rsid w:val="00813DFC"/>
    <w:rsid w:val="00815C90"/>
    <w:rsid w:val="00817612"/>
    <w:rsid w:val="0082153B"/>
    <w:rsid w:val="008218E3"/>
    <w:rsid w:val="0082433B"/>
    <w:rsid w:val="008264A7"/>
    <w:rsid w:val="008271A7"/>
    <w:rsid w:val="00827722"/>
    <w:rsid w:val="008319C5"/>
    <w:rsid w:val="008338A4"/>
    <w:rsid w:val="00834D49"/>
    <w:rsid w:val="00834FA6"/>
    <w:rsid w:val="008353F2"/>
    <w:rsid w:val="008378B7"/>
    <w:rsid w:val="00837C45"/>
    <w:rsid w:val="0084056C"/>
    <w:rsid w:val="00840581"/>
    <w:rsid w:val="008411F0"/>
    <w:rsid w:val="008414C6"/>
    <w:rsid w:val="0084370F"/>
    <w:rsid w:val="00843AEA"/>
    <w:rsid w:val="00844730"/>
    <w:rsid w:val="008457C2"/>
    <w:rsid w:val="00847068"/>
    <w:rsid w:val="00857A82"/>
    <w:rsid w:val="00861D26"/>
    <w:rsid w:val="00861D6F"/>
    <w:rsid w:val="00862A1E"/>
    <w:rsid w:val="00871526"/>
    <w:rsid w:val="0087157A"/>
    <w:rsid w:val="0087279C"/>
    <w:rsid w:val="00873836"/>
    <w:rsid w:val="00883F8E"/>
    <w:rsid w:val="00885737"/>
    <w:rsid w:val="00890650"/>
    <w:rsid w:val="0089340A"/>
    <w:rsid w:val="00895472"/>
    <w:rsid w:val="00897E12"/>
    <w:rsid w:val="008A0F81"/>
    <w:rsid w:val="008A3E60"/>
    <w:rsid w:val="008A43D2"/>
    <w:rsid w:val="008A7E0F"/>
    <w:rsid w:val="008B081F"/>
    <w:rsid w:val="008B12F5"/>
    <w:rsid w:val="008B1C1A"/>
    <w:rsid w:val="008B4F8E"/>
    <w:rsid w:val="008B5932"/>
    <w:rsid w:val="008B5A25"/>
    <w:rsid w:val="008B7319"/>
    <w:rsid w:val="008C24FE"/>
    <w:rsid w:val="008C5751"/>
    <w:rsid w:val="008D4561"/>
    <w:rsid w:val="008D768D"/>
    <w:rsid w:val="008E0B13"/>
    <w:rsid w:val="008E328A"/>
    <w:rsid w:val="008E3759"/>
    <w:rsid w:val="008E3BFE"/>
    <w:rsid w:val="008E7900"/>
    <w:rsid w:val="008F0CA6"/>
    <w:rsid w:val="008F1912"/>
    <w:rsid w:val="008F22BC"/>
    <w:rsid w:val="008F30B2"/>
    <w:rsid w:val="008F59A6"/>
    <w:rsid w:val="00901AB7"/>
    <w:rsid w:val="0090270B"/>
    <w:rsid w:val="009027EB"/>
    <w:rsid w:val="009041DC"/>
    <w:rsid w:val="00904287"/>
    <w:rsid w:val="00917B5A"/>
    <w:rsid w:val="00920A58"/>
    <w:rsid w:val="00920A8C"/>
    <w:rsid w:val="00923036"/>
    <w:rsid w:val="009274B8"/>
    <w:rsid w:val="00933F3B"/>
    <w:rsid w:val="00934A2C"/>
    <w:rsid w:val="00935C8C"/>
    <w:rsid w:val="00935F06"/>
    <w:rsid w:val="00937B3A"/>
    <w:rsid w:val="009418E5"/>
    <w:rsid w:val="00942199"/>
    <w:rsid w:val="00944130"/>
    <w:rsid w:val="00945605"/>
    <w:rsid w:val="00945F10"/>
    <w:rsid w:val="00947DC1"/>
    <w:rsid w:val="009520F6"/>
    <w:rsid w:val="009525CB"/>
    <w:rsid w:val="00952C2E"/>
    <w:rsid w:val="00954B82"/>
    <w:rsid w:val="00962436"/>
    <w:rsid w:val="009645C7"/>
    <w:rsid w:val="0096706E"/>
    <w:rsid w:val="009711BC"/>
    <w:rsid w:val="00974491"/>
    <w:rsid w:val="00975C4E"/>
    <w:rsid w:val="0097655D"/>
    <w:rsid w:val="009768F8"/>
    <w:rsid w:val="00976C4E"/>
    <w:rsid w:val="00977297"/>
    <w:rsid w:val="00981FBA"/>
    <w:rsid w:val="00984192"/>
    <w:rsid w:val="0098506D"/>
    <w:rsid w:val="00990056"/>
    <w:rsid w:val="0099257A"/>
    <w:rsid w:val="00995A34"/>
    <w:rsid w:val="00997BC5"/>
    <w:rsid w:val="009A1D0F"/>
    <w:rsid w:val="009A2CEE"/>
    <w:rsid w:val="009A4F41"/>
    <w:rsid w:val="009A5487"/>
    <w:rsid w:val="009B381B"/>
    <w:rsid w:val="009B6684"/>
    <w:rsid w:val="009C157C"/>
    <w:rsid w:val="009C2FC5"/>
    <w:rsid w:val="009C4701"/>
    <w:rsid w:val="009D1753"/>
    <w:rsid w:val="009D1AF4"/>
    <w:rsid w:val="009D64B4"/>
    <w:rsid w:val="009D6502"/>
    <w:rsid w:val="009D7611"/>
    <w:rsid w:val="009D78A5"/>
    <w:rsid w:val="009E0B61"/>
    <w:rsid w:val="009E0CA1"/>
    <w:rsid w:val="009E1FFF"/>
    <w:rsid w:val="009E2A99"/>
    <w:rsid w:val="009E3C47"/>
    <w:rsid w:val="009E53DE"/>
    <w:rsid w:val="009E7C00"/>
    <w:rsid w:val="009F7502"/>
    <w:rsid w:val="00A03C8B"/>
    <w:rsid w:val="00A04156"/>
    <w:rsid w:val="00A04DEE"/>
    <w:rsid w:val="00A05F84"/>
    <w:rsid w:val="00A0691C"/>
    <w:rsid w:val="00A11E44"/>
    <w:rsid w:val="00A12A87"/>
    <w:rsid w:val="00A13116"/>
    <w:rsid w:val="00A204B6"/>
    <w:rsid w:val="00A22397"/>
    <w:rsid w:val="00A22A86"/>
    <w:rsid w:val="00A328B3"/>
    <w:rsid w:val="00A35752"/>
    <w:rsid w:val="00A379BF"/>
    <w:rsid w:val="00A43A3B"/>
    <w:rsid w:val="00A50FCF"/>
    <w:rsid w:val="00A528D1"/>
    <w:rsid w:val="00A53D09"/>
    <w:rsid w:val="00A561D7"/>
    <w:rsid w:val="00A60409"/>
    <w:rsid w:val="00A610CD"/>
    <w:rsid w:val="00A625E0"/>
    <w:rsid w:val="00A70F58"/>
    <w:rsid w:val="00A73B97"/>
    <w:rsid w:val="00A74947"/>
    <w:rsid w:val="00A74CDF"/>
    <w:rsid w:val="00A758AA"/>
    <w:rsid w:val="00A76EEA"/>
    <w:rsid w:val="00A8055E"/>
    <w:rsid w:val="00A85284"/>
    <w:rsid w:val="00A952A2"/>
    <w:rsid w:val="00AA055B"/>
    <w:rsid w:val="00AA09A2"/>
    <w:rsid w:val="00AA61AE"/>
    <w:rsid w:val="00AA68F6"/>
    <w:rsid w:val="00AA7996"/>
    <w:rsid w:val="00AB1469"/>
    <w:rsid w:val="00AB2883"/>
    <w:rsid w:val="00AB423A"/>
    <w:rsid w:val="00AB5386"/>
    <w:rsid w:val="00AC19CB"/>
    <w:rsid w:val="00AC1D20"/>
    <w:rsid w:val="00AC29FB"/>
    <w:rsid w:val="00AC4BEF"/>
    <w:rsid w:val="00AD1886"/>
    <w:rsid w:val="00AD62CB"/>
    <w:rsid w:val="00AE0EA5"/>
    <w:rsid w:val="00AE27B4"/>
    <w:rsid w:val="00AE2C0B"/>
    <w:rsid w:val="00AE33C7"/>
    <w:rsid w:val="00AE3926"/>
    <w:rsid w:val="00AE5488"/>
    <w:rsid w:val="00AE6AEC"/>
    <w:rsid w:val="00AE6F91"/>
    <w:rsid w:val="00AF0B7B"/>
    <w:rsid w:val="00AF2B50"/>
    <w:rsid w:val="00AF5370"/>
    <w:rsid w:val="00AF53C3"/>
    <w:rsid w:val="00AF5571"/>
    <w:rsid w:val="00AF7193"/>
    <w:rsid w:val="00B03BA9"/>
    <w:rsid w:val="00B06B4E"/>
    <w:rsid w:val="00B07341"/>
    <w:rsid w:val="00B16C0C"/>
    <w:rsid w:val="00B202B5"/>
    <w:rsid w:val="00B23BF9"/>
    <w:rsid w:val="00B24507"/>
    <w:rsid w:val="00B2775C"/>
    <w:rsid w:val="00B2797A"/>
    <w:rsid w:val="00B30539"/>
    <w:rsid w:val="00B314DB"/>
    <w:rsid w:val="00B31C33"/>
    <w:rsid w:val="00B343BC"/>
    <w:rsid w:val="00B361F2"/>
    <w:rsid w:val="00B3718B"/>
    <w:rsid w:val="00B43585"/>
    <w:rsid w:val="00B43A10"/>
    <w:rsid w:val="00B4632A"/>
    <w:rsid w:val="00B47B86"/>
    <w:rsid w:val="00B5067D"/>
    <w:rsid w:val="00B52D63"/>
    <w:rsid w:val="00B530F1"/>
    <w:rsid w:val="00B704C4"/>
    <w:rsid w:val="00B736AF"/>
    <w:rsid w:val="00B875CB"/>
    <w:rsid w:val="00B878A3"/>
    <w:rsid w:val="00B9407B"/>
    <w:rsid w:val="00B942BA"/>
    <w:rsid w:val="00B9504B"/>
    <w:rsid w:val="00B97946"/>
    <w:rsid w:val="00BA1001"/>
    <w:rsid w:val="00BA276C"/>
    <w:rsid w:val="00BA5544"/>
    <w:rsid w:val="00BB306F"/>
    <w:rsid w:val="00BB3FBD"/>
    <w:rsid w:val="00BB471E"/>
    <w:rsid w:val="00BC3F21"/>
    <w:rsid w:val="00BC6CD0"/>
    <w:rsid w:val="00BD0994"/>
    <w:rsid w:val="00BD0E48"/>
    <w:rsid w:val="00BD4B89"/>
    <w:rsid w:val="00BD4C5F"/>
    <w:rsid w:val="00BD5922"/>
    <w:rsid w:val="00BD76D9"/>
    <w:rsid w:val="00BE1DA3"/>
    <w:rsid w:val="00BE5240"/>
    <w:rsid w:val="00BF02CB"/>
    <w:rsid w:val="00BF514A"/>
    <w:rsid w:val="00BF6FD8"/>
    <w:rsid w:val="00BF775D"/>
    <w:rsid w:val="00C03680"/>
    <w:rsid w:val="00C054DF"/>
    <w:rsid w:val="00C07BBD"/>
    <w:rsid w:val="00C10AFC"/>
    <w:rsid w:val="00C15629"/>
    <w:rsid w:val="00C17DD6"/>
    <w:rsid w:val="00C208CF"/>
    <w:rsid w:val="00C21562"/>
    <w:rsid w:val="00C21762"/>
    <w:rsid w:val="00C21FEF"/>
    <w:rsid w:val="00C24543"/>
    <w:rsid w:val="00C256A2"/>
    <w:rsid w:val="00C305AF"/>
    <w:rsid w:val="00C30F55"/>
    <w:rsid w:val="00C35A26"/>
    <w:rsid w:val="00C373F2"/>
    <w:rsid w:val="00C51515"/>
    <w:rsid w:val="00C53910"/>
    <w:rsid w:val="00C54D01"/>
    <w:rsid w:val="00C56088"/>
    <w:rsid w:val="00C5660B"/>
    <w:rsid w:val="00C56854"/>
    <w:rsid w:val="00C5788A"/>
    <w:rsid w:val="00C616FD"/>
    <w:rsid w:val="00C661C4"/>
    <w:rsid w:val="00C66B72"/>
    <w:rsid w:val="00C7389A"/>
    <w:rsid w:val="00C75175"/>
    <w:rsid w:val="00C757AC"/>
    <w:rsid w:val="00C856E9"/>
    <w:rsid w:val="00C87AC4"/>
    <w:rsid w:val="00C9567A"/>
    <w:rsid w:val="00C97ED5"/>
    <w:rsid w:val="00CA0EC0"/>
    <w:rsid w:val="00CA1F71"/>
    <w:rsid w:val="00CA3660"/>
    <w:rsid w:val="00CA4038"/>
    <w:rsid w:val="00CA48A3"/>
    <w:rsid w:val="00CA5D90"/>
    <w:rsid w:val="00CA7191"/>
    <w:rsid w:val="00CB212D"/>
    <w:rsid w:val="00CB2660"/>
    <w:rsid w:val="00CB5A6B"/>
    <w:rsid w:val="00CB73BD"/>
    <w:rsid w:val="00CC5E90"/>
    <w:rsid w:val="00CC5F40"/>
    <w:rsid w:val="00CD046C"/>
    <w:rsid w:val="00CD497F"/>
    <w:rsid w:val="00CD7D7A"/>
    <w:rsid w:val="00CE076C"/>
    <w:rsid w:val="00CE0A61"/>
    <w:rsid w:val="00CE415D"/>
    <w:rsid w:val="00CE4355"/>
    <w:rsid w:val="00CE5199"/>
    <w:rsid w:val="00CE66D5"/>
    <w:rsid w:val="00CF1BF3"/>
    <w:rsid w:val="00CF2A23"/>
    <w:rsid w:val="00CF308A"/>
    <w:rsid w:val="00CF637A"/>
    <w:rsid w:val="00D0121B"/>
    <w:rsid w:val="00D059DE"/>
    <w:rsid w:val="00D05ABD"/>
    <w:rsid w:val="00D13FCE"/>
    <w:rsid w:val="00D15D65"/>
    <w:rsid w:val="00D2092B"/>
    <w:rsid w:val="00D25ADD"/>
    <w:rsid w:val="00D306D1"/>
    <w:rsid w:val="00D30800"/>
    <w:rsid w:val="00D32805"/>
    <w:rsid w:val="00D32C11"/>
    <w:rsid w:val="00D33155"/>
    <w:rsid w:val="00D33BB7"/>
    <w:rsid w:val="00D34786"/>
    <w:rsid w:val="00D36FC4"/>
    <w:rsid w:val="00D375AB"/>
    <w:rsid w:val="00D37BFC"/>
    <w:rsid w:val="00D40D5E"/>
    <w:rsid w:val="00D414C7"/>
    <w:rsid w:val="00D42822"/>
    <w:rsid w:val="00D43DE1"/>
    <w:rsid w:val="00D47A8E"/>
    <w:rsid w:val="00D51C25"/>
    <w:rsid w:val="00D51E52"/>
    <w:rsid w:val="00D52359"/>
    <w:rsid w:val="00D52D14"/>
    <w:rsid w:val="00D55256"/>
    <w:rsid w:val="00D556C9"/>
    <w:rsid w:val="00D56CF2"/>
    <w:rsid w:val="00D62B77"/>
    <w:rsid w:val="00D64211"/>
    <w:rsid w:val="00D712D3"/>
    <w:rsid w:val="00D71422"/>
    <w:rsid w:val="00D72DC6"/>
    <w:rsid w:val="00D7307B"/>
    <w:rsid w:val="00D73398"/>
    <w:rsid w:val="00D73F5E"/>
    <w:rsid w:val="00D7558D"/>
    <w:rsid w:val="00D75C2F"/>
    <w:rsid w:val="00D765A5"/>
    <w:rsid w:val="00D7716F"/>
    <w:rsid w:val="00D77503"/>
    <w:rsid w:val="00D81456"/>
    <w:rsid w:val="00D81D92"/>
    <w:rsid w:val="00D821FE"/>
    <w:rsid w:val="00D853C8"/>
    <w:rsid w:val="00D86076"/>
    <w:rsid w:val="00D876F9"/>
    <w:rsid w:val="00D877B6"/>
    <w:rsid w:val="00DA1883"/>
    <w:rsid w:val="00DA7B5F"/>
    <w:rsid w:val="00DC11E7"/>
    <w:rsid w:val="00DC7023"/>
    <w:rsid w:val="00DC769A"/>
    <w:rsid w:val="00DC7A3D"/>
    <w:rsid w:val="00DD3D86"/>
    <w:rsid w:val="00DD73F2"/>
    <w:rsid w:val="00DE12F0"/>
    <w:rsid w:val="00DE17E2"/>
    <w:rsid w:val="00DE1C5F"/>
    <w:rsid w:val="00DE5CA4"/>
    <w:rsid w:val="00DF1EC4"/>
    <w:rsid w:val="00DF2C37"/>
    <w:rsid w:val="00DF2C49"/>
    <w:rsid w:val="00DF46EA"/>
    <w:rsid w:val="00E0065D"/>
    <w:rsid w:val="00E01943"/>
    <w:rsid w:val="00E0340B"/>
    <w:rsid w:val="00E04A90"/>
    <w:rsid w:val="00E0551F"/>
    <w:rsid w:val="00E0586C"/>
    <w:rsid w:val="00E06634"/>
    <w:rsid w:val="00E114C1"/>
    <w:rsid w:val="00E16FD9"/>
    <w:rsid w:val="00E219C7"/>
    <w:rsid w:val="00E22891"/>
    <w:rsid w:val="00E23A7F"/>
    <w:rsid w:val="00E25717"/>
    <w:rsid w:val="00E26CCA"/>
    <w:rsid w:val="00E30442"/>
    <w:rsid w:val="00E41167"/>
    <w:rsid w:val="00E4118C"/>
    <w:rsid w:val="00E43157"/>
    <w:rsid w:val="00E44144"/>
    <w:rsid w:val="00E45085"/>
    <w:rsid w:val="00E461CE"/>
    <w:rsid w:val="00E50BF0"/>
    <w:rsid w:val="00E550C6"/>
    <w:rsid w:val="00E560E5"/>
    <w:rsid w:val="00E631F8"/>
    <w:rsid w:val="00E6770A"/>
    <w:rsid w:val="00E720CA"/>
    <w:rsid w:val="00E73198"/>
    <w:rsid w:val="00E73F94"/>
    <w:rsid w:val="00E74E84"/>
    <w:rsid w:val="00E763A8"/>
    <w:rsid w:val="00E81512"/>
    <w:rsid w:val="00E840FB"/>
    <w:rsid w:val="00E84EB5"/>
    <w:rsid w:val="00E85662"/>
    <w:rsid w:val="00E87197"/>
    <w:rsid w:val="00E8789F"/>
    <w:rsid w:val="00E97B71"/>
    <w:rsid w:val="00EA0F37"/>
    <w:rsid w:val="00EA1B95"/>
    <w:rsid w:val="00EA3D34"/>
    <w:rsid w:val="00EA495C"/>
    <w:rsid w:val="00EA4DD9"/>
    <w:rsid w:val="00EB0BA7"/>
    <w:rsid w:val="00EB454D"/>
    <w:rsid w:val="00EB4E92"/>
    <w:rsid w:val="00EC0381"/>
    <w:rsid w:val="00EC3210"/>
    <w:rsid w:val="00EC657B"/>
    <w:rsid w:val="00EC72AB"/>
    <w:rsid w:val="00ED2F03"/>
    <w:rsid w:val="00ED3E52"/>
    <w:rsid w:val="00ED549D"/>
    <w:rsid w:val="00ED76BE"/>
    <w:rsid w:val="00ED7F05"/>
    <w:rsid w:val="00EE00E9"/>
    <w:rsid w:val="00EE014D"/>
    <w:rsid w:val="00EE29F9"/>
    <w:rsid w:val="00EF02D6"/>
    <w:rsid w:val="00EF35AB"/>
    <w:rsid w:val="00EF4C44"/>
    <w:rsid w:val="00EF619B"/>
    <w:rsid w:val="00EF724D"/>
    <w:rsid w:val="00EF765A"/>
    <w:rsid w:val="00F00B55"/>
    <w:rsid w:val="00F01ECC"/>
    <w:rsid w:val="00F02AD1"/>
    <w:rsid w:val="00F0350F"/>
    <w:rsid w:val="00F03B4F"/>
    <w:rsid w:val="00F04591"/>
    <w:rsid w:val="00F05503"/>
    <w:rsid w:val="00F06354"/>
    <w:rsid w:val="00F11DA7"/>
    <w:rsid w:val="00F253CC"/>
    <w:rsid w:val="00F25D0C"/>
    <w:rsid w:val="00F32648"/>
    <w:rsid w:val="00F332EF"/>
    <w:rsid w:val="00F37106"/>
    <w:rsid w:val="00F517F8"/>
    <w:rsid w:val="00F519CF"/>
    <w:rsid w:val="00F56BA5"/>
    <w:rsid w:val="00F60E22"/>
    <w:rsid w:val="00F63B39"/>
    <w:rsid w:val="00F67D31"/>
    <w:rsid w:val="00F73289"/>
    <w:rsid w:val="00F76151"/>
    <w:rsid w:val="00F76290"/>
    <w:rsid w:val="00F80348"/>
    <w:rsid w:val="00F807AA"/>
    <w:rsid w:val="00F81395"/>
    <w:rsid w:val="00F81887"/>
    <w:rsid w:val="00F81BB8"/>
    <w:rsid w:val="00F87BBB"/>
    <w:rsid w:val="00F917D1"/>
    <w:rsid w:val="00F9342C"/>
    <w:rsid w:val="00F9653B"/>
    <w:rsid w:val="00F97D53"/>
    <w:rsid w:val="00FA3776"/>
    <w:rsid w:val="00FA56EA"/>
    <w:rsid w:val="00FB0199"/>
    <w:rsid w:val="00FB0959"/>
    <w:rsid w:val="00FB334E"/>
    <w:rsid w:val="00FB3BBB"/>
    <w:rsid w:val="00FB4037"/>
    <w:rsid w:val="00FB62CF"/>
    <w:rsid w:val="00FB718C"/>
    <w:rsid w:val="00FC06CC"/>
    <w:rsid w:val="00FC0F4A"/>
    <w:rsid w:val="00FC3330"/>
    <w:rsid w:val="00FC3D88"/>
    <w:rsid w:val="00FC4A7D"/>
    <w:rsid w:val="00FC4CFC"/>
    <w:rsid w:val="00FD3C3B"/>
    <w:rsid w:val="00FD4407"/>
    <w:rsid w:val="00FD48C3"/>
    <w:rsid w:val="00FD71B9"/>
    <w:rsid w:val="00FE07DD"/>
    <w:rsid w:val="00FE450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f1"/>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0730">
      <w:bodyDiv w:val="1"/>
      <w:marLeft w:val="0"/>
      <w:marRight w:val="0"/>
      <w:marTop w:val="0"/>
      <w:marBottom w:val="0"/>
      <w:divBdr>
        <w:top w:val="none" w:sz="0" w:space="0" w:color="auto"/>
        <w:left w:val="none" w:sz="0" w:space="0" w:color="auto"/>
        <w:bottom w:val="none" w:sz="0" w:space="0" w:color="auto"/>
        <w:right w:val="none" w:sz="0" w:space="0" w:color="auto"/>
      </w:divBdr>
      <w:divsChild>
        <w:div w:id="650332552">
          <w:marLeft w:val="0"/>
          <w:marRight w:val="0"/>
          <w:marTop w:val="0"/>
          <w:marBottom w:val="0"/>
          <w:divBdr>
            <w:top w:val="none" w:sz="0" w:space="0" w:color="auto"/>
            <w:left w:val="none" w:sz="0" w:space="0" w:color="auto"/>
            <w:bottom w:val="none" w:sz="0" w:space="0" w:color="auto"/>
            <w:right w:val="none" w:sz="0" w:space="0" w:color="auto"/>
          </w:divBdr>
          <w:divsChild>
            <w:div w:id="762608189">
              <w:marLeft w:val="0"/>
              <w:marRight w:val="0"/>
              <w:marTop w:val="0"/>
              <w:marBottom w:val="0"/>
              <w:divBdr>
                <w:top w:val="none" w:sz="0" w:space="0" w:color="auto"/>
                <w:left w:val="none" w:sz="0" w:space="0" w:color="auto"/>
                <w:bottom w:val="none" w:sz="0" w:space="0" w:color="auto"/>
                <w:right w:val="none" w:sz="0" w:space="0" w:color="auto"/>
              </w:divBdr>
              <w:divsChild>
                <w:div w:id="1217669477">
                  <w:marLeft w:val="-240"/>
                  <w:marRight w:val="-240"/>
                  <w:marTop w:val="0"/>
                  <w:marBottom w:val="0"/>
                  <w:divBdr>
                    <w:top w:val="none" w:sz="0" w:space="0" w:color="auto"/>
                    <w:left w:val="none" w:sz="0" w:space="0" w:color="auto"/>
                    <w:bottom w:val="none" w:sz="0" w:space="0" w:color="auto"/>
                    <w:right w:val="none" w:sz="0" w:space="0" w:color="auto"/>
                  </w:divBdr>
                  <w:divsChild>
                    <w:div w:id="235482020">
                      <w:marLeft w:val="0"/>
                      <w:marRight w:val="0"/>
                      <w:marTop w:val="0"/>
                      <w:marBottom w:val="0"/>
                      <w:divBdr>
                        <w:top w:val="none" w:sz="0" w:space="0" w:color="auto"/>
                        <w:left w:val="none" w:sz="0" w:space="0" w:color="auto"/>
                        <w:bottom w:val="none" w:sz="0" w:space="0" w:color="auto"/>
                        <w:right w:val="none" w:sz="0" w:space="0" w:color="auto"/>
                      </w:divBdr>
                      <w:divsChild>
                        <w:div w:id="348678651">
                          <w:marLeft w:val="0"/>
                          <w:marRight w:val="0"/>
                          <w:marTop w:val="0"/>
                          <w:marBottom w:val="0"/>
                          <w:divBdr>
                            <w:top w:val="none" w:sz="0" w:space="0" w:color="auto"/>
                            <w:left w:val="none" w:sz="0" w:space="0" w:color="auto"/>
                            <w:bottom w:val="none" w:sz="0" w:space="0" w:color="auto"/>
                            <w:right w:val="none" w:sz="0" w:space="0" w:color="auto"/>
                          </w:divBdr>
                        </w:div>
                        <w:div w:id="876742403">
                          <w:marLeft w:val="0"/>
                          <w:marRight w:val="0"/>
                          <w:marTop w:val="0"/>
                          <w:marBottom w:val="0"/>
                          <w:divBdr>
                            <w:top w:val="none" w:sz="0" w:space="0" w:color="auto"/>
                            <w:left w:val="none" w:sz="0" w:space="0" w:color="auto"/>
                            <w:bottom w:val="none" w:sz="0" w:space="0" w:color="auto"/>
                            <w:right w:val="none" w:sz="0" w:space="0" w:color="auto"/>
                          </w:divBdr>
                          <w:divsChild>
                            <w:div w:id="1656371212">
                              <w:marLeft w:val="165"/>
                              <w:marRight w:val="165"/>
                              <w:marTop w:val="0"/>
                              <w:marBottom w:val="0"/>
                              <w:divBdr>
                                <w:top w:val="none" w:sz="0" w:space="0" w:color="auto"/>
                                <w:left w:val="none" w:sz="0" w:space="0" w:color="auto"/>
                                <w:bottom w:val="none" w:sz="0" w:space="0" w:color="auto"/>
                                <w:right w:val="none" w:sz="0" w:space="0" w:color="auto"/>
                              </w:divBdr>
                              <w:divsChild>
                                <w:div w:id="479155682">
                                  <w:marLeft w:val="0"/>
                                  <w:marRight w:val="0"/>
                                  <w:marTop w:val="0"/>
                                  <w:marBottom w:val="0"/>
                                  <w:divBdr>
                                    <w:top w:val="none" w:sz="0" w:space="0" w:color="auto"/>
                                    <w:left w:val="none" w:sz="0" w:space="0" w:color="auto"/>
                                    <w:bottom w:val="none" w:sz="0" w:space="0" w:color="auto"/>
                                    <w:right w:val="none" w:sz="0" w:space="0" w:color="auto"/>
                                  </w:divBdr>
                                  <w:divsChild>
                                    <w:div w:id="19921745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4B27A-9A51-46B6-BB4F-BE635025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2915</Words>
  <Characters>16616</Characters>
  <Application>Microsoft Office Word</Application>
  <DocSecurity>0</DocSecurity>
  <Lines>138</Lines>
  <Paragraphs>38</Paragraphs>
  <ScaleCrop>false</ScaleCrop>
  <Company/>
  <LinksUpToDate>false</LinksUpToDate>
  <CharactersWithSpaces>19493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193/21</dc:title>
  <dc:creator/>
  <cp:lastModifiedBy/>
  <cp:revision>1</cp:revision>
  <dcterms:created xsi:type="dcterms:W3CDTF">2021-09-24T14:16:00Z</dcterms:created>
  <dcterms:modified xsi:type="dcterms:W3CDTF">2021-09-24T14:18:00Z</dcterms:modified>
</cp:coreProperties>
</file>