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BF611" w14:textId="77777777" w:rsidR="00040C3A" w:rsidRPr="00196AE1" w:rsidRDefault="006311DA" w:rsidP="00627C9F">
      <w:pPr>
        <w:jc w:val="both"/>
        <w:rPr>
          <w:rFonts w:asciiTheme="majorHAnsi" w:hAnsiTheme="majorHAnsi" w:cs="Univers"/>
          <w:b/>
          <w:bCs/>
          <w:sz w:val="22"/>
          <w:szCs w:val="22"/>
        </w:rPr>
      </w:pPr>
      <w:r w:rsidRPr="00196AE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0659E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196AE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196AE1" w:rsidRDefault="00040C3A" w:rsidP="00040C3A">
      <w:pPr>
        <w:tabs>
          <w:tab w:val="center" w:pos="5400"/>
        </w:tabs>
        <w:suppressAutoHyphens/>
        <w:jc w:val="both"/>
        <w:rPr>
          <w:rFonts w:asciiTheme="majorHAnsi" w:hAnsiTheme="majorHAnsi"/>
          <w:sz w:val="22"/>
          <w:szCs w:val="22"/>
        </w:rPr>
      </w:pPr>
    </w:p>
    <w:p w14:paraId="513C008C" w14:textId="77777777" w:rsidR="00040C3A" w:rsidRPr="00196AE1" w:rsidRDefault="00040C3A" w:rsidP="00040C3A">
      <w:pPr>
        <w:tabs>
          <w:tab w:val="center" w:pos="5400"/>
        </w:tabs>
        <w:suppressAutoHyphens/>
        <w:jc w:val="both"/>
        <w:rPr>
          <w:rFonts w:asciiTheme="majorHAnsi" w:hAnsiTheme="majorHAnsi"/>
          <w:sz w:val="22"/>
          <w:szCs w:val="22"/>
        </w:rPr>
      </w:pPr>
    </w:p>
    <w:p w14:paraId="05EDDB39" w14:textId="77777777" w:rsidR="005128E4" w:rsidRPr="00196AE1" w:rsidRDefault="005128E4" w:rsidP="00040C3A">
      <w:pPr>
        <w:tabs>
          <w:tab w:val="center" w:pos="5400"/>
        </w:tabs>
        <w:suppressAutoHyphens/>
        <w:rPr>
          <w:rFonts w:asciiTheme="majorHAnsi" w:hAnsiTheme="majorHAnsi"/>
          <w:sz w:val="22"/>
          <w:szCs w:val="22"/>
        </w:rPr>
      </w:pPr>
    </w:p>
    <w:p w14:paraId="10FFBD73" w14:textId="77777777" w:rsidR="005128E4" w:rsidRPr="00196AE1" w:rsidRDefault="005128E4" w:rsidP="00040C3A">
      <w:pPr>
        <w:tabs>
          <w:tab w:val="center" w:pos="5400"/>
        </w:tabs>
        <w:suppressAutoHyphens/>
        <w:rPr>
          <w:rFonts w:asciiTheme="majorHAnsi" w:hAnsiTheme="majorHAnsi"/>
          <w:sz w:val="22"/>
          <w:szCs w:val="22"/>
        </w:rPr>
      </w:pPr>
    </w:p>
    <w:p w14:paraId="3E13B0E8" w14:textId="77777777" w:rsidR="005128E4" w:rsidRPr="00196AE1" w:rsidRDefault="005128E4" w:rsidP="00040C3A">
      <w:pPr>
        <w:tabs>
          <w:tab w:val="center" w:pos="5400"/>
        </w:tabs>
        <w:suppressAutoHyphens/>
        <w:rPr>
          <w:rFonts w:asciiTheme="majorHAnsi" w:hAnsiTheme="majorHAnsi"/>
          <w:sz w:val="22"/>
          <w:szCs w:val="22"/>
        </w:rPr>
      </w:pPr>
    </w:p>
    <w:p w14:paraId="14767CBD" w14:textId="77777777" w:rsidR="00040C3A" w:rsidRPr="00196AE1" w:rsidRDefault="00040C3A" w:rsidP="005128E4">
      <w:pPr>
        <w:tabs>
          <w:tab w:val="center" w:pos="5400"/>
        </w:tabs>
        <w:suppressAutoHyphens/>
        <w:jc w:val="center"/>
        <w:rPr>
          <w:rFonts w:asciiTheme="majorHAnsi" w:hAnsiTheme="majorHAnsi"/>
          <w:sz w:val="22"/>
          <w:szCs w:val="22"/>
        </w:rPr>
      </w:pPr>
    </w:p>
    <w:p w14:paraId="209C2AF0" w14:textId="77777777" w:rsidR="00040C3A" w:rsidRPr="00196AE1" w:rsidRDefault="00040C3A" w:rsidP="005128E4">
      <w:pPr>
        <w:tabs>
          <w:tab w:val="center" w:pos="5400"/>
        </w:tabs>
        <w:suppressAutoHyphens/>
        <w:jc w:val="center"/>
        <w:rPr>
          <w:rFonts w:asciiTheme="majorHAnsi" w:hAnsiTheme="majorHAnsi"/>
          <w:sz w:val="22"/>
          <w:szCs w:val="22"/>
        </w:rPr>
      </w:pPr>
    </w:p>
    <w:p w14:paraId="22280F95" w14:textId="77777777" w:rsidR="005B52B0" w:rsidRPr="00196AE1" w:rsidRDefault="005B52B0" w:rsidP="005128E4">
      <w:pPr>
        <w:tabs>
          <w:tab w:val="center" w:pos="5400"/>
        </w:tabs>
        <w:suppressAutoHyphens/>
        <w:jc w:val="center"/>
        <w:rPr>
          <w:rFonts w:asciiTheme="majorHAnsi" w:hAnsiTheme="majorHAnsi"/>
          <w:sz w:val="22"/>
          <w:szCs w:val="22"/>
        </w:rPr>
      </w:pPr>
    </w:p>
    <w:p w14:paraId="75EA8B29" w14:textId="77777777" w:rsidR="005B52B0" w:rsidRPr="00196AE1" w:rsidRDefault="005B52B0" w:rsidP="005128E4">
      <w:pPr>
        <w:tabs>
          <w:tab w:val="center" w:pos="5400"/>
        </w:tabs>
        <w:suppressAutoHyphens/>
        <w:jc w:val="center"/>
        <w:rPr>
          <w:rFonts w:asciiTheme="majorHAnsi" w:hAnsiTheme="majorHAnsi"/>
          <w:sz w:val="22"/>
          <w:szCs w:val="22"/>
        </w:rPr>
      </w:pPr>
    </w:p>
    <w:p w14:paraId="41E9A166" w14:textId="77777777" w:rsidR="005B52B0" w:rsidRPr="00196AE1" w:rsidRDefault="005B52B0" w:rsidP="005128E4">
      <w:pPr>
        <w:tabs>
          <w:tab w:val="center" w:pos="5400"/>
        </w:tabs>
        <w:suppressAutoHyphens/>
        <w:jc w:val="center"/>
        <w:rPr>
          <w:rFonts w:asciiTheme="majorHAnsi" w:hAnsiTheme="majorHAnsi"/>
          <w:sz w:val="22"/>
          <w:szCs w:val="22"/>
        </w:rPr>
      </w:pPr>
    </w:p>
    <w:p w14:paraId="3AE1A97C" w14:textId="77777777" w:rsidR="00040C3A" w:rsidRPr="00196AE1" w:rsidRDefault="00040C3A" w:rsidP="00040C3A">
      <w:pPr>
        <w:tabs>
          <w:tab w:val="center" w:pos="5400"/>
        </w:tabs>
        <w:suppressAutoHyphens/>
        <w:jc w:val="center"/>
        <w:rPr>
          <w:rFonts w:asciiTheme="majorHAnsi" w:hAnsiTheme="majorHAnsi"/>
          <w:sz w:val="22"/>
          <w:szCs w:val="22"/>
        </w:rPr>
      </w:pPr>
    </w:p>
    <w:p w14:paraId="7E2FD54E" w14:textId="77777777" w:rsidR="00040C3A" w:rsidRPr="00196AE1" w:rsidRDefault="00040C3A" w:rsidP="00040C3A">
      <w:pPr>
        <w:tabs>
          <w:tab w:val="center" w:pos="5400"/>
        </w:tabs>
        <w:suppressAutoHyphens/>
        <w:jc w:val="center"/>
        <w:rPr>
          <w:rFonts w:asciiTheme="majorHAnsi" w:hAnsiTheme="majorHAnsi"/>
          <w:sz w:val="22"/>
          <w:szCs w:val="22"/>
        </w:rPr>
      </w:pPr>
    </w:p>
    <w:p w14:paraId="0C171AAF" w14:textId="77777777" w:rsidR="00040C3A" w:rsidRPr="00196AE1" w:rsidRDefault="00040C3A" w:rsidP="00040C3A">
      <w:pPr>
        <w:tabs>
          <w:tab w:val="center" w:pos="5400"/>
        </w:tabs>
        <w:suppressAutoHyphens/>
        <w:jc w:val="center"/>
        <w:rPr>
          <w:rFonts w:asciiTheme="majorHAnsi" w:hAnsiTheme="majorHAnsi"/>
          <w:sz w:val="22"/>
          <w:szCs w:val="22"/>
        </w:rPr>
      </w:pPr>
    </w:p>
    <w:p w14:paraId="6D675D19" w14:textId="77777777" w:rsidR="00040C3A" w:rsidRPr="00196AE1" w:rsidRDefault="00E533FF" w:rsidP="00040C3A">
      <w:pPr>
        <w:tabs>
          <w:tab w:val="center" w:pos="5400"/>
        </w:tabs>
        <w:suppressAutoHyphens/>
        <w:jc w:val="center"/>
        <w:rPr>
          <w:rFonts w:asciiTheme="majorHAnsi" w:hAnsiTheme="majorHAnsi"/>
          <w:sz w:val="22"/>
          <w:szCs w:val="22"/>
        </w:rPr>
      </w:pPr>
      <w:r w:rsidRPr="00196AE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5CE600F5"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06F02">
                              <w:rPr>
                                <w:rFonts w:asciiTheme="majorHAnsi" w:hAnsiTheme="majorHAnsi" w:cs="Arial"/>
                                <w:b/>
                                <w:bCs/>
                                <w:color w:val="0D0D0D" w:themeColor="text1" w:themeTint="F2"/>
                                <w:sz w:val="36"/>
                                <w:szCs w:val="40"/>
                              </w:rPr>
                              <w:t>149</w:t>
                            </w:r>
                            <w:r w:rsidR="00322450" w:rsidRPr="004B7EB6">
                              <w:rPr>
                                <w:rFonts w:asciiTheme="majorHAnsi" w:hAnsiTheme="majorHAnsi" w:cs="Arial"/>
                                <w:b/>
                                <w:bCs/>
                                <w:color w:val="0D0D0D" w:themeColor="text1" w:themeTint="F2"/>
                                <w:sz w:val="36"/>
                                <w:szCs w:val="40"/>
                              </w:rPr>
                              <w:t>/</w:t>
                            </w:r>
                            <w:r w:rsidR="008F17F1">
                              <w:rPr>
                                <w:rFonts w:asciiTheme="majorHAnsi" w:hAnsiTheme="majorHAnsi" w:cs="Arial"/>
                                <w:b/>
                                <w:bCs/>
                                <w:color w:val="0D0D0D" w:themeColor="text1" w:themeTint="F2"/>
                                <w:sz w:val="36"/>
                                <w:szCs w:val="40"/>
                              </w:rPr>
                              <w:t>21</w:t>
                            </w:r>
                          </w:p>
                          <w:p w14:paraId="2857F468" w14:textId="277F3415"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5B2234">
                              <w:rPr>
                                <w:rFonts w:asciiTheme="majorHAnsi" w:hAnsiTheme="majorHAnsi" w:cs="Arial"/>
                                <w:b/>
                                <w:bCs/>
                                <w:color w:val="0D0D0D" w:themeColor="text1" w:themeTint="F2"/>
                                <w:sz w:val="36"/>
                                <w:szCs w:val="40"/>
                              </w:rPr>
                              <w:t>1699</w:t>
                            </w:r>
                            <w:r>
                              <w:rPr>
                                <w:rFonts w:asciiTheme="majorHAnsi" w:hAnsiTheme="majorHAnsi" w:cs="Arial"/>
                                <w:b/>
                                <w:bCs/>
                                <w:color w:val="0D0D0D" w:themeColor="text1" w:themeTint="F2"/>
                                <w:sz w:val="36"/>
                                <w:szCs w:val="40"/>
                              </w:rPr>
                              <w:t>-</w:t>
                            </w:r>
                            <w:r w:rsidR="00A02D0B">
                              <w:rPr>
                                <w:rFonts w:asciiTheme="majorHAnsi" w:hAnsiTheme="majorHAnsi" w:cs="Arial"/>
                                <w:b/>
                                <w:bCs/>
                                <w:color w:val="0D0D0D" w:themeColor="text1" w:themeTint="F2"/>
                                <w:sz w:val="36"/>
                                <w:szCs w:val="40"/>
                              </w:rPr>
                              <w:t>1</w:t>
                            </w:r>
                            <w:r w:rsidR="005B2234">
                              <w:rPr>
                                <w:rFonts w:asciiTheme="majorHAnsi" w:hAnsiTheme="majorHAnsi" w:cs="Arial"/>
                                <w:b/>
                                <w:bCs/>
                                <w:color w:val="0D0D0D" w:themeColor="text1" w:themeTint="F2"/>
                                <w:sz w:val="36"/>
                                <w:szCs w:val="40"/>
                              </w:rPr>
                              <w:t>3</w:t>
                            </w:r>
                          </w:p>
                          <w:p w14:paraId="51480B27" w14:textId="1F0FD76A"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7476ECA" w14:textId="18BBDD4E" w:rsidR="005B52B0" w:rsidRDefault="008F6715" w:rsidP="00261E08">
                            <w:pPr>
                              <w:spacing w:line="276" w:lineRule="auto"/>
                              <w:rPr>
                                <w:rFonts w:ascii="Cambria" w:hAnsi="Cambria" w:cs="Arial"/>
                                <w:color w:val="0D0D0D"/>
                                <w:szCs w:val="22"/>
                              </w:rPr>
                            </w:pPr>
                            <w:r>
                              <w:rPr>
                                <w:rFonts w:ascii="Cambria" w:hAnsi="Cambria" w:cs="Arial"/>
                                <w:color w:val="0D0D0D"/>
                                <w:szCs w:val="22"/>
                              </w:rPr>
                              <w:t>JOSÉ SALOMÓN PADILLA</w:t>
                            </w:r>
                          </w:p>
                          <w:p w14:paraId="7A25A949" w14:textId="37C15BFA" w:rsidR="008F6715" w:rsidRPr="000C4365" w:rsidRDefault="008F6715" w:rsidP="00261E08">
                            <w:pPr>
                              <w:spacing w:line="276" w:lineRule="auto"/>
                              <w:rPr>
                                <w:rFonts w:asciiTheme="majorHAnsi" w:hAnsiTheme="majorHAnsi"/>
                                <w:color w:val="0D0D0D" w:themeColor="text1" w:themeTint="F2"/>
                              </w:rPr>
                            </w:pPr>
                            <w:r>
                              <w:rPr>
                                <w:rFonts w:ascii="Cambria" w:hAnsi="Cambria" w:cs="Arial"/>
                                <w:color w:val="0D0D0D"/>
                                <w:szCs w:val="22"/>
                              </w:rPr>
                              <w:t>EL SALVADOR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1DDC71"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E98D609" w14:textId="5CE600F5"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06F02">
                        <w:rPr>
                          <w:rFonts w:asciiTheme="majorHAnsi" w:hAnsiTheme="majorHAnsi" w:cs="Arial"/>
                          <w:b/>
                          <w:bCs/>
                          <w:color w:val="0D0D0D" w:themeColor="text1" w:themeTint="F2"/>
                          <w:sz w:val="36"/>
                          <w:szCs w:val="40"/>
                        </w:rPr>
                        <w:t>149</w:t>
                      </w:r>
                      <w:r w:rsidR="00322450" w:rsidRPr="004B7EB6">
                        <w:rPr>
                          <w:rFonts w:asciiTheme="majorHAnsi" w:hAnsiTheme="majorHAnsi" w:cs="Arial"/>
                          <w:b/>
                          <w:bCs/>
                          <w:color w:val="0D0D0D" w:themeColor="text1" w:themeTint="F2"/>
                          <w:sz w:val="36"/>
                          <w:szCs w:val="40"/>
                        </w:rPr>
                        <w:t>/</w:t>
                      </w:r>
                      <w:r w:rsidR="008F17F1">
                        <w:rPr>
                          <w:rFonts w:asciiTheme="majorHAnsi" w:hAnsiTheme="majorHAnsi" w:cs="Arial"/>
                          <w:b/>
                          <w:bCs/>
                          <w:color w:val="0D0D0D" w:themeColor="text1" w:themeTint="F2"/>
                          <w:sz w:val="36"/>
                          <w:szCs w:val="40"/>
                        </w:rPr>
                        <w:t>21</w:t>
                      </w:r>
                    </w:p>
                    <w:p w14:paraId="2857F468" w14:textId="277F3415"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5B2234">
                        <w:rPr>
                          <w:rFonts w:asciiTheme="majorHAnsi" w:hAnsiTheme="majorHAnsi" w:cs="Arial"/>
                          <w:b/>
                          <w:bCs/>
                          <w:color w:val="0D0D0D" w:themeColor="text1" w:themeTint="F2"/>
                          <w:sz w:val="36"/>
                          <w:szCs w:val="40"/>
                        </w:rPr>
                        <w:t>1699</w:t>
                      </w:r>
                      <w:r>
                        <w:rPr>
                          <w:rFonts w:asciiTheme="majorHAnsi" w:hAnsiTheme="majorHAnsi" w:cs="Arial"/>
                          <w:b/>
                          <w:bCs/>
                          <w:color w:val="0D0D0D" w:themeColor="text1" w:themeTint="F2"/>
                          <w:sz w:val="36"/>
                          <w:szCs w:val="40"/>
                        </w:rPr>
                        <w:t>-</w:t>
                      </w:r>
                      <w:r w:rsidR="00A02D0B">
                        <w:rPr>
                          <w:rFonts w:asciiTheme="majorHAnsi" w:hAnsiTheme="majorHAnsi" w:cs="Arial"/>
                          <w:b/>
                          <w:bCs/>
                          <w:color w:val="0D0D0D" w:themeColor="text1" w:themeTint="F2"/>
                          <w:sz w:val="36"/>
                          <w:szCs w:val="40"/>
                        </w:rPr>
                        <w:t>1</w:t>
                      </w:r>
                      <w:r w:rsidR="005B2234">
                        <w:rPr>
                          <w:rFonts w:asciiTheme="majorHAnsi" w:hAnsiTheme="majorHAnsi" w:cs="Arial"/>
                          <w:b/>
                          <w:bCs/>
                          <w:color w:val="0D0D0D" w:themeColor="text1" w:themeTint="F2"/>
                          <w:sz w:val="36"/>
                          <w:szCs w:val="40"/>
                        </w:rPr>
                        <w:t>3</w:t>
                      </w:r>
                    </w:p>
                    <w:p w14:paraId="51480B27" w14:textId="1F0FD76A"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67476ECA" w14:textId="18BBDD4E" w:rsidR="005B52B0" w:rsidRDefault="008F6715" w:rsidP="00261E08">
                      <w:pPr>
                        <w:spacing w:line="276" w:lineRule="auto"/>
                        <w:rPr>
                          <w:rFonts w:ascii="Cambria" w:hAnsi="Cambria" w:cs="Arial"/>
                          <w:color w:val="0D0D0D"/>
                          <w:szCs w:val="22"/>
                        </w:rPr>
                      </w:pPr>
                      <w:r>
                        <w:rPr>
                          <w:rFonts w:ascii="Cambria" w:hAnsi="Cambria" w:cs="Arial"/>
                          <w:color w:val="0D0D0D"/>
                          <w:szCs w:val="22"/>
                        </w:rPr>
                        <w:t>JOSÉ SALOMÓN PADILLA</w:t>
                      </w:r>
                    </w:p>
                    <w:p w14:paraId="7A25A949" w14:textId="37C15BFA" w:rsidR="008F6715" w:rsidRPr="000C4365" w:rsidRDefault="008F6715" w:rsidP="00261E08">
                      <w:pPr>
                        <w:spacing w:line="276" w:lineRule="auto"/>
                        <w:rPr>
                          <w:rFonts w:asciiTheme="majorHAnsi" w:hAnsiTheme="majorHAnsi"/>
                          <w:color w:val="0D0D0D" w:themeColor="text1" w:themeTint="F2"/>
                        </w:rPr>
                      </w:pPr>
                      <w:r>
                        <w:rPr>
                          <w:rFonts w:ascii="Cambria" w:hAnsi="Cambria" w:cs="Arial"/>
                          <w:color w:val="0D0D0D"/>
                          <w:szCs w:val="22"/>
                        </w:rPr>
                        <w:t>EL SALVADOR</w:t>
                      </w:r>
                    </w:p>
                  </w:txbxContent>
                </v:textbox>
              </v:shape>
            </w:pict>
          </mc:Fallback>
        </mc:AlternateContent>
      </w:r>
      <w:r w:rsidR="004B7EB6" w:rsidRPr="00196AE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23966CA5" w:rsidR="00627C9F" w:rsidRPr="00906F02" w:rsidRDefault="009E566A" w:rsidP="009E566A">
                            <w:pPr>
                              <w:jc w:val="right"/>
                              <w:rPr>
                                <w:rFonts w:asciiTheme="minorHAnsi" w:hAnsiTheme="minorHAnsi"/>
                                <w:color w:val="FFFFFF" w:themeColor="background1"/>
                                <w:sz w:val="22"/>
                                <w:lang w:val="es-419"/>
                              </w:rPr>
                            </w:pPr>
                            <w:r w:rsidRPr="00906F02">
                              <w:rPr>
                                <w:rFonts w:asciiTheme="minorHAnsi" w:hAnsiTheme="minorHAnsi"/>
                                <w:color w:val="FFFFFF" w:themeColor="background1"/>
                                <w:sz w:val="22"/>
                                <w:lang w:val="es-419"/>
                              </w:rPr>
                              <w:t>OEA/</w:t>
                            </w:r>
                            <w:proofErr w:type="spellStart"/>
                            <w:r w:rsidRPr="00906F02">
                              <w:rPr>
                                <w:rFonts w:asciiTheme="minorHAnsi" w:hAnsiTheme="minorHAnsi"/>
                                <w:color w:val="FFFFFF" w:themeColor="background1"/>
                                <w:sz w:val="22"/>
                                <w:lang w:val="es-419"/>
                              </w:rPr>
                              <w:t>Ser.L</w:t>
                            </w:r>
                            <w:proofErr w:type="spellEnd"/>
                            <w:r w:rsidRPr="00906F02">
                              <w:rPr>
                                <w:rFonts w:asciiTheme="minorHAnsi" w:hAnsiTheme="minorHAnsi"/>
                                <w:color w:val="FFFFFF" w:themeColor="background1"/>
                                <w:sz w:val="22"/>
                                <w:lang w:val="es-419"/>
                              </w:rPr>
                              <w:t>/V/II</w:t>
                            </w:r>
                            <w:r w:rsidR="002F2697" w:rsidRPr="00906F02">
                              <w:rPr>
                                <w:rFonts w:asciiTheme="minorHAnsi" w:hAnsiTheme="minorHAnsi"/>
                                <w:color w:val="FFFFFF" w:themeColor="background1"/>
                                <w:sz w:val="22"/>
                                <w:lang w:val="es-419"/>
                              </w:rPr>
                              <w:t xml:space="preserve"> </w:t>
                            </w:r>
                          </w:p>
                          <w:p w14:paraId="2B86BB36" w14:textId="3001FE8D" w:rsidR="00627C9F" w:rsidRPr="00906F02" w:rsidRDefault="00CA6577" w:rsidP="009E566A">
                            <w:pPr>
                              <w:jc w:val="right"/>
                              <w:rPr>
                                <w:rFonts w:asciiTheme="minorHAnsi" w:hAnsiTheme="minorHAnsi"/>
                                <w:color w:val="FFFFFF" w:themeColor="background1"/>
                                <w:sz w:val="22"/>
                                <w:lang w:val="pt-BR"/>
                              </w:rPr>
                            </w:pPr>
                            <w:r w:rsidRPr="00906F02">
                              <w:rPr>
                                <w:rFonts w:asciiTheme="minorHAnsi" w:hAnsiTheme="minorHAnsi"/>
                                <w:color w:val="FFFFFF" w:themeColor="background1"/>
                                <w:sz w:val="22"/>
                                <w:lang w:val="pt-BR"/>
                              </w:rPr>
                              <w:t xml:space="preserve">Doc. </w:t>
                            </w:r>
                            <w:r w:rsidR="00906F02">
                              <w:rPr>
                                <w:rFonts w:asciiTheme="minorHAnsi" w:hAnsiTheme="minorHAnsi"/>
                                <w:color w:val="FFFFFF" w:themeColor="background1"/>
                                <w:sz w:val="22"/>
                                <w:lang w:val="pt-BR"/>
                              </w:rPr>
                              <w:t>157</w:t>
                            </w:r>
                          </w:p>
                          <w:p w14:paraId="6AC8D657" w14:textId="5108D40F" w:rsidR="00627C9F" w:rsidRPr="00906F02" w:rsidRDefault="00022CF5" w:rsidP="009E566A">
                            <w:pPr>
                              <w:jc w:val="right"/>
                              <w:rPr>
                                <w:rFonts w:asciiTheme="minorHAnsi" w:hAnsiTheme="minorHAnsi"/>
                                <w:color w:val="FFFFFF" w:themeColor="background1"/>
                                <w:sz w:val="22"/>
                              </w:rPr>
                            </w:pPr>
                            <w:r w:rsidRPr="00906F02">
                              <w:rPr>
                                <w:rFonts w:asciiTheme="minorHAnsi" w:hAnsiTheme="minorHAnsi"/>
                                <w:color w:val="FFFFFF" w:themeColor="background1"/>
                                <w:sz w:val="22"/>
                                <w:lang w:val="pt-BR"/>
                              </w:rPr>
                              <w:t xml:space="preserve"> </w:t>
                            </w:r>
                            <w:r w:rsidR="00906F02">
                              <w:rPr>
                                <w:rFonts w:asciiTheme="minorHAnsi" w:hAnsiTheme="minorHAnsi"/>
                                <w:color w:val="FFFFFF" w:themeColor="background1"/>
                                <w:sz w:val="22"/>
                              </w:rPr>
                              <w:t>8 July</w:t>
                            </w:r>
                            <w:r w:rsidR="000C4365" w:rsidRPr="00906F02">
                              <w:rPr>
                                <w:rFonts w:asciiTheme="minorHAnsi" w:hAnsiTheme="minorHAnsi"/>
                                <w:color w:val="FFFFFF" w:themeColor="background1"/>
                                <w:sz w:val="22"/>
                              </w:rPr>
                              <w:t xml:space="preserve"> </w:t>
                            </w:r>
                            <w:r w:rsidR="002F2697" w:rsidRPr="00906F02">
                              <w:rPr>
                                <w:rFonts w:asciiTheme="minorHAnsi" w:hAnsiTheme="minorHAnsi"/>
                                <w:color w:val="FFFFFF" w:themeColor="background1"/>
                                <w:sz w:val="22"/>
                              </w:rPr>
                              <w:t>202</w:t>
                            </w:r>
                            <w:r w:rsidR="008F17F1" w:rsidRPr="00906F02">
                              <w:rPr>
                                <w:rFonts w:asciiTheme="minorHAnsi" w:hAnsiTheme="minorHAnsi"/>
                                <w:color w:val="FFFFFF" w:themeColor="background1"/>
                                <w:sz w:val="22"/>
                              </w:rPr>
                              <w:t>1</w:t>
                            </w:r>
                          </w:p>
                          <w:p w14:paraId="35D3ABA3" w14:textId="4D5A616E" w:rsidR="00627C9F" w:rsidRPr="004B7EB6" w:rsidRDefault="00627C9F" w:rsidP="009E566A">
                            <w:pPr>
                              <w:jc w:val="right"/>
                              <w:rPr>
                                <w:rFonts w:asciiTheme="minorHAnsi" w:hAnsiTheme="minorHAnsi"/>
                                <w:color w:val="FFFFFF" w:themeColor="background1"/>
                                <w:sz w:val="22"/>
                              </w:rPr>
                            </w:pPr>
                            <w:r w:rsidRPr="00906F02">
                              <w:rPr>
                                <w:rFonts w:asciiTheme="minorHAnsi" w:hAnsiTheme="minorHAnsi"/>
                                <w:color w:val="FFFFFF" w:themeColor="background1"/>
                                <w:sz w:val="22"/>
                              </w:rPr>
                              <w:t>Original:</w:t>
                            </w:r>
                            <w:r w:rsidR="002C1641" w:rsidRPr="00906F02">
                              <w:rPr>
                                <w:rFonts w:asciiTheme="minorHAnsi" w:hAnsiTheme="minorHAnsi"/>
                                <w:color w:val="FFFFFF" w:themeColor="background1"/>
                                <w:sz w:val="22"/>
                              </w:rPr>
                              <w:t xml:space="preserve"> </w:t>
                            </w:r>
                            <w:r w:rsidR="00F42B71" w:rsidRPr="00906F02">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23966CA5" w:rsidR="00627C9F" w:rsidRPr="00906F02" w:rsidRDefault="009E566A" w:rsidP="009E566A">
                      <w:pPr>
                        <w:jc w:val="right"/>
                        <w:rPr>
                          <w:rFonts w:asciiTheme="minorHAnsi" w:hAnsiTheme="minorHAnsi"/>
                          <w:color w:val="FFFFFF" w:themeColor="background1"/>
                          <w:sz w:val="22"/>
                          <w:lang w:val="es-419"/>
                        </w:rPr>
                      </w:pPr>
                      <w:r w:rsidRPr="00906F02">
                        <w:rPr>
                          <w:rFonts w:asciiTheme="minorHAnsi" w:hAnsiTheme="minorHAnsi"/>
                          <w:color w:val="FFFFFF" w:themeColor="background1"/>
                          <w:sz w:val="22"/>
                          <w:lang w:val="es-419"/>
                        </w:rPr>
                        <w:t>OEA/</w:t>
                      </w:r>
                      <w:proofErr w:type="spellStart"/>
                      <w:r w:rsidRPr="00906F02">
                        <w:rPr>
                          <w:rFonts w:asciiTheme="minorHAnsi" w:hAnsiTheme="minorHAnsi"/>
                          <w:color w:val="FFFFFF" w:themeColor="background1"/>
                          <w:sz w:val="22"/>
                          <w:lang w:val="es-419"/>
                        </w:rPr>
                        <w:t>Ser.L</w:t>
                      </w:r>
                      <w:proofErr w:type="spellEnd"/>
                      <w:r w:rsidRPr="00906F02">
                        <w:rPr>
                          <w:rFonts w:asciiTheme="minorHAnsi" w:hAnsiTheme="minorHAnsi"/>
                          <w:color w:val="FFFFFF" w:themeColor="background1"/>
                          <w:sz w:val="22"/>
                          <w:lang w:val="es-419"/>
                        </w:rPr>
                        <w:t>/V/II</w:t>
                      </w:r>
                      <w:r w:rsidR="002F2697" w:rsidRPr="00906F02">
                        <w:rPr>
                          <w:rFonts w:asciiTheme="minorHAnsi" w:hAnsiTheme="minorHAnsi"/>
                          <w:color w:val="FFFFFF" w:themeColor="background1"/>
                          <w:sz w:val="22"/>
                          <w:lang w:val="es-419"/>
                        </w:rPr>
                        <w:t xml:space="preserve"> </w:t>
                      </w:r>
                    </w:p>
                    <w:p w14:paraId="2B86BB36" w14:textId="3001FE8D" w:rsidR="00627C9F" w:rsidRPr="00906F02" w:rsidRDefault="00CA6577" w:rsidP="009E566A">
                      <w:pPr>
                        <w:jc w:val="right"/>
                        <w:rPr>
                          <w:rFonts w:asciiTheme="minorHAnsi" w:hAnsiTheme="minorHAnsi"/>
                          <w:color w:val="FFFFFF" w:themeColor="background1"/>
                          <w:sz w:val="22"/>
                          <w:lang w:val="pt-BR"/>
                        </w:rPr>
                      </w:pPr>
                      <w:r w:rsidRPr="00906F02">
                        <w:rPr>
                          <w:rFonts w:asciiTheme="minorHAnsi" w:hAnsiTheme="minorHAnsi"/>
                          <w:color w:val="FFFFFF" w:themeColor="background1"/>
                          <w:sz w:val="22"/>
                          <w:lang w:val="pt-BR"/>
                        </w:rPr>
                        <w:t xml:space="preserve">Doc. </w:t>
                      </w:r>
                      <w:r w:rsidR="00906F02">
                        <w:rPr>
                          <w:rFonts w:asciiTheme="minorHAnsi" w:hAnsiTheme="minorHAnsi"/>
                          <w:color w:val="FFFFFF" w:themeColor="background1"/>
                          <w:sz w:val="22"/>
                          <w:lang w:val="pt-BR"/>
                        </w:rPr>
                        <w:t>157</w:t>
                      </w:r>
                    </w:p>
                    <w:p w14:paraId="6AC8D657" w14:textId="5108D40F" w:rsidR="00627C9F" w:rsidRPr="00906F02" w:rsidRDefault="00022CF5" w:rsidP="009E566A">
                      <w:pPr>
                        <w:jc w:val="right"/>
                        <w:rPr>
                          <w:rFonts w:asciiTheme="minorHAnsi" w:hAnsiTheme="minorHAnsi"/>
                          <w:color w:val="FFFFFF" w:themeColor="background1"/>
                          <w:sz w:val="22"/>
                        </w:rPr>
                      </w:pPr>
                      <w:r w:rsidRPr="00906F02">
                        <w:rPr>
                          <w:rFonts w:asciiTheme="minorHAnsi" w:hAnsiTheme="minorHAnsi"/>
                          <w:color w:val="FFFFFF" w:themeColor="background1"/>
                          <w:sz w:val="22"/>
                          <w:lang w:val="pt-BR"/>
                        </w:rPr>
                        <w:t xml:space="preserve"> </w:t>
                      </w:r>
                      <w:r w:rsidR="00906F02">
                        <w:rPr>
                          <w:rFonts w:asciiTheme="minorHAnsi" w:hAnsiTheme="minorHAnsi"/>
                          <w:color w:val="FFFFFF" w:themeColor="background1"/>
                          <w:sz w:val="22"/>
                        </w:rPr>
                        <w:t>8 July</w:t>
                      </w:r>
                      <w:r w:rsidR="000C4365" w:rsidRPr="00906F02">
                        <w:rPr>
                          <w:rFonts w:asciiTheme="minorHAnsi" w:hAnsiTheme="minorHAnsi"/>
                          <w:color w:val="FFFFFF" w:themeColor="background1"/>
                          <w:sz w:val="22"/>
                        </w:rPr>
                        <w:t xml:space="preserve"> </w:t>
                      </w:r>
                      <w:r w:rsidR="002F2697" w:rsidRPr="00906F02">
                        <w:rPr>
                          <w:rFonts w:asciiTheme="minorHAnsi" w:hAnsiTheme="minorHAnsi"/>
                          <w:color w:val="FFFFFF" w:themeColor="background1"/>
                          <w:sz w:val="22"/>
                        </w:rPr>
                        <w:t>202</w:t>
                      </w:r>
                      <w:r w:rsidR="008F17F1" w:rsidRPr="00906F02">
                        <w:rPr>
                          <w:rFonts w:asciiTheme="minorHAnsi" w:hAnsiTheme="minorHAnsi"/>
                          <w:color w:val="FFFFFF" w:themeColor="background1"/>
                          <w:sz w:val="22"/>
                        </w:rPr>
                        <w:t>1</w:t>
                      </w:r>
                    </w:p>
                    <w:p w14:paraId="35D3ABA3" w14:textId="4D5A616E" w:rsidR="00627C9F" w:rsidRPr="004B7EB6" w:rsidRDefault="00627C9F" w:rsidP="009E566A">
                      <w:pPr>
                        <w:jc w:val="right"/>
                        <w:rPr>
                          <w:rFonts w:asciiTheme="minorHAnsi" w:hAnsiTheme="minorHAnsi"/>
                          <w:color w:val="FFFFFF" w:themeColor="background1"/>
                          <w:sz w:val="22"/>
                        </w:rPr>
                      </w:pPr>
                      <w:r w:rsidRPr="00906F02">
                        <w:rPr>
                          <w:rFonts w:asciiTheme="minorHAnsi" w:hAnsiTheme="minorHAnsi"/>
                          <w:color w:val="FFFFFF" w:themeColor="background1"/>
                          <w:sz w:val="22"/>
                        </w:rPr>
                        <w:t>Original:</w:t>
                      </w:r>
                      <w:r w:rsidR="002C1641" w:rsidRPr="00906F02">
                        <w:rPr>
                          <w:rFonts w:asciiTheme="minorHAnsi" w:hAnsiTheme="minorHAnsi"/>
                          <w:color w:val="FFFFFF" w:themeColor="background1"/>
                          <w:sz w:val="22"/>
                        </w:rPr>
                        <w:t xml:space="preserve"> </w:t>
                      </w:r>
                      <w:r w:rsidR="00F42B71" w:rsidRPr="00906F02">
                        <w:rPr>
                          <w:rFonts w:asciiTheme="minorHAnsi" w:hAnsiTheme="minorHAnsi"/>
                          <w:color w:val="FFFFFF" w:themeColor="background1"/>
                          <w:sz w:val="22"/>
                        </w:rPr>
                        <w:t>Spanish</w:t>
                      </w:r>
                    </w:p>
                  </w:txbxContent>
                </v:textbox>
              </v:shape>
            </w:pict>
          </mc:Fallback>
        </mc:AlternateContent>
      </w:r>
    </w:p>
    <w:p w14:paraId="316B8AC2" w14:textId="77777777" w:rsidR="00040C3A" w:rsidRPr="00196AE1" w:rsidRDefault="00040C3A" w:rsidP="00040C3A">
      <w:pPr>
        <w:tabs>
          <w:tab w:val="center" w:pos="5400"/>
        </w:tabs>
        <w:suppressAutoHyphens/>
        <w:jc w:val="center"/>
        <w:rPr>
          <w:rFonts w:asciiTheme="majorHAnsi" w:hAnsiTheme="majorHAnsi"/>
          <w:sz w:val="22"/>
          <w:szCs w:val="22"/>
        </w:rPr>
      </w:pPr>
    </w:p>
    <w:p w14:paraId="05B705ED" w14:textId="77777777" w:rsidR="00040C3A" w:rsidRPr="00196AE1" w:rsidRDefault="00040C3A" w:rsidP="00040C3A">
      <w:pPr>
        <w:tabs>
          <w:tab w:val="center" w:pos="5400"/>
        </w:tabs>
        <w:suppressAutoHyphens/>
        <w:jc w:val="center"/>
        <w:rPr>
          <w:rFonts w:asciiTheme="majorHAnsi" w:hAnsiTheme="majorHAnsi" w:cs="Arial"/>
          <w:sz w:val="22"/>
          <w:szCs w:val="22"/>
        </w:rPr>
      </w:pPr>
    </w:p>
    <w:p w14:paraId="596B1995" w14:textId="77777777" w:rsidR="00040C3A" w:rsidRPr="00196AE1" w:rsidRDefault="00040C3A" w:rsidP="00040C3A">
      <w:pPr>
        <w:tabs>
          <w:tab w:val="center" w:pos="5400"/>
        </w:tabs>
        <w:suppressAutoHyphens/>
        <w:jc w:val="center"/>
        <w:rPr>
          <w:rFonts w:asciiTheme="majorHAnsi" w:hAnsiTheme="majorHAnsi"/>
          <w:sz w:val="22"/>
          <w:szCs w:val="22"/>
        </w:rPr>
      </w:pPr>
    </w:p>
    <w:p w14:paraId="7CC143B7" w14:textId="77777777" w:rsidR="00040C3A" w:rsidRPr="00196AE1" w:rsidRDefault="00040C3A" w:rsidP="00040C3A">
      <w:pPr>
        <w:tabs>
          <w:tab w:val="center" w:pos="5400"/>
        </w:tabs>
        <w:suppressAutoHyphens/>
        <w:jc w:val="center"/>
        <w:rPr>
          <w:rFonts w:asciiTheme="majorHAnsi" w:hAnsiTheme="majorHAnsi"/>
          <w:sz w:val="22"/>
          <w:szCs w:val="22"/>
        </w:rPr>
      </w:pPr>
    </w:p>
    <w:p w14:paraId="1D4FB47A" w14:textId="77777777" w:rsidR="00040C3A" w:rsidRPr="00196AE1" w:rsidRDefault="00040C3A" w:rsidP="00040C3A">
      <w:pPr>
        <w:tabs>
          <w:tab w:val="center" w:pos="5400"/>
        </w:tabs>
        <w:suppressAutoHyphens/>
        <w:jc w:val="center"/>
        <w:rPr>
          <w:rFonts w:asciiTheme="majorHAnsi" w:hAnsiTheme="majorHAnsi"/>
          <w:sz w:val="22"/>
          <w:szCs w:val="22"/>
        </w:rPr>
      </w:pPr>
    </w:p>
    <w:p w14:paraId="15CB5C81" w14:textId="77777777" w:rsidR="00040C3A" w:rsidRPr="00196AE1" w:rsidRDefault="00040C3A" w:rsidP="00040C3A">
      <w:pPr>
        <w:tabs>
          <w:tab w:val="center" w:pos="5400"/>
        </w:tabs>
        <w:suppressAutoHyphens/>
        <w:jc w:val="center"/>
        <w:rPr>
          <w:rFonts w:asciiTheme="majorHAnsi" w:hAnsiTheme="majorHAnsi"/>
          <w:sz w:val="22"/>
          <w:szCs w:val="22"/>
        </w:rPr>
      </w:pPr>
    </w:p>
    <w:p w14:paraId="35A86C79" w14:textId="77777777" w:rsidR="005128E4" w:rsidRPr="00196AE1" w:rsidRDefault="005128E4" w:rsidP="00040C3A">
      <w:pPr>
        <w:tabs>
          <w:tab w:val="center" w:pos="5400"/>
        </w:tabs>
        <w:suppressAutoHyphens/>
        <w:jc w:val="center"/>
        <w:rPr>
          <w:rFonts w:asciiTheme="majorHAnsi" w:hAnsiTheme="majorHAnsi"/>
          <w:sz w:val="22"/>
          <w:szCs w:val="22"/>
        </w:rPr>
      </w:pPr>
    </w:p>
    <w:p w14:paraId="19562CDC" w14:textId="77777777" w:rsidR="00040C3A" w:rsidRPr="00196AE1" w:rsidRDefault="00040C3A" w:rsidP="00040C3A">
      <w:pPr>
        <w:tabs>
          <w:tab w:val="center" w:pos="5400"/>
        </w:tabs>
        <w:suppressAutoHyphens/>
        <w:jc w:val="center"/>
        <w:rPr>
          <w:rFonts w:asciiTheme="majorHAnsi" w:hAnsiTheme="majorHAnsi"/>
          <w:sz w:val="22"/>
          <w:szCs w:val="22"/>
        </w:rPr>
      </w:pPr>
    </w:p>
    <w:p w14:paraId="1A03B1AA" w14:textId="77777777" w:rsidR="005128E4" w:rsidRPr="00196AE1" w:rsidRDefault="005128E4" w:rsidP="00040C3A">
      <w:pPr>
        <w:tabs>
          <w:tab w:val="center" w:pos="5400"/>
        </w:tabs>
        <w:suppressAutoHyphens/>
        <w:jc w:val="center"/>
        <w:rPr>
          <w:rFonts w:asciiTheme="majorHAnsi" w:hAnsiTheme="majorHAnsi"/>
          <w:sz w:val="22"/>
          <w:szCs w:val="22"/>
        </w:rPr>
      </w:pPr>
    </w:p>
    <w:p w14:paraId="1AC39403" w14:textId="77777777" w:rsidR="005128E4" w:rsidRPr="00196AE1" w:rsidRDefault="005128E4" w:rsidP="00040C3A">
      <w:pPr>
        <w:tabs>
          <w:tab w:val="center" w:pos="5400"/>
        </w:tabs>
        <w:suppressAutoHyphens/>
        <w:jc w:val="center"/>
        <w:rPr>
          <w:rFonts w:asciiTheme="majorHAnsi" w:hAnsiTheme="majorHAnsi"/>
          <w:sz w:val="22"/>
          <w:szCs w:val="22"/>
        </w:rPr>
      </w:pPr>
    </w:p>
    <w:p w14:paraId="5C11F4FB" w14:textId="77777777" w:rsidR="005128E4" w:rsidRPr="00196AE1" w:rsidRDefault="005128E4" w:rsidP="00040C3A">
      <w:pPr>
        <w:tabs>
          <w:tab w:val="center" w:pos="5400"/>
        </w:tabs>
        <w:suppressAutoHyphens/>
        <w:jc w:val="center"/>
        <w:rPr>
          <w:rFonts w:asciiTheme="majorHAnsi" w:hAnsiTheme="majorHAnsi"/>
          <w:sz w:val="22"/>
          <w:szCs w:val="22"/>
        </w:rPr>
      </w:pPr>
    </w:p>
    <w:p w14:paraId="37F01C5F" w14:textId="77777777" w:rsidR="00040C3A" w:rsidRPr="00196AE1" w:rsidRDefault="00040C3A" w:rsidP="00040C3A">
      <w:pPr>
        <w:tabs>
          <w:tab w:val="center" w:pos="5400"/>
        </w:tabs>
        <w:suppressAutoHyphens/>
        <w:jc w:val="center"/>
        <w:rPr>
          <w:rFonts w:asciiTheme="majorHAnsi" w:hAnsiTheme="majorHAnsi"/>
          <w:sz w:val="22"/>
          <w:szCs w:val="22"/>
        </w:rPr>
      </w:pPr>
    </w:p>
    <w:p w14:paraId="117D4487" w14:textId="77777777" w:rsidR="00040C3A" w:rsidRPr="00196AE1" w:rsidRDefault="00040C3A" w:rsidP="00040C3A">
      <w:pPr>
        <w:tabs>
          <w:tab w:val="center" w:pos="5400"/>
        </w:tabs>
        <w:suppressAutoHyphens/>
        <w:jc w:val="center"/>
        <w:rPr>
          <w:rFonts w:asciiTheme="majorHAnsi" w:hAnsiTheme="majorHAnsi"/>
          <w:sz w:val="22"/>
          <w:szCs w:val="22"/>
        </w:rPr>
      </w:pPr>
    </w:p>
    <w:p w14:paraId="0DBAA49F" w14:textId="77777777" w:rsidR="002C1641" w:rsidRPr="00196AE1" w:rsidRDefault="002C1641" w:rsidP="00040C3A">
      <w:pPr>
        <w:tabs>
          <w:tab w:val="center" w:pos="5400"/>
        </w:tabs>
        <w:suppressAutoHyphens/>
        <w:jc w:val="center"/>
        <w:rPr>
          <w:rFonts w:asciiTheme="majorHAnsi" w:hAnsiTheme="majorHAnsi"/>
          <w:sz w:val="18"/>
          <w:szCs w:val="22"/>
        </w:rPr>
      </w:pPr>
    </w:p>
    <w:p w14:paraId="4C4A165E" w14:textId="77777777" w:rsidR="002C1641" w:rsidRPr="00196AE1" w:rsidRDefault="002C1641" w:rsidP="00040C3A">
      <w:pPr>
        <w:tabs>
          <w:tab w:val="center" w:pos="5400"/>
        </w:tabs>
        <w:suppressAutoHyphens/>
        <w:jc w:val="center"/>
        <w:rPr>
          <w:rFonts w:asciiTheme="majorHAnsi" w:hAnsiTheme="majorHAnsi"/>
          <w:sz w:val="18"/>
          <w:szCs w:val="22"/>
        </w:rPr>
      </w:pPr>
    </w:p>
    <w:p w14:paraId="5148ED3D" w14:textId="77777777" w:rsidR="002C1641" w:rsidRPr="00196AE1" w:rsidRDefault="002C1641" w:rsidP="00040C3A">
      <w:pPr>
        <w:tabs>
          <w:tab w:val="center" w:pos="5400"/>
        </w:tabs>
        <w:suppressAutoHyphens/>
        <w:jc w:val="center"/>
        <w:rPr>
          <w:rFonts w:asciiTheme="majorHAnsi" w:hAnsiTheme="majorHAnsi"/>
          <w:sz w:val="18"/>
          <w:szCs w:val="22"/>
        </w:rPr>
      </w:pPr>
      <w:bookmarkStart w:id="0" w:name="_GoBack"/>
      <w:bookmarkEnd w:id="0"/>
    </w:p>
    <w:p w14:paraId="75C215DF" w14:textId="77777777" w:rsidR="002C1641" w:rsidRPr="00196AE1" w:rsidRDefault="002C1641" w:rsidP="00040C3A">
      <w:pPr>
        <w:tabs>
          <w:tab w:val="center" w:pos="5400"/>
        </w:tabs>
        <w:suppressAutoHyphens/>
        <w:jc w:val="center"/>
        <w:rPr>
          <w:rFonts w:asciiTheme="majorHAnsi" w:hAnsiTheme="majorHAnsi"/>
          <w:sz w:val="18"/>
          <w:szCs w:val="22"/>
        </w:rPr>
      </w:pPr>
    </w:p>
    <w:p w14:paraId="31CE0E9D" w14:textId="77777777" w:rsidR="002C1641" w:rsidRPr="00196AE1" w:rsidRDefault="002C1641" w:rsidP="00040C3A">
      <w:pPr>
        <w:tabs>
          <w:tab w:val="center" w:pos="5400"/>
        </w:tabs>
        <w:suppressAutoHyphens/>
        <w:jc w:val="center"/>
        <w:rPr>
          <w:rFonts w:asciiTheme="majorHAnsi" w:hAnsiTheme="majorHAnsi"/>
          <w:sz w:val="18"/>
          <w:szCs w:val="22"/>
        </w:rPr>
      </w:pPr>
    </w:p>
    <w:p w14:paraId="49136797" w14:textId="77777777" w:rsidR="002C1641" w:rsidRPr="00196AE1" w:rsidRDefault="002C1641" w:rsidP="00040C3A">
      <w:pPr>
        <w:tabs>
          <w:tab w:val="center" w:pos="5400"/>
        </w:tabs>
        <w:suppressAutoHyphens/>
        <w:jc w:val="center"/>
        <w:rPr>
          <w:rFonts w:asciiTheme="majorHAnsi" w:hAnsiTheme="majorHAnsi"/>
          <w:sz w:val="18"/>
          <w:szCs w:val="22"/>
        </w:rPr>
      </w:pPr>
    </w:p>
    <w:p w14:paraId="0879DB6F" w14:textId="77777777" w:rsidR="002C1641" w:rsidRPr="00196AE1" w:rsidRDefault="002C1641" w:rsidP="00040C3A">
      <w:pPr>
        <w:tabs>
          <w:tab w:val="center" w:pos="5400"/>
        </w:tabs>
        <w:suppressAutoHyphens/>
        <w:jc w:val="center"/>
        <w:rPr>
          <w:rFonts w:asciiTheme="majorHAnsi" w:hAnsiTheme="majorHAnsi"/>
          <w:sz w:val="18"/>
          <w:szCs w:val="22"/>
        </w:rPr>
      </w:pPr>
    </w:p>
    <w:p w14:paraId="45E3E10E" w14:textId="77777777" w:rsidR="002C1641" w:rsidRPr="00196AE1" w:rsidRDefault="002C1641" w:rsidP="00040C3A">
      <w:pPr>
        <w:tabs>
          <w:tab w:val="center" w:pos="5400"/>
        </w:tabs>
        <w:suppressAutoHyphens/>
        <w:jc w:val="center"/>
        <w:rPr>
          <w:rFonts w:asciiTheme="majorHAnsi" w:hAnsiTheme="majorHAnsi"/>
          <w:sz w:val="18"/>
          <w:szCs w:val="22"/>
        </w:rPr>
      </w:pPr>
    </w:p>
    <w:p w14:paraId="523DA49C" w14:textId="77777777" w:rsidR="002C1641" w:rsidRPr="00196AE1" w:rsidRDefault="002C1641" w:rsidP="00040C3A">
      <w:pPr>
        <w:tabs>
          <w:tab w:val="center" w:pos="5400"/>
        </w:tabs>
        <w:suppressAutoHyphens/>
        <w:jc w:val="center"/>
        <w:rPr>
          <w:rFonts w:asciiTheme="majorHAnsi" w:hAnsiTheme="majorHAnsi"/>
          <w:sz w:val="18"/>
          <w:szCs w:val="22"/>
        </w:rPr>
      </w:pPr>
    </w:p>
    <w:p w14:paraId="21E0DC4D" w14:textId="77777777" w:rsidR="002C1641" w:rsidRPr="00196AE1" w:rsidRDefault="002C1641" w:rsidP="00040C3A">
      <w:pPr>
        <w:tabs>
          <w:tab w:val="center" w:pos="5400"/>
        </w:tabs>
        <w:suppressAutoHyphens/>
        <w:jc w:val="center"/>
        <w:rPr>
          <w:rFonts w:asciiTheme="majorHAnsi" w:hAnsiTheme="majorHAnsi"/>
          <w:sz w:val="18"/>
          <w:szCs w:val="22"/>
        </w:rPr>
      </w:pPr>
    </w:p>
    <w:p w14:paraId="4A703177" w14:textId="77777777" w:rsidR="002C1641" w:rsidRPr="00196AE1" w:rsidRDefault="002C1641" w:rsidP="00040C3A">
      <w:pPr>
        <w:tabs>
          <w:tab w:val="center" w:pos="5400"/>
        </w:tabs>
        <w:suppressAutoHyphens/>
        <w:jc w:val="center"/>
        <w:rPr>
          <w:rFonts w:asciiTheme="majorHAnsi" w:hAnsiTheme="majorHAnsi"/>
          <w:sz w:val="18"/>
          <w:szCs w:val="22"/>
        </w:rPr>
      </w:pPr>
    </w:p>
    <w:p w14:paraId="4D26849C" w14:textId="77777777" w:rsidR="002C1641" w:rsidRPr="00196AE1" w:rsidRDefault="002C1641" w:rsidP="00040C3A">
      <w:pPr>
        <w:tabs>
          <w:tab w:val="center" w:pos="5400"/>
        </w:tabs>
        <w:suppressAutoHyphens/>
        <w:jc w:val="center"/>
        <w:rPr>
          <w:rFonts w:asciiTheme="majorHAnsi" w:hAnsiTheme="majorHAnsi"/>
          <w:sz w:val="18"/>
          <w:szCs w:val="22"/>
        </w:rPr>
      </w:pPr>
    </w:p>
    <w:p w14:paraId="59BA4177" w14:textId="60A2BB5F" w:rsidR="002C1641" w:rsidRPr="00196AE1" w:rsidRDefault="009B306D" w:rsidP="00040C3A">
      <w:pPr>
        <w:tabs>
          <w:tab w:val="center" w:pos="5400"/>
        </w:tabs>
        <w:suppressAutoHyphens/>
        <w:jc w:val="center"/>
        <w:rPr>
          <w:rFonts w:asciiTheme="majorHAnsi" w:hAnsiTheme="majorHAnsi"/>
          <w:sz w:val="18"/>
          <w:szCs w:val="22"/>
        </w:rPr>
      </w:pPr>
      <w:r w:rsidRPr="00196AE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544AF874" w:rsidR="009B306D" w:rsidRPr="009B306D" w:rsidRDefault="00906F02"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Pr>
                                <w:rFonts w:asciiTheme="majorHAnsi" w:hAnsiTheme="majorHAnsi"/>
                                <w:color w:val="0D0D0D" w:themeColor="text1" w:themeTint="F2"/>
                                <w:sz w:val="20"/>
                              </w:rPr>
                              <w:t xml:space="preserve">lectronically by the Commission </w:t>
                            </w:r>
                            <w:r w:rsidR="009B306D" w:rsidRPr="00906F02">
                              <w:rPr>
                                <w:rFonts w:asciiTheme="majorHAnsi" w:hAnsiTheme="majorHAnsi"/>
                                <w:color w:val="0D0D0D" w:themeColor="text1" w:themeTint="F2"/>
                                <w:sz w:val="20"/>
                              </w:rPr>
                              <w:t xml:space="preserve">on </w:t>
                            </w:r>
                            <w:r>
                              <w:rPr>
                                <w:rFonts w:asciiTheme="majorHAnsi" w:hAnsiTheme="majorHAnsi"/>
                                <w:color w:val="0D0D0D" w:themeColor="text1" w:themeTint="F2"/>
                                <w:sz w:val="20"/>
                              </w:rPr>
                              <w:t>July 8, 2021</w:t>
                            </w:r>
                            <w:r w:rsidR="004B65C4">
                              <w:rPr>
                                <w:rFonts w:asciiTheme="majorHAnsi" w:hAnsiTheme="majorHAnsi"/>
                                <w:color w:val="0D0D0D" w:themeColor="text1" w:themeTint="F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2BC2D" id="_x0000_t202" coordsize="21600,21600" o:spt="202" path="m,l,21600r21600,l21600,xe">
                <v:stroke joinstyle="miter"/>
                <v:path gradientshapeok="t" o:connecttype="rect"/>
              </v:shapetype>
              <v:shape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544AF874" w:rsidR="009B306D" w:rsidRPr="009B306D" w:rsidRDefault="00906F02"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Pr>
                          <w:rFonts w:asciiTheme="majorHAnsi" w:hAnsiTheme="majorHAnsi"/>
                          <w:color w:val="0D0D0D" w:themeColor="text1" w:themeTint="F2"/>
                          <w:sz w:val="20"/>
                        </w:rPr>
                        <w:t xml:space="preserve">lectronically by the Commission </w:t>
                      </w:r>
                      <w:r w:rsidR="009B306D" w:rsidRPr="00906F02">
                        <w:rPr>
                          <w:rFonts w:asciiTheme="majorHAnsi" w:hAnsiTheme="majorHAnsi"/>
                          <w:color w:val="0D0D0D" w:themeColor="text1" w:themeTint="F2"/>
                          <w:sz w:val="20"/>
                        </w:rPr>
                        <w:t xml:space="preserve">on </w:t>
                      </w:r>
                      <w:r>
                        <w:rPr>
                          <w:rFonts w:asciiTheme="majorHAnsi" w:hAnsiTheme="majorHAnsi"/>
                          <w:color w:val="0D0D0D" w:themeColor="text1" w:themeTint="F2"/>
                          <w:sz w:val="20"/>
                        </w:rPr>
                        <w:t>July 8, 2021</w:t>
                      </w:r>
                      <w:r w:rsidR="004B65C4">
                        <w:rPr>
                          <w:rFonts w:asciiTheme="majorHAnsi" w:hAnsiTheme="majorHAnsi"/>
                          <w:color w:val="0D0D0D" w:themeColor="text1" w:themeTint="F2"/>
                          <w:sz w:val="20"/>
                        </w:rPr>
                        <w:t>.</w:t>
                      </w:r>
                    </w:p>
                  </w:txbxContent>
                </v:textbox>
              </v:shape>
            </w:pict>
          </mc:Fallback>
        </mc:AlternateContent>
      </w:r>
    </w:p>
    <w:p w14:paraId="596E688A" w14:textId="0B94A5A1" w:rsidR="002C1641" w:rsidRPr="00196AE1" w:rsidRDefault="002C1641" w:rsidP="00040C3A">
      <w:pPr>
        <w:tabs>
          <w:tab w:val="center" w:pos="5400"/>
        </w:tabs>
        <w:suppressAutoHyphens/>
        <w:jc w:val="center"/>
        <w:rPr>
          <w:rFonts w:asciiTheme="majorHAnsi" w:hAnsiTheme="majorHAnsi"/>
          <w:sz w:val="18"/>
          <w:szCs w:val="22"/>
        </w:rPr>
      </w:pPr>
    </w:p>
    <w:p w14:paraId="7BAD6F10" w14:textId="77777777" w:rsidR="002C1641" w:rsidRPr="00196AE1" w:rsidRDefault="002C1641" w:rsidP="00040C3A">
      <w:pPr>
        <w:tabs>
          <w:tab w:val="center" w:pos="5400"/>
        </w:tabs>
        <w:suppressAutoHyphens/>
        <w:jc w:val="center"/>
        <w:rPr>
          <w:rFonts w:asciiTheme="majorHAnsi" w:hAnsiTheme="majorHAnsi"/>
          <w:sz w:val="18"/>
          <w:szCs w:val="22"/>
        </w:rPr>
      </w:pPr>
    </w:p>
    <w:p w14:paraId="478ABF75" w14:textId="77777777" w:rsidR="002C1641" w:rsidRPr="00196AE1" w:rsidRDefault="002C1641" w:rsidP="00040C3A">
      <w:pPr>
        <w:tabs>
          <w:tab w:val="center" w:pos="5400"/>
        </w:tabs>
        <w:suppressAutoHyphens/>
        <w:jc w:val="center"/>
        <w:rPr>
          <w:rFonts w:asciiTheme="majorHAnsi" w:hAnsiTheme="majorHAnsi"/>
          <w:sz w:val="18"/>
          <w:szCs w:val="22"/>
        </w:rPr>
      </w:pPr>
    </w:p>
    <w:p w14:paraId="30DFD514" w14:textId="77777777" w:rsidR="002C1641" w:rsidRPr="00196AE1" w:rsidRDefault="002C1641" w:rsidP="00040C3A">
      <w:pPr>
        <w:tabs>
          <w:tab w:val="center" w:pos="5400"/>
        </w:tabs>
        <w:suppressAutoHyphens/>
        <w:jc w:val="center"/>
        <w:rPr>
          <w:rFonts w:asciiTheme="majorHAnsi" w:hAnsiTheme="majorHAnsi"/>
          <w:sz w:val="18"/>
          <w:szCs w:val="22"/>
        </w:rPr>
      </w:pPr>
    </w:p>
    <w:p w14:paraId="15FE377C" w14:textId="77777777" w:rsidR="002C1641" w:rsidRPr="00196AE1" w:rsidRDefault="003C32BC" w:rsidP="00040C3A">
      <w:pPr>
        <w:tabs>
          <w:tab w:val="center" w:pos="5400"/>
        </w:tabs>
        <w:suppressAutoHyphens/>
        <w:jc w:val="center"/>
        <w:rPr>
          <w:rFonts w:asciiTheme="majorHAnsi" w:hAnsiTheme="majorHAnsi"/>
          <w:sz w:val="18"/>
          <w:szCs w:val="22"/>
        </w:rPr>
      </w:pPr>
      <w:r w:rsidRPr="00196AE1">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11479CA2"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w:t>
                            </w:r>
                            <w:r w:rsidRPr="00906F02">
                              <w:rPr>
                                <w:rFonts w:asciiTheme="majorHAnsi" w:hAnsiTheme="majorHAnsi"/>
                                <w:color w:val="595959" w:themeColor="text1" w:themeTint="A6"/>
                                <w:sz w:val="18"/>
                              </w:rPr>
                              <w:t xml:space="preserve">No. </w:t>
                            </w:r>
                            <w:r w:rsidR="00906F02">
                              <w:rPr>
                                <w:rFonts w:asciiTheme="majorHAnsi" w:hAnsiTheme="majorHAnsi"/>
                                <w:color w:val="595959" w:themeColor="text1" w:themeTint="A6"/>
                                <w:sz w:val="18"/>
                              </w:rPr>
                              <w:t>149</w:t>
                            </w:r>
                            <w:r w:rsidR="00022CF5" w:rsidRPr="00906F02">
                              <w:rPr>
                                <w:rFonts w:asciiTheme="majorHAnsi" w:hAnsiTheme="majorHAnsi"/>
                                <w:color w:val="595959" w:themeColor="text1" w:themeTint="A6"/>
                                <w:sz w:val="18"/>
                              </w:rPr>
                              <w:t>/</w:t>
                            </w:r>
                            <w:r w:rsidR="002F2697" w:rsidRPr="00906F02">
                              <w:rPr>
                                <w:rFonts w:asciiTheme="majorHAnsi" w:hAnsiTheme="majorHAnsi"/>
                                <w:color w:val="595959" w:themeColor="text1" w:themeTint="A6"/>
                                <w:sz w:val="18"/>
                              </w:rPr>
                              <w:t>2</w:t>
                            </w:r>
                            <w:r w:rsidR="008F17F1" w:rsidRPr="00906F02">
                              <w:rPr>
                                <w:rFonts w:asciiTheme="majorHAnsi" w:hAnsiTheme="majorHAnsi"/>
                                <w:color w:val="595959" w:themeColor="text1" w:themeTint="A6"/>
                                <w:sz w:val="18"/>
                              </w:rPr>
                              <w:t>1</w:t>
                            </w:r>
                            <w:r w:rsidRPr="00906F02">
                              <w:rPr>
                                <w:rFonts w:asciiTheme="majorHAnsi" w:hAnsiTheme="majorHAnsi"/>
                                <w:color w:val="595959" w:themeColor="text1" w:themeTint="A6"/>
                                <w:sz w:val="18"/>
                              </w:rPr>
                              <w:t xml:space="preserve">, </w:t>
                            </w:r>
                            <w:r w:rsidR="00F42B71" w:rsidRPr="00906F02">
                              <w:rPr>
                                <w:rFonts w:asciiTheme="majorHAnsi" w:hAnsiTheme="majorHAnsi"/>
                                <w:color w:val="595959" w:themeColor="text1" w:themeTint="A6"/>
                                <w:sz w:val="18"/>
                              </w:rPr>
                              <w:t xml:space="preserve">Petition </w:t>
                            </w:r>
                            <w:r w:rsidR="008F6715" w:rsidRPr="00906F02">
                              <w:rPr>
                                <w:rFonts w:asciiTheme="majorHAnsi" w:hAnsiTheme="majorHAnsi"/>
                                <w:color w:val="595959" w:themeColor="text1" w:themeTint="A6"/>
                                <w:sz w:val="18"/>
                              </w:rPr>
                              <w:t>1699-13</w:t>
                            </w:r>
                            <w:r w:rsidRPr="00906F02">
                              <w:rPr>
                                <w:rFonts w:asciiTheme="majorHAnsi" w:hAnsiTheme="majorHAnsi"/>
                                <w:color w:val="595959" w:themeColor="text1" w:themeTint="A6"/>
                                <w:sz w:val="18"/>
                              </w:rPr>
                              <w:t>.</w:t>
                            </w:r>
                            <w:r w:rsidR="009E566A" w:rsidRPr="00906F02">
                              <w:rPr>
                                <w:rFonts w:asciiTheme="majorHAnsi" w:hAnsiTheme="majorHAnsi"/>
                                <w:color w:val="595959" w:themeColor="text1" w:themeTint="A6"/>
                                <w:sz w:val="18"/>
                              </w:rPr>
                              <w:t xml:space="preserve"> </w:t>
                            </w:r>
                            <w:r w:rsidR="00466CAD" w:rsidRPr="00F53046">
                              <w:rPr>
                                <w:rFonts w:asciiTheme="majorHAnsi" w:hAnsiTheme="majorHAnsi"/>
                                <w:color w:val="595959" w:themeColor="text1" w:themeTint="A6"/>
                                <w:sz w:val="18"/>
                                <w:lang w:val="es-US"/>
                              </w:rPr>
                              <w:t>A</w:t>
                            </w:r>
                            <w:r w:rsidR="00F42B71" w:rsidRPr="00F53046">
                              <w:rPr>
                                <w:rFonts w:asciiTheme="majorHAnsi" w:hAnsiTheme="majorHAnsi"/>
                                <w:color w:val="595959" w:themeColor="text1" w:themeTint="A6"/>
                                <w:sz w:val="18"/>
                                <w:lang w:val="es-US"/>
                              </w:rPr>
                              <w:t>dmissibility</w:t>
                            </w:r>
                            <w:r w:rsidRPr="00F53046">
                              <w:rPr>
                                <w:rFonts w:asciiTheme="majorHAnsi" w:hAnsiTheme="majorHAnsi"/>
                                <w:color w:val="595959" w:themeColor="text1" w:themeTint="A6"/>
                                <w:sz w:val="18"/>
                                <w:lang w:val="es-US"/>
                              </w:rPr>
                              <w:t xml:space="preserve">. </w:t>
                            </w:r>
                            <w:r w:rsidR="008F6715" w:rsidRPr="00F53046">
                              <w:rPr>
                                <w:rFonts w:asciiTheme="majorHAnsi" w:hAnsiTheme="majorHAnsi"/>
                                <w:color w:val="595959" w:themeColor="text1" w:themeTint="A6"/>
                                <w:sz w:val="18"/>
                                <w:lang w:val="es-US"/>
                              </w:rPr>
                              <w:t xml:space="preserve">José Salomón Padilla. </w:t>
                            </w:r>
                            <w:r w:rsidR="00BA685A" w:rsidRPr="00F53046">
                              <w:rPr>
                                <w:rFonts w:asciiTheme="majorHAnsi" w:hAnsiTheme="majorHAnsi"/>
                                <w:color w:val="595959" w:themeColor="text1" w:themeTint="A6"/>
                                <w:sz w:val="18"/>
                                <w:lang w:val="es-US"/>
                              </w:rPr>
                              <w:br/>
                            </w:r>
                            <w:r w:rsidR="008F6715" w:rsidRPr="00906F02">
                              <w:rPr>
                                <w:rFonts w:asciiTheme="majorHAnsi" w:hAnsiTheme="majorHAnsi"/>
                                <w:color w:val="595959" w:themeColor="text1" w:themeTint="A6"/>
                                <w:sz w:val="18"/>
                                <w:lang w:val="es-ES"/>
                              </w:rPr>
                              <w:t>El Salvador.</w:t>
                            </w:r>
                            <w:r w:rsidR="00022CF5" w:rsidRPr="00906F02">
                              <w:rPr>
                                <w:rFonts w:asciiTheme="majorHAnsi" w:hAnsiTheme="majorHAnsi"/>
                                <w:color w:val="595959" w:themeColor="text1" w:themeTint="A6"/>
                                <w:sz w:val="18"/>
                                <w:lang w:val="es-ES"/>
                              </w:rPr>
                              <w:t xml:space="preserve"> </w:t>
                            </w:r>
                            <w:r w:rsidR="00906F02">
                              <w:rPr>
                                <w:rFonts w:asciiTheme="majorHAnsi" w:hAnsiTheme="majorHAnsi"/>
                                <w:color w:val="595959" w:themeColor="text1" w:themeTint="A6"/>
                                <w:sz w:val="18"/>
                              </w:rPr>
                              <w:t>July 8, 2021</w:t>
                            </w:r>
                            <w:r w:rsidR="00F621C3" w:rsidRPr="00906F02">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11479CA2"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w:t>
                      </w:r>
                      <w:r w:rsidRPr="00906F02">
                        <w:rPr>
                          <w:rFonts w:asciiTheme="majorHAnsi" w:hAnsiTheme="majorHAnsi"/>
                          <w:color w:val="595959" w:themeColor="text1" w:themeTint="A6"/>
                          <w:sz w:val="18"/>
                        </w:rPr>
                        <w:t xml:space="preserve">No. </w:t>
                      </w:r>
                      <w:r w:rsidR="00906F02">
                        <w:rPr>
                          <w:rFonts w:asciiTheme="majorHAnsi" w:hAnsiTheme="majorHAnsi"/>
                          <w:color w:val="595959" w:themeColor="text1" w:themeTint="A6"/>
                          <w:sz w:val="18"/>
                        </w:rPr>
                        <w:t>149</w:t>
                      </w:r>
                      <w:r w:rsidR="00022CF5" w:rsidRPr="00906F02">
                        <w:rPr>
                          <w:rFonts w:asciiTheme="majorHAnsi" w:hAnsiTheme="majorHAnsi"/>
                          <w:color w:val="595959" w:themeColor="text1" w:themeTint="A6"/>
                          <w:sz w:val="18"/>
                        </w:rPr>
                        <w:t>/</w:t>
                      </w:r>
                      <w:r w:rsidR="002F2697" w:rsidRPr="00906F02">
                        <w:rPr>
                          <w:rFonts w:asciiTheme="majorHAnsi" w:hAnsiTheme="majorHAnsi"/>
                          <w:color w:val="595959" w:themeColor="text1" w:themeTint="A6"/>
                          <w:sz w:val="18"/>
                        </w:rPr>
                        <w:t>2</w:t>
                      </w:r>
                      <w:r w:rsidR="008F17F1" w:rsidRPr="00906F02">
                        <w:rPr>
                          <w:rFonts w:asciiTheme="majorHAnsi" w:hAnsiTheme="majorHAnsi"/>
                          <w:color w:val="595959" w:themeColor="text1" w:themeTint="A6"/>
                          <w:sz w:val="18"/>
                        </w:rPr>
                        <w:t>1</w:t>
                      </w:r>
                      <w:r w:rsidRPr="00906F02">
                        <w:rPr>
                          <w:rFonts w:asciiTheme="majorHAnsi" w:hAnsiTheme="majorHAnsi"/>
                          <w:color w:val="595959" w:themeColor="text1" w:themeTint="A6"/>
                          <w:sz w:val="18"/>
                        </w:rPr>
                        <w:t xml:space="preserve">, </w:t>
                      </w:r>
                      <w:r w:rsidR="00F42B71" w:rsidRPr="00906F02">
                        <w:rPr>
                          <w:rFonts w:asciiTheme="majorHAnsi" w:hAnsiTheme="majorHAnsi"/>
                          <w:color w:val="595959" w:themeColor="text1" w:themeTint="A6"/>
                          <w:sz w:val="18"/>
                        </w:rPr>
                        <w:t xml:space="preserve">Petition </w:t>
                      </w:r>
                      <w:r w:rsidR="008F6715" w:rsidRPr="00906F02">
                        <w:rPr>
                          <w:rFonts w:asciiTheme="majorHAnsi" w:hAnsiTheme="majorHAnsi"/>
                          <w:color w:val="595959" w:themeColor="text1" w:themeTint="A6"/>
                          <w:sz w:val="18"/>
                        </w:rPr>
                        <w:t>1699-13</w:t>
                      </w:r>
                      <w:r w:rsidRPr="00906F02">
                        <w:rPr>
                          <w:rFonts w:asciiTheme="majorHAnsi" w:hAnsiTheme="majorHAnsi"/>
                          <w:color w:val="595959" w:themeColor="text1" w:themeTint="A6"/>
                          <w:sz w:val="18"/>
                        </w:rPr>
                        <w:t>.</w:t>
                      </w:r>
                      <w:r w:rsidR="009E566A" w:rsidRPr="00906F02">
                        <w:rPr>
                          <w:rFonts w:asciiTheme="majorHAnsi" w:hAnsiTheme="majorHAnsi"/>
                          <w:color w:val="595959" w:themeColor="text1" w:themeTint="A6"/>
                          <w:sz w:val="18"/>
                        </w:rPr>
                        <w:t xml:space="preserve"> </w:t>
                      </w:r>
                      <w:r w:rsidR="00466CAD" w:rsidRPr="00906F02">
                        <w:rPr>
                          <w:rFonts w:asciiTheme="majorHAnsi" w:hAnsiTheme="majorHAnsi"/>
                          <w:color w:val="595959" w:themeColor="text1" w:themeTint="A6"/>
                          <w:sz w:val="18"/>
                        </w:rPr>
                        <w:t>A</w:t>
                      </w:r>
                      <w:r w:rsidR="00F42B71" w:rsidRPr="00906F02">
                        <w:rPr>
                          <w:rFonts w:asciiTheme="majorHAnsi" w:hAnsiTheme="majorHAnsi"/>
                          <w:color w:val="595959" w:themeColor="text1" w:themeTint="A6"/>
                          <w:sz w:val="18"/>
                        </w:rPr>
                        <w:t>dmissibility</w:t>
                      </w:r>
                      <w:r w:rsidRPr="00906F02">
                        <w:rPr>
                          <w:rFonts w:asciiTheme="majorHAnsi" w:hAnsiTheme="majorHAnsi"/>
                          <w:color w:val="595959" w:themeColor="text1" w:themeTint="A6"/>
                          <w:sz w:val="18"/>
                        </w:rPr>
                        <w:t xml:space="preserve">. </w:t>
                      </w:r>
                      <w:r w:rsidR="008F6715" w:rsidRPr="00906F02">
                        <w:rPr>
                          <w:rFonts w:asciiTheme="majorHAnsi" w:hAnsiTheme="majorHAnsi"/>
                          <w:color w:val="595959" w:themeColor="text1" w:themeTint="A6"/>
                          <w:sz w:val="18"/>
                        </w:rPr>
                        <w:t xml:space="preserve">José </w:t>
                      </w:r>
                      <w:proofErr w:type="spellStart"/>
                      <w:r w:rsidR="008F6715" w:rsidRPr="00906F02">
                        <w:rPr>
                          <w:rFonts w:asciiTheme="majorHAnsi" w:hAnsiTheme="majorHAnsi"/>
                          <w:color w:val="595959" w:themeColor="text1" w:themeTint="A6"/>
                          <w:sz w:val="18"/>
                        </w:rPr>
                        <w:t>Salomón</w:t>
                      </w:r>
                      <w:proofErr w:type="spellEnd"/>
                      <w:r w:rsidR="008F6715" w:rsidRPr="00906F02">
                        <w:rPr>
                          <w:rFonts w:asciiTheme="majorHAnsi" w:hAnsiTheme="majorHAnsi"/>
                          <w:color w:val="595959" w:themeColor="text1" w:themeTint="A6"/>
                          <w:sz w:val="18"/>
                        </w:rPr>
                        <w:t xml:space="preserve"> Padilla. </w:t>
                      </w:r>
                      <w:r w:rsidR="00BA685A" w:rsidRPr="00906F02">
                        <w:rPr>
                          <w:rFonts w:asciiTheme="majorHAnsi" w:hAnsiTheme="majorHAnsi"/>
                          <w:color w:val="595959" w:themeColor="text1" w:themeTint="A6"/>
                          <w:sz w:val="18"/>
                        </w:rPr>
                        <w:br/>
                      </w:r>
                      <w:r w:rsidR="008F6715" w:rsidRPr="00906F02">
                        <w:rPr>
                          <w:rFonts w:asciiTheme="majorHAnsi" w:hAnsiTheme="majorHAnsi"/>
                          <w:color w:val="595959" w:themeColor="text1" w:themeTint="A6"/>
                          <w:sz w:val="18"/>
                          <w:lang w:val="es-ES"/>
                        </w:rPr>
                        <w:t>El Salvador.</w:t>
                      </w:r>
                      <w:r w:rsidR="00022CF5" w:rsidRPr="00906F02">
                        <w:rPr>
                          <w:rFonts w:asciiTheme="majorHAnsi" w:hAnsiTheme="majorHAnsi"/>
                          <w:color w:val="595959" w:themeColor="text1" w:themeTint="A6"/>
                          <w:sz w:val="18"/>
                          <w:lang w:val="es-ES"/>
                        </w:rPr>
                        <w:t xml:space="preserve"> </w:t>
                      </w:r>
                      <w:r w:rsidR="00906F02">
                        <w:rPr>
                          <w:rFonts w:asciiTheme="majorHAnsi" w:hAnsiTheme="majorHAnsi"/>
                          <w:color w:val="595959" w:themeColor="text1" w:themeTint="A6"/>
                          <w:sz w:val="18"/>
                        </w:rPr>
                        <w:t>July 8, 2021</w:t>
                      </w:r>
                      <w:r w:rsidR="00F621C3" w:rsidRPr="00906F02">
                        <w:rPr>
                          <w:rFonts w:asciiTheme="majorHAnsi" w:hAnsiTheme="majorHAnsi"/>
                          <w:color w:val="595959" w:themeColor="text1" w:themeTint="A6"/>
                          <w:sz w:val="18"/>
                        </w:rPr>
                        <w:t>.</w:t>
                      </w:r>
                    </w:p>
                  </w:txbxContent>
                </v:textbox>
              </v:shape>
            </w:pict>
          </mc:Fallback>
        </mc:AlternateContent>
      </w:r>
    </w:p>
    <w:p w14:paraId="54A35402" w14:textId="54732CD0" w:rsidR="002C1641" w:rsidRPr="00196AE1" w:rsidRDefault="002C1641" w:rsidP="00040C3A">
      <w:pPr>
        <w:tabs>
          <w:tab w:val="center" w:pos="5400"/>
        </w:tabs>
        <w:suppressAutoHyphens/>
        <w:jc w:val="center"/>
        <w:rPr>
          <w:rFonts w:asciiTheme="majorHAnsi" w:hAnsiTheme="majorHAnsi"/>
          <w:sz w:val="18"/>
          <w:szCs w:val="22"/>
        </w:rPr>
      </w:pPr>
    </w:p>
    <w:p w14:paraId="18DAA0E7" w14:textId="4FC54D86" w:rsidR="002C1641" w:rsidRPr="00196AE1" w:rsidRDefault="002C1641" w:rsidP="00040C3A">
      <w:pPr>
        <w:tabs>
          <w:tab w:val="center" w:pos="5400"/>
        </w:tabs>
        <w:suppressAutoHyphens/>
        <w:jc w:val="center"/>
        <w:rPr>
          <w:rFonts w:asciiTheme="majorHAnsi" w:hAnsiTheme="majorHAnsi"/>
          <w:sz w:val="18"/>
          <w:szCs w:val="22"/>
        </w:rPr>
      </w:pPr>
    </w:p>
    <w:p w14:paraId="165B7F09" w14:textId="24B09380" w:rsidR="003C32BC" w:rsidRPr="00196AE1" w:rsidRDefault="003C32BC" w:rsidP="003C32BC">
      <w:pPr>
        <w:tabs>
          <w:tab w:val="center" w:pos="5400"/>
        </w:tabs>
        <w:suppressAutoHyphens/>
        <w:jc w:val="center"/>
        <w:rPr>
          <w:rFonts w:asciiTheme="majorHAnsi" w:hAnsiTheme="majorHAnsi"/>
          <w:sz w:val="18"/>
          <w:szCs w:val="22"/>
        </w:rPr>
      </w:pPr>
    </w:p>
    <w:p w14:paraId="4F2529D3" w14:textId="0F6A110E" w:rsidR="003C32BC" w:rsidRPr="00196AE1" w:rsidRDefault="00126E08" w:rsidP="003C32BC">
      <w:pPr>
        <w:tabs>
          <w:tab w:val="center" w:pos="5400"/>
        </w:tabs>
        <w:suppressAutoHyphens/>
        <w:jc w:val="center"/>
        <w:rPr>
          <w:rFonts w:asciiTheme="majorHAnsi" w:hAnsiTheme="majorHAnsi"/>
          <w:sz w:val="18"/>
          <w:szCs w:val="22"/>
        </w:rPr>
      </w:pPr>
      <w:r w:rsidRPr="00196AE1">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4CCCD63F">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81C44B" id="Text Box 2" o:spid="_x0000_s1031"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aL6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p0aIAV1DvsCw/dXAXHrxU+3g0L8Z55&#10;HCR8b1wO8Q4/UgOSD71EyRr879f0CY/9jVZKGhzMioZfG+YFJfqbxc7/PJ5M0iTnw2R6VuLBH1tW&#10;xxa7MZeAHTHGNeR4FhM+6kGUHswj7pBFyoomZjnmrmgcxMvYrQvcQVwsFhmEs+tYvLFLx1PoxHJq&#10;zYf2kXnX92/Ezr+FYYTZ7EUbd9jkaWGxiSBV7vHEc8dqzz/OfW79fkelxXJ8zqjDJp0/Aw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B8waL6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6311DA" w:rsidRPr="00196AE1">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BD502AD" wp14:editId="550F8EA4">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0C44B" w14:textId="3A481D1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906F02">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D502A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14:paraId="4450C44B" w14:textId="3A481D1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906F02">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FC26E46" w14:textId="3ECDB0B5" w:rsidR="007607C4" w:rsidRPr="00196AE1" w:rsidRDefault="007607C4" w:rsidP="003C32BC">
      <w:pPr>
        <w:tabs>
          <w:tab w:val="center" w:pos="5400"/>
        </w:tabs>
        <w:suppressAutoHyphens/>
        <w:jc w:val="center"/>
        <w:rPr>
          <w:rFonts w:asciiTheme="majorHAnsi" w:hAnsiTheme="majorHAnsi"/>
          <w:sz w:val="18"/>
          <w:szCs w:val="22"/>
        </w:rPr>
        <w:sectPr w:rsidR="007607C4" w:rsidRPr="00196AE1"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410D5F7A" w14:textId="4F255D2D" w:rsidR="00F621C3" w:rsidRPr="00196AE1" w:rsidRDefault="00F621C3" w:rsidP="00C355B4">
      <w:pPr>
        <w:spacing w:after="120"/>
        <w:ind w:firstLine="720"/>
        <w:jc w:val="both"/>
        <w:rPr>
          <w:rFonts w:asciiTheme="majorHAnsi" w:hAnsiTheme="majorHAnsi"/>
          <w:b/>
          <w:bCs/>
          <w:sz w:val="19"/>
          <w:szCs w:val="19"/>
        </w:rPr>
      </w:pPr>
      <w:r w:rsidRPr="00196AE1">
        <w:rPr>
          <w:rFonts w:asciiTheme="majorHAnsi" w:hAnsiTheme="majorHAnsi"/>
          <w:b/>
          <w:bCs/>
          <w:sz w:val="19"/>
          <w:szCs w:val="19"/>
        </w:rPr>
        <w:lastRenderedPageBreak/>
        <w:t>I.</w:t>
      </w:r>
      <w:r w:rsidRPr="00196AE1">
        <w:rPr>
          <w:rFonts w:asciiTheme="majorHAnsi" w:hAnsiTheme="majorHAnsi"/>
          <w:b/>
          <w:bCs/>
          <w:sz w:val="19"/>
          <w:szCs w:val="19"/>
        </w:rPr>
        <w:tab/>
      </w:r>
      <w:r w:rsidR="00592718" w:rsidRPr="00196AE1">
        <w:rPr>
          <w:rFonts w:asciiTheme="majorHAnsi" w:hAnsiTheme="majorHAnsi"/>
          <w:b/>
          <w:bCs/>
          <w:sz w:val="19"/>
          <w:szCs w:val="19"/>
        </w:rPr>
        <w:t>INFORMATION ABOUT THE PETITION</w:t>
      </w:r>
      <w:r w:rsidRPr="00196AE1">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3"/>
        <w:gridCol w:w="5787"/>
      </w:tblGrid>
      <w:tr w:rsidR="00261E08" w:rsidRPr="00F53046" w14:paraId="0D1CC739" w14:textId="77777777" w:rsidTr="000F326B">
        <w:tc>
          <w:tcPr>
            <w:tcW w:w="3573" w:type="dxa"/>
            <w:tcBorders>
              <w:top w:val="single" w:sz="4" w:space="0" w:color="auto"/>
              <w:bottom w:val="single" w:sz="6" w:space="0" w:color="auto"/>
            </w:tcBorders>
            <w:shd w:val="clear" w:color="auto" w:fill="67AE3C"/>
            <w:vAlign w:val="center"/>
          </w:tcPr>
          <w:p w14:paraId="3914A250" w14:textId="7B7204F8" w:rsidR="00261E08" w:rsidRPr="00196AE1" w:rsidRDefault="00261E08" w:rsidP="009163FC">
            <w:pPr>
              <w:jc w:val="center"/>
              <w:rPr>
                <w:rFonts w:asciiTheme="majorHAnsi" w:hAnsiTheme="majorHAnsi"/>
                <w:b/>
                <w:color w:val="FFFFFF" w:themeColor="background1"/>
                <w:sz w:val="20"/>
                <w:szCs w:val="20"/>
              </w:rPr>
            </w:pPr>
            <w:r w:rsidRPr="00196AE1">
              <w:rPr>
                <w:rFonts w:asciiTheme="majorHAnsi" w:hAnsiTheme="majorHAnsi"/>
                <w:b/>
                <w:color w:val="FFFFFF" w:themeColor="background1"/>
                <w:sz w:val="20"/>
                <w:szCs w:val="20"/>
              </w:rPr>
              <w:t>Petitioner</w:t>
            </w:r>
            <w:r w:rsidR="00466CAD" w:rsidRPr="00196AE1">
              <w:rPr>
                <w:rFonts w:asciiTheme="majorHAnsi" w:hAnsiTheme="majorHAnsi"/>
                <w:b/>
                <w:color w:val="FFFFFF" w:themeColor="background1"/>
                <w:sz w:val="20"/>
                <w:szCs w:val="20"/>
              </w:rPr>
              <w:t>s</w:t>
            </w:r>
            <w:r w:rsidR="00B77DBF" w:rsidRPr="00196AE1">
              <w:rPr>
                <w:rFonts w:asciiTheme="majorHAnsi" w:hAnsiTheme="majorHAnsi"/>
                <w:b/>
                <w:color w:val="FFFFFF" w:themeColor="background1"/>
                <w:sz w:val="20"/>
                <w:szCs w:val="20"/>
              </w:rPr>
              <w:t>:</w:t>
            </w:r>
          </w:p>
        </w:tc>
        <w:tc>
          <w:tcPr>
            <w:tcW w:w="5787" w:type="dxa"/>
          </w:tcPr>
          <w:p w14:paraId="67A3AC7B" w14:textId="4723747D" w:rsidR="00261E08" w:rsidRPr="00F53046" w:rsidRDefault="007E3FD0" w:rsidP="009163FC">
            <w:pPr>
              <w:jc w:val="both"/>
              <w:rPr>
                <w:rFonts w:asciiTheme="majorHAnsi" w:hAnsiTheme="majorHAnsi"/>
                <w:bCs/>
                <w:sz w:val="20"/>
                <w:szCs w:val="20"/>
                <w:lang w:val="es-US"/>
              </w:rPr>
            </w:pPr>
            <w:r w:rsidRPr="00F53046">
              <w:rPr>
                <w:rFonts w:ascii="Cambria" w:hAnsi="Cambria"/>
                <w:bCs/>
                <w:sz w:val="20"/>
                <w:szCs w:val="20"/>
                <w:bdr w:val="none" w:sz="0" w:space="0" w:color="auto" w:frame="1"/>
                <w:lang w:val="es-US"/>
              </w:rPr>
              <w:t>Orestes David Ortez Quintanar, Edwin Alfredo Trejo Ávalos, Julio Alberto López Pérez, and José Salomón Padilla</w:t>
            </w:r>
          </w:p>
        </w:tc>
      </w:tr>
      <w:tr w:rsidR="00261E08" w:rsidRPr="00196AE1" w14:paraId="4A730984" w14:textId="77777777" w:rsidTr="000F326B">
        <w:tc>
          <w:tcPr>
            <w:tcW w:w="3573" w:type="dxa"/>
            <w:tcBorders>
              <w:top w:val="single" w:sz="6" w:space="0" w:color="auto"/>
              <w:bottom w:val="single" w:sz="6" w:space="0" w:color="auto"/>
            </w:tcBorders>
            <w:shd w:val="clear" w:color="auto" w:fill="67AE3C"/>
            <w:vAlign w:val="center"/>
          </w:tcPr>
          <w:p w14:paraId="241395B3" w14:textId="6035A3D7" w:rsidR="00261E08" w:rsidRPr="00196AE1" w:rsidRDefault="00261E08" w:rsidP="009163FC">
            <w:pPr>
              <w:jc w:val="center"/>
              <w:rPr>
                <w:rFonts w:asciiTheme="majorHAnsi" w:hAnsiTheme="majorHAnsi"/>
                <w:b/>
                <w:color w:val="FFFFFF" w:themeColor="background1"/>
                <w:sz w:val="20"/>
                <w:szCs w:val="20"/>
              </w:rPr>
            </w:pPr>
            <w:r w:rsidRPr="00196AE1">
              <w:rPr>
                <w:rFonts w:asciiTheme="majorHAnsi" w:hAnsiTheme="majorHAnsi"/>
                <w:b/>
                <w:color w:val="FFFFFF" w:themeColor="background1"/>
                <w:sz w:val="20"/>
                <w:szCs w:val="20"/>
              </w:rPr>
              <w:t>Alleged victim</w:t>
            </w:r>
            <w:r w:rsidR="00B77DBF" w:rsidRPr="00196AE1">
              <w:rPr>
                <w:rFonts w:asciiTheme="majorHAnsi" w:hAnsiTheme="majorHAnsi"/>
                <w:b/>
                <w:color w:val="FFFFFF" w:themeColor="background1"/>
                <w:sz w:val="20"/>
                <w:szCs w:val="20"/>
              </w:rPr>
              <w:t>:</w:t>
            </w:r>
          </w:p>
        </w:tc>
        <w:tc>
          <w:tcPr>
            <w:tcW w:w="5787" w:type="dxa"/>
          </w:tcPr>
          <w:p w14:paraId="1E62AC27" w14:textId="22D2A065" w:rsidR="00261E08" w:rsidRPr="00196AE1" w:rsidRDefault="007E3FD0" w:rsidP="009163FC">
            <w:pPr>
              <w:jc w:val="both"/>
              <w:rPr>
                <w:rFonts w:asciiTheme="majorHAnsi" w:hAnsiTheme="majorHAnsi"/>
                <w:bCs/>
                <w:sz w:val="20"/>
                <w:szCs w:val="20"/>
              </w:rPr>
            </w:pPr>
            <w:r w:rsidRPr="00196AE1">
              <w:rPr>
                <w:rFonts w:asciiTheme="majorHAnsi" w:hAnsiTheme="majorHAnsi"/>
                <w:bCs/>
                <w:sz w:val="20"/>
                <w:szCs w:val="20"/>
              </w:rPr>
              <w:t xml:space="preserve">José </w:t>
            </w:r>
            <w:proofErr w:type="spellStart"/>
            <w:r w:rsidRPr="00196AE1">
              <w:rPr>
                <w:rFonts w:asciiTheme="majorHAnsi" w:hAnsiTheme="majorHAnsi"/>
                <w:bCs/>
                <w:sz w:val="20"/>
                <w:szCs w:val="20"/>
              </w:rPr>
              <w:t>Salomón</w:t>
            </w:r>
            <w:proofErr w:type="spellEnd"/>
            <w:r w:rsidRPr="00196AE1">
              <w:rPr>
                <w:rFonts w:asciiTheme="majorHAnsi" w:hAnsiTheme="majorHAnsi"/>
                <w:bCs/>
                <w:sz w:val="20"/>
                <w:szCs w:val="20"/>
              </w:rPr>
              <w:t xml:space="preserve"> Padilla</w:t>
            </w:r>
          </w:p>
        </w:tc>
      </w:tr>
      <w:tr w:rsidR="00261E08" w:rsidRPr="00196AE1" w14:paraId="03D81EE5" w14:textId="77777777" w:rsidTr="000F326B">
        <w:tc>
          <w:tcPr>
            <w:tcW w:w="3573" w:type="dxa"/>
            <w:tcBorders>
              <w:top w:val="single" w:sz="6" w:space="0" w:color="auto"/>
              <w:bottom w:val="single" w:sz="6" w:space="0" w:color="auto"/>
            </w:tcBorders>
            <w:shd w:val="clear" w:color="auto" w:fill="67AE3C"/>
            <w:vAlign w:val="center"/>
          </w:tcPr>
          <w:p w14:paraId="3A40F361" w14:textId="04DB51CA" w:rsidR="00261E08" w:rsidRPr="00196AE1" w:rsidRDefault="00261E08" w:rsidP="005816E5">
            <w:pPr>
              <w:jc w:val="center"/>
              <w:rPr>
                <w:rFonts w:asciiTheme="majorHAnsi" w:hAnsiTheme="majorHAnsi"/>
                <w:b/>
                <w:color w:val="FFFFFF" w:themeColor="background1"/>
                <w:sz w:val="20"/>
                <w:szCs w:val="20"/>
              </w:rPr>
            </w:pPr>
            <w:r w:rsidRPr="00196AE1">
              <w:rPr>
                <w:rFonts w:asciiTheme="majorHAnsi" w:hAnsiTheme="majorHAnsi"/>
                <w:b/>
                <w:color w:val="FFFFFF" w:themeColor="background1"/>
                <w:sz w:val="20"/>
                <w:szCs w:val="20"/>
              </w:rPr>
              <w:t>Respondent State</w:t>
            </w:r>
            <w:r w:rsidR="00B77DBF" w:rsidRPr="00196AE1">
              <w:rPr>
                <w:rFonts w:asciiTheme="majorHAnsi" w:hAnsiTheme="majorHAnsi"/>
                <w:b/>
                <w:color w:val="FFFFFF" w:themeColor="background1"/>
                <w:sz w:val="20"/>
                <w:szCs w:val="20"/>
              </w:rPr>
              <w:t>:</w:t>
            </w:r>
          </w:p>
        </w:tc>
        <w:tc>
          <w:tcPr>
            <w:tcW w:w="5787" w:type="dxa"/>
          </w:tcPr>
          <w:p w14:paraId="68C5B5B0" w14:textId="3B4611EE" w:rsidR="00261E08" w:rsidRPr="00196AE1" w:rsidRDefault="007E3FD0" w:rsidP="009163FC">
            <w:pPr>
              <w:jc w:val="both"/>
              <w:rPr>
                <w:rFonts w:asciiTheme="majorHAnsi" w:hAnsiTheme="majorHAnsi"/>
                <w:bCs/>
                <w:sz w:val="20"/>
                <w:szCs w:val="20"/>
              </w:rPr>
            </w:pPr>
            <w:r w:rsidRPr="00196AE1">
              <w:rPr>
                <w:rFonts w:asciiTheme="majorHAnsi" w:hAnsiTheme="majorHAnsi"/>
                <w:bCs/>
                <w:sz w:val="20"/>
                <w:szCs w:val="20"/>
              </w:rPr>
              <w:t>El Salvador</w:t>
            </w:r>
          </w:p>
        </w:tc>
      </w:tr>
      <w:tr w:rsidR="00261E08" w:rsidRPr="00196AE1" w14:paraId="61049B38" w14:textId="77777777" w:rsidTr="000F326B">
        <w:tc>
          <w:tcPr>
            <w:tcW w:w="3573" w:type="dxa"/>
            <w:tcBorders>
              <w:top w:val="single" w:sz="6" w:space="0" w:color="auto"/>
              <w:bottom w:val="single" w:sz="6" w:space="0" w:color="auto"/>
            </w:tcBorders>
            <w:shd w:val="clear" w:color="auto" w:fill="67AE3C"/>
            <w:vAlign w:val="center"/>
          </w:tcPr>
          <w:p w14:paraId="1525F7A2" w14:textId="6CDD6E53" w:rsidR="00261E08" w:rsidRPr="00196AE1" w:rsidRDefault="00261E08" w:rsidP="00E7588C">
            <w:pPr>
              <w:jc w:val="center"/>
              <w:rPr>
                <w:rFonts w:asciiTheme="majorHAnsi" w:hAnsiTheme="majorHAnsi"/>
                <w:b/>
                <w:color w:val="FFFFFF" w:themeColor="background1"/>
                <w:sz w:val="20"/>
                <w:szCs w:val="20"/>
              </w:rPr>
            </w:pPr>
            <w:r w:rsidRPr="00196AE1">
              <w:rPr>
                <w:rFonts w:asciiTheme="majorHAnsi" w:hAnsiTheme="majorHAnsi"/>
                <w:b/>
                <w:color w:val="FFFFFF" w:themeColor="background1"/>
                <w:sz w:val="20"/>
                <w:szCs w:val="20"/>
              </w:rPr>
              <w:t>Rights invoked</w:t>
            </w:r>
            <w:r w:rsidR="00B77DBF" w:rsidRPr="00196AE1">
              <w:rPr>
                <w:rFonts w:asciiTheme="majorHAnsi" w:hAnsiTheme="majorHAnsi"/>
                <w:b/>
                <w:color w:val="FFFFFF" w:themeColor="background1"/>
                <w:sz w:val="20"/>
                <w:szCs w:val="20"/>
              </w:rPr>
              <w:t>:</w:t>
            </w:r>
          </w:p>
        </w:tc>
        <w:tc>
          <w:tcPr>
            <w:tcW w:w="5787" w:type="dxa"/>
          </w:tcPr>
          <w:p w14:paraId="6C99BD6B" w14:textId="05069303" w:rsidR="00261E08" w:rsidRPr="00196AE1" w:rsidRDefault="007E3FD0" w:rsidP="00261E08">
            <w:pPr>
              <w:jc w:val="both"/>
              <w:rPr>
                <w:rFonts w:asciiTheme="majorHAnsi" w:hAnsiTheme="majorHAnsi"/>
                <w:bCs/>
                <w:sz w:val="20"/>
                <w:szCs w:val="20"/>
              </w:rPr>
            </w:pPr>
            <w:r w:rsidRPr="00196AE1">
              <w:rPr>
                <w:rFonts w:asciiTheme="majorHAnsi" w:hAnsiTheme="majorHAnsi"/>
                <w:bCs/>
                <w:sz w:val="20"/>
                <w:szCs w:val="20"/>
              </w:rPr>
              <w:t>Articles 5 (</w:t>
            </w:r>
            <w:r w:rsidR="00FF7EFB" w:rsidRPr="00196AE1">
              <w:rPr>
                <w:rFonts w:asciiTheme="majorHAnsi" w:hAnsiTheme="majorHAnsi"/>
                <w:bCs/>
                <w:sz w:val="20"/>
                <w:szCs w:val="20"/>
              </w:rPr>
              <w:t xml:space="preserve">right to </w:t>
            </w:r>
            <w:r w:rsidRPr="00196AE1">
              <w:rPr>
                <w:rFonts w:asciiTheme="majorHAnsi" w:hAnsiTheme="majorHAnsi"/>
                <w:bCs/>
                <w:sz w:val="20"/>
                <w:szCs w:val="20"/>
              </w:rPr>
              <w:t>humane treatment), 8 (</w:t>
            </w:r>
            <w:r w:rsidR="00FF7EFB" w:rsidRPr="00196AE1">
              <w:rPr>
                <w:rFonts w:asciiTheme="majorHAnsi" w:hAnsiTheme="majorHAnsi"/>
                <w:bCs/>
                <w:sz w:val="20"/>
                <w:szCs w:val="20"/>
              </w:rPr>
              <w:t>right to a fair trial</w:t>
            </w:r>
            <w:r w:rsidRPr="00196AE1">
              <w:rPr>
                <w:rFonts w:asciiTheme="majorHAnsi" w:hAnsiTheme="majorHAnsi"/>
                <w:bCs/>
                <w:sz w:val="20"/>
                <w:szCs w:val="20"/>
              </w:rPr>
              <w:t>)</w:t>
            </w:r>
            <w:r w:rsidR="00FF7EFB" w:rsidRPr="00196AE1">
              <w:rPr>
                <w:rFonts w:asciiTheme="majorHAnsi" w:hAnsiTheme="majorHAnsi"/>
                <w:bCs/>
                <w:sz w:val="20"/>
                <w:szCs w:val="20"/>
              </w:rPr>
              <w:t xml:space="preserve">, </w:t>
            </w:r>
            <w:r w:rsidR="00E276DB" w:rsidRPr="00196AE1">
              <w:rPr>
                <w:rFonts w:asciiTheme="majorHAnsi" w:hAnsiTheme="majorHAnsi"/>
                <w:bCs/>
                <w:sz w:val="20"/>
                <w:szCs w:val="20"/>
              </w:rPr>
              <w:t>11 (right to privacy)</w:t>
            </w:r>
            <w:r w:rsidR="00E276DB">
              <w:rPr>
                <w:rFonts w:asciiTheme="majorHAnsi" w:hAnsiTheme="majorHAnsi"/>
                <w:bCs/>
                <w:sz w:val="20"/>
                <w:szCs w:val="20"/>
              </w:rPr>
              <w:t xml:space="preserve">, </w:t>
            </w:r>
            <w:r w:rsidR="005F3512" w:rsidRPr="00196AE1">
              <w:rPr>
                <w:rFonts w:asciiTheme="majorHAnsi" w:hAnsiTheme="majorHAnsi"/>
                <w:bCs/>
                <w:sz w:val="20"/>
                <w:szCs w:val="20"/>
              </w:rPr>
              <w:t>13 (freedom of thought and expression)</w:t>
            </w:r>
            <w:r w:rsidR="00FF7EFB" w:rsidRPr="00196AE1">
              <w:rPr>
                <w:rFonts w:asciiTheme="majorHAnsi" w:hAnsiTheme="majorHAnsi"/>
                <w:bCs/>
                <w:sz w:val="20"/>
                <w:szCs w:val="20"/>
              </w:rPr>
              <w:t xml:space="preserve">, </w:t>
            </w:r>
            <w:r w:rsidR="00E276DB" w:rsidRPr="00196AE1">
              <w:rPr>
                <w:rFonts w:asciiTheme="majorHAnsi" w:hAnsiTheme="majorHAnsi"/>
                <w:sz w:val="20"/>
                <w:szCs w:val="20"/>
              </w:rPr>
              <w:t>16 (freedom of association)</w:t>
            </w:r>
            <w:r w:rsidR="00E276DB">
              <w:rPr>
                <w:rFonts w:asciiTheme="majorHAnsi" w:hAnsiTheme="majorHAnsi"/>
                <w:sz w:val="20"/>
                <w:szCs w:val="20"/>
              </w:rPr>
              <w:t xml:space="preserve">, </w:t>
            </w:r>
            <w:r w:rsidR="005E21A9" w:rsidRPr="00196AE1">
              <w:rPr>
                <w:rFonts w:asciiTheme="majorHAnsi" w:hAnsiTheme="majorHAnsi"/>
                <w:bCs/>
                <w:sz w:val="20"/>
                <w:szCs w:val="20"/>
              </w:rPr>
              <w:t>2</w:t>
            </w:r>
            <w:r w:rsidR="00FF7EFB" w:rsidRPr="00196AE1">
              <w:rPr>
                <w:rFonts w:asciiTheme="majorHAnsi" w:hAnsiTheme="majorHAnsi"/>
                <w:bCs/>
                <w:sz w:val="20"/>
                <w:szCs w:val="20"/>
              </w:rPr>
              <w:t>3 (right to participate in government), and 25 (right to judicial protection) of the American Convention on Human Rights,</w:t>
            </w:r>
            <w:r w:rsidR="00FF7EFB" w:rsidRPr="00196AE1">
              <w:rPr>
                <w:rStyle w:val="FootnoteReference"/>
                <w:rFonts w:asciiTheme="majorHAnsi" w:hAnsiTheme="majorHAnsi"/>
                <w:bCs/>
                <w:sz w:val="20"/>
                <w:szCs w:val="20"/>
              </w:rPr>
              <w:footnoteReference w:id="2"/>
            </w:r>
            <w:r w:rsidR="00FF7EFB" w:rsidRPr="00196AE1">
              <w:rPr>
                <w:rFonts w:asciiTheme="majorHAnsi" w:hAnsiTheme="majorHAnsi"/>
                <w:bCs/>
                <w:sz w:val="20"/>
                <w:szCs w:val="20"/>
              </w:rPr>
              <w:t xml:space="preserve"> in connection with Article 1.1 (obligation to respect rights) thereof</w:t>
            </w:r>
          </w:p>
        </w:tc>
      </w:tr>
    </w:tbl>
    <w:p w14:paraId="08C39C2C" w14:textId="77777777" w:rsidR="00F621C3" w:rsidRPr="00196AE1" w:rsidRDefault="00F621C3" w:rsidP="00C355B4">
      <w:pPr>
        <w:spacing w:before="120" w:after="120"/>
        <w:ind w:firstLine="720"/>
        <w:jc w:val="both"/>
        <w:rPr>
          <w:rFonts w:asciiTheme="majorHAnsi" w:hAnsiTheme="majorHAnsi"/>
          <w:b/>
          <w:bCs/>
          <w:sz w:val="19"/>
          <w:szCs w:val="19"/>
        </w:rPr>
      </w:pPr>
      <w:r w:rsidRPr="00196AE1">
        <w:rPr>
          <w:rFonts w:asciiTheme="majorHAnsi" w:hAnsiTheme="majorHAnsi"/>
          <w:b/>
          <w:bCs/>
          <w:sz w:val="19"/>
          <w:szCs w:val="19"/>
        </w:rPr>
        <w:t>II.</w:t>
      </w:r>
      <w:r w:rsidRPr="00196AE1">
        <w:rPr>
          <w:rFonts w:asciiTheme="majorHAnsi" w:hAnsiTheme="majorHAnsi"/>
          <w:b/>
          <w:bCs/>
          <w:sz w:val="19"/>
          <w:szCs w:val="19"/>
        </w:rPr>
        <w:tab/>
        <w:t>PROCE</w:t>
      </w:r>
      <w:r w:rsidR="00321AFD" w:rsidRPr="00196AE1">
        <w:rPr>
          <w:rFonts w:asciiTheme="majorHAnsi" w:hAnsiTheme="majorHAnsi"/>
          <w:b/>
          <w:bCs/>
          <w:sz w:val="19"/>
          <w:szCs w:val="19"/>
        </w:rPr>
        <w:t>EDINGS</w:t>
      </w:r>
      <w:r w:rsidRPr="00196AE1">
        <w:rPr>
          <w:rFonts w:asciiTheme="majorHAnsi" w:hAnsiTheme="majorHAnsi"/>
          <w:b/>
          <w:bCs/>
          <w:sz w:val="19"/>
          <w:szCs w:val="19"/>
        </w:rPr>
        <w:t xml:space="preserve"> BEFORE THE IACHR</w:t>
      </w:r>
      <w:r w:rsidR="00653EA6" w:rsidRPr="00196AE1">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3"/>
        <w:gridCol w:w="5787"/>
      </w:tblGrid>
      <w:tr w:rsidR="00261E08" w:rsidRPr="00196AE1" w14:paraId="6DA75E12" w14:textId="77777777" w:rsidTr="000F326B">
        <w:tc>
          <w:tcPr>
            <w:tcW w:w="3573" w:type="dxa"/>
            <w:tcBorders>
              <w:top w:val="single" w:sz="6" w:space="0" w:color="auto"/>
              <w:bottom w:val="single" w:sz="6" w:space="0" w:color="auto"/>
            </w:tcBorders>
            <w:shd w:val="clear" w:color="auto" w:fill="67AE3C"/>
            <w:vAlign w:val="center"/>
          </w:tcPr>
          <w:p w14:paraId="534AFBE1" w14:textId="5987CD57" w:rsidR="00261E08" w:rsidRPr="00196AE1" w:rsidRDefault="00B77DBF" w:rsidP="00B06BB7">
            <w:pPr>
              <w:jc w:val="center"/>
              <w:rPr>
                <w:rFonts w:asciiTheme="majorHAnsi" w:hAnsiTheme="majorHAnsi"/>
                <w:b/>
                <w:color w:val="FFFFFF" w:themeColor="background1"/>
                <w:sz w:val="20"/>
                <w:szCs w:val="20"/>
              </w:rPr>
            </w:pPr>
            <w:r w:rsidRPr="00196AE1">
              <w:rPr>
                <w:rFonts w:asciiTheme="majorHAnsi" w:hAnsiTheme="majorHAnsi"/>
                <w:b/>
                <w:color w:val="FFFFFF" w:themeColor="background1"/>
                <w:sz w:val="20"/>
                <w:szCs w:val="20"/>
              </w:rPr>
              <w:t>F</w:t>
            </w:r>
            <w:r w:rsidR="006E270D" w:rsidRPr="00196AE1">
              <w:rPr>
                <w:rFonts w:asciiTheme="majorHAnsi" w:hAnsiTheme="majorHAnsi"/>
                <w:b/>
                <w:color w:val="FFFFFF" w:themeColor="background1"/>
                <w:sz w:val="20"/>
                <w:szCs w:val="20"/>
              </w:rPr>
              <w:t>iling</w:t>
            </w:r>
            <w:r w:rsidRPr="00196AE1">
              <w:rPr>
                <w:rFonts w:asciiTheme="majorHAnsi" w:hAnsiTheme="majorHAnsi"/>
                <w:b/>
                <w:color w:val="FFFFFF" w:themeColor="background1"/>
                <w:sz w:val="20"/>
                <w:szCs w:val="20"/>
              </w:rPr>
              <w:t xml:space="preserve"> of the petition:</w:t>
            </w:r>
          </w:p>
        </w:tc>
        <w:tc>
          <w:tcPr>
            <w:tcW w:w="5787" w:type="dxa"/>
            <w:vAlign w:val="center"/>
          </w:tcPr>
          <w:p w14:paraId="7EADD3E8" w14:textId="6BDAD1DA" w:rsidR="00261E08" w:rsidRPr="00196AE1" w:rsidRDefault="00FF7EFB" w:rsidP="009163FC">
            <w:pPr>
              <w:jc w:val="both"/>
              <w:rPr>
                <w:rFonts w:asciiTheme="majorHAnsi" w:hAnsiTheme="majorHAnsi"/>
                <w:bCs/>
                <w:sz w:val="20"/>
                <w:szCs w:val="20"/>
              </w:rPr>
            </w:pPr>
            <w:r w:rsidRPr="00196AE1">
              <w:rPr>
                <w:rFonts w:asciiTheme="majorHAnsi" w:hAnsiTheme="majorHAnsi"/>
                <w:bCs/>
                <w:sz w:val="20"/>
                <w:szCs w:val="20"/>
              </w:rPr>
              <w:t>October 14, 2013</w:t>
            </w:r>
          </w:p>
        </w:tc>
      </w:tr>
      <w:tr w:rsidR="00261E08" w:rsidRPr="00196AE1" w14:paraId="5F460099" w14:textId="77777777" w:rsidTr="000F326B">
        <w:tc>
          <w:tcPr>
            <w:tcW w:w="3573" w:type="dxa"/>
            <w:tcBorders>
              <w:top w:val="single" w:sz="6" w:space="0" w:color="auto"/>
              <w:bottom w:val="single" w:sz="6" w:space="0" w:color="auto"/>
            </w:tcBorders>
            <w:shd w:val="clear" w:color="auto" w:fill="67AE3C"/>
            <w:vAlign w:val="center"/>
          </w:tcPr>
          <w:p w14:paraId="48D0BCDE" w14:textId="57EDBFFD" w:rsidR="00261E08" w:rsidRPr="00196AE1" w:rsidRDefault="00261E08" w:rsidP="00C355B4">
            <w:pPr>
              <w:jc w:val="center"/>
              <w:rPr>
                <w:rFonts w:asciiTheme="majorHAnsi" w:hAnsiTheme="majorHAnsi"/>
                <w:b/>
                <w:color w:val="FFFFFF" w:themeColor="background1"/>
                <w:sz w:val="20"/>
                <w:szCs w:val="20"/>
              </w:rPr>
            </w:pPr>
            <w:r w:rsidRPr="00196AE1">
              <w:rPr>
                <w:rFonts w:asciiTheme="majorHAnsi" w:hAnsiTheme="majorHAnsi"/>
                <w:b/>
                <w:color w:val="FFFFFF" w:themeColor="background1"/>
                <w:sz w:val="20"/>
                <w:szCs w:val="20"/>
              </w:rPr>
              <w:t xml:space="preserve">Additional information received </w:t>
            </w:r>
            <w:r w:rsidR="00B77DBF" w:rsidRPr="00196AE1">
              <w:rPr>
                <w:rFonts w:asciiTheme="majorHAnsi" w:hAnsiTheme="majorHAnsi"/>
                <w:b/>
                <w:color w:val="FFFFFF" w:themeColor="background1"/>
                <w:sz w:val="20"/>
                <w:szCs w:val="20"/>
              </w:rPr>
              <w:br/>
              <w:t>at the stage of</w:t>
            </w:r>
            <w:r w:rsidRPr="00196AE1">
              <w:rPr>
                <w:rFonts w:asciiTheme="majorHAnsi" w:hAnsiTheme="majorHAnsi"/>
                <w:b/>
                <w:color w:val="FFFFFF" w:themeColor="background1"/>
                <w:sz w:val="20"/>
                <w:szCs w:val="20"/>
              </w:rPr>
              <w:t xml:space="preserve"> initial review</w:t>
            </w:r>
            <w:r w:rsidR="00B77DBF" w:rsidRPr="00196AE1">
              <w:rPr>
                <w:rFonts w:asciiTheme="majorHAnsi" w:hAnsiTheme="majorHAnsi"/>
                <w:b/>
                <w:color w:val="FFFFFF" w:themeColor="background1"/>
                <w:sz w:val="20"/>
                <w:szCs w:val="20"/>
              </w:rPr>
              <w:t>:</w:t>
            </w:r>
          </w:p>
        </w:tc>
        <w:tc>
          <w:tcPr>
            <w:tcW w:w="5787" w:type="dxa"/>
            <w:vAlign w:val="center"/>
          </w:tcPr>
          <w:p w14:paraId="0AEA72E2" w14:textId="0ACBF196" w:rsidR="00261E08" w:rsidRPr="00196AE1" w:rsidRDefault="00FF7EFB" w:rsidP="009163FC">
            <w:pPr>
              <w:jc w:val="both"/>
              <w:rPr>
                <w:rFonts w:asciiTheme="majorHAnsi" w:hAnsiTheme="majorHAnsi"/>
                <w:bCs/>
                <w:sz w:val="20"/>
                <w:szCs w:val="20"/>
              </w:rPr>
            </w:pPr>
            <w:r w:rsidRPr="00196AE1">
              <w:rPr>
                <w:rFonts w:asciiTheme="majorHAnsi" w:hAnsiTheme="majorHAnsi"/>
                <w:bCs/>
                <w:sz w:val="20"/>
                <w:szCs w:val="20"/>
              </w:rPr>
              <w:t>October 24, 2013; December 21, 2016, and March 20, 2017</w:t>
            </w:r>
          </w:p>
        </w:tc>
      </w:tr>
      <w:tr w:rsidR="00261E08" w:rsidRPr="00196AE1" w14:paraId="070BC314" w14:textId="77777777" w:rsidTr="000F326B">
        <w:tc>
          <w:tcPr>
            <w:tcW w:w="3573" w:type="dxa"/>
            <w:tcBorders>
              <w:top w:val="single" w:sz="6" w:space="0" w:color="auto"/>
              <w:bottom w:val="single" w:sz="6" w:space="0" w:color="auto"/>
            </w:tcBorders>
            <w:shd w:val="clear" w:color="auto" w:fill="67AE3C"/>
            <w:vAlign w:val="center"/>
          </w:tcPr>
          <w:p w14:paraId="1B91C5C6" w14:textId="6DB51B85" w:rsidR="00261E08" w:rsidRPr="00196AE1" w:rsidRDefault="00261E08" w:rsidP="00C355B4">
            <w:pPr>
              <w:jc w:val="center"/>
              <w:rPr>
                <w:rFonts w:asciiTheme="majorHAnsi" w:hAnsiTheme="majorHAnsi"/>
                <w:b/>
                <w:color w:val="FFFFFF" w:themeColor="background1"/>
                <w:sz w:val="20"/>
                <w:szCs w:val="20"/>
              </w:rPr>
            </w:pPr>
            <w:r w:rsidRPr="00196AE1">
              <w:rPr>
                <w:rFonts w:asciiTheme="majorHAnsi" w:hAnsiTheme="majorHAnsi"/>
                <w:b/>
                <w:color w:val="FFFFFF" w:themeColor="background1"/>
                <w:sz w:val="20"/>
                <w:szCs w:val="20"/>
              </w:rPr>
              <w:t>Notification of the petition</w:t>
            </w:r>
            <w:r w:rsidR="00B77DBF" w:rsidRPr="00196AE1">
              <w:rPr>
                <w:rFonts w:asciiTheme="majorHAnsi" w:hAnsiTheme="majorHAnsi"/>
                <w:b/>
                <w:color w:val="FFFFFF" w:themeColor="background1"/>
                <w:sz w:val="20"/>
                <w:szCs w:val="20"/>
              </w:rPr>
              <w:t xml:space="preserve"> </w:t>
            </w:r>
            <w:r w:rsidR="00B77DBF" w:rsidRPr="00196AE1">
              <w:rPr>
                <w:rFonts w:asciiTheme="majorHAnsi" w:hAnsiTheme="majorHAnsi"/>
                <w:b/>
                <w:color w:val="FFFFFF" w:themeColor="background1"/>
                <w:sz w:val="20"/>
                <w:szCs w:val="20"/>
              </w:rPr>
              <w:br/>
              <w:t>to the State:</w:t>
            </w:r>
          </w:p>
        </w:tc>
        <w:tc>
          <w:tcPr>
            <w:tcW w:w="5787" w:type="dxa"/>
            <w:vAlign w:val="center"/>
          </w:tcPr>
          <w:p w14:paraId="425D0EC0" w14:textId="0FC6B8E4" w:rsidR="00261E08" w:rsidRPr="00196AE1" w:rsidRDefault="00FF7EFB" w:rsidP="009163FC">
            <w:pPr>
              <w:jc w:val="both"/>
              <w:rPr>
                <w:rFonts w:asciiTheme="majorHAnsi" w:hAnsiTheme="majorHAnsi"/>
                <w:bCs/>
                <w:sz w:val="20"/>
                <w:szCs w:val="20"/>
              </w:rPr>
            </w:pPr>
            <w:r w:rsidRPr="00196AE1">
              <w:rPr>
                <w:rFonts w:asciiTheme="majorHAnsi" w:hAnsiTheme="majorHAnsi"/>
                <w:bCs/>
                <w:sz w:val="20"/>
                <w:szCs w:val="20"/>
              </w:rPr>
              <w:t>September 5, 2017</w:t>
            </w:r>
          </w:p>
        </w:tc>
      </w:tr>
      <w:tr w:rsidR="00261E08" w:rsidRPr="00196AE1" w14:paraId="3063240C" w14:textId="77777777" w:rsidTr="000F326B">
        <w:trPr>
          <w:trHeight w:val="264"/>
        </w:trPr>
        <w:tc>
          <w:tcPr>
            <w:tcW w:w="3573" w:type="dxa"/>
            <w:tcBorders>
              <w:top w:val="single" w:sz="6" w:space="0" w:color="auto"/>
              <w:bottom w:val="single" w:sz="6" w:space="0" w:color="auto"/>
            </w:tcBorders>
            <w:shd w:val="clear" w:color="auto" w:fill="67AE3C"/>
            <w:vAlign w:val="center"/>
          </w:tcPr>
          <w:p w14:paraId="69479C3F" w14:textId="3F813C2C" w:rsidR="00261E08" w:rsidRPr="00196AE1" w:rsidRDefault="00261E08" w:rsidP="009163FC">
            <w:pPr>
              <w:jc w:val="center"/>
              <w:rPr>
                <w:rFonts w:asciiTheme="majorHAnsi" w:hAnsiTheme="majorHAnsi"/>
                <w:b/>
                <w:color w:val="FFFFFF" w:themeColor="background1"/>
                <w:sz w:val="20"/>
                <w:szCs w:val="20"/>
              </w:rPr>
            </w:pPr>
            <w:r w:rsidRPr="00196AE1">
              <w:rPr>
                <w:rFonts w:asciiTheme="majorHAnsi" w:hAnsiTheme="majorHAnsi"/>
                <w:b/>
                <w:color w:val="FFFFFF" w:themeColor="background1"/>
                <w:sz w:val="20"/>
                <w:szCs w:val="20"/>
              </w:rPr>
              <w:t>State’s first response</w:t>
            </w:r>
            <w:r w:rsidR="00B77DBF" w:rsidRPr="00196AE1">
              <w:rPr>
                <w:rFonts w:asciiTheme="majorHAnsi" w:hAnsiTheme="majorHAnsi"/>
                <w:b/>
                <w:color w:val="FFFFFF" w:themeColor="background1"/>
                <w:sz w:val="20"/>
                <w:szCs w:val="20"/>
              </w:rPr>
              <w:t>:</w:t>
            </w:r>
          </w:p>
        </w:tc>
        <w:tc>
          <w:tcPr>
            <w:tcW w:w="5787" w:type="dxa"/>
            <w:vAlign w:val="center"/>
          </w:tcPr>
          <w:p w14:paraId="7B420FC0" w14:textId="03AA79F8" w:rsidR="00261E08" w:rsidRPr="00196AE1" w:rsidRDefault="00FF7EFB" w:rsidP="009163FC">
            <w:pPr>
              <w:jc w:val="both"/>
              <w:rPr>
                <w:rFonts w:asciiTheme="majorHAnsi" w:hAnsiTheme="majorHAnsi"/>
                <w:bCs/>
                <w:sz w:val="20"/>
                <w:szCs w:val="20"/>
              </w:rPr>
            </w:pPr>
            <w:r w:rsidRPr="00196AE1">
              <w:rPr>
                <w:rFonts w:asciiTheme="majorHAnsi" w:hAnsiTheme="majorHAnsi"/>
                <w:bCs/>
                <w:sz w:val="20"/>
                <w:szCs w:val="20"/>
              </w:rPr>
              <w:t>January 10, 2018</w:t>
            </w:r>
          </w:p>
        </w:tc>
      </w:tr>
      <w:tr w:rsidR="00261E08" w:rsidRPr="00196AE1" w14:paraId="158C8FCC" w14:textId="77777777" w:rsidTr="000F326B">
        <w:tc>
          <w:tcPr>
            <w:tcW w:w="3573" w:type="dxa"/>
            <w:tcBorders>
              <w:top w:val="single" w:sz="6" w:space="0" w:color="auto"/>
              <w:bottom w:val="single" w:sz="6" w:space="0" w:color="auto"/>
            </w:tcBorders>
            <w:shd w:val="clear" w:color="auto" w:fill="67AE3C"/>
            <w:vAlign w:val="center"/>
          </w:tcPr>
          <w:p w14:paraId="666ABE64" w14:textId="40BD636E" w:rsidR="00261E08" w:rsidRPr="00196AE1" w:rsidRDefault="00261E08" w:rsidP="0023351C">
            <w:pPr>
              <w:jc w:val="center"/>
              <w:rPr>
                <w:rFonts w:asciiTheme="majorHAnsi" w:hAnsiTheme="majorHAnsi"/>
                <w:b/>
                <w:color w:val="FFFFFF" w:themeColor="background1"/>
                <w:sz w:val="20"/>
                <w:szCs w:val="20"/>
              </w:rPr>
            </w:pPr>
            <w:r w:rsidRPr="00196AE1">
              <w:rPr>
                <w:rFonts w:asciiTheme="majorHAnsi" w:hAnsiTheme="majorHAnsi"/>
                <w:b/>
                <w:color w:val="FFFFFF" w:themeColor="background1"/>
                <w:sz w:val="20"/>
                <w:szCs w:val="20"/>
              </w:rPr>
              <w:t xml:space="preserve">Additional observations </w:t>
            </w:r>
            <w:r w:rsidR="00B77DBF" w:rsidRPr="00196AE1">
              <w:rPr>
                <w:rFonts w:asciiTheme="majorHAnsi" w:hAnsiTheme="majorHAnsi"/>
                <w:b/>
                <w:color w:val="FFFFFF" w:themeColor="background1"/>
                <w:sz w:val="20"/>
                <w:szCs w:val="20"/>
              </w:rPr>
              <w:br/>
            </w:r>
            <w:r w:rsidRPr="00196AE1">
              <w:rPr>
                <w:rFonts w:asciiTheme="majorHAnsi" w:hAnsiTheme="majorHAnsi"/>
                <w:b/>
                <w:color w:val="FFFFFF" w:themeColor="background1"/>
                <w:sz w:val="20"/>
                <w:szCs w:val="20"/>
              </w:rPr>
              <w:t>from the petitioner</w:t>
            </w:r>
            <w:r w:rsidR="00B77DBF" w:rsidRPr="00196AE1">
              <w:rPr>
                <w:rFonts w:asciiTheme="majorHAnsi" w:hAnsiTheme="majorHAnsi"/>
                <w:b/>
                <w:color w:val="FFFFFF" w:themeColor="background1"/>
                <w:sz w:val="20"/>
                <w:szCs w:val="20"/>
              </w:rPr>
              <w:t>:</w:t>
            </w:r>
          </w:p>
        </w:tc>
        <w:tc>
          <w:tcPr>
            <w:tcW w:w="5787" w:type="dxa"/>
            <w:vAlign w:val="center"/>
          </w:tcPr>
          <w:p w14:paraId="281700F5" w14:textId="62B5335E" w:rsidR="00261E08" w:rsidRPr="00196AE1" w:rsidRDefault="00FF7EFB" w:rsidP="009163FC">
            <w:pPr>
              <w:jc w:val="both"/>
              <w:rPr>
                <w:rFonts w:asciiTheme="majorHAnsi" w:hAnsiTheme="majorHAnsi"/>
                <w:bCs/>
                <w:sz w:val="20"/>
                <w:szCs w:val="20"/>
              </w:rPr>
            </w:pPr>
            <w:r w:rsidRPr="00196AE1">
              <w:rPr>
                <w:rFonts w:asciiTheme="majorHAnsi" w:hAnsiTheme="majorHAnsi"/>
                <w:bCs/>
                <w:sz w:val="20"/>
                <w:szCs w:val="20"/>
              </w:rPr>
              <w:t>June 11, 2018</w:t>
            </w:r>
          </w:p>
        </w:tc>
      </w:tr>
    </w:tbl>
    <w:p w14:paraId="3091AFE0" w14:textId="77777777" w:rsidR="00F621C3" w:rsidRPr="00196AE1" w:rsidRDefault="00F621C3" w:rsidP="00C355B4">
      <w:pPr>
        <w:spacing w:before="120" w:after="120"/>
        <w:ind w:firstLine="720"/>
        <w:jc w:val="both"/>
        <w:rPr>
          <w:rFonts w:asciiTheme="majorHAnsi" w:hAnsiTheme="majorHAnsi"/>
          <w:b/>
          <w:bCs/>
          <w:sz w:val="19"/>
          <w:szCs w:val="19"/>
        </w:rPr>
      </w:pPr>
      <w:r w:rsidRPr="00196AE1">
        <w:rPr>
          <w:rFonts w:asciiTheme="majorHAnsi" w:hAnsiTheme="majorHAnsi"/>
          <w:b/>
          <w:bCs/>
          <w:sz w:val="19"/>
          <w:szCs w:val="19"/>
        </w:rPr>
        <w:t xml:space="preserve">III. </w:t>
      </w:r>
      <w:r w:rsidRPr="00196AE1">
        <w:rPr>
          <w:rFonts w:asciiTheme="majorHAnsi" w:hAnsiTheme="majorHAnsi"/>
          <w:b/>
          <w:bCs/>
          <w:sz w:val="19"/>
          <w:szCs w:val="19"/>
        </w:rPr>
        <w:tab/>
        <w:t xml:space="preserve">COMPETENCE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573"/>
        <w:gridCol w:w="5812"/>
      </w:tblGrid>
      <w:tr w:rsidR="00261E08" w:rsidRPr="00196AE1" w14:paraId="684F4233" w14:textId="77777777" w:rsidTr="000F326B">
        <w:trPr>
          <w:cantSplit/>
        </w:trPr>
        <w:tc>
          <w:tcPr>
            <w:tcW w:w="3573" w:type="dxa"/>
            <w:tcBorders>
              <w:top w:val="single" w:sz="4" w:space="0" w:color="auto"/>
              <w:bottom w:val="single" w:sz="6" w:space="0" w:color="auto"/>
            </w:tcBorders>
            <w:shd w:val="clear" w:color="auto" w:fill="67AE3C"/>
            <w:vAlign w:val="center"/>
          </w:tcPr>
          <w:p w14:paraId="60150448" w14:textId="24C7BB88" w:rsidR="00261E08" w:rsidRPr="00196AE1" w:rsidRDefault="00B77DBF" w:rsidP="009163FC">
            <w:pPr>
              <w:jc w:val="center"/>
              <w:rPr>
                <w:rFonts w:asciiTheme="majorHAnsi" w:hAnsiTheme="majorHAnsi"/>
                <w:b/>
                <w:i/>
                <w:color w:val="FFFFFF" w:themeColor="background1"/>
                <w:sz w:val="20"/>
                <w:szCs w:val="20"/>
              </w:rPr>
            </w:pPr>
            <w:r w:rsidRPr="00196AE1">
              <w:rPr>
                <w:rFonts w:asciiTheme="majorHAnsi" w:hAnsiTheme="majorHAnsi"/>
                <w:b/>
                <w:iCs/>
                <w:color w:val="FFFFFF" w:themeColor="background1"/>
                <w:sz w:val="20"/>
                <w:szCs w:val="20"/>
              </w:rPr>
              <w:t xml:space="preserve">Competence </w:t>
            </w:r>
            <w:proofErr w:type="spellStart"/>
            <w:r w:rsidR="00261E08" w:rsidRPr="00196AE1">
              <w:rPr>
                <w:rFonts w:asciiTheme="majorHAnsi" w:hAnsiTheme="majorHAnsi"/>
                <w:b/>
                <w:i/>
                <w:color w:val="FFFFFF" w:themeColor="background1"/>
                <w:sz w:val="20"/>
                <w:szCs w:val="20"/>
              </w:rPr>
              <w:t>Ratione</w:t>
            </w:r>
            <w:proofErr w:type="spellEnd"/>
            <w:r w:rsidR="00261E08" w:rsidRPr="00196AE1">
              <w:rPr>
                <w:rFonts w:asciiTheme="majorHAnsi" w:hAnsiTheme="majorHAnsi"/>
                <w:b/>
                <w:i/>
                <w:color w:val="FFFFFF" w:themeColor="background1"/>
                <w:sz w:val="20"/>
                <w:szCs w:val="20"/>
              </w:rPr>
              <w:t xml:space="preserve"> personae</w:t>
            </w:r>
            <w:r w:rsidRPr="00196AE1">
              <w:rPr>
                <w:rFonts w:asciiTheme="majorHAnsi" w:hAnsiTheme="majorHAnsi"/>
                <w:b/>
                <w:iCs/>
                <w:color w:val="FFFFFF" w:themeColor="background1"/>
                <w:sz w:val="20"/>
                <w:szCs w:val="20"/>
              </w:rPr>
              <w:t>:</w:t>
            </w:r>
          </w:p>
        </w:tc>
        <w:tc>
          <w:tcPr>
            <w:tcW w:w="5812" w:type="dxa"/>
            <w:vAlign w:val="center"/>
          </w:tcPr>
          <w:p w14:paraId="21522B2E" w14:textId="56D5AC62" w:rsidR="00261E08" w:rsidRPr="00196AE1" w:rsidRDefault="00FF7EFB" w:rsidP="009163FC">
            <w:pPr>
              <w:rPr>
                <w:rFonts w:asciiTheme="majorHAnsi" w:hAnsiTheme="majorHAnsi"/>
                <w:bCs/>
                <w:sz w:val="20"/>
                <w:szCs w:val="20"/>
              </w:rPr>
            </w:pPr>
            <w:r w:rsidRPr="00196AE1">
              <w:rPr>
                <w:rFonts w:asciiTheme="majorHAnsi" w:hAnsiTheme="majorHAnsi"/>
                <w:bCs/>
                <w:sz w:val="20"/>
                <w:szCs w:val="20"/>
              </w:rPr>
              <w:t>Yes</w:t>
            </w:r>
          </w:p>
        </w:tc>
      </w:tr>
      <w:tr w:rsidR="00FF7EFB" w:rsidRPr="00196AE1" w14:paraId="6438DD58" w14:textId="77777777" w:rsidTr="001C026A">
        <w:trPr>
          <w:cantSplit/>
        </w:trPr>
        <w:tc>
          <w:tcPr>
            <w:tcW w:w="3573" w:type="dxa"/>
            <w:tcBorders>
              <w:top w:val="single" w:sz="6" w:space="0" w:color="auto"/>
              <w:bottom w:val="single" w:sz="6" w:space="0" w:color="auto"/>
            </w:tcBorders>
            <w:shd w:val="clear" w:color="auto" w:fill="67AE3C"/>
            <w:vAlign w:val="center"/>
          </w:tcPr>
          <w:p w14:paraId="43AB8B19" w14:textId="1D72144B" w:rsidR="00FF7EFB" w:rsidRPr="00196AE1" w:rsidRDefault="00FF7EFB" w:rsidP="00FF7EFB">
            <w:pPr>
              <w:jc w:val="center"/>
              <w:rPr>
                <w:rFonts w:asciiTheme="majorHAnsi" w:hAnsiTheme="majorHAnsi"/>
                <w:b/>
                <w:color w:val="FFFFFF" w:themeColor="background1"/>
                <w:sz w:val="20"/>
                <w:szCs w:val="20"/>
              </w:rPr>
            </w:pPr>
            <w:r w:rsidRPr="00196AE1">
              <w:rPr>
                <w:rFonts w:asciiTheme="majorHAnsi" w:hAnsiTheme="majorHAnsi"/>
                <w:b/>
                <w:iCs/>
                <w:color w:val="FFFFFF" w:themeColor="background1"/>
                <w:sz w:val="20"/>
                <w:szCs w:val="20"/>
              </w:rPr>
              <w:t xml:space="preserve">Competence </w:t>
            </w:r>
            <w:proofErr w:type="spellStart"/>
            <w:r w:rsidRPr="00196AE1">
              <w:rPr>
                <w:rFonts w:asciiTheme="majorHAnsi" w:hAnsiTheme="majorHAnsi"/>
                <w:b/>
                <w:i/>
                <w:color w:val="FFFFFF" w:themeColor="background1"/>
                <w:sz w:val="20"/>
                <w:szCs w:val="20"/>
              </w:rPr>
              <w:t>Ratione</w:t>
            </w:r>
            <w:proofErr w:type="spellEnd"/>
            <w:r w:rsidRPr="00196AE1">
              <w:rPr>
                <w:rFonts w:asciiTheme="majorHAnsi" w:hAnsiTheme="majorHAnsi"/>
                <w:b/>
                <w:i/>
                <w:color w:val="FFFFFF" w:themeColor="background1"/>
                <w:sz w:val="20"/>
                <w:szCs w:val="20"/>
              </w:rPr>
              <w:t xml:space="preserve"> loci</w:t>
            </w:r>
            <w:r w:rsidRPr="00196AE1">
              <w:rPr>
                <w:rFonts w:asciiTheme="majorHAnsi" w:hAnsiTheme="majorHAnsi"/>
                <w:b/>
                <w:iCs/>
                <w:color w:val="FFFFFF" w:themeColor="background1"/>
                <w:sz w:val="20"/>
                <w:szCs w:val="20"/>
              </w:rPr>
              <w:t>:</w:t>
            </w:r>
          </w:p>
        </w:tc>
        <w:tc>
          <w:tcPr>
            <w:tcW w:w="5812" w:type="dxa"/>
          </w:tcPr>
          <w:p w14:paraId="27041F7E" w14:textId="4865E42C" w:rsidR="00FF7EFB" w:rsidRPr="00196AE1" w:rsidRDefault="00FF7EFB" w:rsidP="00FF7EFB">
            <w:pPr>
              <w:rPr>
                <w:rFonts w:asciiTheme="majorHAnsi" w:hAnsiTheme="majorHAnsi"/>
                <w:bCs/>
                <w:sz w:val="20"/>
                <w:szCs w:val="20"/>
              </w:rPr>
            </w:pPr>
            <w:r w:rsidRPr="00196AE1">
              <w:rPr>
                <w:rFonts w:asciiTheme="majorHAnsi" w:hAnsiTheme="majorHAnsi"/>
                <w:bCs/>
                <w:sz w:val="20"/>
                <w:szCs w:val="20"/>
              </w:rPr>
              <w:t>Yes</w:t>
            </w:r>
          </w:p>
        </w:tc>
      </w:tr>
      <w:tr w:rsidR="00FF7EFB" w:rsidRPr="00196AE1" w14:paraId="5140C2B6" w14:textId="77777777" w:rsidTr="001C026A">
        <w:trPr>
          <w:cantSplit/>
        </w:trPr>
        <w:tc>
          <w:tcPr>
            <w:tcW w:w="3573" w:type="dxa"/>
            <w:tcBorders>
              <w:top w:val="single" w:sz="6" w:space="0" w:color="auto"/>
              <w:bottom w:val="single" w:sz="6" w:space="0" w:color="auto"/>
            </w:tcBorders>
            <w:shd w:val="clear" w:color="auto" w:fill="67AE3C"/>
            <w:vAlign w:val="center"/>
          </w:tcPr>
          <w:p w14:paraId="74905820" w14:textId="3C814A74" w:rsidR="00FF7EFB" w:rsidRPr="00196AE1" w:rsidRDefault="00FF7EFB" w:rsidP="00FF7EFB">
            <w:pPr>
              <w:jc w:val="center"/>
              <w:rPr>
                <w:rFonts w:asciiTheme="majorHAnsi" w:hAnsiTheme="majorHAnsi"/>
                <w:b/>
                <w:color w:val="FFFFFF" w:themeColor="background1"/>
                <w:sz w:val="20"/>
                <w:szCs w:val="20"/>
              </w:rPr>
            </w:pPr>
            <w:r w:rsidRPr="00196AE1">
              <w:rPr>
                <w:rFonts w:asciiTheme="majorHAnsi" w:hAnsiTheme="majorHAnsi"/>
                <w:b/>
                <w:iCs/>
                <w:color w:val="FFFFFF" w:themeColor="background1"/>
                <w:sz w:val="20"/>
                <w:szCs w:val="20"/>
              </w:rPr>
              <w:t xml:space="preserve">Competence </w:t>
            </w:r>
            <w:proofErr w:type="spellStart"/>
            <w:r w:rsidRPr="00196AE1">
              <w:rPr>
                <w:rFonts w:asciiTheme="majorHAnsi" w:hAnsiTheme="majorHAnsi"/>
                <w:b/>
                <w:i/>
                <w:color w:val="FFFFFF" w:themeColor="background1"/>
                <w:sz w:val="20"/>
                <w:szCs w:val="20"/>
              </w:rPr>
              <w:t>Ratione</w:t>
            </w:r>
            <w:proofErr w:type="spellEnd"/>
            <w:r w:rsidRPr="00196AE1">
              <w:rPr>
                <w:rFonts w:asciiTheme="majorHAnsi" w:hAnsiTheme="majorHAnsi"/>
                <w:b/>
                <w:i/>
                <w:color w:val="FFFFFF" w:themeColor="background1"/>
                <w:sz w:val="20"/>
                <w:szCs w:val="20"/>
              </w:rPr>
              <w:t xml:space="preserve"> </w:t>
            </w:r>
            <w:proofErr w:type="spellStart"/>
            <w:r w:rsidRPr="00196AE1">
              <w:rPr>
                <w:rFonts w:asciiTheme="majorHAnsi" w:hAnsiTheme="majorHAnsi"/>
                <w:b/>
                <w:i/>
                <w:color w:val="FFFFFF" w:themeColor="background1"/>
                <w:sz w:val="20"/>
                <w:szCs w:val="20"/>
              </w:rPr>
              <w:t>temporis</w:t>
            </w:r>
            <w:proofErr w:type="spellEnd"/>
            <w:r w:rsidRPr="00196AE1">
              <w:rPr>
                <w:rFonts w:asciiTheme="majorHAnsi" w:hAnsiTheme="majorHAnsi"/>
                <w:b/>
                <w:iCs/>
                <w:color w:val="FFFFFF" w:themeColor="background1"/>
                <w:sz w:val="20"/>
                <w:szCs w:val="20"/>
              </w:rPr>
              <w:t>:</w:t>
            </w:r>
          </w:p>
        </w:tc>
        <w:tc>
          <w:tcPr>
            <w:tcW w:w="5812" w:type="dxa"/>
          </w:tcPr>
          <w:p w14:paraId="6091B7B0" w14:textId="07EF48E7" w:rsidR="00FF7EFB" w:rsidRPr="00196AE1" w:rsidRDefault="00FF7EFB" w:rsidP="00FF7EFB">
            <w:pPr>
              <w:rPr>
                <w:rFonts w:asciiTheme="majorHAnsi" w:hAnsiTheme="majorHAnsi"/>
                <w:bCs/>
                <w:sz w:val="20"/>
                <w:szCs w:val="20"/>
              </w:rPr>
            </w:pPr>
            <w:r w:rsidRPr="00196AE1">
              <w:rPr>
                <w:rFonts w:asciiTheme="majorHAnsi" w:hAnsiTheme="majorHAnsi"/>
                <w:bCs/>
                <w:sz w:val="20"/>
                <w:szCs w:val="20"/>
              </w:rPr>
              <w:t>Yes</w:t>
            </w:r>
          </w:p>
        </w:tc>
      </w:tr>
      <w:tr w:rsidR="00FF7EFB" w:rsidRPr="00196AE1" w14:paraId="33238134" w14:textId="77777777" w:rsidTr="001C026A">
        <w:trPr>
          <w:cantSplit/>
        </w:trPr>
        <w:tc>
          <w:tcPr>
            <w:tcW w:w="3573" w:type="dxa"/>
            <w:tcBorders>
              <w:top w:val="single" w:sz="6" w:space="0" w:color="auto"/>
              <w:bottom w:val="single" w:sz="6" w:space="0" w:color="auto"/>
            </w:tcBorders>
            <w:shd w:val="clear" w:color="auto" w:fill="67AE3C"/>
            <w:vAlign w:val="center"/>
          </w:tcPr>
          <w:p w14:paraId="3C7AAFE9" w14:textId="47120960" w:rsidR="00FF7EFB" w:rsidRPr="00196AE1" w:rsidRDefault="00FF7EFB" w:rsidP="00FF7EFB">
            <w:pPr>
              <w:jc w:val="center"/>
              <w:rPr>
                <w:rFonts w:asciiTheme="majorHAnsi" w:hAnsiTheme="majorHAnsi"/>
                <w:b/>
                <w:color w:val="FFFFFF" w:themeColor="background1"/>
                <w:sz w:val="20"/>
                <w:szCs w:val="20"/>
              </w:rPr>
            </w:pPr>
            <w:r w:rsidRPr="00196AE1">
              <w:rPr>
                <w:rFonts w:asciiTheme="majorHAnsi" w:hAnsiTheme="majorHAnsi"/>
                <w:b/>
                <w:iCs/>
                <w:color w:val="FFFFFF" w:themeColor="background1"/>
                <w:sz w:val="20"/>
                <w:szCs w:val="20"/>
              </w:rPr>
              <w:t xml:space="preserve">Competence </w:t>
            </w:r>
            <w:proofErr w:type="spellStart"/>
            <w:r w:rsidRPr="00196AE1">
              <w:rPr>
                <w:rFonts w:asciiTheme="majorHAnsi" w:hAnsiTheme="majorHAnsi"/>
                <w:b/>
                <w:i/>
                <w:color w:val="FFFFFF" w:themeColor="background1"/>
                <w:sz w:val="20"/>
                <w:szCs w:val="20"/>
              </w:rPr>
              <w:t>Ratione</w:t>
            </w:r>
            <w:proofErr w:type="spellEnd"/>
            <w:r w:rsidRPr="00196AE1">
              <w:rPr>
                <w:rFonts w:asciiTheme="majorHAnsi" w:hAnsiTheme="majorHAnsi"/>
                <w:b/>
                <w:i/>
                <w:color w:val="FFFFFF" w:themeColor="background1"/>
                <w:sz w:val="20"/>
                <w:szCs w:val="20"/>
              </w:rPr>
              <w:t xml:space="preserve"> </w:t>
            </w:r>
            <w:proofErr w:type="spellStart"/>
            <w:r w:rsidRPr="00196AE1">
              <w:rPr>
                <w:rFonts w:asciiTheme="majorHAnsi" w:hAnsiTheme="majorHAnsi"/>
                <w:b/>
                <w:i/>
                <w:color w:val="FFFFFF" w:themeColor="background1"/>
                <w:sz w:val="20"/>
                <w:szCs w:val="20"/>
              </w:rPr>
              <w:t>materiae</w:t>
            </w:r>
            <w:proofErr w:type="spellEnd"/>
            <w:r w:rsidRPr="00196AE1">
              <w:rPr>
                <w:rFonts w:asciiTheme="majorHAnsi" w:hAnsiTheme="majorHAnsi"/>
                <w:b/>
                <w:iCs/>
                <w:color w:val="FFFFFF" w:themeColor="background1"/>
                <w:sz w:val="20"/>
                <w:szCs w:val="20"/>
              </w:rPr>
              <w:t>:</w:t>
            </w:r>
          </w:p>
        </w:tc>
        <w:tc>
          <w:tcPr>
            <w:tcW w:w="5812" w:type="dxa"/>
          </w:tcPr>
          <w:p w14:paraId="49BB57C8" w14:textId="1B83174C" w:rsidR="00FF7EFB" w:rsidRPr="00196AE1" w:rsidRDefault="00FF7EFB" w:rsidP="00FF7EFB">
            <w:pPr>
              <w:jc w:val="both"/>
              <w:rPr>
                <w:rFonts w:asciiTheme="majorHAnsi" w:hAnsiTheme="majorHAnsi"/>
                <w:bCs/>
                <w:sz w:val="20"/>
                <w:szCs w:val="20"/>
              </w:rPr>
            </w:pPr>
            <w:r w:rsidRPr="00196AE1">
              <w:rPr>
                <w:rFonts w:asciiTheme="majorHAnsi" w:hAnsiTheme="majorHAnsi"/>
                <w:bCs/>
                <w:sz w:val="20"/>
                <w:szCs w:val="20"/>
              </w:rPr>
              <w:t>Yes American Convention (instrument of ratification deposited on June 23, 1978)</w:t>
            </w:r>
          </w:p>
        </w:tc>
      </w:tr>
    </w:tbl>
    <w:p w14:paraId="742070CB" w14:textId="77777777" w:rsidR="00F621C3" w:rsidRPr="00196AE1" w:rsidRDefault="00F621C3" w:rsidP="00C355B4">
      <w:pPr>
        <w:spacing w:before="120" w:after="120"/>
        <w:ind w:firstLine="720"/>
        <w:jc w:val="both"/>
        <w:rPr>
          <w:rFonts w:asciiTheme="majorHAnsi" w:hAnsiTheme="majorHAnsi"/>
          <w:b/>
          <w:bCs/>
          <w:sz w:val="19"/>
          <w:szCs w:val="19"/>
        </w:rPr>
      </w:pPr>
      <w:r w:rsidRPr="00196AE1">
        <w:rPr>
          <w:rFonts w:asciiTheme="majorHAnsi" w:hAnsiTheme="majorHAnsi"/>
          <w:b/>
          <w:bCs/>
          <w:sz w:val="19"/>
          <w:szCs w:val="19"/>
        </w:rPr>
        <w:t xml:space="preserve">IV. </w:t>
      </w:r>
      <w:r w:rsidRPr="00196AE1">
        <w:rPr>
          <w:rFonts w:asciiTheme="majorHAnsi" w:hAnsiTheme="majorHAnsi"/>
          <w:b/>
          <w:bCs/>
          <w:sz w:val="19"/>
          <w:szCs w:val="19"/>
        </w:rPr>
        <w:tab/>
        <w:t xml:space="preserve">DUPLICATION OF PROCEDURES AND INTERNATIONAL </w:t>
      </w:r>
      <w:r w:rsidRPr="00196AE1">
        <w:rPr>
          <w:rFonts w:asciiTheme="majorHAnsi" w:hAnsiTheme="majorHAnsi"/>
          <w:b/>
          <w:bCs/>
          <w:i/>
          <w:sz w:val="19"/>
          <w:szCs w:val="19"/>
        </w:rPr>
        <w:t>RES JUDICATA</w:t>
      </w:r>
      <w:r w:rsidRPr="00196AE1">
        <w:rPr>
          <w:rFonts w:asciiTheme="majorHAnsi" w:hAnsiTheme="majorHAnsi"/>
          <w:b/>
          <w:bCs/>
          <w:sz w:val="19"/>
          <w:szCs w:val="19"/>
        </w:rPr>
        <w:t>, COLORABLE CLAIM, EXHAUSTION OF DOMESTIC REMEDIES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573"/>
        <w:gridCol w:w="5812"/>
      </w:tblGrid>
      <w:tr w:rsidR="00261E08" w:rsidRPr="00196AE1" w14:paraId="47EC0E6D" w14:textId="77777777" w:rsidTr="000F326B">
        <w:trPr>
          <w:cantSplit/>
        </w:trPr>
        <w:tc>
          <w:tcPr>
            <w:tcW w:w="3573" w:type="dxa"/>
            <w:tcBorders>
              <w:top w:val="single" w:sz="4" w:space="0" w:color="auto"/>
              <w:bottom w:val="single" w:sz="6" w:space="0" w:color="auto"/>
            </w:tcBorders>
            <w:shd w:val="clear" w:color="auto" w:fill="67AE3C"/>
            <w:vAlign w:val="center"/>
          </w:tcPr>
          <w:p w14:paraId="1B9411D6" w14:textId="52D1A604" w:rsidR="00261E08" w:rsidRPr="00196AE1" w:rsidRDefault="00261E08" w:rsidP="008546E5">
            <w:pPr>
              <w:jc w:val="center"/>
              <w:rPr>
                <w:rFonts w:asciiTheme="majorHAnsi" w:hAnsiTheme="majorHAnsi"/>
                <w:b/>
                <w:color w:val="FFFFFF" w:themeColor="background1"/>
                <w:sz w:val="20"/>
                <w:szCs w:val="20"/>
              </w:rPr>
            </w:pPr>
            <w:r w:rsidRPr="00196AE1">
              <w:rPr>
                <w:rFonts w:asciiTheme="majorHAnsi" w:hAnsiTheme="majorHAnsi"/>
                <w:b/>
                <w:color w:val="FFFFFF" w:themeColor="background1"/>
                <w:sz w:val="20"/>
                <w:szCs w:val="20"/>
              </w:rPr>
              <w:t xml:space="preserve">Duplication of procedures </w:t>
            </w:r>
            <w:r w:rsidR="00B77DBF" w:rsidRPr="00196AE1">
              <w:rPr>
                <w:rFonts w:asciiTheme="majorHAnsi" w:hAnsiTheme="majorHAnsi"/>
                <w:b/>
                <w:color w:val="FFFFFF" w:themeColor="background1"/>
                <w:sz w:val="20"/>
                <w:szCs w:val="20"/>
              </w:rPr>
              <w:br/>
            </w:r>
            <w:r w:rsidRPr="00196AE1">
              <w:rPr>
                <w:rFonts w:asciiTheme="majorHAnsi" w:hAnsiTheme="majorHAnsi"/>
                <w:b/>
                <w:color w:val="FFFFFF" w:themeColor="background1"/>
                <w:sz w:val="20"/>
                <w:szCs w:val="20"/>
              </w:rPr>
              <w:t xml:space="preserve">and international </w:t>
            </w:r>
            <w:r w:rsidRPr="00196AE1">
              <w:rPr>
                <w:rFonts w:asciiTheme="majorHAnsi" w:hAnsiTheme="majorHAnsi"/>
                <w:b/>
                <w:i/>
                <w:color w:val="FFFFFF" w:themeColor="background1"/>
                <w:sz w:val="20"/>
                <w:szCs w:val="20"/>
              </w:rPr>
              <w:t>res judicata</w:t>
            </w:r>
            <w:r w:rsidR="00B77DBF" w:rsidRPr="00196AE1">
              <w:rPr>
                <w:rFonts w:asciiTheme="majorHAnsi" w:hAnsiTheme="majorHAnsi"/>
                <w:b/>
                <w:iCs/>
                <w:color w:val="FFFFFF" w:themeColor="background1"/>
                <w:sz w:val="20"/>
                <w:szCs w:val="20"/>
              </w:rPr>
              <w:t>:</w:t>
            </w:r>
          </w:p>
        </w:tc>
        <w:tc>
          <w:tcPr>
            <w:tcW w:w="5812" w:type="dxa"/>
            <w:vAlign w:val="center"/>
          </w:tcPr>
          <w:p w14:paraId="1A7CFC69" w14:textId="1461424B" w:rsidR="00261E08" w:rsidRPr="00196AE1" w:rsidRDefault="00FF7EFB" w:rsidP="009163FC">
            <w:pPr>
              <w:jc w:val="both"/>
              <w:rPr>
                <w:rFonts w:asciiTheme="majorHAnsi" w:hAnsiTheme="majorHAnsi"/>
                <w:bCs/>
                <w:sz w:val="20"/>
                <w:szCs w:val="20"/>
              </w:rPr>
            </w:pPr>
            <w:r w:rsidRPr="00196AE1">
              <w:rPr>
                <w:rFonts w:asciiTheme="majorHAnsi" w:hAnsiTheme="majorHAnsi"/>
                <w:bCs/>
                <w:sz w:val="20"/>
                <w:szCs w:val="20"/>
              </w:rPr>
              <w:t>No</w:t>
            </w:r>
          </w:p>
        </w:tc>
      </w:tr>
      <w:tr w:rsidR="00261E08" w:rsidRPr="00196AE1" w14:paraId="2E3D009A" w14:textId="77777777" w:rsidTr="000F326B">
        <w:trPr>
          <w:cantSplit/>
        </w:trPr>
        <w:tc>
          <w:tcPr>
            <w:tcW w:w="3573" w:type="dxa"/>
            <w:tcBorders>
              <w:top w:val="single" w:sz="6" w:space="0" w:color="auto"/>
              <w:bottom w:val="single" w:sz="6" w:space="0" w:color="auto"/>
            </w:tcBorders>
            <w:shd w:val="clear" w:color="auto" w:fill="67AE3C"/>
            <w:vAlign w:val="center"/>
          </w:tcPr>
          <w:p w14:paraId="45F253F9" w14:textId="77777777" w:rsidR="00261E08" w:rsidRPr="00196AE1" w:rsidRDefault="00261E08" w:rsidP="009163FC">
            <w:pPr>
              <w:jc w:val="center"/>
              <w:rPr>
                <w:rFonts w:asciiTheme="majorHAnsi" w:hAnsiTheme="majorHAnsi"/>
                <w:b/>
                <w:i/>
                <w:color w:val="FFFFFF" w:themeColor="background1"/>
                <w:sz w:val="20"/>
                <w:szCs w:val="20"/>
              </w:rPr>
            </w:pPr>
            <w:r w:rsidRPr="00196AE1">
              <w:rPr>
                <w:rFonts w:asciiTheme="majorHAnsi" w:hAnsiTheme="majorHAnsi"/>
                <w:b/>
                <w:color w:val="FFFFFF" w:themeColor="background1"/>
                <w:sz w:val="20"/>
                <w:szCs w:val="20"/>
              </w:rPr>
              <w:t>Rights declared admissible</w:t>
            </w:r>
          </w:p>
        </w:tc>
        <w:tc>
          <w:tcPr>
            <w:tcW w:w="5812" w:type="dxa"/>
            <w:vAlign w:val="center"/>
          </w:tcPr>
          <w:p w14:paraId="7C8C5244" w14:textId="15E19BFE" w:rsidR="00261E08" w:rsidRPr="00196AE1" w:rsidRDefault="00FF7EFB" w:rsidP="009163FC">
            <w:pPr>
              <w:jc w:val="both"/>
              <w:rPr>
                <w:rFonts w:asciiTheme="majorHAnsi" w:hAnsiTheme="majorHAnsi"/>
                <w:bCs/>
                <w:sz w:val="20"/>
                <w:szCs w:val="20"/>
              </w:rPr>
            </w:pPr>
            <w:r w:rsidRPr="00196AE1">
              <w:rPr>
                <w:rFonts w:asciiTheme="majorHAnsi" w:hAnsiTheme="majorHAnsi"/>
                <w:bCs/>
                <w:sz w:val="20"/>
                <w:szCs w:val="20"/>
              </w:rPr>
              <w:t>Articles 8 (right to a fair trial), 1</w:t>
            </w:r>
            <w:r w:rsidR="005E21A9" w:rsidRPr="00196AE1">
              <w:rPr>
                <w:rFonts w:asciiTheme="majorHAnsi" w:hAnsiTheme="majorHAnsi"/>
                <w:bCs/>
                <w:sz w:val="20"/>
                <w:szCs w:val="20"/>
              </w:rPr>
              <w:t>3</w:t>
            </w:r>
            <w:r w:rsidRPr="00196AE1">
              <w:rPr>
                <w:rFonts w:asciiTheme="majorHAnsi" w:hAnsiTheme="majorHAnsi"/>
                <w:bCs/>
                <w:sz w:val="20"/>
                <w:szCs w:val="20"/>
              </w:rPr>
              <w:t xml:space="preserve"> (</w:t>
            </w:r>
            <w:r w:rsidR="005E21A9" w:rsidRPr="00196AE1">
              <w:rPr>
                <w:rFonts w:asciiTheme="majorHAnsi" w:hAnsiTheme="majorHAnsi"/>
                <w:bCs/>
                <w:sz w:val="20"/>
                <w:szCs w:val="20"/>
              </w:rPr>
              <w:t>freedom of thought and expression</w:t>
            </w:r>
            <w:r w:rsidRPr="00196AE1">
              <w:rPr>
                <w:rFonts w:asciiTheme="majorHAnsi" w:hAnsiTheme="majorHAnsi"/>
                <w:bCs/>
                <w:sz w:val="20"/>
                <w:szCs w:val="20"/>
              </w:rPr>
              <w:t xml:space="preserve">), </w:t>
            </w:r>
            <w:r w:rsidR="005E21A9" w:rsidRPr="00196AE1">
              <w:rPr>
                <w:rFonts w:asciiTheme="majorHAnsi" w:hAnsiTheme="majorHAnsi"/>
                <w:bCs/>
                <w:sz w:val="20"/>
                <w:szCs w:val="20"/>
              </w:rPr>
              <w:t>23</w:t>
            </w:r>
            <w:r w:rsidRPr="00196AE1">
              <w:rPr>
                <w:rFonts w:asciiTheme="majorHAnsi" w:hAnsiTheme="majorHAnsi"/>
                <w:bCs/>
                <w:sz w:val="20"/>
                <w:szCs w:val="20"/>
              </w:rPr>
              <w:t xml:space="preserve"> (right to participate in government), and 25 (right to judicial protection) of the American Convention</w:t>
            </w:r>
            <w:r w:rsidR="005E21A9" w:rsidRPr="00196AE1">
              <w:rPr>
                <w:rFonts w:asciiTheme="majorHAnsi" w:hAnsiTheme="majorHAnsi"/>
                <w:bCs/>
                <w:sz w:val="20"/>
                <w:szCs w:val="20"/>
              </w:rPr>
              <w:t>,</w:t>
            </w:r>
            <w:r w:rsidRPr="00196AE1">
              <w:rPr>
                <w:rFonts w:asciiTheme="majorHAnsi" w:hAnsiTheme="majorHAnsi"/>
                <w:bCs/>
                <w:sz w:val="20"/>
                <w:szCs w:val="20"/>
              </w:rPr>
              <w:t xml:space="preserve"> in connection with Article</w:t>
            </w:r>
            <w:r w:rsidR="005E21A9" w:rsidRPr="00196AE1">
              <w:rPr>
                <w:rFonts w:asciiTheme="majorHAnsi" w:hAnsiTheme="majorHAnsi"/>
                <w:bCs/>
                <w:sz w:val="20"/>
                <w:szCs w:val="20"/>
              </w:rPr>
              <w:t>s</w:t>
            </w:r>
            <w:r w:rsidRPr="00196AE1">
              <w:rPr>
                <w:rFonts w:asciiTheme="majorHAnsi" w:hAnsiTheme="majorHAnsi"/>
                <w:bCs/>
                <w:sz w:val="20"/>
                <w:szCs w:val="20"/>
              </w:rPr>
              <w:t xml:space="preserve"> 1.1 (obligation to respect rights) </w:t>
            </w:r>
            <w:r w:rsidR="005E21A9" w:rsidRPr="00196AE1">
              <w:rPr>
                <w:rFonts w:asciiTheme="majorHAnsi" w:hAnsiTheme="majorHAnsi"/>
                <w:bCs/>
                <w:sz w:val="20"/>
                <w:szCs w:val="20"/>
              </w:rPr>
              <w:t xml:space="preserve">and 2 (domestic legal effects) </w:t>
            </w:r>
            <w:r w:rsidRPr="00196AE1">
              <w:rPr>
                <w:rFonts w:asciiTheme="majorHAnsi" w:hAnsiTheme="majorHAnsi"/>
                <w:bCs/>
                <w:sz w:val="20"/>
                <w:szCs w:val="20"/>
              </w:rPr>
              <w:t>thereof</w:t>
            </w:r>
          </w:p>
        </w:tc>
      </w:tr>
      <w:tr w:rsidR="00261E08" w:rsidRPr="00196AE1" w14:paraId="77899B94" w14:textId="77777777" w:rsidTr="000F326B">
        <w:trPr>
          <w:cantSplit/>
        </w:trPr>
        <w:tc>
          <w:tcPr>
            <w:tcW w:w="3573" w:type="dxa"/>
            <w:tcBorders>
              <w:top w:val="single" w:sz="6" w:space="0" w:color="auto"/>
              <w:bottom w:val="single" w:sz="6" w:space="0" w:color="auto"/>
            </w:tcBorders>
            <w:shd w:val="clear" w:color="auto" w:fill="67AE3C"/>
            <w:vAlign w:val="center"/>
          </w:tcPr>
          <w:p w14:paraId="754CDE32" w14:textId="16476B25" w:rsidR="00261E08" w:rsidRPr="00196AE1" w:rsidRDefault="00261E08" w:rsidP="008546E5">
            <w:pPr>
              <w:jc w:val="center"/>
              <w:rPr>
                <w:rFonts w:asciiTheme="majorHAnsi" w:hAnsiTheme="majorHAnsi"/>
                <w:b/>
                <w:color w:val="FFFFFF" w:themeColor="background1"/>
                <w:sz w:val="20"/>
                <w:szCs w:val="20"/>
              </w:rPr>
            </w:pPr>
            <w:r w:rsidRPr="00196AE1">
              <w:rPr>
                <w:rFonts w:asciiTheme="majorHAnsi" w:hAnsiTheme="majorHAnsi"/>
                <w:b/>
                <w:color w:val="FFFFFF" w:themeColor="background1"/>
                <w:sz w:val="20"/>
                <w:szCs w:val="20"/>
              </w:rPr>
              <w:t>Exhaustion or exception</w:t>
            </w:r>
            <w:r w:rsidR="00B77DBF" w:rsidRPr="00196AE1">
              <w:rPr>
                <w:rFonts w:asciiTheme="majorHAnsi" w:hAnsiTheme="majorHAnsi"/>
                <w:b/>
                <w:color w:val="FFFFFF" w:themeColor="background1"/>
                <w:sz w:val="20"/>
                <w:szCs w:val="20"/>
              </w:rPr>
              <w:br/>
            </w:r>
            <w:r w:rsidRPr="00196AE1">
              <w:rPr>
                <w:rFonts w:asciiTheme="majorHAnsi" w:hAnsiTheme="majorHAnsi"/>
                <w:b/>
                <w:color w:val="FFFFFF" w:themeColor="background1"/>
                <w:sz w:val="20"/>
                <w:szCs w:val="20"/>
              </w:rPr>
              <w:t xml:space="preserve"> to the exhaustion of remedies</w:t>
            </w:r>
            <w:r w:rsidR="00B77DBF" w:rsidRPr="00196AE1">
              <w:rPr>
                <w:rFonts w:asciiTheme="majorHAnsi" w:hAnsiTheme="majorHAnsi"/>
                <w:b/>
                <w:color w:val="FFFFFF" w:themeColor="background1"/>
                <w:sz w:val="20"/>
                <w:szCs w:val="20"/>
              </w:rPr>
              <w:t>:</w:t>
            </w:r>
            <w:r w:rsidRPr="00196AE1">
              <w:rPr>
                <w:rFonts w:asciiTheme="majorHAnsi" w:hAnsiTheme="majorHAnsi"/>
                <w:b/>
                <w:color w:val="FFFFFF" w:themeColor="background1"/>
                <w:sz w:val="20"/>
                <w:szCs w:val="20"/>
              </w:rPr>
              <w:t xml:space="preserve"> </w:t>
            </w:r>
          </w:p>
        </w:tc>
        <w:tc>
          <w:tcPr>
            <w:tcW w:w="5812" w:type="dxa"/>
            <w:vAlign w:val="center"/>
          </w:tcPr>
          <w:p w14:paraId="20F52498" w14:textId="12802230" w:rsidR="00261E08" w:rsidRPr="00196AE1" w:rsidRDefault="005E21A9" w:rsidP="009163FC">
            <w:pPr>
              <w:rPr>
                <w:rFonts w:asciiTheme="majorHAnsi" w:hAnsiTheme="majorHAnsi"/>
                <w:bCs/>
                <w:sz w:val="20"/>
                <w:szCs w:val="20"/>
              </w:rPr>
            </w:pPr>
            <w:r w:rsidRPr="00196AE1">
              <w:rPr>
                <w:rFonts w:asciiTheme="majorHAnsi" w:hAnsiTheme="majorHAnsi"/>
                <w:bCs/>
                <w:sz w:val="20"/>
                <w:szCs w:val="20"/>
              </w:rPr>
              <w:t>Yes, according to Section VI</w:t>
            </w:r>
          </w:p>
        </w:tc>
      </w:tr>
      <w:tr w:rsidR="00261E08" w:rsidRPr="00196AE1" w14:paraId="4F59B7C5" w14:textId="77777777" w:rsidTr="000F326B">
        <w:trPr>
          <w:cantSplit/>
        </w:trPr>
        <w:tc>
          <w:tcPr>
            <w:tcW w:w="3573" w:type="dxa"/>
            <w:tcBorders>
              <w:top w:val="single" w:sz="6" w:space="0" w:color="auto"/>
              <w:bottom w:val="single" w:sz="6" w:space="0" w:color="auto"/>
            </w:tcBorders>
            <w:shd w:val="clear" w:color="auto" w:fill="67AE3C"/>
            <w:vAlign w:val="center"/>
          </w:tcPr>
          <w:p w14:paraId="75227E17" w14:textId="4CE62B1B" w:rsidR="00261E08" w:rsidRPr="00196AE1" w:rsidRDefault="00261E08" w:rsidP="009163FC">
            <w:pPr>
              <w:jc w:val="center"/>
              <w:rPr>
                <w:rFonts w:asciiTheme="majorHAnsi" w:hAnsiTheme="majorHAnsi"/>
                <w:b/>
                <w:color w:val="FFFFFF" w:themeColor="background1"/>
                <w:sz w:val="20"/>
                <w:szCs w:val="20"/>
              </w:rPr>
            </w:pPr>
            <w:r w:rsidRPr="00196AE1">
              <w:rPr>
                <w:rFonts w:asciiTheme="majorHAnsi" w:hAnsiTheme="majorHAnsi"/>
                <w:b/>
                <w:color w:val="FFFFFF" w:themeColor="background1"/>
                <w:sz w:val="20"/>
                <w:szCs w:val="20"/>
              </w:rPr>
              <w:t>Timeliness of the petition</w:t>
            </w:r>
            <w:r w:rsidR="00B77DBF" w:rsidRPr="00196AE1">
              <w:rPr>
                <w:rFonts w:asciiTheme="majorHAnsi" w:hAnsiTheme="majorHAnsi"/>
                <w:b/>
                <w:color w:val="FFFFFF" w:themeColor="background1"/>
                <w:sz w:val="20"/>
                <w:szCs w:val="20"/>
              </w:rPr>
              <w:t>:</w:t>
            </w:r>
          </w:p>
        </w:tc>
        <w:tc>
          <w:tcPr>
            <w:tcW w:w="5812" w:type="dxa"/>
            <w:vAlign w:val="center"/>
          </w:tcPr>
          <w:p w14:paraId="474C25FA" w14:textId="49C1ABA0" w:rsidR="00261E08" w:rsidRPr="00196AE1" w:rsidRDefault="005E21A9" w:rsidP="009163FC">
            <w:pPr>
              <w:rPr>
                <w:rFonts w:asciiTheme="majorHAnsi" w:hAnsiTheme="majorHAnsi"/>
                <w:bCs/>
                <w:sz w:val="20"/>
                <w:szCs w:val="20"/>
              </w:rPr>
            </w:pPr>
            <w:r w:rsidRPr="00196AE1">
              <w:rPr>
                <w:rFonts w:asciiTheme="majorHAnsi" w:hAnsiTheme="majorHAnsi"/>
                <w:bCs/>
                <w:sz w:val="20"/>
                <w:szCs w:val="20"/>
              </w:rPr>
              <w:t>Yes, according to Section VI</w:t>
            </w:r>
          </w:p>
        </w:tc>
      </w:tr>
    </w:tbl>
    <w:p w14:paraId="6B043EF0" w14:textId="77777777" w:rsidR="005E21A9" w:rsidRPr="00196AE1" w:rsidRDefault="005E21A9" w:rsidP="00C355B4">
      <w:pPr>
        <w:spacing w:before="120" w:after="120"/>
        <w:ind w:firstLine="720"/>
        <w:jc w:val="both"/>
        <w:rPr>
          <w:rFonts w:asciiTheme="majorHAnsi" w:hAnsiTheme="majorHAnsi"/>
          <w:b/>
          <w:sz w:val="20"/>
          <w:szCs w:val="20"/>
        </w:rPr>
      </w:pPr>
    </w:p>
    <w:p w14:paraId="2ACF9552" w14:textId="77777777" w:rsidR="005E21A9" w:rsidRPr="00196AE1" w:rsidRDefault="005E21A9">
      <w:pPr>
        <w:rPr>
          <w:rFonts w:asciiTheme="majorHAnsi" w:hAnsiTheme="majorHAnsi"/>
          <w:b/>
          <w:sz w:val="20"/>
          <w:szCs w:val="20"/>
        </w:rPr>
      </w:pPr>
      <w:r w:rsidRPr="00196AE1">
        <w:rPr>
          <w:rFonts w:asciiTheme="majorHAnsi" w:hAnsiTheme="majorHAnsi"/>
          <w:b/>
          <w:sz w:val="20"/>
          <w:szCs w:val="20"/>
        </w:rPr>
        <w:br w:type="page"/>
      </w:r>
    </w:p>
    <w:p w14:paraId="01ABD6E0" w14:textId="0CE71675" w:rsidR="005B41E0" w:rsidRPr="00196AE1" w:rsidRDefault="00F621C3" w:rsidP="005B41E0">
      <w:pPr>
        <w:spacing w:before="120" w:after="120"/>
        <w:ind w:firstLine="720"/>
        <w:jc w:val="both"/>
        <w:rPr>
          <w:rFonts w:asciiTheme="majorHAnsi" w:hAnsiTheme="majorHAnsi"/>
          <w:b/>
          <w:sz w:val="20"/>
          <w:szCs w:val="20"/>
        </w:rPr>
      </w:pPr>
      <w:r w:rsidRPr="00196AE1">
        <w:rPr>
          <w:rFonts w:asciiTheme="majorHAnsi" w:hAnsiTheme="majorHAnsi"/>
          <w:b/>
          <w:sz w:val="20"/>
          <w:szCs w:val="20"/>
        </w:rPr>
        <w:lastRenderedPageBreak/>
        <w:t xml:space="preserve">V. </w:t>
      </w:r>
      <w:r w:rsidRPr="00196AE1">
        <w:rPr>
          <w:rFonts w:asciiTheme="majorHAnsi" w:hAnsiTheme="majorHAnsi"/>
          <w:b/>
          <w:sz w:val="20"/>
          <w:szCs w:val="20"/>
        </w:rPr>
        <w:tab/>
        <w:t xml:space="preserve">FACTS </w:t>
      </w:r>
      <w:r w:rsidR="008C2373" w:rsidRPr="00196AE1">
        <w:rPr>
          <w:rFonts w:asciiTheme="majorHAnsi" w:hAnsiTheme="majorHAnsi"/>
          <w:b/>
          <w:sz w:val="20"/>
          <w:szCs w:val="20"/>
        </w:rPr>
        <w:t>ALLEGED</w:t>
      </w:r>
    </w:p>
    <w:p w14:paraId="385EF5D0" w14:textId="6117FC00" w:rsidR="005B41E0" w:rsidRPr="00196AE1" w:rsidRDefault="005B41E0" w:rsidP="005B41E0">
      <w:pPr>
        <w:pStyle w:val="ListParagraph"/>
        <w:numPr>
          <w:ilvl w:val="0"/>
          <w:numId w:val="107"/>
        </w:numPr>
        <w:suppressAutoHyphens/>
        <w:spacing w:after="240"/>
        <w:ind w:left="0" w:firstLine="709"/>
        <w:jc w:val="both"/>
        <w:rPr>
          <w:sz w:val="20"/>
          <w:szCs w:val="20"/>
        </w:rPr>
      </w:pPr>
      <w:r w:rsidRPr="00196AE1">
        <w:rPr>
          <w:sz w:val="20"/>
          <w:szCs w:val="20"/>
        </w:rPr>
        <w:t xml:space="preserve">The petitioners allege the international responsibility of El Salvador for </w:t>
      </w:r>
      <w:r w:rsidR="002650E6" w:rsidRPr="00196AE1">
        <w:rPr>
          <w:sz w:val="20"/>
          <w:szCs w:val="20"/>
        </w:rPr>
        <w:t>the violation of</w:t>
      </w:r>
      <w:r w:rsidRPr="00196AE1">
        <w:rPr>
          <w:sz w:val="20"/>
          <w:szCs w:val="20"/>
        </w:rPr>
        <w:t xml:space="preserve"> the rights of Mr. José </w:t>
      </w:r>
      <w:proofErr w:type="spellStart"/>
      <w:r w:rsidRPr="00196AE1">
        <w:rPr>
          <w:sz w:val="20"/>
          <w:szCs w:val="20"/>
        </w:rPr>
        <w:t>Salomón</w:t>
      </w:r>
      <w:proofErr w:type="spellEnd"/>
      <w:r w:rsidRPr="00196AE1">
        <w:rPr>
          <w:sz w:val="20"/>
          <w:szCs w:val="20"/>
        </w:rPr>
        <w:t xml:space="preserve"> Padilla </w:t>
      </w:r>
      <w:r w:rsidR="00E1171D" w:rsidRPr="00196AE1">
        <w:rPr>
          <w:sz w:val="20"/>
          <w:szCs w:val="20"/>
        </w:rPr>
        <w:t>given the judgment of unconstitutionality issued over</w:t>
      </w:r>
      <w:r w:rsidRPr="00196AE1">
        <w:rPr>
          <w:sz w:val="20"/>
          <w:szCs w:val="20"/>
        </w:rPr>
        <w:t xml:space="preserve"> the Salvadoran Legislative Assembly’s decree of August 21, 2012, by which Mr. Padilla had been elected </w:t>
      </w:r>
      <w:r w:rsidR="00767E35">
        <w:rPr>
          <w:sz w:val="20"/>
          <w:szCs w:val="20"/>
        </w:rPr>
        <w:t>j</w:t>
      </w:r>
      <w:r w:rsidRPr="00196AE1">
        <w:rPr>
          <w:sz w:val="20"/>
          <w:szCs w:val="20"/>
        </w:rPr>
        <w:t>ustice of the Supreme Court of Justice. The petitioners allege, principally, that the Salvadoran legal framework does not explicitly prohibit justices of the Supreme Court of Justice from becoming members of a political party and that Mr. Padilla could not access an effective remedy to have this decision reviewed by an impartial and autonomous tribunal.</w:t>
      </w:r>
    </w:p>
    <w:p w14:paraId="2E090D60" w14:textId="3650C138" w:rsidR="005B41E0" w:rsidRPr="00196AE1" w:rsidRDefault="005B41E0" w:rsidP="005B41E0">
      <w:pPr>
        <w:pStyle w:val="ListParagraph"/>
        <w:numPr>
          <w:ilvl w:val="0"/>
          <w:numId w:val="107"/>
        </w:numPr>
        <w:suppressAutoHyphens/>
        <w:spacing w:after="240"/>
        <w:ind w:left="0" w:firstLine="709"/>
        <w:jc w:val="both"/>
        <w:rPr>
          <w:sz w:val="20"/>
          <w:szCs w:val="20"/>
        </w:rPr>
      </w:pPr>
      <w:r w:rsidRPr="00196AE1">
        <w:rPr>
          <w:sz w:val="20"/>
          <w:szCs w:val="20"/>
        </w:rPr>
        <w:t xml:space="preserve">The petitioners recount that by Legislative Decree 1070 of April 24, 2012, the Salvadoran Legislative Assembly elected Mr. Padilla </w:t>
      </w:r>
      <w:r w:rsidR="00C3340D">
        <w:rPr>
          <w:sz w:val="20"/>
          <w:szCs w:val="20"/>
        </w:rPr>
        <w:t>j</w:t>
      </w:r>
      <w:r w:rsidRPr="00196AE1">
        <w:rPr>
          <w:sz w:val="20"/>
          <w:szCs w:val="20"/>
        </w:rPr>
        <w:t xml:space="preserve">ustice of the Supreme Court of Justice for the term July 1, 2012 - June 30, 2021. Nevertheless, they report that on May 4, 2012, a claim was filed alleging the unconstitutional nature of this decision in that the Legislative Assembly had </w:t>
      </w:r>
      <w:r w:rsidR="002650E6" w:rsidRPr="00196AE1">
        <w:rPr>
          <w:sz w:val="20"/>
          <w:szCs w:val="20"/>
        </w:rPr>
        <w:t>infringed</w:t>
      </w:r>
      <w:r w:rsidRPr="00196AE1">
        <w:rPr>
          <w:sz w:val="20"/>
          <w:szCs w:val="20"/>
        </w:rPr>
        <w:t xml:space="preserve"> the principle of indirect legitimacy of justices of the Supreme Court of Justice. This claim gave rise to constitutional proceedings </w:t>
      </w:r>
      <w:r w:rsidR="00783F7C" w:rsidRPr="00196AE1">
        <w:rPr>
          <w:sz w:val="20"/>
          <w:szCs w:val="20"/>
        </w:rPr>
        <w:t xml:space="preserve">No. </w:t>
      </w:r>
      <w:r w:rsidRPr="00196AE1">
        <w:rPr>
          <w:sz w:val="20"/>
          <w:szCs w:val="20"/>
        </w:rPr>
        <w:t>19-2012, in which the Constitutional Chamber found Legislative Decree 1070 unconstitutional on June 5, 2012, following which th</w:t>
      </w:r>
      <w:r w:rsidR="00F90352" w:rsidRPr="00196AE1">
        <w:rPr>
          <w:sz w:val="20"/>
          <w:szCs w:val="20"/>
        </w:rPr>
        <w:t>e</w:t>
      </w:r>
      <w:r w:rsidRPr="00196AE1">
        <w:rPr>
          <w:sz w:val="20"/>
          <w:szCs w:val="20"/>
        </w:rPr>
        <w:t xml:space="preserve"> decree was nullified and Mr. Padilla lost his office.</w:t>
      </w:r>
      <w:r w:rsidR="00783F7C" w:rsidRPr="00196AE1">
        <w:rPr>
          <w:sz w:val="20"/>
          <w:szCs w:val="20"/>
        </w:rPr>
        <w:t xml:space="preserve"> </w:t>
      </w:r>
    </w:p>
    <w:p w14:paraId="2C52DA11" w14:textId="4DCDF415" w:rsidR="005B41E0" w:rsidRPr="00196AE1" w:rsidRDefault="005B41E0" w:rsidP="005B41E0">
      <w:pPr>
        <w:pStyle w:val="ListParagraph"/>
        <w:numPr>
          <w:ilvl w:val="0"/>
          <w:numId w:val="107"/>
        </w:numPr>
        <w:suppressAutoHyphens/>
        <w:spacing w:after="240"/>
        <w:ind w:left="0" w:firstLine="709"/>
        <w:jc w:val="both"/>
        <w:rPr>
          <w:sz w:val="20"/>
          <w:szCs w:val="20"/>
        </w:rPr>
      </w:pPr>
      <w:r w:rsidRPr="00196AE1">
        <w:rPr>
          <w:sz w:val="20"/>
          <w:szCs w:val="20"/>
        </w:rPr>
        <w:t xml:space="preserve">The petitioners hold that due to judgment of unconstitutionality </w:t>
      </w:r>
      <w:r w:rsidR="006E3944" w:rsidRPr="00196AE1">
        <w:rPr>
          <w:sz w:val="20"/>
          <w:szCs w:val="20"/>
        </w:rPr>
        <w:t xml:space="preserve">No. </w:t>
      </w:r>
      <w:r w:rsidRPr="00196AE1">
        <w:rPr>
          <w:sz w:val="20"/>
          <w:szCs w:val="20"/>
        </w:rPr>
        <w:t xml:space="preserve">19-2012, the Legislative Assembly of El Salvador filed a complaint with the </w:t>
      </w:r>
      <w:r w:rsidR="000F274E" w:rsidRPr="00196AE1">
        <w:rPr>
          <w:sz w:val="20"/>
          <w:szCs w:val="20"/>
        </w:rPr>
        <w:t>Central American</w:t>
      </w:r>
      <w:r w:rsidRPr="00196AE1">
        <w:rPr>
          <w:sz w:val="20"/>
          <w:szCs w:val="20"/>
        </w:rPr>
        <w:t xml:space="preserve"> Court of Justice (hereinafter CCJ), which in its ruling of August 15, 2012</w:t>
      </w:r>
      <w:r w:rsidR="00783F7C" w:rsidRPr="00196AE1">
        <w:rPr>
          <w:sz w:val="20"/>
          <w:szCs w:val="20"/>
        </w:rPr>
        <w:t>,</w:t>
      </w:r>
      <w:r w:rsidRPr="00196AE1">
        <w:rPr>
          <w:sz w:val="20"/>
          <w:szCs w:val="20"/>
        </w:rPr>
        <w:t xml:space="preserve"> found judgment o</w:t>
      </w:r>
      <w:r w:rsidR="00783F7C" w:rsidRPr="00196AE1">
        <w:rPr>
          <w:sz w:val="20"/>
          <w:szCs w:val="20"/>
        </w:rPr>
        <w:t>f</w:t>
      </w:r>
      <w:r w:rsidRPr="00196AE1">
        <w:rPr>
          <w:sz w:val="20"/>
          <w:szCs w:val="20"/>
        </w:rPr>
        <w:t xml:space="preserve"> unconstitutionality</w:t>
      </w:r>
      <w:r w:rsidR="00783F7C" w:rsidRPr="00196AE1">
        <w:rPr>
          <w:sz w:val="20"/>
          <w:szCs w:val="20"/>
        </w:rPr>
        <w:t xml:space="preserve"> No.</w:t>
      </w:r>
      <w:r w:rsidRPr="00196AE1">
        <w:rPr>
          <w:sz w:val="20"/>
          <w:szCs w:val="20"/>
        </w:rPr>
        <w:t xml:space="preserve"> 19-2012 inapplicable. However, the Constitutional Chamber declared the CCJ’s ruling inapplicable. The petitioners claim that owing to the conflicting judgments issued by the Constitutional Chamber and the CCJ, the Legislative Assembly and the president of the Republic of El Salvador mediated and agreed to call another election of justices of the Supreme Court of Justice. </w:t>
      </w:r>
    </w:p>
    <w:p w14:paraId="01848EE1" w14:textId="4A02FF56" w:rsidR="005B41E0" w:rsidRPr="00196AE1" w:rsidRDefault="005B41E0" w:rsidP="005B41E0">
      <w:pPr>
        <w:pStyle w:val="ListParagraph"/>
        <w:numPr>
          <w:ilvl w:val="0"/>
          <w:numId w:val="107"/>
        </w:numPr>
        <w:suppressAutoHyphens/>
        <w:spacing w:after="240"/>
        <w:ind w:left="0" w:firstLine="709"/>
        <w:jc w:val="both"/>
        <w:rPr>
          <w:sz w:val="20"/>
          <w:szCs w:val="20"/>
        </w:rPr>
      </w:pPr>
      <w:r w:rsidRPr="00196AE1">
        <w:rPr>
          <w:sz w:val="20"/>
          <w:szCs w:val="20"/>
        </w:rPr>
        <w:t xml:space="preserve">Thus, by Legislative Decree 101 of August 21, 2012, the Legislative Assembly for the second time elected Mr. Padilla </w:t>
      </w:r>
      <w:r w:rsidR="0018213B">
        <w:rPr>
          <w:sz w:val="20"/>
          <w:szCs w:val="20"/>
        </w:rPr>
        <w:t>j</w:t>
      </w:r>
      <w:r w:rsidRPr="00196AE1">
        <w:rPr>
          <w:sz w:val="20"/>
          <w:szCs w:val="20"/>
        </w:rPr>
        <w:t xml:space="preserve">ustice of the Supreme Court of Justice for the term </w:t>
      </w:r>
      <w:r w:rsidR="00FE1A58" w:rsidRPr="00196AE1">
        <w:rPr>
          <w:sz w:val="20"/>
          <w:szCs w:val="20"/>
        </w:rPr>
        <w:t>ending</w:t>
      </w:r>
      <w:r w:rsidRPr="00196AE1">
        <w:rPr>
          <w:sz w:val="20"/>
          <w:szCs w:val="20"/>
        </w:rPr>
        <w:t xml:space="preserve"> on June 30, 2021. He was also elected </w:t>
      </w:r>
      <w:r w:rsidR="00783F7C" w:rsidRPr="00196AE1">
        <w:rPr>
          <w:sz w:val="20"/>
          <w:szCs w:val="20"/>
        </w:rPr>
        <w:t>p</w:t>
      </w:r>
      <w:r w:rsidRPr="00196AE1">
        <w:rPr>
          <w:sz w:val="20"/>
          <w:szCs w:val="20"/>
        </w:rPr>
        <w:t xml:space="preserve">resident of the Constitutional Chamber of the Supreme Court of Justice for the term that finished on July 15, 2015. The petitioners explain that Mr. Padilla took office on August 22, 2012, yet on May 13 and June 18, 2013, two claims alleging unconstitutionality were filed against Legislative Decree 101. These were submitted by Salvadoran citizens </w:t>
      </w:r>
      <w:r w:rsidR="0014275F" w:rsidRPr="00196AE1">
        <w:rPr>
          <w:sz w:val="20"/>
          <w:szCs w:val="20"/>
        </w:rPr>
        <w:t>who</w:t>
      </w:r>
      <w:r w:rsidRPr="00196AE1">
        <w:rPr>
          <w:sz w:val="20"/>
          <w:szCs w:val="20"/>
        </w:rPr>
        <w:t xml:space="preserve"> claimed that Mr. Padilla’s election was unconstitutional on account that (a) the Legislative Assembly did not justify or demonstrate any outstanding qualifications of the justices elect, including Mr. Padilla, and (b) it purportedly affected the independence of the judges regarding political parties, as Mr. Padilla was </w:t>
      </w:r>
      <w:r w:rsidR="00783F7C" w:rsidRPr="00196AE1">
        <w:rPr>
          <w:sz w:val="20"/>
          <w:szCs w:val="20"/>
        </w:rPr>
        <w:t xml:space="preserve">affiliated to </w:t>
      </w:r>
      <w:r w:rsidRPr="00196AE1">
        <w:rPr>
          <w:sz w:val="20"/>
          <w:szCs w:val="20"/>
        </w:rPr>
        <w:t xml:space="preserve">a political party and had stated his political preference in public. The petitioners hold that the allegation of Mr. Padilla’s </w:t>
      </w:r>
      <w:r w:rsidR="001F4616" w:rsidRPr="00196AE1">
        <w:rPr>
          <w:sz w:val="20"/>
          <w:szCs w:val="20"/>
        </w:rPr>
        <w:t>aff</w:t>
      </w:r>
      <w:r w:rsidR="00C263C2" w:rsidRPr="00196AE1">
        <w:rPr>
          <w:sz w:val="20"/>
          <w:szCs w:val="20"/>
        </w:rPr>
        <w:t>i</w:t>
      </w:r>
      <w:r w:rsidR="001F4616" w:rsidRPr="00196AE1">
        <w:rPr>
          <w:sz w:val="20"/>
          <w:szCs w:val="20"/>
        </w:rPr>
        <w:t>liation</w:t>
      </w:r>
      <w:r w:rsidRPr="00196AE1">
        <w:rPr>
          <w:sz w:val="20"/>
          <w:szCs w:val="20"/>
        </w:rPr>
        <w:t xml:space="preserve"> to a political party was based on news, television interviews, and newspaper articles only and not documentary evidence.</w:t>
      </w:r>
      <w:r w:rsidR="00E1171D" w:rsidRPr="00196AE1">
        <w:rPr>
          <w:sz w:val="20"/>
          <w:szCs w:val="20"/>
        </w:rPr>
        <w:t xml:space="preserve"> </w:t>
      </w:r>
    </w:p>
    <w:p w14:paraId="5569F2E7" w14:textId="3A6F971D" w:rsidR="005B41E0" w:rsidRPr="00196AE1" w:rsidRDefault="005B41E0" w:rsidP="005B41E0">
      <w:pPr>
        <w:pStyle w:val="ListParagraph"/>
        <w:numPr>
          <w:ilvl w:val="0"/>
          <w:numId w:val="107"/>
        </w:numPr>
        <w:suppressAutoHyphens/>
        <w:spacing w:after="240"/>
        <w:ind w:left="0" w:firstLine="709"/>
        <w:jc w:val="both"/>
        <w:rPr>
          <w:sz w:val="20"/>
          <w:szCs w:val="20"/>
        </w:rPr>
      </w:pPr>
      <w:r w:rsidRPr="00196AE1">
        <w:rPr>
          <w:sz w:val="20"/>
          <w:szCs w:val="20"/>
        </w:rPr>
        <w:t xml:space="preserve">The above claims </w:t>
      </w:r>
      <w:r w:rsidR="00E1171D" w:rsidRPr="00196AE1">
        <w:rPr>
          <w:sz w:val="20"/>
          <w:szCs w:val="20"/>
        </w:rPr>
        <w:t>of</w:t>
      </w:r>
      <w:r w:rsidRPr="00196AE1">
        <w:rPr>
          <w:sz w:val="20"/>
          <w:szCs w:val="20"/>
        </w:rPr>
        <w:t xml:space="preserve"> unconstitutionality were admitted and joined by the Constitutional Chamber on July 24, 2013, giving rise to constitutional proceedings</w:t>
      </w:r>
      <w:r w:rsidR="00E1171D" w:rsidRPr="00196AE1">
        <w:rPr>
          <w:sz w:val="20"/>
          <w:szCs w:val="20"/>
        </w:rPr>
        <w:t xml:space="preserve"> No.</w:t>
      </w:r>
      <w:r w:rsidRPr="00196AE1">
        <w:rPr>
          <w:sz w:val="20"/>
          <w:szCs w:val="20"/>
        </w:rPr>
        <w:t xml:space="preserve"> 77-2013/97-2013. The petitioners allege that Mr. Padilla was cited to appear in court to answer the accusations on the claims. Nevertheless, they allege that before the justices of the Constitutional Chamber conducted a legal examination of the claims o</w:t>
      </w:r>
      <w:r w:rsidR="00E1171D" w:rsidRPr="00196AE1">
        <w:rPr>
          <w:sz w:val="20"/>
          <w:szCs w:val="20"/>
        </w:rPr>
        <w:t>f</w:t>
      </w:r>
      <w:r w:rsidRPr="00196AE1">
        <w:rPr>
          <w:sz w:val="20"/>
          <w:szCs w:val="20"/>
        </w:rPr>
        <w:t xml:space="preserve"> unconstitutionality, their resolution was preordained</w:t>
      </w:r>
      <w:r w:rsidR="00E1171D" w:rsidRPr="00196AE1">
        <w:rPr>
          <w:sz w:val="20"/>
          <w:szCs w:val="20"/>
        </w:rPr>
        <w:t>,</w:t>
      </w:r>
      <w:r w:rsidRPr="00196AE1">
        <w:rPr>
          <w:sz w:val="20"/>
          <w:szCs w:val="20"/>
        </w:rPr>
        <w:t xml:space="preserve"> </w:t>
      </w:r>
      <w:r w:rsidR="00E1171D" w:rsidRPr="00196AE1">
        <w:rPr>
          <w:sz w:val="20"/>
          <w:szCs w:val="20"/>
        </w:rPr>
        <w:t>as this</w:t>
      </w:r>
      <w:r w:rsidRPr="00196AE1">
        <w:rPr>
          <w:sz w:val="20"/>
          <w:szCs w:val="20"/>
        </w:rPr>
        <w:t xml:space="preserve"> involv</w:t>
      </w:r>
      <w:r w:rsidR="00E1171D" w:rsidRPr="00196AE1">
        <w:rPr>
          <w:sz w:val="20"/>
          <w:szCs w:val="20"/>
        </w:rPr>
        <w:t>ed</w:t>
      </w:r>
      <w:r w:rsidRPr="00196AE1">
        <w:rPr>
          <w:sz w:val="20"/>
          <w:szCs w:val="20"/>
        </w:rPr>
        <w:t xml:space="preserve"> political parties, meaning by this that the judgment of unconstitutionality was imminent.</w:t>
      </w:r>
      <w:r w:rsidR="00E1171D" w:rsidRPr="00196AE1">
        <w:rPr>
          <w:sz w:val="20"/>
          <w:szCs w:val="20"/>
        </w:rPr>
        <w:t xml:space="preserve"> </w:t>
      </w:r>
    </w:p>
    <w:p w14:paraId="5C98655A" w14:textId="04448824" w:rsidR="005B41E0" w:rsidRPr="00196AE1" w:rsidRDefault="005B41E0" w:rsidP="005B41E0">
      <w:pPr>
        <w:pStyle w:val="ListParagraph"/>
        <w:numPr>
          <w:ilvl w:val="0"/>
          <w:numId w:val="107"/>
        </w:numPr>
        <w:suppressAutoHyphens/>
        <w:spacing w:after="240"/>
        <w:ind w:left="0" w:firstLine="709"/>
        <w:jc w:val="both"/>
        <w:rPr>
          <w:sz w:val="20"/>
          <w:szCs w:val="20"/>
        </w:rPr>
      </w:pPr>
      <w:r w:rsidRPr="00196AE1">
        <w:rPr>
          <w:sz w:val="20"/>
          <w:szCs w:val="20"/>
        </w:rPr>
        <w:t>Thus, by its judgment of October 14, 2013, the Constitutional Chamber of the Supreme Court of Justice adjudicated claims o</w:t>
      </w:r>
      <w:r w:rsidR="00E1171D" w:rsidRPr="00196AE1">
        <w:rPr>
          <w:sz w:val="20"/>
          <w:szCs w:val="20"/>
        </w:rPr>
        <w:t>f</w:t>
      </w:r>
      <w:r w:rsidRPr="00196AE1">
        <w:rPr>
          <w:sz w:val="20"/>
          <w:szCs w:val="20"/>
        </w:rPr>
        <w:t xml:space="preserve"> unconstitutionality </w:t>
      </w:r>
      <w:r w:rsidR="00E1171D" w:rsidRPr="00196AE1">
        <w:rPr>
          <w:sz w:val="20"/>
          <w:szCs w:val="20"/>
        </w:rPr>
        <w:t xml:space="preserve">Nos. </w:t>
      </w:r>
      <w:r w:rsidRPr="00196AE1">
        <w:rPr>
          <w:sz w:val="20"/>
          <w:szCs w:val="20"/>
        </w:rPr>
        <w:t>77-2013/97-2013 by ruling that Mr. Padilla’s second appointment as justice-president of the Supreme Court of Justice, the Constitutional Chamber, and the Judicial Branch was unconstitutional and that, accordingly, the</w:t>
      </w:r>
      <w:r w:rsidR="00E83EEA">
        <w:rPr>
          <w:sz w:val="20"/>
          <w:szCs w:val="20"/>
        </w:rPr>
        <w:t xml:space="preserve"> </w:t>
      </w:r>
      <w:r w:rsidRPr="00196AE1">
        <w:rPr>
          <w:sz w:val="20"/>
          <w:szCs w:val="20"/>
        </w:rPr>
        <w:t>Legislative Assembly had infringed the principle of judicial independence regarding political parties since Mr. Padilla was a</w:t>
      </w:r>
      <w:r w:rsidR="00E1171D" w:rsidRPr="00196AE1">
        <w:rPr>
          <w:sz w:val="20"/>
          <w:szCs w:val="20"/>
        </w:rPr>
        <w:t>ffiliated to</w:t>
      </w:r>
      <w:r w:rsidRPr="00196AE1">
        <w:rPr>
          <w:sz w:val="20"/>
          <w:szCs w:val="20"/>
        </w:rPr>
        <w:t xml:space="preserve"> </w:t>
      </w:r>
      <w:proofErr w:type="spellStart"/>
      <w:r w:rsidRPr="00196AE1">
        <w:rPr>
          <w:sz w:val="20"/>
          <w:szCs w:val="20"/>
        </w:rPr>
        <w:t>Farabundo</w:t>
      </w:r>
      <w:proofErr w:type="spellEnd"/>
      <w:r w:rsidRPr="00196AE1">
        <w:rPr>
          <w:sz w:val="20"/>
          <w:szCs w:val="20"/>
        </w:rPr>
        <w:t xml:space="preserve"> </w:t>
      </w:r>
      <w:proofErr w:type="spellStart"/>
      <w:r w:rsidRPr="00196AE1">
        <w:rPr>
          <w:sz w:val="20"/>
          <w:szCs w:val="20"/>
        </w:rPr>
        <w:t>Martí</w:t>
      </w:r>
      <w:proofErr w:type="spellEnd"/>
      <w:r w:rsidRPr="00196AE1">
        <w:rPr>
          <w:sz w:val="20"/>
          <w:szCs w:val="20"/>
        </w:rPr>
        <w:t xml:space="preserve"> National Liberation Front. That judgment stated as follows regarding the incompatibility between </w:t>
      </w:r>
      <w:r w:rsidR="008015C9" w:rsidRPr="00196AE1">
        <w:rPr>
          <w:sz w:val="20"/>
          <w:szCs w:val="20"/>
        </w:rPr>
        <w:t xml:space="preserve">being </w:t>
      </w:r>
      <w:r w:rsidR="00B6450D" w:rsidRPr="00196AE1">
        <w:rPr>
          <w:sz w:val="20"/>
          <w:szCs w:val="20"/>
        </w:rPr>
        <w:t>affiliation</w:t>
      </w:r>
      <w:r w:rsidR="0011427B" w:rsidRPr="00196AE1">
        <w:rPr>
          <w:sz w:val="20"/>
          <w:szCs w:val="20"/>
        </w:rPr>
        <w:t xml:space="preserve"> to a </w:t>
      </w:r>
      <w:r w:rsidRPr="00196AE1">
        <w:rPr>
          <w:sz w:val="20"/>
          <w:szCs w:val="20"/>
        </w:rPr>
        <w:t xml:space="preserve">political party and </w:t>
      </w:r>
      <w:r w:rsidR="00B6450D" w:rsidRPr="00196AE1">
        <w:rPr>
          <w:sz w:val="20"/>
          <w:szCs w:val="20"/>
        </w:rPr>
        <w:t>the</w:t>
      </w:r>
      <w:r w:rsidRPr="00196AE1">
        <w:rPr>
          <w:sz w:val="20"/>
          <w:szCs w:val="20"/>
        </w:rPr>
        <w:t xml:space="preserve"> office </w:t>
      </w:r>
      <w:r w:rsidR="00B6450D" w:rsidRPr="00196AE1">
        <w:rPr>
          <w:sz w:val="20"/>
          <w:szCs w:val="20"/>
        </w:rPr>
        <w:t>of</w:t>
      </w:r>
      <w:r w:rsidRPr="00196AE1">
        <w:rPr>
          <w:sz w:val="20"/>
          <w:szCs w:val="20"/>
        </w:rPr>
        <w:t xml:space="preserve"> justice of the Supreme Court of Justice: </w:t>
      </w:r>
    </w:p>
    <w:p w14:paraId="5D752667" w14:textId="7D19815C" w:rsidR="005B41E0" w:rsidRPr="00196AE1" w:rsidRDefault="005B41E0" w:rsidP="005B41E0">
      <w:pPr>
        <w:suppressAutoHyphens/>
        <w:spacing w:after="60"/>
        <w:ind w:left="720" w:right="720"/>
        <w:jc w:val="both"/>
        <w:rPr>
          <w:rFonts w:ascii="Cambria" w:hAnsi="Cambria"/>
          <w:sz w:val="20"/>
          <w:szCs w:val="20"/>
        </w:rPr>
      </w:pPr>
      <w:r w:rsidRPr="00196AE1">
        <w:rPr>
          <w:rFonts w:ascii="Cambria" w:hAnsi="Cambria"/>
          <w:sz w:val="20"/>
          <w:szCs w:val="20"/>
        </w:rPr>
        <w:t xml:space="preserve">Bearing in mind that provision, it follows that, based on a literal interpretation (in the manner that the Legislative Assembly, the Attorney General, and lawyer José </w:t>
      </w:r>
      <w:proofErr w:type="spellStart"/>
      <w:r w:rsidRPr="00196AE1">
        <w:rPr>
          <w:rFonts w:ascii="Cambria" w:hAnsi="Cambria"/>
          <w:sz w:val="20"/>
          <w:szCs w:val="20"/>
        </w:rPr>
        <w:t>Salomón</w:t>
      </w:r>
      <w:proofErr w:type="spellEnd"/>
      <w:r w:rsidRPr="00196AE1">
        <w:rPr>
          <w:rFonts w:ascii="Cambria" w:hAnsi="Cambria"/>
          <w:sz w:val="20"/>
          <w:szCs w:val="20"/>
        </w:rPr>
        <w:t xml:space="preserve"> Padilla </w:t>
      </w:r>
      <w:r w:rsidRPr="00196AE1">
        <w:rPr>
          <w:rFonts w:ascii="Cambria" w:hAnsi="Cambria"/>
          <w:sz w:val="20"/>
          <w:szCs w:val="20"/>
        </w:rPr>
        <w:lastRenderedPageBreak/>
        <w:t>understand it), Art. 176 of the Const</w:t>
      </w:r>
      <w:r w:rsidR="00CE4368" w:rsidRPr="00196AE1">
        <w:rPr>
          <w:rFonts w:ascii="Cambria" w:hAnsi="Cambria"/>
          <w:sz w:val="20"/>
          <w:szCs w:val="20"/>
        </w:rPr>
        <w:t>.</w:t>
      </w:r>
      <w:r w:rsidRPr="00196AE1">
        <w:rPr>
          <w:rFonts w:ascii="Cambria" w:hAnsi="Cambria"/>
          <w:sz w:val="20"/>
          <w:szCs w:val="20"/>
        </w:rPr>
        <w:t xml:space="preserve"> “does not </w:t>
      </w:r>
      <w:r w:rsidR="004340B6" w:rsidRPr="00196AE1">
        <w:rPr>
          <w:rFonts w:ascii="Cambria" w:hAnsi="Cambria"/>
          <w:sz w:val="20"/>
          <w:szCs w:val="20"/>
        </w:rPr>
        <w:t xml:space="preserve">[explicitly] </w:t>
      </w:r>
      <w:r w:rsidRPr="00196AE1">
        <w:rPr>
          <w:rFonts w:ascii="Cambria" w:hAnsi="Cambria"/>
          <w:sz w:val="20"/>
          <w:szCs w:val="20"/>
        </w:rPr>
        <w:t xml:space="preserve">prohibit” </w:t>
      </w:r>
      <w:r w:rsidR="0022465F" w:rsidRPr="00196AE1">
        <w:rPr>
          <w:rFonts w:ascii="Cambria" w:hAnsi="Cambria"/>
          <w:sz w:val="20"/>
          <w:szCs w:val="20"/>
        </w:rPr>
        <w:t>persons</w:t>
      </w:r>
      <w:r w:rsidRPr="00196AE1">
        <w:rPr>
          <w:rFonts w:ascii="Cambria" w:hAnsi="Cambria"/>
          <w:sz w:val="20"/>
          <w:szCs w:val="20"/>
        </w:rPr>
        <w:t xml:space="preserve"> eventually elected Justices of the SCJ (who exercise ultimate constitutionality and legality control) </w:t>
      </w:r>
      <w:r w:rsidR="004340B6" w:rsidRPr="00196AE1">
        <w:rPr>
          <w:rFonts w:ascii="Cambria" w:hAnsi="Cambria"/>
          <w:sz w:val="20"/>
          <w:szCs w:val="20"/>
        </w:rPr>
        <w:t>from being</w:t>
      </w:r>
      <w:r w:rsidRPr="00196AE1">
        <w:rPr>
          <w:rFonts w:ascii="Cambria" w:hAnsi="Cambria"/>
          <w:sz w:val="20"/>
          <w:szCs w:val="20"/>
        </w:rPr>
        <w:t xml:space="preserve"> members of a political party; but in the case of candidates to the office of Justice of the Supreme Electoral Tribunal [TSE], specifically those chosen from the shortlist submitted by the SCJ, </w:t>
      </w:r>
      <w:r w:rsidR="004B4C92" w:rsidRPr="00196AE1">
        <w:rPr>
          <w:rFonts w:ascii="Cambria" w:hAnsi="Cambria"/>
          <w:sz w:val="20"/>
          <w:szCs w:val="20"/>
        </w:rPr>
        <w:t xml:space="preserve">such </w:t>
      </w:r>
      <w:r w:rsidRPr="00196AE1">
        <w:rPr>
          <w:rFonts w:ascii="Cambria" w:hAnsi="Cambria"/>
          <w:sz w:val="20"/>
          <w:szCs w:val="20"/>
        </w:rPr>
        <w:t xml:space="preserve">incompatibility </w:t>
      </w:r>
      <w:r w:rsidR="0022465F" w:rsidRPr="00196AE1">
        <w:rPr>
          <w:rFonts w:ascii="Cambria" w:hAnsi="Cambria"/>
          <w:sz w:val="20"/>
          <w:szCs w:val="20"/>
        </w:rPr>
        <w:t xml:space="preserve">does </w:t>
      </w:r>
      <w:r w:rsidRPr="00196AE1">
        <w:rPr>
          <w:rFonts w:ascii="Cambria" w:hAnsi="Cambria"/>
          <w:sz w:val="20"/>
          <w:szCs w:val="20"/>
        </w:rPr>
        <w:t>exist.</w:t>
      </w:r>
    </w:p>
    <w:p w14:paraId="724F2F28" w14:textId="77777777" w:rsidR="005B41E0" w:rsidRPr="00196AE1" w:rsidRDefault="005B41E0" w:rsidP="005B41E0">
      <w:pPr>
        <w:suppressAutoHyphens/>
        <w:spacing w:after="60"/>
        <w:ind w:left="720" w:right="720"/>
        <w:jc w:val="both"/>
        <w:rPr>
          <w:rFonts w:ascii="Cambria" w:hAnsi="Cambria"/>
          <w:sz w:val="20"/>
          <w:szCs w:val="20"/>
        </w:rPr>
      </w:pPr>
    </w:p>
    <w:p w14:paraId="62D10764" w14:textId="44047C8B" w:rsidR="005B41E0" w:rsidRPr="00196AE1" w:rsidRDefault="005B41E0" w:rsidP="005B41E0">
      <w:pPr>
        <w:suppressAutoHyphens/>
        <w:spacing w:after="60"/>
        <w:ind w:left="720" w:right="720"/>
        <w:jc w:val="both"/>
        <w:rPr>
          <w:rFonts w:ascii="Cambria" w:hAnsi="Cambria"/>
          <w:sz w:val="20"/>
          <w:szCs w:val="20"/>
        </w:rPr>
      </w:pPr>
      <w:r w:rsidRPr="00196AE1">
        <w:rPr>
          <w:rFonts w:ascii="Cambria" w:hAnsi="Cambria"/>
          <w:sz w:val="20"/>
          <w:szCs w:val="20"/>
        </w:rPr>
        <w:t>Accepting such an interpretation would lead to a ridiculous conclusion: Justices of the SCJ can be members of a political party (</w:t>
      </w:r>
      <w:r w:rsidR="006763D2" w:rsidRPr="00196AE1">
        <w:rPr>
          <w:rFonts w:ascii="Cambria" w:hAnsi="Cambria"/>
          <w:sz w:val="20"/>
          <w:szCs w:val="20"/>
        </w:rPr>
        <w:t xml:space="preserve">in </w:t>
      </w:r>
      <w:r w:rsidRPr="00196AE1">
        <w:rPr>
          <w:rFonts w:ascii="Cambria" w:hAnsi="Cambria"/>
          <w:sz w:val="20"/>
          <w:szCs w:val="20"/>
        </w:rPr>
        <w:t>full, including members’ duties to the political party concerned), but two of the Justices of the TSE (those elected from the shortlist made by the SCJ itself) may</w:t>
      </w:r>
      <w:r w:rsidR="006763D2" w:rsidRPr="00196AE1">
        <w:rPr>
          <w:rFonts w:ascii="Cambria" w:hAnsi="Cambria"/>
          <w:sz w:val="20"/>
          <w:szCs w:val="20"/>
        </w:rPr>
        <w:t xml:space="preserve"> not</w:t>
      </w:r>
      <w:r w:rsidRPr="00196AE1">
        <w:rPr>
          <w:rFonts w:ascii="Cambria" w:hAnsi="Cambria"/>
          <w:sz w:val="20"/>
          <w:szCs w:val="20"/>
        </w:rPr>
        <w:t xml:space="preserve"> </w:t>
      </w:r>
      <w:r w:rsidR="00776A74" w:rsidRPr="00196AE1">
        <w:rPr>
          <w:rFonts w:ascii="Cambria" w:hAnsi="Cambria"/>
          <w:sz w:val="20"/>
          <w:szCs w:val="20"/>
        </w:rPr>
        <w:t>be</w:t>
      </w:r>
      <w:r w:rsidRPr="00196AE1">
        <w:rPr>
          <w:rFonts w:ascii="Cambria" w:hAnsi="Cambria"/>
          <w:sz w:val="20"/>
          <w:szCs w:val="20"/>
        </w:rPr>
        <w:t xml:space="preserve"> so.</w:t>
      </w:r>
    </w:p>
    <w:p w14:paraId="08157CE5" w14:textId="77777777" w:rsidR="005B41E0" w:rsidRPr="00196AE1" w:rsidRDefault="005B41E0" w:rsidP="005B41E0">
      <w:pPr>
        <w:suppressAutoHyphens/>
        <w:spacing w:after="60"/>
        <w:ind w:left="720" w:right="720"/>
        <w:jc w:val="both"/>
        <w:rPr>
          <w:rFonts w:ascii="Cambria" w:hAnsi="Cambria"/>
          <w:sz w:val="20"/>
          <w:szCs w:val="20"/>
        </w:rPr>
      </w:pPr>
    </w:p>
    <w:p w14:paraId="3B651071" w14:textId="0AF26E79" w:rsidR="005B41E0" w:rsidRPr="00196AE1" w:rsidRDefault="005B41E0" w:rsidP="005B41E0">
      <w:pPr>
        <w:suppressAutoHyphens/>
        <w:spacing w:after="60"/>
        <w:ind w:left="720" w:right="720"/>
        <w:jc w:val="both"/>
        <w:rPr>
          <w:rFonts w:ascii="Cambria" w:hAnsi="Cambria"/>
          <w:sz w:val="20"/>
          <w:szCs w:val="20"/>
        </w:rPr>
      </w:pPr>
      <w:r w:rsidRPr="00196AE1">
        <w:rPr>
          <w:rFonts w:ascii="Cambria" w:hAnsi="Cambria"/>
          <w:sz w:val="20"/>
          <w:szCs w:val="20"/>
        </w:rPr>
        <w:t xml:space="preserve">If the </w:t>
      </w:r>
      <w:r w:rsidRPr="00196AE1">
        <w:rPr>
          <w:rFonts w:ascii="Cambria" w:hAnsi="Cambria"/>
          <w:i/>
          <w:iCs/>
          <w:sz w:val="20"/>
          <w:szCs w:val="20"/>
        </w:rPr>
        <w:t xml:space="preserve">raison d’être </w:t>
      </w:r>
      <w:r w:rsidRPr="00196AE1">
        <w:rPr>
          <w:rFonts w:ascii="Cambria" w:hAnsi="Cambria"/>
          <w:sz w:val="20"/>
          <w:szCs w:val="20"/>
        </w:rPr>
        <w:t xml:space="preserve">of Art. 208 subpar. 1 of the Const. is </w:t>
      </w:r>
      <w:r w:rsidR="004B4812" w:rsidRPr="00196AE1">
        <w:rPr>
          <w:rFonts w:ascii="Cambria" w:hAnsi="Cambria"/>
          <w:sz w:val="20"/>
          <w:szCs w:val="20"/>
        </w:rPr>
        <w:t xml:space="preserve">to </w:t>
      </w:r>
      <w:r w:rsidRPr="00196AE1">
        <w:rPr>
          <w:rFonts w:ascii="Cambria" w:hAnsi="Cambria"/>
          <w:sz w:val="20"/>
          <w:szCs w:val="20"/>
        </w:rPr>
        <w:t>protect the independence and promot</w:t>
      </w:r>
      <w:r w:rsidR="004B4812" w:rsidRPr="00196AE1">
        <w:rPr>
          <w:rFonts w:ascii="Cambria" w:hAnsi="Cambria"/>
          <w:sz w:val="20"/>
          <w:szCs w:val="20"/>
        </w:rPr>
        <w:t>e</w:t>
      </w:r>
      <w:r w:rsidRPr="00196AE1">
        <w:rPr>
          <w:rFonts w:ascii="Cambria" w:hAnsi="Cambria"/>
          <w:sz w:val="20"/>
          <w:szCs w:val="20"/>
        </w:rPr>
        <w:t xml:space="preserve"> the impartiality of two of the Justices of the TSE elected from among those shortlisted by the SCJ—which is why they are not allowed to be members of a political party—, </w:t>
      </w:r>
      <w:r w:rsidRPr="00196AE1">
        <w:rPr>
          <w:rFonts w:ascii="Cambria" w:hAnsi="Cambria"/>
          <w:i/>
          <w:iCs/>
          <w:sz w:val="20"/>
          <w:szCs w:val="20"/>
        </w:rPr>
        <w:t>all the more so</w:t>
      </w:r>
      <w:r w:rsidRPr="00196AE1">
        <w:rPr>
          <w:rFonts w:ascii="Cambria" w:hAnsi="Cambria"/>
          <w:sz w:val="20"/>
          <w:szCs w:val="20"/>
        </w:rPr>
        <w:t xml:space="preserve"> the interpretation according to which Justices of the SCJ in general are allowed such membership </w:t>
      </w:r>
      <w:r w:rsidR="004B4812" w:rsidRPr="00196AE1">
        <w:rPr>
          <w:rFonts w:ascii="Cambria" w:hAnsi="Cambria"/>
          <w:sz w:val="20"/>
          <w:szCs w:val="20"/>
        </w:rPr>
        <w:t>since</w:t>
      </w:r>
      <w:r w:rsidRPr="00196AE1">
        <w:rPr>
          <w:rFonts w:ascii="Cambria" w:hAnsi="Cambria"/>
          <w:sz w:val="20"/>
          <w:szCs w:val="20"/>
        </w:rPr>
        <w:t xml:space="preserve"> Art. 176 of the Const. does not prohibit this</w:t>
      </w:r>
      <w:r w:rsidR="004B4812" w:rsidRPr="00196AE1">
        <w:rPr>
          <w:rFonts w:ascii="Cambria" w:hAnsi="Cambria"/>
          <w:sz w:val="20"/>
          <w:szCs w:val="20"/>
        </w:rPr>
        <w:t>,</w:t>
      </w:r>
      <w:r w:rsidRPr="00196AE1">
        <w:rPr>
          <w:rFonts w:ascii="Cambria" w:hAnsi="Cambria"/>
          <w:sz w:val="20"/>
          <w:szCs w:val="20"/>
        </w:rPr>
        <w:t xml:space="preserve"> is unacceptable; above all, because Art. 208 subpar. 5 of the Const. enables that proceedings by the TSE are subject to constitutionality controls through “remedies established by [the] Constitution,” which are the responsibility of this Chamber (whose president is lawyer José </w:t>
      </w:r>
      <w:proofErr w:type="spellStart"/>
      <w:r w:rsidRPr="00196AE1">
        <w:rPr>
          <w:rFonts w:ascii="Cambria" w:hAnsi="Cambria"/>
          <w:sz w:val="20"/>
          <w:szCs w:val="20"/>
        </w:rPr>
        <w:t>Salomón</w:t>
      </w:r>
      <w:proofErr w:type="spellEnd"/>
      <w:r w:rsidRPr="00196AE1">
        <w:rPr>
          <w:rFonts w:ascii="Cambria" w:hAnsi="Cambria"/>
          <w:sz w:val="20"/>
          <w:szCs w:val="20"/>
        </w:rPr>
        <w:t xml:space="preserve"> Padilla).</w:t>
      </w:r>
    </w:p>
    <w:p w14:paraId="2F34A22F" w14:textId="77777777" w:rsidR="005B41E0" w:rsidRPr="00196AE1" w:rsidRDefault="005B41E0" w:rsidP="005B41E0">
      <w:pPr>
        <w:suppressAutoHyphens/>
        <w:spacing w:after="60"/>
        <w:ind w:left="720" w:right="720"/>
        <w:jc w:val="both"/>
        <w:rPr>
          <w:rFonts w:ascii="Cambria" w:hAnsi="Cambria"/>
          <w:sz w:val="20"/>
          <w:szCs w:val="20"/>
        </w:rPr>
      </w:pPr>
    </w:p>
    <w:p w14:paraId="113EA477" w14:textId="10E8D30D" w:rsidR="005B41E0" w:rsidRPr="00196AE1" w:rsidRDefault="005B41E0" w:rsidP="005B41E0">
      <w:pPr>
        <w:pStyle w:val="ListParagraph"/>
        <w:numPr>
          <w:ilvl w:val="0"/>
          <w:numId w:val="107"/>
        </w:numPr>
        <w:suppressAutoHyphens/>
        <w:spacing w:after="240"/>
        <w:ind w:left="0" w:firstLine="709"/>
        <w:jc w:val="both"/>
        <w:rPr>
          <w:sz w:val="20"/>
          <w:szCs w:val="20"/>
        </w:rPr>
      </w:pPr>
      <w:r w:rsidRPr="00196AE1">
        <w:rPr>
          <w:sz w:val="20"/>
          <w:szCs w:val="20"/>
        </w:rPr>
        <w:t>The petitioners claim that the judgments of unconstitutionality by the Constitutional Chamber are final and cannot be appealed</w:t>
      </w:r>
      <w:r w:rsidR="005C589B" w:rsidRPr="00196AE1">
        <w:rPr>
          <w:sz w:val="20"/>
          <w:szCs w:val="20"/>
        </w:rPr>
        <w:t>, accordingly</w:t>
      </w:r>
      <w:r w:rsidRPr="00196AE1">
        <w:rPr>
          <w:sz w:val="20"/>
          <w:szCs w:val="20"/>
        </w:rPr>
        <w:t xml:space="preserve">. However, they say that in November 2013, Mr. Padilla reported these facts to the Office of the Attorney for Human Rights of El Salvador (PDDH). On August 28, 2015, the PDDH issued a resolution stating that Mr. Padilla’s constitutional right to holding public office had been infringed. </w:t>
      </w:r>
    </w:p>
    <w:p w14:paraId="2B383655" w14:textId="5C232404" w:rsidR="005B41E0" w:rsidRPr="00196AE1" w:rsidRDefault="005B41E0" w:rsidP="005B41E0">
      <w:pPr>
        <w:pStyle w:val="ListParagraph"/>
        <w:numPr>
          <w:ilvl w:val="0"/>
          <w:numId w:val="107"/>
        </w:numPr>
        <w:suppressAutoHyphens/>
        <w:spacing w:after="240"/>
        <w:ind w:left="0" w:firstLine="709"/>
        <w:jc w:val="both"/>
        <w:rPr>
          <w:sz w:val="20"/>
          <w:szCs w:val="20"/>
        </w:rPr>
      </w:pPr>
      <w:r w:rsidRPr="00196AE1">
        <w:rPr>
          <w:sz w:val="20"/>
          <w:szCs w:val="20"/>
        </w:rPr>
        <w:t xml:space="preserve">The petitioners allege mainly that the judgment of unconstitutionality of October 14, 2013, by the Constitutional Chamber of the Supreme Court of Justice infringed Mr. Padilla’s judicial guarantees, his right to having one’s honor and privacy respected, his freedom of association, and his political rights, because the judgment of unconstitutionality in proceedings </w:t>
      </w:r>
      <w:r w:rsidR="00971441" w:rsidRPr="00196AE1">
        <w:rPr>
          <w:sz w:val="20"/>
          <w:szCs w:val="20"/>
        </w:rPr>
        <w:t xml:space="preserve">No. </w:t>
      </w:r>
      <w:r w:rsidRPr="00196AE1">
        <w:rPr>
          <w:sz w:val="20"/>
          <w:szCs w:val="20"/>
        </w:rPr>
        <w:t xml:space="preserve">77-2013/97-2013 appears to have been based only on the fact that Mr. Padilla was a member of a political party—not to mention the fact that, in El Salvador, there is no law that explicitly prohibits justices of the Supreme Court of Justice from being members of a political party and that his alleged </w:t>
      </w:r>
      <w:r w:rsidR="00971441" w:rsidRPr="00196AE1">
        <w:rPr>
          <w:sz w:val="20"/>
          <w:szCs w:val="20"/>
        </w:rPr>
        <w:t>affiliation</w:t>
      </w:r>
      <w:r w:rsidRPr="00196AE1">
        <w:rPr>
          <w:sz w:val="20"/>
          <w:szCs w:val="20"/>
        </w:rPr>
        <w:t xml:space="preserve"> was not proved with documentary evidence but determined on the basis of Mr. Padilla’s statements in television interviews and newspaper articles. Additionally, the petitioners allege that while in office, Mr. Padilla’s performance was</w:t>
      </w:r>
      <w:r w:rsidR="00971441" w:rsidRPr="00196AE1">
        <w:rPr>
          <w:sz w:val="20"/>
          <w:szCs w:val="20"/>
        </w:rPr>
        <w:t xml:space="preserve"> always</w:t>
      </w:r>
      <w:r w:rsidRPr="00196AE1">
        <w:rPr>
          <w:sz w:val="20"/>
          <w:szCs w:val="20"/>
        </w:rPr>
        <w:t xml:space="preserve"> impartial and that he could not access an effective remedy to </w:t>
      </w:r>
      <w:r w:rsidR="00971441" w:rsidRPr="00196AE1">
        <w:rPr>
          <w:sz w:val="20"/>
          <w:szCs w:val="20"/>
        </w:rPr>
        <w:t>present</w:t>
      </w:r>
      <w:r w:rsidR="00DB3C83" w:rsidRPr="00196AE1">
        <w:rPr>
          <w:sz w:val="20"/>
          <w:szCs w:val="20"/>
        </w:rPr>
        <w:t>,</w:t>
      </w:r>
      <w:r w:rsidRPr="00196AE1">
        <w:rPr>
          <w:sz w:val="20"/>
          <w:szCs w:val="20"/>
        </w:rPr>
        <w:t xml:space="preserve"> before a domestic tribunal, his allegations of violations of his judicial guarantees committed in the constitutional proceedings that led to his removal as justice of the Supreme Court of Justice. </w:t>
      </w:r>
    </w:p>
    <w:p w14:paraId="26893133" w14:textId="001D1C59" w:rsidR="005B41E0" w:rsidRPr="00196AE1" w:rsidRDefault="005B41E0" w:rsidP="005B41E0">
      <w:pPr>
        <w:pStyle w:val="ListParagraph"/>
        <w:numPr>
          <w:ilvl w:val="0"/>
          <w:numId w:val="107"/>
        </w:numPr>
        <w:suppressAutoHyphens/>
        <w:spacing w:after="240"/>
        <w:ind w:left="0" w:firstLine="709"/>
        <w:jc w:val="both"/>
        <w:rPr>
          <w:sz w:val="20"/>
          <w:szCs w:val="20"/>
        </w:rPr>
      </w:pPr>
      <w:r w:rsidRPr="00196AE1">
        <w:rPr>
          <w:sz w:val="20"/>
          <w:szCs w:val="20"/>
        </w:rPr>
        <w:t xml:space="preserve">The State, for its part, contends that the judgment issued by the Constitutional Chamber in ruling </w:t>
      </w:r>
      <w:r w:rsidR="00DB3C83" w:rsidRPr="00196AE1">
        <w:rPr>
          <w:sz w:val="20"/>
          <w:szCs w:val="20"/>
        </w:rPr>
        <w:t>up</w:t>
      </w:r>
      <w:r w:rsidRPr="00196AE1">
        <w:rPr>
          <w:sz w:val="20"/>
          <w:szCs w:val="20"/>
        </w:rPr>
        <w:t>on claims of unconstitutionality 77-2013/97</w:t>
      </w:r>
      <w:r w:rsidR="00DB3C83" w:rsidRPr="00196AE1">
        <w:rPr>
          <w:sz w:val="20"/>
          <w:szCs w:val="20"/>
        </w:rPr>
        <w:t>-</w:t>
      </w:r>
      <w:r w:rsidRPr="00196AE1">
        <w:rPr>
          <w:sz w:val="20"/>
          <w:szCs w:val="20"/>
        </w:rPr>
        <w:t>2013 did not infringe the human rights of Mr. Padilla nor the labor rights of the employees of the Supreme Court of Justice. The State argues that El Salvador has a longstanding structural problem given the Supreme Court’s justices’ lack of constitutional independence from political parties. Similarly, the State alleges that political parties interfere with the election of justices and that their selection process is characterized by</w:t>
      </w:r>
      <w:r w:rsidR="005160E8" w:rsidRPr="00196AE1">
        <w:rPr>
          <w:sz w:val="20"/>
          <w:szCs w:val="20"/>
        </w:rPr>
        <w:t xml:space="preserve"> </w:t>
      </w:r>
      <w:r w:rsidRPr="00196AE1">
        <w:rPr>
          <w:sz w:val="20"/>
          <w:szCs w:val="20"/>
        </w:rPr>
        <w:t xml:space="preserve">political proration </w:t>
      </w:r>
      <w:r w:rsidR="00700B0C" w:rsidRPr="00196AE1">
        <w:rPr>
          <w:sz w:val="20"/>
          <w:szCs w:val="20"/>
        </w:rPr>
        <w:t>in</w:t>
      </w:r>
      <w:r w:rsidRPr="00196AE1">
        <w:rPr>
          <w:sz w:val="20"/>
          <w:szCs w:val="20"/>
        </w:rPr>
        <w:t xml:space="preserve"> the Legislative Assembly. It also claims that, through its caselaw, the Constitutional Chamber has determined the principle of judicial independence. With respect to this, the State asserts that the judgment of unconstitutionality involved a weighing of the principle of judicial independence against the right to political </w:t>
      </w:r>
      <w:r w:rsidR="005160E8" w:rsidRPr="00196AE1">
        <w:rPr>
          <w:sz w:val="20"/>
          <w:szCs w:val="20"/>
        </w:rPr>
        <w:t>affiliation</w:t>
      </w:r>
      <w:r w:rsidRPr="00196AE1">
        <w:rPr>
          <w:sz w:val="20"/>
          <w:szCs w:val="20"/>
        </w:rPr>
        <w:t xml:space="preserve">, of which, in the public interest, the former prevailed. </w:t>
      </w:r>
    </w:p>
    <w:p w14:paraId="78312E97" w14:textId="3E24BC23" w:rsidR="005B41E0" w:rsidRPr="00196AE1" w:rsidRDefault="005B41E0" w:rsidP="005B41E0">
      <w:pPr>
        <w:pStyle w:val="ListParagraph"/>
        <w:numPr>
          <w:ilvl w:val="0"/>
          <w:numId w:val="107"/>
        </w:numPr>
        <w:suppressAutoHyphens/>
        <w:spacing w:after="240"/>
        <w:ind w:left="0" w:firstLine="709"/>
        <w:jc w:val="both"/>
        <w:rPr>
          <w:sz w:val="20"/>
          <w:szCs w:val="20"/>
        </w:rPr>
      </w:pPr>
      <w:r w:rsidRPr="00196AE1">
        <w:rPr>
          <w:sz w:val="20"/>
          <w:szCs w:val="20"/>
        </w:rPr>
        <w:t xml:space="preserve">The State moreover claims that the limitation or incompatibility regarding political </w:t>
      </w:r>
      <w:r w:rsidR="005D22C4" w:rsidRPr="00196AE1">
        <w:rPr>
          <w:sz w:val="20"/>
          <w:szCs w:val="20"/>
        </w:rPr>
        <w:t>affiliation</w:t>
      </w:r>
      <w:r w:rsidRPr="00196AE1">
        <w:rPr>
          <w:sz w:val="20"/>
          <w:szCs w:val="20"/>
        </w:rPr>
        <w:t xml:space="preserve"> serves a legitimate constitutional and conventional purpose, which is to ensure the judicial independence of the justices of the Supreme Court of Justice and that the secondary legislation, particularly Art. 26 of the Law of the Judiciary, lays down that, “</w:t>
      </w:r>
      <w:r w:rsidRPr="00196AE1">
        <w:rPr>
          <w:i/>
          <w:iCs/>
          <w:sz w:val="20"/>
          <w:szCs w:val="20"/>
        </w:rPr>
        <w:t xml:space="preserve">holding office </w:t>
      </w:r>
      <w:r w:rsidR="005D22C4" w:rsidRPr="00196AE1">
        <w:rPr>
          <w:i/>
          <w:iCs/>
          <w:sz w:val="20"/>
          <w:szCs w:val="20"/>
        </w:rPr>
        <w:t>in</w:t>
      </w:r>
      <w:r w:rsidRPr="00196AE1">
        <w:rPr>
          <w:i/>
          <w:iCs/>
          <w:sz w:val="20"/>
          <w:szCs w:val="20"/>
        </w:rPr>
        <w:t xml:space="preserve"> the Judiciary is incompatible with participation in party politics, </w:t>
      </w:r>
      <w:r w:rsidRPr="00196AE1">
        <w:rPr>
          <w:i/>
          <w:iCs/>
          <w:sz w:val="20"/>
          <w:szCs w:val="20"/>
        </w:rPr>
        <w:lastRenderedPageBreak/>
        <w:t>that is, leading or representing a political party or conducting proselytizing activities</w:t>
      </w:r>
      <w:r w:rsidRPr="00196AE1">
        <w:rPr>
          <w:sz w:val="20"/>
          <w:szCs w:val="20"/>
        </w:rPr>
        <w:t xml:space="preserve">.” This indicates that incompatibility does exist between justices’ performance in the judiciary and their political activity. </w:t>
      </w:r>
    </w:p>
    <w:p w14:paraId="11D5587C" w14:textId="66814995" w:rsidR="005B41E0" w:rsidRPr="00196AE1" w:rsidRDefault="005B41E0" w:rsidP="005B41E0">
      <w:pPr>
        <w:pStyle w:val="ListParagraph"/>
        <w:numPr>
          <w:ilvl w:val="0"/>
          <w:numId w:val="107"/>
        </w:numPr>
        <w:suppressAutoHyphens/>
        <w:spacing w:after="240"/>
        <w:ind w:left="0" w:firstLine="709"/>
        <w:jc w:val="both"/>
        <w:rPr>
          <w:sz w:val="20"/>
          <w:szCs w:val="20"/>
        </w:rPr>
      </w:pPr>
      <w:r w:rsidRPr="00196AE1">
        <w:rPr>
          <w:sz w:val="20"/>
          <w:szCs w:val="20"/>
        </w:rPr>
        <w:t xml:space="preserve">Furthermore, the State claims that the Supreme Court of Justice determined that Mr. Padilla had shown preference for a specific political party and that this </w:t>
      </w:r>
      <w:r w:rsidR="005D22C4" w:rsidRPr="00196AE1">
        <w:rPr>
          <w:sz w:val="20"/>
          <w:szCs w:val="20"/>
        </w:rPr>
        <w:t>is</w:t>
      </w:r>
      <w:r w:rsidRPr="00196AE1">
        <w:rPr>
          <w:sz w:val="20"/>
          <w:szCs w:val="20"/>
        </w:rPr>
        <w:t xml:space="preserve"> why documentary evidence was unnecessary for proving his political affiliation—his statements in public were enough to prove his political preference. Therefore, the State alleges that the judgment issued in constitutional proceedings</w:t>
      </w:r>
      <w:r w:rsidR="005D22C4" w:rsidRPr="00196AE1">
        <w:rPr>
          <w:sz w:val="20"/>
          <w:szCs w:val="20"/>
        </w:rPr>
        <w:t xml:space="preserve"> No.</w:t>
      </w:r>
      <w:r w:rsidRPr="00196AE1">
        <w:rPr>
          <w:sz w:val="20"/>
          <w:szCs w:val="20"/>
        </w:rPr>
        <w:t xml:space="preserve"> 77-2013/97-2013 did not violate the State’s duty to respect political opinions and the right to humane treatment, judicial guarantees, the right to have one’s honor respected, the freedom of thought and expression, or the right to participate in government, enshrined in the American Convention, to the detriment of Mr. Padilla. </w:t>
      </w:r>
    </w:p>
    <w:p w14:paraId="40B049D0" w14:textId="77777777" w:rsidR="005B41E0" w:rsidRPr="00196AE1" w:rsidRDefault="005B41E0" w:rsidP="005B41E0">
      <w:pPr>
        <w:spacing w:before="240" w:after="240"/>
        <w:ind w:firstLine="720"/>
        <w:jc w:val="both"/>
        <w:rPr>
          <w:rFonts w:asciiTheme="majorHAnsi" w:eastAsia="Cambria" w:hAnsiTheme="majorHAnsi" w:cs="Cambria"/>
          <w:b/>
          <w:bCs/>
          <w:color w:val="000000"/>
          <w:sz w:val="20"/>
          <w:szCs w:val="20"/>
          <w:u w:color="000000"/>
        </w:rPr>
      </w:pPr>
      <w:r w:rsidRPr="00196AE1">
        <w:rPr>
          <w:rFonts w:asciiTheme="majorHAnsi" w:hAnsiTheme="majorHAnsi"/>
          <w:b/>
          <w:bCs/>
          <w:color w:val="000000"/>
          <w:sz w:val="20"/>
          <w:szCs w:val="20"/>
          <w:u w:color="000000"/>
        </w:rPr>
        <w:t>VI.</w:t>
      </w:r>
      <w:r w:rsidRPr="00196AE1">
        <w:rPr>
          <w:rFonts w:asciiTheme="majorHAnsi" w:hAnsiTheme="majorHAnsi"/>
          <w:b/>
          <w:bCs/>
          <w:color w:val="000000"/>
          <w:sz w:val="20"/>
          <w:szCs w:val="20"/>
          <w:u w:color="000000"/>
        </w:rPr>
        <w:tab/>
        <w:t xml:space="preserve">ANALYSIS OF EXHAUSTION OF DOMESTIC REMEDIES AND TIMELINESS OF THE PETITION </w:t>
      </w:r>
    </w:p>
    <w:p w14:paraId="460C9651" w14:textId="0D1D360A" w:rsidR="005B41E0" w:rsidRPr="00196AE1" w:rsidRDefault="005B41E0" w:rsidP="005B41E0">
      <w:pPr>
        <w:pStyle w:val="ListParagraph"/>
        <w:numPr>
          <w:ilvl w:val="0"/>
          <w:numId w:val="107"/>
        </w:numPr>
        <w:suppressAutoHyphens/>
        <w:spacing w:after="240"/>
        <w:ind w:left="0" w:firstLine="709"/>
        <w:jc w:val="both"/>
        <w:rPr>
          <w:sz w:val="20"/>
          <w:szCs w:val="20"/>
        </w:rPr>
      </w:pPr>
      <w:r w:rsidRPr="00196AE1">
        <w:rPr>
          <w:sz w:val="20"/>
          <w:szCs w:val="20"/>
        </w:rPr>
        <w:t>As to the requirement of exhaustion of domestic remedies, the petitioners argue that decisions made by the Constitutional Chamber of the Supreme Court of Justice are final</w:t>
      </w:r>
      <w:r w:rsidR="00700B0C" w:rsidRPr="00196AE1">
        <w:rPr>
          <w:sz w:val="20"/>
          <w:szCs w:val="20"/>
        </w:rPr>
        <w:t xml:space="preserve"> per</w:t>
      </w:r>
      <w:r w:rsidRPr="00196AE1">
        <w:rPr>
          <w:sz w:val="20"/>
          <w:szCs w:val="20"/>
        </w:rPr>
        <w:t xml:space="preserve"> the domestic rules and that, accordingly, they cannot be appealed, which the State does not dispute. This information is relevant in this case because the act which the petitioners claim was damaging was the judgment of October 14, 2013, which is </w:t>
      </w:r>
      <w:r w:rsidR="00700B0C" w:rsidRPr="00196AE1">
        <w:rPr>
          <w:sz w:val="20"/>
          <w:szCs w:val="20"/>
        </w:rPr>
        <w:t xml:space="preserve">how </w:t>
      </w:r>
      <w:r w:rsidRPr="00196AE1">
        <w:rPr>
          <w:sz w:val="20"/>
          <w:szCs w:val="20"/>
        </w:rPr>
        <w:t xml:space="preserve">the Constitutional Chamber of the Supreme Court of Justice decided on claims of unconstitutionality </w:t>
      </w:r>
      <w:r w:rsidR="00700B0C" w:rsidRPr="00196AE1">
        <w:rPr>
          <w:sz w:val="20"/>
          <w:szCs w:val="20"/>
        </w:rPr>
        <w:t xml:space="preserve">No. </w:t>
      </w:r>
      <w:r w:rsidRPr="00196AE1">
        <w:rPr>
          <w:sz w:val="20"/>
          <w:szCs w:val="20"/>
        </w:rPr>
        <w:t xml:space="preserve">77-2013/97-2013. By this judgment, the Supreme Court found Mr. Padilla’s appointment as justice and president of the highest tribunal unconstitutional on account that his election infringed the principle of judicial independence because he was a member of a political party and had expressed his political preference for it. That judgment was due to claims of unconstitutionality filed by third parties who explicitly thought that Mr. Padilla was appointed without proof of possessing outstanding qualifications and that his being affiliated to a political party infringed the principle of judicial independence. </w:t>
      </w:r>
    </w:p>
    <w:p w14:paraId="6BEF6E86" w14:textId="52F2C170" w:rsidR="005B41E0" w:rsidRPr="00196AE1" w:rsidRDefault="005B41E0" w:rsidP="005B41E0">
      <w:pPr>
        <w:pStyle w:val="ListParagraph"/>
        <w:numPr>
          <w:ilvl w:val="0"/>
          <w:numId w:val="107"/>
        </w:numPr>
        <w:suppressAutoHyphens/>
        <w:spacing w:after="240"/>
        <w:ind w:left="0" w:firstLine="709"/>
        <w:jc w:val="both"/>
        <w:rPr>
          <w:sz w:val="20"/>
          <w:szCs w:val="20"/>
        </w:rPr>
      </w:pPr>
      <w:r w:rsidRPr="00196AE1">
        <w:rPr>
          <w:sz w:val="20"/>
          <w:szCs w:val="20"/>
        </w:rPr>
        <w:t>Therefore, in this case, the Commission believes that the exception to the requirement of exhaustion of domestic remedies must be applied under Article 46.2(a) of the American Convention. According to Article 46.2 of the Convention, if this exception is applied, the requirement of timeliness set forth in Article 46.1(b) does not apply.</w:t>
      </w:r>
      <w:r w:rsidRPr="00196AE1">
        <w:rPr>
          <w:rStyle w:val="FootnoteReference"/>
          <w:sz w:val="20"/>
          <w:szCs w:val="20"/>
        </w:rPr>
        <w:footnoteReference w:id="4"/>
      </w:r>
      <w:r w:rsidRPr="00196AE1">
        <w:rPr>
          <w:sz w:val="20"/>
          <w:szCs w:val="20"/>
        </w:rPr>
        <w:t xml:space="preserve"> Consequently, the Commission follows the standard of filing within reasonable time established in Article 32.2 of the IACHR Rules of Procedure. In view of this provision, the Commission observes that the instant petition was filed to the IACHR on October 14, 2013, that is</w:t>
      </w:r>
      <w:r w:rsidR="00700B0C" w:rsidRPr="00196AE1">
        <w:rPr>
          <w:sz w:val="20"/>
          <w:szCs w:val="20"/>
        </w:rPr>
        <w:t>,</w:t>
      </w:r>
      <w:r w:rsidRPr="00196AE1">
        <w:rPr>
          <w:sz w:val="20"/>
          <w:szCs w:val="20"/>
        </w:rPr>
        <w:t xml:space="preserve"> on the date that judgment of unconstitutionality </w:t>
      </w:r>
      <w:r w:rsidR="00700B0C" w:rsidRPr="00196AE1">
        <w:rPr>
          <w:sz w:val="20"/>
          <w:szCs w:val="20"/>
        </w:rPr>
        <w:t xml:space="preserve">No. </w:t>
      </w:r>
      <w:r w:rsidRPr="00196AE1">
        <w:rPr>
          <w:sz w:val="20"/>
          <w:szCs w:val="20"/>
        </w:rPr>
        <w:t>77-2013/97</w:t>
      </w:r>
      <w:r w:rsidR="00700B0C" w:rsidRPr="00196AE1">
        <w:rPr>
          <w:sz w:val="20"/>
          <w:szCs w:val="20"/>
        </w:rPr>
        <w:t>-</w:t>
      </w:r>
      <w:r w:rsidRPr="00196AE1">
        <w:rPr>
          <w:sz w:val="20"/>
          <w:szCs w:val="20"/>
        </w:rPr>
        <w:t>2013 was issued; thus, the Commission finds that this petition was filed within a reasonable time.</w:t>
      </w:r>
      <w:r w:rsidR="00700B0C" w:rsidRPr="00196AE1">
        <w:rPr>
          <w:sz w:val="20"/>
          <w:szCs w:val="20"/>
        </w:rPr>
        <w:t xml:space="preserve"> </w:t>
      </w:r>
    </w:p>
    <w:p w14:paraId="5B70075C" w14:textId="28386929" w:rsidR="005B41E0" w:rsidRPr="00196AE1" w:rsidRDefault="005B41E0" w:rsidP="005B41E0">
      <w:pPr>
        <w:pStyle w:val="ListParagraph"/>
        <w:numPr>
          <w:ilvl w:val="0"/>
          <w:numId w:val="107"/>
        </w:numPr>
        <w:suppressAutoHyphens/>
        <w:spacing w:after="240"/>
        <w:ind w:left="0" w:firstLine="709"/>
        <w:jc w:val="both"/>
        <w:rPr>
          <w:sz w:val="20"/>
          <w:szCs w:val="20"/>
        </w:rPr>
      </w:pPr>
      <w:r w:rsidRPr="00196AE1">
        <w:rPr>
          <w:sz w:val="20"/>
          <w:szCs w:val="20"/>
        </w:rPr>
        <w:t xml:space="preserve">Regarding the forty-six people who appeared as petitioners initially claiming to be workers supporting Mr. Padilla’s performance as justice of the Supreme Court of Justice and alleging </w:t>
      </w:r>
      <w:r w:rsidR="00700B0C" w:rsidRPr="00196AE1">
        <w:rPr>
          <w:sz w:val="20"/>
          <w:szCs w:val="20"/>
        </w:rPr>
        <w:t>violations</w:t>
      </w:r>
      <w:r w:rsidRPr="00196AE1">
        <w:rPr>
          <w:sz w:val="20"/>
          <w:szCs w:val="20"/>
        </w:rPr>
        <w:t xml:space="preserve"> </w:t>
      </w:r>
      <w:r w:rsidR="00700B0C" w:rsidRPr="00196AE1">
        <w:rPr>
          <w:sz w:val="20"/>
          <w:szCs w:val="20"/>
        </w:rPr>
        <w:t>of their</w:t>
      </w:r>
      <w:r w:rsidRPr="00196AE1">
        <w:rPr>
          <w:sz w:val="20"/>
          <w:szCs w:val="20"/>
        </w:rPr>
        <w:t xml:space="preserve"> labor rights </w:t>
      </w:r>
      <w:r w:rsidR="00700B0C" w:rsidRPr="00196AE1">
        <w:rPr>
          <w:sz w:val="20"/>
          <w:szCs w:val="20"/>
        </w:rPr>
        <w:t xml:space="preserve">by </w:t>
      </w:r>
      <w:r w:rsidRPr="00196AE1">
        <w:rPr>
          <w:sz w:val="20"/>
          <w:szCs w:val="20"/>
        </w:rPr>
        <w:t>judgment of unconstitutionality 77-2013/97-2013. With regard to them, the petitioners do not specify how the rights of these people were affected or whether they were removed from their offices or what domestic remedies they pursued to obtain reparation for the purported damages caused by the said judgment of unconstitutionality. That is, these people do not provide details of the damaging acts they allege or individualized information on this. Accordingly, any claim</w:t>
      </w:r>
      <w:r w:rsidR="00700B0C" w:rsidRPr="00196AE1">
        <w:rPr>
          <w:sz w:val="20"/>
          <w:szCs w:val="20"/>
        </w:rPr>
        <w:t xml:space="preserve"> eventually</w:t>
      </w:r>
      <w:r w:rsidRPr="00196AE1">
        <w:rPr>
          <w:sz w:val="20"/>
          <w:szCs w:val="20"/>
        </w:rPr>
        <w:t xml:space="preserve"> raised by these people shall be precluded from the facts of this report.</w:t>
      </w:r>
      <w:r w:rsidR="00700B0C" w:rsidRPr="00196AE1">
        <w:rPr>
          <w:sz w:val="20"/>
          <w:szCs w:val="20"/>
        </w:rPr>
        <w:t xml:space="preserve"> </w:t>
      </w:r>
    </w:p>
    <w:p w14:paraId="73D737D9" w14:textId="77777777" w:rsidR="005B41E0" w:rsidRPr="00196AE1" w:rsidRDefault="005B41E0" w:rsidP="005B41E0">
      <w:pPr>
        <w:pStyle w:val="ListParagraph"/>
        <w:spacing w:before="240" w:after="240"/>
        <w:jc w:val="both"/>
        <w:rPr>
          <w:rFonts w:asciiTheme="majorHAnsi" w:hAnsiTheme="majorHAnsi"/>
          <w:b/>
          <w:sz w:val="20"/>
          <w:szCs w:val="20"/>
        </w:rPr>
      </w:pPr>
      <w:r w:rsidRPr="00196AE1">
        <w:rPr>
          <w:rFonts w:asciiTheme="majorHAnsi" w:hAnsiTheme="majorHAnsi"/>
          <w:b/>
          <w:bCs/>
          <w:sz w:val="20"/>
          <w:szCs w:val="20"/>
        </w:rPr>
        <w:t>VII.</w:t>
      </w:r>
      <w:r w:rsidRPr="00196AE1">
        <w:rPr>
          <w:rFonts w:asciiTheme="majorHAnsi" w:hAnsiTheme="majorHAnsi"/>
          <w:b/>
          <w:bCs/>
          <w:sz w:val="20"/>
          <w:szCs w:val="20"/>
        </w:rPr>
        <w:tab/>
        <w:t>ANALYSIS OF COLORABLE CLAIM</w:t>
      </w:r>
    </w:p>
    <w:p w14:paraId="22868176" w14:textId="44BD930F" w:rsidR="005B41E0" w:rsidRPr="00196AE1" w:rsidRDefault="005B41E0" w:rsidP="005B41E0">
      <w:pPr>
        <w:pStyle w:val="ListParagraph"/>
        <w:numPr>
          <w:ilvl w:val="0"/>
          <w:numId w:val="107"/>
        </w:numPr>
        <w:suppressAutoHyphens/>
        <w:spacing w:after="240"/>
        <w:ind w:left="0" w:firstLine="709"/>
        <w:jc w:val="both"/>
        <w:rPr>
          <w:sz w:val="20"/>
          <w:szCs w:val="20"/>
        </w:rPr>
      </w:pPr>
      <w:r w:rsidRPr="00196AE1">
        <w:rPr>
          <w:sz w:val="20"/>
          <w:szCs w:val="20"/>
        </w:rPr>
        <w:t>The Commission observes that the subject matter of th</w:t>
      </w:r>
      <w:r w:rsidR="00700B0C" w:rsidRPr="00196AE1">
        <w:rPr>
          <w:sz w:val="20"/>
          <w:szCs w:val="20"/>
        </w:rPr>
        <w:t>is</w:t>
      </w:r>
      <w:r w:rsidRPr="00196AE1">
        <w:rPr>
          <w:sz w:val="20"/>
          <w:szCs w:val="20"/>
        </w:rPr>
        <w:t xml:space="preserve"> petition is the judgment of unconstitutionality issued regarding Legislative Decree No. 101 of August 21, 2012</w:t>
      </w:r>
      <w:r w:rsidR="00433A1C" w:rsidRPr="00196AE1">
        <w:rPr>
          <w:sz w:val="20"/>
          <w:szCs w:val="20"/>
        </w:rPr>
        <w:t>—</w:t>
      </w:r>
      <w:r w:rsidRPr="00196AE1">
        <w:rPr>
          <w:sz w:val="20"/>
          <w:szCs w:val="20"/>
        </w:rPr>
        <w:t>the decree by which the Legislative Assembly appointed Mr. Padilla, for the second time, as justice and president of the Supreme Court of Justice, the Constitutional Chamber, and the Judiciary</w:t>
      </w:r>
      <w:r w:rsidR="00433A1C" w:rsidRPr="00196AE1">
        <w:rPr>
          <w:sz w:val="20"/>
          <w:szCs w:val="20"/>
        </w:rPr>
        <w:t>. This has aroused</w:t>
      </w:r>
      <w:r w:rsidRPr="00196AE1">
        <w:rPr>
          <w:sz w:val="20"/>
          <w:szCs w:val="20"/>
        </w:rPr>
        <w:t xml:space="preserve"> </w:t>
      </w:r>
      <w:r w:rsidR="00373239" w:rsidRPr="00196AE1">
        <w:rPr>
          <w:sz w:val="20"/>
          <w:szCs w:val="20"/>
        </w:rPr>
        <w:t>juridical</w:t>
      </w:r>
      <w:r w:rsidR="00433A1C" w:rsidRPr="00196AE1">
        <w:rPr>
          <w:sz w:val="20"/>
          <w:szCs w:val="20"/>
        </w:rPr>
        <w:t xml:space="preserve"> claims </w:t>
      </w:r>
      <w:r w:rsidRPr="00196AE1">
        <w:rPr>
          <w:sz w:val="20"/>
          <w:szCs w:val="20"/>
        </w:rPr>
        <w:t>that his election violated the principle of judicial independence due to Mr. Padilla’s alleged affiliation to a political party</w:t>
      </w:r>
      <w:r w:rsidR="00DD7EAD" w:rsidRPr="00196AE1">
        <w:rPr>
          <w:sz w:val="20"/>
          <w:szCs w:val="20"/>
        </w:rPr>
        <w:t xml:space="preserve">. The petition </w:t>
      </w:r>
      <w:r w:rsidR="00FB10BC" w:rsidRPr="00196AE1">
        <w:rPr>
          <w:sz w:val="20"/>
          <w:szCs w:val="20"/>
        </w:rPr>
        <w:t>is also about</w:t>
      </w:r>
      <w:r w:rsidR="00DD7EAD" w:rsidRPr="00196AE1">
        <w:rPr>
          <w:sz w:val="20"/>
          <w:szCs w:val="20"/>
        </w:rPr>
        <w:t xml:space="preserve"> </w:t>
      </w:r>
      <w:r w:rsidRPr="00196AE1">
        <w:rPr>
          <w:sz w:val="20"/>
          <w:szCs w:val="20"/>
        </w:rPr>
        <w:t xml:space="preserve">his lack of access to an effective remedy to present, before a domestic tribunal, his </w:t>
      </w:r>
      <w:r w:rsidRPr="00196AE1">
        <w:rPr>
          <w:sz w:val="20"/>
          <w:szCs w:val="20"/>
        </w:rPr>
        <w:lastRenderedPageBreak/>
        <w:t xml:space="preserve">allegations of violations of his judicial guarantees committed in the constitutional proceedings that led to his removal as justice. </w:t>
      </w:r>
    </w:p>
    <w:p w14:paraId="1D2148A3" w14:textId="5873286C" w:rsidR="005B41E0" w:rsidRPr="00196AE1" w:rsidRDefault="005B41E0" w:rsidP="005B41E0">
      <w:pPr>
        <w:pStyle w:val="ListParagraph"/>
        <w:numPr>
          <w:ilvl w:val="0"/>
          <w:numId w:val="107"/>
        </w:numPr>
        <w:suppressAutoHyphens/>
        <w:spacing w:after="240"/>
        <w:ind w:left="0" w:firstLine="709"/>
        <w:jc w:val="both"/>
        <w:rPr>
          <w:sz w:val="20"/>
          <w:szCs w:val="20"/>
        </w:rPr>
      </w:pPr>
      <w:r w:rsidRPr="00196AE1">
        <w:rPr>
          <w:sz w:val="20"/>
          <w:szCs w:val="20"/>
        </w:rPr>
        <w:t xml:space="preserve">In this regard, the IACHR considers that these allegations are not manifestly groundless and require an analysis of the merits under the American Convention. </w:t>
      </w:r>
      <w:r w:rsidRPr="00196AE1">
        <w:rPr>
          <w:rFonts w:asciiTheme="majorHAnsi" w:hAnsiTheme="majorHAnsi"/>
          <w:sz w:val="20"/>
          <w:szCs w:val="20"/>
        </w:rPr>
        <w:t xml:space="preserve">Similarly, without prejudging the matter of the petition, the Commission believes that the facts alleged by the petitioners, mainly concerning the lack of a rule that explicitly prohibits justices of the Supreme Court of Justice from political affiliation, may constitute </w:t>
      </w:r>
      <w:r w:rsidRPr="00196AE1">
        <w:rPr>
          <w:rFonts w:asciiTheme="majorHAnsi" w:hAnsiTheme="majorHAnsi"/>
          <w:i/>
          <w:iCs/>
          <w:sz w:val="20"/>
          <w:szCs w:val="20"/>
        </w:rPr>
        <w:t>prima facie</w:t>
      </w:r>
      <w:r w:rsidRPr="00196AE1">
        <w:rPr>
          <w:rFonts w:asciiTheme="majorHAnsi" w:hAnsiTheme="majorHAnsi"/>
          <w:sz w:val="20"/>
          <w:szCs w:val="20"/>
        </w:rPr>
        <w:t xml:space="preserve"> violations of the rights enshrined in Articles 8 (right to a fair trial), 13 (freedom of thought and expression), 23 (right to participation in government), and 25 (right to judicial protection) of the American Convention, in connection with Articles 1.1 (obligation to respect rights) and 2 (domestic legal effects), to the detriment of Mr. José S. Padilla.</w:t>
      </w:r>
      <w:r w:rsidR="00F7694F" w:rsidRPr="00196AE1">
        <w:rPr>
          <w:rFonts w:asciiTheme="majorHAnsi" w:hAnsiTheme="majorHAnsi"/>
          <w:sz w:val="20"/>
          <w:szCs w:val="20"/>
        </w:rPr>
        <w:t xml:space="preserve"> </w:t>
      </w:r>
    </w:p>
    <w:p w14:paraId="20EC549B" w14:textId="744AA5D7" w:rsidR="005B41E0" w:rsidRPr="00196AE1" w:rsidRDefault="005B41E0" w:rsidP="005B41E0">
      <w:pPr>
        <w:pStyle w:val="ListParagraph"/>
        <w:numPr>
          <w:ilvl w:val="0"/>
          <w:numId w:val="107"/>
        </w:numPr>
        <w:suppressAutoHyphens/>
        <w:spacing w:after="240"/>
        <w:ind w:left="0" w:firstLine="709"/>
        <w:jc w:val="both"/>
        <w:rPr>
          <w:rFonts w:asciiTheme="majorHAnsi" w:hAnsiTheme="majorHAnsi"/>
          <w:sz w:val="20"/>
          <w:szCs w:val="20"/>
        </w:rPr>
      </w:pPr>
      <w:r w:rsidRPr="00196AE1">
        <w:rPr>
          <w:rFonts w:asciiTheme="majorHAnsi" w:hAnsiTheme="majorHAnsi"/>
          <w:sz w:val="20"/>
          <w:szCs w:val="20"/>
        </w:rPr>
        <w:t xml:space="preserve">As for the alleged violation of the rights recognized in Articles 5 (humane treatment), 11 (right to privacy), and 16 (freedom of association) of the American Convention, the Commission deems that the petitioners have not provided enough elements </w:t>
      </w:r>
      <w:r w:rsidR="00345C70" w:rsidRPr="00196AE1">
        <w:rPr>
          <w:rFonts w:asciiTheme="majorHAnsi" w:hAnsiTheme="majorHAnsi"/>
          <w:sz w:val="20"/>
          <w:szCs w:val="20"/>
        </w:rPr>
        <w:t xml:space="preserve">to enable a </w:t>
      </w:r>
      <w:r w:rsidRPr="00196AE1">
        <w:rPr>
          <w:rFonts w:asciiTheme="majorHAnsi" w:hAnsiTheme="majorHAnsi"/>
          <w:i/>
          <w:iCs/>
          <w:sz w:val="20"/>
          <w:szCs w:val="20"/>
        </w:rPr>
        <w:t>prima facie</w:t>
      </w:r>
      <w:r w:rsidRPr="00196AE1">
        <w:rPr>
          <w:rFonts w:asciiTheme="majorHAnsi" w:hAnsiTheme="majorHAnsi"/>
          <w:sz w:val="20"/>
          <w:szCs w:val="20"/>
        </w:rPr>
        <w:t xml:space="preserve"> </w:t>
      </w:r>
      <w:r w:rsidR="00345C70" w:rsidRPr="00196AE1">
        <w:rPr>
          <w:rFonts w:asciiTheme="majorHAnsi" w:hAnsiTheme="majorHAnsi"/>
          <w:sz w:val="20"/>
          <w:szCs w:val="20"/>
        </w:rPr>
        <w:t>consideration of such</w:t>
      </w:r>
      <w:r w:rsidRPr="00196AE1">
        <w:rPr>
          <w:rFonts w:asciiTheme="majorHAnsi" w:hAnsiTheme="majorHAnsi"/>
          <w:sz w:val="20"/>
          <w:szCs w:val="20"/>
        </w:rPr>
        <w:t xml:space="preserve"> possible violation</w:t>
      </w:r>
      <w:r w:rsidR="00345C70" w:rsidRPr="00196AE1">
        <w:rPr>
          <w:rFonts w:asciiTheme="majorHAnsi" w:hAnsiTheme="majorHAnsi"/>
          <w:sz w:val="20"/>
          <w:szCs w:val="20"/>
        </w:rPr>
        <w:t>s</w:t>
      </w:r>
      <w:r w:rsidRPr="00196AE1">
        <w:rPr>
          <w:rFonts w:asciiTheme="majorHAnsi" w:hAnsiTheme="majorHAnsi"/>
          <w:sz w:val="20"/>
          <w:szCs w:val="20"/>
        </w:rPr>
        <w:t>, although these may be analyzed in an eventual report on reparations.</w:t>
      </w:r>
      <w:r w:rsidR="00345C70" w:rsidRPr="00196AE1">
        <w:rPr>
          <w:rFonts w:asciiTheme="majorHAnsi" w:hAnsiTheme="majorHAnsi"/>
          <w:sz w:val="20"/>
          <w:szCs w:val="20"/>
        </w:rPr>
        <w:t xml:space="preserve"> </w:t>
      </w:r>
    </w:p>
    <w:p w14:paraId="25768B69" w14:textId="77777777" w:rsidR="005B41E0" w:rsidRPr="00196AE1" w:rsidRDefault="005B41E0" w:rsidP="005B41E0">
      <w:pPr>
        <w:pStyle w:val="ListParagraph"/>
        <w:spacing w:before="240" w:after="240"/>
        <w:jc w:val="both"/>
        <w:rPr>
          <w:rFonts w:asciiTheme="majorHAnsi" w:hAnsiTheme="majorHAnsi"/>
          <w:b/>
          <w:bCs/>
          <w:sz w:val="20"/>
          <w:szCs w:val="20"/>
        </w:rPr>
      </w:pPr>
      <w:r w:rsidRPr="00196AE1">
        <w:rPr>
          <w:rFonts w:asciiTheme="majorHAnsi" w:hAnsiTheme="majorHAnsi"/>
          <w:b/>
          <w:bCs/>
          <w:sz w:val="20"/>
          <w:szCs w:val="20"/>
        </w:rPr>
        <w:t xml:space="preserve">VIII. </w:t>
      </w:r>
      <w:r w:rsidRPr="00196AE1">
        <w:rPr>
          <w:rFonts w:asciiTheme="majorHAnsi" w:hAnsiTheme="majorHAnsi"/>
          <w:sz w:val="20"/>
          <w:szCs w:val="20"/>
        </w:rPr>
        <w:tab/>
      </w:r>
      <w:r w:rsidRPr="00196AE1">
        <w:rPr>
          <w:rFonts w:asciiTheme="majorHAnsi" w:hAnsiTheme="majorHAnsi"/>
          <w:b/>
          <w:bCs/>
          <w:sz w:val="20"/>
          <w:szCs w:val="20"/>
        </w:rPr>
        <w:t>DECISION</w:t>
      </w:r>
    </w:p>
    <w:p w14:paraId="4FCF1176" w14:textId="77777777" w:rsidR="005B41E0" w:rsidRPr="00196AE1" w:rsidRDefault="005B41E0" w:rsidP="005B41E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96AE1">
        <w:rPr>
          <w:rFonts w:ascii="Cambria" w:hAnsi="Cambria"/>
          <w:sz w:val="20"/>
          <w:szCs w:val="20"/>
        </w:rPr>
        <w:t xml:space="preserve">To declare this petition admissible with regard to Articles 8, 13, 23, and 25 of the American Convention on Human Rights in accordance with Articles 1.1 and 2 thereof; </w:t>
      </w:r>
    </w:p>
    <w:p w14:paraId="55DDBF4C" w14:textId="77777777" w:rsidR="005B41E0" w:rsidRPr="00196AE1" w:rsidRDefault="005B41E0" w:rsidP="005B41E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96AE1">
        <w:rPr>
          <w:rFonts w:ascii="Cambria" w:hAnsi="Cambria"/>
          <w:sz w:val="20"/>
          <w:szCs w:val="20"/>
        </w:rPr>
        <w:t>To declare this petition inadmissible with regard to Articles 5, 11, and 16 of the American Convention; and</w:t>
      </w:r>
    </w:p>
    <w:p w14:paraId="3700A1DF" w14:textId="77777777" w:rsidR="005B41E0" w:rsidRPr="00196AE1" w:rsidRDefault="005B41E0" w:rsidP="005B41E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96AE1">
        <w:rPr>
          <w:rFonts w:ascii="Cambria" w:hAnsi="Cambria"/>
          <w:sz w:val="20"/>
          <w:szCs w:val="20"/>
        </w:rPr>
        <w:t>To notify the parties of this decision; to continue with the analysis of the merits; and to publish this decision and include it in its Annual Report to the General Assembly of the Organization of American States.</w:t>
      </w:r>
    </w:p>
    <w:p w14:paraId="6BA2C565" w14:textId="43FCCD60" w:rsidR="00906F02" w:rsidRDefault="00906F02" w:rsidP="00906F02">
      <w:pPr>
        <w:suppressAutoHyphens/>
        <w:ind w:firstLine="720"/>
        <w:jc w:val="both"/>
        <w:rPr>
          <w:rFonts w:ascii="Cambria" w:hAnsi="Cambria"/>
          <w:spacing w:val="-2"/>
          <w:sz w:val="20"/>
        </w:rPr>
      </w:pPr>
      <w:bookmarkStart w:id="1" w:name="_Hlk69908510"/>
      <w:r w:rsidRPr="006D25D7">
        <w:rPr>
          <w:rFonts w:ascii="Cambria" w:hAnsi="Cambria"/>
          <w:spacing w:val="-2"/>
          <w:sz w:val="20"/>
        </w:rPr>
        <w:t xml:space="preserve">Approved by the Inter-American Commission on Human Rights on the </w:t>
      </w:r>
      <w:r>
        <w:rPr>
          <w:rFonts w:ascii="Cambria" w:hAnsi="Cambria"/>
          <w:spacing w:val="-2"/>
          <w:sz w:val="20"/>
        </w:rPr>
        <w:t>8</w:t>
      </w:r>
      <w:r w:rsidRPr="00906F02">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July, 2021</w:t>
      </w:r>
      <w:r w:rsidRPr="006D25D7">
        <w:rPr>
          <w:rFonts w:ascii="Cambria" w:hAnsi="Cambria"/>
          <w:spacing w:val="-2"/>
          <w:sz w:val="20"/>
        </w:rPr>
        <w:t xml:space="preserve">. </w:t>
      </w:r>
      <w:r>
        <w:rPr>
          <w:rFonts w:ascii="Cambria" w:hAnsi="Cambria"/>
          <w:spacing w:val="-2"/>
          <w:sz w:val="20"/>
        </w:rPr>
        <w:t xml:space="preserve"> (Signed:) </w:t>
      </w:r>
      <w:r>
        <w:rPr>
          <w:rFonts w:asciiTheme="majorHAnsi" w:hAnsiTheme="majorHAnsi" w:cs="Arial"/>
          <w:noProof/>
          <w:spacing w:val="-2"/>
          <w:sz w:val="20"/>
          <w:szCs w:val="20"/>
        </w:rPr>
        <w:t>Antonia Urrejola</w:t>
      </w:r>
      <w:r w:rsidRPr="006D25D7">
        <w:rPr>
          <w:rFonts w:ascii="Cambria" w:hAnsi="Cambria"/>
          <w:sz w:val="20"/>
        </w:rPr>
        <w:t xml:space="preserve">, President; </w:t>
      </w:r>
      <w:r>
        <w:rPr>
          <w:rFonts w:asciiTheme="majorHAnsi" w:hAnsiTheme="majorHAnsi" w:cs="Arial"/>
          <w:noProof/>
          <w:spacing w:val="-2"/>
          <w:sz w:val="20"/>
          <w:szCs w:val="20"/>
        </w:rPr>
        <w:t>Julissa Mantilla Falcón</w:t>
      </w:r>
      <w:r w:rsidRPr="006D25D7">
        <w:rPr>
          <w:rFonts w:ascii="Cambria" w:hAnsi="Cambria"/>
          <w:sz w:val="20"/>
        </w:rPr>
        <w:t xml:space="preserve">, First Vice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 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Joel Hernández</w:t>
      </w:r>
      <w:r w:rsidRPr="008E4C59">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p>
    <w:bookmarkEnd w:id="1"/>
    <w:p w14:paraId="5B6C1BEB" w14:textId="77777777" w:rsidR="00C55560" w:rsidRPr="00196AE1" w:rsidRDefault="00C55560" w:rsidP="00230163">
      <w:pPr>
        <w:tabs>
          <w:tab w:val="left" w:pos="2820"/>
        </w:tabs>
        <w:suppressAutoHyphens/>
        <w:spacing w:line="276" w:lineRule="auto"/>
        <w:rPr>
          <w:rFonts w:asciiTheme="majorHAnsi" w:hAnsiTheme="majorHAnsi"/>
          <w:sz w:val="20"/>
          <w:szCs w:val="20"/>
        </w:rPr>
      </w:pPr>
    </w:p>
    <w:sectPr w:rsidR="00C55560" w:rsidRPr="00196AE1"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7B678" w14:textId="77777777" w:rsidR="00CA6B87" w:rsidRDefault="00CA6B87" w:rsidP="00036A8A">
      <w:r>
        <w:separator/>
      </w:r>
    </w:p>
  </w:endnote>
  <w:endnote w:type="continuationSeparator" w:id="0">
    <w:p w14:paraId="08336504" w14:textId="77777777" w:rsidR="00CA6B87" w:rsidRDefault="00CA6B8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8ED08" w14:textId="77777777" w:rsidR="00F53046" w:rsidRDefault="00F530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53046">
          <w:rPr>
            <w:noProof/>
            <w:sz w:val="16"/>
          </w:rPr>
          <w:t>3</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463F7" w14:textId="77777777" w:rsidR="00CA6B87" w:rsidRPr="00036A8A" w:rsidRDefault="00CA6B8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40A6829" w14:textId="77777777" w:rsidR="00CA6B87" w:rsidRPr="00036A8A" w:rsidRDefault="00CA6B87" w:rsidP="00036A8A">
      <w:pPr>
        <w:rPr>
          <w:rFonts w:asciiTheme="majorHAnsi" w:hAnsiTheme="majorHAnsi"/>
          <w:sz w:val="16"/>
          <w:szCs w:val="16"/>
        </w:rPr>
      </w:pPr>
      <w:r w:rsidRPr="00036A8A">
        <w:rPr>
          <w:rFonts w:asciiTheme="majorHAnsi" w:hAnsiTheme="majorHAnsi"/>
          <w:sz w:val="16"/>
          <w:szCs w:val="16"/>
        </w:rPr>
        <w:separator/>
      </w:r>
    </w:p>
    <w:p w14:paraId="6E4A9AF9" w14:textId="77777777" w:rsidR="00CA6B87" w:rsidRPr="00036A8A" w:rsidRDefault="00CA6B8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4E5D27D" w14:textId="77777777" w:rsidR="00CA6B87" w:rsidRPr="0093441A" w:rsidRDefault="00CA6B87"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4F2E62D" w14:textId="7E9C2839" w:rsidR="00FF7EFB" w:rsidRPr="005E21A9" w:rsidRDefault="00FF7EFB" w:rsidP="00EB315E">
      <w:pPr>
        <w:pStyle w:val="FootnoteText"/>
        <w:ind w:firstLine="709"/>
        <w:rPr>
          <w:rFonts w:asciiTheme="majorHAnsi" w:hAnsiTheme="majorHAnsi"/>
          <w:sz w:val="16"/>
          <w:szCs w:val="16"/>
          <w:lang w:val="en-GB"/>
        </w:rPr>
      </w:pPr>
      <w:r w:rsidRPr="005E21A9">
        <w:rPr>
          <w:rStyle w:val="FootnoteReference"/>
          <w:rFonts w:asciiTheme="majorHAnsi" w:hAnsiTheme="majorHAnsi"/>
          <w:sz w:val="16"/>
          <w:szCs w:val="16"/>
        </w:rPr>
        <w:footnoteRef/>
      </w:r>
      <w:r w:rsidRPr="005E21A9">
        <w:rPr>
          <w:rFonts w:asciiTheme="majorHAnsi" w:hAnsiTheme="majorHAnsi"/>
          <w:sz w:val="16"/>
          <w:szCs w:val="16"/>
        </w:rPr>
        <w:t xml:space="preserve"> </w:t>
      </w:r>
      <w:r w:rsidR="005E21A9" w:rsidRPr="005E21A9">
        <w:rPr>
          <w:rFonts w:asciiTheme="majorHAnsi" w:hAnsiTheme="majorHAnsi"/>
          <w:sz w:val="16"/>
          <w:szCs w:val="16"/>
        </w:rPr>
        <w:t>Hereinafter, “the American Convention” or “the Convention.”</w:t>
      </w:r>
    </w:p>
  </w:footnote>
  <w:footnote w:id="3">
    <w:p w14:paraId="55774E34" w14:textId="77777777" w:rsidR="00653EA6" w:rsidRPr="009D59D2" w:rsidRDefault="00653EA6" w:rsidP="00EB315E">
      <w:pPr>
        <w:pStyle w:val="FootnoteText"/>
        <w:ind w:firstLine="709"/>
        <w:jc w:val="both"/>
        <w:rPr>
          <w:rFonts w:ascii="Cambria" w:hAnsi="Cambria"/>
          <w:sz w:val="16"/>
          <w:szCs w:val="16"/>
        </w:rPr>
      </w:pPr>
      <w:r w:rsidRPr="009D59D2">
        <w:rPr>
          <w:rStyle w:val="FootnoteReference"/>
          <w:rFonts w:ascii="Cambria" w:hAnsi="Cambria"/>
          <w:sz w:val="16"/>
          <w:szCs w:val="16"/>
        </w:rPr>
        <w:footnoteRef/>
      </w:r>
      <w:r w:rsidRPr="009D59D2">
        <w:rPr>
          <w:rFonts w:ascii="Cambria" w:hAnsi="Cambria"/>
          <w:sz w:val="16"/>
          <w:szCs w:val="16"/>
        </w:rPr>
        <w:t xml:space="preserve"> The observations </w:t>
      </w:r>
      <w:r w:rsidR="00321AFD" w:rsidRPr="009D59D2">
        <w:rPr>
          <w:rFonts w:ascii="Cambria" w:hAnsi="Cambria"/>
          <w:sz w:val="16"/>
          <w:szCs w:val="16"/>
        </w:rPr>
        <w:t>submitted</w:t>
      </w:r>
      <w:r w:rsidRPr="009D59D2">
        <w:rPr>
          <w:rFonts w:ascii="Cambria" w:hAnsi="Cambria"/>
          <w:sz w:val="16"/>
          <w:szCs w:val="16"/>
        </w:rPr>
        <w:t xml:space="preserve"> by each party were duly transmitted to the opposing party.</w:t>
      </w:r>
    </w:p>
  </w:footnote>
  <w:footnote w:id="4">
    <w:p w14:paraId="1FCE4A17" w14:textId="68B387A3" w:rsidR="005B41E0" w:rsidRPr="001855E2" w:rsidRDefault="005B41E0" w:rsidP="00EB315E">
      <w:pPr>
        <w:pStyle w:val="FootnoteText"/>
        <w:ind w:firstLine="709"/>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In connection with this</w:t>
      </w:r>
      <w:r w:rsidR="00EB315E">
        <w:rPr>
          <w:rFonts w:asciiTheme="majorHAnsi" w:hAnsiTheme="majorHAnsi"/>
          <w:sz w:val="16"/>
          <w:szCs w:val="16"/>
          <w:lang w:val="en"/>
        </w:rPr>
        <w:t xml:space="preserve"> and</w:t>
      </w:r>
      <w:r>
        <w:rPr>
          <w:rFonts w:asciiTheme="majorHAnsi" w:hAnsiTheme="majorHAnsi"/>
          <w:sz w:val="16"/>
          <w:szCs w:val="16"/>
          <w:lang w:val="en"/>
        </w:rPr>
        <w:t xml:space="preserve"> as a substantially similar precedent</w:t>
      </w:r>
      <w:r w:rsidR="00EB315E">
        <w:rPr>
          <w:rFonts w:asciiTheme="majorHAnsi" w:hAnsiTheme="majorHAnsi"/>
          <w:sz w:val="16"/>
          <w:szCs w:val="16"/>
          <w:lang w:val="en"/>
        </w:rPr>
        <w:t>, see</w:t>
      </w:r>
      <w:r>
        <w:rPr>
          <w:rFonts w:asciiTheme="majorHAnsi" w:hAnsiTheme="majorHAnsi"/>
          <w:sz w:val="16"/>
          <w:szCs w:val="16"/>
          <w:lang w:val="en"/>
        </w:rPr>
        <w:t>:</w:t>
      </w:r>
      <w:r>
        <w:rPr>
          <w:rFonts w:asciiTheme="majorHAnsi" w:hAnsiTheme="majorHAnsi"/>
          <w:i/>
          <w:iCs/>
          <w:sz w:val="16"/>
          <w:szCs w:val="16"/>
          <w:lang w:val="en"/>
        </w:rPr>
        <w:t xml:space="preserve"> </w:t>
      </w:r>
      <w:r>
        <w:rPr>
          <w:rFonts w:asciiTheme="majorHAnsi" w:hAnsiTheme="majorHAnsi"/>
          <w:sz w:val="16"/>
          <w:szCs w:val="16"/>
          <w:lang w:val="en"/>
        </w:rPr>
        <w:t xml:space="preserve"> IACHR, Report No. 50/21. Petition 2208-12. Admissibility. Workers of the UPINS Trade Union. Costa Rica. March 6,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CA6B87" w:rsidP="002C1641">
    <w:pPr>
      <w:pStyle w:val="Header"/>
      <w:tabs>
        <w:tab w:val="clear" w:pos="4320"/>
        <w:tab w:val="clear" w:pos="8640"/>
      </w:tabs>
      <w:jc w:val="center"/>
      <w:rPr>
        <w:sz w:val="22"/>
        <w:szCs w:val="22"/>
      </w:rPr>
    </w:pPr>
    <w:r>
      <w:rPr>
        <w:noProof/>
        <w:sz w:val="22"/>
        <w:szCs w:val="22"/>
        <w:bdr w:val="nil"/>
      </w:rPr>
      <w:pict w14:anchorId="2431506A">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3608" w14:textId="77777777" w:rsidR="00F53046" w:rsidRDefault="00F530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10A608A"/>
    <w:multiLevelType w:val="hybridMultilevel"/>
    <w:tmpl w:val="BB10F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4"/>
  </w:num>
  <w:num w:numId="96">
    <w:abstractNumId w:val="55"/>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5"/>
  </w:num>
  <w:num w:numId="104">
    <w:abstractNumId w:val="11"/>
  </w:num>
  <w:num w:numId="105">
    <w:abstractNumId w:val="46"/>
  </w:num>
  <w:num w:numId="106">
    <w:abstractNumId w:val="32"/>
  </w:num>
  <w:num w:numId="107">
    <w:abstractNumId w:val="1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jQxtDQ1MjcwMDFR0lEKTi0uzszPAykwrgUArLBAEiwAAAA="/>
  </w:docVars>
  <w:rsids>
    <w:rsidRoot w:val="006B2D5C"/>
    <w:rsid w:val="0000036F"/>
    <w:rsid w:val="00000CDA"/>
    <w:rsid w:val="00001756"/>
    <w:rsid w:val="000070D7"/>
    <w:rsid w:val="000111A8"/>
    <w:rsid w:val="0001788C"/>
    <w:rsid w:val="00022CF5"/>
    <w:rsid w:val="00036A8A"/>
    <w:rsid w:val="00037DD4"/>
    <w:rsid w:val="00040C3A"/>
    <w:rsid w:val="000460CA"/>
    <w:rsid w:val="000639C0"/>
    <w:rsid w:val="00070F3A"/>
    <w:rsid w:val="000716C5"/>
    <w:rsid w:val="00075E23"/>
    <w:rsid w:val="00092F32"/>
    <w:rsid w:val="0009344A"/>
    <w:rsid w:val="000A575F"/>
    <w:rsid w:val="000C4365"/>
    <w:rsid w:val="000D10DB"/>
    <w:rsid w:val="000F274E"/>
    <w:rsid w:val="000F326B"/>
    <w:rsid w:val="00113A4F"/>
    <w:rsid w:val="0011427B"/>
    <w:rsid w:val="00115F41"/>
    <w:rsid w:val="00124116"/>
    <w:rsid w:val="00126E08"/>
    <w:rsid w:val="0013104F"/>
    <w:rsid w:val="00137EBA"/>
    <w:rsid w:val="0014275F"/>
    <w:rsid w:val="00145EDC"/>
    <w:rsid w:val="00153084"/>
    <w:rsid w:val="00167A34"/>
    <w:rsid w:val="001714B4"/>
    <w:rsid w:val="0018037F"/>
    <w:rsid w:val="0018213B"/>
    <w:rsid w:val="00193D82"/>
    <w:rsid w:val="00196AE1"/>
    <w:rsid w:val="001A5F27"/>
    <w:rsid w:val="001A65E4"/>
    <w:rsid w:val="001A7870"/>
    <w:rsid w:val="001C1B41"/>
    <w:rsid w:val="001D3804"/>
    <w:rsid w:val="001E366B"/>
    <w:rsid w:val="001F1902"/>
    <w:rsid w:val="001F4616"/>
    <w:rsid w:val="002043E0"/>
    <w:rsid w:val="00210E0E"/>
    <w:rsid w:val="00210F4B"/>
    <w:rsid w:val="0022465F"/>
    <w:rsid w:val="00230163"/>
    <w:rsid w:val="0023127D"/>
    <w:rsid w:val="002324C7"/>
    <w:rsid w:val="0023351C"/>
    <w:rsid w:val="002401AD"/>
    <w:rsid w:val="00245662"/>
    <w:rsid w:val="00247403"/>
    <w:rsid w:val="00247542"/>
    <w:rsid w:val="00257893"/>
    <w:rsid w:val="00261E08"/>
    <w:rsid w:val="00262ADD"/>
    <w:rsid w:val="00263BF5"/>
    <w:rsid w:val="002650E6"/>
    <w:rsid w:val="00266092"/>
    <w:rsid w:val="00266B61"/>
    <w:rsid w:val="0026712A"/>
    <w:rsid w:val="002704DB"/>
    <w:rsid w:val="002760CE"/>
    <w:rsid w:val="002826D3"/>
    <w:rsid w:val="002A6B0C"/>
    <w:rsid w:val="002B7A85"/>
    <w:rsid w:val="002C1641"/>
    <w:rsid w:val="002D7EA2"/>
    <w:rsid w:val="002E15DF"/>
    <w:rsid w:val="002E187C"/>
    <w:rsid w:val="002E6E57"/>
    <w:rsid w:val="002F2697"/>
    <w:rsid w:val="00301075"/>
    <w:rsid w:val="00302733"/>
    <w:rsid w:val="003053BF"/>
    <w:rsid w:val="00311A4F"/>
    <w:rsid w:val="00314078"/>
    <w:rsid w:val="00315387"/>
    <w:rsid w:val="00321AFD"/>
    <w:rsid w:val="00322450"/>
    <w:rsid w:val="003246B5"/>
    <w:rsid w:val="0033169F"/>
    <w:rsid w:val="003414AC"/>
    <w:rsid w:val="00345C70"/>
    <w:rsid w:val="00356185"/>
    <w:rsid w:val="00360380"/>
    <w:rsid w:val="00373239"/>
    <w:rsid w:val="003771A3"/>
    <w:rsid w:val="00386CF0"/>
    <w:rsid w:val="003A4348"/>
    <w:rsid w:val="003A5566"/>
    <w:rsid w:val="003C32BC"/>
    <w:rsid w:val="003D1E33"/>
    <w:rsid w:val="003D6EE0"/>
    <w:rsid w:val="003E1CF5"/>
    <w:rsid w:val="003E3E03"/>
    <w:rsid w:val="003F1BBF"/>
    <w:rsid w:val="004162B1"/>
    <w:rsid w:val="004165C2"/>
    <w:rsid w:val="00433117"/>
    <w:rsid w:val="00433A1C"/>
    <w:rsid w:val="004340B6"/>
    <w:rsid w:val="0043489C"/>
    <w:rsid w:val="004434A5"/>
    <w:rsid w:val="00450A4A"/>
    <w:rsid w:val="004666FB"/>
    <w:rsid w:val="00466CAD"/>
    <w:rsid w:val="00466D0B"/>
    <w:rsid w:val="00467B7E"/>
    <w:rsid w:val="0049419D"/>
    <w:rsid w:val="004A7BA7"/>
    <w:rsid w:val="004B2762"/>
    <w:rsid w:val="004B4812"/>
    <w:rsid w:val="004B4C92"/>
    <w:rsid w:val="004B65C4"/>
    <w:rsid w:val="004B7EB6"/>
    <w:rsid w:val="004C41DE"/>
    <w:rsid w:val="004C4B62"/>
    <w:rsid w:val="004D6025"/>
    <w:rsid w:val="004D72BC"/>
    <w:rsid w:val="004E2F2B"/>
    <w:rsid w:val="004F6B67"/>
    <w:rsid w:val="00501399"/>
    <w:rsid w:val="00504B14"/>
    <w:rsid w:val="00507BC4"/>
    <w:rsid w:val="005128E4"/>
    <w:rsid w:val="005160E8"/>
    <w:rsid w:val="005243C2"/>
    <w:rsid w:val="00525560"/>
    <w:rsid w:val="005357A6"/>
    <w:rsid w:val="00544C49"/>
    <w:rsid w:val="0057402A"/>
    <w:rsid w:val="005771D0"/>
    <w:rsid w:val="005816E5"/>
    <w:rsid w:val="0059191A"/>
    <w:rsid w:val="005921FF"/>
    <w:rsid w:val="00592718"/>
    <w:rsid w:val="005A6D0E"/>
    <w:rsid w:val="005B222D"/>
    <w:rsid w:val="005B2234"/>
    <w:rsid w:val="005B41E0"/>
    <w:rsid w:val="005B52B0"/>
    <w:rsid w:val="005B6806"/>
    <w:rsid w:val="005C00F9"/>
    <w:rsid w:val="005C4225"/>
    <w:rsid w:val="005C589B"/>
    <w:rsid w:val="005D22C4"/>
    <w:rsid w:val="005D2EF7"/>
    <w:rsid w:val="005E21A9"/>
    <w:rsid w:val="005F0F33"/>
    <w:rsid w:val="005F3512"/>
    <w:rsid w:val="005F3E64"/>
    <w:rsid w:val="00600DEB"/>
    <w:rsid w:val="00613027"/>
    <w:rsid w:val="00616FFA"/>
    <w:rsid w:val="00627C9F"/>
    <w:rsid w:val="006311DA"/>
    <w:rsid w:val="006311E9"/>
    <w:rsid w:val="006318B2"/>
    <w:rsid w:val="00632354"/>
    <w:rsid w:val="00642810"/>
    <w:rsid w:val="00652333"/>
    <w:rsid w:val="00653EA6"/>
    <w:rsid w:val="006763D2"/>
    <w:rsid w:val="0068009E"/>
    <w:rsid w:val="006A17D2"/>
    <w:rsid w:val="006A73E6"/>
    <w:rsid w:val="006B2D5C"/>
    <w:rsid w:val="006C4EB1"/>
    <w:rsid w:val="006D4707"/>
    <w:rsid w:val="006E0166"/>
    <w:rsid w:val="006E270D"/>
    <w:rsid w:val="006E3944"/>
    <w:rsid w:val="006E7B34"/>
    <w:rsid w:val="00700B0C"/>
    <w:rsid w:val="00701B24"/>
    <w:rsid w:val="00706858"/>
    <w:rsid w:val="00713AED"/>
    <w:rsid w:val="0071495F"/>
    <w:rsid w:val="00716BC5"/>
    <w:rsid w:val="0073798E"/>
    <w:rsid w:val="00740872"/>
    <w:rsid w:val="00745899"/>
    <w:rsid w:val="00752D34"/>
    <w:rsid w:val="007607C4"/>
    <w:rsid w:val="0076643F"/>
    <w:rsid w:val="00767E35"/>
    <w:rsid w:val="00776A74"/>
    <w:rsid w:val="00781653"/>
    <w:rsid w:val="00783F7C"/>
    <w:rsid w:val="007A2082"/>
    <w:rsid w:val="007A2F70"/>
    <w:rsid w:val="007C3334"/>
    <w:rsid w:val="007C52BB"/>
    <w:rsid w:val="007D2B98"/>
    <w:rsid w:val="007E3FD0"/>
    <w:rsid w:val="007F6DE9"/>
    <w:rsid w:val="007F7980"/>
    <w:rsid w:val="008015C9"/>
    <w:rsid w:val="00803F1C"/>
    <w:rsid w:val="0080600E"/>
    <w:rsid w:val="00817612"/>
    <w:rsid w:val="008258D7"/>
    <w:rsid w:val="00837C45"/>
    <w:rsid w:val="0084778F"/>
    <w:rsid w:val="00853419"/>
    <w:rsid w:val="008546E5"/>
    <w:rsid w:val="0085560E"/>
    <w:rsid w:val="008801F8"/>
    <w:rsid w:val="00897E12"/>
    <w:rsid w:val="008C2373"/>
    <w:rsid w:val="008D43BA"/>
    <w:rsid w:val="008D722F"/>
    <w:rsid w:val="008E3759"/>
    <w:rsid w:val="008E40F5"/>
    <w:rsid w:val="008E4EEF"/>
    <w:rsid w:val="008F17F1"/>
    <w:rsid w:val="008F6715"/>
    <w:rsid w:val="009041DC"/>
    <w:rsid w:val="00906F02"/>
    <w:rsid w:val="009104B4"/>
    <w:rsid w:val="009228DA"/>
    <w:rsid w:val="00925FCD"/>
    <w:rsid w:val="0093441A"/>
    <w:rsid w:val="00936805"/>
    <w:rsid w:val="00954BF7"/>
    <w:rsid w:val="00964B3C"/>
    <w:rsid w:val="0096706E"/>
    <w:rsid w:val="00971441"/>
    <w:rsid w:val="00981FBA"/>
    <w:rsid w:val="0098783D"/>
    <w:rsid w:val="009B306D"/>
    <w:rsid w:val="009B381B"/>
    <w:rsid w:val="009D59D2"/>
    <w:rsid w:val="009D7611"/>
    <w:rsid w:val="009E53DE"/>
    <w:rsid w:val="009E566A"/>
    <w:rsid w:val="00A02D0B"/>
    <w:rsid w:val="00A0523B"/>
    <w:rsid w:val="00A12DBC"/>
    <w:rsid w:val="00A2467F"/>
    <w:rsid w:val="00A43458"/>
    <w:rsid w:val="00A528D1"/>
    <w:rsid w:val="00A66BE5"/>
    <w:rsid w:val="00A92140"/>
    <w:rsid w:val="00AB2A8D"/>
    <w:rsid w:val="00AB4FA4"/>
    <w:rsid w:val="00AD37C1"/>
    <w:rsid w:val="00AE2C03"/>
    <w:rsid w:val="00AE66EC"/>
    <w:rsid w:val="00AE6F91"/>
    <w:rsid w:val="00AF45A4"/>
    <w:rsid w:val="00AF5571"/>
    <w:rsid w:val="00B06BB7"/>
    <w:rsid w:val="00B06F3D"/>
    <w:rsid w:val="00B167E9"/>
    <w:rsid w:val="00B179ED"/>
    <w:rsid w:val="00B314DB"/>
    <w:rsid w:val="00B31EBE"/>
    <w:rsid w:val="00B3718B"/>
    <w:rsid w:val="00B44B23"/>
    <w:rsid w:val="00B4632A"/>
    <w:rsid w:val="00B6450D"/>
    <w:rsid w:val="00B77DBF"/>
    <w:rsid w:val="00B92E49"/>
    <w:rsid w:val="00BA276C"/>
    <w:rsid w:val="00BA685A"/>
    <w:rsid w:val="00BB306F"/>
    <w:rsid w:val="00BD232B"/>
    <w:rsid w:val="00BD2E42"/>
    <w:rsid w:val="00BD4B89"/>
    <w:rsid w:val="00BE6657"/>
    <w:rsid w:val="00C02721"/>
    <w:rsid w:val="00C21762"/>
    <w:rsid w:val="00C24543"/>
    <w:rsid w:val="00C256A2"/>
    <w:rsid w:val="00C263C2"/>
    <w:rsid w:val="00C3340D"/>
    <w:rsid w:val="00C3492D"/>
    <w:rsid w:val="00C355B4"/>
    <w:rsid w:val="00C55560"/>
    <w:rsid w:val="00C66B72"/>
    <w:rsid w:val="00C77713"/>
    <w:rsid w:val="00C87C57"/>
    <w:rsid w:val="00C9567A"/>
    <w:rsid w:val="00C962B2"/>
    <w:rsid w:val="00CA6577"/>
    <w:rsid w:val="00CA6B87"/>
    <w:rsid w:val="00CB2660"/>
    <w:rsid w:val="00CC5E90"/>
    <w:rsid w:val="00CD046C"/>
    <w:rsid w:val="00CE4368"/>
    <w:rsid w:val="00CE5199"/>
    <w:rsid w:val="00CE66D5"/>
    <w:rsid w:val="00D219EA"/>
    <w:rsid w:val="00D34786"/>
    <w:rsid w:val="00D40A1E"/>
    <w:rsid w:val="00D533C0"/>
    <w:rsid w:val="00D66D3C"/>
    <w:rsid w:val="00D707F4"/>
    <w:rsid w:val="00D712D3"/>
    <w:rsid w:val="00D71422"/>
    <w:rsid w:val="00D7145E"/>
    <w:rsid w:val="00D75084"/>
    <w:rsid w:val="00D7558D"/>
    <w:rsid w:val="00D81D92"/>
    <w:rsid w:val="00D93446"/>
    <w:rsid w:val="00DA41E5"/>
    <w:rsid w:val="00DA5BBB"/>
    <w:rsid w:val="00DA7B5F"/>
    <w:rsid w:val="00DB3C83"/>
    <w:rsid w:val="00DC7B91"/>
    <w:rsid w:val="00DD7EAD"/>
    <w:rsid w:val="00DF078B"/>
    <w:rsid w:val="00DF350D"/>
    <w:rsid w:val="00E1171D"/>
    <w:rsid w:val="00E227C1"/>
    <w:rsid w:val="00E276DB"/>
    <w:rsid w:val="00E43157"/>
    <w:rsid w:val="00E47F3D"/>
    <w:rsid w:val="00E533FF"/>
    <w:rsid w:val="00E709B3"/>
    <w:rsid w:val="00E7588C"/>
    <w:rsid w:val="00E76E74"/>
    <w:rsid w:val="00E7797F"/>
    <w:rsid w:val="00E83EEA"/>
    <w:rsid w:val="00E850B6"/>
    <w:rsid w:val="00E8789F"/>
    <w:rsid w:val="00E97B71"/>
    <w:rsid w:val="00EB309A"/>
    <w:rsid w:val="00EB315E"/>
    <w:rsid w:val="00EB454D"/>
    <w:rsid w:val="00ED0D1B"/>
    <w:rsid w:val="00ED5FB1"/>
    <w:rsid w:val="00EE3522"/>
    <w:rsid w:val="00EF619B"/>
    <w:rsid w:val="00F00B55"/>
    <w:rsid w:val="00F1380F"/>
    <w:rsid w:val="00F14F0E"/>
    <w:rsid w:val="00F15A3B"/>
    <w:rsid w:val="00F24C29"/>
    <w:rsid w:val="00F253CC"/>
    <w:rsid w:val="00F30108"/>
    <w:rsid w:val="00F42B71"/>
    <w:rsid w:val="00F455FB"/>
    <w:rsid w:val="00F53046"/>
    <w:rsid w:val="00F56BA5"/>
    <w:rsid w:val="00F621C3"/>
    <w:rsid w:val="00F644E6"/>
    <w:rsid w:val="00F7694F"/>
    <w:rsid w:val="00F90352"/>
    <w:rsid w:val="00F9653B"/>
    <w:rsid w:val="00FB10BC"/>
    <w:rsid w:val="00FB2DCE"/>
    <w:rsid w:val="00FB62CF"/>
    <w:rsid w:val="00FC3EB4"/>
    <w:rsid w:val="00FC6C58"/>
    <w:rsid w:val="00FE1A58"/>
    <w:rsid w:val="00FE6B45"/>
    <w:rsid w:val="00FF152D"/>
    <w:rsid w:val="00FF5851"/>
    <w:rsid w:val="00FF7B79"/>
    <w:rsid w:val="00FF7E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03732-2E70-4252-B4A3-88373C75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2797</Words>
  <Characters>14883</Characters>
  <Application>Microsoft Office Word</Application>
  <DocSecurity>0</DocSecurity>
  <Lines>354</Lines>
  <Paragraphs>127</Paragraphs>
  <ScaleCrop>false</ScaleCrop>
  <Company/>
  <LinksUpToDate>false</LinksUpToDate>
  <CharactersWithSpaces>17553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149/21</dc:title>
  <dc:creator/>
  <cp:lastModifiedBy/>
  <cp:revision>1</cp:revision>
  <dcterms:created xsi:type="dcterms:W3CDTF">2021-07-27T15:20:00Z</dcterms:created>
  <dcterms:modified xsi:type="dcterms:W3CDTF">2021-07-27T15:20:00Z</dcterms:modified>
</cp:coreProperties>
</file>