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62ECF89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F7DB7">
                              <w:rPr>
                                <w:rFonts w:asciiTheme="majorHAnsi" w:hAnsiTheme="majorHAnsi" w:cs="Arial"/>
                                <w:b/>
                                <w:bCs/>
                                <w:color w:val="0D0D0D" w:themeColor="text1" w:themeTint="F2"/>
                                <w:sz w:val="36"/>
                                <w:szCs w:val="40"/>
                              </w:rPr>
                              <w:t>278</w:t>
                            </w:r>
                            <w:r w:rsidR="00322450" w:rsidRPr="004B7EB6">
                              <w:rPr>
                                <w:rFonts w:asciiTheme="majorHAnsi" w:hAnsiTheme="majorHAnsi" w:cs="Arial"/>
                                <w:b/>
                                <w:bCs/>
                                <w:color w:val="0D0D0D" w:themeColor="text1" w:themeTint="F2"/>
                                <w:sz w:val="36"/>
                                <w:szCs w:val="40"/>
                              </w:rPr>
                              <w:t>/</w:t>
                            </w:r>
                            <w:r w:rsidR="008F17F1">
                              <w:rPr>
                                <w:rFonts w:asciiTheme="majorHAnsi" w:hAnsiTheme="majorHAnsi" w:cs="Arial"/>
                                <w:b/>
                                <w:bCs/>
                                <w:color w:val="0D0D0D" w:themeColor="text1" w:themeTint="F2"/>
                                <w:sz w:val="36"/>
                                <w:szCs w:val="40"/>
                              </w:rPr>
                              <w:t>21</w:t>
                            </w:r>
                          </w:p>
                          <w:p w14:paraId="2857F468" w14:textId="6D3BF1F2"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AA792F">
                              <w:rPr>
                                <w:rFonts w:asciiTheme="majorHAnsi" w:hAnsiTheme="majorHAnsi" w:cs="Arial"/>
                                <w:b/>
                                <w:bCs/>
                                <w:color w:val="0D0D0D" w:themeColor="text1" w:themeTint="F2"/>
                                <w:sz w:val="36"/>
                                <w:szCs w:val="40"/>
                              </w:rPr>
                              <w:t>1234-18</w:t>
                            </w:r>
                          </w:p>
                          <w:p w14:paraId="51480B27" w14:textId="1F0FD76A"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66C4BD2D" w:rsidR="005B52B0" w:rsidRDefault="00AA792F" w:rsidP="00261E08">
                            <w:pPr>
                              <w:spacing w:line="276" w:lineRule="auto"/>
                              <w:rPr>
                                <w:rFonts w:ascii="Cambria" w:hAnsi="Cambria" w:cs="Arial"/>
                                <w:color w:val="0D0D0D"/>
                                <w:szCs w:val="22"/>
                              </w:rPr>
                            </w:pPr>
                            <w:r>
                              <w:rPr>
                                <w:rFonts w:ascii="Cambria" w:hAnsi="Cambria" w:cs="Arial"/>
                                <w:color w:val="0D0D0D"/>
                                <w:szCs w:val="22"/>
                              </w:rPr>
                              <w:t>ANGEL EDUARDO GAHONA LOPEZ</w:t>
                            </w:r>
                          </w:p>
                          <w:p w14:paraId="249A4CCD" w14:textId="3B4976CD" w:rsidR="00AA792F" w:rsidRPr="000C4365" w:rsidRDefault="00AA792F" w:rsidP="00261E08">
                            <w:pPr>
                              <w:spacing w:line="276" w:lineRule="auto"/>
                              <w:rPr>
                                <w:rFonts w:asciiTheme="majorHAnsi" w:hAnsiTheme="majorHAnsi"/>
                                <w:color w:val="0D0D0D" w:themeColor="text1" w:themeTint="F2"/>
                              </w:rPr>
                            </w:pPr>
                            <w:r>
                              <w:rPr>
                                <w:rFonts w:ascii="Cambria" w:hAnsi="Cambria" w:cs="Arial"/>
                                <w:color w:val="0D0D0D"/>
                                <w:szCs w:val="22"/>
                              </w:rPr>
                              <w:t>NICARAGUA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5E98D609" w14:textId="62ECF89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F7DB7">
                        <w:rPr>
                          <w:rFonts w:asciiTheme="majorHAnsi" w:hAnsiTheme="majorHAnsi" w:cs="Arial"/>
                          <w:b/>
                          <w:bCs/>
                          <w:color w:val="0D0D0D" w:themeColor="text1" w:themeTint="F2"/>
                          <w:sz w:val="36"/>
                          <w:szCs w:val="40"/>
                        </w:rPr>
                        <w:t>278</w:t>
                      </w:r>
                      <w:r w:rsidR="00322450" w:rsidRPr="004B7EB6">
                        <w:rPr>
                          <w:rFonts w:asciiTheme="majorHAnsi" w:hAnsiTheme="majorHAnsi" w:cs="Arial"/>
                          <w:b/>
                          <w:bCs/>
                          <w:color w:val="0D0D0D" w:themeColor="text1" w:themeTint="F2"/>
                          <w:sz w:val="36"/>
                          <w:szCs w:val="40"/>
                        </w:rPr>
                        <w:t>/</w:t>
                      </w:r>
                      <w:r w:rsidR="008F17F1">
                        <w:rPr>
                          <w:rFonts w:asciiTheme="majorHAnsi" w:hAnsiTheme="majorHAnsi" w:cs="Arial"/>
                          <w:b/>
                          <w:bCs/>
                          <w:color w:val="0D0D0D" w:themeColor="text1" w:themeTint="F2"/>
                          <w:sz w:val="36"/>
                          <w:szCs w:val="40"/>
                        </w:rPr>
                        <w:t>21</w:t>
                      </w:r>
                    </w:p>
                    <w:p w14:paraId="2857F468" w14:textId="6D3BF1F2"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AA792F">
                        <w:rPr>
                          <w:rFonts w:asciiTheme="majorHAnsi" w:hAnsiTheme="majorHAnsi" w:cs="Arial"/>
                          <w:b/>
                          <w:bCs/>
                          <w:color w:val="0D0D0D" w:themeColor="text1" w:themeTint="F2"/>
                          <w:sz w:val="36"/>
                          <w:szCs w:val="40"/>
                        </w:rPr>
                        <w:t>1234-18</w:t>
                      </w:r>
                    </w:p>
                    <w:p w14:paraId="51480B27" w14:textId="1F0FD76A"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66C4BD2D" w:rsidR="005B52B0" w:rsidRDefault="00AA792F" w:rsidP="00261E08">
                      <w:pPr>
                        <w:spacing w:line="276" w:lineRule="auto"/>
                        <w:rPr>
                          <w:rFonts w:ascii="Cambria" w:hAnsi="Cambria" w:cs="Arial"/>
                          <w:color w:val="0D0D0D"/>
                          <w:szCs w:val="22"/>
                        </w:rPr>
                      </w:pPr>
                      <w:r>
                        <w:rPr>
                          <w:rFonts w:ascii="Cambria" w:hAnsi="Cambria" w:cs="Arial"/>
                          <w:color w:val="0D0D0D"/>
                          <w:szCs w:val="22"/>
                        </w:rPr>
                        <w:t>ANGEL EDUARDO GAHONA LOPEZ</w:t>
                      </w:r>
                    </w:p>
                    <w:p w14:paraId="249A4CCD" w14:textId="3B4976CD" w:rsidR="00AA792F" w:rsidRPr="000C4365" w:rsidRDefault="00AA792F" w:rsidP="00261E08">
                      <w:pPr>
                        <w:spacing w:line="276" w:lineRule="auto"/>
                        <w:rPr>
                          <w:rFonts w:asciiTheme="majorHAnsi" w:hAnsiTheme="majorHAnsi"/>
                          <w:color w:val="0D0D0D" w:themeColor="text1" w:themeTint="F2"/>
                        </w:rPr>
                      </w:pPr>
                      <w:r>
                        <w:rPr>
                          <w:rFonts w:ascii="Cambria" w:hAnsi="Cambria" w:cs="Arial"/>
                          <w:color w:val="0D0D0D"/>
                          <w:szCs w:val="22"/>
                        </w:rPr>
                        <w:t>NICARAGUA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777034AD" w:rsidR="00627C9F" w:rsidRPr="00BF7DB7"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BF7DB7">
                              <w:rPr>
                                <w:rFonts w:asciiTheme="minorHAnsi" w:hAnsiTheme="minorHAnsi"/>
                                <w:color w:val="FFFFFF" w:themeColor="background1"/>
                                <w:sz w:val="22"/>
                                <w:lang w:val="pt-BR"/>
                              </w:rPr>
                              <w:t>V/II</w:t>
                            </w:r>
                          </w:p>
                          <w:p w14:paraId="2B86BB36" w14:textId="5F3B8CC1" w:rsidR="00627C9F" w:rsidRPr="004B68E3" w:rsidRDefault="00CA6577" w:rsidP="009E566A">
                            <w:pPr>
                              <w:jc w:val="right"/>
                              <w:rPr>
                                <w:rFonts w:asciiTheme="minorHAnsi" w:hAnsiTheme="minorHAnsi"/>
                                <w:color w:val="FFFFFF" w:themeColor="background1"/>
                                <w:sz w:val="22"/>
                                <w:lang w:val="es-US"/>
                              </w:rPr>
                            </w:pPr>
                            <w:r w:rsidRPr="004B68E3">
                              <w:rPr>
                                <w:rFonts w:asciiTheme="minorHAnsi" w:hAnsiTheme="minorHAnsi"/>
                                <w:color w:val="FFFFFF" w:themeColor="background1"/>
                                <w:sz w:val="22"/>
                                <w:lang w:val="es-US"/>
                              </w:rPr>
                              <w:t xml:space="preserve">Doc. </w:t>
                            </w:r>
                            <w:r w:rsidR="00BF7DB7" w:rsidRPr="004B68E3">
                              <w:rPr>
                                <w:rFonts w:asciiTheme="minorHAnsi" w:hAnsiTheme="minorHAnsi"/>
                                <w:color w:val="FFFFFF" w:themeColor="background1"/>
                                <w:sz w:val="22"/>
                                <w:lang w:val="es-US"/>
                              </w:rPr>
                              <w:t>287</w:t>
                            </w:r>
                          </w:p>
                          <w:p w14:paraId="6AC8D657" w14:textId="337DA887" w:rsidR="00627C9F" w:rsidRPr="00BF7DB7" w:rsidRDefault="00022CF5" w:rsidP="009E566A">
                            <w:pPr>
                              <w:jc w:val="right"/>
                              <w:rPr>
                                <w:rFonts w:asciiTheme="minorHAnsi" w:hAnsiTheme="minorHAnsi"/>
                                <w:color w:val="FFFFFF" w:themeColor="background1"/>
                                <w:sz w:val="22"/>
                              </w:rPr>
                            </w:pPr>
                            <w:r w:rsidRPr="004B68E3">
                              <w:rPr>
                                <w:rFonts w:asciiTheme="minorHAnsi" w:hAnsiTheme="minorHAnsi"/>
                                <w:color w:val="FFFFFF" w:themeColor="background1"/>
                                <w:sz w:val="22"/>
                                <w:lang w:val="es-US"/>
                              </w:rPr>
                              <w:t xml:space="preserve"> </w:t>
                            </w:r>
                            <w:r w:rsidR="00BF7DB7">
                              <w:rPr>
                                <w:rFonts w:asciiTheme="minorHAnsi" w:hAnsiTheme="minorHAnsi"/>
                                <w:color w:val="FFFFFF" w:themeColor="background1"/>
                                <w:sz w:val="22"/>
                              </w:rPr>
                              <w:t>9 October</w:t>
                            </w:r>
                            <w:r w:rsidR="000C4365" w:rsidRPr="00BF7DB7">
                              <w:rPr>
                                <w:rFonts w:asciiTheme="minorHAnsi" w:hAnsiTheme="minorHAnsi"/>
                                <w:color w:val="FFFFFF" w:themeColor="background1"/>
                                <w:sz w:val="22"/>
                              </w:rPr>
                              <w:t xml:space="preserve"> </w:t>
                            </w:r>
                            <w:r w:rsidR="002F2697" w:rsidRPr="00BF7DB7">
                              <w:rPr>
                                <w:rFonts w:asciiTheme="minorHAnsi" w:hAnsiTheme="minorHAnsi"/>
                                <w:color w:val="FFFFFF" w:themeColor="background1"/>
                                <w:sz w:val="22"/>
                              </w:rPr>
                              <w:t>202</w:t>
                            </w:r>
                            <w:r w:rsidR="008F17F1" w:rsidRPr="00BF7DB7">
                              <w:rPr>
                                <w:rFonts w:asciiTheme="minorHAnsi" w:hAnsiTheme="minorHAnsi"/>
                                <w:color w:val="FFFFFF" w:themeColor="background1"/>
                                <w:sz w:val="22"/>
                              </w:rPr>
                              <w:t>1</w:t>
                            </w:r>
                          </w:p>
                          <w:p w14:paraId="35D3ABA3" w14:textId="4D5A616E" w:rsidR="00627C9F" w:rsidRPr="00BF7DB7" w:rsidRDefault="00627C9F" w:rsidP="009E566A">
                            <w:pPr>
                              <w:jc w:val="right"/>
                              <w:rPr>
                                <w:rFonts w:asciiTheme="minorHAnsi" w:hAnsiTheme="minorHAnsi"/>
                                <w:color w:val="FFFFFF" w:themeColor="background1"/>
                                <w:sz w:val="22"/>
                              </w:rPr>
                            </w:pPr>
                            <w:r w:rsidRPr="00BF7DB7">
                              <w:rPr>
                                <w:rFonts w:asciiTheme="minorHAnsi" w:hAnsiTheme="minorHAnsi"/>
                                <w:color w:val="FFFFFF" w:themeColor="background1"/>
                                <w:sz w:val="22"/>
                              </w:rPr>
                              <w:t>Original:</w:t>
                            </w:r>
                            <w:r w:rsidR="002C1641" w:rsidRPr="00BF7DB7">
                              <w:rPr>
                                <w:rFonts w:asciiTheme="minorHAnsi" w:hAnsiTheme="minorHAnsi"/>
                                <w:color w:val="FFFFFF" w:themeColor="background1"/>
                                <w:sz w:val="22"/>
                              </w:rPr>
                              <w:t xml:space="preserve"> </w:t>
                            </w:r>
                            <w:r w:rsidR="00F42B71" w:rsidRPr="00BF7DB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DC318"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B703AA5" w14:textId="777034AD" w:rsidR="00627C9F" w:rsidRPr="00BF7DB7"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BF7DB7">
                        <w:rPr>
                          <w:rFonts w:asciiTheme="minorHAnsi" w:hAnsiTheme="minorHAnsi"/>
                          <w:color w:val="FFFFFF" w:themeColor="background1"/>
                          <w:sz w:val="22"/>
                          <w:lang w:val="pt-BR"/>
                        </w:rPr>
                        <w:t>V/II</w:t>
                      </w:r>
                    </w:p>
                    <w:p w14:paraId="2B86BB36" w14:textId="5F3B8CC1" w:rsidR="00627C9F" w:rsidRPr="004B68E3" w:rsidRDefault="00CA6577" w:rsidP="009E566A">
                      <w:pPr>
                        <w:jc w:val="right"/>
                        <w:rPr>
                          <w:rFonts w:asciiTheme="minorHAnsi" w:hAnsiTheme="minorHAnsi"/>
                          <w:color w:val="FFFFFF" w:themeColor="background1"/>
                          <w:sz w:val="22"/>
                          <w:lang w:val="es-US"/>
                        </w:rPr>
                      </w:pPr>
                      <w:r w:rsidRPr="004B68E3">
                        <w:rPr>
                          <w:rFonts w:asciiTheme="minorHAnsi" w:hAnsiTheme="minorHAnsi"/>
                          <w:color w:val="FFFFFF" w:themeColor="background1"/>
                          <w:sz w:val="22"/>
                          <w:lang w:val="es-US"/>
                        </w:rPr>
                        <w:t xml:space="preserve">Doc. </w:t>
                      </w:r>
                      <w:r w:rsidR="00BF7DB7" w:rsidRPr="004B68E3">
                        <w:rPr>
                          <w:rFonts w:asciiTheme="minorHAnsi" w:hAnsiTheme="minorHAnsi"/>
                          <w:color w:val="FFFFFF" w:themeColor="background1"/>
                          <w:sz w:val="22"/>
                          <w:lang w:val="es-US"/>
                        </w:rPr>
                        <w:t>287</w:t>
                      </w:r>
                    </w:p>
                    <w:p w14:paraId="6AC8D657" w14:textId="337DA887" w:rsidR="00627C9F" w:rsidRPr="00BF7DB7" w:rsidRDefault="00022CF5" w:rsidP="009E566A">
                      <w:pPr>
                        <w:jc w:val="right"/>
                        <w:rPr>
                          <w:rFonts w:asciiTheme="minorHAnsi" w:hAnsiTheme="minorHAnsi"/>
                          <w:color w:val="FFFFFF" w:themeColor="background1"/>
                          <w:sz w:val="22"/>
                        </w:rPr>
                      </w:pPr>
                      <w:r w:rsidRPr="004B68E3">
                        <w:rPr>
                          <w:rFonts w:asciiTheme="minorHAnsi" w:hAnsiTheme="minorHAnsi"/>
                          <w:color w:val="FFFFFF" w:themeColor="background1"/>
                          <w:sz w:val="22"/>
                          <w:lang w:val="es-US"/>
                        </w:rPr>
                        <w:t xml:space="preserve"> </w:t>
                      </w:r>
                      <w:r w:rsidR="00BF7DB7">
                        <w:rPr>
                          <w:rFonts w:asciiTheme="minorHAnsi" w:hAnsiTheme="minorHAnsi"/>
                          <w:color w:val="FFFFFF" w:themeColor="background1"/>
                          <w:sz w:val="22"/>
                        </w:rPr>
                        <w:t>9 October</w:t>
                      </w:r>
                      <w:r w:rsidR="000C4365" w:rsidRPr="00BF7DB7">
                        <w:rPr>
                          <w:rFonts w:asciiTheme="minorHAnsi" w:hAnsiTheme="minorHAnsi"/>
                          <w:color w:val="FFFFFF" w:themeColor="background1"/>
                          <w:sz w:val="22"/>
                        </w:rPr>
                        <w:t xml:space="preserve"> </w:t>
                      </w:r>
                      <w:r w:rsidR="002F2697" w:rsidRPr="00BF7DB7">
                        <w:rPr>
                          <w:rFonts w:asciiTheme="minorHAnsi" w:hAnsiTheme="minorHAnsi"/>
                          <w:color w:val="FFFFFF" w:themeColor="background1"/>
                          <w:sz w:val="22"/>
                        </w:rPr>
                        <w:t>202</w:t>
                      </w:r>
                      <w:r w:rsidR="008F17F1" w:rsidRPr="00BF7DB7">
                        <w:rPr>
                          <w:rFonts w:asciiTheme="minorHAnsi" w:hAnsiTheme="minorHAnsi"/>
                          <w:color w:val="FFFFFF" w:themeColor="background1"/>
                          <w:sz w:val="22"/>
                        </w:rPr>
                        <w:t>1</w:t>
                      </w:r>
                    </w:p>
                    <w:p w14:paraId="35D3ABA3" w14:textId="4D5A616E" w:rsidR="00627C9F" w:rsidRPr="00BF7DB7" w:rsidRDefault="00627C9F" w:rsidP="009E566A">
                      <w:pPr>
                        <w:jc w:val="right"/>
                        <w:rPr>
                          <w:rFonts w:asciiTheme="minorHAnsi" w:hAnsiTheme="minorHAnsi"/>
                          <w:color w:val="FFFFFF" w:themeColor="background1"/>
                          <w:sz w:val="22"/>
                        </w:rPr>
                      </w:pPr>
                      <w:r w:rsidRPr="00BF7DB7">
                        <w:rPr>
                          <w:rFonts w:asciiTheme="minorHAnsi" w:hAnsiTheme="minorHAnsi"/>
                          <w:color w:val="FFFFFF" w:themeColor="background1"/>
                          <w:sz w:val="22"/>
                        </w:rPr>
                        <w:t>Original:</w:t>
                      </w:r>
                      <w:r w:rsidR="002C1641" w:rsidRPr="00BF7DB7">
                        <w:rPr>
                          <w:rFonts w:asciiTheme="minorHAnsi" w:hAnsiTheme="minorHAnsi"/>
                          <w:color w:val="FFFFFF" w:themeColor="background1"/>
                          <w:sz w:val="22"/>
                        </w:rPr>
                        <w:t xml:space="preserve"> </w:t>
                      </w:r>
                      <w:r w:rsidR="00F42B71" w:rsidRPr="00BF7DB7">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25C58BFA" w:rsidR="009B306D" w:rsidRPr="009B306D" w:rsidRDefault="00BF7DB7"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October 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" filled="f" stroked="f" strokeweight=".5pt">
                <v:textbox>
                  <w:txbxContent>
                    <w:p w14:paraId="0281491C" w14:textId="25C58BFA" w:rsidR="009B306D" w:rsidRPr="009B306D" w:rsidRDefault="00BF7DB7"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October 9, 2021.</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59CA6CD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F7DB7" w:rsidRPr="00BF7DB7">
                              <w:rPr>
                                <w:rFonts w:asciiTheme="majorHAnsi" w:hAnsiTheme="majorHAnsi"/>
                                <w:color w:val="595959" w:themeColor="text1" w:themeTint="A6"/>
                                <w:sz w:val="18"/>
                              </w:rPr>
                              <w:t>278</w:t>
                            </w:r>
                            <w:r w:rsidR="00022CF5" w:rsidRPr="00BF7DB7">
                              <w:rPr>
                                <w:rFonts w:asciiTheme="majorHAnsi" w:hAnsiTheme="majorHAnsi"/>
                                <w:color w:val="595959" w:themeColor="text1" w:themeTint="A6"/>
                                <w:sz w:val="18"/>
                              </w:rPr>
                              <w:t>/</w:t>
                            </w:r>
                            <w:r w:rsidR="002F2697" w:rsidRPr="00BF7DB7">
                              <w:rPr>
                                <w:rFonts w:asciiTheme="majorHAnsi" w:hAnsiTheme="majorHAnsi"/>
                                <w:color w:val="595959" w:themeColor="text1" w:themeTint="A6"/>
                                <w:sz w:val="18"/>
                              </w:rPr>
                              <w:t>2</w:t>
                            </w:r>
                            <w:r w:rsidR="008F17F1" w:rsidRPr="00BF7DB7">
                              <w:rPr>
                                <w:rFonts w:asciiTheme="majorHAnsi" w:hAnsiTheme="majorHAnsi"/>
                                <w:color w:val="595959" w:themeColor="text1" w:themeTint="A6"/>
                                <w:sz w:val="18"/>
                              </w:rPr>
                              <w:t>1</w:t>
                            </w:r>
                            <w:r w:rsidRPr="00BF7DB7">
                              <w:rPr>
                                <w:rFonts w:asciiTheme="majorHAnsi" w:hAnsiTheme="majorHAnsi"/>
                                <w:color w:val="595959" w:themeColor="text1" w:themeTint="A6"/>
                                <w:sz w:val="18"/>
                              </w:rPr>
                              <w:t xml:space="preserve">, </w:t>
                            </w:r>
                            <w:r w:rsidR="00F42B71" w:rsidRPr="00BF7DB7">
                              <w:rPr>
                                <w:rFonts w:asciiTheme="majorHAnsi" w:hAnsiTheme="majorHAnsi"/>
                                <w:color w:val="595959" w:themeColor="text1" w:themeTint="A6"/>
                                <w:sz w:val="18"/>
                              </w:rPr>
                              <w:t xml:space="preserve">Petition </w:t>
                            </w:r>
                            <w:r w:rsidR="00AA792F" w:rsidRPr="00BF7DB7">
                              <w:rPr>
                                <w:rFonts w:asciiTheme="majorHAnsi" w:hAnsiTheme="majorHAnsi"/>
                                <w:color w:val="595959" w:themeColor="text1" w:themeTint="A6"/>
                                <w:sz w:val="18"/>
                              </w:rPr>
                              <w:t>1234-18</w:t>
                            </w:r>
                            <w:r w:rsidRPr="00BF7DB7">
                              <w:rPr>
                                <w:rFonts w:asciiTheme="majorHAnsi" w:hAnsiTheme="majorHAnsi"/>
                                <w:color w:val="595959" w:themeColor="text1" w:themeTint="A6"/>
                                <w:sz w:val="18"/>
                              </w:rPr>
                              <w:t>.</w:t>
                            </w:r>
                            <w:r w:rsidR="009E566A" w:rsidRPr="00BF7DB7">
                              <w:rPr>
                                <w:rFonts w:asciiTheme="majorHAnsi" w:hAnsiTheme="majorHAnsi"/>
                                <w:color w:val="595959" w:themeColor="text1" w:themeTint="A6"/>
                                <w:sz w:val="18"/>
                              </w:rPr>
                              <w:t xml:space="preserve"> </w:t>
                            </w:r>
                            <w:r w:rsidR="00466CAD" w:rsidRPr="00BF7DB7">
                              <w:rPr>
                                <w:rFonts w:asciiTheme="majorHAnsi" w:hAnsiTheme="majorHAnsi"/>
                                <w:color w:val="595959" w:themeColor="text1" w:themeTint="A6"/>
                                <w:sz w:val="18"/>
                                <w:lang w:val="pt-BR"/>
                              </w:rPr>
                              <w:t>A</w:t>
                            </w:r>
                            <w:r w:rsidR="00F42B71" w:rsidRPr="00BF7DB7">
                              <w:rPr>
                                <w:rFonts w:asciiTheme="majorHAnsi" w:hAnsiTheme="majorHAnsi"/>
                                <w:color w:val="595959" w:themeColor="text1" w:themeTint="A6"/>
                                <w:sz w:val="18"/>
                                <w:lang w:val="pt-BR"/>
                              </w:rPr>
                              <w:t>dmissibility</w:t>
                            </w:r>
                            <w:r w:rsidRPr="00BF7DB7">
                              <w:rPr>
                                <w:rFonts w:asciiTheme="majorHAnsi" w:hAnsiTheme="majorHAnsi"/>
                                <w:color w:val="595959" w:themeColor="text1" w:themeTint="A6"/>
                                <w:sz w:val="18"/>
                                <w:lang w:val="pt-BR"/>
                              </w:rPr>
                              <w:t xml:space="preserve">. </w:t>
                            </w:r>
                            <w:r w:rsidR="004B68E3">
                              <w:rPr>
                                <w:rFonts w:asciiTheme="majorHAnsi" w:hAnsiTheme="majorHAnsi"/>
                                <w:color w:val="595959" w:themeColor="text1" w:themeTint="A6"/>
                                <w:sz w:val="18"/>
                                <w:lang w:val="pt-BR"/>
                              </w:rPr>
                              <w:t xml:space="preserve"> </w:t>
                            </w:r>
                            <w:r w:rsidR="008A40BB" w:rsidRPr="00BF7DB7">
                              <w:rPr>
                                <w:rFonts w:asciiTheme="majorHAnsi" w:hAnsiTheme="majorHAnsi"/>
                                <w:color w:val="595959" w:themeColor="text1" w:themeTint="A6"/>
                                <w:sz w:val="18"/>
                                <w:lang w:val="pt-BR"/>
                              </w:rPr>
                              <w:t>Á</w:t>
                            </w:r>
                            <w:r w:rsidR="00AA792F" w:rsidRPr="00BF7DB7">
                              <w:rPr>
                                <w:rFonts w:asciiTheme="majorHAnsi" w:hAnsiTheme="majorHAnsi"/>
                                <w:color w:val="595959" w:themeColor="text1" w:themeTint="A6"/>
                                <w:sz w:val="18"/>
                                <w:lang w:val="pt-BR"/>
                              </w:rPr>
                              <w:t>ngel Eduardo Gahona L</w:t>
                            </w:r>
                            <w:r w:rsidR="008A40BB" w:rsidRPr="00BF7DB7">
                              <w:rPr>
                                <w:rFonts w:asciiTheme="majorHAnsi" w:hAnsiTheme="majorHAnsi"/>
                                <w:color w:val="595959" w:themeColor="text1" w:themeTint="A6"/>
                                <w:sz w:val="18"/>
                                <w:lang w:val="pt-BR"/>
                              </w:rPr>
                              <w:t>ó</w:t>
                            </w:r>
                            <w:r w:rsidR="00AA792F" w:rsidRPr="00BF7DB7">
                              <w:rPr>
                                <w:rFonts w:asciiTheme="majorHAnsi" w:hAnsiTheme="majorHAnsi"/>
                                <w:color w:val="595959" w:themeColor="text1" w:themeTint="A6"/>
                                <w:sz w:val="18"/>
                                <w:lang w:val="pt-BR"/>
                              </w:rPr>
                              <w:t>pez. Nicaragua</w:t>
                            </w:r>
                            <w:r w:rsidR="00022CF5" w:rsidRPr="00BF7DB7">
                              <w:rPr>
                                <w:rFonts w:asciiTheme="majorHAnsi" w:hAnsiTheme="majorHAnsi"/>
                                <w:color w:val="595959" w:themeColor="text1" w:themeTint="A6"/>
                                <w:sz w:val="18"/>
                                <w:lang w:val="pt-BR"/>
                              </w:rPr>
                              <w:t xml:space="preserve">. </w:t>
                            </w:r>
                            <w:r w:rsidR="00BF7DB7">
                              <w:rPr>
                                <w:rFonts w:asciiTheme="majorHAnsi" w:hAnsiTheme="majorHAnsi"/>
                                <w:color w:val="595959" w:themeColor="text1" w:themeTint="A6"/>
                                <w:sz w:val="18"/>
                              </w:rPr>
                              <w:t>October 9, 2021</w:t>
                            </w:r>
                            <w:r w:rsidR="00F621C3" w:rsidRPr="00BF7DB7">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80EB527" w14:textId="59CA6CD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F7DB7" w:rsidRPr="00BF7DB7">
                        <w:rPr>
                          <w:rFonts w:asciiTheme="majorHAnsi" w:hAnsiTheme="majorHAnsi"/>
                          <w:color w:val="595959" w:themeColor="text1" w:themeTint="A6"/>
                          <w:sz w:val="18"/>
                        </w:rPr>
                        <w:t>278</w:t>
                      </w:r>
                      <w:r w:rsidR="00022CF5" w:rsidRPr="00BF7DB7">
                        <w:rPr>
                          <w:rFonts w:asciiTheme="majorHAnsi" w:hAnsiTheme="majorHAnsi"/>
                          <w:color w:val="595959" w:themeColor="text1" w:themeTint="A6"/>
                          <w:sz w:val="18"/>
                        </w:rPr>
                        <w:t>/</w:t>
                      </w:r>
                      <w:r w:rsidR="002F2697" w:rsidRPr="00BF7DB7">
                        <w:rPr>
                          <w:rFonts w:asciiTheme="majorHAnsi" w:hAnsiTheme="majorHAnsi"/>
                          <w:color w:val="595959" w:themeColor="text1" w:themeTint="A6"/>
                          <w:sz w:val="18"/>
                        </w:rPr>
                        <w:t>2</w:t>
                      </w:r>
                      <w:r w:rsidR="008F17F1" w:rsidRPr="00BF7DB7">
                        <w:rPr>
                          <w:rFonts w:asciiTheme="majorHAnsi" w:hAnsiTheme="majorHAnsi"/>
                          <w:color w:val="595959" w:themeColor="text1" w:themeTint="A6"/>
                          <w:sz w:val="18"/>
                        </w:rPr>
                        <w:t>1</w:t>
                      </w:r>
                      <w:r w:rsidRPr="00BF7DB7">
                        <w:rPr>
                          <w:rFonts w:asciiTheme="majorHAnsi" w:hAnsiTheme="majorHAnsi"/>
                          <w:color w:val="595959" w:themeColor="text1" w:themeTint="A6"/>
                          <w:sz w:val="18"/>
                        </w:rPr>
                        <w:t xml:space="preserve">, </w:t>
                      </w:r>
                      <w:r w:rsidR="00F42B71" w:rsidRPr="00BF7DB7">
                        <w:rPr>
                          <w:rFonts w:asciiTheme="majorHAnsi" w:hAnsiTheme="majorHAnsi"/>
                          <w:color w:val="595959" w:themeColor="text1" w:themeTint="A6"/>
                          <w:sz w:val="18"/>
                        </w:rPr>
                        <w:t xml:space="preserve">Petition </w:t>
                      </w:r>
                      <w:r w:rsidR="00AA792F" w:rsidRPr="00BF7DB7">
                        <w:rPr>
                          <w:rFonts w:asciiTheme="majorHAnsi" w:hAnsiTheme="majorHAnsi"/>
                          <w:color w:val="595959" w:themeColor="text1" w:themeTint="A6"/>
                          <w:sz w:val="18"/>
                        </w:rPr>
                        <w:t>1234-18</w:t>
                      </w:r>
                      <w:r w:rsidRPr="00BF7DB7">
                        <w:rPr>
                          <w:rFonts w:asciiTheme="majorHAnsi" w:hAnsiTheme="majorHAnsi"/>
                          <w:color w:val="595959" w:themeColor="text1" w:themeTint="A6"/>
                          <w:sz w:val="18"/>
                        </w:rPr>
                        <w:t>.</w:t>
                      </w:r>
                      <w:r w:rsidR="009E566A" w:rsidRPr="00BF7DB7">
                        <w:rPr>
                          <w:rFonts w:asciiTheme="majorHAnsi" w:hAnsiTheme="majorHAnsi"/>
                          <w:color w:val="595959" w:themeColor="text1" w:themeTint="A6"/>
                          <w:sz w:val="18"/>
                        </w:rPr>
                        <w:t xml:space="preserve"> </w:t>
                      </w:r>
                      <w:r w:rsidR="00466CAD" w:rsidRPr="00BF7DB7">
                        <w:rPr>
                          <w:rFonts w:asciiTheme="majorHAnsi" w:hAnsiTheme="majorHAnsi"/>
                          <w:color w:val="595959" w:themeColor="text1" w:themeTint="A6"/>
                          <w:sz w:val="18"/>
                          <w:lang w:val="pt-BR"/>
                        </w:rPr>
                        <w:t>A</w:t>
                      </w:r>
                      <w:r w:rsidR="00F42B71" w:rsidRPr="00BF7DB7">
                        <w:rPr>
                          <w:rFonts w:asciiTheme="majorHAnsi" w:hAnsiTheme="majorHAnsi"/>
                          <w:color w:val="595959" w:themeColor="text1" w:themeTint="A6"/>
                          <w:sz w:val="18"/>
                          <w:lang w:val="pt-BR"/>
                        </w:rPr>
                        <w:t>dmissibility</w:t>
                      </w:r>
                      <w:r w:rsidRPr="00BF7DB7">
                        <w:rPr>
                          <w:rFonts w:asciiTheme="majorHAnsi" w:hAnsiTheme="majorHAnsi"/>
                          <w:color w:val="595959" w:themeColor="text1" w:themeTint="A6"/>
                          <w:sz w:val="18"/>
                          <w:lang w:val="pt-BR"/>
                        </w:rPr>
                        <w:t xml:space="preserve">. </w:t>
                      </w:r>
                      <w:r w:rsidR="004B68E3">
                        <w:rPr>
                          <w:rFonts w:asciiTheme="majorHAnsi" w:hAnsiTheme="majorHAnsi"/>
                          <w:color w:val="595959" w:themeColor="text1" w:themeTint="A6"/>
                          <w:sz w:val="18"/>
                          <w:lang w:val="pt-BR"/>
                        </w:rPr>
                        <w:t xml:space="preserve"> </w:t>
                      </w:r>
                      <w:r w:rsidR="008A40BB" w:rsidRPr="00BF7DB7">
                        <w:rPr>
                          <w:rFonts w:asciiTheme="majorHAnsi" w:hAnsiTheme="majorHAnsi"/>
                          <w:color w:val="595959" w:themeColor="text1" w:themeTint="A6"/>
                          <w:sz w:val="18"/>
                          <w:lang w:val="pt-BR"/>
                        </w:rPr>
                        <w:t>Á</w:t>
                      </w:r>
                      <w:r w:rsidR="00AA792F" w:rsidRPr="00BF7DB7">
                        <w:rPr>
                          <w:rFonts w:asciiTheme="majorHAnsi" w:hAnsiTheme="majorHAnsi"/>
                          <w:color w:val="595959" w:themeColor="text1" w:themeTint="A6"/>
                          <w:sz w:val="18"/>
                          <w:lang w:val="pt-BR"/>
                        </w:rPr>
                        <w:t>ngel Eduardo Gahona L</w:t>
                      </w:r>
                      <w:r w:rsidR="008A40BB" w:rsidRPr="00BF7DB7">
                        <w:rPr>
                          <w:rFonts w:asciiTheme="majorHAnsi" w:hAnsiTheme="majorHAnsi"/>
                          <w:color w:val="595959" w:themeColor="text1" w:themeTint="A6"/>
                          <w:sz w:val="18"/>
                          <w:lang w:val="pt-BR"/>
                        </w:rPr>
                        <w:t>ó</w:t>
                      </w:r>
                      <w:r w:rsidR="00AA792F" w:rsidRPr="00BF7DB7">
                        <w:rPr>
                          <w:rFonts w:asciiTheme="majorHAnsi" w:hAnsiTheme="majorHAnsi"/>
                          <w:color w:val="595959" w:themeColor="text1" w:themeTint="A6"/>
                          <w:sz w:val="18"/>
                          <w:lang w:val="pt-BR"/>
                        </w:rPr>
                        <w:t>pez. Nicaragua</w:t>
                      </w:r>
                      <w:r w:rsidR="00022CF5" w:rsidRPr="00BF7DB7">
                        <w:rPr>
                          <w:rFonts w:asciiTheme="majorHAnsi" w:hAnsiTheme="majorHAnsi"/>
                          <w:color w:val="595959" w:themeColor="text1" w:themeTint="A6"/>
                          <w:sz w:val="18"/>
                          <w:lang w:val="pt-BR"/>
                        </w:rPr>
                        <w:t xml:space="preserve">. </w:t>
                      </w:r>
                      <w:r w:rsidR="00BF7DB7">
                        <w:rPr>
                          <w:rFonts w:asciiTheme="majorHAnsi" w:hAnsiTheme="majorHAnsi"/>
                          <w:color w:val="595959" w:themeColor="text1" w:themeTint="A6"/>
                          <w:sz w:val="18"/>
                        </w:rPr>
                        <w:t>October 9, 2021</w:t>
                      </w:r>
                      <w:r w:rsidR="00F621C3" w:rsidRPr="00BF7DB7">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532D327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F7DB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4450C44B" w14:textId="532D327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F7DB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410D5F7A" w14:textId="4F255D2D" w:rsidR="00F621C3" w:rsidRPr="00815F2E" w:rsidRDefault="00F621C3" w:rsidP="00C355B4">
      <w:pPr>
        <w:spacing w:after="120"/>
        <w:ind w:firstLine="720"/>
        <w:jc w:val="both"/>
        <w:rPr>
          <w:rFonts w:asciiTheme="majorHAnsi" w:hAnsiTheme="majorHAnsi"/>
          <w:b/>
          <w:bCs/>
          <w:sz w:val="20"/>
          <w:szCs w:val="20"/>
        </w:rPr>
      </w:pPr>
      <w:r w:rsidRPr="00815F2E">
        <w:rPr>
          <w:rFonts w:asciiTheme="majorHAnsi" w:hAnsiTheme="majorHAnsi"/>
          <w:b/>
          <w:bCs/>
          <w:sz w:val="20"/>
          <w:szCs w:val="20"/>
        </w:rPr>
        <w:lastRenderedPageBreak/>
        <w:t>I.</w:t>
      </w:r>
      <w:r w:rsidRPr="00815F2E">
        <w:rPr>
          <w:rFonts w:asciiTheme="majorHAnsi" w:hAnsiTheme="majorHAnsi"/>
          <w:b/>
          <w:bCs/>
          <w:sz w:val="20"/>
          <w:szCs w:val="20"/>
        </w:rPr>
        <w:tab/>
      </w:r>
      <w:r w:rsidR="00592718" w:rsidRPr="00815F2E">
        <w:rPr>
          <w:rFonts w:asciiTheme="majorHAnsi" w:hAnsiTheme="majorHAnsi"/>
          <w:b/>
          <w:bCs/>
          <w:sz w:val="20"/>
          <w:szCs w:val="20"/>
        </w:rPr>
        <w:t>INFORMATION ABOUT THE PETITION</w:t>
      </w:r>
      <w:r w:rsidRPr="00815F2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4B68E3" w14:paraId="0D1CC739" w14:textId="77777777" w:rsidTr="000F326B">
        <w:tc>
          <w:tcPr>
            <w:tcW w:w="3573" w:type="dxa"/>
            <w:tcBorders>
              <w:top w:val="single" w:sz="4" w:space="0" w:color="auto"/>
              <w:bottom w:val="single" w:sz="6" w:space="0" w:color="auto"/>
            </w:tcBorders>
            <w:shd w:val="clear" w:color="auto" w:fill="67AE3C"/>
            <w:vAlign w:val="center"/>
          </w:tcPr>
          <w:p w14:paraId="3914A250" w14:textId="7B7204F8"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Petitioner</w:t>
            </w:r>
            <w:r w:rsidR="00466CAD" w:rsidRPr="00AB2A8D">
              <w:rPr>
                <w:rFonts w:asciiTheme="majorHAnsi" w:hAnsiTheme="majorHAnsi"/>
                <w:b/>
                <w:color w:val="FFFFFF" w:themeColor="background1"/>
                <w:sz w:val="20"/>
                <w:szCs w:val="20"/>
              </w:rPr>
              <w:t>s</w:t>
            </w:r>
            <w:r w:rsidR="00B77DBF">
              <w:rPr>
                <w:rFonts w:asciiTheme="majorHAnsi" w:hAnsiTheme="majorHAnsi"/>
                <w:b/>
                <w:color w:val="FFFFFF" w:themeColor="background1"/>
                <w:sz w:val="20"/>
                <w:szCs w:val="20"/>
              </w:rPr>
              <w:t>:</w:t>
            </w:r>
          </w:p>
        </w:tc>
        <w:tc>
          <w:tcPr>
            <w:tcW w:w="5787" w:type="dxa"/>
          </w:tcPr>
          <w:p w14:paraId="67A3AC7B" w14:textId="6F95C648" w:rsidR="00261E08" w:rsidRPr="004B68E3" w:rsidRDefault="00AA792F" w:rsidP="009163FC">
            <w:pPr>
              <w:jc w:val="both"/>
              <w:rPr>
                <w:rFonts w:asciiTheme="majorHAnsi" w:hAnsiTheme="majorHAnsi"/>
                <w:bCs/>
                <w:sz w:val="20"/>
                <w:szCs w:val="20"/>
                <w:lang w:val="es-US"/>
              </w:rPr>
            </w:pPr>
            <w:r w:rsidRPr="004B68E3">
              <w:rPr>
                <w:rFonts w:ascii="Cambria" w:hAnsi="Cambria"/>
                <w:bCs/>
                <w:sz w:val="20"/>
                <w:szCs w:val="20"/>
                <w:lang w:val="es-US"/>
              </w:rPr>
              <w:t>Juan Carlos Gahona L</w:t>
            </w:r>
            <w:r w:rsidR="004838C8" w:rsidRPr="004B68E3">
              <w:rPr>
                <w:rFonts w:ascii="Cambria" w:hAnsi="Cambria"/>
                <w:bCs/>
                <w:sz w:val="20"/>
                <w:szCs w:val="20"/>
                <w:lang w:val="es-US"/>
              </w:rPr>
              <w:t>ó</w:t>
            </w:r>
            <w:r w:rsidRPr="004B68E3">
              <w:rPr>
                <w:rFonts w:ascii="Cambria" w:hAnsi="Cambria"/>
                <w:bCs/>
                <w:sz w:val="20"/>
                <w:szCs w:val="20"/>
                <w:lang w:val="es-US"/>
              </w:rPr>
              <w:t xml:space="preserve">pez, Delmira </w:t>
            </w:r>
            <w:proofErr w:type="spellStart"/>
            <w:r w:rsidRPr="004B68E3">
              <w:rPr>
                <w:rFonts w:ascii="Cambria" w:hAnsi="Cambria"/>
                <w:bCs/>
                <w:sz w:val="20"/>
                <w:szCs w:val="20"/>
                <w:lang w:val="es-US"/>
              </w:rPr>
              <w:t>Migueliuth</w:t>
            </w:r>
            <w:proofErr w:type="spellEnd"/>
            <w:r w:rsidRPr="004B68E3">
              <w:rPr>
                <w:rFonts w:ascii="Cambria" w:hAnsi="Cambria"/>
                <w:bCs/>
                <w:sz w:val="20"/>
                <w:szCs w:val="20"/>
                <w:lang w:val="es-US"/>
              </w:rPr>
              <w:t xml:space="preserve"> Sandoval Cruz, </w:t>
            </w:r>
            <w:proofErr w:type="spellStart"/>
            <w:r w:rsidR="008A40BB" w:rsidRPr="004B68E3">
              <w:rPr>
                <w:rFonts w:ascii="Cambria" w:hAnsi="Cambria"/>
                <w:bCs/>
                <w:sz w:val="20"/>
                <w:szCs w:val="20"/>
                <w:lang w:val="es-US"/>
              </w:rPr>
              <w:t>A</w:t>
            </w:r>
            <w:r w:rsidRPr="004B68E3">
              <w:rPr>
                <w:rFonts w:ascii="Cambria" w:hAnsi="Cambria"/>
                <w:bCs/>
                <w:sz w:val="20"/>
                <w:szCs w:val="20"/>
                <w:lang w:val="es-US"/>
              </w:rPr>
              <w:t>ngel</w:t>
            </w:r>
            <w:proofErr w:type="spellEnd"/>
            <w:r w:rsidRPr="004B68E3">
              <w:rPr>
                <w:rFonts w:ascii="Cambria" w:hAnsi="Cambria"/>
                <w:bCs/>
                <w:sz w:val="20"/>
                <w:szCs w:val="20"/>
                <w:lang w:val="es-US"/>
              </w:rPr>
              <w:t xml:space="preserve"> Augusto Gahona Sandoval, Amanda Gahona Sandoval</w:t>
            </w:r>
            <w:r w:rsidR="009E742C" w:rsidRPr="004B68E3">
              <w:rPr>
                <w:rFonts w:ascii="Cambria" w:hAnsi="Cambria"/>
                <w:bCs/>
                <w:sz w:val="20"/>
                <w:szCs w:val="20"/>
                <w:lang w:val="es-US"/>
              </w:rPr>
              <w:t>, and</w:t>
            </w:r>
            <w:r w:rsidRPr="004B68E3">
              <w:rPr>
                <w:rFonts w:ascii="Cambria" w:hAnsi="Cambria"/>
                <w:bCs/>
                <w:sz w:val="20"/>
                <w:szCs w:val="20"/>
                <w:lang w:val="es-US"/>
              </w:rPr>
              <w:t xml:space="preserve"> </w:t>
            </w:r>
            <w:proofErr w:type="spellStart"/>
            <w:r w:rsidR="009E742C" w:rsidRPr="004B68E3">
              <w:rPr>
                <w:rFonts w:ascii="Cambria" w:hAnsi="Cambria"/>
                <w:bCs/>
                <w:sz w:val="20"/>
                <w:szCs w:val="20"/>
                <w:lang w:val="es-US"/>
              </w:rPr>
              <w:t>Nicaraguan</w:t>
            </w:r>
            <w:proofErr w:type="spellEnd"/>
            <w:r w:rsidR="009E742C" w:rsidRPr="004B68E3">
              <w:rPr>
                <w:rFonts w:ascii="Cambria" w:hAnsi="Cambria"/>
                <w:bCs/>
                <w:sz w:val="20"/>
                <w:szCs w:val="20"/>
                <w:lang w:val="es-US"/>
              </w:rPr>
              <w:t xml:space="preserve"> Center </w:t>
            </w:r>
            <w:proofErr w:type="spellStart"/>
            <w:r w:rsidR="009E742C" w:rsidRPr="004B68E3">
              <w:rPr>
                <w:rFonts w:ascii="Cambria" w:hAnsi="Cambria"/>
                <w:bCs/>
                <w:sz w:val="20"/>
                <w:szCs w:val="20"/>
                <w:lang w:val="es-US"/>
              </w:rPr>
              <w:t>for</w:t>
            </w:r>
            <w:proofErr w:type="spellEnd"/>
            <w:r w:rsidR="009E742C" w:rsidRPr="004B68E3">
              <w:rPr>
                <w:rFonts w:ascii="Cambria" w:hAnsi="Cambria"/>
                <w:bCs/>
                <w:sz w:val="20"/>
                <w:szCs w:val="20"/>
                <w:lang w:val="es-US"/>
              </w:rPr>
              <w:t xml:space="preserve"> Human </w:t>
            </w:r>
            <w:proofErr w:type="spellStart"/>
            <w:r w:rsidR="009E742C" w:rsidRPr="004B68E3">
              <w:rPr>
                <w:rFonts w:ascii="Cambria" w:hAnsi="Cambria"/>
                <w:bCs/>
                <w:sz w:val="20"/>
                <w:szCs w:val="20"/>
                <w:lang w:val="es-US"/>
              </w:rPr>
              <w:t>Rights</w:t>
            </w:r>
            <w:proofErr w:type="spellEnd"/>
            <w:r w:rsidRPr="004B68E3">
              <w:rPr>
                <w:rFonts w:ascii="Cambria" w:hAnsi="Cambria"/>
                <w:bCs/>
                <w:sz w:val="20"/>
                <w:szCs w:val="20"/>
                <w:lang w:val="es-US"/>
              </w:rPr>
              <w:t xml:space="preserve"> (CENIDH)</w:t>
            </w:r>
          </w:p>
        </w:tc>
      </w:tr>
      <w:tr w:rsidR="00261E08" w:rsidRPr="003A5566" w14:paraId="4A730984" w14:textId="77777777" w:rsidTr="000F326B">
        <w:tc>
          <w:tcPr>
            <w:tcW w:w="3573" w:type="dxa"/>
            <w:tcBorders>
              <w:top w:val="single" w:sz="6" w:space="0" w:color="auto"/>
              <w:bottom w:val="single" w:sz="6" w:space="0" w:color="auto"/>
            </w:tcBorders>
            <w:shd w:val="clear" w:color="auto" w:fill="67AE3C"/>
            <w:vAlign w:val="center"/>
          </w:tcPr>
          <w:p w14:paraId="241395B3" w14:textId="6035A3D7"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Alleged victim</w:t>
            </w:r>
            <w:r w:rsidR="00B77DBF">
              <w:rPr>
                <w:rFonts w:asciiTheme="majorHAnsi" w:hAnsiTheme="majorHAnsi"/>
                <w:b/>
                <w:color w:val="FFFFFF" w:themeColor="background1"/>
                <w:sz w:val="20"/>
                <w:szCs w:val="20"/>
              </w:rPr>
              <w:t>:</w:t>
            </w:r>
          </w:p>
        </w:tc>
        <w:tc>
          <w:tcPr>
            <w:tcW w:w="5787" w:type="dxa"/>
          </w:tcPr>
          <w:p w14:paraId="1E62AC27" w14:textId="33EFCB38" w:rsidR="00261E08" w:rsidRPr="00964B3C" w:rsidRDefault="00AA792F" w:rsidP="009163FC">
            <w:pPr>
              <w:jc w:val="both"/>
              <w:rPr>
                <w:rFonts w:asciiTheme="majorHAnsi" w:hAnsiTheme="majorHAnsi"/>
                <w:bCs/>
                <w:sz w:val="20"/>
                <w:szCs w:val="20"/>
              </w:rPr>
            </w:pPr>
            <w:proofErr w:type="spellStart"/>
            <w:r w:rsidRPr="0021568E">
              <w:rPr>
                <w:rFonts w:ascii="Cambria" w:hAnsi="Cambria"/>
                <w:bCs/>
                <w:sz w:val="20"/>
                <w:szCs w:val="20"/>
              </w:rPr>
              <w:t>Ángel</w:t>
            </w:r>
            <w:proofErr w:type="spellEnd"/>
            <w:r w:rsidRPr="0021568E">
              <w:rPr>
                <w:rFonts w:ascii="Cambria" w:hAnsi="Cambria"/>
                <w:bCs/>
                <w:sz w:val="20"/>
                <w:szCs w:val="20"/>
              </w:rPr>
              <w:t xml:space="preserve"> Eduardo </w:t>
            </w:r>
            <w:proofErr w:type="spellStart"/>
            <w:r w:rsidRPr="0021568E">
              <w:rPr>
                <w:rFonts w:ascii="Cambria" w:hAnsi="Cambria"/>
                <w:bCs/>
                <w:sz w:val="20"/>
                <w:szCs w:val="20"/>
              </w:rPr>
              <w:t>Gahona</w:t>
            </w:r>
            <w:proofErr w:type="spellEnd"/>
            <w:r w:rsidRPr="0021568E">
              <w:rPr>
                <w:rFonts w:ascii="Cambria" w:hAnsi="Cambria"/>
                <w:bCs/>
                <w:sz w:val="20"/>
                <w:szCs w:val="20"/>
              </w:rPr>
              <w:t xml:space="preserve"> López</w:t>
            </w:r>
          </w:p>
        </w:tc>
      </w:tr>
      <w:tr w:rsidR="00261E08" w:rsidRPr="003A5566" w14:paraId="03D81EE5" w14:textId="77777777" w:rsidTr="000F326B">
        <w:tc>
          <w:tcPr>
            <w:tcW w:w="3573" w:type="dxa"/>
            <w:tcBorders>
              <w:top w:val="single" w:sz="6" w:space="0" w:color="auto"/>
              <w:bottom w:val="single" w:sz="6" w:space="0" w:color="auto"/>
            </w:tcBorders>
            <w:shd w:val="clear" w:color="auto" w:fill="67AE3C"/>
            <w:vAlign w:val="center"/>
          </w:tcPr>
          <w:p w14:paraId="3A40F361" w14:textId="04DB51CA" w:rsidR="00261E08" w:rsidRPr="00AB2A8D" w:rsidRDefault="00261E08" w:rsidP="00581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Respondent State</w:t>
            </w:r>
            <w:r w:rsidR="00B77DBF">
              <w:rPr>
                <w:rFonts w:asciiTheme="majorHAnsi" w:hAnsiTheme="majorHAnsi"/>
                <w:b/>
                <w:color w:val="FFFFFF" w:themeColor="background1"/>
                <w:sz w:val="20"/>
                <w:szCs w:val="20"/>
              </w:rPr>
              <w:t>:</w:t>
            </w:r>
          </w:p>
        </w:tc>
        <w:tc>
          <w:tcPr>
            <w:tcW w:w="5787" w:type="dxa"/>
          </w:tcPr>
          <w:p w14:paraId="68C5B5B0" w14:textId="54105EFB"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Nicaragua</w:t>
            </w:r>
          </w:p>
        </w:tc>
      </w:tr>
      <w:tr w:rsidR="00261E08" w:rsidRPr="003A5566" w14:paraId="61049B38" w14:textId="77777777" w:rsidTr="000F326B">
        <w:tc>
          <w:tcPr>
            <w:tcW w:w="3573" w:type="dxa"/>
            <w:tcBorders>
              <w:top w:val="single" w:sz="6" w:space="0" w:color="auto"/>
              <w:bottom w:val="single" w:sz="6" w:space="0" w:color="auto"/>
            </w:tcBorders>
            <w:shd w:val="clear" w:color="auto" w:fill="67AE3C"/>
            <w:vAlign w:val="center"/>
          </w:tcPr>
          <w:p w14:paraId="1525F7A2" w14:textId="6CDD6E53" w:rsidR="00261E08" w:rsidRPr="00AB2A8D" w:rsidRDefault="00261E08" w:rsidP="00E7588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Rights invoked</w:t>
            </w:r>
            <w:r w:rsidR="00B77DBF">
              <w:rPr>
                <w:rFonts w:asciiTheme="majorHAnsi" w:hAnsiTheme="majorHAnsi"/>
                <w:b/>
                <w:color w:val="FFFFFF" w:themeColor="background1"/>
                <w:sz w:val="20"/>
                <w:szCs w:val="20"/>
              </w:rPr>
              <w:t>:</w:t>
            </w:r>
          </w:p>
        </w:tc>
        <w:tc>
          <w:tcPr>
            <w:tcW w:w="5787" w:type="dxa"/>
          </w:tcPr>
          <w:p w14:paraId="6C99BD6B" w14:textId="20DD3AE7" w:rsidR="00261E08" w:rsidRPr="00964B3C" w:rsidRDefault="00AA792F" w:rsidP="00261E08">
            <w:pPr>
              <w:jc w:val="both"/>
              <w:rPr>
                <w:rFonts w:asciiTheme="majorHAnsi" w:hAnsiTheme="majorHAnsi"/>
                <w:bCs/>
                <w:sz w:val="20"/>
                <w:szCs w:val="20"/>
              </w:rPr>
            </w:pPr>
            <w:r>
              <w:rPr>
                <w:rFonts w:asciiTheme="majorHAnsi" w:hAnsiTheme="majorHAnsi"/>
                <w:bCs/>
                <w:sz w:val="20"/>
                <w:szCs w:val="20"/>
              </w:rPr>
              <w:t>Articles 4 (Right to life), 5 (Right to humane treatment), 8 (</w:t>
            </w:r>
            <w:r w:rsidR="00E11A0C">
              <w:rPr>
                <w:rFonts w:asciiTheme="majorHAnsi" w:hAnsiTheme="majorHAnsi"/>
                <w:bCs/>
                <w:sz w:val="20"/>
                <w:szCs w:val="20"/>
              </w:rPr>
              <w:t>R</w:t>
            </w:r>
            <w:r>
              <w:rPr>
                <w:rFonts w:asciiTheme="majorHAnsi" w:hAnsiTheme="majorHAnsi"/>
                <w:bCs/>
                <w:sz w:val="20"/>
                <w:szCs w:val="20"/>
              </w:rPr>
              <w:t>ight</w:t>
            </w:r>
            <w:r w:rsidR="00E11A0C">
              <w:rPr>
                <w:rFonts w:asciiTheme="majorHAnsi" w:hAnsiTheme="majorHAnsi"/>
                <w:bCs/>
                <w:sz w:val="20"/>
                <w:szCs w:val="20"/>
              </w:rPr>
              <w:t xml:space="preserve"> to</w:t>
            </w:r>
            <w:r>
              <w:rPr>
                <w:rFonts w:asciiTheme="majorHAnsi" w:hAnsiTheme="majorHAnsi"/>
                <w:bCs/>
                <w:sz w:val="20"/>
                <w:szCs w:val="20"/>
              </w:rPr>
              <w:t xml:space="preserve"> a fair trial), and 25 (</w:t>
            </w:r>
            <w:r w:rsidR="00E11A0C">
              <w:rPr>
                <w:rFonts w:asciiTheme="majorHAnsi" w:hAnsiTheme="majorHAnsi"/>
                <w:bCs/>
                <w:sz w:val="20"/>
                <w:szCs w:val="20"/>
              </w:rPr>
              <w:t>R</w:t>
            </w:r>
            <w:r>
              <w:rPr>
                <w:rFonts w:asciiTheme="majorHAnsi" w:hAnsiTheme="majorHAnsi"/>
                <w:bCs/>
                <w:sz w:val="20"/>
                <w:szCs w:val="20"/>
              </w:rPr>
              <w:t>ight to judicial protection) of the American Convention on Human Rights</w:t>
            </w:r>
            <w:r>
              <w:rPr>
                <w:rStyle w:val="FootnoteReference"/>
                <w:rFonts w:asciiTheme="majorHAnsi" w:hAnsiTheme="majorHAnsi"/>
                <w:bCs/>
                <w:sz w:val="20"/>
                <w:szCs w:val="20"/>
              </w:rPr>
              <w:footnoteReference w:id="2"/>
            </w:r>
          </w:p>
        </w:tc>
      </w:tr>
    </w:tbl>
    <w:p w14:paraId="08C39C2C" w14:textId="77777777" w:rsidR="00F621C3" w:rsidRPr="00815F2E" w:rsidRDefault="00F621C3" w:rsidP="00C355B4">
      <w:pPr>
        <w:spacing w:before="120" w:after="120"/>
        <w:ind w:firstLine="720"/>
        <w:jc w:val="both"/>
        <w:rPr>
          <w:rFonts w:asciiTheme="majorHAnsi" w:hAnsiTheme="majorHAnsi"/>
          <w:b/>
          <w:bCs/>
          <w:sz w:val="20"/>
          <w:szCs w:val="20"/>
        </w:rPr>
      </w:pPr>
      <w:r w:rsidRPr="00815F2E">
        <w:rPr>
          <w:rFonts w:asciiTheme="majorHAnsi" w:hAnsiTheme="majorHAnsi"/>
          <w:b/>
          <w:bCs/>
          <w:sz w:val="20"/>
          <w:szCs w:val="20"/>
        </w:rPr>
        <w:t>II.</w:t>
      </w:r>
      <w:r w:rsidRPr="00815F2E">
        <w:rPr>
          <w:rFonts w:asciiTheme="majorHAnsi" w:hAnsiTheme="majorHAnsi"/>
          <w:b/>
          <w:bCs/>
          <w:sz w:val="20"/>
          <w:szCs w:val="20"/>
        </w:rPr>
        <w:tab/>
      </w:r>
      <w:r w:rsidRPr="00815F2E">
        <w:rPr>
          <w:rFonts w:asciiTheme="majorHAnsi" w:eastAsia="Times New Roman" w:hAnsiTheme="majorHAnsi"/>
          <w:b/>
          <w:bCs/>
          <w:sz w:val="20"/>
          <w:szCs w:val="20"/>
          <w:bdr w:val="none" w:sz="0" w:space="0" w:color="auto"/>
          <w:lang w:val="en-GB"/>
        </w:rPr>
        <w:t>PROCE</w:t>
      </w:r>
      <w:r w:rsidR="00321AFD" w:rsidRPr="00815F2E">
        <w:rPr>
          <w:rFonts w:asciiTheme="majorHAnsi" w:eastAsia="Times New Roman" w:hAnsiTheme="majorHAnsi"/>
          <w:b/>
          <w:bCs/>
          <w:sz w:val="20"/>
          <w:szCs w:val="20"/>
          <w:bdr w:val="none" w:sz="0" w:space="0" w:color="auto"/>
          <w:lang w:val="en-GB"/>
        </w:rPr>
        <w:t>EDINGS</w:t>
      </w:r>
      <w:r w:rsidRPr="00815F2E">
        <w:rPr>
          <w:rFonts w:asciiTheme="majorHAnsi" w:hAnsiTheme="majorHAnsi"/>
          <w:b/>
          <w:bCs/>
          <w:sz w:val="20"/>
          <w:szCs w:val="20"/>
        </w:rPr>
        <w:t xml:space="preserve"> BEFORE THE IACHR</w:t>
      </w:r>
      <w:r w:rsidR="00653EA6" w:rsidRPr="00815F2E">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3A5566" w14:paraId="6DA75E12" w14:textId="77777777" w:rsidTr="000F326B">
        <w:tc>
          <w:tcPr>
            <w:tcW w:w="3573" w:type="dxa"/>
            <w:tcBorders>
              <w:top w:val="single" w:sz="6" w:space="0" w:color="auto"/>
              <w:bottom w:val="single" w:sz="6" w:space="0" w:color="auto"/>
            </w:tcBorders>
            <w:shd w:val="clear" w:color="auto" w:fill="67AE3C"/>
            <w:vAlign w:val="center"/>
          </w:tcPr>
          <w:p w14:paraId="534AFBE1" w14:textId="5987CD57" w:rsidR="00261E08" w:rsidRPr="00AB2A8D" w:rsidRDefault="00B77DBF" w:rsidP="00B06BB7">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F</w:t>
            </w:r>
            <w:r w:rsidR="006E270D" w:rsidRPr="00AB2A8D">
              <w:rPr>
                <w:rFonts w:asciiTheme="majorHAnsi" w:hAnsiTheme="majorHAnsi"/>
                <w:b/>
                <w:color w:val="FFFFFF" w:themeColor="background1"/>
                <w:sz w:val="20"/>
                <w:szCs w:val="20"/>
              </w:rPr>
              <w:t>iling</w:t>
            </w:r>
            <w:r>
              <w:rPr>
                <w:rFonts w:asciiTheme="majorHAnsi" w:hAnsiTheme="majorHAnsi"/>
                <w:b/>
                <w:color w:val="FFFFFF" w:themeColor="background1"/>
                <w:sz w:val="20"/>
                <w:szCs w:val="20"/>
              </w:rPr>
              <w:t xml:space="preserve"> of the petition:</w:t>
            </w:r>
          </w:p>
        </w:tc>
        <w:tc>
          <w:tcPr>
            <w:tcW w:w="5787" w:type="dxa"/>
            <w:vAlign w:val="center"/>
          </w:tcPr>
          <w:p w14:paraId="7EADD3E8" w14:textId="4DAF2EBA"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May 19, 2018</w:t>
            </w:r>
          </w:p>
        </w:tc>
      </w:tr>
      <w:tr w:rsidR="00261E08" w:rsidRPr="003A5566" w14:paraId="5F460099" w14:textId="77777777" w:rsidTr="000F326B">
        <w:tc>
          <w:tcPr>
            <w:tcW w:w="3573" w:type="dxa"/>
            <w:tcBorders>
              <w:top w:val="single" w:sz="6" w:space="0" w:color="auto"/>
              <w:bottom w:val="single" w:sz="6" w:space="0" w:color="auto"/>
            </w:tcBorders>
            <w:shd w:val="clear" w:color="auto" w:fill="67AE3C"/>
            <w:vAlign w:val="center"/>
          </w:tcPr>
          <w:p w14:paraId="48D0BCDE" w14:textId="57EDBFFD" w:rsidR="00261E08" w:rsidRPr="00AB2A8D" w:rsidRDefault="00261E08" w:rsidP="00C355B4">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Additional information received </w:t>
            </w:r>
            <w:r w:rsidR="00B77DBF">
              <w:rPr>
                <w:rFonts w:asciiTheme="majorHAnsi" w:hAnsiTheme="majorHAnsi"/>
                <w:b/>
                <w:color w:val="FFFFFF" w:themeColor="background1"/>
                <w:sz w:val="20"/>
                <w:szCs w:val="20"/>
              </w:rPr>
              <w:br/>
              <w:t>at the stage of</w:t>
            </w:r>
            <w:r w:rsidRPr="00AB2A8D">
              <w:rPr>
                <w:rFonts w:asciiTheme="majorHAnsi" w:hAnsiTheme="majorHAnsi"/>
                <w:b/>
                <w:color w:val="FFFFFF" w:themeColor="background1"/>
                <w:sz w:val="20"/>
                <w:szCs w:val="20"/>
              </w:rPr>
              <w:t xml:space="preserve"> initial review</w:t>
            </w:r>
            <w:r w:rsidR="00B77DBF">
              <w:rPr>
                <w:rFonts w:asciiTheme="majorHAnsi" w:hAnsiTheme="majorHAnsi"/>
                <w:b/>
                <w:color w:val="FFFFFF" w:themeColor="background1"/>
                <w:sz w:val="20"/>
                <w:szCs w:val="20"/>
              </w:rPr>
              <w:t>:</w:t>
            </w:r>
          </w:p>
        </w:tc>
        <w:tc>
          <w:tcPr>
            <w:tcW w:w="5787" w:type="dxa"/>
            <w:vAlign w:val="center"/>
          </w:tcPr>
          <w:p w14:paraId="0AEA72E2" w14:textId="5785263D"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August 26, 2020</w:t>
            </w:r>
          </w:p>
        </w:tc>
      </w:tr>
      <w:tr w:rsidR="00261E08" w:rsidRPr="003A5566" w14:paraId="070BC314" w14:textId="77777777" w:rsidTr="000F326B">
        <w:tc>
          <w:tcPr>
            <w:tcW w:w="3573" w:type="dxa"/>
            <w:tcBorders>
              <w:top w:val="single" w:sz="6" w:space="0" w:color="auto"/>
              <w:bottom w:val="single" w:sz="6" w:space="0" w:color="auto"/>
            </w:tcBorders>
            <w:shd w:val="clear" w:color="auto" w:fill="67AE3C"/>
            <w:vAlign w:val="center"/>
          </w:tcPr>
          <w:p w14:paraId="1B91C5C6" w14:textId="6DB51B85" w:rsidR="00261E08" w:rsidRPr="00AB2A8D" w:rsidRDefault="00261E08" w:rsidP="00C355B4">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Notification of the petition</w:t>
            </w:r>
            <w:r w:rsidR="00B77DBF">
              <w:rPr>
                <w:rFonts w:asciiTheme="majorHAnsi" w:hAnsiTheme="majorHAnsi"/>
                <w:b/>
                <w:color w:val="FFFFFF" w:themeColor="background1"/>
                <w:sz w:val="20"/>
                <w:szCs w:val="20"/>
              </w:rPr>
              <w:t xml:space="preserve"> </w:t>
            </w:r>
            <w:r w:rsidR="00B77DBF">
              <w:rPr>
                <w:rFonts w:asciiTheme="majorHAnsi" w:hAnsiTheme="majorHAnsi"/>
                <w:b/>
                <w:color w:val="FFFFFF" w:themeColor="background1"/>
                <w:sz w:val="20"/>
                <w:szCs w:val="20"/>
              </w:rPr>
              <w:br/>
              <w:t>to the State:</w:t>
            </w:r>
          </w:p>
        </w:tc>
        <w:tc>
          <w:tcPr>
            <w:tcW w:w="5787" w:type="dxa"/>
            <w:vAlign w:val="center"/>
          </w:tcPr>
          <w:p w14:paraId="425D0EC0" w14:textId="2F094F2E"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October 22, 2020</w:t>
            </w:r>
          </w:p>
        </w:tc>
      </w:tr>
      <w:tr w:rsidR="00261E08" w:rsidRPr="003A5566" w14:paraId="3063240C" w14:textId="77777777" w:rsidTr="000F326B">
        <w:trPr>
          <w:trHeight w:val="264"/>
        </w:trPr>
        <w:tc>
          <w:tcPr>
            <w:tcW w:w="3573" w:type="dxa"/>
            <w:tcBorders>
              <w:top w:val="single" w:sz="6" w:space="0" w:color="auto"/>
              <w:bottom w:val="single" w:sz="6" w:space="0" w:color="auto"/>
            </w:tcBorders>
            <w:shd w:val="clear" w:color="auto" w:fill="67AE3C"/>
            <w:vAlign w:val="center"/>
          </w:tcPr>
          <w:p w14:paraId="69479C3F" w14:textId="3F813C2C"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State’s first response</w:t>
            </w:r>
            <w:r w:rsidR="00B77DBF">
              <w:rPr>
                <w:rFonts w:asciiTheme="majorHAnsi" w:hAnsiTheme="majorHAnsi"/>
                <w:b/>
                <w:color w:val="FFFFFF" w:themeColor="background1"/>
                <w:sz w:val="20"/>
                <w:szCs w:val="20"/>
              </w:rPr>
              <w:t>:</w:t>
            </w:r>
          </w:p>
        </w:tc>
        <w:tc>
          <w:tcPr>
            <w:tcW w:w="5787" w:type="dxa"/>
            <w:vAlign w:val="center"/>
          </w:tcPr>
          <w:p w14:paraId="7B420FC0" w14:textId="4EBE3122"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January 19, 2021</w:t>
            </w:r>
          </w:p>
        </w:tc>
      </w:tr>
      <w:tr w:rsidR="00261E08" w:rsidRPr="003A5566" w14:paraId="66F06CFA" w14:textId="77777777" w:rsidTr="000F326B">
        <w:tc>
          <w:tcPr>
            <w:tcW w:w="3573" w:type="dxa"/>
            <w:tcBorders>
              <w:top w:val="single" w:sz="6" w:space="0" w:color="auto"/>
              <w:bottom w:val="single" w:sz="6" w:space="0" w:color="auto"/>
            </w:tcBorders>
            <w:shd w:val="clear" w:color="auto" w:fill="67AE3C"/>
            <w:vAlign w:val="center"/>
          </w:tcPr>
          <w:p w14:paraId="4C7541F3" w14:textId="6C137005" w:rsidR="00261E08" w:rsidRPr="00AB2A8D" w:rsidRDefault="00261E08" w:rsidP="00653EA6">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Additional observations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from the State</w:t>
            </w:r>
            <w:r w:rsidR="00B77DBF">
              <w:rPr>
                <w:rFonts w:asciiTheme="majorHAnsi" w:hAnsiTheme="majorHAnsi"/>
                <w:b/>
                <w:color w:val="FFFFFF" w:themeColor="background1"/>
                <w:sz w:val="20"/>
                <w:szCs w:val="20"/>
              </w:rPr>
              <w:t>:</w:t>
            </w:r>
          </w:p>
        </w:tc>
        <w:tc>
          <w:tcPr>
            <w:tcW w:w="5787" w:type="dxa"/>
            <w:vAlign w:val="center"/>
          </w:tcPr>
          <w:p w14:paraId="496FF3FF" w14:textId="1BBE854D"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March 9, 2021</w:t>
            </w:r>
          </w:p>
        </w:tc>
      </w:tr>
      <w:tr w:rsidR="00752D34" w:rsidRPr="003A5566" w14:paraId="061438F4" w14:textId="77777777" w:rsidTr="000F326B">
        <w:tc>
          <w:tcPr>
            <w:tcW w:w="3573" w:type="dxa"/>
            <w:tcBorders>
              <w:top w:val="single" w:sz="6" w:space="0" w:color="auto"/>
              <w:bottom w:val="single" w:sz="6" w:space="0" w:color="auto"/>
            </w:tcBorders>
            <w:shd w:val="clear" w:color="auto" w:fill="67AE3C"/>
            <w:vAlign w:val="center"/>
          </w:tcPr>
          <w:p w14:paraId="5760FBA5" w14:textId="56EB44B8" w:rsidR="00752D34" w:rsidRPr="00AB2A8D" w:rsidRDefault="00113A4F" w:rsidP="00653EA6">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Notification of the possible archiving of the petition</w:t>
            </w:r>
            <w:r w:rsidR="00B77DBF">
              <w:rPr>
                <w:rFonts w:asciiTheme="majorHAnsi" w:hAnsiTheme="majorHAnsi"/>
                <w:b/>
                <w:color w:val="FFFFFF" w:themeColor="background1"/>
                <w:sz w:val="20"/>
                <w:szCs w:val="20"/>
              </w:rPr>
              <w:t>:</w:t>
            </w:r>
          </w:p>
        </w:tc>
        <w:tc>
          <w:tcPr>
            <w:tcW w:w="5787" w:type="dxa"/>
            <w:vAlign w:val="center"/>
          </w:tcPr>
          <w:p w14:paraId="3EA2C960" w14:textId="410142A5" w:rsidR="00752D34" w:rsidRPr="00964B3C" w:rsidRDefault="00AA792F" w:rsidP="009163FC">
            <w:pPr>
              <w:jc w:val="both"/>
              <w:rPr>
                <w:rFonts w:asciiTheme="majorHAnsi" w:hAnsiTheme="majorHAnsi"/>
                <w:bCs/>
                <w:sz w:val="20"/>
                <w:szCs w:val="20"/>
              </w:rPr>
            </w:pPr>
            <w:r>
              <w:rPr>
                <w:rFonts w:asciiTheme="majorHAnsi" w:hAnsiTheme="majorHAnsi"/>
                <w:bCs/>
                <w:sz w:val="20"/>
                <w:szCs w:val="20"/>
              </w:rPr>
              <w:t>July 22, 2020</w:t>
            </w:r>
          </w:p>
        </w:tc>
      </w:tr>
      <w:tr w:rsidR="00113A4F" w:rsidRPr="003A5566" w14:paraId="663B0D20" w14:textId="77777777" w:rsidTr="000F326B">
        <w:tc>
          <w:tcPr>
            <w:tcW w:w="3573" w:type="dxa"/>
            <w:tcBorders>
              <w:top w:val="single" w:sz="6" w:space="0" w:color="auto"/>
              <w:bottom w:val="single" w:sz="6" w:space="0" w:color="auto"/>
            </w:tcBorders>
            <w:shd w:val="clear" w:color="auto" w:fill="67AE3C"/>
            <w:vAlign w:val="center"/>
          </w:tcPr>
          <w:p w14:paraId="59B9D9B2" w14:textId="3A70B066" w:rsidR="00113A4F" w:rsidRPr="00AB2A8D" w:rsidRDefault="00113A4F" w:rsidP="00653EA6">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Petitioner’s response to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the notification on the possible archiving of the petition</w:t>
            </w:r>
            <w:r w:rsidR="00B77DBF">
              <w:rPr>
                <w:rFonts w:asciiTheme="majorHAnsi" w:hAnsiTheme="majorHAnsi"/>
                <w:b/>
                <w:color w:val="FFFFFF" w:themeColor="background1"/>
                <w:sz w:val="20"/>
                <w:szCs w:val="20"/>
              </w:rPr>
              <w:t>:</w:t>
            </w:r>
          </w:p>
        </w:tc>
        <w:tc>
          <w:tcPr>
            <w:tcW w:w="5787" w:type="dxa"/>
            <w:vAlign w:val="center"/>
          </w:tcPr>
          <w:p w14:paraId="49E16060" w14:textId="040DD3A3" w:rsidR="00113A4F" w:rsidRPr="00964B3C" w:rsidRDefault="00AA792F" w:rsidP="009163FC">
            <w:pPr>
              <w:jc w:val="both"/>
              <w:rPr>
                <w:rFonts w:asciiTheme="majorHAnsi" w:hAnsiTheme="majorHAnsi"/>
                <w:bCs/>
                <w:sz w:val="20"/>
                <w:szCs w:val="20"/>
              </w:rPr>
            </w:pPr>
            <w:r>
              <w:rPr>
                <w:rFonts w:asciiTheme="majorHAnsi" w:hAnsiTheme="majorHAnsi"/>
                <w:bCs/>
                <w:sz w:val="20"/>
                <w:szCs w:val="20"/>
              </w:rPr>
              <w:t>August 17, 2020</w:t>
            </w:r>
          </w:p>
        </w:tc>
      </w:tr>
    </w:tbl>
    <w:p w14:paraId="3091AFE0" w14:textId="77777777" w:rsidR="00F621C3" w:rsidRPr="00815F2E" w:rsidRDefault="00F621C3" w:rsidP="00C355B4">
      <w:pPr>
        <w:spacing w:before="120" w:after="120"/>
        <w:ind w:firstLine="720"/>
        <w:jc w:val="both"/>
        <w:rPr>
          <w:rFonts w:asciiTheme="majorHAnsi" w:hAnsiTheme="majorHAnsi"/>
          <w:b/>
          <w:bCs/>
          <w:sz w:val="20"/>
          <w:szCs w:val="20"/>
        </w:rPr>
      </w:pPr>
      <w:r w:rsidRPr="00815F2E">
        <w:rPr>
          <w:rFonts w:asciiTheme="majorHAnsi" w:hAnsiTheme="majorHAnsi"/>
          <w:b/>
          <w:bCs/>
          <w:sz w:val="20"/>
          <w:szCs w:val="20"/>
        </w:rPr>
        <w:t xml:space="preserve">III. </w:t>
      </w:r>
      <w:r w:rsidRPr="00815F2E">
        <w:rPr>
          <w:rFonts w:asciiTheme="majorHAnsi" w:hAnsiTheme="majorHAnsi"/>
          <w:b/>
          <w:bCs/>
          <w:sz w:val="20"/>
          <w:szCs w:val="20"/>
        </w:rPr>
        <w:tab/>
      </w:r>
      <w:r w:rsidRPr="00815F2E">
        <w:rPr>
          <w:rFonts w:asciiTheme="majorHAnsi" w:eastAsia="Times New Roman" w:hAnsiTheme="majorHAnsi"/>
          <w:b/>
          <w:bCs/>
          <w:sz w:val="22"/>
          <w:szCs w:val="22"/>
          <w:bdr w:val="none" w:sz="0" w:space="0" w:color="auto"/>
          <w:lang w:val="es-ES"/>
        </w:rPr>
        <w:t>COMPETENCE</w:t>
      </w:r>
      <w:r w:rsidRPr="00815F2E">
        <w:rPr>
          <w:rFonts w:asciiTheme="majorHAnsi" w:hAnsiTheme="majorHAnsi"/>
          <w:b/>
          <w:bCs/>
          <w:sz w:val="20"/>
          <w:szCs w:val="20"/>
        </w:rPr>
        <w:t xml:space="preserv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684F4233" w14:textId="77777777" w:rsidTr="000F326B">
        <w:trPr>
          <w:cantSplit/>
        </w:trPr>
        <w:tc>
          <w:tcPr>
            <w:tcW w:w="3573" w:type="dxa"/>
            <w:tcBorders>
              <w:top w:val="single" w:sz="4" w:space="0" w:color="auto"/>
              <w:bottom w:val="single" w:sz="6" w:space="0" w:color="auto"/>
            </w:tcBorders>
            <w:shd w:val="clear" w:color="auto" w:fill="67AE3C"/>
            <w:vAlign w:val="center"/>
          </w:tcPr>
          <w:p w14:paraId="60150448" w14:textId="24C7BB88" w:rsidR="00261E08" w:rsidRPr="00AB2A8D" w:rsidRDefault="00B77DBF" w:rsidP="009163FC">
            <w:pPr>
              <w:jc w:val="center"/>
              <w:rPr>
                <w:rFonts w:asciiTheme="majorHAnsi" w:hAnsiTheme="majorHAnsi"/>
                <w:b/>
                <w:i/>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personae</w:t>
            </w:r>
            <w:r w:rsidRPr="00B77DBF">
              <w:rPr>
                <w:rFonts w:asciiTheme="majorHAnsi" w:hAnsiTheme="majorHAnsi"/>
                <w:b/>
                <w:iCs/>
                <w:color w:val="FFFFFF" w:themeColor="background1"/>
                <w:sz w:val="20"/>
                <w:szCs w:val="20"/>
              </w:rPr>
              <w:t>:</w:t>
            </w:r>
          </w:p>
        </w:tc>
        <w:tc>
          <w:tcPr>
            <w:tcW w:w="5812" w:type="dxa"/>
            <w:vAlign w:val="center"/>
          </w:tcPr>
          <w:p w14:paraId="21522B2E" w14:textId="46ED1E96" w:rsidR="00261E08" w:rsidRPr="00964B3C" w:rsidRDefault="00AA792F" w:rsidP="009163FC">
            <w:pPr>
              <w:rPr>
                <w:rFonts w:asciiTheme="majorHAnsi" w:hAnsiTheme="majorHAnsi"/>
                <w:bCs/>
                <w:sz w:val="20"/>
                <w:szCs w:val="20"/>
              </w:rPr>
            </w:pPr>
            <w:r>
              <w:rPr>
                <w:rFonts w:asciiTheme="majorHAnsi" w:hAnsiTheme="majorHAnsi"/>
                <w:bCs/>
                <w:sz w:val="20"/>
                <w:szCs w:val="20"/>
              </w:rPr>
              <w:t>Yes</w:t>
            </w:r>
          </w:p>
        </w:tc>
      </w:tr>
      <w:tr w:rsidR="00261E08" w:rsidRPr="003A5566" w14:paraId="6438DD58" w14:textId="77777777" w:rsidTr="000F326B">
        <w:trPr>
          <w:cantSplit/>
        </w:trPr>
        <w:tc>
          <w:tcPr>
            <w:tcW w:w="3573" w:type="dxa"/>
            <w:tcBorders>
              <w:top w:val="single" w:sz="6" w:space="0" w:color="auto"/>
              <w:bottom w:val="single" w:sz="6" w:space="0" w:color="auto"/>
            </w:tcBorders>
            <w:shd w:val="clear" w:color="auto" w:fill="67AE3C"/>
            <w:vAlign w:val="center"/>
          </w:tcPr>
          <w:p w14:paraId="43AB8B19" w14:textId="1D72144B" w:rsidR="00261E08" w:rsidRPr="00AB2A8D" w:rsidRDefault="00B77DBF" w:rsidP="00C355B4">
            <w:pPr>
              <w:jc w:val="cente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loci</w:t>
            </w:r>
            <w:r w:rsidRPr="00B77DBF">
              <w:rPr>
                <w:rFonts w:asciiTheme="majorHAnsi" w:hAnsiTheme="majorHAnsi"/>
                <w:b/>
                <w:iCs/>
                <w:color w:val="FFFFFF" w:themeColor="background1"/>
                <w:sz w:val="20"/>
                <w:szCs w:val="20"/>
              </w:rPr>
              <w:t>:</w:t>
            </w:r>
          </w:p>
        </w:tc>
        <w:tc>
          <w:tcPr>
            <w:tcW w:w="5812" w:type="dxa"/>
            <w:vAlign w:val="center"/>
          </w:tcPr>
          <w:p w14:paraId="27041F7E" w14:textId="5909C5E9" w:rsidR="00261E08" w:rsidRPr="00964B3C" w:rsidRDefault="00AA792F" w:rsidP="009163FC">
            <w:pPr>
              <w:rPr>
                <w:rFonts w:asciiTheme="majorHAnsi" w:hAnsiTheme="majorHAnsi"/>
                <w:bCs/>
                <w:sz w:val="20"/>
                <w:szCs w:val="20"/>
              </w:rPr>
            </w:pPr>
            <w:r>
              <w:rPr>
                <w:rFonts w:asciiTheme="majorHAnsi" w:hAnsiTheme="majorHAnsi"/>
                <w:bCs/>
                <w:sz w:val="20"/>
                <w:szCs w:val="20"/>
              </w:rPr>
              <w:t>Yes</w:t>
            </w:r>
          </w:p>
        </w:tc>
      </w:tr>
      <w:tr w:rsidR="00261E08" w:rsidRPr="003A5566" w14:paraId="5140C2B6" w14:textId="77777777" w:rsidTr="000F326B">
        <w:trPr>
          <w:cantSplit/>
        </w:trPr>
        <w:tc>
          <w:tcPr>
            <w:tcW w:w="3573" w:type="dxa"/>
            <w:tcBorders>
              <w:top w:val="single" w:sz="6" w:space="0" w:color="auto"/>
              <w:bottom w:val="single" w:sz="6" w:space="0" w:color="auto"/>
            </w:tcBorders>
            <w:shd w:val="clear" w:color="auto" w:fill="67AE3C"/>
            <w:vAlign w:val="center"/>
          </w:tcPr>
          <w:p w14:paraId="74905820" w14:textId="3C814A74" w:rsidR="00261E08" w:rsidRPr="00AB2A8D" w:rsidRDefault="00B77DBF" w:rsidP="009163FC">
            <w:pPr>
              <w:jc w:val="cente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temporis</w:t>
            </w:r>
            <w:r w:rsidRPr="00B77DBF">
              <w:rPr>
                <w:rFonts w:asciiTheme="majorHAnsi" w:hAnsiTheme="majorHAnsi"/>
                <w:b/>
                <w:iCs/>
                <w:color w:val="FFFFFF" w:themeColor="background1"/>
                <w:sz w:val="20"/>
                <w:szCs w:val="20"/>
              </w:rPr>
              <w:t>:</w:t>
            </w:r>
          </w:p>
        </w:tc>
        <w:tc>
          <w:tcPr>
            <w:tcW w:w="5812" w:type="dxa"/>
            <w:vAlign w:val="center"/>
          </w:tcPr>
          <w:p w14:paraId="6091B7B0" w14:textId="66FA5016" w:rsidR="00261E08" w:rsidRPr="00964B3C" w:rsidRDefault="00AA792F" w:rsidP="009163FC">
            <w:pPr>
              <w:rPr>
                <w:rFonts w:asciiTheme="majorHAnsi" w:hAnsiTheme="majorHAnsi"/>
                <w:bCs/>
                <w:sz w:val="20"/>
                <w:szCs w:val="20"/>
              </w:rPr>
            </w:pPr>
            <w:r>
              <w:rPr>
                <w:rFonts w:asciiTheme="majorHAnsi" w:hAnsiTheme="majorHAnsi"/>
                <w:bCs/>
                <w:sz w:val="20"/>
                <w:szCs w:val="20"/>
              </w:rPr>
              <w:t>Yes</w:t>
            </w:r>
          </w:p>
        </w:tc>
      </w:tr>
      <w:tr w:rsidR="00261E08" w:rsidRPr="003A5566" w14:paraId="33238134" w14:textId="77777777" w:rsidTr="000F326B">
        <w:trPr>
          <w:cantSplit/>
        </w:trPr>
        <w:tc>
          <w:tcPr>
            <w:tcW w:w="3573" w:type="dxa"/>
            <w:tcBorders>
              <w:top w:val="single" w:sz="6" w:space="0" w:color="auto"/>
              <w:bottom w:val="single" w:sz="6" w:space="0" w:color="auto"/>
            </w:tcBorders>
            <w:shd w:val="clear" w:color="auto" w:fill="67AE3C"/>
            <w:vAlign w:val="center"/>
          </w:tcPr>
          <w:p w14:paraId="3C7AAFE9" w14:textId="47120960" w:rsidR="00261E08" w:rsidRPr="00AB2A8D" w:rsidRDefault="00B77DBF" w:rsidP="009163FC">
            <w:pPr>
              <w:jc w:val="cente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materiae</w:t>
            </w:r>
            <w:r w:rsidRPr="00B77DBF">
              <w:rPr>
                <w:rFonts w:asciiTheme="majorHAnsi" w:hAnsiTheme="majorHAnsi"/>
                <w:b/>
                <w:iCs/>
                <w:color w:val="FFFFFF" w:themeColor="background1"/>
                <w:sz w:val="20"/>
                <w:szCs w:val="20"/>
              </w:rPr>
              <w:t>:</w:t>
            </w:r>
          </w:p>
        </w:tc>
        <w:tc>
          <w:tcPr>
            <w:tcW w:w="5812" w:type="dxa"/>
            <w:vAlign w:val="center"/>
          </w:tcPr>
          <w:p w14:paraId="49BB57C8" w14:textId="403651E0" w:rsidR="00261E08" w:rsidRPr="00964B3C" w:rsidRDefault="00AA792F" w:rsidP="009163FC">
            <w:pPr>
              <w:jc w:val="both"/>
              <w:rPr>
                <w:rFonts w:asciiTheme="majorHAnsi" w:hAnsiTheme="majorHAnsi"/>
                <w:bCs/>
                <w:sz w:val="20"/>
                <w:szCs w:val="20"/>
              </w:rPr>
            </w:pPr>
            <w:r>
              <w:rPr>
                <w:rFonts w:asciiTheme="majorHAnsi" w:hAnsiTheme="majorHAnsi"/>
                <w:bCs/>
                <w:sz w:val="20"/>
                <w:szCs w:val="20"/>
              </w:rPr>
              <w:t>Yes</w:t>
            </w:r>
            <w:r w:rsidR="00E11A0C">
              <w:rPr>
                <w:rFonts w:asciiTheme="majorHAnsi" w:hAnsiTheme="majorHAnsi"/>
                <w:bCs/>
                <w:sz w:val="20"/>
                <w:szCs w:val="20"/>
              </w:rPr>
              <w:t>, American Convention (deposit of instrument of ratification done on September 25, 1979)</w:t>
            </w:r>
          </w:p>
        </w:tc>
      </w:tr>
    </w:tbl>
    <w:p w14:paraId="742070CB" w14:textId="1222C8A1" w:rsidR="00F621C3" w:rsidRPr="00815F2E" w:rsidRDefault="00F621C3" w:rsidP="00C355B4">
      <w:pPr>
        <w:spacing w:before="120" w:after="120"/>
        <w:ind w:firstLine="720"/>
        <w:jc w:val="both"/>
        <w:rPr>
          <w:rFonts w:asciiTheme="majorHAnsi" w:hAnsiTheme="majorHAnsi"/>
          <w:b/>
          <w:bCs/>
          <w:sz w:val="20"/>
          <w:szCs w:val="20"/>
        </w:rPr>
      </w:pPr>
      <w:r w:rsidRPr="00815F2E">
        <w:rPr>
          <w:rFonts w:asciiTheme="majorHAnsi" w:hAnsiTheme="majorHAnsi"/>
          <w:b/>
          <w:bCs/>
          <w:sz w:val="20"/>
          <w:szCs w:val="20"/>
        </w:rPr>
        <w:t xml:space="preserve">IV. </w:t>
      </w:r>
      <w:r w:rsidRPr="00815F2E">
        <w:rPr>
          <w:rFonts w:asciiTheme="majorHAnsi" w:hAnsiTheme="majorHAnsi"/>
          <w:b/>
          <w:bCs/>
          <w:sz w:val="20"/>
          <w:szCs w:val="20"/>
        </w:rPr>
        <w:tab/>
      </w:r>
      <w:r w:rsidRPr="00815F2E">
        <w:rPr>
          <w:rFonts w:asciiTheme="majorHAnsi" w:eastAsia="Times New Roman" w:hAnsiTheme="majorHAnsi"/>
          <w:b/>
          <w:bCs/>
          <w:sz w:val="20"/>
          <w:szCs w:val="20"/>
          <w:bdr w:val="none" w:sz="0" w:space="0" w:color="auto"/>
          <w:lang w:val="en-GB"/>
        </w:rPr>
        <w:t>DUPLICATION</w:t>
      </w:r>
      <w:r w:rsidRPr="00815F2E">
        <w:rPr>
          <w:rFonts w:asciiTheme="majorHAnsi" w:hAnsiTheme="majorHAnsi"/>
          <w:b/>
          <w:bCs/>
          <w:sz w:val="20"/>
          <w:szCs w:val="20"/>
        </w:rPr>
        <w:t xml:space="preserve"> OF PROCEDURES AND INTERNATIONAL </w:t>
      </w:r>
      <w:r w:rsidRPr="00815F2E">
        <w:rPr>
          <w:rFonts w:asciiTheme="majorHAnsi" w:hAnsiTheme="majorHAnsi"/>
          <w:b/>
          <w:bCs/>
          <w:i/>
          <w:sz w:val="20"/>
          <w:szCs w:val="20"/>
        </w:rPr>
        <w:t>RES JUDICATA</w:t>
      </w:r>
      <w:r w:rsidRPr="00815F2E">
        <w:rPr>
          <w:rFonts w:asciiTheme="majorHAnsi" w:hAnsiTheme="majorHAnsi"/>
          <w:b/>
          <w:bCs/>
          <w:sz w:val="20"/>
          <w:szCs w:val="20"/>
        </w:rPr>
        <w:t>, COLORABLE CLAIM, EXHAUSTION OF DOMESTIC REMEDIES</w:t>
      </w:r>
      <w:r w:rsidR="00C72E9E">
        <w:rPr>
          <w:rFonts w:asciiTheme="majorHAnsi" w:hAnsiTheme="majorHAnsi"/>
          <w:b/>
          <w:bCs/>
          <w:sz w:val="20"/>
          <w:szCs w:val="20"/>
        </w:rPr>
        <w:t>,</w:t>
      </w:r>
      <w:r w:rsidRPr="00815F2E">
        <w:rPr>
          <w:rFonts w:asciiTheme="majorHAnsi" w:hAnsiTheme="majorHAnsi"/>
          <w:b/>
          <w:bCs/>
          <w:sz w:val="20"/>
          <w:szCs w:val="20"/>
        </w:rPr>
        <w:t xml:space="preserve">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47EC0E6D" w14:textId="77777777" w:rsidTr="000F326B">
        <w:trPr>
          <w:cantSplit/>
        </w:trPr>
        <w:tc>
          <w:tcPr>
            <w:tcW w:w="3573" w:type="dxa"/>
            <w:tcBorders>
              <w:top w:val="single" w:sz="4" w:space="0" w:color="auto"/>
              <w:bottom w:val="single" w:sz="6" w:space="0" w:color="auto"/>
            </w:tcBorders>
            <w:shd w:val="clear" w:color="auto" w:fill="67AE3C"/>
            <w:vAlign w:val="center"/>
          </w:tcPr>
          <w:p w14:paraId="1B9411D6" w14:textId="52D1A604" w:rsidR="00261E08" w:rsidRPr="00AB2A8D" w:rsidRDefault="00261E08" w:rsidP="00854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Duplication of procedures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 xml:space="preserve">and international </w:t>
            </w:r>
            <w:r w:rsidRPr="00AB2A8D">
              <w:rPr>
                <w:rFonts w:asciiTheme="majorHAnsi" w:hAnsiTheme="majorHAnsi"/>
                <w:b/>
                <w:i/>
                <w:color w:val="FFFFFF" w:themeColor="background1"/>
                <w:sz w:val="20"/>
                <w:szCs w:val="20"/>
              </w:rPr>
              <w:t>res judicata</w:t>
            </w:r>
            <w:r w:rsidR="00B77DBF" w:rsidRPr="00B77DBF">
              <w:rPr>
                <w:rFonts w:asciiTheme="majorHAnsi" w:hAnsiTheme="majorHAnsi"/>
                <w:b/>
                <w:iCs/>
                <w:color w:val="FFFFFF" w:themeColor="background1"/>
                <w:sz w:val="20"/>
                <w:szCs w:val="20"/>
              </w:rPr>
              <w:t>:</w:t>
            </w:r>
          </w:p>
        </w:tc>
        <w:tc>
          <w:tcPr>
            <w:tcW w:w="5812" w:type="dxa"/>
            <w:vAlign w:val="center"/>
          </w:tcPr>
          <w:p w14:paraId="1A7CFC69" w14:textId="539C9843" w:rsidR="00261E08" w:rsidRPr="00964B3C" w:rsidRDefault="00E11A0C" w:rsidP="009163FC">
            <w:pPr>
              <w:jc w:val="both"/>
              <w:rPr>
                <w:rFonts w:asciiTheme="majorHAnsi" w:hAnsiTheme="majorHAnsi"/>
                <w:bCs/>
                <w:sz w:val="20"/>
                <w:szCs w:val="20"/>
              </w:rPr>
            </w:pPr>
            <w:r>
              <w:rPr>
                <w:rFonts w:asciiTheme="majorHAnsi" w:hAnsiTheme="majorHAnsi"/>
                <w:bCs/>
                <w:sz w:val="20"/>
                <w:szCs w:val="20"/>
              </w:rPr>
              <w:t>No</w:t>
            </w:r>
          </w:p>
        </w:tc>
      </w:tr>
      <w:tr w:rsidR="00261E08" w:rsidRPr="003A5566" w14:paraId="2E3D009A" w14:textId="77777777" w:rsidTr="000F326B">
        <w:trPr>
          <w:cantSplit/>
        </w:trPr>
        <w:tc>
          <w:tcPr>
            <w:tcW w:w="3573" w:type="dxa"/>
            <w:tcBorders>
              <w:top w:val="single" w:sz="6" w:space="0" w:color="auto"/>
              <w:bottom w:val="single" w:sz="6" w:space="0" w:color="auto"/>
            </w:tcBorders>
            <w:shd w:val="clear" w:color="auto" w:fill="67AE3C"/>
            <w:vAlign w:val="center"/>
          </w:tcPr>
          <w:p w14:paraId="45F253F9" w14:textId="77777777" w:rsidR="00261E08" w:rsidRPr="00AB2A8D" w:rsidRDefault="00261E08" w:rsidP="009163FC">
            <w:pPr>
              <w:jc w:val="center"/>
              <w:rPr>
                <w:rFonts w:asciiTheme="majorHAnsi" w:hAnsiTheme="majorHAnsi"/>
                <w:b/>
                <w:i/>
                <w:color w:val="FFFFFF" w:themeColor="background1"/>
                <w:sz w:val="20"/>
                <w:szCs w:val="20"/>
              </w:rPr>
            </w:pPr>
            <w:r w:rsidRPr="00AB2A8D">
              <w:rPr>
                <w:rFonts w:asciiTheme="majorHAnsi" w:hAnsiTheme="majorHAnsi"/>
                <w:b/>
                <w:color w:val="FFFFFF" w:themeColor="background1"/>
                <w:sz w:val="20"/>
                <w:szCs w:val="20"/>
              </w:rPr>
              <w:t>Rights declared admissible</w:t>
            </w:r>
          </w:p>
        </w:tc>
        <w:tc>
          <w:tcPr>
            <w:tcW w:w="5812" w:type="dxa"/>
            <w:vAlign w:val="center"/>
          </w:tcPr>
          <w:p w14:paraId="7C8C5244" w14:textId="5B77784B" w:rsidR="00261E08" w:rsidRPr="00964B3C" w:rsidRDefault="00E11A0C" w:rsidP="009163FC">
            <w:pPr>
              <w:jc w:val="both"/>
              <w:rPr>
                <w:rFonts w:asciiTheme="majorHAnsi" w:hAnsiTheme="majorHAnsi"/>
                <w:bCs/>
                <w:sz w:val="20"/>
                <w:szCs w:val="20"/>
              </w:rPr>
            </w:pPr>
            <w:r>
              <w:rPr>
                <w:rFonts w:asciiTheme="majorHAnsi" w:hAnsiTheme="majorHAnsi"/>
                <w:bCs/>
                <w:sz w:val="20"/>
                <w:szCs w:val="20"/>
              </w:rPr>
              <w:t>Articles 4 (Right to life), 5 (Right to humane treatment), 8 (Right to a fair trial), 13 (Freedom of thought and expression)</w:t>
            </w:r>
            <w:r w:rsidR="00C72E9E">
              <w:rPr>
                <w:rFonts w:asciiTheme="majorHAnsi" w:hAnsiTheme="majorHAnsi"/>
                <w:bCs/>
                <w:sz w:val="20"/>
                <w:szCs w:val="20"/>
              </w:rPr>
              <w:t>,</w:t>
            </w:r>
            <w:r>
              <w:rPr>
                <w:rFonts w:asciiTheme="majorHAnsi" w:hAnsiTheme="majorHAnsi"/>
                <w:bCs/>
                <w:sz w:val="20"/>
                <w:szCs w:val="20"/>
              </w:rPr>
              <w:t xml:space="preserve"> and 25 (Right to judicial protection) of the American Convention</w:t>
            </w:r>
          </w:p>
        </w:tc>
      </w:tr>
      <w:tr w:rsidR="00261E08" w:rsidRPr="003A5566" w14:paraId="77899B94" w14:textId="77777777" w:rsidTr="000F326B">
        <w:trPr>
          <w:cantSplit/>
        </w:trPr>
        <w:tc>
          <w:tcPr>
            <w:tcW w:w="3573" w:type="dxa"/>
            <w:tcBorders>
              <w:top w:val="single" w:sz="6" w:space="0" w:color="auto"/>
              <w:bottom w:val="single" w:sz="6" w:space="0" w:color="auto"/>
            </w:tcBorders>
            <w:shd w:val="clear" w:color="auto" w:fill="67AE3C"/>
            <w:vAlign w:val="center"/>
          </w:tcPr>
          <w:p w14:paraId="754CDE32" w14:textId="16476B25" w:rsidR="00261E08" w:rsidRPr="00AB2A8D" w:rsidRDefault="00261E08" w:rsidP="00854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Exhaustion or exception</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 xml:space="preserve"> to the exhaustion of remedies</w:t>
            </w:r>
            <w:r w:rsidR="00B77DBF">
              <w:rPr>
                <w:rFonts w:asciiTheme="majorHAnsi" w:hAnsiTheme="majorHAnsi"/>
                <w:b/>
                <w:color w:val="FFFFFF" w:themeColor="background1"/>
                <w:sz w:val="20"/>
                <w:szCs w:val="20"/>
              </w:rPr>
              <w:t>:</w:t>
            </w:r>
            <w:r w:rsidRPr="00AB2A8D">
              <w:rPr>
                <w:rFonts w:asciiTheme="majorHAnsi" w:hAnsiTheme="majorHAnsi"/>
                <w:b/>
                <w:color w:val="FFFFFF" w:themeColor="background1"/>
                <w:sz w:val="20"/>
                <w:szCs w:val="20"/>
              </w:rPr>
              <w:t xml:space="preserve"> </w:t>
            </w:r>
          </w:p>
        </w:tc>
        <w:tc>
          <w:tcPr>
            <w:tcW w:w="5812" w:type="dxa"/>
            <w:vAlign w:val="center"/>
          </w:tcPr>
          <w:p w14:paraId="20F52498" w14:textId="1D629356" w:rsidR="00261E08" w:rsidRPr="00964B3C" w:rsidRDefault="000E7641" w:rsidP="009163FC">
            <w:pPr>
              <w:rPr>
                <w:rFonts w:asciiTheme="majorHAnsi" w:hAnsiTheme="majorHAnsi"/>
                <w:bCs/>
                <w:sz w:val="20"/>
                <w:szCs w:val="20"/>
              </w:rPr>
            </w:pPr>
            <w:r>
              <w:rPr>
                <w:rFonts w:asciiTheme="majorHAnsi" w:hAnsiTheme="majorHAnsi"/>
                <w:bCs/>
                <w:sz w:val="20"/>
                <w:szCs w:val="20"/>
              </w:rPr>
              <w:t>Yes, the exception in Article 46.2.c of the American Convention is applicable</w:t>
            </w:r>
          </w:p>
        </w:tc>
      </w:tr>
      <w:tr w:rsidR="00261E08" w:rsidRPr="003A5566" w14:paraId="4F59B7C5" w14:textId="77777777" w:rsidTr="000F326B">
        <w:trPr>
          <w:cantSplit/>
        </w:trPr>
        <w:tc>
          <w:tcPr>
            <w:tcW w:w="3573" w:type="dxa"/>
            <w:tcBorders>
              <w:top w:val="single" w:sz="6" w:space="0" w:color="auto"/>
              <w:bottom w:val="single" w:sz="6" w:space="0" w:color="auto"/>
            </w:tcBorders>
            <w:shd w:val="clear" w:color="auto" w:fill="67AE3C"/>
            <w:vAlign w:val="center"/>
          </w:tcPr>
          <w:p w14:paraId="75227E17" w14:textId="4CE62B1B"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Timeliness of the petition</w:t>
            </w:r>
            <w:r w:rsidR="00B77DBF">
              <w:rPr>
                <w:rFonts w:asciiTheme="majorHAnsi" w:hAnsiTheme="majorHAnsi"/>
                <w:b/>
                <w:color w:val="FFFFFF" w:themeColor="background1"/>
                <w:sz w:val="20"/>
                <w:szCs w:val="20"/>
              </w:rPr>
              <w:t>:</w:t>
            </w:r>
          </w:p>
        </w:tc>
        <w:tc>
          <w:tcPr>
            <w:tcW w:w="5812" w:type="dxa"/>
            <w:vAlign w:val="center"/>
          </w:tcPr>
          <w:p w14:paraId="474C25FA" w14:textId="1087E23A" w:rsidR="00261E08" w:rsidRPr="00964B3C" w:rsidRDefault="000E7641" w:rsidP="009163FC">
            <w:pPr>
              <w:rPr>
                <w:rFonts w:asciiTheme="majorHAnsi" w:hAnsiTheme="majorHAnsi"/>
                <w:bCs/>
                <w:sz w:val="20"/>
                <w:szCs w:val="20"/>
              </w:rPr>
            </w:pPr>
            <w:r>
              <w:rPr>
                <w:rFonts w:asciiTheme="majorHAnsi" w:hAnsiTheme="majorHAnsi"/>
                <w:bCs/>
                <w:sz w:val="20"/>
                <w:szCs w:val="20"/>
              </w:rPr>
              <w:t>Yes, under the terms of section VI</w:t>
            </w:r>
          </w:p>
        </w:tc>
      </w:tr>
    </w:tbl>
    <w:p w14:paraId="3FEBD323" w14:textId="47B0597F" w:rsidR="00F621C3" w:rsidRPr="00815F2E" w:rsidRDefault="00F621C3" w:rsidP="00C355B4">
      <w:pPr>
        <w:spacing w:before="120" w:after="120"/>
        <w:ind w:firstLine="720"/>
        <w:jc w:val="both"/>
        <w:rPr>
          <w:rFonts w:asciiTheme="majorHAnsi" w:hAnsiTheme="majorHAnsi"/>
          <w:b/>
          <w:sz w:val="20"/>
          <w:szCs w:val="20"/>
        </w:rPr>
      </w:pPr>
      <w:r w:rsidRPr="00815F2E">
        <w:rPr>
          <w:rFonts w:asciiTheme="majorHAnsi" w:hAnsiTheme="majorHAnsi"/>
          <w:b/>
          <w:sz w:val="20"/>
          <w:szCs w:val="20"/>
        </w:rPr>
        <w:t xml:space="preserve">V. </w:t>
      </w:r>
      <w:r w:rsidRPr="00815F2E">
        <w:rPr>
          <w:rFonts w:asciiTheme="majorHAnsi" w:hAnsiTheme="majorHAnsi"/>
          <w:b/>
          <w:sz w:val="20"/>
          <w:szCs w:val="20"/>
        </w:rPr>
        <w:tab/>
        <w:t xml:space="preserve">FACTS </w:t>
      </w:r>
      <w:r w:rsidR="008C2373" w:rsidRPr="00815F2E">
        <w:rPr>
          <w:rFonts w:asciiTheme="majorHAnsi" w:hAnsiTheme="majorHAnsi"/>
          <w:b/>
          <w:sz w:val="20"/>
          <w:szCs w:val="20"/>
        </w:rPr>
        <w:t>ALLEGED</w:t>
      </w:r>
    </w:p>
    <w:p w14:paraId="4F33ECE9" w14:textId="58261767"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In essence, the petitioners </w:t>
      </w:r>
      <w:r w:rsidR="00D705CA">
        <w:rPr>
          <w:rFonts w:asciiTheme="majorHAnsi" w:hAnsiTheme="majorHAnsi"/>
          <w:sz w:val="20"/>
          <w:szCs w:val="20"/>
          <w:lang w:val="en"/>
        </w:rPr>
        <w:t>claim</w:t>
      </w:r>
      <w:r>
        <w:rPr>
          <w:rFonts w:asciiTheme="majorHAnsi" w:hAnsiTheme="majorHAnsi"/>
          <w:sz w:val="20"/>
          <w:szCs w:val="20"/>
          <w:lang w:val="en"/>
        </w:rPr>
        <w:t xml:space="preserve"> a </w:t>
      </w:r>
      <w:r w:rsidR="00D705CA">
        <w:rPr>
          <w:rFonts w:asciiTheme="majorHAnsi" w:hAnsiTheme="majorHAnsi"/>
          <w:sz w:val="20"/>
          <w:szCs w:val="20"/>
          <w:lang w:val="en"/>
        </w:rPr>
        <w:t>failure to duly</w:t>
      </w:r>
      <w:r>
        <w:rPr>
          <w:rFonts w:asciiTheme="majorHAnsi" w:hAnsiTheme="majorHAnsi"/>
          <w:sz w:val="20"/>
          <w:szCs w:val="20"/>
          <w:lang w:val="en"/>
        </w:rPr>
        <w:t xml:space="preserve"> investigat</w:t>
      </w:r>
      <w:r w:rsidR="00D705CA">
        <w:rPr>
          <w:rFonts w:asciiTheme="majorHAnsi" w:hAnsiTheme="majorHAnsi"/>
          <w:sz w:val="20"/>
          <w:szCs w:val="20"/>
          <w:lang w:val="en"/>
        </w:rPr>
        <w:t>e</w:t>
      </w:r>
      <w:r>
        <w:rPr>
          <w:rFonts w:asciiTheme="majorHAnsi" w:hAnsiTheme="majorHAnsi"/>
          <w:sz w:val="20"/>
          <w:szCs w:val="20"/>
          <w:lang w:val="en"/>
        </w:rPr>
        <w:t xml:space="preserve"> and punish the murder of journalist </w:t>
      </w:r>
      <w:proofErr w:type="spellStart"/>
      <w:r w:rsidR="008A40BB">
        <w:rPr>
          <w:rFonts w:asciiTheme="majorHAnsi" w:hAnsiTheme="majorHAnsi"/>
          <w:sz w:val="20"/>
          <w:szCs w:val="20"/>
          <w:lang w:val="en"/>
        </w:rPr>
        <w:t>Á</w:t>
      </w:r>
      <w:r>
        <w:rPr>
          <w:rFonts w:asciiTheme="majorHAnsi" w:hAnsiTheme="majorHAnsi"/>
          <w:sz w:val="20"/>
          <w:szCs w:val="20"/>
          <w:lang w:val="en"/>
        </w:rPr>
        <w:t>ngel</w:t>
      </w:r>
      <w:proofErr w:type="spellEnd"/>
      <w:r>
        <w:rPr>
          <w:rFonts w:asciiTheme="majorHAnsi" w:hAnsiTheme="majorHAnsi"/>
          <w:sz w:val="20"/>
          <w:szCs w:val="20"/>
          <w:lang w:val="en"/>
        </w:rPr>
        <w:t xml:space="preserve"> Eduardo </w:t>
      </w:r>
      <w:proofErr w:type="spellStart"/>
      <w:r>
        <w:rPr>
          <w:rFonts w:asciiTheme="majorHAnsi" w:hAnsiTheme="majorHAnsi"/>
          <w:sz w:val="20"/>
          <w:szCs w:val="20"/>
          <w:lang w:val="en"/>
        </w:rPr>
        <w:t>Gahona</w:t>
      </w:r>
      <w:proofErr w:type="spellEnd"/>
      <w:r>
        <w:rPr>
          <w:rFonts w:asciiTheme="majorHAnsi" w:hAnsiTheme="majorHAnsi"/>
          <w:sz w:val="20"/>
          <w:szCs w:val="20"/>
          <w:lang w:val="en"/>
        </w:rPr>
        <w:t xml:space="preserve"> L</w:t>
      </w:r>
      <w:r w:rsidR="008A40BB">
        <w:rPr>
          <w:rFonts w:asciiTheme="majorHAnsi" w:hAnsiTheme="majorHAnsi"/>
          <w:sz w:val="20"/>
          <w:szCs w:val="20"/>
          <w:lang w:val="en"/>
        </w:rPr>
        <w:t>ó</w:t>
      </w:r>
      <w:r>
        <w:rPr>
          <w:rFonts w:asciiTheme="majorHAnsi" w:hAnsiTheme="majorHAnsi"/>
          <w:sz w:val="20"/>
          <w:szCs w:val="20"/>
          <w:lang w:val="en"/>
        </w:rPr>
        <w:t xml:space="preserve">pez committed amid police </w:t>
      </w:r>
      <w:r w:rsidR="00D705CA">
        <w:rPr>
          <w:rFonts w:asciiTheme="majorHAnsi" w:hAnsiTheme="majorHAnsi"/>
          <w:sz w:val="20"/>
          <w:szCs w:val="20"/>
          <w:lang w:val="en"/>
        </w:rPr>
        <w:t xml:space="preserve">repressive </w:t>
      </w:r>
      <w:r>
        <w:rPr>
          <w:rFonts w:asciiTheme="majorHAnsi" w:hAnsiTheme="majorHAnsi"/>
          <w:sz w:val="20"/>
          <w:szCs w:val="20"/>
          <w:lang w:val="en"/>
        </w:rPr>
        <w:t xml:space="preserve">action against </w:t>
      </w:r>
      <w:r w:rsidR="00D705CA">
        <w:rPr>
          <w:rFonts w:asciiTheme="majorHAnsi" w:hAnsiTheme="majorHAnsi"/>
          <w:sz w:val="20"/>
          <w:szCs w:val="20"/>
          <w:lang w:val="en"/>
        </w:rPr>
        <w:t>demonstrators</w:t>
      </w:r>
      <w:r>
        <w:rPr>
          <w:rFonts w:asciiTheme="majorHAnsi" w:hAnsiTheme="majorHAnsi"/>
          <w:sz w:val="20"/>
          <w:szCs w:val="20"/>
          <w:lang w:val="en"/>
        </w:rPr>
        <w:t xml:space="preserve"> and journalists in April 2018. </w:t>
      </w:r>
    </w:p>
    <w:p w14:paraId="16147699" w14:textId="221E8222"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petitioners </w:t>
      </w:r>
      <w:r w:rsidR="00FE0A9D">
        <w:rPr>
          <w:rFonts w:asciiTheme="majorHAnsi" w:hAnsiTheme="majorHAnsi"/>
          <w:sz w:val="20"/>
          <w:szCs w:val="20"/>
          <w:lang w:val="en"/>
        </w:rPr>
        <w:t>state</w:t>
      </w:r>
      <w:r>
        <w:rPr>
          <w:rFonts w:asciiTheme="majorHAnsi" w:hAnsiTheme="majorHAnsi"/>
          <w:sz w:val="20"/>
          <w:szCs w:val="20"/>
          <w:lang w:val="en"/>
        </w:rPr>
        <w:t xml:space="preserve"> that on April 21, 2018, the alleged victim was in the town of </w:t>
      </w:r>
      <w:proofErr w:type="spellStart"/>
      <w:r>
        <w:rPr>
          <w:rFonts w:asciiTheme="majorHAnsi" w:hAnsiTheme="majorHAnsi"/>
          <w:sz w:val="20"/>
          <w:szCs w:val="20"/>
          <w:lang w:val="en"/>
        </w:rPr>
        <w:t>Bluefields</w:t>
      </w:r>
      <w:proofErr w:type="spellEnd"/>
      <w:r>
        <w:rPr>
          <w:rFonts w:asciiTheme="majorHAnsi" w:hAnsiTheme="majorHAnsi"/>
          <w:sz w:val="20"/>
          <w:szCs w:val="20"/>
          <w:lang w:val="en"/>
        </w:rPr>
        <w:t>—the administrative center of the Southern Caribbean Coast Autonomous Region</w:t>
      </w:r>
      <w:r w:rsidR="005A747B">
        <w:rPr>
          <w:rFonts w:asciiTheme="majorHAnsi" w:hAnsiTheme="majorHAnsi"/>
          <w:sz w:val="20"/>
          <w:szCs w:val="20"/>
          <w:lang w:val="en"/>
        </w:rPr>
        <w:t xml:space="preserve">. He was </w:t>
      </w:r>
      <w:r>
        <w:rPr>
          <w:rFonts w:asciiTheme="majorHAnsi" w:hAnsiTheme="majorHAnsi"/>
          <w:sz w:val="20"/>
          <w:szCs w:val="20"/>
          <w:lang w:val="en"/>
        </w:rPr>
        <w:t xml:space="preserve">reporting live, </w:t>
      </w:r>
      <w:r w:rsidR="005A747B">
        <w:rPr>
          <w:rFonts w:asciiTheme="majorHAnsi" w:hAnsiTheme="majorHAnsi"/>
          <w:sz w:val="20"/>
          <w:szCs w:val="20"/>
          <w:lang w:val="en"/>
        </w:rPr>
        <w:t>via</w:t>
      </w:r>
      <w:r>
        <w:rPr>
          <w:rFonts w:asciiTheme="majorHAnsi" w:hAnsiTheme="majorHAnsi"/>
          <w:sz w:val="20"/>
          <w:szCs w:val="20"/>
          <w:lang w:val="en"/>
        </w:rPr>
        <w:t xml:space="preserve"> a </w:t>
      </w:r>
      <w:r>
        <w:rPr>
          <w:rFonts w:asciiTheme="majorHAnsi" w:hAnsiTheme="majorHAnsi"/>
          <w:sz w:val="20"/>
          <w:szCs w:val="20"/>
          <w:lang w:val="en"/>
        </w:rPr>
        <w:lastRenderedPageBreak/>
        <w:t xml:space="preserve">social media network, on the police action </w:t>
      </w:r>
      <w:r w:rsidR="00FE0A9D">
        <w:rPr>
          <w:rFonts w:asciiTheme="majorHAnsi" w:hAnsiTheme="majorHAnsi"/>
          <w:sz w:val="20"/>
          <w:szCs w:val="20"/>
          <w:lang w:val="en"/>
        </w:rPr>
        <w:t>against</w:t>
      </w:r>
      <w:r>
        <w:rPr>
          <w:rFonts w:asciiTheme="majorHAnsi" w:hAnsiTheme="majorHAnsi"/>
          <w:sz w:val="20"/>
          <w:szCs w:val="20"/>
          <w:lang w:val="en"/>
        </w:rPr>
        <w:t xml:space="preserve"> civilians</w:t>
      </w:r>
      <w:r w:rsidR="00FE0A9D">
        <w:rPr>
          <w:rFonts w:asciiTheme="majorHAnsi" w:hAnsiTheme="majorHAnsi"/>
          <w:sz w:val="20"/>
          <w:szCs w:val="20"/>
          <w:lang w:val="en"/>
        </w:rPr>
        <w:t xml:space="preserve"> that were</w:t>
      </w:r>
      <w:r>
        <w:rPr>
          <w:rFonts w:asciiTheme="majorHAnsi" w:hAnsiTheme="majorHAnsi"/>
          <w:sz w:val="20"/>
          <w:szCs w:val="20"/>
          <w:lang w:val="en"/>
        </w:rPr>
        <w:t xml:space="preserve"> demonstrating against the announcement</w:t>
      </w:r>
      <w:r w:rsidR="005A747B">
        <w:rPr>
          <w:rFonts w:asciiTheme="majorHAnsi" w:hAnsiTheme="majorHAnsi"/>
          <w:sz w:val="20"/>
          <w:szCs w:val="20"/>
          <w:lang w:val="en"/>
        </w:rPr>
        <w:t xml:space="preserve">, by Nicaragua’s government, </w:t>
      </w:r>
      <w:r>
        <w:rPr>
          <w:rFonts w:asciiTheme="majorHAnsi" w:hAnsiTheme="majorHAnsi"/>
          <w:sz w:val="20"/>
          <w:szCs w:val="20"/>
          <w:lang w:val="en"/>
        </w:rPr>
        <w:t>of policy reforms in social security</w:t>
      </w:r>
      <w:r w:rsidR="00EC5C1A">
        <w:rPr>
          <w:rFonts w:asciiTheme="majorHAnsi" w:hAnsiTheme="majorHAnsi"/>
          <w:sz w:val="20"/>
          <w:szCs w:val="20"/>
          <w:lang w:val="en"/>
        </w:rPr>
        <w:t>,</w:t>
      </w:r>
      <w:r>
        <w:rPr>
          <w:rFonts w:asciiTheme="majorHAnsi" w:hAnsiTheme="majorHAnsi"/>
          <w:sz w:val="20"/>
          <w:szCs w:val="20"/>
          <w:lang w:val="en"/>
        </w:rPr>
        <w:t xml:space="preserve"> and its purported inaction to combat the fire in the Indio-</w:t>
      </w:r>
      <w:proofErr w:type="spellStart"/>
      <w:r>
        <w:rPr>
          <w:rFonts w:asciiTheme="majorHAnsi" w:hAnsiTheme="majorHAnsi"/>
          <w:sz w:val="20"/>
          <w:szCs w:val="20"/>
          <w:lang w:val="en"/>
        </w:rPr>
        <w:t>Maíz</w:t>
      </w:r>
      <w:proofErr w:type="spellEnd"/>
      <w:r>
        <w:rPr>
          <w:rFonts w:asciiTheme="majorHAnsi" w:hAnsiTheme="majorHAnsi"/>
          <w:sz w:val="20"/>
          <w:szCs w:val="20"/>
          <w:lang w:val="en"/>
        </w:rPr>
        <w:t xml:space="preserve"> Biological Reserve. </w:t>
      </w:r>
    </w:p>
    <w:p w14:paraId="2A1677CB" w14:textId="7D946324"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sz w:val="20"/>
          <w:szCs w:val="20"/>
          <w:lang w:val="en"/>
        </w:rPr>
        <w:t xml:space="preserve">The petitioners allege that the government </w:t>
      </w:r>
      <w:r w:rsidR="00115B6F">
        <w:rPr>
          <w:rFonts w:asciiTheme="majorHAnsi" w:hAnsiTheme="majorHAnsi"/>
          <w:sz w:val="20"/>
          <w:szCs w:val="20"/>
          <w:lang w:val="en"/>
        </w:rPr>
        <w:t>responded to</w:t>
      </w:r>
      <w:r>
        <w:rPr>
          <w:rFonts w:asciiTheme="majorHAnsi" w:hAnsiTheme="majorHAnsi"/>
          <w:sz w:val="20"/>
          <w:szCs w:val="20"/>
          <w:lang w:val="en"/>
        </w:rPr>
        <w:t xml:space="preserve"> the protests </w:t>
      </w:r>
      <w:r w:rsidR="00115B6F">
        <w:rPr>
          <w:rFonts w:asciiTheme="majorHAnsi" w:hAnsiTheme="majorHAnsi"/>
          <w:sz w:val="20"/>
          <w:szCs w:val="20"/>
          <w:lang w:val="en"/>
        </w:rPr>
        <w:t>with</w:t>
      </w:r>
      <w:r>
        <w:rPr>
          <w:rFonts w:asciiTheme="majorHAnsi" w:hAnsiTheme="majorHAnsi"/>
          <w:sz w:val="20"/>
          <w:szCs w:val="20"/>
          <w:lang w:val="en"/>
        </w:rPr>
        <w:t xml:space="preserve"> a massive deployment of security forces, suppressing the civilian population, especially young people, students, and journalists. The</w:t>
      </w:r>
      <w:r w:rsidR="00115B6F">
        <w:rPr>
          <w:rFonts w:asciiTheme="majorHAnsi" w:hAnsiTheme="majorHAnsi"/>
          <w:sz w:val="20"/>
          <w:szCs w:val="20"/>
          <w:lang w:val="en"/>
        </w:rPr>
        <w:t xml:space="preserve"> petitioners</w:t>
      </w:r>
      <w:r>
        <w:rPr>
          <w:rFonts w:asciiTheme="majorHAnsi" w:hAnsiTheme="majorHAnsi"/>
          <w:sz w:val="20"/>
          <w:szCs w:val="20"/>
          <w:lang w:val="en"/>
        </w:rPr>
        <w:t xml:space="preserve"> claim that on April 21, 2018, the alleged victim was reporting the</w:t>
      </w:r>
      <w:r w:rsidR="00115B6F">
        <w:rPr>
          <w:rFonts w:asciiTheme="majorHAnsi" w:hAnsiTheme="majorHAnsi"/>
          <w:sz w:val="20"/>
          <w:szCs w:val="20"/>
          <w:lang w:val="en"/>
        </w:rPr>
        <w:t>se</w:t>
      </w:r>
      <w:r>
        <w:rPr>
          <w:rFonts w:asciiTheme="majorHAnsi" w:hAnsiTheme="majorHAnsi"/>
          <w:sz w:val="20"/>
          <w:szCs w:val="20"/>
          <w:lang w:val="en"/>
        </w:rPr>
        <w:t xml:space="preserve"> events live from outside of </w:t>
      </w:r>
      <w:proofErr w:type="spellStart"/>
      <w:r>
        <w:rPr>
          <w:rFonts w:asciiTheme="majorHAnsi" w:hAnsiTheme="majorHAnsi"/>
          <w:sz w:val="20"/>
          <w:szCs w:val="20"/>
          <w:lang w:val="en"/>
        </w:rPr>
        <w:t>Bluefields</w:t>
      </w:r>
      <w:proofErr w:type="spellEnd"/>
      <w:r>
        <w:rPr>
          <w:rFonts w:asciiTheme="majorHAnsi" w:hAnsiTheme="majorHAnsi"/>
          <w:sz w:val="20"/>
          <w:szCs w:val="20"/>
          <w:lang w:val="en"/>
        </w:rPr>
        <w:t xml:space="preserve"> city hall when two shotgun pellets (steel projectiles) fired from a gun hit </w:t>
      </w:r>
      <w:r w:rsidR="00115B6F">
        <w:rPr>
          <w:rFonts w:asciiTheme="majorHAnsi" w:hAnsiTheme="majorHAnsi"/>
          <w:sz w:val="20"/>
          <w:szCs w:val="20"/>
          <w:lang w:val="en"/>
        </w:rPr>
        <w:t xml:space="preserve">and wounded </w:t>
      </w:r>
      <w:r>
        <w:rPr>
          <w:rFonts w:asciiTheme="majorHAnsi" w:hAnsiTheme="majorHAnsi"/>
          <w:sz w:val="20"/>
          <w:szCs w:val="20"/>
          <w:lang w:val="en"/>
        </w:rPr>
        <w:t>him in</w:t>
      </w:r>
      <w:r w:rsidR="00115B6F">
        <w:rPr>
          <w:rFonts w:asciiTheme="majorHAnsi" w:hAnsiTheme="majorHAnsi"/>
          <w:sz w:val="20"/>
          <w:szCs w:val="20"/>
          <w:lang w:val="en"/>
        </w:rPr>
        <w:t xml:space="preserve"> three</w:t>
      </w:r>
      <w:r>
        <w:rPr>
          <w:rFonts w:asciiTheme="majorHAnsi" w:hAnsiTheme="majorHAnsi"/>
          <w:sz w:val="20"/>
          <w:szCs w:val="20"/>
          <w:lang w:val="en"/>
        </w:rPr>
        <w:t xml:space="preserve"> different parts of his body: on the head, his arm, and the thorax. According to them, he was taken alive on a taxi to Hospital Ernesto </w:t>
      </w:r>
      <w:proofErr w:type="spellStart"/>
      <w:r>
        <w:rPr>
          <w:rFonts w:asciiTheme="majorHAnsi" w:hAnsiTheme="majorHAnsi"/>
          <w:sz w:val="20"/>
          <w:szCs w:val="20"/>
          <w:lang w:val="en"/>
        </w:rPr>
        <w:t>Sequeira</w:t>
      </w:r>
      <w:proofErr w:type="spellEnd"/>
      <w:r>
        <w:rPr>
          <w:rFonts w:asciiTheme="majorHAnsi" w:hAnsiTheme="majorHAnsi"/>
          <w:sz w:val="20"/>
          <w:szCs w:val="20"/>
          <w:lang w:val="en"/>
        </w:rPr>
        <w:t xml:space="preserve"> Blanco, arrived in a shock, and later died because of the fatal wounds of the gunshots. </w:t>
      </w:r>
    </w:p>
    <w:p w14:paraId="3AFE60AB" w14:textId="6B693FD9"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From the information submitted by the petitioners, the Public Prosecutor’s Office opened </w:t>
      </w:r>
      <w:r w:rsidR="00115B6F" w:rsidRPr="00115B6F">
        <w:rPr>
          <w:rFonts w:asciiTheme="majorHAnsi" w:hAnsiTheme="majorHAnsi"/>
          <w:i/>
          <w:iCs/>
          <w:sz w:val="20"/>
          <w:szCs w:val="20"/>
          <w:lang w:val="en"/>
        </w:rPr>
        <w:t>ex officio</w:t>
      </w:r>
      <w:r w:rsidR="00115B6F">
        <w:rPr>
          <w:rFonts w:asciiTheme="majorHAnsi" w:hAnsiTheme="majorHAnsi"/>
          <w:sz w:val="20"/>
          <w:szCs w:val="20"/>
          <w:lang w:val="en"/>
        </w:rPr>
        <w:t xml:space="preserve"> </w:t>
      </w:r>
      <w:r>
        <w:rPr>
          <w:rFonts w:asciiTheme="majorHAnsi" w:hAnsiTheme="majorHAnsi"/>
          <w:sz w:val="20"/>
          <w:szCs w:val="20"/>
          <w:lang w:val="en"/>
        </w:rPr>
        <w:t>an</w:t>
      </w:r>
      <w:r w:rsidR="00115B6F">
        <w:rPr>
          <w:rFonts w:asciiTheme="majorHAnsi" w:hAnsiTheme="majorHAnsi"/>
          <w:sz w:val="20"/>
          <w:szCs w:val="20"/>
          <w:lang w:val="en"/>
        </w:rPr>
        <w:t xml:space="preserve"> </w:t>
      </w:r>
      <w:r>
        <w:rPr>
          <w:rFonts w:asciiTheme="majorHAnsi" w:hAnsiTheme="majorHAnsi"/>
          <w:sz w:val="20"/>
          <w:szCs w:val="20"/>
          <w:lang w:val="en"/>
        </w:rPr>
        <w:t>investigation into the</w:t>
      </w:r>
      <w:r w:rsidR="00115B6F">
        <w:rPr>
          <w:rFonts w:asciiTheme="majorHAnsi" w:hAnsiTheme="majorHAnsi"/>
          <w:sz w:val="20"/>
          <w:szCs w:val="20"/>
          <w:lang w:val="en"/>
        </w:rPr>
        <w:t xml:space="preserve"> murder of the</w:t>
      </w:r>
      <w:r>
        <w:rPr>
          <w:rFonts w:asciiTheme="majorHAnsi" w:hAnsiTheme="majorHAnsi"/>
          <w:sz w:val="20"/>
          <w:szCs w:val="20"/>
          <w:lang w:val="en"/>
        </w:rPr>
        <w:t xml:space="preserve"> alleged victim</w:t>
      </w:r>
      <w:r w:rsidR="00115B6F">
        <w:rPr>
          <w:rFonts w:asciiTheme="majorHAnsi" w:hAnsiTheme="majorHAnsi"/>
          <w:sz w:val="20"/>
          <w:szCs w:val="20"/>
          <w:lang w:val="en"/>
        </w:rPr>
        <w:t xml:space="preserve"> </w:t>
      </w:r>
      <w:r>
        <w:rPr>
          <w:rFonts w:asciiTheme="majorHAnsi" w:hAnsiTheme="majorHAnsi"/>
          <w:sz w:val="20"/>
          <w:szCs w:val="20"/>
          <w:lang w:val="en"/>
        </w:rPr>
        <w:t xml:space="preserve">and identified Brandon Cristofer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Tayler and Glen Abraham Slate (hereinafter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as those responsible—the former as the perpetrator and the latter as an accomplice. However, the petitioners allege that the government, in seeking to deliver justice, hastily and groundlessly accused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The petitioners assert that the gunshot that killed the alleged victim </w:t>
      </w:r>
      <w:r w:rsidR="00115B6F">
        <w:rPr>
          <w:rFonts w:asciiTheme="majorHAnsi" w:hAnsiTheme="majorHAnsi"/>
          <w:sz w:val="20"/>
          <w:szCs w:val="20"/>
          <w:lang w:val="en"/>
        </w:rPr>
        <w:t>appeared</w:t>
      </w:r>
      <w:r>
        <w:rPr>
          <w:rFonts w:asciiTheme="majorHAnsi" w:hAnsiTheme="majorHAnsi"/>
          <w:sz w:val="20"/>
          <w:szCs w:val="20"/>
          <w:lang w:val="en"/>
        </w:rPr>
        <w:t xml:space="preserve"> to correspond to the type of bullets and firearms that police used on the day of that repression. </w:t>
      </w:r>
    </w:p>
    <w:p w14:paraId="4BCF4342" w14:textId="7C03E763"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sz w:val="20"/>
          <w:szCs w:val="20"/>
          <w:lang w:val="en"/>
        </w:rPr>
        <w:t xml:space="preserve">In sum, the petitioners claim that the State of Nicaragua violated the alleged victim’s rights to life, humane treatment, a fair trial, and judicial protection since no reliable, objective, and effective investigation has been conducted yet into the death of Mr. </w:t>
      </w:r>
      <w:proofErr w:type="spellStart"/>
      <w:r>
        <w:rPr>
          <w:rFonts w:asciiTheme="majorHAnsi" w:hAnsiTheme="majorHAnsi"/>
          <w:sz w:val="20"/>
          <w:szCs w:val="20"/>
          <w:lang w:val="en"/>
        </w:rPr>
        <w:t>Ángel</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Gahona</w:t>
      </w:r>
      <w:proofErr w:type="spellEnd"/>
      <w:r>
        <w:rPr>
          <w:rFonts w:asciiTheme="majorHAnsi" w:hAnsiTheme="majorHAnsi"/>
          <w:sz w:val="20"/>
          <w:szCs w:val="20"/>
          <w:lang w:val="en"/>
        </w:rPr>
        <w:t xml:space="preserve">. </w:t>
      </w:r>
    </w:p>
    <w:p w14:paraId="69540B39" w14:textId="79F58470"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sz w:val="20"/>
          <w:szCs w:val="20"/>
          <w:lang w:val="en"/>
        </w:rPr>
        <w:t>For its part, the State claims that regarding the murder of the alleged victim and the criminal proceeding</w:t>
      </w:r>
      <w:r w:rsidR="0044319C">
        <w:rPr>
          <w:rFonts w:asciiTheme="majorHAnsi" w:hAnsiTheme="majorHAnsi"/>
          <w:sz w:val="20"/>
          <w:szCs w:val="20"/>
          <w:lang w:val="en"/>
        </w:rPr>
        <w:t>s</w:t>
      </w:r>
      <w:r>
        <w:rPr>
          <w:rFonts w:asciiTheme="majorHAnsi" w:hAnsiTheme="majorHAnsi"/>
          <w:sz w:val="20"/>
          <w:szCs w:val="20"/>
          <w:lang w:val="en"/>
        </w:rPr>
        <w:t xml:space="preserve"> filed against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the National Police, in the exercise of its </w:t>
      </w:r>
      <w:r w:rsidR="00F34199">
        <w:rPr>
          <w:rFonts w:asciiTheme="majorHAnsi" w:hAnsiTheme="majorHAnsi"/>
          <w:sz w:val="20"/>
          <w:szCs w:val="20"/>
          <w:lang w:val="en"/>
        </w:rPr>
        <w:t>duty</w:t>
      </w:r>
      <w:r>
        <w:rPr>
          <w:rFonts w:asciiTheme="majorHAnsi" w:hAnsiTheme="majorHAnsi"/>
          <w:sz w:val="20"/>
          <w:szCs w:val="20"/>
          <w:lang w:val="en"/>
        </w:rPr>
        <w:t xml:space="preserve"> and after an investigation at the crime scene, determined that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were involved in a breach of the peace in the town of </w:t>
      </w:r>
      <w:proofErr w:type="spellStart"/>
      <w:r>
        <w:rPr>
          <w:rFonts w:asciiTheme="majorHAnsi" w:hAnsiTheme="majorHAnsi"/>
          <w:sz w:val="20"/>
          <w:szCs w:val="20"/>
          <w:lang w:val="en"/>
        </w:rPr>
        <w:t>Bluefields</w:t>
      </w:r>
      <w:proofErr w:type="spellEnd"/>
      <w:r>
        <w:rPr>
          <w:rFonts w:asciiTheme="majorHAnsi" w:hAnsiTheme="majorHAnsi"/>
          <w:sz w:val="20"/>
          <w:szCs w:val="20"/>
          <w:lang w:val="en"/>
        </w:rPr>
        <w:t xml:space="preserve">. These investigations showed that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fired a handcrafted firearm to wound members of the National Police. It was the use of these illegal firearms by these men that caused Mr. </w:t>
      </w:r>
      <w:proofErr w:type="spellStart"/>
      <w:r>
        <w:rPr>
          <w:rFonts w:asciiTheme="majorHAnsi" w:hAnsiTheme="majorHAnsi"/>
          <w:sz w:val="20"/>
          <w:szCs w:val="20"/>
          <w:lang w:val="en"/>
        </w:rPr>
        <w:t>Ángel</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Gahona’s</w:t>
      </w:r>
      <w:proofErr w:type="spellEnd"/>
      <w:r>
        <w:rPr>
          <w:rFonts w:asciiTheme="majorHAnsi" w:hAnsiTheme="majorHAnsi"/>
          <w:sz w:val="20"/>
          <w:szCs w:val="20"/>
          <w:lang w:val="en"/>
        </w:rPr>
        <w:t xml:space="preserve"> death from irreversible, severe cranioencephalic trauma. </w:t>
      </w:r>
    </w:p>
    <w:p w14:paraId="583F7826" w14:textId="365503B3"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State argues that Mr. </w:t>
      </w:r>
      <w:proofErr w:type="spellStart"/>
      <w:r>
        <w:rPr>
          <w:rFonts w:asciiTheme="majorHAnsi" w:hAnsiTheme="majorHAnsi"/>
          <w:sz w:val="20"/>
          <w:szCs w:val="20"/>
          <w:lang w:val="en"/>
        </w:rPr>
        <w:t>Lovo’s</w:t>
      </w:r>
      <w:proofErr w:type="spellEnd"/>
      <w:r>
        <w:rPr>
          <w:rFonts w:asciiTheme="majorHAnsi" w:hAnsiTheme="majorHAnsi"/>
          <w:sz w:val="20"/>
          <w:szCs w:val="20"/>
          <w:lang w:val="en"/>
        </w:rPr>
        <w:t xml:space="preserve"> and Mr. Slate’s responsibility was determined based on witness, documentary, and expert evidence that demonstrated that the handcrafted firearm was fired by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It provides a detailed account of the criminal proceedings filed against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for the murder of the alleged victim</w:t>
      </w:r>
      <w:r w:rsidR="00F34199">
        <w:rPr>
          <w:rFonts w:asciiTheme="majorHAnsi" w:hAnsiTheme="majorHAnsi"/>
          <w:sz w:val="20"/>
          <w:szCs w:val="20"/>
          <w:lang w:val="en"/>
        </w:rPr>
        <w:t>,</w:t>
      </w:r>
      <w:r>
        <w:rPr>
          <w:rFonts w:asciiTheme="majorHAnsi" w:hAnsiTheme="majorHAnsi"/>
          <w:sz w:val="20"/>
          <w:szCs w:val="20"/>
          <w:lang w:val="en"/>
        </w:rPr>
        <w:t xml:space="preserve"> </w:t>
      </w:r>
      <w:r w:rsidR="00F34199">
        <w:rPr>
          <w:rFonts w:asciiTheme="majorHAnsi" w:hAnsiTheme="majorHAnsi"/>
          <w:sz w:val="20"/>
          <w:szCs w:val="20"/>
          <w:lang w:val="en"/>
        </w:rPr>
        <w:t>along with</w:t>
      </w:r>
      <w:r>
        <w:rPr>
          <w:rFonts w:asciiTheme="majorHAnsi" w:hAnsiTheme="majorHAnsi"/>
          <w:sz w:val="20"/>
          <w:szCs w:val="20"/>
          <w:lang w:val="en"/>
        </w:rPr>
        <w:t xml:space="preserve"> other crimes, as follows:</w:t>
      </w:r>
    </w:p>
    <w:p w14:paraId="15F13FF8" w14:textId="1C6A5069"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In its judgment of August 30, 2018, the Sixth </w:t>
      </w:r>
      <w:r w:rsidR="001D3E9C">
        <w:rPr>
          <w:rFonts w:asciiTheme="majorHAnsi" w:hAnsiTheme="majorHAnsi"/>
          <w:sz w:val="20"/>
          <w:szCs w:val="20"/>
          <w:lang w:val="en"/>
        </w:rPr>
        <w:t xml:space="preserve">Criminal </w:t>
      </w:r>
      <w:r>
        <w:rPr>
          <w:rFonts w:asciiTheme="majorHAnsi" w:hAnsiTheme="majorHAnsi"/>
          <w:sz w:val="20"/>
          <w:szCs w:val="20"/>
          <w:lang w:val="en"/>
        </w:rPr>
        <w:t>Court of Managua</w:t>
      </w:r>
      <w:r w:rsidR="001D3E9C">
        <w:rPr>
          <w:rFonts w:asciiTheme="majorHAnsi" w:hAnsiTheme="majorHAnsi"/>
          <w:sz w:val="20"/>
          <w:szCs w:val="20"/>
          <w:lang w:val="en"/>
        </w:rPr>
        <w:t xml:space="preserve"> District</w:t>
      </w:r>
      <w:r>
        <w:rPr>
          <w:rFonts w:asciiTheme="majorHAnsi" w:hAnsiTheme="majorHAnsi"/>
          <w:sz w:val="20"/>
          <w:szCs w:val="20"/>
          <w:lang w:val="en"/>
        </w:rPr>
        <w:t xml:space="preserve"> found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guilty, the former being sentenced to twenty-three years and six months in prison, and the latter, to twelve years and six months in prison. Against this decision, the defense of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filed an appeal, which was forwarded to the Second Criminal Chamber of the Court of Appeals of Managua District. </w:t>
      </w:r>
    </w:p>
    <w:p w14:paraId="632FD1BA" w14:textId="72BADAA9"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Nevertheless, on July 25, 2019, the Second Criminal Chamber of the Court of Appeals of Managua District</w:t>
      </w:r>
      <w:r w:rsidR="00FC3920">
        <w:rPr>
          <w:rFonts w:asciiTheme="majorHAnsi" w:hAnsiTheme="majorHAnsi"/>
          <w:sz w:val="20"/>
          <w:szCs w:val="20"/>
          <w:lang w:val="en"/>
        </w:rPr>
        <w:t xml:space="preserve"> </w:t>
      </w:r>
      <w:r>
        <w:rPr>
          <w:rFonts w:asciiTheme="majorHAnsi" w:hAnsiTheme="majorHAnsi"/>
          <w:sz w:val="20"/>
          <w:szCs w:val="20"/>
          <w:lang w:val="en"/>
        </w:rPr>
        <w:t>granted</w:t>
      </w:r>
      <w:r w:rsidR="00FC3920">
        <w:rPr>
          <w:rFonts w:asciiTheme="majorHAnsi" w:hAnsiTheme="majorHAnsi"/>
          <w:sz w:val="20"/>
          <w:szCs w:val="20"/>
          <w:lang w:val="en"/>
        </w:rPr>
        <w:t>,</w:t>
      </w:r>
      <w:r w:rsidR="00FC3920" w:rsidRPr="00FC3920">
        <w:rPr>
          <w:rFonts w:asciiTheme="majorHAnsi" w:hAnsiTheme="majorHAnsi"/>
          <w:sz w:val="20"/>
          <w:szCs w:val="20"/>
          <w:lang w:val="en"/>
        </w:rPr>
        <w:t xml:space="preserve"> </w:t>
      </w:r>
      <w:r w:rsidR="00FC3920">
        <w:rPr>
          <w:rFonts w:asciiTheme="majorHAnsi" w:hAnsiTheme="majorHAnsi"/>
          <w:sz w:val="20"/>
          <w:szCs w:val="20"/>
          <w:lang w:val="en"/>
        </w:rPr>
        <w:t>under Law No. 966,</w:t>
      </w:r>
      <w:r>
        <w:rPr>
          <w:rFonts w:asciiTheme="majorHAnsi" w:hAnsiTheme="majorHAnsi"/>
          <w:sz w:val="20"/>
          <w:szCs w:val="20"/>
          <w:lang w:val="en"/>
        </w:rPr>
        <w:t xml:space="preserve"> an amnesty to all those who had participated in the incidents in Nicaragua, including those </w:t>
      </w:r>
      <w:r w:rsidR="00FC3920">
        <w:rPr>
          <w:rFonts w:asciiTheme="majorHAnsi" w:hAnsiTheme="majorHAnsi"/>
          <w:sz w:val="20"/>
          <w:szCs w:val="20"/>
          <w:lang w:val="en"/>
        </w:rPr>
        <w:t>that involved</w:t>
      </w:r>
      <w:r>
        <w:rPr>
          <w:rFonts w:asciiTheme="majorHAnsi" w:hAnsiTheme="majorHAnsi"/>
          <w:sz w:val="20"/>
          <w:szCs w:val="20"/>
          <w:lang w:val="en"/>
        </w:rPr>
        <w:t xml:space="preserve"> the murder of the alleged victim. </w:t>
      </w:r>
      <w:r w:rsidR="005A2898">
        <w:rPr>
          <w:rFonts w:asciiTheme="majorHAnsi" w:hAnsiTheme="majorHAnsi"/>
          <w:sz w:val="20"/>
          <w:szCs w:val="20"/>
          <w:lang w:val="en"/>
        </w:rPr>
        <w:t>As a result</w:t>
      </w:r>
      <w:r>
        <w:rPr>
          <w:rFonts w:asciiTheme="majorHAnsi" w:hAnsiTheme="majorHAnsi"/>
          <w:sz w:val="20"/>
          <w:szCs w:val="20"/>
          <w:lang w:val="en"/>
        </w:rPr>
        <w:t xml:space="preserve">, Mr. </w:t>
      </w:r>
      <w:proofErr w:type="spellStart"/>
      <w:r>
        <w:rPr>
          <w:rFonts w:asciiTheme="majorHAnsi" w:hAnsiTheme="majorHAnsi"/>
          <w:sz w:val="20"/>
          <w:szCs w:val="20"/>
          <w:lang w:val="en"/>
        </w:rPr>
        <w:t>Lovo</w:t>
      </w:r>
      <w:proofErr w:type="spellEnd"/>
      <w:r>
        <w:rPr>
          <w:rFonts w:asciiTheme="majorHAnsi" w:hAnsiTheme="majorHAnsi"/>
          <w:sz w:val="20"/>
          <w:szCs w:val="20"/>
          <w:lang w:val="en"/>
        </w:rPr>
        <w:t xml:space="preserve"> and Mr. Slate were released from prison. </w:t>
      </w:r>
    </w:p>
    <w:p w14:paraId="3C8DB519" w14:textId="533A357E"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conclude, the State claims that pertinent investigations, including the applicable procedures in the police investigation, were carried out to clarify the facts that caused the alleged victim’s death; yet, their result did not produce any documentary, witness, photographic, audiovisual, or </w:t>
      </w:r>
      <w:r w:rsidR="00EE5FB2">
        <w:rPr>
          <w:rFonts w:asciiTheme="majorHAnsi" w:hAnsiTheme="majorHAnsi"/>
          <w:sz w:val="20"/>
          <w:szCs w:val="20"/>
          <w:lang w:val="en"/>
        </w:rPr>
        <w:t>an</w:t>
      </w:r>
      <w:r>
        <w:rPr>
          <w:rFonts w:asciiTheme="majorHAnsi" w:hAnsiTheme="majorHAnsi"/>
          <w:sz w:val="20"/>
          <w:szCs w:val="20"/>
          <w:lang w:val="en"/>
        </w:rPr>
        <w:t xml:space="preserve">other form of evidence to demonstrate the alleged involvement of the National Police in the death of journalist </w:t>
      </w:r>
      <w:proofErr w:type="spellStart"/>
      <w:r>
        <w:rPr>
          <w:rFonts w:asciiTheme="majorHAnsi" w:hAnsiTheme="majorHAnsi"/>
          <w:sz w:val="20"/>
          <w:szCs w:val="20"/>
          <w:lang w:val="en"/>
        </w:rPr>
        <w:t>Ángel</w:t>
      </w:r>
      <w:proofErr w:type="spellEnd"/>
      <w:r>
        <w:rPr>
          <w:rFonts w:asciiTheme="majorHAnsi" w:hAnsiTheme="majorHAnsi"/>
          <w:sz w:val="20"/>
          <w:szCs w:val="20"/>
          <w:lang w:val="en"/>
        </w:rPr>
        <w:t xml:space="preserve"> Eduardo </w:t>
      </w:r>
      <w:proofErr w:type="spellStart"/>
      <w:r>
        <w:rPr>
          <w:rFonts w:asciiTheme="majorHAnsi" w:hAnsiTheme="majorHAnsi"/>
          <w:sz w:val="20"/>
          <w:szCs w:val="20"/>
          <w:lang w:val="en"/>
        </w:rPr>
        <w:t>Gahona</w:t>
      </w:r>
      <w:proofErr w:type="spellEnd"/>
      <w:r>
        <w:rPr>
          <w:rFonts w:asciiTheme="majorHAnsi" w:hAnsiTheme="majorHAnsi"/>
          <w:sz w:val="20"/>
          <w:szCs w:val="20"/>
          <w:lang w:val="en"/>
        </w:rPr>
        <w:t xml:space="preserve"> López. </w:t>
      </w:r>
    </w:p>
    <w:p w14:paraId="0B534BB3" w14:textId="77777777" w:rsidR="00BF7DB7" w:rsidRDefault="00BF7DB7" w:rsidP="003456A9">
      <w:pPr>
        <w:spacing w:before="240" w:after="240"/>
        <w:ind w:firstLine="720"/>
        <w:jc w:val="both"/>
        <w:rPr>
          <w:rFonts w:asciiTheme="majorHAnsi" w:hAnsiTheme="majorHAnsi"/>
          <w:b/>
          <w:bCs/>
          <w:color w:val="000000"/>
          <w:sz w:val="20"/>
          <w:szCs w:val="20"/>
          <w:u w:color="000000"/>
          <w:lang w:val="en"/>
        </w:rPr>
      </w:pPr>
    </w:p>
    <w:p w14:paraId="23694278" w14:textId="79429B78" w:rsidR="003456A9" w:rsidRPr="00815F2E" w:rsidRDefault="003456A9" w:rsidP="003456A9">
      <w:pPr>
        <w:spacing w:before="240" w:after="240"/>
        <w:ind w:firstLine="720"/>
        <w:jc w:val="both"/>
        <w:rPr>
          <w:rFonts w:asciiTheme="majorHAnsi" w:hAnsiTheme="majorHAnsi"/>
          <w:sz w:val="20"/>
          <w:szCs w:val="20"/>
        </w:rPr>
      </w:pPr>
      <w:r w:rsidRPr="00815F2E">
        <w:rPr>
          <w:rFonts w:asciiTheme="majorHAnsi" w:hAnsiTheme="majorHAnsi"/>
          <w:b/>
          <w:bCs/>
          <w:color w:val="000000"/>
          <w:sz w:val="20"/>
          <w:szCs w:val="20"/>
          <w:u w:color="000000"/>
          <w:lang w:val="en"/>
        </w:rPr>
        <w:lastRenderedPageBreak/>
        <w:t>VI.</w:t>
      </w:r>
      <w:r w:rsidRPr="00815F2E">
        <w:rPr>
          <w:rFonts w:asciiTheme="majorHAnsi" w:hAnsiTheme="majorHAnsi"/>
          <w:b/>
          <w:bCs/>
          <w:color w:val="000000"/>
          <w:sz w:val="20"/>
          <w:szCs w:val="20"/>
          <w:u w:color="000000"/>
          <w:lang w:val="en"/>
        </w:rPr>
        <w:tab/>
      </w:r>
      <w:r w:rsidRPr="00815F2E">
        <w:rPr>
          <w:rFonts w:asciiTheme="majorHAnsi" w:hAnsiTheme="majorHAnsi"/>
          <w:b/>
          <w:bCs/>
          <w:noProof/>
          <w:sz w:val="20"/>
          <w:szCs w:val="20"/>
          <w:lang w:val="en"/>
        </w:rPr>
        <w:t>ANALYSIS OF EXHAUSTION OF DOMESTIC REMEDIES AND TIMELINESS OF THE PETITION</w:t>
      </w:r>
      <w:r w:rsidRPr="00815F2E">
        <w:rPr>
          <w:rFonts w:asciiTheme="majorHAnsi" w:hAnsiTheme="majorHAnsi"/>
          <w:b/>
          <w:bCs/>
          <w:color w:val="000000"/>
          <w:sz w:val="20"/>
          <w:szCs w:val="20"/>
          <w:u w:color="000000"/>
          <w:lang w:val="en"/>
        </w:rPr>
        <w:t xml:space="preserve"> </w:t>
      </w:r>
    </w:p>
    <w:p w14:paraId="1827CCE3" w14:textId="1DBC3C9F"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color w:val="000000"/>
          <w:sz w:val="20"/>
          <w:szCs w:val="20"/>
        </w:rPr>
      </w:pPr>
      <w:r>
        <w:rPr>
          <w:rFonts w:asciiTheme="majorHAnsi" w:hAnsiTheme="majorHAnsi"/>
          <w:color w:val="000000"/>
          <w:sz w:val="20"/>
          <w:szCs w:val="20"/>
          <w:lang w:val="en"/>
        </w:rPr>
        <w:t xml:space="preserve">The petitioners claim that the criminal investigation filed to clarify the murder of the alleged victim is still </w:t>
      </w:r>
      <w:r w:rsidRPr="005204B8">
        <w:rPr>
          <w:rFonts w:asciiTheme="majorHAnsi" w:hAnsiTheme="majorHAnsi"/>
          <w:color w:val="000000"/>
          <w:sz w:val="20"/>
          <w:szCs w:val="20"/>
          <w:lang w:val="en"/>
        </w:rPr>
        <w:t>pending</w:t>
      </w:r>
      <w:r>
        <w:rPr>
          <w:rFonts w:asciiTheme="majorHAnsi" w:hAnsiTheme="majorHAnsi"/>
          <w:color w:val="000000"/>
          <w:sz w:val="20"/>
          <w:szCs w:val="20"/>
          <w:lang w:val="en"/>
        </w:rPr>
        <w:t xml:space="preserve"> and that, to date, the actual responsible have not been punished yet. They argue that although a criminal case was filed for Mr. </w:t>
      </w:r>
      <w:proofErr w:type="spellStart"/>
      <w:r>
        <w:rPr>
          <w:rFonts w:asciiTheme="majorHAnsi" w:hAnsiTheme="majorHAnsi"/>
          <w:color w:val="000000"/>
          <w:sz w:val="20"/>
          <w:szCs w:val="20"/>
          <w:lang w:val="en"/>
        </w:rPr>
        <w:t>Gahona’s</w:t>
      </w:r>
      <w:proofErr w:type="spellEnd"/>
      <w:r>
        <w:rPr>
          <w:rFonts w:asciiTheme="majorHAnsi" w:hAnsiTheme="majorHAnsi"/>
          <w:color w:val="000000"/>
          <w:sz w:val="20"/>
          <w:szCs w:val="20"/>
          <w:lang w:val="en"/>
        </w:rPr>
        <w:t xml:space="preserve"> death, which resulted in the conviction of Mr. </w:t>
      </w:r>
      <w:proofErr w:type="spellStart"/>
      <w:r>
        <w:rPr>
          <w:rFonts w:asciiTheme="majorHAnsi" w:hAnsiTheme="majorHAnsi"/>
          <w:color w:val="000000"/>
          <w:sz w:val="20"/>
          <w:szCs w:val="20"/>
          <w:lang w:val="en"/>
        </w:rPr>
        <w:t>Lovo</w:t>
      </w:r>
      <w:proofErr w:type="spellEnd"/>
      <w:r>
        <w:rPr>
          <w:rFonts w:asciiTheme="majorHAnsi" w:hAnsiTheme="majorHAnsi"/>
          <w:color w:val="000000"/>
          <w:sz w:val="20"/>
          <w:szCs w:val="20"/>
          <w:lang w:val="en"/>
        </w:rPr>
        <w:t xml:space="preserve"> and Mr. Slate—who were later granted an amnesty under Law No. 966—, this was groundless. They assert that this was a form of a farce aimed at holding someone responsible without </w:t>
      </w:r>
      <w:r w:rsidR="005204B8">
        <w:rPr>
          <w:rFonts w:asciiTheme="majorHAnsi" w:hAnsiTheme="majorHAnsi"/>
          <w:color w:val="000000"/>
          <w:sz w:val="20"/>
          <w:szCs w:val="20"/>
          <w:lang w:val="en"/>
        </w:rPr>
        <w:t>truly</w:t>
      </w:r>
      <w:r>
        <w:rPr>
          <w:rFonts w:asciiTheme="majorHAnsi" w:hAnsiTheme="majorHAnsi"/>
          <w:color w:val="000000"/>
          <w:sz w:val="20"/>
          <w:szCs w:val="20"/>
          <w:lang w:val="en"/>
        </w:rPr>
        <w:t xml:space="preserve"> seeking to find th</w:t>
      </w:r>
      <w:r w:rsidR="00552088">
        <w:rPr>
          <w:rFonts w:asciiTheme="majorHAnsi" w:hAnsiTheme="majorHAnsi"/>
          <w:color w:val="000000"/>
          <w:sz w:val="20"/>
          <w:szCs w:val="20"/>
          <w:lang w:val="en"/>
        </w:rPr>
        <w:t>e</w:t>
      </w:r>
      <w:r>
        <w:rPr>
          <w:rFonts w:asciiTheme="majorHAnsi" w:hAnsiTheme="majorHAnsi"/>
          <w:color w:val="000000"/>
          <w:sz w:val="20"/>
          <w:szCs w:val="20"/>
          <w:lang w:val="en"/>
        </w:rPr>
        <w:t xml:space="preserve"> </w:t>
      </w:r>
      <w:r w:rsidR="00552088">
        <w:rPr>
          <w:rFonts w:asciiTheme="majorHAnsi" w:hAnsiTheme="majorHAnsi"/>
          <w:color w:val="000000"/>
          <w:sz w:val="20"/>
          <w:szCs w:val="20"/>
          <w:lang w:val="en"/>
        </w:rPr>
        <w:t>actual</w:t>
      </w:r>
      <w:r>
        <w:rPr>
          <w:rFonts w:asciiTheme="majorHAnsi" w:hAnsiTheme="majorHAnsi"/>
          <w:color w:val="000000"/>
          <w:sz w:val="20"/>
          <w:szCs w:val="20"/>
          <w:lang w:val="en"/>
        </w:rPr>
        <w:t xml:space="preserve"> </w:t>
      </w:r>
      <w:r w:rsidR="00552088">
        <w:rPr>
          <w:rFonts w:asciiTheme="majorHAnsi" w:hAnsiTheme="majorHAnsi"/>
          <w:color w:val="000000"/>
          <w:sz w:val="20"/>
          <w:szCs w:val="20"/>
          <w:lang w:val="en"/>
        </w:rPr>
        <w:t>responsible</w:t>
      </w:r>
      <w:r>
        <w:rPr>
          <w:rFonts w:asciiTheme="majorHAnsi" w:hAnsiTheme="majorHAnsi"/>
          <w:color w:val="000000"/>
          <w:sz w:val="20"/>
          <w:szCs w:val="20"/>
          <w:lang w:val="en"/>
        </w:rPr>
        <w:t xml:space="preserve"> and the truth about the facts</w:t>
      </w:r>
      <w:r w:rsidR="005204B8">
        <w:rPr>
          <w:rFonts w:asciiTheme="majorHAnsi" w:hAnsiTheme="majorHAnsi"/>
          <w:color w:val="000000"/>
          <w:sz w:val="20"/>
          <w:szCs w:val="20"/>
          <w:lang w:val="en"/>
        </w:rPr>
        <w:t xml:space="preserve">. For </w:t>
      </w:r>
      <w:r>
        <w:rPr>
          <w:rFonts w:asciiTheme="majorHAnsi" w:hAnsiTheme="majorHAnsi"/>
          <w:color w:val="000000"/>
          <w:sz w:val="20"/>
          <w:szCs w:val="20"/>
          <w:lang w:val="en"/>
        </w:rPr>
        <w:t xml:space="preserve">they claim that there are witness statements and evidence that, in their opinion, indicate that the </w:t>
      </w:r>
      <w:r w:rsidR="005204B8">
        <w:rPr>
          <w:rFonts w:asciiTheme="majorHAnsi" w:hAnsiTheme="majorHAnsi"/>
          <w:color w:val="000000"/>
          <w:sz w:val="20"/>
          <w:szCs w:val="20"/>
          <w:lang w:val="en"/>
        </w:rPr>
        <w:t>pellets</w:t>
      </w:r>
      <w:r>
        <w:rPr>
          <w:rFonts w:asciiTheme="majorHAnsi" w:hAnsiTheme="majorHAnsi"/>
          <w:color w:val="000000"/>
          <w:sz w:val="20"/>
          <w:szCs w:val="20"/>
          <w:lang w:val="en"/>
        </w:rPr>
        <w:t xml:space="preserve"> that wounded Mr. </w:t>
      </w:r>
      <w:proofErr w:type="spellStart"/>
      <w:r>
        <w:rPr>
          <w:rFonts w:asciiTheme="majorHAnsi" w:hAnsiTheme="majorHAnsi"/>
          <w:color w:val="000000"/>
          <w:sz w:val="20"/>
          <w:szCs w:val="20"/>
          <w:lang w:val="en"/>
        </w:rPr>
        <w:t>Gahona</w:t>
      </w:r>
      <w:proofErr w:type="spellEnd"/>
      <w:r>
        <w:rPr>
          <w:rFonts w:asciiTheme="majorHAnsi" w:hAnsiTheme="majorHAnsi"/>
          <w:color w:val="000000"/>
          <w:sz w:val="20"/>
          <w:szCs w:val="20"/>
          <w:lang w:val="en"/>
        </w:rPr>
        <w:t xml:space="preserve"> were those used by the Nicaraguan police. T</w:t>
      </w:r>
      <w:r>
        <w:rPr>
          <w:rFonts w:asciiTheme="majorHAnsi" w:hAnsiTheme="majorHAnsi"/>
          <w:sz w:val="20"/>
          <w:szCs w:val="20"/>
          <w:lang w:val="en"/>
        </w:rPr>
        <w:t>he Commission observes that, in general, the facts reported by the petitioners were well-known</w:t>
      </w:r>
      <w:r w:rsidR="005204B8">
        <w:rPr>
          <w:rFonts w:asciiTheme="majorHAnsi" w:hAnsiTheme="majorHAnsi"/>
          <w:sz w:val="20"/>
          <w:szCs w:val="20"/>
          <w:lang w:val="en"/>
        </w:rPr>
        <w:t>.</w:t>
      </w:r>
      <w:r>
        <w:rPr>
          <w:rStyle w:val="FootnoteReference"/>
          <w:rFonts w:asciiTheme="majorHAnsi" w:hAnsiTheme="majorHAnsi"/>
          <w:sz w:val="20"/>
          <w:szCs w:val="20"/>
          <w:lang w:val="en"/>
        </w:rPr>
        <w:footnoteReference w:id="4"/>
      </w:r>
      <w:r w:rsidR="005204B8">
        <w:rPr>
          <w:rFonts w:asciiTheme="majorHAnsi" w:hAnsiTheme="majorHAnsi"/>
          <w:sz w:val="20"/>
          <w:szCs w:val="20"/>
          <w:lang w:val="en"/>
        </w:rPr>
        <w:t xml:space="preserve"> </w:t>
      </w:r>
    </w:p>
    <w:p w14:paraId="49EBEB65" w14:textId="1EEC69E4" w:rsidR="003456A9" w:rsidRPr="00AB69FF" w:rsidRDefault="00984135"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color w:val="000000"/>
          <w:sz w:val="20"/>
          <w:szCs w:val="20"/>
        </w:rPr>
      </w:pPr>
      <w:r>
        <w:rPr>
          <w:rFonts w:asciiTheme="majorHAnsi" w:hAnsiTheme="majorHAnsi" w:cs="Calibri"/>
          <w:color w:val="000000"/>
          <w:sz w:val="20"/>
          <w:szCs w:val="20"/>
        </w:rPr>
        <w:t>Concerning this</w:t>
      </w:r>
      <w:r w:rsidR="003456A9">
        <w:rPr>
          <w:rFonts w:asciiTheme="majorHAnsi" w:hAnsiTheme="majorHAnsi" w:cs="Calibri"/>
          <w:color w:val="000000"/>
          <w:sz w:val="20"/>
          <w:szCs w:val="20"/>
          <w:lang w:val="en"/>
        </w:rPr>
        <w:t xml:space="preserve">, the Commission has previously established that in situations where a violation of the right to life is alleged, the domestic remedies to be considered for admissibility purposes are those related to the investigation and punishment of those responsible </w:t>
      </w:r>
      <w:r w:rsidR="00552088">
        <w:rPr>
          <w:rFonts w:asciiTheme="majorHAnsi" w:hAnsiTheme="majorHAnsi" w:cs="Calibri"/>
          <w:color w:val="000000"/>
          <w:sz w:val="20"/>
          <w:szCs w:val="20"/>
          <w:lang w:val="en"/>
        </w:rPr>
        <w:t>since,</w:t>
      </w:r>
      <w:r w:rsidR="003456A9">
        <w:rPr>
          <w:rFonts w:asciiTheme="majorHAnsi" w:hAnsiTheme="majorHAnsi" w:cs="Calibri"/>
          <w:color w:val="000000"/>
          <w:sz w:val="20"/>
          <w:szCs w:val="20"/>
          <w:lang w:val="en"/>
        </w:rPr>
        <w:t xml:space="preserve"> under domestic law, this is a criminal offense liable to </w:t>
      </w:r>
      <w:r w:rsidR="003456A9">
        <w:rPr>
          <w:rFonts w:asciiTheme="majorHAnsi" w:hAnsiTheme="majorHAnsi" w:cs="Calibri"/>
          <w:i/>
          <w:iCs/>
          <w:color w:val="000000"/>
          <w:sz w:val="20"/>
          <w:szCs w:val="20"/>
          <w:lang w:val="en"/>
        </w:rPr>
        <w:t>ex officio</w:t>
      </w:r>
      <w:r w:rsidR="003456A9">
        <w:rPr>
          <w:rFonts w:asciiTheme="majorHAnsi" w:hAnsiTheme="majorHAnsi" w:cs="Calibri"/>
          <w:color w:val="000000"/>
          <w:sz w:val="20"/>
          <w:szCs w:val="20"/>
          <w:lang w:val="en"/>
        </w:rPr>
        <w:t xml:space="preserve"> prosecution.</w:t>
      </w:r>
      <w:r w:rsidR="003456A9">
        <w:rPr>
          <w:rFonts w:asciiTheme="majorHAnsi" w:hAnsiTheme="majorHAnsi" w:cs="Calibri"/>
          <w:color w:val="000000"/>
          <w:sz w:val="20"/>
          <w:szCs w:val="20"/>
          <w:vertAlign w:val="superscript"/>
          <w:lang w:val="en"/>
        </w:rPr>
        <w:footnoteReference w:id="5"/>
      </w:r>
      <w:r w:rsidR="003456A9">
        <w:rPr>
          <w:rFonts w:asciiTheme="majorHAnsi" w:hAnsiTheme="majorHAnsi" w:cs="Calibri"/>
          <w:color w:val="000000"/>
          <w:sz w:val="20"/>
          <w:szCs w:val="20"/>
          <w:lang w:val="en"/>
        </w:rPr>
        <w:t xml:space="preserve"> This criterion </w:t>
      </w:r>
      <w:r w:rsidR="00552088">
        <w:rPr>
          <w:rFonts w:asciiTheme="majorHAnsi" w:hAnsiTheme="majorHAnsi" w:cs="Calibri"/>
          <w:color w:val="000000"/>
          <w:sz w:val="20"/>
          <w:szCs w:val="20"/>
          <w:lang w:val="en"/>
        </w:rPr>
        <w:t xml:space="preserve">applies </w:t>
      </w:r>
      <w:r w:rsidR="003456A9">
        <w:rPr>
          <w:rFonts w:asciiTheme="majorHAnsi" w:hAnsiTheme="majorHAnsi" w:cs="Calibri"/>
          <w:color w:val="000000"/>
          <w:sz w:val="20"/>
          <w:szCs w:val="20"/>
          <w:lang w:val="en"/>
        </w:rPr>
        <w:t xml:space="preserve">to a petition such as the present </w:t>
      </w:r>
      <w:r w:rsidR="00552088">
        <w:rPr>
          <w:rFonts w:asciiTheme="majorHAnsi" w:hAnsiTheme="majorHAnsi" w:cs="Calibri"/>
          <w:color w:val="000000"/>
          <w:sz w:val="20"/>
          <w:szCs w:val="20"/>
          <w:lang w:val="en"/>
        </w:rPr>
        <w:t>because</w:t>
      </w:r>
      <w:r w:rsidR="003456A9">
        <w:rPr>
          <w:rFonts w:asciiTheme="majorHAnsi" w:hAnsiTheme="majorHAnsi" w:cs="Calibri"/>
          <w:color w:val="000000"/>
          <w:sz w:val="20"/>
          <w:szCs w:val="20"/>
          <w:lang w:val="en"/>
        </w:rPr>
        <w:t xml:space="preserve"> the petitioners’ main claim </w:t>
      </w:r>
      <w:r w:rsidR="00E9322C">
        <w:rPr>
          <w:rFonts w:asciiTheme="majorHAnsi" w:hAnsiTheme="majorHAnsi" w:cs="Calibri"/>
          <w:color w:val="000000"/>
          <w:sz w:val="20"/>
          <w:szCs w:val="20"/>
          <w:lang w:val="en"/>
        </w:rPr>
        <w:t xml:space="preserve">is about </w:t>
      </w:r>
      <w:r w:rsidR="00552088">
        <w:rPr>
          <w:rFonts w:asciiTheme="majorHAnsi" w:hAnsiTheme="majorHAnsi" w:cs="Calibri"/>
          <w:color w:val="000000"/>
          <w:sz w:val="20"/>
          <w:szCs w:val="20"/>
          <w:lang w:val="en"/>
        </w:rPr>
        <w:t>a</w:t>
      </w:r>
      <w:r w:rsidR="003456A9">
        <w:rPr>
          <w:rFonts w:asciiTheme="majorHAnsi" w:hAnsiTheme="majorHAnsi" w:cs="Calibri"/>
          <w:color w:val="000000"/>
          <w:sz w:val="20"/>
          <w:szCs w:val="20"/>
          <w:lang w:val="en"/>
        </w:rPr>
        <w:t xml:space="preserve"> </w:t>
      </w:r>
      <w:r w:rsidR="00E9322C">
        <w:rPr>
          <w:rFonts w:asciiTheme="majorHAnsi" w:hAnsiTheme="majorHAnsi" w:cs="Calibri"/>
          <w:color w:val="000000"/>
          <w:sz w:val="20"/>
          <w:szCs w:val="20"/>
          <w:lang w:val="en"/>
        </w:rPr>
        <w:t>failure to adequately</w:t>
      </w:r>
      <w:r w:rsidR="003456A9">
        <w:rPr>
          <w:rFonts w:asciiTheme="majorHAnsi" w:hAnsiTheme="majorHAnsi" w:cs="Calibri"/>
          <w:color w:val="000000"/>
          <w:sz w:val="20"/>
          <w:szCs w:val="20"/>
          <w:lang w:val="en"/>
        </w:rPr>
        <w:t xml:space="preserve"> investigat</w:t>
      </w:r>
      <w:r w:rsidR="00E9322C">
        <w:rPr>
          <w:rFonts w:asciiTheme="majorHAnsi" w:hAnsiTheme="majorHAnsi" w:cs="Calibri"/>
          <w:color w:val="000000"/>
          <w:sz w:val="20"/>
          <w:szCs w:val="20"/>
          <w:lang w:val="en"/>
        </w:rPr>
        <w:t>e</w:t>
      </w:r>
      <w:r w:rsidR="003456A9">
        <w:rPr>
          <w:rFonts w:asciiTheme="majorHAnsi" w:hAnsiTheme="majorHAnsi" w:cs="Calibri"/>
          <w:color w:val="000000"/>
          <w:sz w:val="20"/>
          <w:szCs w:val="20"/>
          <w:lang w:val="en"/>
        </w:rPr>
        <w:t xml:space="preserve"> and punish the violations of the right to life. Moreover, these crimes are liable to </w:t>
      </w:r>
      <w:r w:rsidR="003456A9">
        <w:rPr>
          <w:rFonts w:asciiTheme="majorHAnsi" w:hAnsiTheme="majorHAnsi" w:cs="Calibri"/>
          <w:i/>
          <w:iCs/>
          <w:color w:val="000000"/>
          <w:sz w:val="20"/>
          <w:szCs w:val="20"/>
          <w:lang w:val="en"/>
        </w:rPr>
        <w:t>ex officio</w:t>
      </w:r>
      <w:r w:rsidR="003456A9">
        <w:rPr>
          <w:rFonts w:asciiTheme="majorHAnsi" w:hAnsiTheme="majorHAnsi" w:cs="Calibri"/>
          <w:color w:val="000000"/>
          <w:sz w:val="20"/>
          <w:szCs w:val="20"/>
          <w:lang w:val="en"/>
        </w:rPr>
        <w:t xml:space="preserve"> prosecution and, </w:t>
      </w:r>
      <w:proofErr w:type="gramStart"/>
      <w:r w:rsidR="003456A9">
        <w:rPr>
          <w:rFonts w:asciiTheme="majorHAnsi" w:hAnsiTheme="majorHAnsi" w:cs="Calibri"/>
          <w:color w:val="000000"/>
          <w:sz w:val="20"/>
          <w:szCs w:val="20"/>
          <w:lang w:val="en"/>
        </w:rPr>
        <w:t>as a general rule</w:t>
      </w:r>
      <w:proofErr w:type="gramEnd"/>
      <w:r w:rsidR="003456A9">
        <w:rPr>
          <w:rFonts w:asciiTheme="majorHAnsi" w:hAnsiTheme="majorHAnsi" w:cs="Calibri"/>
          <w:color w:val="000000"/>
          <w:sz w:val="20"/>
          <w:szCs w:val="20"/>
          <w:lang w:val="en"/>
        </w:rPr>
        <w:t>, a criminal investigation must be conducted promptly to protect the interests of the victims, preserve the evidence, and also safeguard the rights of anyone deemed a suspect in the framework of the investigation.</w:t>
      </w:r>
      <w:r w:rsidR="003456A9">
        <w:rPr>
          <w:rFonts w:asciiTheme="majorHAnsi" w:hAnsiTheme="majorHAnsi" w:cs="Calibri"/>
          <w:color w:val="000000"/>
          <w:sz w:val="20"/>
          <w:szCs w:val="20"/>
          <w:vertAlign w:val="superscript"/>
          <w:lang w:val="en"/>
        </w:rPr>
        <w:footnoteReference w:id="6"/>
      </w:r>
      <w:r w:rsidR="003456A9">
        <w:rPr>
          <w:rFonts w:asciiTheme="majorHAnsi" w:hAnsiTheme="majorHAnsi" w:cs="Calibri"/>
          <w:color w:val="000000"/>
          <w:sz w:val="20"/>
          <w:szCs w:val="20"/>
          <w:lang w:val="en"/>
        </w:rPr>
        <w:t xml:space="preserve"> </w:t>
      </w:r>
    </w:p>
    <w:p w14:paraId="7AB24DBE" w14:textId="28B83F56"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color w:val="000000"/>
          <w:sz w:val="20"/>
          <w:szCs w:val="20"/>
        </w:rPr>
      </w:pPr>
      <w:r>
        <w:rPr>
          <w:rFonts w:asciiTheme="majorHAnsi" w:hAnsiTheme="majorHAnsi"/>
          <w:color w:val="000000"/>
          <w:sz w:val="20"/>
          <w:szCs w:val="20"/>
          <w:lang w:val="en"/>
        </w:rPr>
        <w:t xml:space="preserve">In this case and according to the information submitted by the parties, the Commission notes that following the alleged victim’s death, a criminal investigation was filed </w:t>
      </w:r>
      <w:r>
        <w:rPr>
          <w:rFonts w:asciiTheme="majorHAnsi" w:hAnsiTheme="majorHAnsi"/>
          <w:i/>
          <w:iCs/>
          <w:color w:val="000000"/>
          <w:sz w:val="20"/>
          <w:szCs w:val="20"/>
          <w:lang w:val="en"/>
        </w:rPr>
        <w:t>ex officio</w:t>
      </w:r>
      <w:r>
        <w:rPr>
          <w:rFonts w:asciiTheme="majorHAnsi" w:hAnsiTheme="majorHAnsi"/>
          <w:color w:val="000000"/>
          <w:sz w:val="20"/>
          <w:szCs w:val="20"/>
          <w:lang w:val="en"/>
        </w:rPr>
        <w:t xml:space="preserve"> on May 7, 2018, that resulted in the conviction and subsequent amnesty of Mr. </w:t>
      </w:r>
      <w:proofErr w:type="spellStart"/>
      <w:r>
        <w:rPr>
          <w:rFonts w:asciiTheme="majorHAnsi" w:hAnsiTheme="majorHAnsi"/>
          <w:color w:val="000000"/>
          <w:sz w:val="20"/>
          <w:szCs w:val="20"/>
          <w:lang w:val="en"/>
        </w:rPr>
        <w:t>Lovo</w:t>
      </w:r>
      <w:proofErr w:type="spellEnd"/>
      <w:r>
        <w:rPr>
          <w:rFonts w:asciiTheme="majorHAnsi" w:hAnsiTheme="majorHAnsi"/>
          <w:color w:val="000000"/>
          <w:sz w:val="20"/>
          <w:szCs w:val="20"/>
          <w:lang w:val="en"/>
        </w:rPr>
        <w:t xml:space="preserve"> and Mr. Slate. </w:t>
      </w:r>
      <w:r>
        <w:rPr>
          <w:rFonts w:asciiTheme="majorHAnsi" w:hAnsiTheme="majorHAnsi"/>
          <w:sz w:val="20"/>
          <w:szCs w:val="20"/>
          <w:lang w:val="en"/>
        </w:rPr>
        <w:t xml:space="preserve">For its part, the State has not disputed the exhaustion of domestic remedies or the timeliness of the petition. </w:t>
      </w:r>
      <w:r>
        <w:rPr>
          <w:rFonts w:asciiTheme="majorHAnsi" w:hAnsiTheme="majorHAnsi"/>
          <w:color w:val="000000"/>
          <w:sz w:val="20"/>
          <w:szCs w:val="20"/>
          <w:lang w:val="en"/>
        </w:rPr>
        <w:t>Therefore</w:t>
      </w:r>
      <w:r w:rsidR="004224EE">
        <w:rPr>
          <w:rFonts w:asciiTheme="majorHAnsi" w:hAnsiTheme="majorHAnsi"/>
          <w:color w:val="000000"/>
          <w:sz w:val="20"/>
          <w:szCs w:val="20"/>
          <w:lang w:val="en"/>
        </w:rPr>
        <w:t xml:space="preserve"> and </w:t>
      </w:r>
      <w:r>
        <w:rPr>
          <w:rFonts w:asciiTheme="majorHAnsi" w:hAnsiTheme="majorHAnsi"/>
          <w:color w:val="000000"/>
          <w:sz w:val="20"/>
          <w:szCs w:val="20"/>
          <w:lang w:val="en"/>
        </w:rPr>
        <w:t>considering the context of the repression of civilians, including journalists, by the Nicaraguan police in April 2018</w:t>
      </w:r>
      <w:r w:rsidR="004224EE">
        <w:rPr>
          <w:rFonts w:asciiTheme="majorHAnsi" w:hAnsiTheme="majorHAnsi"/>
          <w:color w:val="000000"/>
          <w:sz w:val="20"/>
          <w:szCs w:val="20"/>
          <w:lang w:val="en"/>
        </w:rPr>
        <w:t>,</w:t>
      </w:r>
      <w:r>
        <w:rPr>
          <w:rFonts w:asciiTheme="majorHAnsi" w:hAnsiTheme="majorHAnsi"/>
          <w:color w:val="000000"/>
          <w:sz w:val="20"/>
          <w:szCs w:val="20"/>
          <w:lang w:val="en"/>
        </w:rPr>
        <w:t xml:space="preserve"> and </w:t>
      </w:r>
      <w:r w:rsidR="004224EE">
        <w:rPr>
          <w:rFonts w:asciiTheme="majorHAnsi" w:hAnsiTheme="majorHAnsi"/>
          <w:color w:val="000000"/>
          <w:sz w:val="20"/>
          <w:szCs w:val="20"/>
          <w:lang w:val="en"/>
        </w:rPr>
        <w:t>the fact that although</w:t>
      </w:r>
      <w:r>
        <w:rPr>
          <w:rFonts w:asciiTheme="majorHAnsi" w:hAnsiTheme="majorHAnsi"/>
          <w:color w:val="000000"/>
          <w:sz w:val="20"/>
          <w:szCs w:val="20"/>
          <w:lang w:val="en"/>
        </w:rPr>
        <w:t xml:space="preserve"> it has been over five years since the alleged victim’s death</w:t>
      </w:r>
      <w:r w:rsidR="004224EE">
        <w:rPr>
          <w:rFonts w:asciiTheme="majorHAnsi" w:hAnsiTheme="majorHAnsi"/>
          <w:color w:val="000000"/>
          <w:sz w:val="20"/>
          <w:szCs w:val="20"/>
          <w:lang w:val="en"/>
        </w:rPr>
        <w:t xml:space="preserve">, </w:t>
      </w:r>
      <w:r>
        <w:rPr>
          <w:rFonts w:asciiTheme="majorHAnsi" w:hAnsiTheme="majorHAnsi"/>
          <w:color w:val="000000"/>
          <w:sz w:val="20"/>
          <w:szCs w:val="20"/>
          <w:lang w:val="en"/>
        </w:rPr>
        <w:t xml:space="preserve">the facts have not been clarified, those responsible have not been punished, and the family members have not been granted reparations, the IACHR </w:t>
      </w:r>
      <w:r w:rsidR="004224EE">
        <w:rPr>
          <w:rFonts w:asciiTheme="majorHAnsi" w:hAnsiTheme="majorHAnsi"/>
          <w:color w:val="000000"/>
          <w:sz w:val="20"/>
          <w:szCs w:val="20"/>
          <w:lang w:val="en"/>
        </w:rPr>
        <w:t>believes</w:t>
      </w:r>
      <w:r>
        <w:rPr>
          <w:rFonts w:asciiTheme="majorHAnsi" w:hAnsiTheme="majorHAnsi"/>
          <w:color w:val="000000"/>
          <w:sz w:val="20"/>
          <w:szCs w:val="20"/>
          <w:lang w:val="en"/>
        </w:rPr>
        <w:t xml:space="preserve"> that the exception to the requirement to exhaust domestic remedies </w:t>
      </w:r>
      <w:r w:rsidR="004224EE">
        <w:rPr>
          <w:rFonts w:asciiTheme="majorHAnsi" w:hAnsiTheme="majorHAnsi"/>
          <w:color w:val="000000"/>
          <w:sz w:val="20"/>
          <w:szCs w:val="20"/>
          <w:lang w:val="en"/>
        </w:rPr>
        <w:t>is applicable</w:t>
      </w:r>
      <w:r>
        <w:rPr>
          <w:rFonts w:asciiTheme="majorHAnsi" w:hAnsiTheme="majorHAnsi"/>
          <w:color w:val="000000"/>
          <w:sz w:val="20"/>
          <w:szCs w:val="20"/>
          <w:lang w:val="en"/>
        </w:rPr>
        <w:t xml:space="preserve"> under Article 46.2.c of the American Convention. </w:t>
      </w:r>
    </w:p>
    <w:p w14:paraId="255D59E0" w14:textId="246F4DC8"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color w:val="000000"/>
          <w:sz w:val="20"/>
          <w:szCs w:val="20"/>
        </w:rPr>
      </w:pPr>
      <w:r>
        <w:rPr>
          <w:rFonts w:asciiTheme="majorHAnsi" w:hAnsiTheme="majorHAnsi" w:cs="Calibri"/>
          <w:color w:val="000000"/>
          <w:sz w:val="20"/>
          <w:szCs w:val="20"/>
          <w:lang w:val="en"/>
        </w:rPr>
        <w:t xml:space="preserve">However, the Commission takes note of the claims presented by the State regarding the procedures carried out in the investigation of the facts reported, as these will be considered in the merits stage of this case. In that stage, it is to the petitioners to demonstrate their allegations against </w:t>
      </w:r>
      <w:r w:rsidR="00552088">
        <w:rPr>
          <w:rFonts w:asciiTheme="majorHAnsi" w:hAnsiTheme="majorHAnsi" w:cs="Calibri"/>
          <w:color w:val="000000"/>
          <w:sz w:val="20"/>
          <w:szCs w:val="20"/>
          <w:lang w:val="en"/>
        </w:rPr>
        <w:t>how</w:t>
      </w:r>
      <w:r>
        <w:rPr>
          <w:rFonts w:asciiTheme="majorHAnsi" w:hAnsiTheme="majorHAnsi" w:cs="Calibri"/>
          <w:color w:val="000000"/>
          <w:sz w:val="20"/>
          <w:szCs w:val="20"/>
          <w:lang w:val="en"/>
        </w:rPr>
        <w:t xml:space="preserve"> the State conducted and concluded the investigations of the facts reported.</w:t>
      </w:r>
      <w:r>
        <w:rPr>
          <w:rFonts w:asciiTheme="majorHAnsi" w:hAnsiTheme="majorHAnsi" w:cs="Calibri"/>
          <w:color w:val="000000"/>
          <w:sz w:val="20"/>
          <w:szCs w:val="20"/>
          <w:vertAlign w:val="superscript"/>
          <w:lang w:val="en"/>
        </w:rPr>
        <w:footnoteReference w:id="7"/>
      </w:r>
      <w:r w:rsidR="00552088">
        <w:rPr>
          <w:rFonts w:asciiTheme="majorHAnsi" w:hAnsiTheme="majorHAnsi" w:cs="Calibri"/>
          <w:color w:val="000000"/>
          <w:sz w:val="20"/>
          <w:szCs w:val="20"/>
          <w:lang w:val="en"/>
        </w:rPr>
        <w:t xml:space="preserve"> </w:t>
      </w:r>
    </w:p>
    <w:p w14:paraId="094DB6ED" w14:textId="77777777"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color w:val="000000"/>
          <w:sz w:val="20"/>
          <w:szCs w:val="20"/>
        </w:rPr>
      </w:pPr>
      <w:r>
        <w:rPr>
          <w:rFonts w:asciiTheme="majorHAnsi" w:hAnsiTheme="majorHAnsi" w:cs="Calibri"/>
          <w:color w:val="000000"/>
          <w:sz w:val="20"/>
          <w:szCs w:val="20"/>
          <w:lang w:val="en"/>
        </w:rPr>
        <w:t xml:space="preserve">Concerning the timeliness of the petition, the Commission takes into consideration that the murder of the alleged victim was committed on April 21, 2018, that it received this petition on May 19, 2018, and that some of the consequences appear to persist to date. Therefore, it concludes that this petition was filed within a reasonable time under the terms of Article 32.2 of its Rules of Procedure. </w:t>
      </w:r>
    </w:p>
    <w:p w14:paraId="056F5FB1" w14:textId="77777777" w:rsidR="003456A9" w:rsidRPr="00AB69FF" w:rsidRDefault="003456A9" w:rsidP="003456A9">
      <w:pPr>
        <w:suppressAutoHyphens/>
        <w:spacing w:after="240"/>
        <w:ind w:firstLine="720"/>
        <w:jc w:val="both"/>
        <w:rPr>
          <w:rFonts w:asciiTheme="majorHAnsi" w:hAnsiTheme="majorHAnsi"/>
          <w:b/>
          <w:bCs/>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1CB6C89E" w14:textId="42D198B2" w:rsidR="003456A9" w:rsidRPr="00AB69F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sz w:val="20"/>
          <w:szCs w:val="20"/>
          <w:lang w:val="en"/>
        </w:rPr>
        <w:t>The IACHR is aware that in mid</w:t>
      </w:r>
      <w:r w:rsidR="00815F2E">
        <w:rPr>
          <w:rFonts w:asciiTheme="majorHAnsi" w:hAnsiTheme="majorHAnsi"/>
          <w:sz w:val="20"/>
          <w:szCs w:val="20"/>
          <w:lang w:val="en"/>
        </w:rPr>
        <w:t>-</w:t>
      </w:r>
      <w:r>
        <w:rPr>
          <w:rFonts w:asciiTheme="majorHAnsi" w:hAnsiTheme="majorHAnsi"/>
          <w:sz w:val="20"/>
          <w:szCs w:val="20"/>
          <w:lang w:val="en"/>
        </w:rPr>
        <w:t>April 2018 young people and environmentalists demonstrated against alleged</w:t>
      </w:r>
      <w:r w:rsidR="004224EE">
        <w:rPr>
          <w:rFonts w:asciiTheme="majorHAnsi" w:hAnsiTheme="majorHAnsi"/>
          <w:sz w:val="20"/>
          <w:szCs w:val="20"/>
          <w:lang w:val="en"/>
        </w:rPr>
        <w:t>ly</w:t>
      </w:r>
      <w:r>
        <w:rPr>
          <w:rFonts w:asciiTheme="majorHAnsi" w:hAnsiTheme="majorHAnsi"/>
          <w:sz w:val="20"/>
          <w:szCs w:val="20"/>
          <w:lang w:val="en"/>
        </w:rPr>
        <w:t xml:space="preserve"> ineffective measures by the State to combat the large fire in the forest of Indio-</w:t>
      </w:r>
      <w:proofErr w:type="spellStart"/>
      <w:r>
        <w:rPr>
          <w:rFonts w:asciiTheme="majorHAnsi" w:hAnsiTheme="majorHAnsi"/>
          <w:sz w:val="20"/>
          <w:szCs w:val="20"/>
          <w:lang w:val="en"/>
        </w:rPr>
        <w:t>Maíz</w:t>
      </w:r>
      <w:proofErr w:type="spellEnd"/>
      <w:r>
        <w:rPr>
          <w:rFonts w:asciiTheme="majorHAnsi" w:hAnsiTheme="majorHAnsi"/>
          <w:sz w:val="20"/>
          <w:szCs w:val="20"/>
          <w:lang w:val="en"/>
        </w:rPr>
        <w:t xml:space="preserve"> Biological Reserve. A few days later, massive protests were held across Nicaragua against the approval of reforms to the Law on Social Security that increased workers’ and employers’ contributions and cut pensioners’ </w:t>
      </w:r>
      <w:r>
        <w:rPr>
          <w:rFonts w:asciiTheme="majorHAnsi" w:hAnsiTheme="majorHAnsi"/>
          <w:sz w:val="20"/>
          <w:szCs w:val="20"/>
          <w:lang w:val="en"/>
        </w:rPr>
        <w:lastRenderedPageBreak/>
        <w:t xml:space="preserve">pay by an additional five percent. Although a few days later the government withdrew those reforms, the protests continued and included other complaints to the government. </w:t>
      </w:r>
    </w:p>
    <w:p w14:paraId="2B3B1B88" w14:textId="17B048A1" w:rsidR="003456A9" w:rsidRPr="00DA610F"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sz w:val="20"/>
          <w:szCs w:val="20"/>
          <w:lang w:val="en"/>
        </w:rPr>
        <w:t xml:space="preserve">In this regard, in its preliminary observations on its working visit to Nicaragua, from May 17 to 21, 2018, </w:t>
      </w:r>
      <w:r>
        <w:rPr>
          <w:rFonts w:asciiTheme="majorHAnsi" w:hAnsiTheme="majorHAnsi"/>
          <w:color w:val="000000"/>
          <w:sz w:val="20"/>
          <w:szCs w:val="20"/>
          <w:lang w:val="en"/>
        </w:rPr>
        <w:t xml:space="preserve">the Inter-American Commission reported that from April 18 </w:t>
      </w:r>
      <w:r w:rsidR="008C45B0">
        <w:rPr>
          <w:rFonts w:asciiTheme="majorHAnsi" w:hAnsiTheme="majorHAnsi"/>
          <w:color w:val="000000"/>
          <w:sz w:val="20"/>
          <w:szCs w:val="20"/>
          <w:lang w:val="en"/>
        </w:rPr>
        <w:t>to</w:t>
      </w:r>
      <w:r>
        <w:rPr>
          <w:rFonts w:asciiTheme="majorHAnsi" w:hAnsiTheme="majorHAnsi"/>
          <w:color w:val="000000"/>
          <w:sz w:val="20"/>
          <w:szCs w:val="20"/>
          <w:lang w:val="en"/>
        </w:rPr>
        <w:t xml:space="preserve"> May 21, at least 76 people were killed and 868 were wounded, the vast majority in the context of the protests. In addition, 438 people were detained, including students, human rights defenders, journalists, and other members of the civilian population. Thus, in its preliminary observations on its working visit to Nicaragua, the IACHR “</w:t>
      </w:r>
      <w:r>
        <w:rPr>
          <w:rFonts w:asciiTheme="majorHAnsi" w:hAnsiTheme="majorHAnsi"/>
          <w:i/>
          <w:iCs/>
          <w:color w:val="000000"/>
          <w:sz w:val="20"/>
          <w:szCs w:val="20"/>
          <w:lang w:val="en"/>
        </w:rPr>
        <w:t>emphatically [condemned] the deaths, attacks and arbitrary detention of students, demonstrators, journalists, and other citizens that have occurred in Nicaragua since the beginning of the protests, and which have continued to date</w:t>
      </w:r>
      <w:r>
        <w:rPr>
          <w:rFonts w:asciiTheme="majorHAnsi" w:hAnsiTheme="majorHAnsi"/>
          <w:color w:val="000000"/>
          <w:sz w:val="20"/>
          <w:szCs w:val="20"/>
          <w:lang w:val="en"/>
        </w:rPr>
        <w:t>.”</w:t>
      </w:r>
      <w:r>
        <w:rPr>
          <w:rStyle w:val="FootnoteReference"/>
          <w:rFonts w:asciiTheme="majorHAnsi" w:hAnsiTheme="majorHAnsi" w:cs="Calibri"/>
          <w:color w:val="000000"/>
          <w:sz w:val="20"/>
          <w:szCs w:val="20"/>
          <w:lang w:val="en"/>
        </w:rPr>
        <w:footnoteReference w:id="8"/>
      </w:r>
    </w:p>
    <w:p w14:paraId="159C0AD9" w14:textId="0E13E474" w:rsidR="003456A9" w:rsidRPr="003456A9" w:rsidRDefault="003456A9" w:rsidP="003456A9">
      <w:pPr>
        <w:pStyle w:val="NormalWeb"/>
        <w:numPr>
          <w:ilvl w:val="0"/>
          <w:numId w:val="103"/>
        </w:numPr>
        <w:spacing w:before="0" w:beforeAutospacing="0" w:after="240" w:afterAutospacing="0"/>
        <w:jc w:val="both"/>
        <w:rPr>
          <w:rFonts w:ascii="Cambria" w:hAnsi="Cambria"/>
          <w:bCs/>
          <w:sz w:val="20"/>
          <w:szCs w:val="20"/>
          <w:lang w:val="en-GB"/>
        </w:rPr>
      </w:pPr>
      <w:r>
        <w:rPr>
          <w:rFonts w:ascii="Cambria" w:hAnsi="Cambria"/>
          <w:sz w:val="20"/>
          <w:szCs w:val="20"/>
          <w:lang w:val="en"/>
        </w:rPr>
        <w:t xml:space="preserve">On June 21, 2018, the IACHR issued its Final Report: “Gross Human Rights Violations in the Context of Social Protests in Nicaragua,” where it concludes that the violent measures adopted by the State were always aimed at discouraging participation in the protests. </w:t>
      </w:r>
      <w:r w:rsidR="00552088">
        <w:rPr>
          <w:rFonts w:ascii="Cambria" w:hAnsi="Cambria"/>
          <w:sz w:val="20"/>
          <w:szCs w:val="20"/>
          <w:lang w:val="en"/>
        </w:rPr>
        <w:t>Following</w:t>
      </w:r>
      <w:r>
        <w:rPr>
          <w:rFonts w:ascii="Cambria" w:hAnsi="Cambria"/>
          <w:sz w:val="20"/>
          <w:szCs w:val="20"/>
          <w:lang w:val="en"/>
        </w:rPr>
        <w:t xml:space="preserve"> the recommendations </w:t>
      </w:r>
      <w:r w:rsidR="008C45B0">
        <w:rPr>
          <w:rFonts w:ascii="Cambria" w:hAnsi="Cambria"/>
          <w:sz w:val="20"/>
          <w:szCs w:val="20"/>
          <w:lang w:val="en"/>
        </w:rPr>
        <w:t>proposed</w:t>
      </w:r>
      <w:r>
        <w:rPr>
          <w:rFonts w:ascii="Cambria" w:hAnsi="Cambria"/>
          <w:sz w:val="20"/>
          <w:szCs w:val="20"/>
          <w:lang w:val="en"/>
        </w:rPr>
        <w:t xml:space="preserve">, on June 24, 2018, the Commission launched </w:t>
      </w:r>
      <w:r>
        <w:rPr>
          <w:rFonts w:ascii="Cambria" w:hAnsi="Cambria"/>
          <w:sz w:val="20"/>
          <w:szCs w:val="20"/>
          <w:shd w:val="clear" w:color="auto" w:fill="FFFFFF"/>
          <w:lang w:val="en"/>
        </w:rPr>
        <w:t>the Special Monitoring Mechanism for Nicaragua (MESENI</w:t>
      </w:r>
      <w:r w:rsidR="008C45B0">
        <w:rPr>
          <w:rFonts w:ascii="Cambria" w:hAnsi="Cambria"/>
          <w:sz w:val="20"/>
          <w:szCs w:val="20"/>
          <w:shd w:val="clear" w:color="auto" w:fill="FFFFFF"/>
          <w:lang w:val="en"/>
        </w:rPr>
        <w:t>,</w:t>
      </w:r>
      <w:r>
        <w:rPr>
          <w:rFonts w:ascii="Cambria" w:hAnsi="Cambria"/>
          <w:sz w:val="20"/>
          <w:szCs w:val="20"/>
          <w:shd w:val="clear" w:color="auto" w:fill="FFFFFF"/>
          <w:lang w:val="en"/>
        </w:rPr>
        <w:t xml:space="preserve"> by its acronym in Spanish) and, subsequently,</w:t>
      </w:r>
      <w:r>
        <w:rPr>
          <w:rFonts w:ascii="Cambria" w:hAnsi="Cambria"/>
          <w:sz w:val="20"/>
          <w:szCs w:val="20"/>
          <w:lang w:val="en"/>
        </w:rPr>
        <w:t xml:space="preserve"> on July 2, 2018, it announced the creation of an Interdisciplinary Group of Independent Experts (GIEI) to assist and support the investigations into the deaths perpetrated in the context of the violent events in Nicaragua, including </w:t>
      </w:r>
      <w:r>
        <w:rPr>
          <w:rFonts w:asciiTheme="majorHAnsi" w:hAnsiTheme="majorHAnsi"/>
          <w:sz w:val="20"/>
          <w:szCs w:val="20"/>
          <w:lang w:val="en"/>
        </w:rPr>
        <w:t xml:space="preserve">the death of Mr. </w:t>
      </w:r>
      <w:proofErr w:type="spellStart"/>
      <w:r>
        <w:rPr>
          <w:rFonts w:asciiTheme="majorHAnsi" w:hAnsiTheme="majorHAnsi"/>
          <w:sz w:val="20"/>
          <w:szCs w:val="20"/>
          <w:lang w:val="en"/>
        </w:rPr>
        <w:t>Ángel</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Gahona</w:t>
      </w:r>
      <w:proofErr w:type="spellEnd"/>
      <w:r>
        <w:rPr>
          <w:rFonts w:asciiTheme="majorHAnsi" w:hAnsiTheme="majorHAnsi"/>
          <w:sz w:val="20"/>
          <w:szCs w:val="20"/>
          <w:lang w:val="en"/>
        </w:rPr>
        <w:t>.</w:t>
      </w:r>
      <w:r>
        <w:rPr>
          <w:rStyle w:val="FootnoteReference"/>
          <w:rFonts w:ascii="Cambria" w:hAnsi="Cambria"/>
          <w:sz w:val="20"/>
          <w:szCs w:val="20"/>
          <w:lang w:val="en"/>
        </w:rPr>
        <w:footnoteReference w:id="9"/>
      </w:r>
      <w:r>
        <w:rPr>
          <w:rFonts w:asciiTheme="majorHAnsi" w:hAnsiTheme="majorHAnsi"/>
          <w:sz w:val="20"/>
          <w:szCs w:val="20"/>
          <w:lang w:val="en"/>
        </w:rPr>
        <w:t xml:space="preserve"> </w:t>
      </w:r>
      <w:r>
        <w:rPr>
          <w:rFonts w:ascii="Cambria" w:hAnsi="Cambria"/>
          <w:sz w:val="20"/>
          <w:szCs w:val="20"/>
          <w:lang w:val="en"/>
        </w:rPr>
        <w:t xml:space="preserve">On December 21, 2018, </w:t>
      </w:r>
      <w:r w:rsidR="008C45B0">
        <w:rPr>
          <w:rFonts w:ascii="Cambria" w:hAnsi="Cambria"/>
          <w:sz w:val="20"/>
          <w:szCs w:val="20"/>
          <w:lang w:val="en"/>
        </w:rPr>
        <w:t xml:space="preserve">the </w:t>
      </w:r>
      <w:r>
        <w:rPr>
          <w:rFonts w:ascii="Cambria" w:hAnsi="Cambria"/>
          <w:sz w:val="20"/>
          <w:szCs w:val="20"/>
          <w:lang w:val="en"/>
        </w:rPr>
        <w:t xml:space="preserve">GIEI presented its “Report on the Violent Events that Took Place in Nicaragua between April 18 and May 30, 2018,” </w:t>
      </w:r>
      <w:r w:rsidR="008C45B0">
        <w:rPr>
          <w:rFonts w:ascii="Cambria" w:hAnsi="Cambria"/>
          <w:sz w:val="20"/>
          <w:szCs w:val="20"/>
          <w:lang w:val="en"/>
        </w:rPr>
        <w:t>where</w:t>
      </w:r>
      <w:r>
        <w:rPr>
          <w:rFonts w:ascii="Cambria" w:hAnsi="Cambria"/>
          <w:sz w:val="20"/>
          <w:szCs w:val="20"/>
          <w:lang w:val="en"/>
        </w:rPr>
        <w:t xml:space="preserve"> it states that the serious deficiencies in the investigation of the case “lead to infer that the judicial proceedings had no purpose other than to hastily produce results regarding a death that had achieved national and international</w:t>
      </w:r>
      <w:r w:rsidR="008C45B0" w:rsidRPr="008C45B0">
        <w:rPr>
          <w:rFonts w:ascii="Cambria" w:hAnsi="Cambria"/>
          <w:sz w:val="20"/>
          <w:szCs w:val="20"/>
          <w:lang w:val="en"/>
        </w:rPr>
        <w:t xml:space="preserve"> </w:t>
      </w:r>
      <w:r w:rsidR="008C45B0">
        <w:rPr>
          <w:rFonts w:ascii="Cambria" w:hAnsi="Cambria"/>
          <w:sz w:val="20"/>
          <w:szCs w:val="20"/>
          <w:lang w:val="en"/>
        </w:rPr>
        <w:t>notoriety</w:t>
      </w:r>
      <w:r>
        <w:rPr>
          <w:rFonts w:ascii="Cambria" w:hAnsi="Cambria"/>
          <w:sz w:val="20"/>
          <w:szCs w:val="20"/>
          <w:lang w:val="en"/>
        </w:rPr>
        <w:t>.”</w:t>
      </w:r>
      <w:r>
        <w:rPr>
          <w:rStyle w:val="FootnoteReference"/>
          <w:rFonts w:ascii="Cambria" w:hAnsi="Cambria"/>
          <w:sz w:val="20"/>
          <w:szCs w:val="20"/>
          <w:lang w:val="en"/>
        </w:rPr>
        <w:footnoteReference w:id="10"/>
      </w:r>
      <w:r>
        <w:rPr>
          <w:rStyle w:val="FootnoteReference"/>
          <w:rFonts w:ascii="Cambria" w:hAnsi="Cambria"/>
          <w:sz w:val="20"/>
          <w:szCs w:val="20"/>
          <w:lang w:val="en"/>
        </w:rPr>
        <w:t xml:space="preserve"> </w:t>
      </w:r>
    </w:p>
    <w:p w14:paraId="1E58E387" w14:textId="77777777" w:rsidR="003456A9" w:rsidRPr="003456A9" w:rsidRDefault="003456A9" w:rsidP="003456A9">
      <w:pPr>
        <w:pStyle w:val="NormalWeb"/>
        <w:numPr>
          <w:ilvl w:val="0"/>
          <w:numId w:val="103"/>
        </w:numPr>
        <w:spacing w:before="0" w:beforeAutospacing="0" w:after="240" w:afterAutospacing="0"/>
        <w:jc w:val="both"/>
        <w:rPr>
          <w:rFonts w:asciiTheme="majorHAnsi" w:hAnsiTheme="majorHAnsi"/>
          <w:bCs/>
          <w:sz w:val="20"/>
          <w:szCs w:val="20"/>
          <w:lang w:val="en-GB"/>
        </w:rPr>
      </w:pPr>
      <w:r>
        <w:rPr>
          <w:rFonts w:asciiTheme="majorHAnsi" w:hAnsiTheme="majorHAnsi"/>
          <w:sz w:val="20"/>
          <w:szCs w:val="20"/>
          <w:lang w:val="en"/>
        </w:rPr>
        <w:t>Finally, on November 30, 2020, in its report “Persons Deprived of Liberty in Nicaragua in connection with the Human Rights Crisis that Began on April 18, 2018,” the IACHR noticed that from the beginning of the social protests, the State of Nicaragua has used the practices of arbitrary detention and deprivation of liberty with the main objective of suppressing any political dissent from the current regime and intimidating and manipulating the population. In addition, the IACHR determined that at least 1614 people had been subjected to arbitrary detention in that context.</w:t>
      </w:r>
      <w:r>
        <w:rPr>
          <w:rStyle w:val="FootnoteReference"/>
          <w:rFonts w:asciiTheme="majorHAnsi" w:hAnsiTheme="majorHAnsi"/>
          <w:sz w:val="20"/>
          <w:szCs w:val="20"/>
          <w:lang w:val="en"/>
        </w:rPr>
        <w:footnoteReference w:id="11"/>
      </w:r>
    </w:p>
    <w:p w14:paraId="531D6A77" w14:textId="1BE260FE" w:rsidR="003456A9" w:rsidRPr="00AB69FF" w:rsidRDefault="00662D87"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sz w:val="20"/>
          <w:szCs w:val="20"/>
          <w:lang w:val="en"/>
        </w:rPr>
        <w:t>Thus</w:t>
      </w:r>
      <w:r w:rsidR="003456A9">
        <w:rPr>
          <w:rFonts w:asciiTheme="majorHAnsi" w:hAnsiTheme="majorHAnsi"/>
          <w:sz w:val="20"/>
          <w:szCs w:val="20"/>
          <w:lang w:val="en"/>
        </w:rPr>
        <w:t xml:space="preserve">, </w:t>
      </w:r>
      <w:r w:rsidR="00552088">
        <w:rPr>
          <w:rFonts w:asciiTheme="majorHAnsi" w:hAnsiTheme="majorHAnsi"/>
          <w:sz w:val="20"/>
          <w:szCs w:val="20"/>
          <w:lang w:val="en"/>
        </w:rPr>
        <w:t>due to</w:t>
      </w:r>
      <w:r w:rsidR="003456A9">
        <w:rPr>
          <w:rFonts w:asciiTheme="majorHAnsi" w:hAnsiTheme="majorHAnsi"/>
          <w:sz w:val="20"/>
          <w:szCs w:val="20"/>
          <w:lang w:val="en"/>
        </w:rPr>
        <w:t xml:space="preserve"> the foregoing, the Commission considers that the claims </w:t>
      </w:r>
      <w:r w:rsidR="00552088">
        <w:rPr>
          <w:rFonts w:asciiTheme="majorHAnsi" w:hAnsiTheme="majorHAnsi"/>
          <w:sz w:val="20"/>
          <w:szCs w:val="20"/>
          <w:lang w:val="en"/>
        </w:rPr>
        <w:t>filed</w:t>
      </w:r>
      <w:r w:rsidR="003456A9">
        <w:rPr>
          <w:rFonts w:asciiTheme="majorHAnsi" w:hAnsiTheme="majorHAnsi"/>
          <w:sz w:val="20"/>
          <w:szCs w:val="20"/>
          <w:lang w:val="en"/>
        </w:rPr>
        <w:t xml:space="preserve"> by the petitioners are not manifestly groundless and require an analysis on the merits by the IACHR, in the light of the rights established in Articles 4 (life), 5 (humane treatment), 8 (fair trial), and 25 (judicial protection) of the American Convention, in connection with Article 1.1 (obligation to respect rights) thereof, to the detriment of the alleged victim, according to this report.</w:t>
      </w:r>
      <w:r w:rsidR="00C73189">
        <w:rPr>
          <w:rFonts w:asciiTheme="majorHAnsi" w:hAnsiTheme="majorHAnsi"/>
          <w:sz w:val="20"/>
          <w:szCs w:val="20"/>
          <w:lang w:val="en"/>
        </w:rPr>
        <w:t xml:space="preserve"> Particularly</w:t>
      </w:r>
      <w:r w:rsidR="003456A9">
        <w:rPr>
          <w:rFonts w:asciiTheme="majorHAnsi" w:hAnsiTheme="majorHAnsi"/>
          <w:sz w:val="20"/>
          <w:szCs w:val="20"/>
          <w:lang w:val="en"/>
        </w:rPr>
        <w:t xml:space="preserve">, regarding the alleged </w:t>
      </w:r>
      <w:r w:rsidR="00C73189">
        <w:rPr>
          <w:rFonts w:asciiTheme="majorHAnsi" w:hAnsiTheme="majorHAnsi"/>
          <w:sz w:val="20"/>
          <w:szCs w:val="20"/>
          <w:lang w:val="en"/>
        </w:rPr>
        <w:t>failure to</w:t>
      </w:r>
      <w:r w:rsidR="003456A9">
        <w:rPr>
          <w:rFonts w:asciiTheme="majorHAnsi" w:hAnsiTheme="majorHAnsi"/>
          <w:sz w:val="20"/>
          <w:szCs w:val="20"/>
          <w:lang w:val="en"/>
        </w:rPr>
        <w:t xml:space="preserve"> investigat</w:t>
      </w:r>
      <w:r w:rsidR="00C73189">
        <w:rPr>
          <w:rFonts w:asciiTheme="majorHAnsi" w:hAnsiTheme="majorHAnsi"/>
          <w:sz w:val="20"/>
          <w:szCs w:val="20"/>
          <w:lang w:val="en"/>
        </w:rPr>
        <w:t>e</w:t>
      </w:r>
      <w:r w:rsidR="003456A9">
        <w:rPr>
          <w:rFonts w:asciiTheme="majorHAnsi" w:hAnsiTheme="majorHAnsi"/>
          <w:sz w:val="20"/>
          <w:szCs w:val="20"/>
          <w:lang w:val="en"/>
        </w:rPr>
        <w:t xml:space="preserve"> and punish those responsible for the death of journalist </w:t>
      </w:r>
      <w:proofErr w:type="spellStart"/>
      <w:r w:rsidR="00815F2E">
        <w:rPr>
          <w:rFonts w:asciiTheme="majorHAnsi" w:hAnsiTheme="majorHAnsi"/>
          <w:sz w:val="20"/>
          <w:szCs w:val="20"/>
          <w:lang w:val="en"/>
        </w:rPr>
        <w:t>Á</w:t>
      </w:r>
      <w:r w:rsidR="003456A9">
        <w:rPr>
          <w:rFonts w:asciiTheme="majorHAnsi" w:hAnsiTheme="majorHAnsi"/>
          <w:sz w:val="20"/>
          <w:szCs w:val="20"/>
          <w:lang w:val="en"/>
        </w:rPr>
        <w:t>ngel</w:t>
      </w:r>
      <w:proofErr w:type="spellEnd"/>
      <w:r w:rsidR="003456A9">
        <w:rPr>
          <w:rFonts w:asciiTheme="majorHAnsi" w:hAnsiTheme="majorHAnsi"/>
          <w:sz w:val="20"/>
          <w:szCs w:val="20"/>
          <w:lang w:val="en"/>
        </w:rPr>
        <w:t xml:space="preserve"> Eduardo </w:t>
      </w:r>
      <w:proofErr w:type="spellStart"/>
      <w:r w:rsidR="003456A9">
        <w:rPr>
          <w:rFonts w:asciiTheme="majorHAnsi" w:hAnsiTheme="majorHAnsi"/>
          <w:sz w:val="20"/>
          <w:szCs w:val="20"/>
          <w:lang w:val="en"/>
        </w:rPr>
        <w:t>Gahona</w:t>
      </w:r>
      <w:proofErr w:type="spellEnd"/>
      <w:r w:rsidR="003456A9">
        <w:rPr>
          <w:rFonts w:asciiTheme="majorHAnsi" w:hAnsiTheme="majorHAnsi"/>
          <w:sz w:val="20"/>
          <w:szCs w:val="20"/>
          <w:lang w:val="en"/>
        </w:rPr>
        <w:t xml:space="preserve"> L</w:t>
      </w:r>
      <w:r w:rsidR="00815F2E">
        <w:rPr>
          <w:rFonts w:asciiTheme="majorHAnsi" w:hAnsiTheme="majorHAnsi"/>
          <w:sz w:val="20"/>
          <w:szCs w:val="20"/>
          <w:lang w:val="en"/>
        </w:rPr>
        <w:t>ó</w:t>
      </w:r>
      <w:r w:rsidR="003456A9">
        <w:rPr>
          <w:rFonts w:asciiTheme="majorHAnsi" w:hAnsiTheme="majorHAnsi"/>
          <w:sz w:val="20"/>
          <w:szCs w:val="20"/>
          <w:lang w:val="en"/>
        </w:rPr>
        <w:t xml:space="preserve">pez. </w:t>
      </w:r>
    </w:p>
    <w:p w14:paraId="2A8A2874" w14:textId="0CE8850B" w:rsidR="009A5E1A" w:rsidRDefault="003456A9" w:rsidP="00345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
        </w:rPr>
      </w:pPr>
      <w:r>
        <w:rPr>
          <w:rFonts w:asciiTheme="majorHAnsi" w:hAnsiTheme="majorHAnsi"/>
          <w:sz w:val="20"/>
          <w:szCs w:val="20"/>
          <w:lang w:val="en"/>
        </w:rPr>
        <w:t xml:space="preserve">Moreover, </w:t>
      </w:r>
      <w:r w:rsidR="00424671">
        <w:rPr>
          <w:rFonts w:asciiTheme="majorHAnsi" w:hAnsiTheme="majorHAnsi"/>
          <w:sz w:val="20"/>
          <w:szCs w:val="20"/>
          <w:lang w:val="en"/>
        </w:rPr>
        <w:t xml:space="preserve">in the merits stage of this case, </w:t>
      </w:r>
      <w:r>
        <w:rPr>
          <w:rFonts w:asciiTheme="majorHAnsi" w:hAnsiTheme="majorHAnsi"/>
          <w:sz w:val="20"/>
          <w:szCs w:val="20"/>
          <w:lang w:val="en"/>
        </w:rPr>
        <w:t xml:space="preserve">the Commission will analyze the </w:t>
      </w:r>
      <w:r w:rsidR="00424671">
        <w:rPr>
          <w:rFonts w:asciiTheme="majorHAnsi" w:hAnsiTheme="majorHAnsi"/>
          <w:sz w:val="20"/>
          <w:szCs w:val="20"/>
          <w:lang w:val="en"/>
        </w:rPr>
        <w:t>possible applicability of</w:t>
      </w:r>
      <w:r>
        <w:rPr>
          <w:rFonts w:asciiTheme="majorHAnsi" w:hAnsiTheme="majorHAnsi"/>
          <w:sz w:val="20"/>
          <w:szCs w:val="20"/>
          <w:lang w:val="en"/>
        </w:rPr>
        <w:t xml:space="preserve"> Article 13 (</w:t>
      </w:r>
      <w:r w:rsidR="007C583B">
        <w:rPr>
          <w:rFonts w:asciiTheme="majorHAnsi" w:hAnsiTheme="majorHAnsi"/>
          <w:sz w:val="20"/>
          <w:szCs w:val="20"/>
          <w:lang w:val="en"/>
        </w:rPr>
        <w:t>F</w:t>
      </w:r>
      <w:r>
        <w:rPr>
          <w:rFonts w:asciiTheme="majorHAnsi" w:hAnsiTheme="majorHAnsi"/>
          <w:sz w:val="20"/>
          <w:szCs w:val="20"/>
          <w:lang w:val="en"/>
        </w:rPr>
        <w:t xml:space="preserve">reedom of expression) of the American Convention </w:t>
      </w:r>
      <w:r w:rsidR="00552088">
        <w:rPr>
          <w:rFonts w:asciiTheme="majorHAnsi" w:hAnsiTheme="majorHAnsi"/>
          <w:sz w:val="20"/>
          <w:szCs w:val="20"/>
          <w:lang w:val="en"/>
        </w:rPr>
        <w:t>concerning</w:t>
      </w:r>
      <w:r>
        <w:rPr>
          <w:rFonts w:asciiTheme="majorHAnsi" w:hAnsiTheme="majorHAnsi"/>
          <w:sz w:val="20"/>
          <w:szCs w:val="20"/>
          <w:lang w:val="en"/>
        </w:rPr>
        <w:t xml:space="preserve"> the alleged victim. The IACHR has previously established that in cases of violence against journalists and media workers, failure to comply with the obligation to protect journalists at special risk and to criminally investigate and punish such events may also entail </w:t>
      </w:r>
      <w:r w:rsidR="00552088">
        <w:rPr>
          <w:rFonts w:asciiTheme="majorHAnsi" w:hAnsiTheme="majorHAnsi"/>
          <w:sz w:val="20"/>
          <w:szCs w:val="20"/>
          <w:lang w:val="en"/>
        </w:rPr>
        <w:t xml:space="preserve">a </w:t>
      </w:r>
      <w:r>
        <w:rPr>
          <w:rFonts w:asciiTheme="majorHAnsi" w:hAnsiTheme="majorHAnsi"/>
          <w:sz w:val="20"/>
          <w:szCs w:val="20"/>
          <w:lang w:val="en"/>
        </w:rPr>
        <w:t>failure to comply with the obligation to guarantee the right to freedom of thought and expression of the victims.</w:t>
      </w:r>
      <w:r>
        <w:rPr>
          <w:rFonts w:asciiTheme="majorHAnsi" w:hAnsiTheme="majorHAnsi"/>
          <w:sz w:val="20"/>
          <w:szCs w:val="20"/>
          <w:vertAlign w:val="superscript"/>
          <w:lang w:val="en"/>
        </w:rPr>
        <w:footnoteReference w:id="12"/>
      </w:r>
      <w:r>
        <w:rPr>
          <w:rFonts w:asciiTheme="majorHAnsi" w:hAnsiTheme="majorHAnsi"/>
          <w:sz w:val="20"/>
          <w:szCs w:val="20"/>
          <w:lang w:val="en"/>
        </w:rPr>
        <w:t xml:space="preserve"> </w:t>
      </w:r>
    </w:p>
    <w:p w14:paraId="1FE055D4" w14:textId="6F620F6A" w:rsidR="003456A9" w:rsidRPr="009A5E1A" w:rsidRDefault="009A5E1A" w:rsidP="009A5E1A">
      <w:pPr>
        <w:rPr>
          <w:rFonts w:asciiTheme="majorHAnsi" w:hAnsiTheme="majorHAnsi"/>
          <w:sz w:val="20"/>
          <w:szCs w:val="20"/>
          <w:lang w:val="en"/>
        </w:rPr>
      </w:pPr>
      <w:r>
        <w:rPr>
          <w:rFonts w:asciiTheme="majorHAnsi" w:hAnsiTheme="majorHAnsi"/>
          <w:sz w:val="20"/>
          <w:szCs w:val="20"/>
          <w:lang w:val="en"/>
        </w:rPr>
        <w:br w:type="page"/>
      </w:r>
    </w:p>
    <w:p w14:paraId="113EC016" w14:textId="77777777" w:rsidR="003456A9" w:rsidRPr="00AB69FF" w:rsidRDefault="003456A9" w:rsidP="003456A9">
      <w:pPr>
        <w:suppressAutoHyphens/>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2F5BCC95" w14:textId="77777777" w:rsidR="003456A9" w:rsidRPr="00AB69FF" w:rsidRDefault="003456A9" w:rsidP="003456A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the instant petition admissible in relation to Articles 4, 5, 8, 13, and 25 of the American Convention, in connection with Article 1.1 </w:t>
      </w:r>
      <w:proofErr w:type="gramStart"/>
      <w:r>
        <w:rPr>
          <w:rFonts w:asciiTheme="majorHAnsi" w:hAnsiTheme="majorHAnsi"/>
          <w:sz w:val="20"/>
          <w:szCs w:val="20"/>
          <w:lang w:val="en"/>
        </w:rPr>
        <w:t>thereof;</w:t>
      </w:r>
      <w:proofErr w:type="gramEnd"/>
    </w:p>
    <w:p w14:paraId="6FC439A2" w14:textId="52BC60FF" w:rsidR="003456A9" w:rsidRPr="00AB69FF" w:rsidRDefault="003456A9" w:rsidP="003456A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notify the parties of this decision; </w:t>
      </w:r>
      <w:r w:rsidR="00621A5B">
        <w:rPr>
          <w:rFonts w:asciiTheme="majorHAnsi" w:hAnsiTheme="majorHAnsi"/>
          <w:sz w:val="20"/>
          <w:szCs w:val="20"/>
          <w:lang w:val="en"/>
        </w:rPr>
        <w:t>proceed to</w:t>
      </w:r>
      <w:r>
        <w:rPr>
          <w:rFonts w:asciiTheme="majorHAnsi" w:hAnsiTheme="majorHAnsi"/>
          <w:sz w:val="20"/>
          <w:szCs w:val="20"/>
          <w:lang w:val="en"/>
        </w:rPr>
        <w:t xml:space="preserve"> the analysis of the merits; and to publish this decision and include it in its Annual Report to the General Assembly of the Organization of American States.</w:t>
      </w:r>
    </w:p>
    <w:p w14:paraId="4E6E0E9B" w14:textId="24ADB94C" w:rsidR="00387305" w:rsidRDefault="003053BF" w:rsidP="00387305">
      <w:pPr>
        <w:suppressAutoHyphens/>
        <w:ind w:firstLine="720"/>
        <w:jc w:val="both"/>
        <w:rPr>
          <w:rFonts w:ascii="Cambria" w:hAnsi="Cambria"/>
          <w:spacing w:val="-2"/>
          <w:sz w:val="20"/>
        </w:rPr>
      </w:pPr>
      <w:r>
        <w:rPr>
          <w:rFonts w:asciiTheme="majorHAnsi" w:hAnsiTheme="majorHAnsi"/>
          <w:sz w:val="20"/>
          <w:szCs w:val="20"/>
        </w:rPr>
        <w:t xml:space="preserve"> </w:t>
      </w:r>
      <w:bookmarkStart w:id="0" w:name="_Hlk69908510"/>
      <w:r w:rsidR="00387305" w:rsidRPr="006D25D7">
        <w:rPr>
          <w:rFonts w:ascii="Cambria" w:hAnsi="Cambria"/>
          <w:spacing w:val="-2"/>
          <w:sz w:val="20"/>
        </w:rPr>
        <w:t xml:space="preserve">Approved by the Inter-American Commission on Human Rights on the </w:t>
      </w:r>
      <w:r w:rsidR="00387305">
        <w:rPr>
          <w:rFonts w:ascii="Cambria" w:hAnsi="Cambria"/>
          <w:spacing w:val="-2"/>
          <w:sz w:val="20"/>
        </w:rPr>
        <w:t>9</w:t>
      </w:r>
      <w:r w:rsidR="00387305" w:rsidRPr="00387305">
        <w:rPr>
          <w:rFonts w:ascii="Cambria" w:hAnsi="Cambria"/>
          <w:spacing w:val="-2"/>
          <w:sz w:val="20"/>
          <w:vertAlign w:val="superscript"/>
        </w:rPr>
        <w:t>th</w:t>
      </w:r>
      <w:r w:rsidR="00387305">
        <w:rPr>
          <w:rFonts w:ascii="Cambria" w:hAnsi="Cambria"/>
          <w:spacing w:val="-2"/>
          <w:sz w:val="20"/>
        </w:rPr>
        <w:t xml:space="preserve"> </w:t>
      </w:r>
      <w:r w:rsidR="00387305" w:rsidRPr="006D25D7">
        <w:rPr>
          <w:rFonts w:ascii="Cambria" w:hAnsi="Cambria"/>
          <w:spacing w:val="-2"/>
          <w:sz w:val="20"/>
        </w:rPr>
        <w:t>d</w:t>
      </w:r>
      <w:r w:rsidR="00387305">
        <w:rPr>
          <w:rFonts w:ascii="Cambria" w:hAnsi="Cambria"/>
          <w:spacing w:val="-2"/>
          <w:sz w:val="20"/>
        </w:rPr>
        <w:t xml:space="preserve">ay of the month of </w:t>
      </w:r>
      <w:proofErr w:type="gramStart"/>
      <w:r w:rsidR="00387305">
        <w:rPr>
          <w:rFonts w:ascii="Cambria" w:hAnsi="Cambria"/>
          <w:spacing w:val="-2"/>
          <w:sz w:val="20"/>
        </w:rPr>
        <w:t>October,</w:t>
      </w:r>
      <w:proofErr w:type="gramEnd"/>
      <w:r w:rsidR="00387305">
        <w:rPr>
          <w:rFonts w:ascii="Cambria" w:hAnsi="Cambria"/>
          <w:spacing w:val="-2"/>
          <w:sz w:val="20"/>
        </w:rPr>
        <w:t xml:space="preserve"> 2021</w:t>
      </w:r>
      <w:r w:rsidR="00387305" w:rsidRPr="006D25D7">
        <w:rPr>
          <w:rFonts w:ascii="Cambria" w:hAnsi="Cambria"/>
          <w:spacing w:val="-2"/>
          <w:sz w:val="20"/>
        </w:rPr>
        <w:t xml:space="preserve">. </w:t>
      </w:r>
      <w:r w:rsidR="00387305">
        <w:rPr>
          <w:rFonts w:ascii="Cambria" w:hAnsi="Cambria"/>
          <w:spacing w:val="-2"/>
          <w:sz w:val="20"/>
        </w:rPr>
        <w:t xml:space="preserve"> (Signed:) </w:t>
      </w:r>
      <w:r w:rsidR="00387305">
        <w:rPr>
          <w:rFonts w:asciiTheme="majorHAnsi" w:hAnsiTheme="majorHAnsi" w:cs="Arial"/>
          <w:noProof/>
          <w:spacing w:val="-2"/>
          <w:sz w:val="20"/>
          <w:szCs w:val="20"/>
        </w:rPr>
        <w:t>Antonia Urrejola</w:t>
      </w:r>
      <w:r w:rsidR="00387305" w:rsidRPr="006D25D7">
        <w:rPr>
          <w:rFonts w:ascii="Cambria" w:hAnsi="Cambria"/>
          <w:sz w:val="20"/>
        </w:rPr>
        <w:t xml:space="preserve">, President; </w:t>
      </w:r>
      <w:r w:rsidR="00387305">
        <w:rPr>
          <w:rFonts w:asciiTheme="majorHAnsi" w:hAnsiTheme="majorHAnsi" w:cs="Arial"/>
          <w:noProof/>
          <w:spacing w:val="-2"/>
          <w:sz w:val="20"/>
          <w:szCs w:val="20"/>
        </w:rPr>
        <w:t>Julissa Mantilla Falcón</w:t>
      </w:r>
      <w:r w:rsidR="00387305" w:rsidRPr="006D25D7">
        <w:rPr>
          <w:rFonts w:ascii="Cambria" w:hAnsi="Cambria"/>
          <w:sz w:val="20"/>
        </w:rPr>
        <w:t xml:space="preserve">, First Vice President; </w:t>
      </w:r>
      <w:proofErr w:type="spellStart"/>
      <w:r w:rsidR="00387305">
        <w:rPr>
          <w:rFonts w:ascii="Cambria" w:hAnsi="Cambria"/>
          <w:sz w:val="20"/>
          <w:szCs w:val="20"/>
        </w:rPr>
        <w:t>Flávia</w:t>
      </w:r>
      <w:proofErr w:type="spellEnd"/>
      <w:r w:rsidR="00387305">
        <w:rPr>
          <w:rFonts w:ascii="Cambria" w:hAnsi="Cambria"/>
          <w:sz w:val="20"/>
          <w:szCs w:val="20"/>
        </w:rPr>
        <w:t xml:space="preserve"> </w:t>
      </w:r>
      <w:proofErr w:type="spellStart"/>
      <w:r w:rsidR="00387305">
        <w:rPr>
          <w:rFonts w:ascii="Cambria" w:hAnsi="Cambria"/>
          <w:sz w:val="20"/>
          <w:szCs w:val="20"/>
        </w:rPr>
        <w:t>Piovesan</w:t>
      </w:r>
      <w:proofErr w:type="spellEnd"/>
      <w:r w:rsidR="00387305" w:rsidRPr="006D25D7">
        <w:rPr>
          <w:rFonts w:ascii="Cambria" w:hAnsi="Cambria"/>
          <w:sz w:val="20"/>
        </w:rPr>
        <w:t>, Second Vice President;</w:t>
      </w:r>
      <w:r w:rsidR="00387305" w:rsidRPr="00F9365E">
        <w:rPr>
          <w:rFonts w:ascii="Cambria" w:hAnsi="Cambria"/>
          <w:sz w:val="20"/>
        </w:rPr>
        <w:t xml:space="preserve"> Margarette May Macaulay,</w:t>
      </w:r>
      <w:r w:rsidR="00387305" w:rsidRPr="006D25D7">
        <w:rPr>
          <w:rFonts w:ascii="Cambria" w:hAnsi="Cambria"/>
          <w:sz w:val="20"/>
        </w:rPr>
        <w:t xml:space="preserve"> </w:t>
      </w:r>
      <w:r w:rsidR="00387305" w:rsidRPr="008E4C59">
        <w:rPr>
          <w:rFonts w:asciiTheme="majorHAnsi" w:hAnsiTheme="majorHAnsi" w:cs="Arial"/>
          <w:noProof/>
          <w:spacing w:val="-2"/>
          <w:sz w:val="20"/>
          <w:szCs w:val="20"/>
        </w:rPr>
        <w:t xml:space="preserve">Esmeralda E. Arosemena Bernal de Troitiño, </w:t>
      </w:r>
      <w:r w:rsidR="00387305">
        <w:rPr>
          <w:rFonts w:asciiTheme="majorHAnsi" w:hAnsiTheme="majorHAnsi" w:cs="Arial"/>
          <w:noProof/>
          <w:spacing w:val="-2"/>
          <w:sz w:val="20"/>
          <w:szCs w:val="20"/>
        </w:rPr>
        <w:t>Joel Hernández</w:t>
      </w:r>
      <w:r w:rsidR="00387305" w:rsidRPr="008E4C59">
        <w:rPr>
          <w:rFonts w:asciiTheme="majorHAnsi" w:hAnsiTheme="majorHAnsi" w:cs="Arial"/>
          <w:noProof/>
          <w:spacing w:val="-2"/>
          <w:sz w:val="20"/>
          <w:szCs w:val="20"/>
        </w:rPr>
        <w:t xml:space="preserve">, </w:t>
      </w:r>
      <w:r w:rsidR="00387305">
        <w:rPr>
          <w:rFonts w:asciiTheme="majorHAnsi" w:hAnsiTheme="majorHAnsi" w:cs="Arial"/>
          <w:noProof/>
          <w:spacing w:val="-2"/>
          <w:sz w:val="20"/>
          <w:szCs w:val="20"/>
        </w:rPr>
        <w:t>and</w:t>
      </w:r>
      <w:r w:rsidR="00387305" w:rsidRPr="008E4C59">
        <w:rPr>
          <w:rFonts w:asciiTheme="majorHAnsi" w:hAnsiTheme="majorHAnsi" w:cs="Arial"/>
          <w:noProof/>
          <w:spacing w:val="-2"/>
          <w:sz w:val="20"/>
          <w:szCs w:val="20"/>
        </w:rPr>
        <w:t xml:space="preserve"> Stuardo Ralón Orellana</w:t>
      </w:r>
      <w:r w:rsidR="00387305">
        <w:rPr>
          <w:rFonts w:asciiTheme="majorHAnsi" w:hAnsiTheme="majorHAnsi" w:cs="Arial"/>
          <w:noProof/>
          <w:spacing w:val="-2"/>
          <w:sz w:val="20"/>
          <w:szCs w:val="20"/>
        </w:rPr>
        <w:t>,</w:t>
      </w:r>
      <w:r w:rsidR="00387305" w:rsidRPr="006D25D7">
        <w:rPr>
          <w:rFonts w:ascii="Cambria" w:hAnsi="Cambria" w:cs="Arial"/>
          <w:noProof/>
          <w:spacing w:val="-2"/>
          <w:sz w:val="20"/>
        </w:rPr>
        <w:t xml:space="preserve"> Commissioners</w:t>
      </w:r>
      <w:r w:rsidR="00387305" w:rsidRPr="006D25D7">
        <w:rPr>
          <w:rFonts w:ascii="Cambria" w:hAnsi="Cambria"/>
          <w:spacing w:val="-2"/>
          <w:sz w:val="20"/>
        </w:rPr>
        <w:t>.</w:t>
      </w:r>
    </w:p>
    <w:bookmarkEnd w:id="0"/>
    <w:p w14:paraId="776AE8A6" w14:textId="6F331DC8" w:rsidR="00F621C3" w:rsidRPr="000B6B7A" w:rsidRDefault="00F621C3" w:rsidP="00E95BE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EE47" w14:textId="77777777" w:rsidR="005D6DAB" w:rsidRDefault="005D6DAB" w:rsidP="00036A8A">
      <w:r>
        <w:separator/>
      </w:r>
    </w:p>
  </w:endnote>
  <w:endnote w:type="continuationSeparator" w:id="0">
    <w:p w14:paraId="0E0A7006" w14:textId="77777777" w:rsidR="005D6DAB" w:rsidRDefault="005D6DA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01F8">
          <w:rPr>
            <w:noProof/>
            <w:sz w:val="16"/>
          </w:rPr>
          <w:t>4</w:t>
        </w:r>
        <w:r w:rsidRPr="006311DA">
          <w:rPr>
            <w:noProof/>
            <w:sz w:val="16"/>
          </w:rPr>
          <w:fldChar w:fldCharType="end"/>
        </w:r>
      </w:p>
    </w:sdtContent>
  </w:sdt>
  <w:p w14:paraId="2D483621"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7942" w14:textId="77777777" w:rsidR="005D6DAB" w:rsidRPr="00036A8A" w:rsidRDefault="005D6DA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7F51E4B" w14:textId="77777777" w:rsidR="005D6DAB" w:rsidRPr="00036A8A" w:rsidRDefault="005D6DAB" w:rsidP="00036A8A">
      <w:pPr>
        <w:rPr>
          <w:rFonts w:asciiTheme="majorHAnsi" w:hAnsiTheme="majorHAnsi"/>
          <w:sz w:val="16"/>
          <w:szCs w:val="16"/>
        </w:rPr>
      </w:pPr>
      <w:r w:rsidRPr="00036A8A">
        <w:rPr>
          <w:rFonts w:asciiTheme="majorHAnsi" w:hAnsiTheme="majorHAnsi"/>
          <w:sz w:val="16"/>
          <w:szCs w:val="16"/>
        </w:rPr>
        <w:separator/>
      </w:r>
    </w:p>
    <w:p w14:paraId="41982433" w14:textId="77777777" w:rsidR="005D6DAB" w:rsidRPr="00036A8A" w:rsidRDefault="005D6DA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9016C13" w14:textId="77777777" w:rsidR="005D6DAB" w:rsidRPr="0093441A" w:rsidRDefault="005D6DA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38E4EB3" w14:textId="07F53A73" w:rsidR="00AA792F" w:rsidRPr="0070669A" w:rsidRDefault="00BF7DB7" w:rsidP="00D705CA">
      <w:pPr>
        <w:pStyle w:val="FootnoteText"/>
        <w:jc w:val="both"/>
        <w:rPr>
          <w:rFonts w:asciiTheme="majorHAnsi" w:hAnsiTheme="majorHAnsi"/>
          <w:sz w:val="16"/>
          <w:szCs w:val="16"/>
        </w:rPr>
      </w:pPr>
      <w:r>
        <w:rPr>
          <w:rFonts w:asciiTheme="majorHAnsi" w:hAnsiTheme="majorHAnsi"/>
          <w:sz w:val="16"/>
          <w:szCs w:val="16"/>
        </w:rPr>
        <w:tab/>
      </w:r>
      <w:r w:rsidR="00AA792F" w:rsidRPr="0070669A">
        <w:rPr>
          <w:rStyle w:val="FootnoteReference"/>
          <w:rFonts w:asciiTheme="majorHAnsi" w:hAnsiTheme="majorHAnsi"/>
          <w:sz w:val="16"/>
          <w:szCs w:val="16"/>
        </w:rPr>
        <w:footnoteRef/>
      </w:r>
      <w:r w:rsidR="00AA792F" w:rsidRPr="0070669A">
        <w:rPr>
          <w:rFonts w:asciiTheme="majorHAnsi" w:hAnsiTheme="majorHAnsi"/>
          <w:sz w:val="16"/>
          <w:szCs w:val="16"/>
        </w:rPr>
        <w:t xml:space="preserve"> </w:t>
      </w:r>
      <w:r w:rsidR="0070669A" w:rsidRPr="0070669A">
        <w:rPr>
          <w:rFonts w:asciiTheme="majorHAnsi" w:hAnsiTheme="majorHAnsi"/>
          <w:sz w:val="16"/>
          <w:szCs w:val="16"/>
        </w:rPr>
        <w:t>Hereinafter “the American Convention” or “the Convention.”</w:t>
      </w:r>
    </w:p>
  </w:footnote>
  <w:footnote w:id="3">
    <w:p w14:paraId="55774E34" w14:textId="65D00AFE" w:rsidR="00653EA6" w:rsidRPr="009D59D2" w:rsidRDefault="00BF7DB7" w:rsidP="00D705CA">
      <w:pPr>
        <w:pStyle w:val="FootnoteText"/>
        <w:jc w:val="both"/>
        <w:rPr>
          <w:rFonts w:ascii="Cambria" w:hAnsi="Cambria"/>
          <w:sz w:val="16"/>
          <w:szCs w:val="16"/>
        </w:rPr>
      </w:pPr>
      <w:r>
        <w:rPr>
          <w:rFonts w:ascii="Cambria" w:hAnsi="Cambria"/>
          <w:sz w:val="16"/>
          <w:szCs w:val="16"/>
        </w:rPr>
        <w:tab/>
      </w:r>
      <w:r w:rsidR="00653EA6" w:rsidRPr="009D59D2">
        <w:rPr>
          <w:rStyle w:val="FootnoteReference"/>
          <w:rFonts w:ascii="Cambria" w:hAnsi="Cambria"/>
          <w:sz w:val="16"/>
          <w:szCs w:val="16"/>
        </w:rPr>
        <w:footnoteRef/>
      </w:r>
      <w:r w:rsidR="00653EA6" w:rsidRPr="009D59D2">
        <w:rPr>
          <w:rFonts w:ascii="Cambria" w:hAnsi="Cambria"/>
          <w:sz w:val="16"/>
          <w:szCs w:val="16"/>
        </w:rPr>
        <w:t xml:space="preserve"> The observations </w:t>
      </w:r>
      <w:r w:rsidR="00321AFD" w:rsidRPr="009D59D2">
        <w:rPr>
          <w:rFonts w:ascii="Cambria" w:hAnsi="Cambria"/>
          <w:sz w:val="16"/>
          <w:szCs w:val="16"/>
        </w:rPr>
        <w:t>submitted</w:t>
      </w:r>
      <w:r w:rsidR="00653EA6" w:rsidRPr="009D59D2">
        <w:rPr>
          <w:rFonts w:ascii="Cambria" w:hAnsi="Cambria"/>
          <w:sz w:val="16"/>
          <w:szCs w:val="16"/>
        </w:rPr>
        <w:t xml:space="preserve"> by each party were duly transmitted to the opposing party.</w:t>
      </w:r>
    </w:p>
  </w:footnote>
  <w:footnote w:id="4">
    <w:p w14:paraId="55E3DCF5" w14:textId="7133BC46" w:rsidR="003456A9" w:rsidRPr="00971361" w:rsidRDefault="003456A9" w:rsidP="00D705CA">
      <w:pPr>
        <w:pStyle w:val="FootnoteText"/>
        <w:ind w:firstLine="720"/>
        <w:jc w:val="both"/>
        <w:rPr>
          <w:rFonts w:ascii="Cambria" w:hAnsi="Cambria"/>
          <w:sz w:val="16"/>
          <w:szCs w:val="16"/>
        </w:rPr>
      </w:pPr>
      <w:r>
        <w:rPr>
          <w:rFonts w:ascii="Cambria" w:hAnsi="Cambria"/>
          <w:sz w:val="16"/>
          <w:szCs w:val="16"/>
          <w:vertAlign w:val="superscript"/>
          <w:lang w:val="en"/>
        </w:rPr>
        <w:footnoteRef/>
      </w:r>
      <w:r>
        <w:rPr>
          <w:rFonts w:ascii="Cambria" w:hAnsi="Cambria"/>
          <w:sz w:val="16"/>
          <w:szCs w:val="16"/>
          <w:lang w:val="en"/>
        </w:rPr>
        <w:t xml:space="preserve"> In connection with this, see for instance: Newspaper </w:t>
      </w:r>
      <w:proofErr w:type="spellStart"/>
      <w:r>
        <w:rPr>
          <w:rFonts w:ascii="Cambria" w:hAnsi="Cambria"/>
          <w:sz w:val="16"/>
          <w:szCs w:val="16"/>
          <w:lang w:val="en"/>
        </w:rPr>
        <w:t>Confidencial</w:t>
      </w:r>
      <w:proofErr w:type="spellEnd"/>
      <w:r>
        <w:rPr>
          <w:rFonts w:ascii="Cambria" w:hAnsi="Cambria"/>
          <w:sz w:val="16"/>
          <w:szCs w:val="16"/>
          <w:lang w:val="en"/>
        </w:rPr>
        <w:t xml:space="preserve">, </w:t>
      </w:r>
      <w:r>
        <w:rPr>
          <w:rFonts w:ascii="Cambria" w:hAnsi="Cambria"/>
          <w:i/>
          <w:iCs/>
          <w:sz w:val="16"/>
          <w:szCs w:val="16"/>
          <w:lang w:val="en"/>
        </w:rPr>
        <w:t xml:space="preserve">Padres de </w:t>
      </w:r>
      <w:proofErr w:type="spellStart"/>
      <w:r>
        <w:rPr>
          <w:rFonts w:ascii="Cambria" w:hAnsi="Cambria"/>
          <w:i/>
          <w:iCs/>
          <w:sz w:val="16"/>
          <w:szCs w:val="16"/>
          <w:lang w:val="en"/>
        </w:rPr>
        <w:t>Ángel</w:t>
      </w:r>
      <w:proofErr w:type="spellEnd"/>
      <w:r>
        <w:rPr>
          <w:rFonts w:ascii="Cambria" w:hAnsi="Cambria"/>
          <w:i/>
          <w:iCs/>
          <w:sz w:val="16"/>
          <w:szCs w:val="16"/>
          <w:lang w:val="en"/>
        </w:rPr>
        <w:t xml:space="preserve"> </w:t>
      </w:r>
      <w:proofErr w:type="spellStart"/>
      <w:r>
        <w:rPr>
          <w:rFonts w:ascii="Cambria" w:hAnsi="Cambria"/>
          <w:i/>
          <w:iCs/>
          <w:sz w:val="16"/>
          <w:szCs w:val="16"/>
          <w:lang w:val="en"/>
        </w:rPr>
        <w:t>Gahona</w:t>
      </w:r>
      <w:proofErr w:type="spellEnd"/>
      <w:r>
        <w:rPr>
          <w:rFonts w:ascii="Cambria" w:hAnsi="Cambria"/>
          <w:i/>
          <w:iCs/>
          <w:sz w:val="16"/>
          <w:szCs w:val="16"/>
          <w:lang w:val="en"/>
        </w:rPr>
        <w:t xml:space="preserve"> </w:t>
      </w:r>
      <w:proofErr w:type="spellStart"/>
      <w:r>
        <w:rPr>
          <w:rFonts w:ascii="Cambria" w:hAnsi="Cambria"/>
          <w:i/>
          <w:iCs/>
          <w:sz w:val="16"/>
          <w:szCs w:val="16"/>
          <w:lang w:val="en"/>
        </w:rPr>
        <w:t>regresan</w:t>
      </w:r>
      <w:proofErr w:type="spellEnd"/>
      <w:r>
        <w:rPr>
          <w:rFonts w:ascii="Cambria" w:hAnsi="Cambria"/>
          <w:i/>
          <w:iCs/>
          <w:sz w:val="16"/>
          <w:szCs w:val="16"/>
          <w:lang w:val="en"/>
        </w:rPr>
        <w:t xml:space="preserve"> </w:t>
      </w:r>
      <w:proofErr w:type="gramStart"/>
      <w:r>
        <w:rPr>
          <w:rFonts w:ascii="Cambria" w:hAnsi="Cambria"/>
          <w:i/>
          <w:iCs/>
          <w:sz w:val="16"/>
          <w:szCs w:val="16"/>
          <w:lang w:val="en"/>
        </w:rPr>
        <w:t>a</w:t>
      </w:r>
      <w:proofErr w:type="gramEnd"/>
      <w:r>
        <w:rPr>
          <w:rFonts w:ascii="Cambria" w:hAnsi="Cambria"/>
          <w:i/>
          <w:iCs/>
          <w:sz w:val="16"/>
          <w:szCs w:val="16"/>
          <w:lang w:val="en"/>
        </w:rPr>
        <w:t xml:space="preserve"> </w:t>
      </w:r>
      <w:proofErr w:type="spellStart"/>
      <w:r>
        <w:rPr>
          <w:rFonts w:ascii="Cambria" w:hAnsi="Cambria"/>
          <w:i/>
          <w:iCs/>
          <w:sz w:val="16"/>
          <w:szCs w:val="16"/>
          <w:lang w:val="en"/>
        </w:rPr>
        <w:t>exigir</w:t>
      </w:r>
      <w:proofErr w:type="spellEnd"/>
      <w:r>
        <w:rPr>
          <w:rFonts w:ascii="Cambria" w:hAnsi="Cambria"/>
          <w:i/>
          <w:iCs/>
          <w:sz w:val="16"/>
          <w:szCs w:val="16"/>
          <w:lang w:val="en"/>
        </w:rPr>
        <w:t xml:space="preserve"> </w:t>
      </w:r>
      <w:proofErr w:type="spellStart"/>
      <w:r>
        <w:rPr>
          <w:rFonts w:ascii="Cambria" w:hAnsi="Cambria"/>
          <w:i/>
          <w:iCs/>
          <w:sz w:val="16"/>
          <w:szCs w:val="16"/>
          <w:lang w:val="en"/>
        </w:rPr>
        <w:t>justicia</w:t>
      </w:r>
      <w:proofErr w:type="spellEnd"/>
      <w:r>
        <w:rPr>
          <w:rFonts w:ascii="Cambria" w:hAnsi="Cambria"/>
          <w:i/>
          <w:iCs/>
          <w:sz w:val="16"/>
          <w:szCs w:val="16"/>
          <w:lang w:val="en"/>
        </w:rPr>
        <w:t xml:space="preserve"> por </w:t>
      </w:r>
      <w:proofErr w:type="spellStart"/>
      <w:r>
        <w:rPr>
          <w:rFonts w:ascii="Cambria" w:hAnsi="Cambria"/>
          <w:i/>
          <w:iCs/>
          <w:sz w:val="16"/>
          <w:szCs w:val="16"/>
          <w:lang w:val="en"/>
        </w:rPr>
        <w:t>asesinato</w:t>
      </w:r>
      <w:proofErr w:type="spellEnd"/>
      <w:r>
        <w:rPr>
          <w:rFonts w:ascii="Cambria" w:hAnsi="Cambria"/>
          <w:sz w:val="16"/>
          <w:szCs w:val="16"/>
          <w:lang w:val="en"/>
        </w:rPr>
        <w:t xml:space="preserve"> (</w:t>
      </w:r>
      <w:proofErr w:type="spellStart"/>
      <w:r w:rsidR="00815F2E">
        <w:rPr>
          <w:rFonts w:ascii="Cambria" w:hAnsi="Cambria"/>
          <w:sz w:val="16"/>
          <w:szCs w:val="16"/>
          <w:lang w:val="en"/>
        </w:rPr>
        <w:t>Á</w:t>
      </w:r>
      <w:r>
        <w:rPr>
          <w:rFonts w:ascii="Cambria" w:hAnsi="Cambria"/>
          <w:sz w:val="16"/>
          <w:szCs w:val="16"/>
          <w:lang w:val="en"/>
        </w:rPr>
        <w:t>ngel</w:t>
      </w:r>
      <w:proofErr w:type="spellEnd"/>
      <w:r>
        <w:rPr>
          <w:rFonts w:ascii="Cambria" w:hAnsi="Cambria"/>
          <w:sz w:val="16"/>
          <w:szCs w:val="16"/>
          <w:lang w:val="en"/>
        </w:rPr>
        <w:t xml:space="preserve"> </w:t>
      </w:r>
      <w:proofErr w:type="spellStart"/>
      <w:r>
        <w:rPr>
          <w:rFonts w:ascii="Cambria" w:hAnsi="Cambria"/>
          <w:sz w:val="16"/>
          <w:szCs w:val="16"/>
          <w:lang w:val="en"/>
        </w:rPr>
        <w:t>Gahona’s</w:t>
      </w:r>
      <w:proofErr w:type="spellEnd"/>
      <w:r>
        <w:rPr>
          <w:rFonts w:ascii="Cambria" w:hAnsi="Cambria"/>
          <w:sz w:val="16"/>
          <w:szCs w:val="16"/>
          <w:lang w:val="en"/>
        </w:rPr>
        <w:t xml:space="preserve"> parents return to demand justice for his murder), February 1, 2020. Available (in Spanish) at: https://www.confidencial.com.ni/nacion/padres-de-angel-gahona-regresan-a-exigir-justicia-por-asesinato/</w:t>
      </w:r>
    </w:p>
  </w:footnote>
  <w:footnote w:id="5">
    <w:p w14:paraId="21A08C6E" w14:textId="77777777" w:rsidR="003456A9" w:rsidRPr="00426DA1" w:rsidRDefault="003456A9" w:rsidP="00D705CA">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97/18. Petition 1071/07. Admissibility. </w:t>
      </w:r>
      <w:proofErr w:type="spellStart"/>
      <w:r w:rsidRPr="003456A9">
        <w:rPr>
          <w:rFonts w:asciiTheme="majorHAnsi" w:hAnsiTheme="majorHAnsi"/>
          <w:sz w:val="16"/>
          <w:szCs w:val="16"/>
          <w:lang w:val="es-ES"/>
        </w:rPr>
        <w:t>Naudin</w:t>
      </w:r>
      <w:proofErr w:type="spellEnd"/>
      <w:r w:rsidRPr="003456A9">
        <w:rPr>
          <w:rFonts w:asciiTheme="majorHAnsi" w:hAnsiTheme="majorHAnsi"/>
          <w:sz w:val="16"/>
          <w:szCs w:val="16"/>
          <w:lang w:val="es-ES"/>
        </w:rPr>
        <w:t xml:space="preserve"> José Fajardo Martínez </w:t>
      </w:r>
      <w:r w:rsidRPr="003456A9">
        <w:rPr>
          <w:rFonts w:asciiTheme="majorHAnsi" w:hAnsiTheme="majorHAnsi"/>
          <w:i/>
          <w:iCs/>
          <w:sz w:val="16"/>
          <w:szCs w:val="16"/>
          <w:lang w:val="es-ES"/>
        </w:rPr>
        <w:t>et al</w:t>
      </w:r>
      <w:r w:rsidRPr="003456A9">
        <w:rPr>
          <w:rFonts w:asciiTheme="majorHAnsi" w:hAnsiTheme="majorHAnsi"/>
          <w:sz w:val="16"/>
          <w:szCs w:val="16"/>
          <w:lang w:val="es-ES"/>
        </w:rPr>
        <w:t xml:space="preserve">. </w:t>
      </w:r>
      <w:r w:rsidRPr="001945E3">
        <w:rPr>
          <w:rFonts w:asciiTheme="majorHAnsi" w:hAnsiTheme="majorHAnsi"/>
          <w:sz w:val="16"/>
          <w:szCs w:val="16"/>
        </w:rPr>
        <w:t xml:space="preserve">(Massacre in Los Kativos Farm). </w:t>
      </w:r>
      <w:r>
        <w:rPr>
          <w:rFonts w:asciiTheme="majorHAnsi" w:hAnsiTheme="majorHAnsi"/>
          <w:sz w:val="16"/>
          <w:szCs w:val="16"/>
          <w:lang w:val="en"/>
        </w:rPr>
        <w:t>Colombia. September 6, 2018, par. 9.</w:t>
      </w:r>
    </w:p>
  </w:footnote>
  <w:footnote w:id="6">
    <w:p w14:paraId="2738213E" w14:textId="77777777" w:rsidR="003456A9" w:rsidRPr="008A40BB" w:rsidRDefault="003456A9" w:rsidP="00D705CA">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44/18, Petition 840-07. Admissibility. </w:t>
      </w:r>
      <w:r w:rsidRPr="001945E3">
        <w:rPr>
          <w:rFonts w:asciiTheme="majorHAnsi" w:hAnsiTheme="majorHAnsi"/>
          <w:sz w:val="16"/>
          <w:szCs w:val="16"/>
          <w:lang w:val="es-US"/>
        </w:rPr>
        <w:t xml:space="preserve">Pijiguay Massacre. </w:t>
      </w:r>
      <w:r w:rsidRPr="008A40BB">
        <w:rPr>
          <w:rFonts w:asciiTheme="majorHAnsi" w:hAnsiTheme="majorHAnsi"/>
          <w:sz w:val="16"/>
          <w:szCs w:val="16"/>
          <w:lang w:val="es-ES"/>
        </w:rPr>
        <w:t>Colombia. May 4, 2018, par. 11.</w:t>
      </w:r>
    </w:p>
  </w:footnote>
  <w:footnote w:id="7">
    <w:p w14:paraId="2F6013BA" w14:textId="77777777" w:rsidR="003456A9" w:rsidRPr="003D4DE6" w:rsidRDefault="003456A9" w:rsidP="00D705CA">
      <w:pPr>
        <w:pStyle w:val="FootnoteText"/>
        <w:ind w:firstLine="720"/>
        <w:jc w:val="both"/>
        <w:rPr>
          <w:rFonts w:ascii="Cambria" w:hAnsi="Cambria"/>
          <w:sz w:val="16"/>
          <w:szCs w:val="16"/>
        </w:rPr>
      </w:pPr>
      <w:r>
        <w:rPr>
          <w:rStyle w:val="FootnoteReference"/>
          <w:rFonts w:ascii="Cambria" w:hAnsi="Cambria"/>
          <w:sz w:val="16"/>
          <w:szCs w:val="16"/>
          <w:lang w:val="en"/>
        </w:rPr>
        <w:footnoteRef/>
      </w:r>
      <w:r w:rsidRPr="008A40BB">
        <w:rPr>
          <w:rFonts w:ascii="Cambria" w:hAnsi="Cambria"/>
          <w:sz w:val="16"/>
          <w:szCs w:val="16"/>
          <w:lang w:val="es-ES"/>
        </w:rPr>
        <w:t xml:space="preserve"> IACHR, Report No. 14/17. Admissibility. José Rubián Gómez Martínez, Rolfe Arialdo Figueredo Martínez, Miguel Novoa Martínez, Alcira Martínez Álvarez and Families. </w:t>
      </w:r>
      <w:r>
        <w:rPr>
          <w:rFonts w:ascii="Cambria" w:hAnsi="Cambria"/>
          <w:sz w:val="16"/>
          <w:szCs w:val="16"/>
          <w:lang w:val="en"/>
        </w:rPr>
        <w:t xml:space="preserve">Colombia. January 27, 2017. </w:t>
      </w:r>
    </w:p>
  </w:footnote>
  <w:footnote w:id="8">
    <w:p w14:paraId="13E195FF" w14:textId="26586696" w:rsidR="003456A9" w:rsidRPr="003F073E" w:rsidRDefault="003456A9" w:rsidP="00D705CA">
      <w:pPr>
        <w:pStyle w:val="FootnoteText"/>
        <w:tabs>
          <w:tab w:val="left" w:pos="851"/>
        </w:tabs>
        <w:ind w:firstLine="720"/>
        <w:jc w:val="both"/>
        <w:rPr>
          <w:rFonts w:asciiTheme="majorHAnsi" w:hAnsiTheme="majorHAnsi"/>
          <w:sz w:val="16"/>
          <w:szCs w:val="16"/>
        </w:rPr>
      </w:pPr>
      <w:r w:rsidRPr="003F073E">
        <w:rPr>
          <w:rFonts w:asciiTheme="majorHAnsi" w:hAnsiTheme="majorHAnsi"/>
          <w:sz w:val="16"/>
          <w:szCs w:val="16"/>
          <w:vertAlign w:val="superscript"/>
          <w:lang w:val="en"/>
        </w:rPr>
        <w:footnoteRef/>
      </w:r>
      <w:r w:rsidRPr="003F073E">
        <w:rPr>
          <w:rFonts w:asciiTheme="majorHAnsi" w:hAnsiTheme="majorHAnsi"/>
          <w:sz w:val="16"/>
          <w:szCs w:val="16"/>
          <w:lang w:val="en"/>
        </w:rPr>
        <w:t xml:space="preserve">IACHR. Preliminary observations on the IACHR working visit to Nicaragua. May 21, 2018. Available at: </w:t>
      </w:r>
      <w:hyperlink r:id="rId1" w:history="1">
        <w:r w:rsidRPr="003F073E">
          <w:rPr>
            <w:rFonts w:asciiTheme="majorHAnsi" w:hAnsiTheme="majorHAnsi"/>
            <w:sz w:val="16"/>
            <w:szCs w:val="16"/>
            <w:lang w:val="en"/>
          </w:rPr>
          <w:t>http://www.oas.org/en/iachr/media_center/PReleases/2018/113.asp</w:t>
        </w:r>
      </w:hyperlink>
      <w:r w:rsidRPr="003F073E">
        <w:rPr>
          <w:rFonts w:asciiTheme="majorHAnsi" w:hAnsiTheme="majorHAnsi"/>
          <w:sz w:val="16"/>
          <w:szCs w:val="16"/>
          <w:lang w:val="en"/>
        </w:rPr>
        <w:t xml:space="preserve"> </w:t>
      </w:r>
    </w:p>
  </w:footnote>
  <w:footnote w:id="9">
    <w:p w14:paraId="596B1853" w14:textId="38244761" w:rsidR="003456A9" w:rsidRPr="003F073E" w:rsidRDefault="003456A9" w:rsidP="00D705CA">
      <w:pPr>
        <w:pStyle w:val="FootnoteText"/>
        <w:spacing w:after="40"/>
        <w:ind w:firstLine="720"/>
        <w:jc w:val="both"/>
        <w:rPr>
          <w:rFonts w:asciiTheme="majorHAnsi" w:hAnsiTheme="majorHAnsi"/>
          <w:sz w:val="16"/>
          <w:szCs w:val="16"/>
        </w:rPr>
      </w:pPr>
      <w:r w:rsidRPr="003F073E">
        <w:rPr>
          <w:rFonts w:asciiTheme="majorHAnsi" w:hAnsiTheme="majorHAnsi"/>
          <w:sz w:val="16"/>
          <w:szCs w:val="16"/>
          <w:vertAlign w:val="superscript"/>
          <w:lang w:val="en"/>
        </w:rPr>
        <w:footnoteRef/>
      </w:r>
      <w:r w:rsidR="003F073E" w:rsidRPr="003F073E">
        <w:rPr>
          <w:rFonts w:asciiTheme="majorHAnsi" w:hAnsiTheme="majorHAnsi"/>
          <w:sz w:val="16"/>
          <w:szCs w:val="16"/>
          <w:lang w:val="en"/>
        </w:rPr>
        <w:t xml:space="preserve"> </w:t>
      </w:r>
      <w:r w:rsidRPr="003F073E">
        <w:rPr>
          <w:rFonts w:asciiTheme="majorHAnsi" w:hAnsiTheme="majorHAnsi"/>
          <w:sz w:val="16"/>
          <w:szCs w:val="16"/>
          <w:lang w:val="en"/>
        </w:rPr>
        <w:t>IACHR</w:t>
      </w:r>
      <w:r w:rsidR="003F073E" w:rsidRPr="003F073E">
        <w:rPr>
          <w:rFonts w:asciiTheme="majorHAnsi" w:hAnsiTheme="majorHAnsi"/>
          <w:sz w:val="16"/>
          <w:szCs w:val="16"/>
          <w:lang w:val="en"/>
        </w:rPr>
        <w:t>,</w:t>
      </w:r>
      <w:r w:rsidRPr="003F073E">
        <w:rPr>
          <w:rFonts w:asciiTheme="majorHAnsi" w:hAnsiTheme="majorHAnsi"/>
          <w:sz w:val="16"/>
          <w:szCs w:val="16"/>
          <w:lang w:val="en"/>
        </w:rPr>
        <w:t xml:space="preserve"> Press </w:t>
      </w:r>
      <w:r w:rsidR="003F073E" w:rsidRPr="003F073E">
        <w:rPr>
          <w:rFonts w:asciiTheme="majorHAnsi" w:hAnsiTheme="majorHAnsi"/>
          <w:sz w:val="16"/>
          <w:szCs w:val="16"/>
          <w:lang w:val="en"/>
        </w:rPr>
        <w:t>R</w:t>
      </w:r>
      <w:r w:rsidRPr="003F073E">
        <w:rPr>
          <w:rFonts w:asciiTheme="majorHAnsi" w:hAnsiTheme="majorHAnsi"/>
          <w:sz w:val="16"/>
          <w:szCs w:val="16"/>
          <w:lang w:val="en"/>
        </w:rPr>
        <w:t xml:space="preserve">elease 121/2018, </w:t>
      </w:r>
      <w:hyperlink r:id="rId2" w:history="1">
        <w:r w:rsidRPr="003F073E">
          <w:rPr>
            <w:rStyle w:val="Hyperlink"/>
            <w:rFonts w:asciiTheme="majorHAnsi" w:hAnsiTheme="majorHAnsi"/>
            <w:sz w:val="16"/>
            <w:szCs w:val="16"/>
            <w:lang w:val="en"/>
          </w:rPr>
          <w:t>IACHR to Create Interdisciplinary Group of Independent Experts to Help Investigate Recent Violence in Nicaragua</w:t>
        </w:r>
      </w:hyperlink>
      <w:r w:rsidRPr="003F073E">
        <w:rPr>
          <w:rFonts w:asciiTheme="majorHAnsi" w:hAnsiTheme="majorHAnsi"/>
          <w:sz w:val="16"/>
          <w:szCs w:val="16"/>
          <w:lang w:val="en"/>
        </w:rPr>
        <w:t>, Washington DC, May 30, 2018.</w:t>
      </w:r>
    </w:p>
  </w:footnote>
  <w:footnote w:id="10">
    <w:p w14:paraId="60848583" w14:textId="470BBC66" w:rsidR="003456A9" w:rsidRPr="00162BD9" w:rsidRDefault="003456A9" w:rsidP="00D705CA">
      <w:pPr>
        <w:pStyle w:val="FootnoteText"/>
        <w:tabs>
          <w:tab w:val="left" w:pos="993"/>
        </w:tabs>
        <w:ind w:firstLine="720"/>
        <w:jc w:val="both"/>
        <w:rPr>
          <w:rFonts w:asciiTheme="majorHAnsi" w:hAnsiTheme="majorHAnsi"/>
          <w:sz w:val="16"/>
          <w:szCs w:val="16"/>
          <w:lang w:val="en-GB"/>
        </w:rPr>
      </w:pPr>
      <w:r w:rsidRPr="003F073E">
        <w:rPr>
          <w:rStyle w:val="FootnoteReference"/>
          <w:rFonts w:asciiTheme="majorHAnsi" w:hAnsiTheme="majorHAnsi"/>
          <w:sz w:val="16"/>
          <w:szCs w:val="16"/>
          <w:lang w:val="en"/>
        </w:rPr>
        <w:footnoteRef/>
      </w:r>
      <w:r w:rsidR="003F073E" w:rsidRPr="003F073E">
        <w:rPr>
          <w:rFonts w:asciiTheme="majorHAnsi" w:hAnsiTheme="majorHAnsi"/>
          <w:sz w:val="16"/>
          <w:szCs w:val="16"/>
          <w:lang w:val="en"/>
        </w:rPr>
        <w:t xml:space="preserve"> </w:t>
      </w:r>
      <w:r w:rsidRPr="003F073E">
        <w:rPr>
          <w:rFonts w:asciiTheme="majorHAnsi" w:hAnsiTheme="majorHAnsi"/>
          <w:sz w:val="16"/>
          <w:szCs w:val="16"/>
          <w:lang w:val="en"/>
        </w:rPr>
        <w:t xml:space="preserve">GIEI, Report on the Violent Events that Took Place in Nicaragua between April 18 and May 30, 2018. December 21, 2018. </w:t>
      </w:r>
      <w:r w:rsidRPr="00162BD9">
        <w:rPr>
          <w:rFonts w:asciiTheme="majorHAnsi" w:hAnsiTheme="majorHAnsi"/>
          <w:sz w:val="16"/>
          <w:szCs w:val="16"/>
          <w:lang w:val="en-GB"/>
        </w:rPr>
        <w:t xml:space="preserve">Available </w:t>
      </w:r>
      <w:r w:rsidR="00162BD9" w:rsidRPr="00162BD9">
        <w:rPr>
          <w:rFonts w:asciiTheme="majorHAnsi" w:hAnsiTheme="majorHAnsi"/>
          <w:sz w:val="16"/>
          <w:szCs w:val="16"/>
          <w:lang w:val="en-GB"/>
        </w:rPr>
        <w:t>(</w:t>
      </w:r>
      <w:r w:rsidR="00162BD9">
        <w:rPr>
          <w:rFonts w:asciiTheme="majorHAnsi" w:hAnsiTheme="majorHAnsi"/>
          <w:sz w:val="16"/>
          <w:szCs w:val="16"/>
          <w:lang w:val="en-GB"/>
        </w:rPr>
        <w:t xml:space="preserve">in Spanish) </w:t>
      </w:r>
      <w:r w:rsidRPr="00162BD9">
        <w:rPr>
          <w:rFonts w:asciiTheme="majorHAnsi" w:hAnsiTheme="majorHAnsi"/>
          <w:sz w:val="16"/>
          <w:szCs w:val="16"/>
          <w:lang w:val="en-GB"/>
        </w:rPr>
        <w:t xml:space="preserve">at: </w:t>
      </w:r>
      <w:hyperlink r:id="rId3" w:history="1">
        <w:r w:rsidRPr="00162BD9">
          <w:rPr>
            <w:rStyle w:val="Hyperlink"/>
            <w:rFonts w:asciiTheme="majorHAnsi" w:hAnsiTheme="majorHAnsi"/>
            <w:sz w:val="16"/>
            <w:szCs w:val="16"/>
            <w:lang w:val="en-GB"/>
          </w:rPr>
          <w:t>https://gieinicaragua.org/giei-content/uploads/2019/02/GIEI_INFORME_DIGITAL_07_02_2019_VF.pdf</w:t>
        </w:r>
      </w:hyperlink>
      <w:r w:rsidRPr="00162BD9">
        <w:rPr>
          <w:rFonts w:asciiTheme="majorHAnsi" w:hAnsiTheme="majorHAnsi"/>
          <w:sz w:val="16"/>
          <w:szCs w:val="16"/>
          <w:lang w:val="en-GB"/>
        </w:rPr>
        <w:t xml:space="preserve"> </w:t>
      </w:r>
    </w:p>
  </w:footnote>
  <w:footnote w:id="11">
    <w:p w14:paraId="5702D977" w14:textId="10FC5DBA" w:rsidR="003456A9" w:rsidRPr="003F073E" w:rsidRDefault="003456A9" w:rsidP="00D705CA">
      <w:pPr>
        <w:pStyle w:val="FootnoteText"/>
        <w:ind w:firstLine="720"/>
        <w:jc w:val="both"/>
        <w:rPr>
          <w:rFonts w:asciiTheme="majorHAnsi" w:hAnsiTheme="majorHAnsi"/>
          <w:sz w:val="16"/>
          <w:szCs w:val="16"/>
        </w:rPr>
      </w:pPr>
      <w:r w:rsidRPr="003F073E">
        <w:rPr>
          <w:rStyle w:val="FootnoteReference"/>
          <w:rFonts w:asciiTheme="majorHAnsi" w:hAnsiTheme="majorHAnsi"/>
          <w:sz w:val="16"/>
          <w:szCs w:val="16"/>
          <w:lang w:val="en"/>
        </w:rPr>
        <w:footnoteRef/>
      </w:r>
      <w:r w:rsidR="003F073E">
        <w:rPr>
          <w:rFonts w:asciiTheme="majorHAnsi" w:hAnsiTheme="majorHAnsi"/>
          <w:sz w:val="16"/>
          <w:szCs w:val="16"/>
          <w:lang w:val="en"/>
        </w:rPr>
        <w:t xml:space="preserve"> </w:t>
      </w:r>
      <w:r w:rsidRPr="003F073E">
        <w:rPr>
          <w:rFonts w:asciiTheme="majorHAnsi" w:hAnsiTheme="majorHAnsi"/>
          <w:sz w:val="16"/>
          <w:szCs w:val="16"/>
          <w:lang w:val="en"/>
        </w:rPr>
        <w:t>IACHR, Persons Deprived of Liberty in Nicaragua in connection with the Human Rights Crisis Began on April 18, 2018. OEA/</w:t>
      </w:r>
      <w:proofErr w:type="spellStart"/>
      <w:r w:rsidRPr="003F073E">
        <w:rPr>
          <w:rFonts w:asciiTheme="majorHAnsi" w:hAnsiTheme="majorHAnsi"/>
          <w:sz w:val="16"/>
          <w:szCs w:val="16"/>
          <w:lang w:val="en"/>
        </w:rPr>
        <w:t>Ser.L</w:t>
      </w:r>
      <w:proofErr w:type="spellEnd"/>
      <w:r w:rsidRPr="003F073E">
        <w:rPr>
          <w:rFonts w:asciiTheme="majorHAnsi" w:hAnsiTheme="majorHAnsi"/>
          <w:sz w:val="16"/>
          <w:szCs w:val="16"/>
          <w:lang w:val="en"/>
        </w:rPr>
        <w:t xml:space="preserve">/V/II. Doc. 287, October 5, 2020. Available at: </w:t>
      </w:r>
      <w:hyperlink r:id="rId4" w:history="1">
        <w:r w:rsidRPr="003F073E">
          <w:rPr>
            <w:rStyle w:val="Hyperlink"/>
            <w:rFonts w:asciiTheme="majorHAnsi" w:hAnsiTheme="majorHAnsi"/>
            <w:sz w:val="16"/>
            <w:szCs w:val="16"/>
            <w:lang w:val="en"/>
          </w:rPr>
          <w:t>http://www.oas.org/en/iachr/reports/pdfs/Nicaragua-PPL-en.pdf</w:t>
        </w:r>
      </w:hyperlink>
      <w:r w:rsidRPr="003F073E">
        <w:rPr>
          <w:rFonts w:asciiTheme="majorHAnsi" w:hAnsiTheme="majorHAnsi"/>
          <w:sz w:val="16"/>
          <w:szCs w:val="16"/>
          <w:lang w:val="en"/>
        </w:rPr>
        <w:t xml:space="preserve"> </w:t>
      </w:r>
    </w:p>
  </w:footnote>
  <w:footnote w:id="12">
    <w:p w14:paraId="235D9322" w14:textId="08E4C49A" w:rsidR="003456A9" w:rsidRPr="007F64C4" w:rsidRDefault="003456A9" w:rsidP="00D705CA">
      <w:pPr>
        <w:pStyle w:val="FootnoteText"/>
        <w:ind w:firstLine="720"/>
        <w:jc w:val="both"/>
        <w:rPr>
          <w:rFonts w:asciiTheme="majorHAnsi" w:hAnsiTheme="majorHAnsi"/>
          <w:sz w:val="16"/>
          <w:szCs w:val="16"/>
        </w:rPr>
      </w:pPr>
      <w:r w:rsidRPr="003F073E">
        <w:rPr>
          <w:rStyle w:val="FootnoteReference"/>
          <w:rFonts w:asciiTheme="majorHAnsi" w:hAnsiTheme="majorHAnsi"/>
          <w:sz w:val="16"/>
          <w:szCs w:val="16"/>
          <w:lang w:val="en"/>
        </w:rPr>
        <w:footnoteRef/>
      </w:r>
      <w:r w:rsidRPr="003F073E">
        <w:rPr>
          <w:rFonts w:asciiTheme="majorHAnsi" w:hAnsiTheme="majorHAnsi"/>
          <w:sz w:val="16"/>
          <w:szCs w:val="16"/>
          <w:lang w:val="en"/>
        </w:rPr>
        <w:t xml:space="preserve"> IACHR. Report No. 21/15. Case No. 12.462 Nelson Carvajal </w:t>
      </w:r>
      <w:proofErr w:type="spellStart"/>
      <w:r w:rsidRPr="003F073E">
        <w:rPr>
          <w:rFonts w:asciiTheme="majorHAnsi" w:hAnsiTheme="majorHAnsi"/>
          <w:sz w:val="16"/>
          <w:szCs w:val="16"/>
          <w:lang w:val="en"/>
        </w:rPr>
        <w:t>Carvajal</w:t>
      </w:r>
      <w:proofErr w:type="spellEnd"/>
      <w:r w:rsidRPr="003F073E">
        <w:rPr>
          <w:rFonts w:asciiTheme="majorHAnsi" w:hAnsiTheme="majorHAnsi"/>
          <w:sz w:val="16"/>
          <w:szCs w:val="16"/>
          <w:lang w:val="en"/>
        </w:rPr>
        <w:t xml:space="preserve"> and Family (Colombia). </w:t>
      </w:r>
      <w:r w:rsidRPr="004B68E3">
        <w:rPr>
          <w:rFonts w:asciiTheme="majorHAnsi" w:hAnsiTheme="majorHAnsi"/>
          <w:sz w:val="16"/>
          <w:szCs w:val="16"/>
          <w:lang w:val="es-US"/>
        </w:rPr>
        <w:t xml:space="preserve">March 26, 2015. Par. 120; IACHR. </w:t>
      </w:r>
      <w:proofErr w:type="spellStart"/>
      <w:r w:rsidRPr="004B68E3">
        <w:rPr>
          <w:rFonts w:asciiTheme="majorHAnsi" w:hAnsiTheme="majorHAnsi"/>
          <w:sz w:val="16"/>
          <w:szCs w:val="16"/>
          <w:lang w:val="es-US"/>
        </w:rPr>
        <w:t>Report</w:t>
      </w:r>
      <w:proofErr w:type="spellEnd"/>
      <w:r w:rsidRPr="004B68E3">
        <w:rPr>
          <w:rFonts w:asciiTheme="majorHAnsi" w:hAnsiTheme="majorHAnsi"/>
          <w:sz w:val="16"/>
          <w:szCs w:val="16"/>
          <w:lang w:val="es-US"/>
        </w:rPr>
        <w:t xml:space="preserve"> No. 50/99. Case 11.739. Héctor Félix Miranda (</w:t>
      </w:r>
      <w:proofErr w:type="spellStart"/>
      <w:r w:rsidRPr="004B68E3">
        <w:rPr>
          <w:rFonts w:asciiTheme="majorHAnsi" w:hAnsiTheme="majorHAnsi"/>
          <w:sz w:val="16"/>
          <w:szCs w:val="16"/>
          <w:lang w:val="es-US"/>
        </w:rPr>
        <w:t>Mexico</w:t>
      </w:r>
      <w:proofErr w:type="spellEnd"/>
      <w:r w:rsidRPr="004B68E3">
        <w:rPr>
          <w:rFonts w:asciiTheme="majorHAnsi" w:hAnsiTheme="majorHAnsi"/>
          <w:sz w:val="16"/>
          <w:szCs w:val="16"/>
          <w:lang w:val="es-US"/>
        </w:rPr>
        <w:t xml:space="preserve">). April 13, 1999. Par. 52; IACHR. </w:t>
      </w:r>
      <w:proofErr w:type="spellStart"/>
      <w:r w:rsidRPr="004B68E3">
        <w:rPr>
          <w:rFonts w:asciiTheme="majorHAnsi" w:hAnsiTheme="majorHAnsi"/>
          <w:sz w:val="16"/>
          <w:szCs w:val="16"/>
          <w:lang w:val="es-US"/>
        </w:rPr>
        <w:t>Report</w:t>
      </w:r>
      <w:proofErr w:type="spellEnd"/>
      <w:r w:rsidRPr="004B68E3">
        <w:rPr>
          <w:rFonts w:asciiTheme="majorHAnsi" w:hAnsiTheme="majorHAnsi"/>
          <w:sz w:val="16"/>
          <w:szCs w:val="16"/>
          <w:lang w:val="es-US"/>
        </w:rPr>
        <w:t xml:space="preserve"> No. 130/99. Case No. 11.740. </w:t>
      </w:r>
      <w:proofErr w:type="spellStart"/>
      <w:r w:rsidRPr="004B68E3">
        <w:rPr>
          <w:rFonts w:asciiTheme="majorHAnsi" w:hAnsiTheme="majorHAnsi"/>
          <w:sz w:val="16"/>
          <w:szCs w:val="16"/>
          <w:lang w:val="es-US"/>
        </w:rPr>
        <w:t>Victor</w:t>
      </w:r>
      <w:proofErr w:type="spellEnd"/>
      <w:r w:rsidRPr="004B68E3">
        <w:rPr>
          <w:rFonts w:asciiTheme="majorHAnsi" w:hAnsiTheme="majorHAnsi"/>
          <w:sz w:val="16"/>
          <w:szCs w:val="16"/>
          <w:lang w:val="es-US"/>
        </w:rPr>
        <w:t xml:space="preserve"> Manuel Gui</w:t>
      </w:r>
      <w:r w:rsidRPr="004B68E3">
        <w:rPr>
          <w:rFonts w:ascii="Cambria" w:hAnsi="Cambria"/>
          <w:sz w:val="16"/>
          <w:szCs w:val="16"/>
          <w:lang w:val="es-US"/>
        </w:rPr>
        <w:t>sa Cruz (</w:t>
      </w:r>
      <w:proofErr w:type="spellStart"/>
      <w:r w:rsidRPr="004B68E3">
        <w:rPr>
          <w:rFonts w:ascii="Cambria" w:hAnsi="Cambria"/>
          <w:sz w:val="16"/>
          <w:szCs w:val="16"/>
          <w:lang w:val="es-US"/>
        </w:rPr>
        <w:t>Mexico</w:t>
      </w:r>
      <w:proofErr w:type="spellEnd"/>
      <w:r w:rsidRPr="004B68E3">
        <w:rPr>
          <w:rFonts w:ascii="Cambria" w:hAnsi="Cambria"/>
          <w:sz w:val="16"/>
          <w:szCs w:val="16"/>
          <w:lang w:val="es-US"/>
        </w:rPr>
        <w:t xml:space="preserve">). </w:t>
      </w:r>
      <w:proofErr w:type="spellStart"/>
      <w:r w:rsidRPr="008A40BB">
        <w:rPr>
          <w:rFonts w:ascii="Cambria" w:hAnsi="Cambria"/>
          <w:sz w:val="16"/>
          <w:szCs w:val="16"/>
          <w:lang w:val="es-ES"/>
        </w:rPr>
        <w:t>November</w:t>
      </w:r>
      <w:proofErr w:type="spellEnd"/>
      <w:r w:rsidRPr="008A40BB">
        <w:rPr>
          <w:rFonts w:ascii="Cambria" w:hAnsi="Cambria"/>
          <w:sz w:val="16"/>
          <w:szCs w:val="16"/>
          <w:lang w:val="es-ES"/>
        </w:rPr>
        <w:t xml:space="preserve"> 19, 1999. </w:t>
      </w:r>
      <w:r>
        <w:rPr>
          <w:rFonts w:ascii="Cambria" w:hAnsi="Cambria"/>
          <w:sz w:val="16"/>
          <w:szCs w:val="16"/>
          <w:lang w:val="en"/>
        </w:rPr>
        <w:t>Par.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5D6DAB" w:rsidP="002C1641">
    <w:pPr>
      <w:pStyle w:val="Header"/>
      <w:tabs>
        <w:tab w:val="clear" w:pos="4320"/>
        <w:tab w:val="clear" w:pos="8640"/>
      </w:tabs>
      <w:jc w:val="center"/>
      <w:rPr>
        <w:sz w:val="22"/>
        <w:szCs w:val="22"/>
      </w:rPr>
    </w:pPr>
    <w:r>
      <w:rPr>
        <w:noProof/>
        <w:sz w:val="22"/>
        <w:szCs w:val="22"/>
        <w:bdr w:val="nil"/>
      </w:rPr>
      <w:pict w14:anchorId="243150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6"/>
  </w:num>
  <w:num w:numId="102">
    <w:abstractNumId w:val="50"/>
  </w:num>
  <w:num w:numId="103">
    <w:abstractNumId w:val="5"/>
  </w:num>
  <w:num w:numId="104">
    <w:abstractNumId w:val="11"/>
  </w:num>
  <w:num w:numId="105">
    <w:abstractNumId w:val="46"/>
  </w:num>
  <w:num w:numId="106">
    <w:abstractNumId w:val="32"/>
  </w:num>
  <w:num w:numId="107">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QxtDQ1MjcwMDFR0lEKTi0uzszPAykwqgUA7YFbCywAAAA="/>
  </w:docVars>
  <w:rsids>
    <w:rsidRoot w:val="006B2D5C"/>
    <w:rsid w:val="0000036F"/>
    <w:rsid w:val="00000CDA"/>
    <w:rsid w:val="00001756"/>
    <w:rsid w:val="000070D7"/>
    <w:rsid w:val="000111A8"/>
    <w:rsid w:val="0001788C"/>
    <w:rsid w:val="00022CF5"/>
    <w:rsid w:val="00036A8A"/>
    <w:rsid w:val="00037DD4"/>
    <w:rsid w:val="00040C3A"/>
    <w:rsid w:val="000460CA"/>
    <w:rsid w:val="000639C0"/>
    <w:rsid w:val="00070F3A"/>
    <w:rsid w:val="000716C5"/>
    <w:rsid w:val="00075E23"/>
    <w:rsid w:val="00092F32"/>
    <w:rsid w:val="0009344A"/>
    <w:rsid w:val="000A575F"/>
    <w:rsid w:val="000C4365"/>
    <w:rsid w:val="000D10DB"/>
    <w:rsid w:val="000E7641"/>
    <w:rsid w:val="000F326B"/>
    <w:rsid w:val="00113A4F"/>
    <w:rsid w:val="00115B6F"/>
    <w:rsid w:val="00115F41"/>
    <w:rsid w:val="00116AB3"/>
    <w:rsid w:val="00124116"/>
    <w:rsid w:val="00126E08"/>
    <w:rsid w:val="0013104F"/>
    <w:rsid w:val="00137EBA"/>
    <w:rsid w:val="00145EDC"/>
    <w:rsid w:val="00150EB1"/>
    <w:rsid w:val="00153084"/>
    <w:rsid w:val="00162BD9"/>
    <w:rsid w:val="00167A34"/>
    <w:rsid w:val="001714B4"/>
    <w:rsid w:val="0018037F"/>
    <w:rsid w:val="00193D82"/>
    <w:rsid w:val="001945E3"/>
    <w:rsid w:val="001A5F27"/>
    <w:rsid w:val="001A65E4"/>
    <w:rsid w:val="001A7870"/>
    <w:rsid w:val="001C1B41"/>
    <w:rsid w:val="001D3804"/>
    <w:rsid w:val="001D3E9C"/>
    <w:rsid w:val="001E366B"/>
    <w:rsid w:val="001F1902"/>
    <w:rsid w:val="002043E0"/>
    <w:rsid w:val="00210E0E"/>
    <w:rsid w:val="00210F4B"/>
    <w:rsid w:val="00230163"/>
    <w:rsid w:val="0023127D"/>
    <w:rsid w:val="0023351C"/>
    <w:rsid w:val="002401AD"/>
    <w:rsid w:val="00245C0B"/>
    <w:rsid w:val="00247403"/>
    <w:rsid w:val="00247542"/>
    <w:rsid w:val="00257893"/>
    <w:rsid w:val="00260522"/>
    <w:rsid w:val="00261E08"/>
    <w:rsid w:val="00262ADD"/>
    <w:rsid w:val="00263BF5"/>
    <w:rsid w:val="00266092"/>
    <w:rsid w:val="00266B61"/>
    <w:rsid w:val="0026712A"/>
    <w:rsid w:val="002704DB"/>
    <w:rsid w:val="002760CE"/>
    <w:rsid w:val="002826D3"/>
    <w:rsid w:val="00284FB2"/>
    <w:rsid w:val="002A6B0C"/>
    <w:rsid w:val="002B7A85"/>
    <w:rsid w:val="002C1641"/>
    <w:rsid w:val="002D7EA2"/>
    <w:rsid w:val="002E15DF"/>
    <w:rsid w:val="002E187C"/>
    <w:rsid w:val="002E6E57"/>
    <w:rsid w:val="002F2697"/>
    <w:rsid w:val="002F6E2D"/>
    <w:rsid w:val="00301075"/>
    <w:rsid w:val="00302733"/>
    <w:rsid w:val="003053BF"/>
    <w:rsid w:val="00311A4F"/>
    <w:rsid w:val="00313FD7"/>
    <w:rsid w:val="00314078"/>
    <w:rsid w:val="00315387"/>
    <w:rsid w:val="00321AFD"/>
    <w:rsid w:val="00322450"/>
    <w:rsid w:val="003246B5"/>
    <w:rsid w:val="0033169F"/>
    <w:rsid w:val="003414AC"/>
    <w:rsid w:val="003456A9"/>
    <w:rsid w:val="00351ACE"/>
    <w:rsid w:val="00356185"/>
    <w:rsid w:val="00360380"/>
    <w:rsid w:val="0037456A"/>
    <w:rsid w:val="00376AEF"/>
    <w:rsid w:val="003771A3"/>
    <w:rsid w:val="00386CF0"/>
    <w:rsid w:val="00387305"/>
    <w:rsid w:val="003A4348"/>
    <w:rsid w:val="003A5566"/>
    <w:rsid w:val="003C32BC"/>
    <w:rsid w:val="003D1E33"/>
    <w:rsid w:val="003D6EE0"/>
    <w:rsid w:val="003E1CF5"/>
    <w:rsid w:val="003E3E03"/>
    <w:rsid w:val="003F073E"/>
    <w:rsid w:val="003F1BBF"/>
    <w:rsid w:val="004162B1"/>
    <w:rsid w:val="004165C2"/>
    <w:rsid w:val="004224EE"/>
    <w:rsid w:val="00424671"/>
    <w:rsid w:val="00431476"/>
    <w:rsid w:val="00433117"/>
    <w:rsid w:val="0043489C"/>
    <w:rsid w:val="0044319C"/>
    <w:rsid w:val="004434A5"/>
    <w:rsid w:val="00450A4A"/>
    <w:rsid w:val="004666FB"/>
    <w:rsid w:val="00466CAD"/>
    <w:rsid w:val="00466D0B"/>
    <w:rsid w:val="00467B7E"/>
    <w:rsid w:val="004838C8"/>
    <w:rsid w:val="0049419D"/>
    <w:rsid w:val="004A7BA7"/>
    <w:rsid w:val="004B2762"/>
    <w:rsid w:val="004B68E3"/>
    <w:rsid w:val="004B7EB6"/>
    <w:rsid w:val="004C41DE"/>
    <w:rsid w:val="004C4B62"/>
    <w:rsid w:val="004C7D33"/>
    <w:rsid w:val="004D6025"/>
    <w:rsid w:val="004D72BC"/>
    <w:rsid w:val="004E2F2B"/>
    <w:rsid w:val="004F6B67"/>
    <w:rsid w:val="00501399"/>
    <w:rsid w:val="00507BC4"/>
    <w:rsid w:val="005128E4"/>
    <w:rsid w:val="005204B8"/>
    <w:rsid w:val="005243C2"/>
    <w:rsid w:val="00525560"/>
    <w:rsid w:val="005357A6"/>
    <w:rsid w:val="00544C49"/>
    <w:rsid w:val="00552088"/>
    <w:rsid w:val="0057402A"/>
    <w:rsid w:val="005771D0"/>
    <w:rsid w:val="005816E5"/>
    <w:rsid w:val="0059191A"/>
    <w:rsid w:val="005921FF"/>
    <w:rsid w:val="00592718"/>
    <w:rsid w:val="005A2898"/>
    <w:rsid w:val="005A6D0E"/>
    <w:rsid w:val="005A747B"/>
    <w:rsid w:val="005B222D"/>
    <w:rsid w:val="005B52B0"/>
    <w:rsid w:val="005B6806"/>
    <w:rsid w:val="005C00F9"/>
    <w:rsid w:val="005C4225"/>
    <w:rsid w:val="005D2EF7"/>
    <w:rsid w:val="005D6DAB"/>
    <w:rsid w:val="005F0F33"/>
    <w:rsid w:val="005F3E64"/>
    <w:rsid w:val="00600DEB"/>
    <w:rsid w:val="00613027"/>
    <w:rsid w:val="00616FFA"/>
    <w:rsid w:val="00621A5B"/>
    <w:rsid w:val="00627C9F"/>
    <w:rsid w:val="006311DA"/>
    <w:rsid w:val="006311E9"/>
    <w:rsid w:val="006318B2"/>
    <w:rsid w:val="00632354"/>
    <w:rsid w:val="00642810"/>
    <w:rsid w:val="00652333"/>
    <w:rsid w:val="00653EA6"/>
    <w:rsid w:val="00662D87"/>
    <w:rsid w:val="0068009E"/>
    <w:rsid w:val="006A17D2"/>
    <w:rsid w:val="006A73E6"/>
    <w:rsid w:val="006B2D5C"/>
    <w:rsid w:val="006C4EB1"/>
    <w:rsid w:val="006D4707"/>
    <w:rsid w:val="006E0166"/>
    <w:rsid w:val="006E270D"/>
    <w:rsid w:val="006E7B34"/>
    <w:rsid w:val="00701B24"/>
    <w:rsid w:val="0070669A"/>
    <w:rsid w:val="00706858"/>
    <w:rsid w:val="00713AED"/>
    <w:rsid w:val="0071495F"/>
    <w:rsid w:val="0073798E"/>
    <w:rsid w:val="00740872"/>
    <w:rsid w:val="00745899"/>
    <w:rsid w:val="00752D34"/>
    <w:rsid w:val="007607C4"/>
    <w:rsid w:val="0076643F"/>
    <w:rsid w:val="00781653"/>
    <w:rsid w:val="007A2082"/>
    <w:rsid w:val="007A2F70"/>
    <w:rsid w:val="007C3334"/>
    <w:rsid w:val="007C52BB"/>
    <w:rsid w:val="007C583B"/>
    <w:rsid w:val="007D2B98"/>
    <w:rsid w:val="007F6DE9"/>
    <w:rsid w:val="007F7980"/>
    <w:rsid w:val="00803F1C"/>
    <w:rsid w:val="0080600E"/>
    <w:rsid w:val="00815F2E"/>
    <w:rsid w:val="00817612"/>
    <w:rsid w:val="008258D7"/>
    <w:rsid w:val="00837C45"/>
    <w:rsid w:val="00853419"/>
    <w:rsid w:val="008546E5"/>
    <w:rsid w:val="008801F8"/>
    <w:rsid w:val="00897E12"/>
    <w:rsid w:val="008A40BB"/>
    <w:rsid w:val="008C2373"/>
    <w:rsid w:val="008C45B0"/>
    <w:rsid w:val="008D43BA"/>
    <w:rsid w:val="008D722F"/>
    <w:rsid w:val="008E3759"/>
    <w:rsid w:val="008E40F5"/>
    <w:rsid w:val="008E4EEF"/>
    <w:rsid w:val="008F17F1"/>
    <w:rsid w:val="009041DC"/>
    <w:rsid w:val="009104B4"/>
    <w:rsid w:val="009228DA"/>
    <w:rsid w:val="00925FCD"/>
    <w:rsid w:val="0093441A"/>
    <w:rsid w:val="00936805"/>
    <w:rsid w:val="009537C5"/>
    <w:rsid w:val="00954BF7"/>
    <w:rsid w:val="00964B3C"/>
    <w:rsid w:val="0096706E"/>
    <w:rsid w:val="00981FBA"/>
    <w:rsid w:val="00984135"/>
    <w:rsid w:val="0098783D"/>
    <w:rsid w:val="009A5E1A"/>
    <w:rsid w:val="009B306D"/>
    <w:rsid w:val="009B381B"/>
    <w:rsid w:val="009D59D2"/>
    <w:rsid w:val="009D7611"/>
    <w:rsid w:val="009E53DE"/>
    <w:rsid w:val="009E566A"/>
    <w:rsid w:val="009E742C"/>
    <w:rsid w:val="00A02D0B"/>
    <w:rsid w:val="00A0523B"/>
    <w:rsid w:val="00A12DBC"/>
    <w:rsid w:val="00A243A2"/>
    <w:rsid w:val="00A2467F"/>
    <w:rsid w:val="00A43458"/>
    <w:rsid w:val="00A528D1"/>
    <w:rsid w:val="00A66BE5"/>
    <w:rsid w:val="00AA792F"/>
    <w:rsid w:val="00AB2A8D"/>
    <w:rsid w:val="00AB4FA4"/>
    <w:rsid w:val="00AD208B"/>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77DBF"/>
    <w:rsid w:val="00B92E49"/>
    <w:rsid w:val="00BA276C"/>
    <w:rsid w:val="00BB306F"/>
    <w:rsid w:val="00BD232B"/>
    <w:rsid w:val="00BD2E42"/>
    <w:rsid w:val="00BD4B89"/>
    <w:rsid w:val="00BE6657"/>
    <w:rsid w:val="00BF7DB7"/>
    <w:rsid w:val="00C02721"/>
    <w:rsid w:val="00C21762"/>
    <w:rsid w:val="00C24543"/>
    <w:rsid w:val="00C256A2"/>
    <w:rsid w:val="00C3492D"/>
    <w:rsid w:val="00C355B4"/>
    <w:rsid w:val="00C55560"/>
    <w:rsid w:val="00C55E2A"/>
    <w:rsid w:val="00C66B72"/>
    <w:rsid w:val="00C72E9E"/>
    <w:rsid w:val="00C73189"/>
    <w:rsid w:val="00C77713"/>
    <w:rsid w:val="00C87C57"/>
    <w:rsid w:val="00C9567A"/>
    <w:rsid w:val="00C962B2"/>
    <w:rsid w:val="00CA6577"/>
    <w:rsid w:val="00CB2660"/>
    <w:rsid w:val="00CC5E90"/>
    <w:rsid w:val="00CD046C"/>
    <w:rsid w:val="00CE5199"/>
    <w:rsid w:val="00CE66D5"/>
    <w:rsid w:val="00D219EA"/>
    <w:rsid w:val="00D34786"/>
    <w:rsid w:val="00D40A1E"/>
    <w:rsid w:val="00D533C0"/>
    <w:rsid w:val="00D62C29"/>
    <w:rsid w:val="00D66D3C"/>
    <w:rsid w:val="00D705CA"/>
    <w:rsid w:val="00D707F4"/>
    <w:rsid w:val="00D712D3"/>
    <w:rsid w:val="00D71422"/>
    <w:rsid w:val="00D7145E"/>
    <w:rsid w:val="00D75084"/>
    <w:rsid w:val="00D7558D"/>
    <w:rsid w:val="00D76453"/>
    <w:rsid w:val="00D81D92"/>
    <w:rsid w:val="00D93446"/>
    <w:rsid w:val="00DA7B5F"/>
    <w:rsid w:val="00DC7B91"/>
    <w:rsid w:val="00DF078B"/>
    <w:rsid w:val="00DF350D"/>
    <w:rsid w:val="00E11A0C"/>
    <w:rsid w:val="00E227C1"/>
    <w:rsid w:val="00E43157"/>
    <w:rsid w:val="00E47F3D"/>
    <w:rsid w:val="00E533FF"/>
    <w:rsid w:val="00E709B3"/>
    <w:rsid w:val="00E7588C"/>
    <w:rsid w:val="00E76E74"/>
    <w:rsid w:val="00E7797F"/>
    <w:rsid w:val="00E850B6"/>
    <w:rsid w:val="00E8789F"/>
    <w:rsid w:val="00E92058"/>
    <w:rsid w:val="00E9322C"/>
    <w:rsid w:val="00E95BE2"/>
    <w:rsid w:val="00E97B71"/>
    <w:rsid w:val="00EB454D"/>
    <w:rsid w:val="00EC5C1A"/>
    <w:rsid w:val="00ED0D1B"/>
    <w:rsid w:val="00ED5FB1"/>
    <w:rsid w:val="00EE3522"/>
    <w:rsid w:val="00EE5FB2"/>
    <w:rsid w:val="00EF619B"/>
    <w:rsid w:val="00F00B55"/>
    <w:rsid w:val="00F05343"/>
    <w:rsid w:val="00F1380F"/>
    <w:rsid w:val="00F14F0E"/>
    <w:rsid w:val="00F15A3B"/>
    <w:rsid w:val="00F24C29"/>
    <w:rsid w:val="00F253CC"/>
    <w:rsid w:val="00F34199"/>
    <w:rsid w:val="00F42B71"/>
    <w:rsid w:val="00F455FB"/>
    <w:rsid w:val="00F56BA5"/>
    <w:rsid w:val="00F621C3"/>
    <w:rsid w:val="00F644E6"/>
    <w:rsid w:val="00F9653B"/>
    <w:rsid w:val="00FB2DCE"/>
    <w:rsid w:val="00FB62CF"/>
    <w:rsid w:val="00FC3920"/>
    <w:rsid w:val="00FC3EB4"/>
    <w:rsid w:val="00FC6C58"/>
    <w:rsid w:val="00FD6CB5"/>
    <w:rsid w:val="00FE0A9D"/>
    <w:rsid w:val="00FE6B45"/>
    <w:rsid w:val="00FF152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3456A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NormalWeb">
    <w:name w:val="Normal (Web)"/>
    <w:basedOn w:val="Normal"/>
    <w:uiPriority w:val="99"/>
    <w:unhideWhenUsed/>
    <w:rsid w:val="00345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footnotes.xml.rels><?xml version="1.0" encoding="UTF-8" standalone="yes"?>
<Relationships xmlns="http://schemas.openxmlformats.org/package/2006/relationships"><Relationship Id="rId3" Type="http://schemas.openxmlformats.org/officeDocument/2006/relationships/hyperlink" Target="https://gieinicaragua.org/giei-content/uploads/2019/02/GIEI_INFORME_DIGITAL_07_02_2019_VF.pdf" TargetMode="External"/><Relationship Id="rId2" Type="http://schemas.openxmlformats.org/officeDocument/2006/relationships/hyperlink" Target="http://www.oas.org/es/cidh/prensa/comunicados/2018/121.asp" TargetMode="External"/><Relationship Id="rId1" Type="http://schemas.openxmlformats.org/officeDocument/2006/relationships/hyperlink" Target="http://www.oas.org/es/cidh/prensa/comunicados/2018/113.asp" TargetMode="External"/><Relationship Id="rId4" Type="http://schemas.openxmlformats.org/officeDocument/2006/relationships/hyperlink" Target="https://www.oas.org/es/cidh/informes/pdfs/Nicaragua-PPL-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C56E-A5B2-432F-A6D6-AF5EAA5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2330</Words>
  <Characters>12447</Characters>
  <Application>Microsoft Office Word</Application>
  <DocSecurity>0</DocSecurity>
  <Lines>259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278/21</dc:title>
  <dc:creator/>
  <cp:lastModifiedBy/>
  <cp:revision>1</cp:revision>
  <dcterms:created xsi:type="dcterms:W3CDTF">2022-03-07T22:02:00Z</dcterms:created>
  <dcterms:modified xsi:type="dcterms:W3CDTF">2022-03-07T22:02:00Z</dcterms:modified>
</cp:coreProperties>
</file>